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05" w:rsidRDefault="00BE19E0" w:rsidP="00BE19E0">
      <w:pPr>
        <w:jc w:val="center"/>
        <w:rPr>
          <w:b/>
          <w:sz w:val="28"/>
          <w:szCs w:val="28"/>
        </w:rPr>
      </w:pPr>
      <w:bookmarkStart w:id="0" w:name="OLE_LINK1"/>
      <w:bookmarkStart w:id="1" w:name="OLE_LINK2"/>
      <w:bookmarkStart w:id="2" w:name="OLE_LINK9"/>
      <w:bookmarkStart w:id="3" w:name="OLE_LINK10"/>
      <w:bookmarkStart w:id="4" w:name="OLE_LINK3"/>
      <w:bookmarkStart w:id="5" w:name="OLE_LINK4"/>
      <w:r w:rsidRPr="00EA5202">
        <w:rPr>
          <w:b/>
          <w:sz w:val="28"/>
          <w:szCs w:val="28"/>
        </w:rPr>
        <w:t xml:space="preserve">Ministru kabineta rīkojuma projekta </w:t>
      </w:r>
      <w:r w:rsidR="00947C9D">
        <w:rPr>
          <w:b/>
          <w:sz w:val="28"/>
          <w:szCs w:val="28"/>
        </w:rPr>
        <w:t>„</w:t>
      </w:r>
      <w:r w:rsidR="005113F0">
        <w:rPr>
          <w:b/>
          <w:sz w:val="28"/>
          <w:szCs w:val="28"/>
        </w:rPr>
        <w:t>Par atļauju Neatliekamās medicīniskās palīdzības dienestam uzņemties ilgtermiņa saistības par Neatliekamās medicīniskās palīdzības dienesta Rīgas reģionālajam centram nepieciešamā operatīvā medicīniskā transporta iegādi līzingā</w:t>
      </w:r>
      <w:r w:rsidR="00947C9D">
        <w:rPr>
          <w:b/>
          <w:sz w:val="28"/>
          <w:szCs w:val="28"/>
        </w:rPr>
        <w:t>”</w:t>
      </w:r>
      <w:r w:rsidR="007A6A87" w:rsidRPr="00EA5202">
        <w:rPr>
          <w:b/>
          <w:sz w:val="28"/>
          <w:szCs w:val="28"/>
        </w:rPr>
        <w:t xml:space="preserve"> </w:t>
      </w:r>
      <w:r w:rsidRPr="00EA5202">
        <w:rPr>
          <w:b/>
          <w:sz w:val="28"/>
          <w:szCs w:val="28"/>
        </w:rPr>
        <w:t>sākotnējās ietekmes novērtējuma ziņojums (anotācija)</w:t>
      </w:r>
    </w:p>
    <w:bookmarkEnd w:id="0"/>
    <w:bookmarkEnd w:id="1"/>
    <w:bookmarkEnd w:id="2"/>
    <w:bookmarkEnd w:id="3"/>
    <w:p w:rsidR="002F6005" w:rsidRPr="00EA5202" w:rsidRDefault="002F6005" w:rsidP="00BE19E0">
      <w:pPr>
        <w:jc w:val="center"/>
        <w:rPr>
          <w:b/>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018"/>
        <w:gridCol w:w="6263"/>
      </w:tblGrid>
      <w:tr w:rsidR="00BE19E0" w:rsidRPr="000E0FC7" w:rsidTr="00EA5202">
        <w:trPr>
          <w:trHeight w:val="171"/>
        </w:trPr>
        <w:tc>
          <w:tcPr>
            <w:tcW w:w="0" w:type="auto"/>
            <w:gridSpan w:val="2"/>
            <w:tcBorders>
              <w:top w:val="outset" w:sz="6" w:space="0" w:color="auto"/>
              <w:left w:val="outset" w:sz="6" w:space="0" w:color="auto"/>
              <w:bottom w:val="outset" w:sz="6" w:space="0" w:color="auto"/>
              <w:right w:val="outset" w:sz="6" w:space="0" w:color="auto"/>
            </w:tcBorders>
            <w:vAlign w:val="center"/>
          </w:tcPr>
          <w:bookmarkEnd w:id="4"/>
          <w:bookmarkEnd w:id="5"/>
          <w:p w:rsidR="00BE19E0" w:rsidRPr="000E0FC7" w:rsidRDefault="00BE19E0" w:rsidP="00EA5202">
            <w:pPr>
              <w:pStyle w:val="naisc"/>
              <w:spacing w:before="0" w:after="0"/>
              <w:rPr>
                <w:sz w:val="28"/>
                <w:szCs w:val="28"/>
              </w:rPr>
            </w:pPr>
            <w:r w:rsidRPr="000E0FC7">
              <w:rPr>
                <w:b/>
                <w:bCs/>
                <w:sz w:val="28"/>
                <w:szCs w:val="28"/>
              </w:rPr>
              <w:t>I Tiesību akta projekta izstrādes nepieciešamība</w:t>
            </w:r>
          </w:p>
        </w:tc>
      </w:tr>
      <w:tr w:rsidR="00BE19E0" w:rsidRPr="000E0FC7" w:rsidTr="00EA5202">
        <w:tc>
          <w:tcPr>
            <w:tcW w:w="1626" w:type="pct"/>
            <w:tcBorders>
              <w:top w:val="outset" w:sz="6" w:space="0" w:color="auto"/>
              <w:left w:val="outset" w:sz="6" w:space="0" w:color="auto"/>
              <w:bottom w:val="outset" w:sz="6" w:space="0" w:color="auto"/>
              <w:right w:val="outset" w:sz="6" w:space="0" w:color="auto"/>
            </w:tcBorders>
          </w:tcPr>
          <w:p w:rsidR="00BE19E0" w:rsidRPr="000E0FC7" w:rsidRDefault="00BE19E0" w:rsidP="00735D23">
            <w:pPr>
              <w:pStyle w:val="ListParagraph"/>
              <w:spacing w:before="120"/>
              <w:ind w:left="0"/>
              <w:contextualSpacing w:val="0"/>
              <w:jc w:val="both"/>
              <w:rPr>
                <w:sz w:val="28"/>
                <w:szCs w:val="28"/>
              </w:rPr>
            </w:pPr>
            <w:r w:rsidRPr="000E0FC7">
              <w:rPr>
                <w:sz w:val="28"/>
                <w:szCs w:val="28"/>
              </w:rPr>
              <w:t>1.Pamatojums</w:t>
            </w:r>
          </w:p>
        </w:tc>
        <w:tc>
          <w:tcPr>
            <w:tcW w:w="3374" w:type="pct"/>
            <w:tcBorders>
              <w:top w:val="outset" w:sz="6" w:space="0" w:color="auto"/>
              <w:left w:val="outset" w:sz="6" w:space="0" w:color="auto"/>
              <w:bottom w:val="outset" w:sz="6" w:space="0" w:color="auto"/>
              <w:right w:val="outset" w:sz="6" w:space="0" w:color="auto"/>
            </w:tcBorders>
          </w:tcPr>
          <w:p w:rsidR="000E0FC7" w:rsidRPr="000E0FC7" w:rsidRDefault="00735D23" w:rsidP="00735D23">
            <w:pPr>
              <w:pStyle w:val="ListParagraph"/>
              <w:spacing w:before="120"/>
              <w:ind w:left="0"/>
              <w:contextualSpacing w:val="0"/>
              <w:jc w:val="both"/>
              <w:rPr>
                <w:sz w:val="28"/>
                <w:szCs w:val="28"/>
              </w:rPr>
            </w:pPr>
            <w:r>
              <w:rPr>
                <w:sz w:val="28"/>
                <w:szCs w:val="28"/>
              </w:rPr>
              <w:t xml:space="preserve">Ministru prezidentes Laimdotas </w:t>
            </w:r>
            <w:proofErr w:type="spellStart"/>
            <w:r>
              <w:rPr>
                <w:sz w:val="28"/>
                <w:szCs w:val="28"/>
              </w:rPr>
              <w:t>Straujumas</w:t>
            </w:r>
            <w:proofErr w:type="spellEnd"/>
            <w:r>
              <w:rPr>
                <w:sz w:val="28"/>
                <w:szCs w:val="28"/>
              </w:rPr>
              <w:t xml:space="preserve"> 2014.gada 10.decembra rezolūcija Nr.</w:t>
            </w:r>
            <w:r w:rsidRPr="00735D23">
              <w:rPr>
                <w:sz w:val="28"/>
                <w:szCs w:val="28"/>
              </w:rPr>
              <w:t>18/TA-2925</w:t>
            </w:r>
            <w:r>
              <w:rPr>
                <w:sz w:val="28"/>
                <w:szCs w:val="28"/>
              </w:rPr>
              <w:t xml:space="preserve">, ar kuru </w:t>
            </w:r>
            <w:r w:rsidRPr="00735D23">
              <w:rPr>
                <w:sz w:val="28"/>
                <w:szCs w:val="28"/>
              </w:rPr>
              <w:t xml:space="preserve">Veselības ministram Guntim </w:t>
            </w:r>
            <w:proofErr w:type="spellStart"/>
            <w:r w:rsidRPr="00735D23">
              <w:rPr>
                <w:sz w:val="28"/>
                <w:szCs w:val="28"/>
              </w:rPr>
              <w:t>Belēvičam</w:t>
            </w:r>
            <w:proofErr w:type="spellEnd"/>
            <w:r w:rsidRPr="00735D23">
              <w:rPr>
                <w:sz w:val="28"/>
                <w:szCs w:val="28"/>
              </w:rPr>
              <w:t xml:space="preserve"> uzdots sagatavot Ministru kabineta rīkojuma projektu un saskaņot to ar Finanšu ministriju un Tieslietu ministriju.</w:t>
            </w:r>
          </w:p>
        </w:tc>
      </w:tr>
      <w:tr w:rsidR="00BE19E0" w:rsidRPr="000E0FC7" w:rsidTr="00EA5202">
        <w:tc>
          <w:tcPr>
            <w:tcW w:w="1626" w:type="pct"/>
            <w:tcBorders>
              <w:top w:val="outset" w:sz="6" w:space="0" w:color="auto"/>
              <w:left w:val="outset" w:sz="6" w:space="0" w:color="auto"/>
              <w:bottom w:val="outset" w:sz="6" w:space="0" w:color="auto"/>
              <w:right w:val="outset" w:sz="6" w:space="0" w:color="auto"/>
            </w:tcBorders>
          </w:tcPr>
          <w:p w:rsidR="00BE19E0" w:rsidRPr="000E0FC7" w:rsidRDefault="00BE19E0" w:rsidP="00735D23">
            <w:pPr>
              <w:pStyle w:val="ListParagraph"/>
              <w:spacing w:before="120"/>
              <w:ind w:left="0"/>
              <w:contextualSpacing w:val="0"/>
              <w:jc w:val="both"/>
              <w:rPr>
                <w:sz w:val="28"/>
                <w:szCs w:val="28"/>
              </w:rPr>
            </w:pPr>
            <w:r w:rsidRPr="000E0FC7">
              <w:rPr>
                <w:sz w:val="28"/>
                <w:szCs w:val="28"/>
              </w:rPr>
              <w:t>2.Pašreizējā situācija un problēmas, kuru risināšanai tiesību akta projekts izstrādāts, tiesiskā regulējuma mērķis un būtība</w:t>
            </w:r>
          </w:p>
          <w:p w:rsidR="00BE19E0" w:rsidRPr="000E0FC7" w:rsidRDefault="00BE19E0" w:rsidP="00735D23">
            <w:pPr>
              <w:pStyle w:val="naisf"/>
              <w:tabs>
                <w:tab w:val="left" w:pos="180"/>
              </w:tabs>
              <w:spacing w:before="0" w:after="0"/>
              <w:ind w:firstLine="0"/>
              <w:jc w:val="left"/>
              <w:rPr>
                <w:sz w:val="28"/>
                <w:szCs w:val="28"/>
              </w:rPr>
            </w:pPr>
          </w:p>
          <w:p w:rsidR="00BE19E0" w:rsidRPr="000E0FC7" w:rsidRDefault="00BE19E0" w:rsidP="00735D23">
            <w:pPr>
              <w:pStyle w:val="naisf"/>
              <w:tabs>
                <w:tab w:val="left" w:pos="180"/>
              </w:tabs>
              <w:spacing w:before="0" w:after="0"/>
              <w:ind w:firstLine="0"/>
              <w:jc w:val="left"/>
              <w:rPr>
                <w:sz w:val="28"/>
                <w:szCs w:val="28"/>
              </w:rPr>
            </w:pPr>
          </w:p>
        </w:tc>
        <w:tc>
          <w:tcPr>
            <w:tcW w:w="3374" w:type="pct"/>
            <w:tcBorders>
              <w:top w:val="outset" w:sz="6" w:space="0" w:color="auto"/>
              <w:left w:val="outset" w:sz="6" w:space="0" w:color="auto"/>
              <w:bottom w:val="outset" w:sz="6" w:space="0" w:color="auto"/>
              <w:right w:val="outset" w:sz="6" w:space="0" w:color="auto"/>
            </w:tcBorders>
          </w:tcPr>
          <w:p w:rsidR="00735D23" w:rsidRPr="00735D23" w:rsidRDefault="00735D23" w:rsidP="00735D23">
            <w:pPr>
              <w:pStyle w:val="ListParagraph"/>
              <w:spacing w:before="120"/>
              <w:ind w:left="0"/>
              <w:contextualSpacing w:val="0"/>
              <w:jc w:val="both"/>
              <w:rPr>
                <w:sz w:val="28"/>
                <w:szCs w:val="28"/>
              </w:rPr>
            </w:pPr>
            <w:r w:rsidRPr="00735D23">
              <w:rPr>
                <w:sz w:val="28"/>
                <w:szCs w:val="28"/>
              </w:rPr>
              <w:t>Ņemot vērā Ministru kabineta 2014.gada 2.decembra sēdē nolemto saistībā ar atbildes vēstuli Saeimas Publisko izdevumu un revīzijas komisijai (par operatīvā medicīniskā transporta (turpmāk – OMT) nodrošinājumu Rīgas reģionālajā centrā), Veselības ministrija ir sagatavojusi Ministru kabineta rīkojuma projektu</w:t>
            </w:r>
            <w:r>
              <w:rPr>
                <w:sz w:val="28"/>
                <w:szCs w:val="28"/>
              </w:rPr>
              <w:t xml:space="preserve"> </w:t>
            </w:r>
            <w:r w:rsidRPr="00735D23">
              <w:rPr>
                <w:sz w:val="28"/>
                <w:szCs w:val="28"/>
              </w:rPr>
              <w:t>„</w:t>
            </w:r>
            <w:r w:rsidR="00C7185D" w:rsidRPr="00C7185D">
              <w:rPr>
                <w:i/>
                <w:sz w:val="28"/>
                <w:szCs w:val="28"/>
              </w:rPr>
              <w:t>Par atļauju Neatliekamās medicīniskās palīdzības dienestam uzņemties ilgtermiņa saistības par Neatliekamās medicīniskās palīdzības dienesta Rīgas reģionālajam centram nepieciešamā operatīvā medicīniskā transporta iegādi līzingā</w:t>
            </w:r>
            <w:r w:rsidRPr="00735D23">
              <w:rPr>
                <w:sz w:val="28"/>
                <w:szCs w:val="28"/>
              </w:rPr>
              <w:t xml:space="preserve">” (turpmāk – </w:t>
            </w:r>
            <w:r>
              <w:rPr>
                <w:sz w:val="28"/>
                <w:szCs w:val="28"/>
              </w:rPr>
              <w:t>rīkojuma projekts</w:t>
            </w:r>
            <w:r w:rsidRPr="00735D23">
              <w:rPr>
                <w:sz w:val="28"/>
                <w:szCs w:val="28"/>
              </w:rPr>
              <w:t>).</w:t>
            </w:r>
          </w:p>
          <w:p w:rsidR="00735D23" w:rsidRPr="00735D23" w:rsidRDefault="00735D23" w:rsidP="00735D23">
            <w:pPr>
              <w:pStyle w:val="ListParagraph"/>
              <w:spacing w:before="120"/>
              <w:ind w:left="0"/>
              <w:contextualSpacing w:val="0"/>
              <w:jc w:val="both"/>
              <w:rPr>
                <w:sz w:val="28"/>
                <w:szCs w:val="28"/>
              </w:rPr>
            </w:pPr>
            <w:r>
              <w:rPr>
                <w:sz w:val="28"/>
                <w:szCs w:val="28"/>
              </w:rPr>
              <w:t>Rīkojuma projekta anotācijā</w:t>
            </w:r>
            <w:r w:rsidRPr="00735D23">
              <w:rPr>
                <w:sz w:val="28"/>
                <w:szCs w:val="28"/>
              </w:rPr>
              <w:t xml:space="preserve"> ietverti Neatliekamās medicīniskās palīdzības dienesta (turpmāk – NMP dienests) un Veselības ministrijas sagatavotie priekšlikumi turpmākai NMP dienesta Rīgas reģionālā centra nodrošināšanai ar OMT.</w:t>
            </w:r>
          </w:p>
          <w:p w:rsidR="008242EF" w:rsidRDefault="008242EF" w:rsidP="00735D23">
            <w:pPr>
              <w:jc w:val="center"/>
              <w:rPr>
                <w:b/>
                <w:sz w:val="28"/>
                <w:szCs w:val="28"/>
              </w:rPr>
            </w:pPr>
          </w:p>
          <w:p w:rsidR="00735D23" w:rsidRPr="00735D23" w:rsidRDefault="00735D23" w:rsidP="00735D23">
            <w:pPr>
              <w:jc w:val="center"/>
              <w:rPr>
                <w:b/>
                <w:sz w:val="28"/>
                <w:szCs w:val="28"/>
              </w:rPr>
            </w:pPr>
            <w:r w:rsidRPr="00735D23">
              <w:rPr>
                <w:b/>
                <w:sz w:val="28"/>
                <w:szCs w:val="28"/>
              </w:rPr>
              <w:t>Situācijas raksturojums</w:t>
            </w:r>
          </w:p>
          <w:p w:rsidR="00735D23" w:rsidRPr="00735D23" w:rsidRDefault="00735D23" w:rsidP="00735D23">
            <w:pPr>
              <w:pStyle w:val="ListParagraph"/>
              <w:spacing w:before="120"/>
              <w:ind w:left="0"/>
              <w:contextualSpacing w:val="0"/>
              <w:jc w:val="both"/>
              <w:rPr>
                <w:sz w:val="28"/>
                <w:szCs w:val="28"/>
              </w:rPr>
            </w:pPr>
            <w:r w:rsidRPr="00735D23">
              <w:rPr>
                <w:sz w:val="28"/>
                <w:szCs w:val="28"/>
              </w:rPr>
              <w:t>NMP dienesta Rīgas reģionālā centra OMT un to vadītāju pakalpojumu līdz 2015.gada 28.aprīlim nodrošina akciju sabiedrība „</w:t>
            </w:r>
            <w:r w:rsidRPr="00D87DB9">
              <w:rPr>
                <w:i/>
                <w:sz w:val="28"/>
                <w:szCs w:val="28"/>
              </w:rPr>
              <w:t>Rīgas Sanitārā transporta autobāze</w:t>
            </w:r>
            <w:r w:rsidRPr="00735D23">
              <w:rPr>
                <w:sz w:val="28"/>
                <w:szCs w:val="28"/>
              </w:rPr>
              <w:t>”. Ar Ministru kabineta 2014.gada 9.septembra rīkojumu Nr.485 „</w:t>
            </w:r>
            <w:r w:rsidRPr="00735D23">
              <w:rPr>
                <w:i/>
                <w:sz w:val="28"/>
                <w:szCs w:val="28"/>
              </w:rPr>
              <w:t xml:space="preserve">Par atļauju Neatliekamās medicīniskās palīdzības dienestam uz septiņiem gadiem slēgt pakalpojumu līgumu un </w:t>
            </w:r>
            <w:r w:rsidRPr="00735D23">
              <w:rPr>
                <w:i/>
                <w:sz w:val="28"/>
                <w:szCs w:val="28"/>
              </w:rPr>
              <w:lastRenderedPageBreak/>
              <w:t>ilgtermiņa saistībām operatīvā medicīniskā transporta un tā vadītāju pakalpojuma nodrošināšanai Neatliekamās medicīniskās palīdzības dienesta Rīgas reģionālajam centram</w:t>
            </w:r>
            <w:r w:rsidRPr="00735D23">
              <w:rPr>
                <w:sz w:val="28"/>
                <w:szCs w:val="28"/>
              </w:rPr>
              <w:t>” ir pieņemts lēmums atļaut NMP dienestam slēgt jaunu ārpakalpojuma līgumu uz septiņiem gadiem ar kopējām izmaksām ne vairāk kā 52 548 807 </w:t>
            </w:r>
            <w:r w:rsidRPr="00735D23">
              <w:rPr>
                <w:i/>
                <w:sz w:val="28"/>
                <w:szCs w:val="28"/>
              </w:rPr>
              <w:t xml:space="preserve">euro </w:t>
            </w:r>
            <w:r w:rsidRPr="00735D23">
              <w:rPr>
                <w:sz w:val="28"/>
                <w:szCs w:val="28"/>
              </w:rPr>
              <w:t>apmērā jeb vidēji līdz 7 506 972 </w:t>
            </w:r>
            <w:r w:rsidRPr="00735D23">
              <w:rPr>
                <w:i/>
                <w:sz w:val="28"/>
                <w:szCs w:val="28"/>
              </w:rPr>
              <w:t xml:space="preserve">euro </w:t>
            </w:r>
            <w:r w:rsidRPr="00735D23">
              <w:rPr>
                <w:sz w:val="28"/>
                <w:szCs w:val="28"/>
              </w:rPr>
              <w:t>gadā. Finansējuma apjoms noteikts atbilstoši šobrīd ārpakalpojuma apmaksai apstiprinātā valsts budžeta bāzes finansējuma apjomam, neņemot vērā iepriekš ik gadus piešķirtos papildus līdzekļus.</w:t>
            </w:r>
          </w:p>
          <w:p w:rsidR="00645718" w:rsidRDefault="00020827" w:rsidP="00735D23">
            <w:pPr>
              <w:pStyle w:val="ListParagraph"/>
              <w:spacing w:before="120"/>
              <w:ind w:left="0"/>
              <w:contextualSpacing w:val="0"/>
              <w:jc w:val="both"/>
              <w:rPr>
                <w:sz w:val="28"/>
              </w:rPr>
            </w:pPr>
            <w:r w:rsidRPr="00020827">
              <w:rPr>
                <w:sz w:val="28"/>
                <w:szCs w:val="28"/>
              </w:rPr>
              <w:t>Balstoties</w:t>
            </w:r>
            <w:r w:rsidRPr="00020827">
              <w:rPr>
                <w:sz w:val="28"/>
              </w:rPr>
              <w:t xml:space="preserve"> uz augstāk minēto, NMP dienests 2014.gada 1.septembrī izsludināj</w:t>
            </w:r>
            <w:r w:rsidR="00645718">
              <w:rPr>
                <w:sz w:val="28"/>
              </w:rPr>
              <w:t>a</w:t>
            </w:r>
            <w:r w:rsidRPr="00020827">
              <w:rPr>
                <w:sz w:val="28"/>
              </w:rPr>
              <w:t xml:space="preserve"> atklātu konkursu „</w:t>
            </w:r>
            <w:r w:rsidRPr="00020827">
              <w:rPr>
                <w:i/>
                <w:sz w:val="28"/>
              </w:rPr>
              <w:t>Operatīvā medicīniskā transporta un tā vadītāju pakalpojuma nodrošināšana Neatliekamās medicīniskās palīdzības dienesta Rīgas reģionālajam centram</w:t>
            </w:r>
            <w:r w:rsidRPr="00020827">
              <w:rPr>
                <w:sz w:val="28"/>
              </w:rPr>
              <w:t xml:space="preserve">” (identifikācijas numurs: NMPD 2014/37), ar mērķi izvēlēties jaunu pakalpojuma sniedzēju pēc esošā līguma termiņa beigām un slēgt jaunu pakalpojuma līgumu uz septiņiem gadiem. </w:t>
            </w:r>
            <w:r w:rsidR="00645718">
              <w:rPr>
                <w:sz w:val="28"/>
              </w:rPr>
              <w:t>Iepirkuma procesā ir saņemti vairāku potenciālo pretendentu  jautājumi, kā arī Iepirkumu uzraudzības birojā izskatīta viena potenciālā pretendenta sūdzība, kā rezultātā atklāta konkursa nolikumā un tika noteikts jauns piedāvājumu iesniegšanas termiņš 2015.gada 5.janvāris.</w:t>
            </w:r>
          </w:p>
          <w:p w:rsidR="00645718" w:rsidRPr="00645718" w:rsidRDefault="00645718" w:rsidP="00645718">
            <w:pPr>
              <w:pStyle w:val="ListParagraph"/>
              <w:numPr>
                <w:ilvl w:val="0"/>
                <w:numId w:val="4"/>
              </w:numPr>
              <w:spacing w:before="120" w:line="276" w:lineRule="auto"/>
              <w:ind w:left="0" w:hanging="567"/>
              <w:contextualSpacing w:val="0"/>
              <w:jc w:val="both"/>
              <w:rPr>
                <w:sz w:val="28"/>
              </w:rPr>
            </w:pPr>
            <w:r>
              <w:rPr>
                <w:sz w:val="28"/>
              </w:rPr>
              <w:t>Jāatzīmē, ka</w:t>
            </w:r>
            <w:r w:rsidRPr="00645718">
              <w:rPr>
                <w:sz w:val="28"/>
              </w:rPr>
              <w:t xml:space="preserve"> ārpakalpojuma sniegšana ir saistīta ar vairākiem riskiem:</w:t>
            </w:r>
          </w:p>
          <w:p w:rsidR="00645718" w:rsidRPr="00645718" w:rsidRDefault="00645718" w:rsidP="00645718">
            <w:pPr>
              <w:numPr>
                <w:ilvl w:val="0"/>
                <w:numId w:val="3"/>
              </w:numPr>
              <w:ind w:left="425" w:hanging="357"/>
              <w:jc w:val="both"/>
              <w:rPr>
                <w:sz w:val="28"/>
                <w:szCs w:val="28"/>
              </w:rPr>
            </w:pPr>
            <w:r w:rsidRPr="00645718">
              <w:rPr>
                <w:sz w:val="28"/>
                <w:szCs w:val="28"/>
              </w:rPr>
              <w:t xml:space="preserve">nav zināms kādas būs ārpakalpojuma izmaksas un vai pakalpojumu varēs nodrošināt esošā budžeta ietvaros. Šobrīd budžeta bāzē plānotais finansējums ir 7 506 972 </w:t>
            </w:r>
            <w:r w:rsidRPr="00645718">
              <w:rPr>
                <w:i/>
                <w:sz w:val="28"/>
                <w:szCs w:val="28"/>
              </w:rPr>
              <w:t>euro</w:t>
            </w:r>
            <w:r w:rsidRPr="00645718">
              <w:rPr>
                <w:sz w:val="28"/>
                <w:szCs w:val="28"/>
              </w:rPr>
              <w:t xml:space="preserve"> gadā, bet vidējās faktiskās izmaksas gadā ir aptuveni par vienu miljonu euro lielākas un vidēji veido 8 561 574 </w:t>
            </w:r>
            <w:r w:rsidRPr="00645718">
              <w:rPr>
                <w:i/>
                <w:sz w:val="28"/>
                <w:szCs w:val="28"/>
              </w:rPr>
              <w:t>euro</w:t>
            </w:r>
            <w:r>
              <w:rPr>
                <w:sz w:val="28"/>
                <w:szCs w:val="28"/>
              </w:rPr>
              <w:t xml:space="preserve"> </w:t>
            </w:r>
            <w:r w:rsidRPr="00645718">
              <w:rPr>
                <w:sz w:val="28"/>
                <w:szCs w:val="28"/>
              </w:rPr>
              <w:t>gadā.</w:t>
            </w:r>
          </w:p>
          <w:p w:rsidR="00645718" w:rsidRPr="00645718" w:rsidRDefault="00645718" w:rsidP="00645718">
            <w:pPr>
              <w:numPr>
                <w:ilvl w:val="0"/>
                <w:numId w:val="3"/>
              </w:numPr>
              <w:ind w:left="425" w:hanging="357"/>
              <w:jc w:val="both"/>
              <w:rPr>
                <w:sz w:val="28"/>
              </w:rPr>
            </w:pPr>
            <w:r w:rsidRPr="00645718">
              <w:rPr>
                <w:sz w:val="28"/>
                <w:szCs w:val="28"/>
              </w:rPr>
              <w:t xml:space="preserve">izmantojot ārpakalpojumu septiņu gadu periodā un vadoties no iepriekšējās pieredzes, var rasties papildus finanšu izdevumi, kuri nav paredzami un vadāmi. </w:t>
            </w:r>
            <w:r>
              <w:rPr>
                <w:sz w:val="28"/>
                <w:szCs w:val="28"/>
              </w:rPr>
              <w:t>A</w:t>
            </w:r>
            <w:r w:rsidRPr="00645718">
              <w:rPr>
                <w:sz w:val="28"/>
                <w:szCs w:val="28"/>
              </w:rPr>
              <w:t>tbilstoši Valsts kontroles</w:t>
            </w:r>
            <w:r w:rsidRPr="00645718">
              <w:rPr>
                <w:sz w:val="28"/>
              </w:rPr>
              <w:t xml:space="preserve"> revīzijas ziņojuma projektam revīzijas lietā Nr.2.4.1-</w:t>
            </w:r>
            <w:r w:rsidRPr="00645718">
              <w:rPr>
                <w:sz w:val="28"/>
              </w:rPr>
              <w:lastRenderedPageBreak/>
              <w:t>6/2014 „</w:t>
            </w:r>
            <w:r w:rsidRPr="00645718">
              <w:rPr>
                <w:i/>
                <w:sz w:val="28"/>
              </w:rPr>
              <w:t>Neatliekamās medicīniskās palīdzības dienesta rīcības lietderība, pērkot pakalpojumu par operatīvā medicīniskā transportlīdzekļa ar autovadītāju nodrošināšanu Rīgas pilsētā un reģionā</w:t>
            </w:r>
            <w:r w:rsidRPr="00645718">
              <w:rPr>
                <w:sz w:val="28"/>
              </w:rPr>
              <w:t>” norādītajam pastāv risks, ka ārpakalpojuma sniedzējs, izmantojot savu priviliģēto statusu kā vienīgais pakalpojuma sniedzējs, ir diktējis noteikumus, panākot sev izdevīgus grozījumus noslēgtajā līgumā, tai skaitā finanšu jomā. Pēc Valsts kontroles aprēķiniem laika posmā no 2011.gada 1.janvāra līdz 2014.gada 30.jūnijam NMP dienests ir nelietderīgi izlietojis finanšu līdzekļus 1 975 216 euro apmērā, apmaksājot ārpakalpojuma sniedzējam:</w:t>
            </w:r>
          </w:p>
          <w:p w:rsidR="00645718" w:rsidRPr="00645718" w:rsidRDefault="00645718" w:rsidP="00645718">
            <w:pPr>
              <w:numPr>
                <w:ilvl w:val="1"/>
                <w:numId w:val="3"/>
              </w:numPr>
              <w:ind w:left="810" w:hanging="426"/>
              <w:jc w:val="both"/>
              <w:rPr>
                <w:sz w:val="28"/>
              </w:rPr>
            </w:pPr>
            <w:r w:rsidRPr="00645718">
              <w:rPr>
                <w:sz w:val="28"/>
              </w:rPr>
              <w:t>pakalpojumus ar nepamatoti paaugstinātiem tarifiem par kilometru 707 154 </w:t>
            </w:r>
            <w:r w:rsidRPr="00645718">
              <w:rPr>
                <w:i/>
                <w:sz w:val="28"/>
              </w:rPr>
              <w:t>euro</w:t>
            </w:r>
            <w:r w:rsidRPr="00645718">
              <w:rPr>
                <w:sz w:val="28"/>
              </w:rPr>
              <w:t xml:space="preserve"> apmērā;</w:t>
            </w:r>
          </w:p>
          <w:p w:rsidR="00645718" w:rsidRPr="00645718" w:rsidRDefault="00645718" w:rsidP="00645718">
            <w:pPr>
              <w:numPr>
                <w:ilvl w:val="1"/>
                <w:numId w:val="3"/>
              </w:numPr>
              <w:ind w:left="810" w:hanging="426"/>
              <w:jc w:val="both"/>
              <w:rPr>
                <w:sz w:val="28"/>
              </w:rPr>
            </w:pPr>
            <w:r w:rsidRPr="00645718">
              <w:rPr>
                <w:sz w:val="28"/>
              </w:rPr>
              <w:t>rēķinus par sniegtajiem pakalpojumiem, nepiemērojot sākotnēji ārpakalpojuma līgumā noteikto 20 procentu atlaidi OMT, kas vecāki par septiņiem gadiem, 784 988 </w:t>
            </w:r>
            <w:r w:rsidRPr="00645718">
              <w:rPr>
                <w:i/>
                <w:sz w:val="28"/>
              </w:rPr>
              <w:t>euro</w:t>
            </w:r>
            <w:r w:rsidRPr="00645718">
              <w:rPr>
                <w:sz w:val="28"/>
              </w:rPr>
              <w:t xml:space="preserve"> apmērā;</w:t>
            </w:r>
          </w:p>
          <w:p w:rsidR="00645718" w:rsidRPr="00645718" w:rsidRDefault="00645718" w:rsidP="00645718">
            <w:pPr>
              <w:numPr>
                <w:ilvl w:val="1"/>
                <w:numId w:val="3"/>
              </w:numPr>
              <w:ind w:left="810" w:hanging="426"/>
              <w:jc w:val="both"/>
              <w:rPr>
                <w:sz w:val="28"/>
              </w:rPr>
            </w:pPr>
            <w:r w:rsidRPr="00645718">
              <w:rPr>
                <w:sz w:val="28"/>
              </w:rPr>
              <w:t>rēķinus par sanitāra pakalpojumu iegādi 483 074 </w:t>
            </w:r>
            <w:r w:rsidRPr="00645718">
              <w:rPr>
                <w:i/>
                <w:sz w:val="28"/>
              </w:rPr>
              <w:t>euro</w:t>
            </w:r>
            <w:r w:rsidRPr="00645718">
              <w:rPr>
                <w:sz w:val="28"/>
              </w:rPr>
              <w:t xml:space="preserve"> apmērā atsevišķa līguma ietvaros, kas pēc būtības ietver tādus pašus nosacījumus, kādi ir noteikti ārpakalpojuma līgumā attiecībā uz OMT autovadītāju pienākumiem.</w:t>
            </w:r>
          </w:p>
          <w:p w:rsidR="00645718" w:rsidRPr="00645718" w:rsidRDefault="00645718" w:rsidP="00645718">
            <w:pPr>
              <w:pStyle w:val="ListParagraph"/>
              <w:spacing w:before="120"/>
              <w:ind w:left="384"/>
              <w:contextualSpacing w:val="0"/>
              <w:jc w:val="both"/>
              <w:rPr>
                <w:sz w:val="32"/>
              </w:rPr>
            </w:pPr>
            <w:r w:rsidRPr="00645718">
              <w:rPr>
                <w:sz w:val="28"/>
              </w:rPr>
              <w:t>Pēc revidentu aplēsēm, lai gan NMP dienestam, Latvijas reģionos nodrošinot NMP, ir nepieciešami finanšu resursi lielākam materiāltehniskajam nodrošinājumam un piesaistītajiem cilvēkresursiem, tomēr vidējās izmaksas uz vienu izsaukumu vai uz vienu nobraukto kilometru ir mazākas nekā izmaksas apmaksājot ārpakalpojumu. Pēc Valsts kontroles aprēķiniem, salīdzinot viena kilometra vidējās izmaksas, NMP dienesta izmaksas, apmaksājot ārpakalpojumu, ir gandrīz divas reizes lielākas, nekā NMP dienestam pašam veicot šo pakalpojumu Latvijas reģionos.</w:t>
            </w:r>
          </w:p>
          <w:p w:rsidR="00735D23" w:rsidRPr="00735D23" w:rsidRDefault="00645718" w:rsidP="00735D23">
            <w:pPr>
              <w:pStyle w:val="ListParagraph"/>
              <w:spacing w:before="120"/>
              <w:ind w:left="0"/>
              <w:contextualSpacing w:val="0"/>
              <w:jc w:val="both"/>
              <w:rPr>
                <w:sz w:val="28"/>
                <w:szCs w:val="28"/>
              </w:rPr>
            </w:pPr>
            <w:r>
              <w:rPr>
                <w:sz w:val="28"/>
                <w:szCs w:val="28"/>
              </w:rPr>
              <w:t xml:space="preserve">Ņemot vērā Valsts kontroles </w:t>
            </w:r>
            <w:r>
              <w:rPr>
                <w:sz w:val="28"/>
              </w:rPr>
              <w:t xml:space="preserve">revīzijas ziņojuma </w:t>
            </w:r>
            <w:r>
              <w:rPr>
                <w:sz w:val="28"/>
              </w:rPr>
              <w:lastRenderedPageBreak/>
              <w:t xml:space="preserve">projekta konstatējumus, </w:t>
            </w:r>
            <w:r w:rsidR="00735D23" w:rsidRPr="00735D23">
              <w:rPr>
                <w:sz w:val="28"/>
                <w:szCs w:val="28"/>
              </w:rPr>
              <w:t>Veselības ministrija kopīgi ar NMP dienestu, vadoties no apsvērumiem, kas nav saistīti tikai un vienīgi ar finanšu izmaksām, atkārtoti izvērtēja NMP dienesta potenciālo iespēju nodrošināt OMT un to vadītājus pašu spēkiem visā Latvijas Republikas teritorijā un secināja, ka pie nosacījuma, ja tiek nekavējoties uzsākta</w:t>
            </w:r>
            <w:r w:rsidR="00053FC5">
              <w:rPr>
                <w:sz w:val="28"/>
                <w:szCs w:val="28"/>
              </w:rPr>
              <w:t xml:space="preserve"> iepirkumu procedūra vismaz 3</w:t>
            </w:r>
            <w:r w:rsidR="00735D23" w:rsidRPr="00735D23">
              <w:rPr>
                <w:sz w:val="28"/>
                <w:szCs w:val="28"/>
              </w:rPr>
              <w:t>0 OMT iegādei, ir iespējams organizēt visu NMP dienesta brigāžu nodrošinājumu visā Latvijas teritorijā, tai skaitā arī Rīgas reģionālajā centrā. Veicot aprēķinus, tika salīdzinātas potenciālās NMP dienesta izmaksas pret pašreizējām ārpakalpoju</w:t>
            </w:r>
            <w:r>
              <w:rPr>
                <w:sz w:val="28"/>
                <w:szCs w:val="28"/>
              </w:rPr>
              <w:t>ma izmaksām.</w:t>
            </w:r>
          </w:p>
          <w:p w:rsidR="00735D23" w:rsidRPr="00735D23" w:rsidRDefault="00735D23" w:rsidP="00735D23">
            <w:pPr>
              <w:pStyle w:val="ListParagraph"/>
              <w:spacing w:before="120"/>
              <w:ind w:left="0"/>
              <w:contextualSpacing w:val="0"/>
              <w:jc w:val="both"/>
              <w:rPr>
                <w:sz w:val="28"/>
                <w:szCs w:val="28"/>
              </w:rPr>
            </w:pPr>
            <w:r w:rsidRPr="00735D23">
              <w:rPr>
                <w:sz w:val="28"/>
                <w:szCs w:val="28"/>
              </w:rPr>
              <w:t>Kā galvenie iemesli pāriešanai no ārpakalpojuma uz NMP dienesta pašu nodrošinātu OMT parku un autovadītājiem, tiek minēti sekojoši argumenti:</w:t>
            </w:r>
          </w:p>
          <w:p w:rsidR="00735D23" w:rsidRPr="00735D23" w:rsidRDefault="00735D23" w:rsidP="00735D23">
            <w:pPr>
              <w:numPr>
                <w:ilvl w:val="0"/>
                <w:numId w:val="3"/>
              </w:numPr>
              <w:ind w:left="425" w:hanging="357"/>
              <w:jc w:val="both"/>
              <w:rPr>
                <w:sz w:val="28"/>
                <w:szCs w:val="28"/>
              </w:rPr>
            </w:pPr>
            <w:r w:rsidRPr="00735D23">
              <w:rPr>
                <w:sz w:val="28"/>
                <w:szCs w:val="28"/>
              </w:rPr>
              <w:t>attiecībā uz ārpakalpojuma drošības aspektiem jāatzīmē, ka NMP dienesta Rīgas reģionālā centra OMT darbojas teritorijā, kurā uzturas ne tikai lielākā daļa valsts iedzīvotāju, bet arī atrodas lielākā daļa kritiskās infrastruktūras objektu. Līdz ar to NMP dienesta spēja nodrošināt savlaicīgu, kvalitatīvu un nepārtrauktu neatliekamās medicīniskās palīdzības pakalpojumu šajā teritorijā ir ļoti būtiska valsts drošībai;</w:t>
            </w:r>
          </w:p>
          <w:p w:rsidR="00735D23" w:rsidRPr="00735D23" w:rsidRDefault="00735D23" w:rsidP="00735D23">
            <w:pPr>
              <w:numPr>
                <w:ilvl w:val="0"/>
                <w:numId w:val="3"/>
              </w:numPr>
              <w:ind w:left="425" w:hanging="357"/>
              <w:jc w:val="both"/>
              <w:rPr>
                <w:sz w:val="28"/>
                <w:szCs w:val="28"/>
              </w:rPr>
            </w:pPr>
            <w:r w:rsidRPr="00735D23">
              <w:rPr>
                <w:sz w:val="28"/>
                <w:szCs w:val="28"/>
              </w:rPr>
              <w:t>beidzoties ārpakalpojuma līgumam, valsts atkal būs spiesta veikt jaunu iepirkumu, jo arī pēc nākamā līguma darbības beigām, NMP dienesta rīcībā nepaliks ne OMT parks, ne autovadītāji, ne attiecīga infrastruktūra. Savukārt, uzsākot OMT iegādi un apsaimniekošanu Rīgas reģionālā centra teritorijā pašu spēkiem, pēc septiņu gada perioda NMP dienestam būs papildus iegādāts OMT autoparks - 96 OMT, kurus NMP dienests vēl kādu laiku varēs izmantot kā rezerves transportu, bet vismaz 14 OMT būs gadu veci un varēs joprojām tikt izmantoti kā līnijas OMT;</w:t>
            </w:r>
          </w:p>
          <w:p w:rsidR="00735D23" w:rsidRPr="00735D23" w:rsidRDefault="00735D23" w:rsidP="00735D23">
            <w:pPr>
              <w:numPr>
                <w:ilvl w:val="0"/>
                <w:numId w:val="3"/>
              </w:numPr>
              <w:ind w:left="425" w:hanging="357"/>
              <w:jc w:val="both"/>
              <w:rPr>
                <w:sz w:val="28"/>
                <w:szCs w:val="28"/>
              </w:rPr>
            </w:pPr>
            <w:r w:rsidRPr="00735D23">
              <w:rPr>
                <w:sz w:val="28"/>
                <w:szCs w:val="28"/>
              </w:rPr>
              <w:t xml:space="preserve">pārņemot Rīgas reģionālā centra OMT un to vadītāju nodrošinājumu, visi OMT vadītāji būs NMP dienesta darbinieki, tādejādi arī no resursu un personāla pārvaldības viedokļa būtu izveidots </w:t>
            </w:r>
            <w:r w:rsidRPr="00735D23">
              <w:rPr>
                <w:sz w:val="28"/>
                <w:szCs w:val="28"/>
              </w:rPr>
              <w:lastRenderedPageBreak/>
              <w:t>vienots NMP dienests, nodrošinot vienādus darba apstākļus un sociālās garantijas, vienotu procedūru ieviešanu un kontroli visiem NMP sniegšanā iesaistītajiem darbiniekiem, kā arī iespēju Rīgas reģionālajā centrā ilgtermiņā piesaistīt vienu un to pašu OMT konkrētai NMP brigādei, kas ļautu NMP brigādēm iekārtot darba vietu OMT atbilstoši attiecīgās NMP brigādes specializācijai. Nepieciešamības gadījumā, bez papildus saskaņošanas, var novirzīt nepieciešamo OMT skaitu uz citiem reģioniem vai no citiem reģioniem uz Rīgas reģionālo centru, tādejādi optimizējot nepieciešamo OMT kopskaitu.</w:t>
            </w:r>
          </w:p>
          <w:p w:rsidR="00020827" w:rsidRPr="00645718" w:rsidRDefault="005113F0" w:rsidP="00735D23">
            <w:pPr>
              <w:pStyle w:val="ListParagraph"/>
              <w:spacing w:before="120"/>
              <w:ind w:left="0"/>
              <w:contextualSpacing w:val="0"/>
              <w:jc w:val="both"/>
              <w:rPr>
                <w:color w:val="000000"/>
                <w:sz w:val="28"/>
                <w:szCs w:val="28"/>
              </w:rPr>
            </w:pPr>
            <w:r w:rsidRPr="005113F0">
              <w:rPr>
                <w:color w:val="000000"/>
                <w:sz w:val="28"/>
                <w:szCs w:val="28"/>
              </w:rPr>
              <w:t>Ņemot vērā minēto</w:t>
            </w:r>
            <w:r>
              <w:rPr>
                <w:color w:val="000000"/>
                <w:sz w:val="28"/>
                <w:szCs w:val="28"/>
              </w:rPr>
              <w:t>,</w:t>
            </w:r>
            <w:r w:rsidRPr="005113F0">
              <w:rPr>
                <w:color w:val="000000"/>
                <w:sz w:val="28"/>
                <w:szCs w:val="28"/>
              </w:rPr>
              <w:t xml:space="preserve"> </w:t>
            </w:r>
            <w:r>
              <w:rPr>
                <w:color w:val="000000"/>
                <w:sz w:val="28"/>
                <w:szCs w:val="28"/>
              </w:rPr>
              <w:t xml:space="preserve">2014.gada 29.decembrī </w:t>
            </w:r>
            <w:r w:rsidRPr="005113F0">
              <w:rPr>
                <w:color w:val="000000"/>
                <w:sz w:val="28"/>
                <w:szCs w:val="28"/>
              </w:rPr>
              <w:t xml:space="preserve">tika pārtraukts izsludinātais atklātais konkurss </w:t>
            </w:r>
            <w:r w:rsidR="00D87DB9">
              <w:rPr>
                <w:color w:val="000000"/>
                <w:sz w:val="28"/>
                <w:szCs w:val="28"/>
              </w:rPr>
              <w:t>„</w:t>
            </w:r>
            <w:r w:rsidRPr="005113F0">
              <w:rPr>
                <w:i/>
                <w:color w:val="000000"/>
                <w:sz w:val="28"/>
                <w:szCs w:val="28"/>
              </w:rPr>
              <w:t>Operatīvā medicīniskā transporta un tā vadītāju pakalpojuma nodrošināšana Neatliekamās medicīniskās palīdzības dienesta Rīgas reģionālajam centram</w:t>
            </w:r>
            <w:r w:rsidRPr="005113F0">
              <w:rPr>
                <w:color w:val="000000"/>
                <w:sz w:val="28"/>
                <w:szCs w:val="28"/>
              </w:rPr>
              <w:t xml:space="preserve">” (identifikācijas numurs: NMPD 2014/37) un </w:t>
            </w:r>
            <w:r>
              <w:rPr>
                <w:color w:val="000000"/>
                <w:sz w:val="28"/>
                <w:szCs w:val="28"/>
              </w:rPr>
              <w:t>nav plānots pagarināt esošo</w:t>
            </w:r>
            <w:r w:rsidRPr="005113F0">
              <w:rPr>
                <w:color w:val="000000"/>
                <w:sz w:val="28"/>
                <w:szCs w:val="28"/>
              </w:rPr>
              <w:t xml:space="preserve"> </w:t>
            </w:r>
            <w:r>
              <w:rPr>
                <w:color w:val="000000"/>
                <w:sz w:val="28"/>
                <w:szCs w:val="28"/>
              </w:rPr>
              <w:t>ār</w:t>
            </w:r>
            <w:r w:rsidRPr="005113F0">
              <w:rPr>
                <w:color w:val="000000"/>
                <w:sz w:val="28"/>
                <w:szCs w:val="28"/>
              </w:rPr>
              <w:t>pakalpojuma līgum</w:t>
            </w:r>
            <w:r>
              <w:rPr>
                <w:color w:val="000000"/>
                <w:sz w:val="28"/>
                <w:szCs w:val="28"/>
              </w:rPr>
              <w:t>u</w:t>
            </w:r>
            <w:r w:rsidR="00055E03">
              <w:rPr>
                <w:color w:val="000000"/>
                <w:sz w:val="28"/>
                <w:szCs w:val="28"/>
              </w:rPr>
              <w:t xml:space="preserve">, līdz ar to ar </w:t>
            </w:r>
            <w:r w:rsidR="00055E03" w:rsidRPr="00055E03">
              <w:rPr>
                <w:color w:val="000000"/>
                <w:sz w:val="28"/>
                <w:szCs w:val="28"/>
              </w:rPr>
              <w:t>Ministru kabineta 2014.gada 9.septembra rīkojumā Nr.485 "</w:t>
            </w:r>
            <w:r w:rsidR="00055E03" w:rsidRPr="00055E03">
              <w:rPr>
                <w:i/>
                <w:color w:val="000000"/>
                <w:sz w:val="28"/>
                <w:szCs w:val="28"/>
              </w:rPr>
              <w:t>Par atļauju Neatliekamās medicīniskās palīdzības dienestam uz septiņiem gadiem slēgt pakalpojumu līgumu un ilgtermiņa saistībām operatīvā medicīniskā transporta un tā vadītāju pakalpojuma nodrošināšanai Neatliekamās medicīniskās palīdzības dienesta Rīgas reģionālajam centram</w:t>
            </w:r>
            <w:r w:rsidR="00055E03" w:rsidRPr="00055E03">
              <w:rPr>
                <w:color w:val="000000"/>
                <w:sz w:val="28"/>
                <w:szCs w:val="28"/>
              </w:rPr>
              <w:t xml:space="preserve">" dota atļauja </w:t>
            </w:r>
            <w:r w:rsidR="00055E03">
              <w:rPr>
                <w:color w:val="000000"/>
                <w:sz w:val="28"/>
                <w:szCs w:val="28"/>
              </w:rPr>
              <w:t>NMP</w:t>
            </w:r>
            <w:r w:rsidR="00055E03" w:rsidRPr="00055E03">
              <w:rPr>
                <w:color w:val="000000"/>
                <w:sz w:val="28"/>
                <w:szCs w:val="28"/>
              </w:rPr>
              <w:t xml:space="preserve"> dienestam uz septiņiem gadiem slēgt pakalpojumu līgumu par operatīvā medicīniskā transporta un tā vadītāju pakalpojuma nodrošināšanu </w:t>
            </w:r>
            <w:r w:rsidR="00055E03">
              <w:rPr>
                <w:color w:val="000000"/>
                <w:sz w:val="28"/>
                <w:szCs w:val="28"/>
              </w:rPr>
              <w:t>NMP</w:t>
            </w:r>
            <w:r w:rsidR="00055E03" w:rsidRPr="00055E03">
              <w:rPr>
                <w:color w:val="000000"/>
                <w:sz w:val="28"/>
                <w:szCs w:val="28"/>
              </w:rPr>
              <w:t xml:space="preserve"> dienesta Rīgas reģionālajam centram netiks </w:t>
            </w:r>
            <w:r w:rsidR="00055E03" w:rsidRPr="00645718">
              <w:rPr>
                <w:color w:val="000000"/>
                <w:sz w:val="28"/>
                <w:szCs w:val="28"/>
              </w:rPr>
              <w:t>izmantota</w:t>
            </w:r>
            <w:r w:rsidRPr="00645718">
              <w:rPr>
                <w:color w:val="000000"/>
                <w:sz w:val="28"/>
                <w:szCs w:val="28"/>
              </w:rPr>
              <w:t>.</w:t>
            </w:r>
            <w:r w:rsidR="00645718" w:rsidRPr="00645718">
              <w:rPr>
                <w:sz w:val="28"/>
                <w:szCs w:val="28"/>
              </w:rPr>
              <w:t xml:space="preserve"> Savukārt, lai iegādātos OMT līzingā, 2014.gada 19.decembrī tika izsludināts atklāts konkurss „</w:t>
            </w:r>
            <w:r w:rsidR="00645718" w:rsidRPr="00645718">
              <w:rPr>
                <w:i/>
                <w:sz w:val="28"/>
                <w:szCs w:val="28"/>
              </w:rPr>
              <w:t>Operatīvo medicīnisko transportlīdzekļu iegāde finanšu līzingā</w:t>
            </w:r>
            <w:r w:rsidR="00645718" w:rsidRPr="00645718">
              <w:rPr>
                <w:sz w:val="28"/>
                <w:szCs w:val="28"/>
              </w:rPr>
              <w:t>” (</w:t>
            </w:r>
            <w:r w:rsidR="00645718" w:rsidRPr="00645718">
              <w:rPr>
                <w:color w:val="000000"/>
                <w:sz w:val="28"/>
                <w:szCs w:val="28"/>
              </w:rPr>
              <w:t>identifikācijas numurs: NMPD 2014/58).</w:t>
            </w:r>
          </w:p>
          <w:p w:rsidR="001F640D" w:rsidRDefault="001F640D" w:rsidP="00735D23">
            <w:pPr>
              <w:jc w:val="center"/>
              <w:rPr>
                <w:b/>
                <w:sz w:val="28"/>
                <w:szCs w:val="28"/>
              </w:rPr>
            </w:pPr>
            <w:bookmarkStart w:id="6" w:name="_GoBack"/>
            <w:bookmarkEnd w:id="6"/>
          </w:p>
          <w:p w:rsidR="00735D23" w:rsidRPr="00735D23" w:rsidRDefault="00735D23" w:rsidP="00735D23">
            <w:pPr>
              <w:jc w:val="center"/>
              <w:rPr>
                <w:b/>
                <w:sz w:val="28"/>
                <w:szCs w:val="28"/>
              </w:rPr>
            </w:pPr>
            <w:r w:rsidRPr="00735D23">
              <w:rPr>
                <w:b/>
                <w:sz w:val="28"/>
                <w:szCs w:val="28"/>
              </w:rPr>
              <w:t>Kopsavilkums</w:t>
            </w:r>
          </w:p>
          <w:p w:rsidR="00E336D5" w:rsidRPr="00735D23" w:rsidRDefault="00735D23" w:rsidP="00645718">
            <w:pPr>
              <w:pStyle w:val="ListParagraph"/>
              <w:spacing w:before="120"/>
              <w:ind w:left="0"/>
              <w:contextualSpacing w:val="0"/>
              <w:jc w:val="both"/>
              <w:rPr>
                <w:sz w:val="28"/>
                <w:szCs w:val="28"/>
              </w:rPr>
            </w:pPr>
            <w:r w:rsidRPr="00735D23">
              <w:rPr>
                <w:sz w:val="28"/>
                <w:szCs w:val="28"/>
              </w:rPr>
              <w:t xml:space="preserve">Ņemot vērā Valsts kontroles veiktās revīzijas laikā konstatēto, kā arī Saeimas Publisko izdevumu un revīzijas komisijas 2014.gada 3.decembra sēdē </w:t>
            </w:r>
            <w:r w:rsidRPr="00735D23">
              <w:rPr>
                <w:sz w:val="28"/>
                <w:szCs w:val="28"/>
              </w:rPr>
              <w:lastRenderedPageBreak/>
              <w:t xml:space="preserve">nolemto par konceptuālu atbalstu pārejai uz NMP dienesta nodrošinātu OMT parku Rīgas reģionālā centra teritorijā, Veselības ministrija uzskata, ka ir atbalstāma </w:t>
            </w:r>
            <w:r>
              <w:rPr>
                <w:sz w:val="28"/>
                <w:szCs w:val="28"/>
              </w:rPr>
              <w:t>OMT</w:t>
            </w:r>
            <w:r w:rsidRPr="00735D23">
              <w:rPr>
                <w:sz w:val="28"/>
                <w:szCs w:val="28"/>
              </w:rPr>
              <w:t xml:space="preserve"> nodrošināšana Rīgas reģionālajam centram bez ārpakalpojuma piesaistes sākot ar 2015.gada maiju, iegādājoties </w:t>
            </w:r>
            <w:r>
              <w:rPr>
                <w:sz w:val="28"/>
                <w:szCs w:val="28"/>
              </w:rPr>
              <w:t>OMT</w:t>
            </w:r>
            <w:r w:rsidRPr="00735D23">
              <w:rPr>
                <w:sz w:val="28"/>
                <w:szCs w:val="28"/>
              </w:rPr>
              <w:t xml:space="preserve"> līzingā.</w:t>
            </w:r>
          </w:p>
        </w:tc>
      </w:tr>
      <w:tr w:rsidR="00BE19E0" w:rsidRPr="000E0FC7" w:rsidTr="00EA5202">
        <w:tc>
          <w:tcPr>
            <w:tcW w:w="1626" w:type="pct"/>
            <w:tcBorders>
              <w:top w:val="outset" w:sz="6" w:space="0" w:color="auto"/>
              <w:left w:val="outset" w:sz="6" w:space="0" w:color="auto"/>
              <w:bottom w:val="outset" w:sz="6" w:space="0" w:color="auto"/>
              <w:right w:val="outset" w:sz="6" w:space="0" w:color="auto"/>
            </w:tcBorders>
          </w:tcPr>
          <w:p w:rsidR="00BE19E0" w:rsidRPr="000E0FC7" w:rsidRDefault="00BE19E0" w:rsidP="00735D23">
            <w:pPr>
              <w:pStyle w:val="ListParagraph"/>
              <w:spacing w:before="120"/>
              <w:ind w:left="0"/>
              <w:contextualSpacing w:val="0"/>
              <w:jc w:val="both"/>
              <w:rPr>
                <w:sz w:val="28"/>
                <w:szCs w:val="28"/>
              </w:rPr>
            </w:pPr>
            <w:r w:rsidRPr="000E0FC7">
              <w:rPr>
                <w:sz w:val="28"/>
                <w:szCs w:val="28"/>
              </w:rPr>
              <w:lastRenderedPageBreak/>
              <w:t>3.Projekta izstrādē iesaistītās institūcijas</w:t>
            </w:r>
          </w:p>
        </w:tc>
        <w:tc>
          <w:tcPr>
            <w:tcW w:w="3374" w:type="pct"/>
            <w:tcBorders>
              <w:top w:val="outset" w:sz="6" w:space="0" w:color="auto"/>
              <w:left w:val="outset" w:sz="6" w:space="0" w:color="auto"/>
              <w:bottom w:val="outset" w:sz="6" w:space="0" w:color="auto"/>
              <w:right w:val="outset" w:sz="6" w:space="0" w:color="auto"/>
            </w:tcBorders>
          </w:tcPr>
          <w:p w:rsidR="00BE19E0" w:rsidRPr="000E0FC7" w:rsidRDefault="00EA5202" w:rsidP="00735D23">
            <w:pPr>
              <w:pStyle w:val="ListParagraph"/>
              <w:spacing w:before="120"/>
              <w:ind w:left="0"/>
              <w:contextualSpacing w:val="0"/>
              <w:jc w:val="both"/>
              <w:rPr>
                <w:sz w:val="28"/>
                <w:szCs w:val="28"/>
              </w:rPr>
            </w:pPr>
            <w:r w:rsidRPr="000E0FC7">
              <w:rPr>
                <w:sz w:val="28"/>
                <w:szCs w:val="28"/>
              </w:rPr>
              <w:t>NMP dienests</w:t>
            </w:r>
          </w:p>
        </w:tc>
      </w:tr>
      <w:tr w:rsidR="00BE19E0" w:rsidRPr="000E0FC7" w:rsidTr="00EA5202">
        <w:tc>
          <w:tcPr>
            <w:tcW w:w="1626" w:type="pct"/>
            <w:tcBorders>
              <w:top w:val="outset" w:sz="6" w:space="0" w:color="auto"/>
              <w:left w:val="outset" w:sz="6" w:space="0" w:color="auto"/>
              <w:bottom w:val="outset" w:sz="6" w:space="0" w:color="auto"/>
              <w:right w:val="outset" w:sz="6" w:space="0" w:color="auto"/>
            </w:tcBorders>
          </w:tcPr>
          <w:p w:rsidR="00BE19E0" w:rsidRPr="000E0FC7" w:rsidRDefault="00BE19E0" w:rsidP="00735D23">
            <w:pPr>
              <w:pStyle w:val="ListParagraph"/>
              <w:spacing w:before="120"/>
              <w:ind w:left="0"/>
              <w:contextualSpacing w:val="0"/>
              <w:jc w:val="both"/>
              <w:rPr>
                <w:sz w:val="28"/>
                <w:szCs w:val="28"/>
              </w:rPr>
            </w:pPr>
            <w:r w:rsidRPr="000E0FC7">
              <w:rPr>
                <w:sz w:val="28"/>
                <w:szCs w:val="28"/>
              </w:rPr>
              <w:t>4.Cita informācija</w:t>
            </w:r>
          </w:p>
        </w:tc>
        <w:tc>
          <w:tcPr>
            <w:tcW w:w="3374" w:type="pct"/>
            <w:tcBorders>
              <w:top w:val="outset" w:sz="6" w:space="0" w:color="auto"/>
              <w:left w:val="outset" w:sz="6" w:space="0" w:color="auto"/>
              <w:bottom w:val="outset" w:sz="6" w:space="0" w:color="auto"/>
              <w:right w:val="outset" w:sz="6" w:space="0" w:color="auto"/>
            </w:tcBorders>
          </w:tcPr>
          <w:p w:rsidR="00BE19E0" w:rsidRPr="000E0FC7" w:rsidRDefault="00ED563F" w:rsidP="00735D23">
            <w:pPr>
              <w:pStyle w:val="ListParagraph"/>
              <w:spacing w:before="120"/>
              <w:ind w:left="0"/>
              <w:contextualSpacing w:val="0"/>
              <w:jc w:val="both"/>
              <w:rPr>
                <w:sz w:val="28"/>
                <w:szCs w:val="28"/>
              </w:rPr>
            </w:pPr>
            <w:r>
              <w:rPr>
                <w:sz w:val="28"/>
                <w:szCs w:val="28"/>
              </w:rPr>
              <w:t>Nav</w:t>
            </w:r>
          </w:p>
        </w:tc>
      </w:tr>
    </w:tbl>
    <w:p w:rsidR="00177DDE" w:rsidRPr="00EA5202" w:rsidRDefault="00177DDE" w:rsidP="00BE19E0">
      <w:pPr>
        <w:rPr>
          <w:sz w:val="28"/>
          <w:szCs w:val="28"/>
        </w:rPr>
      </w:pPr>
    </w:p>
    <w:p w:rsidR="00BE19E0" w:rsidRDefault="00BE19E0" w:rsidP="00BE19E0">
      <w:pPr>
        <w:rPr>
          <w:sz w:val="28"/>
          <w:szCs w:val="28"/>
        </w:rPr>
      </w:pPr>
      <w:r w:rsidRPr="00EA5202">
        <w:rPr>
          <w:sz w:val="28"/>
          <w:szCs w:val="28"/>
        </w:rPr>
        <w:t>Anotācijas II</w:t>
      </w:r>
      <w:r w:rsidR="00F66038">
        <w:rPr>
          <w:sz w:val="28"/>
          <w:szCs w:val="28"/>
        </w:rPr>
        <w:t xml:space="preserve"> </w:t>
      </w:r>
      <w:r w:rsidR="00F66038" w:rsidRPr="00EA5202">
        <w:rPr>
          <w:sz w:val="28"/>
          <w:szCs w:val="28"/>
        </w:rPr>
        <w:t>sadaļa – projekts š</w:t>
      </w:r>
      <w:r w:rsidR="00ED563F">
        <w:rPr>
          <w:sz w:val="28"/>
          <w:szCs w:val="28"/>
        </w:rPr>
        <w:t>o</w:t>
      </w:r>
      <w:r w:rsidR="00F66038" w:rsidRPr="00EA5202">
        <w:rPr>
          <w:sz w:val="28"/>
          <w:szCs w:val="28"/>
        </w:rPr>
        <w:t xml:space="preserve"> jom</w:t>
      </w:r>
      <w:r w:rsidR="00ED563F">
        <w:rPr>
          <w:sz w:val="28"/>
          <w:szCs w:val="28"/>
        </w:rPr>
        <w:t>u</w:t>
      </w:r>
      <w:r w:rsidR="00F66038" w:rsidRPr="00EA5202">
        <w:rPr>
          <w:sz w:val="28"/>
          <w:szCs w:val="28"/>
        </w:rPr>
        <w:t xml:space="preserve"> neskar.</w:t>
      </w:r>
    </w:p>
    <w:tbl>
      <w:tblPr>
        <w:tblStyle w:val="TableGrid"/>
        <w:tblW w:w="5136" w:type="pct"/>
        <w:tblLayout w:type="fixed"/>
        <w:tblLook w:val="04A0"/>
      </w:tblPr>
      <w:tblGrid>
        <w:gridCol w:w="2630"/>
        <w:gridCol w:w="1323"/>
        <w:gridCol w:w="1150"/>
        <w:gridCol w:w="1443"/>
        <w:gridCol w:w="1444"/>
        <w:gridCol w:w="1550"/>
      </w:tblGrid>
      <w:tr w:rsidR="000231E0" w:rsidRPr="00D1266B" w:rsidTr="00897266">
        <w:trPr>
          <w:trHeight w:val="360"/>
        </w:trPr>
        <w:tc>
          <w:tcPr>
            <w:tcW w:w="9540" w:type="dxa"/>
            <w:gridSpan w:val="6"/>
            <w:shd w:val="clear" w:color="auto" w:fill="auto"/>
            <w:hideMark/>
          </w:tcPr>
          <w:p w:rsidR="000231E0" w:rsidRPr="00D1266B" w:rsidRDefault="000231E0" w:rsidP="00947C9D">
            <w:pPr>
              <w:ind w:firstLine="300"/>
              <w:jc w:val="center"/>
              <w:rPr>
                <w:b/>
                <w:bCs/>
                <w:sz w:val="24"/>
                <w:szCs w:val="24"/>
              </w:rPr>
            </w:pPr>
            <w:r w:rsidRPr="00D1266B">
              <w:rPr>
                <w:b/>
                <w:bCs/>
                <w:sz w:val="24"/>
                <w:szCs w:val="24"/>
              </w:rPr>
              <w:t>III. Tiesību akta projekta ietekme uz valsts budžetu un pašvaldību budžetiem</w:t>
            </w:r>
          </w:p>
        </w:tc>
      </w:tr>
      <w:tr w:rsidR="000231E0" w:rsidRPr="00D1266B" w:rsidTr="00897266">
        <w:tc>
          <w:tcPr>
            <w:tcW w:w="2630" w:type="dxa"/>
            <w:vMerge w:val="restart"/>
            <w:shd w:val="clear" w:color="auto" w:fill="auto"/>
            <w:vAlign w:val="center"/>
            <w:hideMark/>
          </w:tcPr>
          <w:p w:rsidR="000231E0" w:rsidRPr="00D1266B" w:rsidRDefault="000231E0" w:rsidP="001F640D">
            <w:pPr>
              <w:ind w:firstLine="300"/>
              <w:jc w:val="center"/>
              <w:rPr>
                <w:b/>
                <w:bCs/>
                <w:sz w:val="24"/>
                <w:szCs w:val="24"/>
              </w:rPr>
            </w:pPr>
            <w:r w:rsidRPr="00D1266B">
              <w:rPr>
                <w:b/>
                <w:bCs/>
                <w:sz w:val="24"/>
                <w:szCs w:val="24"/>
              </w:rPr>
              <w:t>Rādītāji</w:t>
            </w:r>
          </w:p>
        </w:tc>
        <w:tc>
          <w:tcPr>
            <w:tcW w:w="2473" w:type="dxa"/>
            <w:gridSpan w:val="2"/>
            <w:vMerge w:val="restart"/>
            <w:shd w:val="clear" w:color="auto" w:fill="auto"/>
            <w:vAlign w:val="center"/>
            <w:hideMark/>
          </w:tcPr>
          <w:p w:rsidR="000231E0" w:rsidRPr="00D1266B" w:rsidRDefault="00FE419A" w:rsidP="001F640D">
            <w:pPr>
              <w:ind w:firstLine="14"/>
              <w:jc w:val="center"/>
              <w:rPr>
                <w:b/>
                <w:bCs/>
                <w:sz w:val="24"/>
                <w:szCs w:val="24"/>
              </w:rPr>
            </w:pPr>
            <w:r w:rsidRPr="00D1266B">
              <w:rPr>
                <w:b/>
                <w:bCs/>
                <w:sz w:val="24"/>
                <w:szCs w:val="24"/>
              </w:rPr>
              <w:t>2015</w:t>
            </w:r>
            <w:r w:rsidR="001F640D" w:rsidRPr="00D1266B">
              <w:rPr>
                <w:b/>
                <w:bCs/>
                <w:sz w:val="24"/>
                <w:szCs w:val="24"/>
              </w:rPr>
              <w:t>.</w:t>
            </w:r>
            <w:r w:rsidR="000231E0" w:rsidRPr="00D1266B">
              <w:rPr>
                <w:b/>
                <w:bCs/>
                <w:sz w:val="24"/>
                <w:szCs w:val="24"/>
              </w:rPr>
              <w:t>gads</w:t>
            </w:r>
          </w:p>
        </w:tc>
        <w:tc>
          <w:tcPr>
            <w:tcW w:w="4437" w:type="dxa"/>
            <w:gridSpan w:val="3"/>
            <w:shd w:val="clear" w:color="auto" w:fill="auto"/>
            <w:vAlign w:val="center"/>
            <w:hideMark/>
          </w:tcPr>
          <w:p w:rsidR="000231E0" w:rsidRPr="00D1266B" w:rsidRDefault="000231E0" w:rsidP="001F640D">
            <w:pPr>
              <w:ind w:firstLine="300"/>
              <w:jc w:val="center"/>
              <w:rPr>
                <w:sz w:val="24"/>
                <w:szCs w:val="24"/>
              </w:rPr>
            </w:pPr>
            <w:r w:rsidRPr="00D1266B">
              <w:rPr>
                <w:sz w:val="24"/>
                <w:szCs w:val="24"/>
              </w:rPr>
              <w:t>Turpmākie trīs gadi (</w:t>
            </w:r>
            <w:r w:rsidRPr="00D1266B">
              <w:rPr>
                <w:i/>
                <w:iCs/>
                <w:sz w:val="24"/>
                <w:szCs w:val="24"/>
              </w:rPr>
              <w:t>euro</w:t>
            </w:r>
            <w:r w:rsidRPr="00D1266B">
              <w:rPr>
                <w:sz w:val="24"/>
                <w:szCs w:val="24"/>
              </w:rPr>
              <w:t>)</w:t>
            </w:r>
          </w:p>
        </w:tc>
      </w:tr>
      <w:tr w:rsidR="000231E0" w:rsidRPr="00D1266B" w:rsidTr="00897266">
        <w:tc>
          <w:tcPr>
            <w:tcW w:w="2630" w:type="dxa"/>
            <w:vMerge/>
            <w:shd w:val="clear" w:color="auto" w:fill="auto"/>
            <w:vAlign w:val="center"/>
            <w:hideMark/>
          </w:tcPr>
          <w:p w:rsidR="000231E0" w:rsidRPr="00D1266B" w:rsidRDefault="000231E0" w:rsidP="001F640D">
            <w:pPr>
              <w:jc w:val="center"/>
              <w:rPr>
                <w:b/>
                <w:bCs/>
                <w:sz w:val="24"/>
                <w:szCs w:val="24"/>
              </w:rPr>
            </w:pPr>
          </w:p>
        </w:tc>
        <w:tc>
          <w:tcPr>
            <w:tcW w:w="2473" w:type="dxa"/>
            <w:gridSpan w:val="2"/>
            <w:vMerge/>
            <w:shd w:val="clear" w:color="auto" w:fill="auto"/>
            <w:vAlign w:val="center"/>
            <w:hideMark/>
          </w:tcPr>
          <w:p w:rsidR="000231E0" w:rsidRPr="00D1266B" w:rsidRDefault="000231E0" w:rsidP="001F640D">
            <w:pPr>
              <w:ind w:firstLine="14"/>
              <w:jc w:val="center"/>
              <w:rPr>
                <w:b/>
                <w:bCs/>
                <w:sz w:val="24"/>
                <w:szCs w:val="24"/>
              </w:rPr>
            </w:pPr>
          </w:p>
        </w:tc>
        <w:tc>
          <w:tcPr>
            <w:tcW w:w="1443" w:type="dxa"/>
            <w:shd w:val="clear" w:color="auto" w:fill="auto"/>
            <w:vAlign w:val="center"/>
            <w:hideMark/>
          </w:tcPr>
          <w:p w:rsidR="000231E0" w:rsidRPr="00D1266B" w:rsidRDefault="000231E0" w:rsidP="001F640D">
            <w:pPr>
              <w:jc w:val="center"/>
              <w:rPr>
                <w:b/>
                <w:bCs/>
                <w:sz w:val="24"/>
                <w:szCs w:val="24"/>
              </w:rPr>
            </w:pPr>
            <w:r w:rsidRPr="00D1266B">
              <w:rPr>
                <w:b/>
                <w:bCs/>
                <w:sz w:val="24"/>
                <w:szCs w:val="24"/>
              </w:rPr>
              <w:t>201</w:t>
            </w:r>
            <w:r w:rsidR="00FE419A" w:rsidRPr="00D1266B">
              <w:rPr>
                <w:b/>
                <w:bCs/>
                <w:sz w:val="24"/>
                <w:szCs w:val="24"/>
              </w:rPr>
              <w:t>6</w:t>
            </w:r>
          </w:p>
        </w:tc>
        <w:tc>
          <w:tcPr>
            <w:tcW w:w="1444" w:type="dxa"/>
            <w:shd w:val="clear" w:color="auto" w:fill="auto"/>
            <w:vAlign w:val="center"/>
            <w:hideMark/>
          </w:tcPr>
          <w:p w:rsidR="000231E0" w:rsidRPr="00D1266B" w:rsidRDefault="000231E0" w:rsidP="001F640D">
            <w:pPr>
              <w:jc w:val="center"/>
              <w:rPr>
                <w:b/>
                <w:bCs/>
                <w:sz w:val="24"/>
                <w:szCs w:val="24"/>
              </w:rPr>
            </w:pPr>
            <w:r w:rsidRPr="00D1266B">
              <w:rPr>
                <w:b/>
                <w:bCs/>
                <w:sz w:val="24"/>
                <w:szCs w:val="24"/>
              </w:rPr>
              <w:t>201</w:t>
            </w:r>
            <w:r w:rsidR="00FE419A" w:rsidRPr="00D1266B">
              <w:rPr>
                <w:b/>
                <w:bCs/>
                <w:sz w:val="24"/>
                <w:szCs w:val="24"/>
              </w:rPr>
              <w:t>7</w:t>
            </w:r>
          </w:p>
        </w:tc>
        <w:tc>
          <w:tcPr>
            <w:tcW w:w="1550" w:type="dxa"/>
            <w:shd w:val="clear" w:color="auto" w:fill="auto"/>
            <w:vAlign w:val="center"/>
            <w:hideMark/>
          </w:tcPr>
          <w:p w:rsidR="000231E0" w:rsidRPr="00D1266B" w:rsidRDefault="000231E0" w:rsidP="001F640D">
            <w:pPr>
              <w:jc w:val="center"/>
              <w:rPr>
                <w:b/>
                <w:bCs/>
                <w:sz w:val="24"/>
                <w:szCs w:val="24"/>
              </w:rPr>
            </w:pPr>
            <w:r w:rsidRPr="00D1266B">
              <w:rPr>
                <w:b/>
                <w:bCs/>
                <w:sz w:val="24"/>
                <w:szCs w:val="24"/>
              </w:rPr>
              <w:t>201</w:t>
            </w:r>
            <w:r w:rsidR="00FE419A" w:rsidRPr="00D1266B">
              <w:rPr>
                <w:b/>
                <w:bCs/>
                <w:sz w:val="24"/>
                <w:szCs w:val="24"/>
              </w:rPr>
              <w:t>8</w:t>
            </w:r>
          </w:p>
        </w:tc>
      </w:tr>
      <w:tr w:rsidR="000231E0" w:rsidRPr="00D1266B" w:rsidTr="00897266">
        <w:tc>
          <w:tcPr>
            <w:tcW w:w="2630" w:type="dxa"/>
            <w:vMerge/>
            <w:shd w:val="clear" w:color="auto" w:fill="auto"/>
            <w:vAlign w:val="center"/>
            <w:hideMark/>
          </w:tcPr>
          <w:p w:rsidR="000231E0" w:rsidRPr="00D1266B" w:rsidRDefault="000231E0" w:rsidP="001F640D">
            <w:pPr>
              <w:jc w:val="center"/>
              <w:rPr>
                <w:b/>
                <w:bCs/>
                <w:sz w:val="24"/>
                <w:szCs w:val="24"/>
              </w:rPr>
            </w:pPr>
          </w:p>
        </w:tc>
        <w:tc>
          <w:tcPr>
            <w:tcW w:w="1323" w:type="dxa"/>
            <w:shd w:val="clear" w:color="auto" w:fill="auto"/>
            <w:vAlign w:val="center"/>
            <w:hideMark/>
          </w:tcPr>
          <w:p w:rsidR="000231E0" w:rsidRPr="00D1266B" w:rsidRDefault="000231E0" w:rsidP="001F640D">
            <w:pPr>
              <w:jc w:val="center"/>
              <w:rPr>
                <w:sz w:val="24"/>
                <w:szCs w:val="24"/>
              </w:rPr>
            </w:pPr>
            <w:r w:rsidRPr="00D1266B">
              <w:rPr>
                <w:sz w:val="24"/>
                <w:szCs w:val="24"/>
              </w:rPr>
              <w:t>saskaņā ar valsts budžetu kārtējam gadam</w:t>
            </w:r>
          </w:p>
        </w:tc>
        <w:tc>
          <w:tcPr>
            <w:tcW w:w="1150" w:type="dxa"/>
            <w:shd w:val="clear" w:color="auto" w:fill="auto"/>
            <w:vAlign w:val="center"/>
            <w:hideMark/>
          </w:tcPr>
          <w:p w:rsidR="000231E0" w:rsidRPr="00D1266B" w:rsidRDefault="000231E0" w:rsidP="001F640D">
            <w:pPr>
              <w:ind w:firstLine="14"/>
              <w:jc w:val="center"/>
              <w:rPr>
                <w:sz w:val="24"/>
                <w:szCs w:val="24"/>
              </w:rPr>
            </w:pPr>
            <w:r w:rsidRPr="00D1266B">
              <w:rPr>
                <w:sz w:val="24"/>
                <w:szCs w:val="24"/>
              </w:rPr>
              <w:t>izmaiņas kārtējā gadā, salīdzinot ar valsts budžetu kārtējam gadam</w:t>
            </w:r>
          </w:p>
        </w:tc>
        <w:tc>
          <w:tcPr>
            <w:tcW w:w="1443" w:type="dxa"/>
            <w:shd w:val="clear" w:color="auto" w:fill="auto"/>
            <w:vAlign w:val="center"/>
            <w:hideMark/>
          </w:tcPr>
          <w:p w:rsidR="000231E0" w:rsidRPr="00D1266B" w:rsidRDefault="000231E0" w:rsidP="001F640D">
            <w:pPr>
              <w:jc w:val="center"/>
              <w:rPr>
                <w:sz w:val="24"/>
                <w:szCs w:val="24"/>
              </w:rPr>
            </w:pPr>
            <w:r w:rsidRPr="00D1266B">
              <w:rPr>
                <w:sz w:val="24"/>
                <w:szCs w:val="24"/>
              </w:rPr>
              <w:t>izmaiņas, salīdzinot ar kārtējo (n) gadu</w:t>
            </w:r>
          </w:p>
        </w:tc>
        <w:tc>
          <w:tcPr>
            <w:tcW w:w="1444" w:type="dxa"/>
            <w:shd w:val="clear" w:color="auto" w:fill="auto"/>
            <w:vAlign w:val="center"/>
            <w:hideMark/>
          </w:tcPr>
          <w:p w:rsidR="000231E0" w:rsidRPr="00D1266B" w:rsidRDefault="000231E0" w:rsidP="001F640D">
            <w:pPr>
              <w:jc w:val="center"/>
              <w:rPr>
                <w:sz w:val="24"/>
                <w:szCs w:val="24"/>
              </w:rPr>
            </w:pPr>
            <w:r w:rsidRPr="00D1266B">
              <w:rPr>
                <w:sz w:val="24"/>
                <w:szCs w:val="24"/>
              </w:rPr>
              <w:t>izmaiņas, salīdzinot ar kārtējo (n) gadu</w:t>
            </w:r>
          </w:p>
        </w:tc>
        <w:tc>
          <w:tcPr>
            <w:tcW w:w="1550" w:type="dxa"/>
            <w:shd w:val="clear" w:color="auto" w:fill="auto"/>
            <w:vAlign w:val="center"/>
            <w:hideMark/>
          </w:tcPr>
          <w:p w:rsidR="000231E0" w:rsidRPr="00D1266B" w:rsidRDefault="000231E0" w:rsidP="001F640D">
            <w:pPr>
              <w:jc w:val="center"/>
              <w:rPr>
                <w:sz w:val="24"/>
                <w:szCs w:val="24"/>
              </w:rPr>
            </w:pPr>
            <w:r w:rsidRPr="00D1266B">
              <w:rPr>
                <w:sz w:val="24"/>
                <w:szCs w:val="24"/>
              </w:rPr>
              <w:t>izmaiņas, salīdzinot ar kārtējo (n) gadu</w:t>
            </w:r>
          </w:p>
        </w:tc>
      </w:tr>
      <w:tr w:rsidR="000231E0" w:rsidRPr="00D1266B" w:rsidTr="00897266">
        <w:trPr>
          <w:trHeight w:val="227"/>
        </w:trPr>
        <w:tc>
          <w:tcPr>
            <w:tcW w:w="2630" w:type="dxa"/>
            <w:shd w:val="clear" w:color="auto" w:fill="auto"/>
            <w:hideMark/>
          </w:tcPr>
          <w:p w:rsidR="000231E0" w:rsidRPr="00D1266B" w:rsidRDefault="000231E0" w:rsidP="00947C9D">
            <w:pPr>
              <w:jc w:val="center"/>
              <w:rPr>
                <w:sz w:val="20"/>
                <w:szCs w:val="20"/>
              </w:rPr>
            </w:pPr>
            <w:r w:rsidRPr="00D1266B">
              <w:rPr>
                <w:sz w:val="20"/>
                <w:szCs w:val="20"/>
              </w:rPr>
              <w:t>1</w:t>
            </w:r>
          </w:p>
        </w:tc>
        <w:tc>
          <w:tcPr>
            <w:tcW w:w="1323" w:type="dxa"/>
            <w:shd w:val="clear" w:color="auto" w:fill="auto"/>
            <w:hideMark/>
          </w:tcPr>
          <w:p w:rsidR="000231E0" w:rsidRPr="00D1266B" w:rsidRDefault="000231E0" w:rsidP="00947C9D">
            <w:pPr>
              <w:jc w:val="center"/>
              <w:rPr>
                <w:sz w:val="20"/>
                <w:szCs w:val="20"/>
              </w:rPr>
            </w:pPr>
            <w:r w:rsidRPr="00D1266B">
              <w:rPr>
                <w:sz w:val="20"/>
                <w:szCs w:val="20"/>
              </w:rPr>
              <w:t>2</w:t>
            </w:r>
          </w:p>
        </w:tc>
        <w:tc>
          <w:tcPr>
            <w:tcW w:w="1150" w:type="dxa"/>
            <w:shd w:val="clear" w:color="auto" w:fill="auto"/>
            <w:hideMark/>
          </w:tcPr>
          <w:p w:rsidR="000231E0" w:rsidRPr="00D1266B" w:rsidRDefault="000231E0" w:rsidP="00947C9D">
            <w:pPr>
              <w:jc w:val="center"/>
              <w:rPr>
                <w:sz w:val="20"/>
                <w:szCs w:val="20"/>
              </w:rPr>
            </w:pPr>
            <w:r w:rsidRPr="00D1266B">
              <w:rPr>
                <w:sz w:val="20"/>
                <w:szCs w:val="20"/>
              </w:rPr>
              <w:t>3</w:t>
            </w:r>
          </w:p>
        </w:tc>
        <w:tc>
          <w:tcPr>
            <w:tcW w:w="1443" w:type="dxa"/>
            <w:shd w:val="clear" w:color="auto" w:fill="auto"/>
            <w:hideMark/>
          </w:tcPr>
          <w:p w:rsidR="000231E0" w:rsidRPr="00D1266B" w:rsidRDefault="000231E0" w:rsidP="00947C9D">
            <w:pPr>
              <w:jc w:val="center"/>
              <w:rPr>
                <w:sz w:val="20"/>
                <w:szCs w:val="20"/>
              </w:rPr>
            </w:pPr>
            <w:r w:rsidRPr="00D1266B">
              <w:rPr>
                <w:sz w:val="20"/>
                <w:szCs w:val="20"/>
              </w:rPr>
              <w:t>4</w:t>
            </w:r>
          </w:p>
        </w:tc>
        <w:tc>
          <w:tcPr>
            <w:tcW w:w="1444" w:type="dxa"/>
            <w:shd w:val="clear" w:color="auto" w:fill="auto"/>
            <w:hideMark/>
          </w:tcPr>
          <w:p w:rsidR="000231E0" w:rsidRPr="00D1266B" w:rsidRDefault="000231E0" w:rsidP="00947C9D">
            <w:pPr>
              <w:jc w:val="center"/>
              <w:rPr>
                <w:sz w:val="20"/>
                <w:szCs w:val="20"/>
              </w:rPr>
            </w:pPr>
            <w:r w:rsidRPr="00D1266B">
              <w:rPr>
                <w:sz w:val="20"/>
                <w:szCs w:val="20"/>
              </w:rPr>
              <w:t>5</w:t>
            </w:r>
          </w:p>
        </w:tc>
        <w:tc>
          <w:tcPr>
            <w:tcW w:w="1550" w:type="dxa"/>
            <w:shd w:val="clear" w:color="auto" w:fill="auto"/>
            <w:hideMark/>
          </w:tcPr>
          <w:p w:rsidR="000231E0" w:rsidRPr="00D1266B" w:rsidRDefault="000231E0" w:rsidP="00947C9D">
            <w:pPr>
              <w:jc w:val="center"/>
              <w:rPr>
                <w:sz w:val="20"/>
                <w:szCs w:val="20"/>
              </w:rPr>
            </w:pPr>
            <w:r w:rsidRPr="00D1266B">
              <w:rPr>
                <w:sz w:val="20"/>
                <w:szCs w:val="20"/>
              </w:rPr>
              <w:t>6</w:t>
            </w:r>
          </w:p>
        </w:tc>
      </w:tr>
      <w:tr w:rsidR="00C8402F" w:rsidRPr="00D1266B" w:rsidTr="00897266">
        <w:tc>
          <w:tcPr>
            <w:tcW w:w="2630" w:type="dxa"/>
            <w:shd w:val="clear" w:color="auto" w:fill="auto"/>
            <w:hideMark/>
          </w:tcPr>
          <w:p w:rsidR="00C8402F" w:rsidRPr="00D1266B" w:rsidRDefault="00C8402F" w:rsidP="00947C9D">
            <w:pPr>
              <w:rPr>
                <w:b/>
                <w:sz w:val="24"/>
                <w:szCs w:val="24"/>
              </w:rPr>
            </w:pPr>
            <w:r w:rsidRPr="00D1266B">
              <w:rPr>
                <w:b/>
                <w:sz w:val="24"/>
                <w:szCs w:val="24"/>
              </w:rPr>
              <w:t>1. Budžeta ieņēmumi:</w:t>
            </w:r>
          </w:p>
        </w:tc>
        <w:tc>
          <w:tcPr>
            <w:tcW w:w="1323" w:type="dxa"/>
            <w:shd w:val="clear" w:color="auto" w:fill="auto"/>
            <w:hideMark/>
          </w:tcPr>
          <w:p w:rsidR="00C8402F" w:rsidRPr="00D1266B" w:rsidRDefault="00C8402F" w:rsidP="00C72486">
            <w:pPr>
              <w:jc w:val="right"/>
              <w:rPr>
                <w:b/>
                <w:sz w:val="24"/>
                <w:szCs w:val="24"/>
              </w:rPr>
            </w:pPr>
            <w:r w:rsidRPr="00D1266B">
              <w:rPr>
                <w:b/>
                <w:sz w:val="24"/>
                <w:szCs w:val="24"/>
              </w:rPr>
              <w:t xml:space="preserve">7 536 430 </w:t>
            </w:r>
          </w:p>
        </w:tc>
        <w:tc>
          <w:tcPr>
            <w:tcW w:w="1150" w:type="dxa"/>
            <w:shd w:val="clear" w:color="auto" w:fill="auto"/>
            <w:hideMark/>
          </w:tcPr>
          <w:p w:rsidR="00C8402F" w:rsidRPr="00D1266B" w:rsidRDefault="00C8402F" w:rsidP="00947C9D">
            <w:pPr>
              <w:ind w:firstLine="14"/>
              <w:jc w:val="right"/>
              <w:rPr>
                <w:b/>
                <w:sz w:val="24"/>
                <w:szCs w:val="24"/>
              </w:rPr>
            </w:pPr>
            <w:r>
              <w:rPr>
                <w:b/>
                <w:sz w:val="24"/>
                <w:szCs w:val="24"/>
              </w:rPr>
              <w:t>0</w:t>
            </w:r>
          </w:p>
        </w:tc>
        <w:tc>
          <w:tcPr>
            <w:tcW w:w="1443"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444"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550" w:type="dxa"/>
            <w:shd w:val="clear" w:color="auto" w:fill="auto"/>
            <w:hideMark/>
          </w:tcPr>
          <w:p w:rsidR="00C8402F" w:rsidRPr="00D1266B" w:rsidRDefault="00C8402F" w:rsidP="00E87E4E">
            <w:pPr>
              <w:ind w:firstLine="14"/>
              <w:jc w:val="right"/>
              <w:rPr>
                <w:b/>
                <w:sz w:val="24"/>
                <w:szCs w:val="24"/>
              </w:rPr>
            </w:pPr>
            <w:r>
              <w:rPr>
                <w:b/>
                <w:sz w:val="24"/>
                <w:szCs w:val="24"/>
              </w:rPr>
              <w:t>0</w:t>
            </w:r>
          </w:p>
        </w:tc>
      </w:tr>
      <w:tr w:rsidR="00C8402F" w:rsidRPr="00D1266B" w:rsidTr="00897266">
        <w:tc>
          <w:tcPr>
            <w:tcW w:w="2630" w:type="dxa"/>
            <w:shd w:val="clear" w:color="auto" w:fill="auto"/>
            <w:hideMark/>
          </w:tcPr>
          <w:p w:rsidR="00C8402F" w:rsidRPr="00D1266B" w:rsidRDefault="00C8402F" w:rsidP="00947C9D">
            <w:pPr>
              <w:rPr>
                <w:sz w:val="24"/>
                <w:szCs w:val="24"/>
              </w:rPr>
            </w:pPr>
            <w:r w:rsidRPr="00D1266B">
              <w:rPr>
                <w:sz w:val="24"/>
                <w:szCs w:val="24"/>
              </w:rPr>
              <w:t>1.1. valsts pamatbudžets, tai skaitā ieņēmumi no maksas pakalpojumiem un citi pašu ieņēmumi</w:t>
            </w:r>
          </w:p>
        </w:tc>
        <w:tc>
          <w:tcPr>
            <w:tcW w:w="1323" w:type="dxa"/>
            <w:shd w:val="clear" w:color="auto" w:fill="auto"/>
            <w:hideMark/>
          </w:tcPr>
          <w:p w:rsidR="00C8402F" w:rsidRPr="00D1266B" w:rsidRDefault="00C8402F" w:rsidP="00077D2C">
            <w:pPr>
              <w:jc w:val="right"/>
              <w:rPr>
                <w:sz w:val="24"/>
                <w:szCs w:val="24"/>
              </w:rPr>
            </w:pPr>
            <w:r w:rsidRPr="00D1266B">
              <w:rPr>
                <w:sz w:val="24"/>
                <w:szCs w:val="24"/>
              </w:rPr>
              <w:t xml:space="preserve">7 536 430 </w:t>
            </w:r>
          </w:p>
        </w:tc>
        <w:tc>
          <w:tcPr>
            <w:tcW w:w="1150" w:type="dxa"/>
            <w:shd w:val="clear" w:color="auto" w:fill="auto"/>
            <w:hideMark/>
          </w:tcPr>
          <w:p w:rsidR="00C8402F" w:rsidRDefault="00C8402F" w:rsidP="00C8402F">
            <w:pPr>
              <w:jc w:val="right"/>
            </w:pPr>
            <w:r w:rsidRPr="00D8080B">
              <w:rPr>
                <w:sz w:val="24"/>
                <w:szCs w:val="24"/>
              </w:rPr>
              <w:t>0</w:t>
            </w:r>
          </w:p>
        </w:tc>
        <w:tc>
          <w:tcPr>
            <w:tcW w:w="1443" w:type="dxa"/>
            <w:shd w:val="clear" w:color="auto" w:fill="auto"/>
            <w:hideMark/>
          </w:tcPr>
          <w:p w:rsidR="00C8402F" w:rsidRDefault="00C8402F" w:rsidP="00C8402F">
            <w:pPr>
              <w:jc w:val="right"/>
            </w:pPr>
            <w:r w:rsidRPr="00D8080B">
              <w:rPr>
                <w:sz w:val="24"/>
                <w:szCs w:val="24"/>
              </w:rPr>
              <w:t>0</w:t>
            </w:r>
          </w:p>
        </w:tc>
        <w:tc>
          <w:tcPr>
            <w:tcW w:w="1444" w:type="dxa"/>
            <w:shd w:val="clear" w:color="auto" w:fill="auto"/>
            <w:hideMark/>
          </w:tcPr>
          <w:p w:rsidR="00C8402F" w:rsidRDefault="00C8402F" w:rsidP="00C8402F">
            <w:pPr>
              <w:jc w:val="right"/>
            </w:pPr>
            <w:r w:rsidRPr="00D8080B">
              <w:rPr>
                <w:sz w:val="24"/>
                <w:szCs w:val="24"/>
              </w:rPr>
              <w:t>0</w:t>
            </w:r>
          </w:p>
        </w:tc>
        <w:tc>
          <w:tcPr>
            <w:tcW w:w="1550" w:type="dxa"/>
            <w:shd w:val="clear" w:color="auto" w:fill="auto"/>
            <w:hideMark/>
          </w:tcPr>
          <w:p w:rsidR="00C8402F" w:rsidRDefault="00C8402F" w:rsidP="00C8402F">
            <w:pPr>
              <w:jc w:val="right"/>
            </w:pPr>
            <w:r w:rsidRPr="00D8080B">
              <w:rPr>
                <w:sz w:val="24"/>
                <w:szCs w:val="24"/>
              </w:rPr>
              <w:t>0</w:t>
            </w:r>
          </w:p>
        </w:tc>
      </w:tr>
      <w:tr w:rsidR="00C8402F" w:rsidRPr="00D1266B" w:rsidTr="00897266">
        <w:tc>
          <w:tcPr>
            <w:tcW w:w="2630" w:type="dxa"/>
            <w:shd w:val="clear" w:color="auto" w:fill="auto"/>
            <w:hideMark/>
          </w:tcPr>
          <w:p w:rsidR="00C8402F" w:rsidRPr="00D1266B" w:rsidRDefault="00C8402F" w:rsidP="00947C9D">
            <w:pPr>
              <w:rPr>
                <w:sz w:val="24"/>
                <w:szCs w:val="24"/>
              </w:rPr>
            </w:pPr>
            <w:r w:rsidRPr="00D1266B">
              <w:rPr>
                <w:sz w:val="24"/>
                <w:szCs w:val="24"/>
              </w:rPr>
              <w:t>1.2. valsts speciālais budžets</w:t>
            </w:r>
          </w:p>
        </w:tc>
        <w:tc>
          <w:tcPr>
            <w:tcW w:w="1323" w:type="dxa"/>
            <w:shd w:val="clear" w:color="auto" w:fill="auto"/>
            <w:hideMark/>
          </w:tcPr>
          <w:p w:rsidR="00C8402F" w:rsidRDefault="00C8402F" w:rsidP="00E87E4E">
            <w:pPr>
              <w:jc w:val="right"/>
            </w:pPr>
            <w:r w:rsidRPr="00D8080B">
              <w:rPr>
                <w:sz w:val="24"/>
                <w:szCs w:val="24"/>
              </w:rPr>
              <w:t>0</w:t>
            </w:r>
          </w:p>
        </w:tc>
        <w:tc>
          <w:tcPr>
            <w:tcW w:w="1150" w:type="dxa"/>
            <w:shd w:val="clear" w:color="auto" w:fill="auto"/>
            <w:hideMark/>
          </w:tcPr>
          <w:p w:rsidR="00C8402F" w:rsidRDefault="00C8402F" w:rsidP="00C8402F">
            <w:pPr>
              <w:jc w:val="right"/>
            </w:pPr>
            <w:r w:rsidRPr="00622112">
              <w:rPr>
                <w:sz w:val="24"/>
                <w:szCs w:val="24"/>
              </w:rPr>
              <w:t>0</w:t>
            </w:r>
          </w:p>
        </w:tc>
        <w:tc>
          <w:tcPr>
            <w:tcW w:w="1443" w:type="dxa"/>
            <w:shd w:val="clear" w:color="auto" w:fill="auto"/>
            <w:hideMark/>
          </w:tcPr>
          <w:p w:rsidR="00C8402F" w:rsidRDefault="00C8402F" w:rsidP="00C8402F">
            <w:pPr>
              <w:jc w:val="right"/>
            </w:pPr>
            <w:r w:rsidRPr="00622112">
              <w:rPr>
                <w:sz w:val="24"/>
                <w:szCs w:val="24"/>
              </w:rPr>
              <w:t>0</w:t>
            </w:r>
          </w:p>
        </w:tc>
        <w:tc>
          <w:tcPr>
            <w:tcW w:w="1444" w:type="dxa"/>
            <w:shd w:val="clear" w:color="auto" w:fill="auto"/>
            <w:hideMark/>
          </w:tcPr>
          <w:p w:rsidR="00C8402F" w:rsidRDefault="00C8402F" w:rsidP="00C8402F">
            <w:pPr>
              <w:jc w:val="right"/>
            </w:pPr>
            <w:r w:rsidRPr="00622112">
              <w:rPr>
                <w:sz w:val="24"/>
                <w:szCs w:val="24"/>
              </w:rPr>
              <w:t>0</w:t>
            </w:r>
          </w:p>
        </w:tc>
        <w:tc>
          <w:tcPr>
            <w:tcW w:w="1550" w:type="dxa"/>
            <w:shd w:val="clear" w:color="auto" w:fill="auto"/>
            <w:hideMark/>
          </w:tcPr>
          <w:p w:rsidR="00C8402F" w:rsidRDefault="00C8402F" w:rsidP="00C8402F">
            <w:pPr>
              <w:jc w:val="right"/>
            </w:pPr>
            <w:r w:rsidRPr="00622112">
              <w:rPr>
                <w:sz w:val="24"/>
                <w:szCs w:val="24"/>
              </w:rPr>
              <w:t>0</w:t>
            </w:r>
          </w:p>
        </w:tc>
      </w:tr>
      <w:tr w:rsidR="00C8402F" w:rsidRPr="00D1266B" w:rsidTr="00897266">
        <w:tc>
          <w:tcPr>
            <w:tcW w:w="2630" w:type="dxa"/>
            <w:shd w:val="clear" w:color="auto" w:fill="auto"/>
            <w:hideMark/>
          </w:tcPr>
          <w:p w:rsidR="00C8402F" w:rsidRPr="00D1266B" w:rsidRDefault="00C8402F" w:rsidP="00947C9D">
            <w:pPr>
              <w:rPr>
                <w:sz w:val="24"/>
                <w:szCs w:val="24"/>
              </w:rPr>
            </w:pPr>
            <w:r w:rsidRPr="00D1266B">
              <w:rPr>
                <w:sz w:val="24"/>
                <w:szCs w:val="24"/>
              </w:rPr>
              <w:t>1.3. pašvaldību budžets</w:t>
            </w:r>
          </w:p>
        </w:tc>
        <w:tc>
          <w:tcPr>
            <w:tcW w:w="1323" w:type="dxa"/>
            <w:shd w:val="clear" w:color="auto" w:fill="auto"/>
            <w:hideMark/>
          </w:tcPr>
          <w:p w:rsidR="00C8402F" w:rsidRDefault="00C8402F" w:rsidP="00E87E4E">
            <w:pPr>
              <w:jc w:val="right"/>
            </w:pPr>
            <w:r w:rsidRPr="00D8080B">
              <w:rPr>
                <w:sz w:val="24"/>
                <w:szCs w:val="24"/>
              </w:rPr>
              <w:t>0</w:t>
            </w:r>
          </w:p>
        </w:tc>
        <w:tc>
          <w:tcPr>
            <w:tcW w:w="1150" w:type="dxa"/>
            <w:shd w:val="clear" w:color="auto" w:fill="auto"/>
            <w:hideMark/>
          </w:tcPr>
          <w:p w:rsidR="00C8402F" w:rsidRDefault="00C8402F" w:rsidP="00C8402F">
            <w:pPr>
              <w:jc w:val="right"/>
            </w:pPr>
            <w:r w:rsidRPr="00622112">
              <w:rPr>
                <w:sz w:val="24"/>
                <w:szCs w:val="24"/>
              </w:rPr>
              <w:t>0</w:t>
            </w:r>
          </w:p>
        </w:tc>
        <w:tc>
          <w:tcPr>
            <w:tcW w:w="1443" w:type="dxa"/>
            <w:shd w:val="clear" w:color="auto" w:fill="auto"/>
            <w:hideMark/>
          </w:tcPr>
          <w:p w:rsidR="00C8402F" w:rsidRDefault="00C8402F" w:rsidP="00C8402F">
            <w:pPr>
              <w:jc w:val="right"/>
            </w:pPr>
            <w:r w:rsidRPr="00622112">
              <w:rPr>
                <w:sz w:val="24"/>
                <w:szCs w:val="24"/>
              </w:rPr>
              <w:t>0</w:t>
            </w:r>
          </w:p>
        </w:tc>
        <w:tc>
          <w:tcPr>
            <w:tcW w:w="1444" w:type="dxa"/>
            <w:shd w:val="clear" w:color="auto" w:fill="auto"/>
            <w:hideMark/>
          </w:tcPr>
          <w:p w:rsidR="00C8402F" w:rsidRDefault="00C8402F" w:rsidP="00C8402F">
            <w:pPr>
              <w:jc w:val="right"/>
            </w:pPr>
            <w:r w:rsidRPr="00622112">
              <w:rPr>
                <w:sz w:val="24"/>
                <w:szCs w:val="24"/>
              </w:rPr>
              <w:t>0</w:t>
            </w:r>
          </w:p>
        </w:tc>
        <w:tc>
          <w:tcPr>
            <w:tcW w:w="1550" w:type="dxa"/>
            <w:shd w:val="clear" w:color="auto" w:fill="auto"/>
            <w:hideMark/>
          </w:tcPr>
          <w:p w:rsidR="00C8402F" w:rsidRDefault="00C8402F" w:rsidP="00C8402F">
            <w:pPr>
              <w:jc w:val="right"/>
            </w:pPr>
            <w:r w:rsidRPr="00622112">
              <w:rPr>
                <w:sz w:val="24"/>
                <w:szCs w:val="24"/>
              </w:rPr>
              <w:t>0</w:t>
            </w:r>
          </w:p>
        </w:tc>
      </w:tr>
      <w:tr w:rsidR="00C8402F" w:rsidRPr="00D1266B" w:rsidTr="00897266">
        <w:tc>
          <w:tcPr>
            <w:tcW w:w="2630" w:type="dxa"/>
            <w:shd w:val="clear" w:color="auto" w:fill="auto"/>
            <w:hideMark/>
          </w:tcPr>
          <w:p w:rsidR="00C8402F" w:rsidRPr="00D1266B" w:rsidRDefault="00C8402F" w:rsidP="00947C9D">
            <w:pPr>
              <w:rPr>
                <w:b/>
                <w:sz w:val="24"/>
                <w:szCs w:val="24"/>
              </w:rPr>
            </w:pPr>
            <w:r w:rsidRPr="00D1266B">
              <w:rPr>
                <w:b/>
                <w:sz w:val="24"/>
                <w:szCs w:val="24"/>
              </w:rPr>
              <w:t>2. Budžeta izdevumi:</w:t>
            </w:r>
          </w:p>
        </w:tc>
        <w:tc>
          <w:tcPr>
            <w:tcW w:w="1323" w:type="dxa"/>
            <w:shd w:val="clear" w:color="auto" w:fill="auto"/>
            <w:hideMark/>
          </w:tcPr>
          <w:p w:rsidR="00C8402F" w:rsidRPr="00D1266B" w:rsidRDefault="00C8402F" w:rsidP="00EC3CB7">
            <w:pPr>
              <w:jc w:val="right"/>
              <w:rPr>
                <w:b/>
                <w:sz w:val="24"/>
                <w:szCs w:val="24"/>
              </w:rPr>
            </w:pPr>
            <w:r w:rsidRPr="00D1266B">
              <w:rPr>
                <w:b/>
                <w:sz w:val="24"/>
                <w:szCs w:val="24"/>
              </w:rPr>
              <w:t xml:space="preserve">7 536 430 </w:t>
            </w:r>
          </w:p>
        </w:tc>
        <w:tc>
          <w:tcPr>
            <w:tcW w:w="1150" w:type="dxa"/>
            <w:shd w:val="clear" w:color="auto" w:fill="auto"/>
            <w:hideMark/>
          </w:tcPr>
          <w:p w:rsidR="00C8402F" w:rsidRPr="00D1266B" w:rsidRDefault="00C8402F" w:rsidP="00E87E4E">
            <w:pPr>
              <w:ind w:firstLine="14"/>
              <w:jc w:val="right"/>
              <w:rPr>
                <w:b/>
                <w:sz w:val="24"/>
                <w:szCs w:val="24"/>
              </w:rPr>
            </w:pPr>
            <w:r w:rsidRPr="00D1266B">
              <w:rPr>
                <w:b/>
                <w:sz w:val="24"/>
                <w:szCs w:val="24"/>
              </w:rPr>
              <w:t>0 </w:t>
            </w:r>
          </w:p>
        </w:tc>
        <w:tc>
          <w:tcPr>
            <w:tcW w:w="1443"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444"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550" w:type="dxa"/>
            <w:shd w:val="clear" w:color="auto" w:fill="auto"/>
            <w:hideMark/>
          </w:tcPr>
          <w:p w:rsidR="00C8402F" w:rsidRPr="00D1266B" w:rsidRDefault="00C8402F" w:rsidP="00E87E4E">
            <w:pPr>
              <w:ind w:firstLine="14"/>
              <w:jc w:val="right"/>
              <w:rPr>
                <w:b/>
                <w:sz w:val="24"/>
                <w:szCs w:val="24"/>
              </w:rPr>
            </w:pPr>
            <w:r>
              <w:rPr>
                <w:b/>
                <w:sz w:val="24"/>
                <w:szCs w:val="24"/>
              </w:rPr>
              <w:t>0</w:t>
            </w:r>
          </w:p>
        </w:tc>
      </w:tr>
      <w:tr w:rsidR="00C8402F" w:rsidRPr="00D1266B" w:rsidTr="00897266">
        <w:trPr>
          <w:trHeight w:val="227"/>
        </w:trPr>
        <w:tc>
          <w:tcPr>
            <w:tcW w:w="2630" w:type="dxa"/>
            <w:shd w:val="clear" w:color="auto" w:fill="auto"/>
            <w:hideMark/>
          </w:tcPr>
          <w:p w:rsidR="00C8402F" w:rsidRPr="00D1266B" w:rsidRDefault="00C8402F" w:rsidP="00947C9D">
            <w:pPr>
              <w:rPr>
                <w:sz w:val="24"/>
                <w:szCs w:val="24"/>
              </w:rPr>
            </w:pPr>
            <w:r w:rsidRPr="00D1266B">
              <w:rPr>
                <w:sz w:val="24"/>
                <w:szCs w:val="24"/>
              </w:rPr>
              <w:t>2.1. valsts pamatbudžets</w:t>
            </w:r>
          </w:p>
        </w:tc>
        <w:tc>
          <w:tcPr>
            <w:tcW w:w="1323" w:type="dxa"/>
            <w:shd w:val="clear" w:color="auto" w:fill="auto"/>
            <w:hideMark/>
          </w:tcPr>
          <w:p w:rsidR="00C8402F" w:rsidRPr="00D1266B" w:rsidRDefault="00C8402F" w:rsidP="00EC3CB7">
            <w:pPr>
              <w:jc w:val="right"/>
              <w:rPr>
                <w:sz w:val="24"/>
                <w:szCs w:val="24"/>
              </w:rPr>
            </w:pPr>
            <w:r w:rsidRPr="00D1266B">
              <w:rPr>
                <w:sz w:val="24"/>
                <w:szCs w:val="24"/>
              </w:rPr>
              <w:t xml:space="preserve">7 536 430 </w:t>
            </w:r>
          </w:p>
        </w:tc>
        <w:tc>
          <w:tcPr>
            <w:tcW w:w="1150" w:type="dxa"/>
            <w:shd w:val="clear" w:color="auto" w:fill="auto"/>
            <w:hideMark/>
          </w:tcPr>
          <w:p w:rsidR="00C8402F" w:rsidRDefault="00C8402F" w:rsidP="00E87E4E">
            <w:pPr>
              <w:jc w:val="right"/>
            </w:pPr>
            <w:r w:rsidRPr="00D8080B">
              <w:rPr>
                <w:sz w:val="24"/>
                <w:szCs w:val="24"/>
              </w:rPr>
              <w:t>0</w:t>
            </w:r>
          </w:p>
        </w:tc>
        <w:tc>
          <w:tcPr>
            <w:tcW w:w="1443" w:type="dxa"/>
            <w:shd w:val="clear" w:color="auto" w:fill="auto"/>
            <w:hideMark/>
          </w:tcPr>
          <w:p w:rsidR="00C8402F" w:rsidRDefault="00C8402F" w:rsidP="00E87E4E">
            <w:pPr>
              <w:jc w:val="right"/>
            </w:pPr>
            <w:r w:rsidRPr="00D8080B">
              <w:rPr>
                <w:sz w:val="24"/>
                <w:szCs w:val="24"/>
              </w:rPr>
              <w:t>0</w:t>
            </w:r>
          </w:p>
        </w:tc>
        <w:tc>
          <w:tcPr>
            <w:tcW w:w="1444" w:type="dxa"/>
            <w:shd w:val="clear" w:color="auto" w:fill="auto"/>
            <w:hideMark/>
          </w:tcPr>
          <w:p w:rsidR="00C8402F" w:rsidRDefault="00C8402F" w:rsidP="00E87E4E">
            <w:pPr>
              <w:jc w:val="right"/>
            </w:pPr>
            <w:r w:rsidRPr="00D8080B">
              <w:rPr>
                <w:sz w:val="24"/>
                <w:szCs w:val="24"/>
              </w:rPr>
              <w:t>0</w:t>
            </w:r>
          </w:p>
        </w:tc>
        <w:tc>
          <w:tcPr>
            <w:tcW w:w="1550" w:type="dxa"/>
            <w:shd w:val="clear" w:color="auto" w:fill="auto"/>
            <w:hideMark/>
          </w:tcPr>
          <w:p w:rsidR="00C8402F" w:rsidRDefault="00C8402F" w:rsidP="00E87E4E">
            <w:pPr>
              <w:jc w:val="right"/>
            </w:pPr>
            <w:r w:rsidRPr="00D8080B">
              <w:rPr>
                <w:sz w:val="24"/>
                <w:szCs w:val="24"/>
              </w:rPr>
              <w:t>0</w:t>
            </w:r>
          </w:p>
        </w:tc>
      </w:tr>
      <w:tr w:rsidR="00C8402F" w:rsidRPr="00D1266B" w:rsidTr="00897266">
        <w:tc>
          <w:tcPr>
            <w:tcW w:w="2630" w:type="dxa"/>
            <w:shd w:val="clear" w:color="auto" w:fill="auto"/>
            <w:hideMark/>
          </w:tcPr>
          <w:p w:rsidR="00C8402F" w:rsidRPr="00D1266B" w:rsidRDefault="00C8402F" w:rsidP="00947C9D">
            <w:pPr>
              <w:rPr>
                <w:sz w:val="24"/>
                <w:szCs w:val="24"/>
              </w:rPr>
            </w:pPr>
            <w:r w:rsidRPr="00D1266B">
              <w:rPr>
                <w:sz w:val="24"/>
                <w:szCs w:val="24"/>
              </w:rPr>
              <w:t>2.2. valsts speciālais budžets</w:t>
            </w:r>
          </w:p>
        </w:tc>
        <w:tc>
          <w:tcPr>
            <w:tcW w:w="1323" w:type="dxa"/>
            <w:shd w:val="clear" w:color="auto" w:fill="auto"/>
            <w:hideMark/>
          </w:tcPr>
          <w:p w:rsidR="00C8402F" w:rsidRDefault="00C8402F" w:rsidP="00E87E4E">
            <w:pPr>
              <w:jc w:val="right"/>
            </w:pPr>
            <w:r w:rsidRPr="00D8080B">
              <w:rPr>
                <w:sz w:val="24"/>
                <w:szCs w:val="24"/>
              </w:rPr>
              <w:t>0</w:t>
            </w:r>
          </w:p>
        </w:tc>
        <w:tc>
          <w:tcPr>
            <w:tcW w:w="1150" w:type="dxa"/>
            <w:shd w:val="clear" w:color="auto" w:fill="auto"/>
            <w:hideMark/>
          </w:tcPr>
          <w:p w:rsidR="00C8402F" w:rsidRDefault="00C8402F" w:rsidP="00E87E4E">
            <w:pPr>
              <w:jc w:val="right"/>
            </w:pPr>
            <w:r w:rsidRPr="00D8080B">
              <w:rPr>
                <w:sz w:val="24"/>
                <w:szCs w:val="24"/>
              </w:rPr>
              <w:t>0</w:t>
            </w:r>
          </w:p>
        </w:tc>
        <w:tc>
          <w:tcPr>
            <w:tcW w:w="1443" w:type="dxa"/>
            <w:shd w:val="clear" w:color="auto" w:fill="auto"/>
            <w:hideMark/>
          </w:tcPr>
          <w:p w:rsidR="00C8402F" w:rsidRDefault="00C8402F" w:rsidP="00E87E4E">
            <w:pPr>
              <w:jc w:val="right"/>
            </w:pPr>
            <w:r w:rsidRPr="00D8080B">
              <w:rPr>
                <w:sz w:val="24"/>
                <w:szCs w:val="24"/>
              </w:rPr>
              <w:t>0</w:t>
            </w:r>
          </w:p>
        </w:tc>
        <w:tc>
          <w:tcPr>
            <w:tcW w:w="1444" w:type="dxa"/>
            <w:shd w:val="clear" w:color="auto" w:fill="auto"/>
            <w:hideMark/>
          </w:tcPr>
          <w:p w:rsidR="00C8402F" w:rsidRDefault="00C8402F" w:rsidP="00E87E4E">
            <w:pPr>
              <w:jc w:val="right"/>
            </w:pPr>
            <w:r w:rsidRPr="00D8080B">
              <w:rPr>
                <w:sz w:val="24"/>
                <w:szCs w:val="24"/>
              </w:rPr>
              <w:t>0</w:t>
            </w:r>
          </w:p>
        </w:tc>
        <w:tc>
          <w:tcPr>
            <w:tcW w:w="1550" w:type="dxa"/>
            <w:shd w:val="clear" w:color="auto" w:fill="auto"/>
            <w:hideMark/>
          </w:tcPr>
          <w:p w:rsidR="00C8402F" w:rsidRDefault="00C8402F" w:rsidP="00E87E4E">
            <w:pPr>
              <w:jc w:val="right"/>
            </w:pPr>
            <w:r w:rsidRPr="00D8080B">
              <w:rPr>
                <w:sz w:val="24"/>
                <w:szCs w:val="24"/>
              </w:rPr>
              <w:t>0</w:t>
            </w:r>
          </w:p>
        </w:tc>
      </w:tr>
      <w:tr w:rsidR="00C8402F" w:rsidRPr="00D1266B" w:rsidTr="00897266">
        <w:tc>
          <w:tcPr>
            <w:tcW w:w="2630" w:type="dxa"/>
            <w:shd w:val="clear" w:color="auto" w:fill="auto"/>
            <w:hideMark/>
          </w:tcPr>
          <w:p w:rsidR="00C8402F" w:rsidRPr="00D1266B" w:rsidRDefault="00C8402F" w:rsidP="00947C9D">
            <w:pPr>
              <w:rPr>
                <w:sz w:val="24"/>
                <w:szCs w:val="24"/>
              </w:rPr>
            </w:pPr>
            <w:r w:rsidRPr="00D1266B">
              <w:rPr>
                <w:sz w:val="24"/>
                <w:szCs w:val="24"/>
              </w:rPr>
              <w:t>2.3. pašvaldību budžets</w:t>
            </w:r>
          </w:p>
        </w:tc>
        <w:tc>
          <w:tcPr>
            <w:tcW w:w="1323" w:type="dxa"/>
            <w:shd w:val="clear" w:color="auto" w:fill="auto"/>
            <w:hideMark/>
          </w:tcPr>
          <w:p w:rsidR="00C8402F" w:rsidRDefault="00C8402F" w:rsidP="00E87E4E">
            <w:pPr>
              <w:jc w:val="right"/>
            </w:pPr>
            <w:r w:rsidRPr="00D8080B">
              <w:rPr>
                <w:sz w:val="24"/>
                <w:szCs w:val="24"/>
              </w:rPr>
              <w:t>0</w:t>
            </w:r>
          </w:p>
        </w:tc>
        <w:tc>
          <w:tcPr>
            <w:tcW w:w="1150" w:type="dxa"/>
            <w:shd w:val="clear" w:color="auto" w:fill="auto"/>
            <w:hideMark/>
          </w:tcPr>
          <w:p w:rsidR="00C8402F" w:rsidRDefault="00C8402F" w:rsidP="00E87E4E">
            <w:pPr>
              <w:jc w:val="right"/>
            </w:pPr>
            <w:r w:rsidRPr="00D8080B">
              <w:rPr>
                <w:sz w:val="24"/>
                <w:szCs w:val="24"/>
              </w:rPr>
              <w:t>0</w:t>
            </w:r>
          </w:p>
        </w:tc>
        <w:tc>
          <w:tcPr>
            <w:tcW w:w="1443" w:type="dxa"/>
            <w:shd w:val="clear" w:color="auto" w:fill="auto"/>
            <w:hideMark/>
          </w:tcPr>
          <w:p w:rsidR="00C8402F" w:rsidRDefault="00C8402F" w:rsidP="00E87E4E">
            <w:pPr>
              <w:jc w:val="right"/>
            </w:pPr>
            <w:r w:rsidRPr="00D8080B">
              <w:rPr>
                <w:sz w:val="24"/>
                <w:szCs w:val="24"/>
              </w:rPr>
              <w:t>0</w:t>
            </w:r>
          </w:p>
        </w:tc>
        <w:tc>
          <w:tcPr>
            <w:tcW w:w="1444" w:type="dxa"/>
            <w:shd w:val="clear" w:color="auto" w:fill="auto"/>
            <w:hideMark/>
          </w:tcPr>
          <w:p w:rsidR="00C8402F" w:rsidRDefault="00C8402F" w:rsidP="00E87E4E">
            <w:pPr>
              <w:jc w:val="right"/>
            </w:pPr>
            <w:r w:rsidRPr="00D8080B">
              <w:rPr>
                <w:sz w:val="24"/>
                <w:szCs w:val="24"/>
              </w:rPr>
              <w:t>0</w:t>
            </w:r>
          </w:p>
        </w:tc>
        <w:tc>
          <w:tcPr>
            <w:tcW w:w="1550" w:type="dxa"/>
            <w:shd w:val="clear" w:color="auto" w:fill="auto"/>
            <w:hideMark/>
          </w:tcPr>
          <w:p w:rsidR="00C8402F" w:rsidRDefault="00C8402F" w:rsidP="00E87E4E">
            <w:pPr>
              <w:jc w:val="right"/>
            </w:pPr>
            <w:r w:rsidRPr="00D8080B">
              <w:rPr>
                <w:sz w:val="24"/>
                <w:szCs w:val="24"/>
              </w:rPr>
              <w:t>0</w:t>
            </w:r>
          </w:p>
        </w:tc>
      </w:tr>
      <w:tr w:rsidR="00C8402F" w:rsidRPr="00D1266B" w:rsidTr="00897266">
        <w:tc>
          <w:tcPr>
            <w:tcW w:w="2630" w:type="dxa"/>
            <w:shd w:val="clear" w:color="auto" w:fill="auto"/>
            <w:hideMark/>
          </w:tcPr>
          <w:p w:rsidR="00C8402F" w:rsidRPr="00D1266B" w:rsidRDefault="00C8402F" w:rsidP="00947C9D">
            <w:pPr>
              <w:rPr>
                <w:b/>
                <w:sz w:val="24"/>
                <w:szCs w:val="24"/>
              </w:rPr>
            </w:pPr>
            <w:r w:rsidRPr="00D1266B">
              <w:rPr>
                <w:b/>
                <w:sz w:val="24"/>
                <w:szCs w:val="24"/>
              </w:rPr>
              <w:t>3. Finansiālā ietekme:</w:t>
            </w:r>
          </w:p>
        </w:tc>
        <w:tc>
          <w:tcPr>
            <w:tcW w:w="1323"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150"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443"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444"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550" w:type="dxa"/>
            <w:shd w:val="clear" w:color="auto" w:fill="auto"/>
            <w:hideMark/>
          </w:tcPr>
          <w:p w:rsidR="00C8402F" w:rsidRPr="00D1266B" w:rsidRDefault="00C8402F" w:rsidP="00E87E4E">
            <w:pPr>
              <w:ind w:firstLine="14"/>
              <w:jc w:val="right"/>
              <w:rPr>
                <w:b/>
                <w:sz w:val="24"/>
                <w:szCs w:val="24"/>
              </w:rPr>
            </w:pPr>
            <w:r>
              <w:rPr>
                <w:b/>
                <w:sz w:val="24"/>
                <w:szCs w:val="24"/>
              </w:rPr>
              <w:t>0</w:t>
            </w:r>
          </w:p>
        </w:tc>
      </w:tr>
      <w:tr w:rsidR="00C8402F" w:rsidRPr="00D1266B" w:rsidTr="00897266">
        <w:tc>
          <w:tcPr>
            <w:tcW w:w="2630" w:type="dxa"/>
            <w:shd w:val="clear" w:color="auto" w:fill="auto"/>
            <w:hideMark/>
          </w:tcPr>
          <w:p w:rsidR="00C8402F" w:rsidRPr="00D1266B" w:rsidRDefault="00C8402F" w:rsidP="00947C9D">
            <w:pPr>
              <w:rPr>
                <w:sz w:val="24"/>
                <w:szCs w:val="24"/>
              </w:rPr>
            </w:pPr>
            <w:r w:rsidRPr="00D1266B">
              <w:rPr>
                <w:sz w:val="24"/>
                <w:szCs w:val="24"/>
              </w:rPr>
              <w:t>3.1. valsts pamatbudžets</w:t>
            </w:r>
          </w:p>
        </w:tc>
        <w:tc>
          <w:tcPr>
            <w:tcW w:w="1323" w:type="dxa"/>
            <w:shd w:val="clear" w:color="auto" w:fill="auto"/>
            <w:hideMark/>
          </w:tcPr>
          <w:p w:rsidR="00C8402F" w:rsidRPr="00C8402F" w:rsidRDefault="00C8402F" w:rsidP="00C8402F">
            <w:pPr>
              <w:jc w:val="right"/>
              <w:rPr>
                <w:sz w:val="24"/>
                <w:szCs w:val="24"/>
              </w:rPr>
            </w:pPr>
            <w:r w:rsidRPr="00A520CA">
              <w:rPr>
                <w:sz w:val="24"/>
                <w:szCs w:val="24"/>
              </w:rPr>
              <w:t>0</w:t>
            </w:r>
          </w:p>
        </w:tc>
        <w:tc>
          <w:tcPr>
            <w:tcW w:w="1150" w:type="dxa"/>
            <w:shd w:val="clear" w:color="auto" w:fill="auto"/>
            <w:hideMark/>
          </w:tcPr>
          <w:p w:rsidR="00C8402F" w:rsidRPr="00C8402F" w:rsidRDefault="00C8402F" w:rsidP="00C8402F">
            <w:pPr>
              <w:jc w:val="right"/>
              <w:rPr>
                <w:sz w:val="24"/>
                <w:szCs w:val="24"/>
              </w:rPr>
            </w:pPr>
            <w:r w:rsidRPr="00A520CA">
              <w:rPr>
                <w:sz w:val="24"/>
                <w:szCs w:val="24"/>
              </w:rPr>
              <w:t>0</w:t>
            </w:r>
          </w:p>
        </w:tc>
        <w:tc>
          <w:tcPr>
            <w:tcW w:w="1443" w:type="dxa"/>
            <w:shd w:val="clear" w:color="auto" w:fill="auto"/>
            <w:hideMark/>
          </w:tcPr>
          <w:p w:rsidR="00C8402F" w:rsidRPr="00C8402F" w:rsidRDefault="00C8402F" w:rsidP="00C8402F">
            <w:pPr>
              <w:jc w:val="right"/>
              <w:rPr>
                <w:sz w:val="24"/>
                <w:szCs w:val="24"/>
              </w:rPr>
            </w:pPr>
            <w:r w:rsidRPr="00A520CA">
              <w:rPr>
                <w:sz w:val="24"/>
                <w:szCs w:val="24"/>
              </w:rPr>
              <w:t>0</w:t>
            </w:r>
          </w:p>
        </w:tc>
        <w:tc>
          <w:tcPr>
            <w:tcW w:w="1444" w:type="dxa"/>
            <w:shd w:val="clear" w:color="auto" w:fill="auto"/>
            <w:hideMark/>
          </w:tcPr>
          <w:p w:rsidR="00C8402F" w:rsidRPr="00C8402F" w:rsidRDefault="00C8402F" w:rsidP="00C8402F">
            <w:pPr>
              <w:jc w:val="right"/>
              <w:rPr>
                <w:sz w:val="24"/>
                <w:szCs w:val="24"/>
              </w:rPr>
            </w:pPr>
            <w:r w:rsidRPr="00A520CA">
              <w:rPr>
                <w:sz w:val="24"/>
                <w:szCs w:val="24"/>
              </w:rPr>
              <w:t>0</w:t>
            </w:r>
          </w:p>
        </w:tc>
        <w:tc>
          <w:tcPr>
            <w:tcW w:w="1550" w:type="dxa"/>
            <w:shd w:val="clear" w:color="auto" w:fill="auto"/>
            <w:hideMark/>
          </w:tcPr>
          <w:p w:rsidR="00C8402F" w:rsidRPr="00C8402F" w:rsidRDefault="00C8402F" w:rsidP="00C8402F">
            <w:pPr>
              <w:jc w:val="right"/>
              <w:rPr>
                <w:sz w:val="24"/>
                <w:szCs w:val="24"/>
              </w:rPr>
            </w:pPr>
            <w:r w:rsidRPr="00A520CA">
              <w:rPr>
                <w:sz w:val="24"/>
                <w:szCs w:val="24"/>
              </w:rPr>
              <w:t>0</w:t>
            </w:r>
          </w:p>
        </w:tc>
      </w:tr>
      <w:tr w:rsidR="00C8402F" w:rsidRPr="00D1266B" w:rsidTr="00897266">
        <w:tc>
          <w:tcPr>
            <w:tcW w:w="2630" w:type="dxa"/>
            <w:shd w:val="clear" w:color="auto" w:fill="auto"/>
            <w:hideMark/>
          </w:tcPr>
          <w:p w:rsidR="00C8402F" w:rsidRPr="00D1266B" w:rsidRDefault="00C8402F" w:rsidP="00947C9D">
            <w:pPr>
              <w:rPr>
                <w:sz w:val="24"/>
                <w:szCs w:val="24"/>
              </w:rPr>
            </w:pPr>
            <w:r w:rsidRPr="00D1266B">
              <w:rPr>
                <w:sz w:val="24"/>
                <w:szCs w:val="24"/>
              </w:rPr>
              <w:t>3.2. speciālais budžets</w:t>
            </w:r>
          </w:p>
        </w:tc>
        <w:tc>
          <w:tcPr>
            <w:tcW w:w="1323" w:type="dxa"/>
            <w:shd w:val="clear" w:color="auto" w:fill="auto"/>
            <w:hideMark/>
          </w:tcPr>
          <w:p w:rsidR="00C8402F" w:rsidRPr="00C8402F" w:rsidRDefault="00C8402F" w:rsidP="00C8402F">
            <w:pPr>
              <w:jc w:val="right"/>
              <w:rPr>
                <w:sz w:val="24"/>
                <w:szCs w:val="24"/>
              </w:rPr>
            </w:pPr>
            <w:r w:rsidRPr="00A520CA">
              <w:rPr>
                <w:sz w:val="24"/>
                <w:szCs w:val="24"/>
              </w:rPr>
              <w:t>0</w:t>
            </w:r>
          </w:p>
        </w:tc>
        <w:tc>
          <w:tcPr>
            <w:tcW w:w="1150" w:type="dxa"/>
            <w:shd w:val="clear" w:color="auto" w:fill="auto"/>
            <w:hideMark/>
          </w:tcPr>
          <w:p w:rsidR="00C8402F" w:rsidRPr="00C8402F" w:rsidRDefault="00C8402F" w:rsidP="00C8402F">
            <w:pPr>
              <w:jc w:val="right"/>
              <w:rPr>
                <w:sz w:val="24"/>
                <w:szCs w:val="24"/>
              </w:rPr>
            </w:pPr>
            <w:r w:rsidRPr="00A520CA">
              <w:rPr>
                <w:sz w:val="24"/>
                <w:szCs w:val="24"/>
              </w:rPr>
              <w:t>0</w:t>
            </w:r>
          </w:p>
        </w:tc>
        <w:tc>
          <w:tcPr>
            <w:tcW w:w="1443" w:type="dxa"/>
            <w:shd w:val="clear" w:color="auto" w:fill="auto"/>
            <w:hideMark/>
          </w:tcPr>
          <w:p w:rsidR="00C8402F" w:rsidRPr="00C8402F" w:rsidRDefault="00C8402F" w:rsidP="00C8402F">
            <w:pPr>
              <w:jc w:val="right"/>
              <w:rPr>
                <w:sz w:val="24"/>
                <w:szCs w:val="24"/>
              </w:rPr>
            </w:pPr>
            <w:r w:rsidRPr="00A520CA">
              <w:rPr>
                <w:sz w:val="24"/>
                <w:szCs w:val="24"/>
              </w:rPr>
              <w:t>0</w:t>
            </w:r>
          </w:p>
        </w:tc>
        <w:tc>
          <w:tcPr>
            <w:tcW w:w="1444" w:type="dxa"/>
            <w:shd w:val="clear" w:color="auto" w:fill="auto"/>
            <w:hideMark/>
          </w:tcPr>
          <w:p w:rsidR="00C8402F" w:rsidRPr="00C8402F" w:rsidRDefault="00C8402F" w:rsidP="00C8402F">
            <w:pPr>
              <w:jc w:val="right"/>
              <w:rPr>
                <w:sz w:val="24"/>
                <w:szCs w:val="24"/>
              </w:rPr>
            </w:pPr>
            <w:r w:rsidRPr="00A520CA">
              <w:rPr>
                <w:sz w:val="24"/>
                <w:szCs w:val="24"/>
              </w:rPr>
              <w:t>0</w:t>
            </w:r>
          </w:p>
        </w:tc>
        <w:tc>
          <w:tcPr>
            <w:tcW w:w="1550" w:type="dxa"/>
            <w:shd w:val="clear" w:color="auto" w:fill="auto"/>
            <w:hideMark/>
          </w:tcPr>
          <w:p w:rsidR="00C8402F" w:rsidRPr="00C8402F" w:rsidRDefault="00C8402F" w:rsidP="00C8402F">
            <w:pPr>
              <w:jc w:val="right"/>
              <w:rPr>
                <w:sz w:val="24"/>
                <w:szCs w:val="24"/>
              </w:rPr>
            </w:pPr>
            <w:r w:rsidRPr="00A520CA">
              <w:rPr>
                <w:sz w:val="24"/>
                <w:szCs w:val="24"/>
              </w:rPr>
              <w:t>0</w:t>
            </w:r>
          </w:p>
        </w:tc>
      </w:tr>
      <w:tr w:rsidR="00C8402F" w:rsidRPr="00D1266B" w:rsidTr="00897266">
        <w:tc>
          <w:tcPr>
            <w:tcW w:w="2630" w:type="dxa"/>
            <w:shd w:val="clear" w:color="auto" w:fill="auto"/>
            <w:hideMark/>
          </w:tcPr>
          <w:p w:rsidR="00C8402F" w:rsidRPr="00D1266B" w:rsidRDefault="00C8402F" w:rsidP="00947C9D">
            <w:pPr>
              <w:rPr>
                <w:sz w:val="24"/>
                <w:szCs w:val="24"/>
              </w:rPr>
            </w:pPr>
            <w:r w:rsidRPr="00D1266B">
              <w:rPr>
                <w:sz w:val="24"/>
                <w:szCs w:val="24"/>
              </w:rPr>
              <w:t>3.3. pašvaldību budžets</w:t>
            </w:r>
          </w:p>
        </w:tc>
        <w:tc>
          <w:tcPr>
            <w:tcW w:w="1323" w:type="dxa"/>
            <w:shd w:val="clear" w:color="auto" w:fill="auto"/>
            <w:hideMark/>
          </w:tcPr>
          <w:p w:rsidR="00C8402F" w:rsidRPr="00C8402F" w:rsidRDefault="00C8402F" w:rsidP="00C8402F">
            <w:pPr>
              <w:jc w:val="right"/>
              <w:rPr>
                <w:sz w:val="24"/>
                <w:szCs w:val="24"/>
              </w:rPr>
            </w:pPr>
            <w:r w:rsidRPr="00A520CA">
              <w:rPr>
                <w:sz w:val="24"/>
                <w:szCs w:val="24"/>
              </w:rPr>
              <w:t>0</w:t>
            </w:r>
          </w:p>
        </w:tc>
        <w:tc>
          <w:tcPr>
            <w:tcW w:w="1150" w:type="dxa"/>
            <w:shd w:val="clear" w:color="auto" w:fill="auto"/>
            <w:hideMark/>
          </w:tcPr>
          <w:p w:rsidR="00C8402F" w:rsidRPr="00C8402F" w:rsidRDefault="00C8402F" w:rsidP="00C8402F">
            <w:pPr>
              <w:jc w:val="right"/>
              <w:rPr>
                <w:sz w:val="24"/>
                <w:szCs w:val="24"/>
              </w:rPr>
            </w:pPr>
            <w:r w:rsidRPr="00A520CA">
              <w:rPr>
                <w:sz w:val="24"/>
                <w:szCs w:val="24"/>
              </w:rPr>
              <w:t>0</w:t>
            </w:r>
          </w:p>
        </w:tc>
        <w:tc>
          <w:tcPr>
            <w:tcW w:w="1443" w:type="dxa"/>
            <w:shd w:val="clear" w:color="auto" w:fill="auto"/>
            <w:hideMark/>
          </w:tcPr>
          <w:p w:rsidR="00C8402F" w:rsidRPr="00C8402F" w:rsidRDefault="00C8402F" w:rsidP="00C8402F">
            <w:pPr>
              <w:jc w:val="right"/>
              <w:rPr>
                <w:sz w:val="24"/>
                <w:szCs w:val="24"/>
              </w:rPr>
            </w:pPr>
            <w:r w:rsidRPr="00A520CA">
              <w:rPr>
                <w:sz w:val="24"/>
                <w:szCs w:val="24"/>
              </w:rPr>
              <w:t>0</w:t>
            </w:r>
          </w:p>
        </w:tc>
        <w:tc>
          <w:tcPr>
            <w:tcW w:w="1444" w:type="dxa"/>
            <w:shd w:val="clear" w:color="auto" w:fill="auto"/>
            <w:hideMark/>
          </w:tcPr>
          <w:p w:rsidR="00C8402F" w:rsidRPr="00C8402F" w:rsidRDefault="00C8402F" w:rsidP="00C8402F">
            <w:pPr>
              <w:jc w:val="right"/>
              <w:rPr>
                <w:sz w:val="24"/>
                <w:szCs w:val="24"/>
              </w:rPr>
            </w:pPr>
            <w:r w:rsidRPr="00A520CA">
              <w:rPr>
                <w:sz w:val="24"/>
                <w:szCs w:val="24"/>
              </w:rPr>
              <w:t>0</w:t>
            </w:r>
          </w:p>
        </w:tc>
        <w:tc>
          <w:tcPr>
            <w:tcW w:w="1550" w:type="dxa"/>
            <w:shd w:val="clear" w:color="auto" w:fill="auto"/>
            <w:hideMark/>
          </w:tcPr>
          <w:p w:rsidR="00C8402F" w:rsidRPr="00C8402F" w:rsidRDefault="00C8402F" w:rsidP="00C8402F">
            <w:pPr>
              <w:jc w:val="right"/>
              <w:rPr>
                <w:sz w:val="24"/>
                <w:szCs w:val="24"/>
              </w:rPr>
            </w:pPr>
            <w:r w:rsidRPr="00A520CA">
              <w:rPr>
                <w:sz w:val="24"/>
                <w:szCs w:val="24"/>
              </w:rPr>
              <w:t>0</w:t>
            </w:r>
          </w:p>
        </w:tc>
      </w:tr>
      <w:tr w:rsidR="00C8402F" w:rsidRPr="00D1266B" w:rsidTr="00897266">
        <w:tc>
          <w:tcPr>
            <w:tcW w:w="2630" w:type="dxa"/>
            <w:vMerge w:val="restart"/>
            <w:shd w:val="clear" w:color="auto" w:fill="auto"/>
            <w:hideMark/>
          </w:tcPr>
          <w:p w:rsidR="00C8402F" w:rsidRPr="00D1266B" w:rsidRDefault="00C8402F" w:rsidP="00947C9D">
            <w:pPr>
              <w:rPr>
                <w:sz w:val="24"/>
                <w:szCs w:val="24"/>
              </w:rPr>
            </w:pPr>
            <w:r w:rsidRPr="00D1266B">
              <w:rPr>
                <w:b/>
                <w:sz w:val="24"/>
                <w:szCs w:val="24"/>
              </w:rPr>
              <w:t>4. Finanšu līdzekļi papildu izdevumu finansēšanai</w:t>
            </w:r>
            <w:r w:rsidRPr="00D1266B">
              <w:rPr>
                <w:sz w:val="24"/>
                <w:szCs w:val="24"/>
              </w:rPr>
              <w:t xml:space="preserve"> </w:t>
            </w:r>
            <w:r w:rsidRPr="00D1266B">
              <w:rPr>
                <w:sz w:val="24"/>
                <w:szCs w:val="24"/>
              </w:rPr>
              <w:lastRenderedPageBreak/>
              <w:t>(kompensējošu izdevumu samazinājumu norāda ar "+" zīmi)</w:t>
            </w:r>
          </w:p>
        </w:tc>
        <w:tc>
          <w:tcPr>
            <w:tcW w:w="1323" w:type="dxa"/>
            <w:vMerge w:val="restart"/>
            <w:shd w:val="clear" w:color="auto" w:fill="auto"/>
            <w:hideMark/>
          </w:tcPr>
          <w:p w:rsidR="00C8402F" w:rsidRPr="00D1266B" w:rsidRDefault="00C8402F" w:rsidP="00947C9D">
            <w:pPr>
              <w:ind w:firstLine="300"/>
              <w:jc w:val="center"/>
              <w:rPr>
                <w:sz w:val="24"/>
                <w:szCs w:val="24"/>
              </w:rPr>
            </w:pPr>
            <w:r w:rsidRPr="00D1266B">
              <w:rPr>
                <w:sz w:val="24"/>
                <w:szCs w:val="24"/>
              </w:rPr>
              <w:lastRenderedPageBreak/>
              <w:t>X</w:t>
            </w:r>
          </w:p>
        </w:tc>
        <w:tc>
          <w:tcPr>
            <w:tcW w:w="1150"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443"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444"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550" w:type="dxa"/>
            <w:shd w:val="clear" w:color="auto" w:fill="auto"/>
            <w:hideMark/>
          </w:tcPr>
          <w:p w:rsidR="00C8402F" w:rsidRPr="00D1266B" w:rsidRDefault="00C8402F" w:rsidP="00E87E4E">
            <w:pPr>
              <w:ind w:firstLine="14"/>
              <w:jc w:val="right"/>
              <w:rPr>
                <w:b/>
                <w:sz w:val="24"/>
                <w:szCs w:val="24"/>
              </w:rPr>
            </w:pPr>
            <w:r>
              <w:rPr>
                <w:b/>
                <w:sz w:val="24"/>
                <w:szCs w:val="24"/>
              </w:rPr>
              <w:t>0</w:t>
            </w:r>
          </w:p>
        </w:tc>
      </w:tr>
      <w:tr w:rsidR="00C8402F" w:rsidRPr="00D1266B" w:rsidTr="00897266">
        <w:tc>
          <w:tcPr>
            <w:tcW w:w="2630" w:type="dxa"/>
            <w:vMerge/>
            <w:shd w:val="clear" w:color="auto" w:fill="auto"/>
            <w:hideMark/>
          </w:tcPr>
          <w:p w:rsidR="00C8402F" w:rsidRPr="00D1266B" w:rsidRDefault="00C8402F" w:rsidP="00947C9D">
            <w:pPr>
              <w:rPr>
                <w:sz w:val="24"/>
                <w:szCs w:val="24"/>
              </w:rPr>
            </w:pPr>
          </w:p>
        </w:tc>
        <w:tc>
          <w:tcPr>
            <w:tcW w:w="1323" w:type="dxa"/>
            <w:vMerge/>
            <w:shd w:val="clear" w:color="auto" w:fill="auto"/>
            <w:hideMark/>
          </w:tcPr>
          <w:p w:rsidR="00C8402F" w:rsidRPr="00D1266B" w:rsidRDefault="00C8402F" w:rsidP="00947C9D">
            <w:pPr>
              <w:rPr>
                <w:sz w:val="24"/>
                <w:szCs w:val="24"/>
              </w:rPr>
            </w:pPr>
          </w:p>
        </w:tc>
        <w:tc>
          <w:tcPr>
            <w:tcW w:w="1150"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443"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444"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550" w:type="dxa"/>
            <w:shd w:val="clear" w:color="auto" w:fill="auto"/>
            <w:hideMark/>
          </w:tcPr>
          <w:p w:rsidR="00C8402F" w:rsidRPr="00C8402F" w:rsidRDefault="00C8402F" w:rsidP="00E87E4E">
            <w:pPr>
              <w:jc w:val="right"/>
              <w:rPr>
                <w:sz w:val="24"/>
                <w:szCs w:val="24"/>
              </w:rPr>
            </w:pPr>
            <w:r w:rsidRPr="00A520CA">
              <w:rPr>
                <w:sz w:val="24"/>
                <w:szCs w:val="24"/>
              </w:rPr>
              <w:t>0</w:t>
            </w:r>
          </w:p>
        </w:tc>
      </w:tr>
      <w:tr w:rsidR="00C8402F" w:rsidRPr="00D1266B" w:rsidTr="00897266">
        <w:trPr>
          <w:trHeight w:val="486"/>
        </w:trPr>
        <w:tc>
          <w:tcPr>
            <w:tcW w:w="2630" w:type="dxa"/>
            <w:vMerge/>
            <w:shd w:val="clear" w:color="auto" w:fill="auto"/>
            <w:hideMark/>
          </w:tcPr>
          <w:p w:rsidR="00C8402F" w:rsidRPr="00D1266B" w:rsidRDefault="00C8402F" w:rsidP="00947C9D">
            <w:pPr>
              <w:rPr>
                <w:sz w:val="24"/>
                <w:szCs w:val="24"/>
              </w:rPr>
            </w:pPr>
          </w:p>
        </w:tc>
        <w:tc>
          <w:tcPr>
            <w:tcW w:w="1323" w:type="dxa"/>
            <w:vMerge/>
            <w:shd w:val="clear" w:color="auto" w:fill="auto"/>
            <w:hideMark/>
          </w:tcPr>
          <w:p w:rsidR="00C8402F" w:rsidRPr="00D1266B" w:rsidRDefault="00C8402F" w:rsidP="00947C9D">
            <w:pPr>
              <w:rPr>
                <w:sz w:val="24"/>
                <w:szCs w:val="24"/>
              </w:rPr>
            </w:pPr>
          </w:p>
        </w:tc>
        <w:tc>
          <w:tcPr>
            <w:tcW w:w="1150"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443"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444"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550" w:type="dxa"/>
            <w:shd w:val="clear" w:color="auto" w:fill="auto"/>
            <w:hideMark/>
          </w:tcPr>
          <w:p w:rsidR="00C8402F" w:rsidRPr="00C8402F" w:rsidRDefault="00C8402F" w:rsidP="00E87E4E">
            <w:pPr>
              <w:jc w:val="right"/>
              <w:rPr>
                <w:sz w:val="24"/>
                <w:szCs w:val="24"/>
              </w:rPr>
            </w:pPr>
            <w:r w:rsidRPr="00A520CA">
              <w:rPr>
                <w:sz w:val="24"/>
                <w:szCs w:val="24"/>
              </w:rPr>
              <w:t>0</w:t>
            </w:r>
          </w:p>
        </w:tc>
      </w:tr>
      <w:tr w:rsidR="00C8402F" w:rsidRPr="00D1266B" w:rsidTr="00897266">
        <w:tc>
          <w:tcPr>
            <w:tcW w:w="2630" w:type="dxa"/>
            <w:shd w:val="clear" w:color="auto" w:fill="auto"/>
            <w:hideMark/>
          </w:tcPr>
          <w:p w:rsidR="00C8402F" w:rsidRPr="00D1266B" w:rsidRDefault="00C8402F" w:rsidP="00947C9D">
            <w:pPr>
              <w:rPr>
                <w:b/>
                <w:sz w:val="24"/>
                <w:szCs w:val="24"/>
              </w:rPr>
            </w:pPr>
            <w:r w:rsidRPr="00D1266B">
              <w:rPr>
                <w:b/>
                <w:sz w:val="24"/>
                <w:szCs w:val="24"/>
              </w:rPr>
              <w:lastRenderedPageBreak/>
              <w:t>5. Precizēta finansiālā ietekme:</w:t>
            </w:r>
          </w:p>
        </w:tc>
        <w:tc>
          <w:tcPr>
            <w:tcW w:w="1323" w:type="dxa"/>
            <w:vMerge w:val="restart"/>
            <w:shd w:val="clear" w:color="auto" w:fill="auto"/>
            <w:hideMark/>
          </w:tcPr>
          <w:p w:rsidR="00C8402F" w:rsidRPr="00D1266B" w:rsidRDefault="00C8402F" w:rsidP="00947C9D">
            <w:pPr>
              <w:ind w:firstLine="300"/>
              <w:jc w:val="center"/>
              <w:rPr>
                <w:sz w:val="24"/>
                <w:szCs w:val="24"/>
              </w:rPr>
            </w:pPr>
            <w:r w:rsidRPr="00D1266B">
              <w:rPr>
                <w:sz w:val="24"/>
                <w:szCs w:val="24"/>
              </w:rPr>
              <w:t>X</w:t>
            </w:r>
          </w:p>
        </w:tc>
        <w:tc>
          <w:tcPr>
            <w:tcW w:w="1150"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443"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444" w:type="dxa"/>
            <w:shd w:val="clear" w:color="auto" w:fill="auto"/>
            <w:hideMark/>
          </w:tcPr>
          <w:p w:rsidR="00C8402F" w:rsidRPr="00D1266B" w:rsidRDefault="00C8402F" w:rsidP="00E87E4E">
            <w:pPr>
              <w:ind w:firstLine="14"/>
              <w:jc w:val="right"/>
              <w:rPr>
                <w:b/>
                <w:sz w:val="24"/>
                <w:szCs w:val="24"/>
              </w:rPr>
            </w:pPr>
            <w:r>
              <w:rPr>
                <w:b/>
                <w:sz w:val="24"/>
                <w:szCs w:val="24"/>
              </w:rPr>
              <w:t>0</w:t>
            </w:r>
          </w:p>
        </w:tc>
        <w:tc>
          <w:tcPr>
            <w:tcW w:w="1550" w:type="dxa"/>
            <w:shd w:val="clear" w:color="auto" w:fill="auto"/>
            <w:hideMark/>
          </w:tcPr>
          <w:p w:rsidR="00C8402F" w:rsidRPr="00D1266B" w:rsidRDefault="00C8402F" w:rsidP="00E87E4E">
            <w:pPr>
              <w:ind w:firstLine="14"/>
              <w:jc w:val="right"/>
              <w:rPr>
                <w:b/>
                <w:sz w:val="24"/>
                <w:szCs w:val="24"/>
              </w:rPr>
            </w:pPr>
            <w:r>
              <w:rPr>
                <w:b/>
                <w:sz w:val="24"/>
                <w:szCs w:val="24"/>
              </w:rPr>
              <w:t>0</w:t>
            </w:r>
          </w:p>
        </w:tc>
      </w:tr>
      <w:tr w:rsidR="00C8402F" w:rsidRPr="00D1266B" w:rsidTr="00897266">
        <w:trPr>
          <w:trHeight w:val="170"/>
        </w:trPr>
        <w:tc>
          <w:tcPr>
            <w:tcW w:w="2630" w:type="dxa"/>
            <w:shd w:val="clear" w:color="auto" w:fill="auto"/>
            <w:hideMark/>
          </w:tcPr>
          <w:p w:rsidR="00C8402F" w:rsidRPr="00D1266B" w:rsidRDefault="00C8402F" w:rsidP="00947C9D">
            <w:pPr>
              <w:rPr>
                <w:sz w:val="24"/>
                <w:szCs w:val="24"/>
              </w:rPr>
            </w:pPr>
            <w:r w:rsidRPr="00D1266B">
              <w:rPr>
                <w:sz w:val="24"/>
                <w:szCs w:val="24"/>
              </w:rPr>
              <w:t>5.1. valsts pamatbudžets</w:t>
            </w:r>
          </w:p>
        </w:tc>
        <w:tc>
          <w:tcPr>
            <w:tcW w:w="1323" w:type="dxa"/>
            <w:vMerge/>
            <w:shd w:val="clear" w:color="auto" w:fill="auto"/>
            <w:hideMark/>
          </w:tcPr>
          <w:p w:rsidR="00C8402F" w:rsidRPr="00D1266B" w:rsidRDefault="00C8402F" w:rsidP="00947C9D">
            <w:pPr>
              <w:rPr>
                <w:sz w:val="24"/>
                <w:szCs w:val="24"/>
              </w:rPr>
            </w:pPr>
          </w:p>
        </w:tc>
        <w:tc>
          <w:tcPr>
            <w:tcW w:w="1150"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443"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444"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550" w:type="dxa"/>
            <w:shd w:val="clear" w:color="auto" w:fill="auto"/>
            <w:hideMark/>
          </w:tcPr>
          <w:p w:rsidR="00C8402F" w:rsidRPr="00C8402F" w:rsidRDefault="00C8402F" w:rsidP="00E87E4E">
            <w:pPr>
              <w:jc w:val="right"/>
              <w:rPr>
                <w:sz w:val="24"/>
                <w:szCs w:val="24"/>
              </w:rPr>
            </w:pPr>
            <w:r w:rsidRPr="00A520CA">
              <w:rPr>
                <w:sz w:val="24"/>
                <w:szCs w:val="24"/>
              </w:rPr>
              <w:t>0</w:t>
            </w:r>
          </w:p>
        </w:tc>
      </w:tr>
      <w:tr w:rsidR="00C8402F" w:rsidRPr="00D1266B" w:rsidTr="00897266">
        <w:tc>
          <w:tcPr>
            <w:tcW w:w="2630" w:type="dxa"/>
            <w:shd w:val="clear" w:color="auto" w:fill="auto"/>
            <w:hideMark/>
          </w:tcPr>
          <w:p w:rsidR="00C8402F" w:rsidRPr="00D1266B" w:rsidRDefault="00C8402F" w:rsidP="00947C9D">
            <w:pPr>
              <w:rPr>
                <w:sz w:val="24"/>
                <w:szCs w:val="24"/>
              </w:rPr>
            </w:pPr>
            <w:r w:rsidRPr="00D1266B">
              <w:rPr>
                <w:sz w:val="24"/>
                <w:szCs w:val="24"/>
              </w:rPr>
              <w:t>5.2. speciālais budžets</w:t>
            </w:r>
          </w:p>
        </w:tc>
        <w:tc>
          <w:tcPr>
            <w:tcW w:w="1323" w:type="dxa"/>
            <w:vMerge/>
            <w:shd w:val="clear" w:color="auto" w:fill="auto"/>
            <w:hideMark/>
          </w:tcPr>
          <w:p w:rsidR="00C8402F" w:rsidRPr="00D1266B" w:rsidRDefault="00C8402F" w:rsidP="00947C9D">
            <w:pPr>
              <w:rPr>
                <w:sz w:val="24"/>
                <w:szCs w:val="24"/>
              </w:rPr>
            </w:pPr>
          </w:p>
        </w:tc>
        <w:tc>
          <w:tcPr>
            <w:tcW w:w="1150"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443"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444"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550" w:type="dxa"/>
            <w:shd w:val="clear" w:color="auto" w:fill="auto"/>
            <w:hideMark/>
          </w:tcPr>
          <w:p w:rsidR="00C8402F" w:rsidRPr="00C8402F" w:rsidRDefault="00C8402F" w:rsidP="00E87E4E">
            <w:pPr>
              <w:jc w:val="right"/>
              <w:rPr>
                <w:sz w:val="24"/>
                <w:szCs w:val="24"/>
              </w:rPr>
            </w:pPr>
            <w:r w:rsidRPr="00A520CA">
              <w:rPr>
                <w:sz w:val="24"/>
                <w:szCs w:val="24"/>
              </w:rPr>
              <w:t>0</w:t>
            </w:r>
          </w:p>
        </w:tc>
      </w:tr>
      <w:tr w:rsidR="00C8402F" w:rsidRPr="00D1266B" w:rsidTr="00897266">
        <w:tc>
          <w:tcPr>
            <w:tcW w:w="2630" w:type="dxa"/>
            <w:shd w:val="clear" w:color="auto" w:fill="auto"/>
            <w:hideMark/>
          </w:tcPr>
          <w:p w:rsidR="00C8402F" w:rsidRPr="00D1266B" w:rsidRDefault="00C8402F" w:rsidP="00947C9D">
            <w:pPr>
              <w:rPr>
                <w:sz w:val="24"/>
                <w:szCs w:val="24"/>
              </w:rPr>
            </w:pPr>
            <w:r w:rsidRPr="00D1266B">
              <w:rPr>
                <w:sz w:val="24"/>
                <w:szCs w:val="24"/>
              </w:rPr>
              <w:t>5.3. pašvaldību budžets</w:t>
            </w:r>
          </w:p>
        </w:tc>
        <w:tc>
          <w:tcPr>
            <w:tcW w:w="1323" w:type="dxa"/>
            <w:vMerge/>
            <w:shd w:val="clear" w:color="auto" w:fill="auto"/>
            <w:hideMark/>
          </w:tcPr>
          <w:p w:rsidR="00C8402F" w:rsidRPr="00D1266B" w:rsidRDefault="00C8402F" w:rsidP="00947C9D">
            <w:pPr>
              <w:rPr>
                <w:sz w:val="24"/>
                <w:szCs w:val="24"/>
              </w:rPr>
            </w:pPr>
          </w:p>
        </w:tc>
        <w:tc>
          <w:tcPr>
            <w:tcW w:w="1150"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443"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444" w:type="dxa"/>
            <w:shd w:val="clear" w:color="auto" w:fill="auto"/>
            <w:hideMark/>
          </w:tcPr>
          <w:p w:rsidR="00C8402F" w:rsidRPr="00C8402F" w:rsidRDefault="00C8402F" w:rsidP="00E87E4E">
            <w:pPr>
              <w:jc w:val="right"/>
              <w:rPr>
                <w:sz w:val="24"/>
                <w:szCs w:val="24"/>
              </w:rPr>
            </w:pPr>
            <w:r w:rsidRPr="00A520CA">
              <w:rPr>
                <w:sz w:val="24"/>
                <w:szCs w:val="24"/>
              </w:rPr>
              <w:t>0</w:t>
            </w:r>
          </w:p>
        </w:tc>
        <w:tc>
          <w:tcPr>
            <w:tcW w:w="1550" w:type="dxa"/>
            <w:shd w:val="clear" w:color="auto" w:fill="auto"/>
            <w:hideMark/>
          </w:tcPr>
          <w:p w:rsidR="00C8402F" w:rsidRPr="00C8402F" w:rsidRDefault="00C8402F" w:rsidP="00E87E4E">
            <w:pPr>
              <w:jc w:val="right"/>
              <w:rPr>
                <w:sz w:val="24"/>
                <w:szCs w:val="24"/>
              </w:rPr>
            </w:pPr>
            <w:r w:rsidRPr="00A520CA">
              <w:rPr>
                <w:sz w:val="24"/>
                <w:szCs w:val="24"/>
              </w:rPr>
              <w:t>0</w:t>
            </w:r>
          </w:p>
        </w:tc>
      </w:tr>
      <w:tr w:rsidR="00C8402F" w:rsidRPr="00D1266B" w:rsidTr="00897266">
        <w:tc>
          <w:tcPr>
            <w:tcW w:w="2630" w:type="dxa"/>
            <w:shd w:val="clear" w:color="auto" w:fill="auto"/>
            <w:hideMark/>
          </w:tcPr>
          <w:p w:rsidR="00C8402F" w:rsidRPr="00D1266B" w:rsidRDefault="00C8402F" w:rsidP="00947C9D">
            <w:pPr>
              <w:rPr>
                <w:noProof/>
                <w:sz w:val="24"/>
                <w:szCs w:val="24"/>
              </w:rPr>
            </w:pPr>
            <w:r w:rsidRPr="00D1266B">
              <w:rPr>
                <w:noProof/>
                <w:sz w:val="24"/>
                <w:szCs w:val="24"/>
              </w:rPr>
              <w:t>6. Detalizēts ieņēmumu un izdevumu aprēķins (ja nepieciešams, detalizētu ieņēmumu un izdevumu aprēķinu var pievienot anotācijas pielikumā):</w:t>
            </w:r>
          </w:p>
        </w:tc>
        <w:tc>
          <w:tcPr>
            <w:tcW w:w="6910" w:type="dxa"/>
            <w:gridSpan w:val="5"/>
            <w:vMerge w:val="restart"/>
            <w:shd w:val="clear" w:color="auto" w:fill="auto"/>
            <w:hideMark/>
          </w:tcPr>
          <w:p w:rsidR="00C8402F" w:rsidRPr="00D1266B" w:rsidRDefault="00C8402F" w:rsidP="00735D23">
            <w:pPr>
              <w:pStyle w:val="ListParagraph"/>
              <w:spacing w:before="120"/>
              <w:ind w:left="0"/>
              <w:contextualSpacing w:val="0"/>
              <w:jc w:val="both"/>
              <w:rPr>
                <w:noProof/>
                <w:sz w:val="24"/>
                <w:szCs w:val="24"/>
              </w:rPr>
            </w:pPr>
            <w:r w:rsidRPr="00D1266B">
              <w:rPr>
                <w:noProof/>
                <w:sz w:val="24"/>
                <w:szCs w:val="24"/>
              </w:rPr>
              <w:t>Saskaņā ar likumu „</w:t>
            </w:r>
            <w:r w:rsidRPr="00D87DB9">
              <w:rPr>
                <w:i/>
                <w:noProof/>
                <w:sz w:val="24"/>
                <w:szCs w:val="24"/>
              </w:rPr>
              <w:t>Par valsts budžetu 2015.gadam</w:t>
            </w:r>
            <w:r w:rsidRPr="00D1266B">
              <w:rPr>
                <w:noProof/>
                <w:sz w:val="24"/>
                <w:szCs w:val="24"/>
              </w:rPr>
              <w:t>” un likumu „</w:t>
            </w:r>
            <w:r w:rsidRPr="00D87DB9">
              <w:rPr>
                <w:i/>
                <w:noProof/>
                <w:sz w:val="24"/>
                <w:szCs w:val="24"/>
              </w:rPr>
              <w:t>Par vidēja termiņa budžeta ietvaru 2015., 2016. un 2017.gadam</w:t>
            </w:r>
            <w:r w:rsidRPr="00D1266B">
              <w:rPr>
                <w:noProof/>
                <w:sz w:val="24"/>
                <w:szCs w:val="24"/>
              </w:rPr>
              <w:t>” Veselības ministrijas pamatbudžeta apakšprogrammā 39.04.00 „</w:t>
            </w:r>
            <w:r w:rsidRPr="00D87DB9">
              <w:rPr>
                <w:i/>
                <w:noProof/>
                <w:sz w:val="24"/>
                <w:szCs w:val="24"/>
              </w:rPr>
              <w:t>Neatliekamā medicīniskā palīdzība</w:t>
            </w:r>
            <w:r w:rsidRPr="00D1266B">
              <w:rPr>
                <w:noProof/>
                <w:sz w:val="24"/>
                <w:szCs w:val="24"/>
              </w:rPr>
              <w:t>”</w:t>
            </w:r>
            <w:r>
              <w:rPr>
                <w:noProof/>
                <w:sz w:val="24"/>
                <w:szCs w:val="24"/>
              </w:rPr>
              <w:t xml:space="preserve">, ka arī ņemot vērā </w:t>
            </w:r>
            <w:r w:rsidRPr="00D1266B">
              <w:rPr>
                <w:noProof/>
                <w:sz w:val="24"/>
                <w:szCs w:val="24"/>
              </w:rPr>
              <w:t xml:space="preserve"> NMP dienesta plānotais finansējums OMT un tā vadītāju pakalpojumu nodrošināšanai NMPD RRC: </w:t>
            </w:r>
          </w:p>
          <w:p w:rsidR="00C8402F" w:rsidRPr="00D1266B" w:rsidRDefault="00C8402F" w:rsidP="00AF0B6E">
            <w:pPr>
              <w:numPr>
                <w:ilvl w:val="0"/>
                <w:numId w:val="3"/>
              </w:numPr>
              <w:ind w:left="425" w:hanging="357"/>
              <w:jc w:val="both"/>
              <w:rPr>
                <w:noProof/>
                <w:sz w:val="24"/>
                <w:szCs w:val="24"/>
              </w:rPr>
            </w:pPr>
            <w:r w:rsidRPr="00D1266B">
              <w:rPr>
                <w:noProof/>
                <w:sz w:val="24"/>
                <w:szCs w:val="24"/>
              </w:rPr>
              <w:t>2015.gadā – 7 536 430 </w:t>
            </w:r>
            <w:r w:rsidRPr="00D1266B">
              <w:rPr>
                <w:i/>
                <w:noProof/>
                <w:sz w:val="24"/>
                <w:szCs w:val="24"/>
              </w:rPr>
              <w:t>euro;</w:t>
            </w:r>
          </w:p>
          <w:p w:rsidR="00C8402F" w:rsidRPr="00D1266B" w:rsidRDefault="00C8402F" w:rsidP="00AF0B6E">
            <w:pPr>
              <w:numPr>
                <w:ilvl w:val="0"/>
                <w:numId w:val="3"/>
              </w:numPr>
              <w:ind w:left="425" w:hanging="357"/>
              <w:jc w:val="both"/>
              <w:rPr>
                <w:noProof/>
                <w:sz w:val="24"/>
                <w:szCs w:val="24"/>
              </w:rPr>
            </w:pPr>
            <w:r w:rsidRPr="00D1266B">
              <w:rPr>
                <w:noProof/>
                <w:sz w:val="24"/>
                <w:szCs w:val="24"/>
              </w:rPr>
              <w:t>2016.gadā – 7 536 430 </w:t>
            </w:r>
            <w:r w:rsidRPr="00D1266B">
              <w:rPr>
                <w:i/>
                <w:noProof/>
                <w:sz w:val="24"/>
                <w:szCs w:val="24"/>
              </w:rPr>
              <w:t>euro</w:t>
            </w:r>
            <w:r w:rsidRPr="00D1266B">
              <w:rPr>
                <w:noProof/>
                <w:sz w:val="24"/>
                <w:szCs w:val="24"/>
              </w:rPr>
              <w:t>;</w:t>
            </w:r>
          </w:p>
          <w:p w:rsidR="00C8402F" w:rsidRPr="00C8402F" w:rsidRDefault="00C8402F" w:rsidP="002622FB">
            <w:pPr>
              <w:numPr>
                <w:ilvl w:val="0"/>
                <w:numId w:val="3"/>
              </w:numPr>
              <w:ind w:left="425" w:hanging="357"/>
              <w:jc w:val="both"/>
              <w:rPr>
                <w:noProof/>
                <w:sz w:val="24"/>
                <w:szCs w:val="24"/>
              </w:rPr>
            </w:pPr>
            <w:r w:rsidRPr="00D1266B">
              <w:rPr>
                <w:noProof/>
                <w:sz w:val="24"/>
                <w:szCs w:val="24"/>
              </w:rPr>
              <w:t>2017.gadā – 7 536 430 </w:t>
            </w:r>
            <w:r w:rsidRPr="00D1266B">
              <w:rPr>
                <w:i/>
                <w:noProof/>
                <w:sz w:val="24"/>
                <w:szCs w:val="24"/>
              </w:rPr>
              <w:t>euro</w:t>
            </w:r>
            <w:r>
              <w:rPr>
                <w:i/>
                <w:noProof/>
                <w:sz w:val="24"/>
                <w:szCs w:val="24"/>
              </w:rPr>
              <w:t>;</w:t>
            </w:r>
          </w:p>
          <w:p w:rsidR="00C8402F" w:rsidRPr="00C8402F" w:rsidRDefault="00C8402F" w:rsidP="002622FB">
            <w:pPr>
              <w:numPr>
                <w:ilvl w:val="0"/>
                <w:numId w:val="3"/>
              </w:numPr>
              <w:ind w:left="425" w:hanging="357"/>
              <w:jc w:val="both"/>
              <w:rPr>
                <w:noProof/>
                <w:sz w:val="24"/>
                <w:szCs w:val="24"/>
              </w:rPr>
            </w:pPr>
            <w:r>
              <w:rPr>
                <w:noProof/>
                <w:sz w:val="24"/>
                <w:szCs w:val="24"/>
              </w:rPr>
              <w:t>2018</w:t>
            </w:r>
            <w:r w:rsidRPr="00D1266B">
              <w:rPr>
                <w:noProof/>
                <w:sz w:val="24"/>
                <w:szCs w:val="24"/>
              </w:rPr>
              <w:t>.gadā – 7 536 430 </w:t>
            </w:r>
            <w:r w:rsidRPr="00D1266B">
              <w:rPr>
                <w:i/>
                <w:noProof/>
                <w:sz w:val="24"/>
                <w:szCs w:val="24"/>
              </w:rPr>
              <w:t>euro</w:t>
            </w:r>
            <w:r>
              <w:rPr>
                <w:i/>
                <w:noProof/>
                <w:sz w:val="24"/>
                <w:szCs w:val="24"/>
              </w:rPr>
              <w:t>;</w:t>
            </w:r>
          </w:p>
          <w:p w:rsidR="00C8402F" w:rsidRPr="00C8402F" w:rsidRDefault="00C8402F" w:rsidP="002622FB">
            <w:pPr>
              <w:numPr>
                <w:ilvl w:val="0"/>
                <w:numId w:val="3"/>
              </w:numPr>
              <w:ind w:left="425" w:hanging="357"/>
              <w:jc w:val="both"/>
              <w:rPr>
                <w:noProof/>
                <w:sz w:val="24"/>
                <w:szCs w:val="24"/>
              </w:rPr>
            </w:pPr>
            <w:r>
              <w:rPr>
                <w:noProof/>
                <w:sz w:val="24"/>
                <w:szCs w:val="24"/>
              </w:rPr>
              <w:t>2019</w:t>
            </w:r>
            <w:r w:rsidRPr="00D1266B">
              <w:rPr>
                <w:noProof/>
                <w:sz w:val="24"/>
                <w:szCs w:val="24"/>
              </w:rPr>
              <w:t>.gadā – 7 536 430 </w:t>
            </w:r>
            <w:r w:rsidRPr="00D1266B">
              <w:rPr>
                <w:i/>
                <w:noProof/>
                <w:sz w:val="24"/>
                <w:szCs w:val="24"/>
              </w:rPr>
              <w:t>euro</w:t>
            </w:r>
            <w:r>
              <w:rPr>
                <w:i/>
                <w:noProof/>
                <w:sz w:val="24"/>
                <w:szCs w:val="24"/>
              </w:rPr>
              <w:t>;</w:t>
            </w:r>
          </w:p>
          <w:p w:rsidR="00C8402F" w:rsidRPr="00C8402F" w:rsidRDefault="00C8402F" w:rsidP="002622FB">
            <w:pPr>
              <w:numPr>
                <w:ilvl w:val="0"/>
                <w:numId w:val="3"/>
              </w:numPr>
              <w:ind w:left="425" w:hanging="357"/>
              <w:jc w:val="both"/>
              <w:rPr>
                <w:noProof/>
                <w:sz w:val="24"/>
                <w:szCs w:val="24"/>
              </w:rPr>
            </w:pPr>
            <w:r>
              <w:rPr>
                <w:noProof/>
                <w:sz w:val="24"/>
                <w:szCs w:val="24"/>
              </w:rPr>
              <w:t>2020</w:t>
            </w:r>
            <w:r w:rsidRPr="00D1266B">
              <w:rPr>
                <w:noProof/>
                <w:sz w:val="24"/>
                <w:szCs w:val="24"/>
              </w:rPr>
              <w:t>.gadā – 7 536 430 </w:t>
            </w:r>
            <w:r w:rsidRPr="00D1266B">
              <w:rPr>
                <w:i/>
                <w:noProof/>
                <w:sz w:val="24"/>
                <w:szCs w:val="24"/>
              </w:rPr>
              <w:t>euro</w:t>
            </w:r>
            <w:r>
              <w:rPr>
                <w:i/>
                <w:noProof/>
                <w:sz w:val="24"/>
                <w:szCs w:val="24"/>
              </w:rPr>
              <w:t>;</w:t>
            </w:r>
          </w:p>
          <w:p w:rsidR="00C8402F" w:rsidRPr="00C8402F" w:rsidRDefault="00C8402F" w:rsidP="002622FB">
            <w:pPr>
              <w:numPr>
                <w:ilvl w:val="0"/>
                <w:numId w:val="3"/>
              </w:numPr>
              <w:ind w:left="425" w:hanging="357"/>
              <w:jc w:val="both"/>
              <w:rPr>
                <w:noProof/>
                <w:sz w:val="24"/>
                <w:szCs w:val="24"/>
              </w:rPr>
            </w:pPr>
            <w:r>
              <w:rPr>
                <w:noProof/>
                <w:sz w:val="24"/>
                <w:szCs w:val="24"/>
              </w:rPr>
              <w:t>2021</w:t>
            </w:r>
            <w:r w:rsidRPr="00D1266B">
              <w:rPr>
                <w:noProof/>
                <w:sz w:val="24"/>
                <w:szCs w:val="24"/>
              </w:rPr>
              <w:t>.gadā – 7 536 430 </w:t>
            </w:r>
            <w:r w:rsidRPr="00D1266B">
              <w:rPr>
                <w:i/>
                <w:noProof/>
                <w:sz w:val="24"/>
                <w:szCs w:val="24"/>
              </w:rPr>
              <w:t>euro</w:t>
            </w:r>
            <w:r>
              <w:rPr>
                <w:i/>
                <w:noProof/>
                <w:sz w:val="24"/>
                <w:szCs w:val="24"/>
              </w:rPr>
              <w:t>;</w:t>
            </w:r>
          </w:p>
          <w:p w:rsidR="00C8402F" w:rsidRPr="00D1266B" w:rsidRDefault="00C8402F" w:rsidP="002622FB">
            <w:pPr>
              <w:numPr>
                <w:ilvl w:val="0"/>
                <w:numId w:val="3"/>
              </w:numPr>
              <w:ind w:left="425" w:hanging="357"/>
              <w:jc w:val="both"/>
              <w:rPr>
                <w:noProof/>
                <w:sz w:val="24"/>
                <w:szCs w:val="24"/>
              </w:rPr>
            </w:pPr>
            <w:r>
              <w:rPr>
                <w:noProof/>
                <w:sz w:val="24"/>
                <w:szCs w:val="24"/>
              </w:rPr>
              <w:t>20</w:t>
            </w:r>
            <w:r w:rsidR="00AD17B6">
              <w:rPr>
                <w:noProof/>
                <w:sz w:val="24"/>
                <w:szCs w:val="24"/>
              </w:rPr>
              <w:t>2</w:t>
            </w:r>
            <w:r>
              <w:rPr>
                <w:noProof/>
                <w:sz w:val="24"/>
                <w:szCs w:val="24"/>
              </w:rPr>
              <w:t>2</w:t>
            </w:r>
            <w:r w:rsidRPr="00D1266B">
              <w:rPr>
                <w:noProof/>
                <w:sz w:val="24"/>
                <w:szCs w:val="24"/>
              </w:rPr>
              <w:t xml:space="preserve">.gadā – </w:t>
            </w:r>
            <w:r>
              <w:rPr>
                <w:noProof/>
                <w:sz w:val="24"/>
                <w:szCs w:val="24"/>
              </w:rPr>
              <w:t>2 512 143</w:t>
            </w:r>
            <w:r w:rsidRPr="00D1266B">
              <w:rPr>
                <w:noProof/>
                <w:sz w:val="24"/>
                <w:szCs w:val="24"/>
              </w:rPr>
              <w:t> </w:t>
            </w:r>
            <w:r w:rsidRPr="00D1266B">
              <w:rPr>
                <w:i/>
                <w:noProof/>
                <w:sz w:val="24"/>
                <w:szCs w:val="24"/>
              </w:rPr>
              <w:t>euro</w:t>
            </w:r>
            <w:r w:rsidRPr="00D1266B">
              <w:rPr>
                <w:noProof/>
                <w:sz w:val="24"/>
                <w:szCs w:val="24"/>
              </w:rPr>
              <w:t>.</w:t>
            </w:r>
          </w:p>
          <w:p w:rsidR="00C8402F" w:rsidRPr="00C8402F" w:rsidRDefault="00C8402F" w:rsidP="00735D23">
            <w:pPr>
              <w:pStyle w:val="ListParagraph"/>
              <w:spacing w:before="120"/>
              <w:ind w:left="0"/>
              <w:contextualSpacing w:val="0"/>
              <w:jc w:val="both"/>
              <w:rPr>
                <w:noProof/>
                <w:sz w:val="24"/>
                <w:szCs w:val="24"/>
              </w:rPr>
            </w:pPr>
            <w:r>
              <w:rPr>
                <w:noProof/>
                <w:sz w:val="24"/>
                <w:szCs w:val="24"/>
              </w:rPr>
              <w:t xml:space="preserve">Jāatzīmē, ka 2015.gadā pieejamā finansējuma ietvaros plānots veikt samaksu par esošā ārpakalpojuma līguma izpildi periodā līdz 2015.gada 28.aprīlim 2 718 346 </w:t>
            </w:r>
            <w:r>
              <w:rPr>
                <w:i/>
                <w:noProof/>
                <w:sz w:val="24"/>
                <w:szCs w:val="24"/>
              </w:rPr>
              <w:t>euro</w:t>
            </w:r>
            <w:r>
              <w:rPr>
                <w:noProof/>
                <w:sz w:val="24"/>
                <w:szCs w:val="24"/>
              </w:rPr>
              <w:t xml:space="preserve"> apmērā.</w:t>
            </w:r>
          </w:p>
          <w:p w:rsidR="00C8402F" w:rsidRPr="00D1266B" w:rsidRDefault="00C8402F" w:rsidP="00735D23">
            <w:pPr>
              <w:pStyle w:val="ListParagraph"/>
              <w:spacing w:before="120"/>
              <w:ind w:left="0"/>
              <w:contextualSpacing w:val="0"/>
              <w:jc w:val="both"/>
              <w:rPr>
                <w:noProof/>
                <w:sz w:val="24"/>
                <w:szCs w:val="24"/>
              </w:rPr>
            </w:pPr>
            <w:r w:rsidRPr="00D1266B">
              <w:rPr>
                <w:noProof/>
                <w:sz w:val="24"/>
                <w:szCs w:val="24"/>
              </w:rPr>
              <w:t xml:space="preserve">Rīkojuma projekts paredz organizēt OMT nodrošināšanu Rīgas reģionālajam centram bez ārpakalpojuma piesaistes sākot ar 2015.gada maiju, iegādājoties OMT no </w:t>
            </w:r>
            <w:r>
              <w:rPr>
                <w:noProof/>
                <w:sz w:val="24"/>
                <w:szCs w:val="24"/>
              </w:rPr>
              <w:t>NMP dienesta budžeta līdzekļiem</w:t>
            </w:r>
            <w:r w:rsidRPr="00D1266B">
              <w:rPr>
                <w:noProof/>
                <w:sz w:val="24"/>
                <w:szCs w:val="24"/>
              </w:rPr>
              <w:t>.</w:t>
            </w:r>
          </w:p>
          <w:p w:rsidR="00C8402F" w:rsidRPr="00D1266B" w:rsidRDefault="00C8402F" w:rsidP="00735D23">
            <w:pPr>
              <w:pStyle w:val="ListParagraph"/>
              <w:spacing w:before="120"/>
              <w:ind w:left="0"/>
              <w:contextualSpacing w:val="0"/>
              <w:jc w:val="both"/>
              <w:rPr>
                <w:noProof/>
                <w:sz w:val="24"/>
                <w:szCs w:val="24"/>
              </w:rPr>
            </w:pPr>
            <w:r w:rsidRPr="00D1266B">
              <w:rPr>
                <w:noProof/>
                <w:sz w:val="24"/>
                <w:szCs w:val="24"/>
              </w:rPr>
              <w:t xml:space="preserve">Iegādājoties OMT līzingā, no </w:t>
            </w:r>
            <w:r>
              <w:rPr>
                <w:noProof/>
                <w:sz w:val="24"/>
                <w:szCs w:val="24"/>
              </w:rPr>
              <w:t xml:space="preserve">NMP dienesta </w:t>
            </w:r>
            <w:r w:rsidRPr="00D1266B">
              <w:rPr>
                <w:noProof/>
                <w:sz w:val="24"/>
                <w:szCs w:val="24"/>
              </w:rPr>
              <w:t xml:space="preserve">budžeta līdzekļiem ir jāuzņemas ilgtermiņa saistības ne vairāk kā </w:t>
            </w:r>
            <w:r>
              <w:rPr>
                <w:noProof/>
                <w:sz w:val="24"/>
                <w:szCs w:val="24"/>
              </w:rPr>
              <w:t>9 234 716</w:t>
            </w:r>
            <w:r w:rsidRPr="00D1266B">
              <w:rPr>
                <w:noProof/>
                <w:sz w:val="24"/>
                <w:szCs w:val="24"/>
              </w:rPr>
              <w:t xml:space="preserve"> </w:t>
            </w:r>
            <w:r w:rsidRPr="00D1266B">
              <w:rPr>
                <w:i/>
                <w:noProof/>
                <w:sz w:val="24"/>
                <w:szCs w:val="24"/>
              </w:rPr>
              <w:t>euro</w:t>
            </w:r>
            <w:r w:rsidRPr="00D1266B">
              <w:rPr>
                <w:noProof/>
                <w:sz w:val="24"/>
                <w:szCs w:val="24"/>
              </w:rPr>
              <w:t xml:space="preserve"> apmērā, kas pa gadiem sadalās šādi:</w:t>
            </w:r>
          </w:p>
          <w:p w:rsidR="00C8402F" w:rsidRPr="00D1266B" w:rsidRDefault="00C8402F" w:rsidP="00AF0B6E">
            <w:pPr>
              <w:numPr>
                <w:ilvl w:val="0"/>
                <w:numId w:val="3"/>
              </w:numPr>
              <w:ind w:left="425" w:hanging="357"/>
              <w:jc w:val="both"/>
              <w:rPr>
                <w:noProof/>
                <w:sz w:val="24"/>
                <w:szCs w:val="24"/>
              </w:rPr>
            </w:pPr>
            <w:r w:rsidRPr="00D1266B">
              <w:rPr>
                <w:noProof/>
                <w:sz w:val="24"/>
                <w:szCs w:val="24"/>
              </w:rPr>
              <w:t xml:space="preserve">2015.gadā – </w:t>
            </w:r>
            <w:r>
              <w:rPr>
                <w:noProof/>
                <w:sz w:val="24"/>
                <w:szCs w:val="24"/>
              </w:rPr>
              <w:t>627 68</w:t>
            </w:r>
            <w:r w:rsidR="00AD17B6">
              <w:rPr>
                <w:noProof/>
                <w:sz w:val="24"/>
                <w:szCs w:val="24"/>
              </w:rPr>
              <w:t>1</w:t>
            </w:r>
            <w:r w:rsidRPr="00D1266B">
              <w:rPr>
                <w:noProof/>
                <w:sz w:val="24"/>
                <w:szCs w:val="24"/>
              </w:rPr>
              <w:t xml:space="preserve"> </w:t>
            </w:r>
            <w:r w:rsidRPr="00D1266B">
              <w:rPr>
                <w:i/>
                <w:noProof/>
                <w:sz w:val="24"/>
                <w:szCs w:val="24"/>
              </w:rPr>
              <w:t>euro</w:t>
            </w:r>
            <w:r w:rsidRPr="00D1266B">
              <w:rPr>
                <w:noProof/>
                <w:sz w:val="24"/>
                <w:szCs w:val="24"/>
              </w:rPr>
              <w:t xml:space="preserve"> apmērā;</w:t>
            </w:r>
          </w:p>
          <w:p w:rsidR="00C8402F" w:rsidRPr="00D1266B" w:rsidRDefault="00C8402F" w:rsidP="00AF0B6E">
            <w:pPr>
              <w:numPr>
                <w:ilvl w:val="0"/>
                <w:numId w:val="3"/>
              </w:numPr>
              <w:ind w:left="425" w:hanging="357"/>
              <w:jc w:val="both"/>
              <w:rPr>
                <w:noProof/>
                <w:sz w:val="24"/>
                <w:szCs w:val="24"/>
              </w:rPr>
            </w:pPr>
            <w:r w:rsidRPr="00D1266B">
              <w:rPr>
                <w:noProof/>
                <w:sz w:val="24"/>
                <w:szCs w:val="24"/>
              </w:rPr>
              <w:t xml:space="preserve">2016.gadā – </w:t>
            </w:r>
            <w:r>
              <w:rPr>
                <w:noProof/>
                <w:sz w:val="24"/>
                <w:szCs w:val="24"/>
              </w:rPr>
              <w:t>1 702 859</w:t>
            </w:r>
            <w:r w:rsidRPr="00D1266B">
              <w:rPr>
                <w:noProof/>
                <w:sz w:val="24"/>
                <w:szCs w:val="24"/>
              </w:rPr>
              <w:t xml:space="preserve"> </w:t>
            </w:r>
            <w:r w:rsidRPr="00D1266B">
              <w:rPr>
                <w:i/>
                <w:noProof/>
                <w:sz w:val="24"/>
                <w:szCs w:val="24"/>
              </w:rPr>
              <w:t>euro</w:t>
            </w:r>
            <w:r w:rsidRPr="00D1266B">
              <w:rPr>
                <w:noProof/>
                <w:sz w:val="24"/>
                <w:szCs w:val="24"/>
              </w:rPr>
              <w:t xml:space="preserve"> apmērā;</w:t>
            </w:r>
          </w:p>
          <w:p w:rsidR="00C8402F" w:rsidRPr="00D1266B" w:rsidRDefault="00C8402F" w:rsidP="00AF0B6E">
            <w:pPr>
              <w:numPr>
                <w:ilvl w:val="0"/>
                <w:numId w:val="3"/>
              </w:numPr>
              <w:ind w:left="425" w:hanging="357"/>
              <w:jc w:val="both"/>
              <w:rPr>
                <w:noProof/>
                <w:sz w:val="24"/>
                <w:szCs w:val="24"/>
              </w:rPr>
            </w:pPr>
            <w:r w:rsidRPr="00D1266B">
              <w:rPr>
                <w:noProof/>
                <w:sz w:val="24"/>
                <w:szCs w:val="24"/>
              </w:rPr>
              <w:t xml:space="preserve">2017.gadā – </w:t>
            </w:r>
            <w:r>
              <w:rPr>
                <w:noProof/>
                <w:sz w:val="24"/>
                <w:szCs w:val="24"/>
              </w:rPr>
              <w:t>1 691 768</w:t>
            </w:r>
            <w:r w:rsidRPr="00D1266B">
              <w:rPr>
                <w:noProof/>
                <w:sz w:val="24"/>
                <w:szCs w:val="24"/>
              </w:rPr>
              <w:t xml:space="preserve"> </w:t>
            </w:r>
            <w:r w:rsidRPr="00D1266B">
              <w:rPr>
                <w:i/>
                <w:noProof/>
                <w:sz w:val="24"/>
                <w:szCs w:val="24"/>
              </w:rPr>
              <w:t>euro</w:t>
            </w:r>
            <w:r w:rsidRPr="00D1266B">
              <w:rPr>
                <w:noProof/>
                <w:sz w:val="24"/>
                <w:szCs w:val="24"/>
              </w:rPr>
              <w:t xml:space="preserve"> apmērā;</w:t>
            </w:r>
          </w:p>
          <w:p w:rsidR="00C8402F" w:rsidRPr="00D1266B" w:rsidRDefault="00C8402F" w:rsidP="00AF0B6E">
            <w:pPr>
              <w:numPr>
                <w:ilvl w:val="0"/>
                <w:numId w:val="3"/>
              </w:numPr>
              <w:ind w:left="425" w:hanging="357"/>
              <w:jc w:val="both"/>
              <w:rPr>
                <w:noProof/>
                <w:sz w:val="24"/>
                <w:szCs w:val="24"/>
              </w:rPr>
            </w:pPr>
            <w:r w:rsidRPr="00D1266B">
              <w:rPr>
                <w:noProof/>
                <w:sz w:val="24"/>
                <w:szCs w:val="24"/>
              </w:rPr>
              <w:t xml:space="preserve">2018.gadā – </w:t>
            </w:r>
            <w:r>
              <w:rPr>
                <w:noProof/>
                <w:sz w:val="24"/>
                <w:szCs w:val="24"/>
              </w:rPr>
              <w:t>1 670 569</w:t>
            </w:r>
            <w:r w:rsidRPr="00D1266B">
              <w:rPr>
                <w:noProof/>
                <w:sz w:val="24"/>
                <w:szCs w:val="24"/>
              </w:rPr>
              <w:t xml:space="preserve"> </w:t>
            </w:r>
            <w:r w:rsidRPr="00D1266B">
              <w:rPr>
                <w:i/>
                <w:noProof/>
                <w:sz w:val="24"/>
                <w:szCs w:val="24"/>
              </w:rPr>
              <w:t>euro</w:t>
            </w:r>
            <w:r w:rsidRPr="00D1266B">
              <w:rPr>
                <w:noProof/>
                <w:sz w:val="24"/>
                <w:szCs w:val="24"/>
              </w:rPr>
              <w:t xml:space="preserve"> apmērā;</w:t>
            </w:r>
          </w:p>
          <w:p w:rsidR="00C8402F" w:rsidRPr="00D1266B" w:rsidRDefault="00C8402F" w:rsidP="00AF0B6E">
            <w:pPr>
              <w:numPr>
                <w:ilvl w:val="0"/>
                <w:numId w:val="3"/>
              </w:numPr>
              <w:ind w:left="425" w:hanging="357"/>
              <w:jc w:val="both"/>
              <w:rPr>
                <w:noProof/>
                <w:sz w:val="24"/>
                <w:szCs w:val="24"/>
              </w:rPr>
            </w:pPr>
            <w:r w:rsidRPr="00D1266B">
              <w:rPr>
                <w:noProof/>
                <w:sz w:val="24"/>
                <w:szCs w:val="24"/>
              </w:rPr>
              <w:t xml:space="preserve">2019.gadā – </w:t>
            </w:r>
            <w:r>
              <w:rPr>
                <w:noProof/>
                <w:sz w:val="24"/>
                <w:szCs w:val="24"/>
              </w:rPr>
              <w:t>1 670 569</w:t>
            </w:r>
            <w:r w:rsidRPr="00D1266B">
              <w:rPr>
                <w:noProof/>
                <w:sz w:val="24"/>
                <w:szCs w:val="24"/>
              </w:rPr>
              <w:t xml:space="preserve"> </w:t>
            </w:r>
            <w:r w:rsidRPr="00D1266B">
              <w:rPr>
                <w:i/>
                <w:noProof/>
                <w:sz w:val="24"/>
                <w:szCs w:val="24"/>
              </w:rPr>
              <w:t>euro</w:t>
            </w:r>
            <w:r w:rsidRPr="00D1266B">
              <w:rPr>
                <w:noProof/>
                <w:sz w:val="24"/>
                <w:szCs w:val="24"/>
              </w:rPr>
              <w:t xml:space="preserve"> apmērā;</w:t>
            </w:r>
          </w:p>
          <w:p w:rsidR="00C8402F" w:rsidRDefault="00C8402F" w:rsidP="00AF0B6E">
            <w:pPr>
              <w:numPr>
                <w:ilvl w:val="0"/>
                <w:numId w:val="3"/>
              </w:numPr>
              <w:ind w:left="425" w:hanging="357"/>
              <w:jc w:val="both"/>
              <w:rPr>
                <w:noProof/>
                <w:sz w:val="24"/>
                <w:szCs w:val="24"/>
              </w:rPr>
            </w:pPr>
            <w:r w:rsidRPr="00D1266B">
              <w:rPr>
                <w:noProof/>
                <w:sz w:val="24"/>
                <w:szCs w:val="24"/>
              </w:rPr>
              <w:t xml:space="preserve">2020.gadā – </w:t>
            </w:r>
            <w:r>
              <w:rPr>
                <w:noProof/>
                <w:sz w:val="24"/>
                <w:szCs w:val="24"/>
              </w:rPr>
              <w:t>1 296 840</w:t>
            </w:r>
            <w:r w:rsidRPr="00D1266B">
              <w:rPr>
                <w:noProof/>
                <w:sz w:val="24"/>
                <w:szCs w:val="24"/>
              </w:rPr>
              <w:t xml:space="preserve"> </w:t>
            </w:r>
            <w:r w:rsidRPr="00D1266B">
              <w:rPr>
                <w:i/>
                <w:noProof/>
                <w:sz w:val="24"/>
                <w:szCs w:val="24"/>
              </w:rPr>
              <w:t>euro</w:t>
            </w:r>
            <w:r w:rsidRPr="00D1266B">
              <w:rPr>
                <w:noProof/>
                <w:sz w:val="24"/>
                <w:szCs w:val="24"/>
              </w:rPr>
              <w:t xml:space="preserve"> apmērā</w:t>
            </w:r>
            <w:r>
              <w:rPr>
                <w:noProof/>
                <w:sz w:val="24"/>
                <w:szCs w:val="24"/>
              </w:rPr>
              <w:t>;</w:t>
            </w:r>
          </w:p>
          <w:p w:rsidR="00C8402F" w:rsidRDefault="00C8402F" w:rsidP="00AF0B6E">
            <w:pPr>
              <w:numPr>
                <w:ilvl w:val="0"/>
                <w:numId w:val="3"/>
              </w:numPr>
              <w:ind w:left="425" w:hanging="357"/>
              <w:jc w:val="both"/>
              <w:rPr>
                <w:noProof/>
                <w:sz w:val="24"/>
                <w:szCs w:val="24"/>
              </w:rPr>
            </w:pPr>
            <w:r w:rsidRPr="00D1266B">
              <w:rPr>
                <w:noProof/>
                <w:sz w:val="24"/>
                <w:szCs w:val="24"/>
              </w:rPr>
              <w:t>202</w:t>
            </w:r>
            <w:r>
              <w:rPr>
                <w:noProof/>
                <w:sz w:val="24"/>
                <w:szCs w:val="24"/>
              </w:rPr>
              <w:t>1</w:t>
            </w:r>
            <w:r w:rsidRPr="00D1266B">
              <w:rPr>
                <w:noProof/>
                <w:sz w:val="24"/>
                <w:szCs w:val="24"/>
              </w:rPr>
              <w:t xml:space="preserve">.gadā – </w:t>
            </w:r>
            <w:r>
              <w:rPr>
                <w:noProof/>
                <w:sz w:val="24"/>
                <w:szCs w:val="24"/>
              </w:rPr>
              <w:t>490 351</w:t>
            </w:r>
            <w:r w:rsidRPr="00D1266B">
              <w:rPr>
                <w:noProof/>
                <w:sz w:val="24"/>
                <w:szCs w:val="24"/>
              </w:rPr>
              <w:t xml:space="preserve"> </w:t>
            </w:r>
            <w:r w:rsidRPr="00D1266B">
              <w:rPr>
                <w:i/>
                <w:noProof/>
                <w:sz w:val="24"/>
                <w:szCs w:val="24"/>
              </w:rPr>
              <w:t>euro</w:t>
            </w:r>
            <w:r w:rsidRPr="00D1266B">
              <w:rPr>
                <w:noProof/>
                <w:sz w:val="24"/>
                <w:szCs w:val="24"/>
              </w:rPr>
              <w:t xml:space="preserve"> apmērā</w:t>
            </w:r>
            <w:r>
              <w:rPr>
                <w:noProof/>
                <w:sz w:val="24"/>
                <w:szCs w:val="24"/>
              </w:rPr>
              <w:t>;</w:t>
            </w:r>
          </w:p>
          <w:p w:rsidR="00C8402F" w:rsidRPr="00D1266B" w:rsidRDefault="00C8402F" w:rsidP="00AF0B6E">
            <w:pPr>
              <w:numPr>
                <w:ilvl w:val="0"/>
                <w:numId w:val="3"/>
              </w:numPr>
              <w:ind w:left="425" w:hanging="357"/>
              <w:jc w:val="both"/>
              <w:rPr>
                <w:noProof/>
                <w:sz w:val="24"/>
                <w:szCs w:val="24"/>
              </w:rPr>
            </w:pPr>
            <w:r w:rsidRPr="00D1266B">
              <w:rPr>
                <w:noProof/>
                <w:sz w:val="24"/>
                <w:szCs w:val="24"/>
              </w:rPr>
              <w:t>202</w:t>
            </w:r>
            <w:r>
              <w:rPr>
                <w:noProof/>
                <w:sz w:val="24"/>
                <w:szCs w:val="24"/>
              </w:rPr>
              <w:t>2</w:t>
            </w:r>
            <w:r w:rsidRPr="00D1266B">
              <w:rPr>
                <w:noProof/>
                <w:sz w:val="24"/>
                <w:szCs w:val="24"/>
              </w:rPr>
              <w:t xml:space="preserve">.gadā – </w:t>
            </w:r>
            <w:r>
              <w:rPr>
                <w:noProof/>
                <w:sz w:val="24"/>
                <w:szCs w:val="24"/>
              </w:rPr>
              <w:t>84 080</w:t>
            </w:r>
            <w:r w:rsidRPr="00D1266B">
              <w:rPr>
                <w:noProof/>
                <w:sz w:val="24"/>
                <w:szCs w:val="24"/>
              </w:rPr>
              <w:t xml:space="preserve"> </w:t>
            </w:r>
            <w:r w:rsidRPr="00D1266B">
              <w:rPr>
                <w:i/>
                <w:noProof/>
                <w:sz w:val="24"/>
                <w:szCs w:val="24"/>
              </w:rPr>
              <w:t>euro</w:t>
            </w:r>
            <w:r w:rsidRPr="00D1266B">
              <w:rPr>
                <w:noProof/>
                <w:sz w:val="24"/>
                <w:szCs w:val="24"/>
              </w:rPr>
              <w:t xml:space="preserve"> apmērā.</w:t>
            </w:r>
          </w:p>
          <w:p w:rsidR="00C8402F" w:rsidRPr="00D1266B" w:rsidRDefault="00C8402F" w:rsidP="00EF16A9">
            <w:pPr>
              <w:pStyle w:val="ListParagraph"/>
              <w:ind w:left="0"/>
              <w:contextualSpacing w:val="0"/>
              <w:jc w:val="both"/>
              <w:rPr>
                <w:noProof/>
                <w:sz w:val="24"/>
                <w:szCs w:val="24"/>
              </w:rPr>
            </w:pPr>
          </w:p>
          <w:p w:rsidR="00C8402F" w:rsidRPr="00D1266B" w:rsidRDefault="00C8402F" w:rsidP="00F727D4">
            <w:pPr>
              <w:pStyle w:val="ListParagraph"/>
              <w:spacing w:before="120"/>
              <w:ind w:left="0"/>
              <w:contextualSpacing w:val="0"/>
              <w:jc w:val="both"/>
              <w:rPr>
                <w:noProof/>
                <w:sz w:val="24"/>
                <w:szCs w:val="24"/>
              </w:rPr>
            </w:pPr>
            <w:r w:rsidRPr="00D1266B">
              <w:rPr>
                <w:noProof/>
                <w:sz w:val="24"/>
                <w:szCs w:val="24"/>
              </w:rPr>
              <w:t>Kopējie izdevumi autotransporta nodrošināšanai Rīgas reģionālajam centram ietver OMT līzingu (kapitālos izdevumus un procentu maksājumus), autotransporta remonta izmaksas (ieskaitot remont</w:t>
            </w:r>
            <w:r w:rsidRPr="00D1266B">
              <w:rPr>
                <w:noProof/>
                <w:sz w:val="24"/>
                <w:szCs w:val="24"/>
              </w:rPr>
              <w:softHyphen/>
              <w:t>zonas izveidi un uzturēšanu), personāla izmaksas un administratīvos izdevumus, kas saistīti ar autotransporta pakalpojumu nodrošināšanu.</w:t>
            </w:r>
          </w:p>
          <w:p w:rsidR="00C8402F" w:rsidRPr="00D1266B" w:rsidRDefault="00C8402F" w:rsidP="00EF16A9">
            <w:pPr>
              <w:pStyle w:val="ListParagraph"/>
              <w:ind w:left="0"/>
              <w:contextualSpacing w:val="0"/>
              <w:jc w:val="both"/>
              <w:rPr>
                <w:noProof/>
                <w:sz w:val="24"/>
                <w:szCs w:val="24"/>
              </w:rPr>
            </w:pPr>
          </w:p>
          <w:p w:rsidR="00C8402F" w:rsidRPr="00D1266B" w:rsidRDefault="00C8402F" w:rsidP="00EF16A9">
            <w:pPr>
              <w:pStyle w:val="ListParagraph"/>
              <w:ind w:left="0"/>
              <w:contextualSpacing w:val="0"/>
              <w:jc w:val="both"/>
              <w:rPr>
                <w:rFonts w:ascii="Tms Rmn" w:eastAsiaTheme="minorHAnsi" w:hAnsi="Tms Rmn" w:cs="Tms Rmn"/>
                <w:lang w:eastAsia="en-US"/>
              </w:rPr>
            </w:pPr>
            <w:r w:rsidRPr="00D1266B">
              <w:rPr>
                <w:noProof/>
                <w:sz w:val="24"/>
                <w:szCs w:val="24"/>
              </w:rPr>
              <w:lastRenderedPageBreak/>
              <w:t xml:space="preserve">Aprēķini veikti, ņemot vērā </w:t>
            </w:r>
            <w:r w:rsidRPr="00D1266B">
              <w:rPr>
                <w:rFonts w:ascii="Tms Rmn" w:eastAsiaTheme="minorHAnsi" w:hAnsi="Tms Rmn" w:cs="Tms Rmn"/>
                <w:lang w:eastAsia="en-US"/>
              </w:rPr>
              <w:t>Ministru kabineta 2009.gada 15.decembra instrukcijā Nr.19 „</w:t>
            </w:r>
            <w:r w:rsidRPr="00D87DB9">
              <w:rPr>
                <w:rFonts w:ascii="Tms Rmn" w:eastAsiaTheme="minorHAnsi" w:hAnsi="Tms Rmn" w:cs="Tms Rmn"/>
                <w:i/>
                <w:lang w:eastAsia="en-US"/>
              </w:rPr>
              <w:t>Tiesību akta projekta sākotnējās ietekmes izvērtēšanas kārtība</w:t>
            </w:r>
            <w:r w:rsidRPr="00D1266B">
              <w:rPr>
                <w:rFonts w:ascii="Tms Rmn" w:eastAsiaTheme="minorHAnsi" w:hAnsi="Tms Rmn" w:cs="Tms Rmn"/>
                <w:lang w:eastAsia="en-US"/>
              </w:rPr>
              <w:t>” (Instrukcija Nr.19) ietvertās normas, tai skaitā:</w:t>
            </w:r>
          </w:p>
          <w:p w:rsidR="00C8402F" w:rsidRPr="00D1266B" w:rsidRDefault="00C8402F" w:rsidP="006C0DD4">
            <w:pPr>
              <w:pStyle w:val="ListParagraph"/>
              <w:ind w:left="347" w:hanging="142"/>
              <w:contextualSpacing w:val="0"/>
              <w:jc w:val="both"/>
              <w:rPr>
                <w:noProof/>
                <w:sz w:val="24"/>
                <w:szCs w:val="24"/>
              </w:rPr>
            </w:pPr>
            <w:r w:rsidRPr="00D1266B">
              <w:rPr>
                <w:noProof/>
                <w:sz w:val="24"/>
                <w:szCs w:val="24"/>
              </w:rPr>
              <w:t>- vispārējās piemaksas plānotas 10% apmērā atbilstoši Intrukcijas Nr.19  52.1.2.apakšpunktam;</w:t>
            </w:r>
          </w:p>
          <w:p w:rsidR="00C8402F" w:rsidRPr="00D1266B" w:rsidRDefault="00C8402F" w:rsidP="006C0DD4">
            <w:pPr>
              <w:pStyle w:val="ListParagraph"/>
              <w:ind w:left="347" w:hanging="142"/>
              <w:contextualSpacing w:val="0"/>
              <w:jc w:val="both"/>
              <w:rPr>
                <w:noProof/>
                <w:sz w:val="24"/>
                <w:szCs w:val="24"/>
              </w:rPr>
            </w:pPr>
            <w:r w:rsidRPr="00D1266B">
              <w:rPr>
                <w:noProof/>
                <w:sz w:val="24"/>
                <w:szCs w:val="24"/>
              </w:rPr>
              <w:t>- speciālās piemaksas (NMP brigāžu darbiniekiem – piemaksas par risku un nakts darbu) plānotas atbilstoši Instrukcijas Nr.19  52.1.3.1.apakšpunktam;</w:t>
            </w:r>
          </w:p>
          <w:p w:rsidR="00C8402F" w:rsidRPr="00D1266B" w:rsidRDefault="00C8402F" w:rsidP="006C0DD4">
            <w:pPr>
              <w:pStyle w:val="ListParagraph"/>
              <w:ind w:left="347" w:hanging="142"/>
              <w:contextualSpacing w:val="0"/>
              <w:jc w:val="both"/>
              <w:rPr>
                <w:noProof/>
                <w:sz w:val="24"/>
                <w:szCs w:val="24"/>
              </w:rPr>
            </w:pPr>
            <w:r w:rsidRPr="00D1266B">
              <w:rPr>
                <w:noProof/>
                <w:sz w:val="24"/>
                <w:szCs w:val="24"/>
              </w:rPr>
              <w:t>- prēmijas un naudas balvas (tikai sākot ar 2016.gadu) plānotas 10% apmērā atbilstoši Intrukcijas Nr.19  52.1.4.apakšpunktam;</w:t>
            </w:r>
          </w:p>
          <w:p w:rsidR="00C8402F" w:rsidRPr="00D1266B" w:rsidRDefault="00C8402F" w:rsidP="006C0DD4">
            <w:pPr>
              <w:pStyle w:val="ListParagraph"/>
              <w:ind w:left="347" w:hanging="142"/>
              <w:contextualSpacing w:val="0"/>
              <w:jc w:val="both"/>
              <w:rPr>
                <w:noProof/>
                <w:sz w:val="24"/>
                <w:szCs w:val="24"/>
              </w:rPr>
            </w:pPr>
            <w:r w:rsidRPr="00D1266B">
              <w:rPr>
                <w:noProof/>
                <w:sz w:val="24"/>
                <w:szCs w:val="24"/>
              </w:rPr>
              <w:t>- sociālās garantijas plānotas 5% apmērā no mēnešalgas atbilstoši Intrukcijas Nr.19  52.1.5.1.apakšpunktam.</w:t>
            </w:r>
          </w:p>
          <w:p w:rsidR="00C8402F" w:rsidRPr="00D1266B" w:rsidRDefault="00C8402F" w:rsidP="001D7C56">
            <w:pPr>
              <w:pStyle w:val="ListParagraph"/>
              <w:ind w:left="347" w:hanging="142"/>
              <w:contextualSpacing w:val="0"/>
              <w:jc w:val="both"/>
              <w:rPr>
                <w:noProof/>
                <w:sz w:val="24"/>
                <w:szCs w:val="24"/>
              </w:rPr>
            </w:pPr>
            <w:r w:rsidRPr="00D1266B">
              <w:rPr>
                <w:noProof/>
                <w:sz w:val="24"/>
                <w:szCs w:val="24"/>
              </w:rPr>
              <w:t>- plānojot mēnešalgu jaunām amata vietām nav iespējams izmantot atbilstošās saimes un līmeņa amatalgu grupas III kvalifi</w:t>
            </w:r>
            <w:r w:rsidRPr="00D1266B">
              <w:rPr>
                <w:noProof/>
                <w:sz w:val="24"/>
                <w:szCs w:val="24"/>
              </w:rPr>
              <w:softHyphen/>
              <w:t>kā</w:t>
            </w:r>
            <w:r w:rsidRPr="00D1266B">
              <w:rPr>
                <w:noProof/>
                <w:sz w:val="24"/>
                <w:szCs w:val="24"/>
              </w:rPr>
              <w:softHyphen/>
              <w:t>cijas kategorijas maksimumu (Instrukcijas Nr.19  51.1.1.apakš</w:t>
            </w:r>
            <w:r w:rsidRPr="00D1266B">
              <w:rPr>
                <w:noProof/>
                <w:sz w:val="24"/>
                <w:szCs w:val="24"/>
              </w:rPr>
              <w:softHyphen/>
              <w:t>punkts), jo tas radītu nevienlīdzību ar citu reģionu OMT vadītājiem un NMP brigāžu darbiniekiem noteiktajām mēnešalgām, kuras ir mazākas par atbilstošās kvalifikācijas kategorijas maksimumu.</w:t>
            </w:r>
          </w:p>
          <w:p w:rsidR="00C8402F" w:rsidRPr="00D1266B" w:rsidRDefault="00C8402F" w:rsidP="00EF16A9">
            <w:pPr>
              <w:pStyle w:val="ListParagraph"/>
              <w:ind w:left="0"/>
              <w:contextualSpacing w:val="0"/>
              <w:jc w:val="both"/>
              <w:rPr>
                <w:noProof/>
                <w:sz w:val="24"/>
                <w:szCs w:val="24"/>
              </w:rPr>
            </w:pPr>
          </w:p>
          <w:p w:rsidR="00C8402F" w:rsidRPr="00D1266B" w:rsidRDefault="00C8402F" w:rsidP="00EF16A9">
            <w:pPr>
              <w:pStyle w:val="ListParagraph"/>
              <w:ind w:left="0"/>
              <w:contextualSpacing w:val="0"/>
              <w:jc w:val="both"/>
              <w:rPr>
                <w:noProof/>
                <w:sz w:val="24"/>
                <w:szCs w:val="24"/>
              </w:rPr>
            </w:pPr>
            <w:r w:rsidRPr="00D1266B">
              <w:rPr>
                <w:noProof/>
                <w:sz w:val="24"/>
                <w:szCs w:val="24"/>
              </w:rPr>
              <w:t xml:space="preserve">     </w:t>
            </w:r>
            <w:r w:rsidRPr="00D1266B">
              <w:rPr>
                <w:noProof/>
                <w:sz w:val="24"/>
                <w:szCs w:val="24"/>
                <w:u w:val="single"/>
              </w:rPr>
              <w:t>Plānotās izdevumu pozīcijas pa gadiem</w:t>
            </w:r>
            <w:r w:rsidRPr="00D1266B">
              <w:rPr>
                <w:noProof/>
                <w:sz w:val="24"/>
                <w:szCs w:val="24"/>
              </w:rPr>
              <w:t>:</w:t>
            </w:r>
          </w:p>
          <w:p w:rsidR="00C8402F" w:rsidRPr="00D1266B" w:rsidRDefault="00C8402F" w:rsidP="002C3335">
            <w:pPr>
              <w:pStyle w:val="ListParagraph"/>
              <w:spacing w:before="240"/>
              <w:ind w:left="0"/>
              <w:contextualSpacing w:val="0"/>
              <w:jc w:val="both"/>
              <w:rPr>
                <w:noProof/>
                <w:sz w:val="24"/>
                <w:szCs w:val="24"/>
              </w:rPr>
            </w:pPr>
            <w:r w:rsidRPr="00D1266B">
              <w:rPr>
                <w:b/>
                <w:noProof/>
                <w:sz w:val="24"/>
                <w:szCs w:val="24"/>
                <w:u w:val="single"/>
              </w:rPr>
              <w:t>2015.gadā</w:t>
            </w:r>
            <w:r w:rsidRPr="00D1266B">
              <w:rPr>
                <w:noProof/>
                <w:sz w:val="24"/>
                <w:szCs w:val="24"/>
              </w:rPr>
              <w:t xml:space="preserve"> (8 mēnešiem: maijs – decembris):</w:t>
            </w:r>
          </w:p>
          <w:p w:rsidR="00C8402F" w:rsidRPr="00D1266B" w:rsidRDefault="00C8402F" w:rsidP="009F384D">
            <w:pPr>
              <w:pStyle w:val="ListParagraph"/>
              <w:spacing w:before="120"/>
              <w:ind w:left="0"/>
              <w:contextualSpacing w:val="0"/>
              <w:jc w:val="both"/>
              <w:rPr>
                <w:noProof/>
                <w:sz w:val="24"/>
                <w:szCs w:val="24"/>
              </w:rPr>
            </w:pPr>
            <w:r w:rsidRPr="00D1266B">
              <w:rPr>
                <w:noProof/>
                <w:sz w:val="24"/>
                <w:szCs w:val="24"/>
                <w:u w:val="single"/>
              </w:rPr>
              <w:t>Atlīdzībai</w:t>
            </w:r>
            <w:r w:rsidRPr="00D1266B">
              <w:rPr>
                <w:noProof/>
                <w:sz w:val="24"/>
                <w:szCs w:val="24"/>
              </w:rPr>
              <w:t xml:space="preserve"> (1000 kods) - 2 573 757 </w:t>
            </w:r>
            <w:r w:rsidRPr="00D1266B">
              <w:rPr>
                <w:i/>
                <w:noProof/>
                <w:sz w:val="24"/>
                <w:szCs w:val="24"/>
              </w:rPr>
              <w:t>euro</w:t>
            </w:r>
            <w:r w:rsidRPr="00D1266B">
              <w:rPr>
                <w:noProof/>
                <w:sz w:val="24"/>
                <w:szCs w:val="24"/>
              </w:rPr>
              <w:t xml:space="preserve">, tai skaitā: </w:t>
            </w:r>
          </w:p>
          <w:p w:rsidR="00C8402F" w:rsidRPr="00D1266B" w:rsidRDefault="00C8402F" w:rsidP="003563D4">
            <w:pPr>
              <w:pStyle w:val="ListParagraph"/>
              <w:ind w:left="346" w:hanging="346"/>
              <w:contextualSpacing w:val="0"/>
              <w:jc w:val="both"/>
              <w:rPr>
                <w:noProof/>
                <w:sz w:val="24"/>
                <w:szCs w:val="24"/>
              </w:rPr>
            </w:pPr>
            <w:r w:rsidRPr="00D1266B">
              <w:rPr>
                <w:noProof/>
                <w:sz w:val="24"/>
                <w:szCs w:val="24"/>
              </w:rPr>
              <w:t xml:space="preserve">   - atalgo</w:t>
            </w:r>
            <w:r w:rsidRPr="00D1266B">
              <w:rPr>
                <w:noProof/>
                <w:sz w:val="24"/>
                <w:szCs w:val="24"/>
              </w:rPr>
              <w:softHyphen/>
              <w:t xml:space="preserve">jumam OMT vadītājiem (ieskaitot piemaksas par risku un nakts darbu), tehniskajam personālam, finanšu un personāla speciālistiem (1100 kods) - 2 026 666 </w:t>
            </w:r>
            <w:r w:rsidRPr="00D1266B">
              <w:rPr>
                <w:i/>
                <w:noProof/>
                <w:sz w:val="24"/>
                <w:szCs w:val="24"/>
              </w:rPr>
              <w:t>euro</w:t>
            </w:r>
            <w:r w:rsidRPr="00D1266B">
              <w:rPr>
                <w:noProof/>
                <w:sz w:val="24"/>
                <w:szCs w:val="24"/>
              </w:rPr>
              <w:t>,</w:t>
            </w:r>
          </w:p>
          <w:p w:rsidR="00C8402F" w:rsidRPr="00D1266B" w:rsidRDefault="00C8402F" w:rsidP="003563D4">
            <w:pPr>
              <w:pStyle w:val="ListParagraph"/>
              <w:ind w:left="346" w:hanging="346"/>
              <w:contextualSpacing w:val="0"/>
              <w:jc w:val="both"/>
              <w:rPr>
                <w:noProof/>
                <w:sz w:val="24"/>
                <w:szCs w:val="24"/>
              </w:rPr>
            </w:pPr>
            <w:r w:rsidRPr="00D1266B">
              <w:rPr>
                <w:noProof/>
                <w:sz w:val="24"/>
                <w:szCs w:val="24"/>
              </w:rPr>
              <w:t xml:space="preserve">   - sociālajam nodoklim, pabalstiem un kompensācijām (1200 kods) - 544 491 </w:t>
            </w:r>
            <w:r w:rsidRPr="00D1266B">
              <w:rPr>
                <w:i/>
                <w:noProof/>
                <w:sz w:val="24"/>
                <w:szCs w:val="24"/>
              </w:rPr>
              <w:t>euro</w:t>
            </w:r>
            <w:r w:rsidRPr="00D1266B">
              <w:rPr>
                <w:noProof/>
                <w:sz w:val="24"/>
                <w:szCs w:val="24"/>
              </w:rPr>
              <w:t>,</w:t>
            </w:r>
          </w:p>
          <w:p w:rsidR="00C8402F" w:rsidRPr="00D1266B" w:rsidRDefault="00C8402F" w:rsidP="00985C85">
            <w:pPr>
              <w:pStyle w:val="ListParagraph"/>
              <w:ind w:left="347" w:hanging="347"/>
              <w:contextualSpacing w:val="0"/>
              <w:jc w:val="both"/>
              <w:rPr>
                <w:noProof/>
                <w:sz w:val="24"/>
                <w:szCs w:val="24"/>
              </w:rPr>
            </w:pPr>
            <w:r w:rsidRPr="00D1266B">
              <w:rPr>
                <w:noProof/>
                <w:sz w:val="24"/>
                <w:szCs w:val="24"/>
              </w:rPr>
              <w:t xml:space="preserve">   - nelaimes gadījumu apdrošināšanai (atbilstoši Atlīdzības likumam) (1200 kods) - 2 600 </w:t>
            </w:r>
            <w:r w:rsidRPr="00D1266B">
              <w:rPr>
                <w:i/>
                <w:noProof/>
                <w:sz w:val="24"/>
                <w:szCs w:val="24"/>
              </w:rPr>
              <w:t>euro</w:t>
            </w:r>
            <w:r w:rsidR="00251E2F">
              <w:rPr>
                <w:noProof/>
                <w:sz w:val="24"/>
                <w:szCs w:val="24"/>
              </w:rPr>
              <w:t>.</w:t>
            </w:r>
          </w:p>
          <w:p w:rsidR="00C8402F" w:rsidRPr="00D1266B" w:rsidRDefault="00C8402F" w:rsidP="009F384D">
            <w:pPr>
              <w:pStyle w:val="ListParagraph"/>
              <w:spacing w:before="120"/>
              <w:ind w:left="0"/>
              <w:contextualSpacing w:val="0"/>
              <w:jc w:val="both"/>
              <w:rPr>
                <w:noProof/>
                <w:sz w:val="24"/>
                <w:szCs w:val="24"/>
              </w:rPr>
            </w:pPr>
            <w:r w:rsidRPr="00D1266B">
              <w:rPr>
                <w:noProof/>
                <w:sz w:val="24"/>
                <w:szCs w:val="24"/>
                <w:u w:val="single"/>
              </w:rPr>
              <w:t>Precēm un pakalpojumiem</w:t>
            </w:r>
            <w:r w:rsidRPr="00D1266B">
              <w:rPr>
                <w:noProof/>
                <w:sz w:val="24"/>
                <w:szCs w:val="24"/>
              </w:rPr>
              <w:t xml:space="preserve"> (2000 kods) sakarā ar RRC pārņemšanu  - </w:t>
            </w:r>
            <w:r w:rsidRPr="00D1266B">
              <w:rPr>
                <w:sz w:val="24"/>
                <w:szCs w:val="24"/>
              </w:rPr>
              <w:t>1 539</w:t>
            </w:r>
            <w:r w:rsidRPr="00D1266B">
              <w:rPr>
                <w:noProof/>
                <w:sz w:val="24"/>
                <w:szCs w:val="24"/>
              </w:rPr>
              <w:t> 369 euro, tai skaitā:</w:t>
            </w:r>
          </w:p>
          <w:p w:rsidR="00C8402F" w:rsidRPr="00D1266B" w:rsidRDefault="00C8402F" w:rsidP="00CC612C">
            <w:pPr>
              <w:pStyle w:val="ListParagraph"/>
              <w:ind w:left="0"/>
              <w:contextualSpacing w:val="0"/>
              <w:jc w:val="both"/>
              <w:rPr>
                <w:noProof/>
                <w:sz w:val="24"/>
                <w:szCs w:val="24"/>
              </w:rPr>
            </w:pPr>
            <w:r w:rsidRPr="00D1266B">
              <w:rPr>
                <w:noProof/>
                <w:sz w:val="24"/>
                <w:szCs w:val="24"/>
              </w:rPr>
              <w:t xml:space="preserve">   - remontzonas telpu uzturēšanas izmaksas - 57 024 </w:t>
            </w:r>
            <w:r w:rsidRPr="00D1266B">
              <w:rPr>
                <w:i/>
                <w:noProof/>
                <w:sz w:val="24"/>
                <w:szCs w:val="24"/>
              </w:rPr>
              <w:t>euro</w:t>
            </w:r>
            <w:r w:rsidRPr="00D1266B">
              <w:rPr>
                <w:noProof/>
                <w:sz w:val="24"/>
                <w:szCs w:val="24"/>
              </w:rPr>
              <w:t>,</w:t>
            </w:r>
          </w:p>
          <w:p w:rsidR="00C8402F" w:rsidRPr="00D1266B" w:rsidRDefault="00C8402F" w:rsidP="00CC612C">
            <w:pPr>
              <w:pStyle w:val="ListParagraph"/>
              <w:ind w:left="0"/>
              <w:contextualSpacing w:val="0"/>
              <w:jc w:val="both"/>
              <w:rPr>
                <w:noProof/>
                <w:sz w:val="24"/>
                <w:szCs w:val="24"/>
              </w:rPr>
            </w:pPr>
            <w:r w:rsidRPr="00D1266B">
              <w:rPr>
                <w:noProof/>
                <w:sz w:val="24"/>
                <w:szCs w:val="24"/>
              </w:rPr>
              <w:t xml:space="preserve">   - remontzonas aprīkojuma iegāde (preces) - 6 750 </w:t>
            </w:r>
            <w:r w:rsidRPr="00D1266B">
              <w:rPr>
                <w:i/>
                <w:noProof/>
                <w:sz w:val="24"/>
                <w:szCs w:val="24"/>
              </w:rPr>
              <w:t>euro</w:t>
            </w:r>
            <w:r w:rsidRPr="00D1266B">
              <w:rPr>
                <w:noProof/>
                <w:sz w:val="24"/>
                <w:szCs w:val="24"/>
              </w:rPr>
              <w:t>,</w:t>
            </w:r>
          </w:p>
          <w:p w:rsidR="00C8402F" w:rsidRPr="00D1266B" w:rsidRDefault="00C8402F" w:rsidP="00CC612C">
            <w:pPr>
              <w:pStyle w:val="ListParagraph"/>
              <w:ind w:left="0"/>
              <w:contextualSpacing w:val="0"/>
              <w:jc w:val="both"/>
              <w:rPr>
                <w:noProof/>
                <w:sz w:val="24"/>
                <w:szCs w:val="24"/>
              </w:rPr>
            </w:pPr>
            <w:r w:rsidRPr="00D1266B">
              <w:rPr>
                <w:noProof/>
                <w:sz w:val="24"/>
                <w:szCs w:val="24"/>
              </w:rPr>
              <w:t xml:space="preserve">   - administratīvā personāla darba vietu aprīkojums - 1 214 </w:t>
            </w:r>
            <w:r w:rsidRPr="00D1266B">
              <w:rPr>
                <w:i/>
                <w:noProof/>
                <w:sz w:val="24"/>
                <w:szCs w:val="24"/>
              </w:rPr>
              <w:t>euro</w:t>
            </w:r>
            <w:r w:rsidRPr="00D1266B">
              <w:rPr>
                <w:noProof/>
                <w:sz w:val="24"/>
                <w:szCs w:val="24"/>
              </w:rPr>
              <w:t>,</w:t>
            </w:r>
          </w:p>
          <w:p w:rsidR="00C8402F" w:rsidRPr="00D1266B" w:rsidRDefault="00C8402F" w:rsidP="00CC612C">
            <w:pPr>
              <w:pStyle w:val="ListParagraph"/>
              <w:ind w:left="0"/>
              <w:contextualSpacing w:val="0"/>
              <w:jc w:val="both"/>
              <w:rPr>
                <w:noProof/>
                <w:sz w:val="24"/>
                <w:szCs w:val="24"/>
              </w:rPr>
            </w:pPr>
            <w:r w:rsidRPr="00D1266B">
              <w:rPr>
                <w:noProof/>
                <w:sz w:val="24"/>
                <w:szCs w:val="24"/>
              </w:rPr>
              <w:t xml:space="preserve">   - degvielas iegāde OMT un saimnieciskajam transportam, t.sk.:</w:t>
            </w:r>
          </w:p>
          <w:p w:rsidR="00C8402F" w:rsidRPr="00D1266B" w:rsidRDefault="00C8402F" w:rsidP="00CC612C">
            <w:pPr>
              <w:pStyle w:val="ListParagraph"/>
              <w:ind w:left="0"/>
              <w:contextualSpacing w:val="0"/>
              <w:jc w:val="both"/>
              <w:rPr>
                <w:noProof/>
                <w:sz w:val="24"/>
                <w:szCs w:val="24"/>
              </w:rPr>
            </w:pPr>
            <w:r w:rsidRPr="00D1266B">
              <w:rPr>
                <w:noProof/>
                <w:sz w:val="24"/>
                <w:szCs w:val="24"/>
              </w:rPr>
              <w:tab/>
              <w:t xml:space="preserve">OMT - 727 356 </w:t>
            </w:r>
            <w:r w:rsidRPr="00D1266B">
              <w:rPr>
                <w:i/>
                <w:noProof/>
                <w:sz w:val="24"/>
                <w:szCs w:val="24"/>
              </w:rPr>
              <w:t>euro</w:t>
            </w:r>
            <w:r w:rsidRPr="00D1266B">
              <w:rPr>
                <w:noProof/>
                <w:sz w:val="24"/>
                <w:szCs w:val="24"/>
              </w:rPr>
              <w:t>,</w:t>
            </w:r>
          </w:p>
          <w:p w:rsidR="00C8402F" w:rsidRPr="00D1266B" w:rsidRDefault="00C8402F" w:rsidP="00CC612C">
            <w:pPr>
              <w:pStyle w:val="ListParagraph"/>
              <w:ind w:left="0"/>
              <w:contextualSpacing w:val="0"/>
              <w:jc w:val="both"/>
              <w:rPr>
                <w:noProof/>
                <w:sz w:val="24"/>
                <w:szCs w:val="24"/>
              </w:rPr>
            </w:pPr>
            <w:r w:rsidRPr="00D1266B">
              <w:rPr>
                <w:noProof/>
                <w:sz w:val="24"/>
                <w:szCs w:val="24"/>
              </w:rPr>
              <w:tab/>
              <w:t xml:space="preserve">saimnieciskajam transportam - 16 843 </w:t>
            </w:r>
            <w:r w:rsidRPr="00D1266B">
              <w:rPr>
                <w:i/>
                <w:noProof/>
                <w:sz w:val="24"/>
                <w:szCs w:val="24"/>
              </w:rPr>
              <w:t>euro</w:t>
            </w:r>
            <w:r w:rsidRPr="00D1266B">
              <w:rPr>
                <w:noProof/>
                <w:sz w:val="24"/>
                <w:szCs w:val="24"/>
              </w:rPr>
              <w:t>,</w:t>
            </w:r>
          </w:p>
          <w:p w:rsidR="00C8402F" w:rsidRPr="00D1266B" w:rsidRDefault="00C8402F" w:rsidP="00CC612C">
            <w:pPr>
              <w:pStyle w:val="ListParagraph"/>
              <w:ind w:left="0"/>
              <w:contextualSpacing w:val="0"/>
              <w:jc w:val="both"/>
              <w:rPr>
                <w:noProof/>
                <w:sz w:val="24"/>
                <w:szCs w:val="24"/>
              </w:rPr>
            </w:pPr>
            <w:r w:rsidRPr="00D1266B">
              <w:rPr>
                <w:noProof/>
                <w:sz w:val="24"/>
                <w:szCs w:val="24"/>
              </w:rPr>
              <w:t xml:space="preserve">   - transportlīdzekļu remonts un uzturēšana - 506 707 </w:t>
            </w:r>
            <w:r w:rsidRPr="00D1266B">
              <w:rPr>
                <w:i/>
                <w:noProof/>
                <w:sz w:val="24"/>
                <w:szCs w:val="24"/>
              </w:rPr>
              <w:t>euro</w:t>
            </w:r>
            <w:r w:rsidRPr="00D1266B">
              <w:rPr>
                <w:noProof/>
                <w:sz w:val="24"/>
                <w:szCs w:val="24"/>
              </w:rPr>
              <w:t>,</w:t>
            </w:r>
          </w:p>
          <w:p w:rsidR="00C8402F" w:rsidRPr="00D1266B" w:rsidRDefault="00C8402F" w:rsidP="00CC612C">
            <w:pPr>
              <w:pStyle w:val="ListParagraph"/>
              <w:ind w:left="0"/>
              <w:contextualSpacing w:val="0"/>
              <w:jc w:val="both"/>
              <w:rPr>
                <w:noProof/>
                <w:sz w:val="24"/>
                <w:szCs w:val="24"/>
              </w:rPr>
            </w:pPr>
            <w:r w:rsidRPr="00D1266B">
              <w:rPr>
                <w:noProof/>
                <w:sz w:val="24"/>
                <w:szCs w:val="24"/>
              </w:rPr>
              <w:t xml:space="preserve">   - darba apģērbu iegāde un noma - 164 596 </w:t>
            </w:r>
            <w:r w:rsidRPr="00D1266B">
              <w:rPr>
                <w:i/>
                <w:noProof/>
                <w:sz w:val="24"/>
                <w:szCs w:val="24"/>
              </w:rPr>
              <w:t>euro</w:t>
            </w:r>
            <w:r w:rsidRPr="00D1266B">
              <w:rPr>
                <w:noProof/>
                <w:sz w:val="24"/>
                <w:szCs w:val="24"/>
              </w:rPr>
              <w:t>,</w:t>
            </w:r>
          </w:p>
          <w:p w:rsidR="00C8402F" w:rsidRPr="00D1266B" w:rsidRDefault="00C8402F" w:rsidP="00985C85">
            <w:pPr>
              <w:pStyle w:val="ListParagraph"/>
              <w:ind w:left="347" w:hanging="347"/>
              <w:contextualSpacing w:val="0"/>
              <w:jc w:val="both"/>
              <w:rPr>
                <w:noProof/>
                <w:sz w:val="24"/>
                <w:szCs w:val="24"/>
              </w:rPr>
            </w:pPr>
            <w:r w:rsidRPr="00D1266B">
              <w:rPr>
                <w:noProof/>
                <w:sz w:val="24"/>
                <w:szCs w:val="24"/>
              </w:rPr>
              <w:t xml:space="preserve">   - veselības aprūpe (darbinieku obligātās veselības pārbaudes un vakcinācija) - 56 527 </w:t>
            </w:r>
            <w:r w:rsidRPr="00D1266B">
              <w:rPr>
                <w:i/>
                <w:noProof/>
                <w:sz w:val="24"/>
                <w:szCs w:val="24"/>
              </w:rPr>
              <w:t>euro</w:t>
            </w:r>
            <w:r w:rsidRPr="00D1266B">
              <w:rPr>
                <w:noProof/>
                <w:sz w:val="24"/>
                <w:szCs w:val="24"/>
              </w:rPr>
              <w:t>,</w:t>
            </w:r>
          </w:p>
          <w:p w:rsidR="00C8402F" w:rsidRPr="00D1266B" w:rsidRDefault="00C8402F" w:rsidP="00EF16A9">
            <w:pPr>
              <w:pStyle w:val="ListParagraph"/>
              <w:ind w:left="347" w:hanging="347"/>
              <w:contextualSpacing w:val="0"/>
              <w:jc w:val="both"/>
              <w:rPr>
                <w:noProof/>
                <w:sz w:val="24"/>
                <w:szCs w:val="24"/>
              </w:rPr>
            </w:pPr>
            <w:r w:rsidRPr="00D1266B">
              <w:rPr>
                <w:noProof/>
                <w:sz w:val="24"/>
                <w:szCs w:val="24"/>
              </w:rPr>
              <w:t xml:space="preserve">   - administratīvās izmaksas (sakaru pakalpojumi, biroja preces) - 2 352 </w:t>
            </w:r>
            <w:r w:rsidRPr="00D1266B">
              <w:rPr>
                <w:i/>
                <w:noProof/>
                <w:sz w:val="24"/>
                <w:szCs w:val="24"/>
              </w:rPr>
              <w:t>euro</w:t>
            </w:r>
            <w:r w:rsidR="00251E2F">
              <w:rPr>
                <w:noProof/>
                <w:sz w:val="24"/>
                <w:szCs w:val="24"/>
              </w:rPr>
              <w:t>.</w:t>
            </w:r>
          </w:p>
          <w:p w:rsidR="00C8402F" w:rsidRPr="00D1266B" w:rsidRDefault="00C8402F" w:rsidP="00957FD6">
            <w:pPr>
              <w:pStyle w:val="ListParagraph"/>
              <w:spacing w:before="120"/>
              <w:ind w:left="0"/>
              <w:contextualSpacing w:val="0"/>
              <w:jc w:val="both"/>
              <w:rPr>
                <w:noProof/>
                <w:sz w:val="24"/>
                <w:szCs w:val="24"/>
              </w:rPr>
            </w:pPr>
            <w:r w:rsidRPr="00D1266B">
              <w:rPr>
                <w:noProof/>
                <w:sz w:val="24"/>
                <w:szCs w:val="24"/>
                <w:u w:val="single"/>
              </w:rPr>
              <w:t>Procentu izdevumiem</w:t>
            </w:r>
            <w:r w:rsidRPr="00D1266B">
              <w:rPr>
                <w:noProof/>
                <w:sz w:val="24"/>
                <w:szCs w:val="24"/>
              </w:rPr>
              <w:t xml:space="preserve"> (4000 kods) atbilstoši līzinga nosacīju</w:t>
            </w:r>
            <w:r w:rsidRPr="00D1266B">
              <w:rPr>
                <w:noProof/>
                <w:sz w:val="24"/>
                <w:szCs w:val="24"/>
              </w:rPr>
              <w:softHyphen/>
              <w:t xml:space="preserve">miem </w:t>
            </w:r>
            <w:r>
              <w:rPr>
                <w:noProof/>
                <w:sz w:val="24"/>
                <w:szCs w:val="24"/>
              </w:rPr>
              <w:t>–</w:t>
            </w:r>
            <w:r w:rsidRPr="00D1266B">
              <w:rPr>
                <w:noProof/>
                <w:sz w:val="24"/>
                <w:szCs w:val="24"/>
              </w:rPr>
              <w:t xml:space="preserve"> </w:t>
            </w:r>
            <w:r>
              <w:rPr>
                <w:noProof/>
                <w:sz w:val="24"/>
                <w:szCs w:val="24"/>
              </w:rPr>
              <w:t>39 181</w:t>
            </w:r>
            <w:r w:rsidRPr="00D1266B">
              <w:rPr>
                <w:noProof/>
                <w:sz w:val="24"/>
                <w:szCs w:val="24"/>
              </w:rPr>
              <w:t> </w:t>
            </w:r>
            <w:r w:rsidRPr="00D1266B">
              <w:rPr>
                <w:i/>
                <w:noProof/>
                <w:sz w:val="24"/>
                <w:szCs w:val="24"/>
              </w:rPr>
              <w:t>euro</w:t>
            </w:r>
            <w:r w:rsidR="00251E2F">
              <w:rPr>
                <w:noProof/>
                <w:sz w:val="24"/>
                <w:szCs w:val="24"/>
              </w:rPr>
              <w:t>.</w:t>
            </w:r>
          </w:p>
          <w:p w:rsidR="00C8402F" w:rsidRPr="00D1266B" w:rsidRDefault="00C8402F" w:rsidP="00957FD6">
            <w:pPr>
              <w:pStyle w:val="ListParagraph"/>
              <w:spacing w:before="120"/>
              <w:ind w:left="0"/>
              <w:contextualSpacing w:val="0"/>
              <w:jc w:val="both"/>
              <w:rPr>
                <w:noProof/>
                <w:sz w:val="24"/>
                <w:szCs w:val="24"/>
              </w:rPr>
            </w:pPr>
            <w:r w:rsidRPr="00D1266B">
              <w:rPr>
                <w:noProof/>
                <w:sz w:val="24"/>
                <w:szCs w:val="24"/>
                <w:u w:val="single"/>
              </w:rPr>
              <w:t>Pamatkapitāla veidošanai</w:t>
            </w:r>
            <w:r w:rsidRPr="00D1266B">
              <w:rPr>
                <w:noProof/>
                <w:sz w:val="24"/>
                <w:szCs w:val="24"/>
              </w:rPr>
              <w:t xml:space="preserve"> (5000 kods) </w:t>
            </w:r>
            <w:r>
              <w:rPr>
                <w:noProof/>
                <w:sz w:val="24"/>
                <w:szCs w:val="24"/>
              </w:rPr>
              <w:t>–</w:t>
            </w:r>
            <w:r w:rsidRPr="00D1266B">
              <w:rPr>
                <w:noProof/>
                <w:sz w:val="24"/>
                <w:szCs w:val="24"/>
              </w:rPr>
              <w:t xml:space="preserve"> </w:t>
            </w:r>
            <w:r>
              <w:rPr>
                <w:noProof/>
                <w:sz w:val="24"/>
                <w:szCs w:val="24"/>
              </w:rPr>
              <w:t>665 777</w:t>
            </w:r>
            <w:r w:rsidRPr="00D1266B">
              <w:rPr>
                <w:noProof/>
                <w:sz w:val="24"/>
                <w:szCs w:val="24"/>
              </w:rPr>
              <w:t> </w:t>
            </w:r>
            <w:r w:rsidRPr="00D1266B">
              <w:rPr>
                <w:i/>
                <w:noProof/>
                <w:sz w:val="24"/>
                <w:szCs w:val="24"/>
              </w:rPr>
              <w:t>euro</w:t>
            </w:r>
            <w:r w:rsidRPr="00D1266B">
              <w:rPr>
                <w:noProof/>
                <w:sz w:val="24"/>
                <w:szCs w:val="24"/>
              </w:rPr>
              <w:t>, tai skaitā:</w:t>
            </w:r>
          </w:p>
          <w:p w:rsidR="00C8402F" w:rsidRPr="00D1266B" w:rsidRDefault="00C8402F" w:rsidP="00957FD6">
            <w:pPr>
              <w:pStyle w:val="ListParagraph"/>
              <w:ind w:left="0"/>
              <w:contextualSpacing w:val="0"/>
              <w:jc w:val="both"/>
              <w:rPr>
                <w:noProof/>
                <w:sz w:val="24"/>
                <w:szCs w:val="24"/>
              </w:rPr>
            </w:pPr>
            <w:r w:rsidRPr="00D1266B">
              <w:rPr>
                <w:noProof/>
                <w:sz w:val="24"/>
                <w:szCs w:val="24"/>
              </w:rPr>
              <w:t xml:space="preserve">   - OMT remontzonas aprīkojuma iegādei - 69 249 </w:t>
            </w:r>
            <w:r w:rsidRPr="00D1266B">
              <w:rPr>
                <w:i/>
                <w:noProof/>
                <w:sz w:val="24"/>
                <w:szCs w:val="24"/>
              </w:rPr>
              <w:t>euro</w:t>
            </w:r>
            <w:r w:rsidRPr="00D1266B">
              <w:rPr>
                <w:noProof/>
                <w:sz w:val="24"/>
                <w:szCs w:val="24"/>
              </w:rPr>
              <w:t>,</w:t>
            </w:r>
          </w:p>
          <w:p w:rsidR="00C8402F" w:rsidRPr="00D1266B" w:rsidRDefault="00C8402F" w:rsidP="00957FD6">
            <w:pPr>
              <w:pStyle w:val="ListParagraph"/>
              <w:ind w:left="0"/>
              <w:contextualSpacing w:val="0"/>
              <w:jc w:val="both"/>
              <w:rPr>
                <w:noProof/>
                <w:sz w:val="24"/>
                <w:szCs w:val="24"/>
              </w:rPr>
            </w:pPr>
            <w:r w:rsidRPr="00D1266B">
              <w:rPr>
                <w:noProof/>
                <w:sz w:val="24"/>
                <w:szCs w:val="24"/>
              </w:rPr>
              <w:lastRenderedPageBreak/>
              <w:t xml:space="preserve">   - administratīvā personāla darba vietu ierīkošanai - 8028 </w:t>
            </w:r>
            <w:r w:rsidRPr="00D1266B">
              <w:rPr>
                <w:i/>
                <w:noProof/>
                <w:sz w:val="24"/>
                <w:szCs w:val="24"/>
              </w:rPr>
              <w:t>euro</w:t>
            </w:r>
            <w:r w:rsidRPr="00D1266B">
              <w:rPr>
                <w:noProof/>
                <w:sz w:val="24"/>
                <w:szCs w:val="24"/>
              </w:rPr>
              <w:t>,</w:t>
            </w:r>
          </w:p>
          <w:p w:rsidR="00C8402F" w:rsidRPr="00D1266B" w:rsidRDefault="00C8402F" w:rsidP="00957FD6">
            <w:pPr>
              <w:pStyle w:val="ListParagraph"/>
              <w:ind w:left="0"/>
              <w:contextualSpacing w:val="0"/>
              <w:jc w:val="both"/>
              <w:rPr>
                <w:noProof/>
                <w:sz w:val="24"/>
                <w:szCs w:val="24"/>
              </w:rPr>
            </w:pPr>
            <w:r w:rsidRPr="00D1266B">
              <w:rPr>
                <w:noProof/>
                <w:sz w:val="24"/>
                <w:szCs w:val="24"/>
              </w:rPr>
              <w:t xml:space="preserve">   - jauno OMT iegādei līzingā, pārņemot Rīgas RC </w:t>
            </w:r>
            <w:r>
              <w:rPr>
                <w:noProof/>
                <w:sz w:val="24"/>
                <w:szCs w:val="24"/>
              </w:rPr>
              <w:t>–</w:t>
            </w:r>
            <w:r w:rsidRPr="00D1266B">
              <w:rPr>
                <w:noProof/>
                <w:sz w:val="24"/>
                <w:szCs w:val="24"/>
              </w:rPr>
              <w:t xml:space="preserve"> </w:t>
            </w:r>
            <w:r>
              <w:rPr>
                <w:noProof/>
                <w:sz w:val="24"/>
                <w:szCs w:val="24"/>
              </w:rPr>
              <w:t>588 500</w:t>
            </w:r>
            <w:r w:rsidRPr="00D1266B">
              <w:rPr>
                <w:noProof/>
                <w:sz w:val="24"/>
                <w:szCs w:val="24"/>
              </w:rPr>
              <w:t> </w:t>
            </w:r>
            <w:r w:rsidRPr="00D1266B">
              <w:rPr>
                <w:i/>
                <w:noProof/>
                <w:sz w:val="24"/>
                <w:szCs w:val="24"/>
              </w:rPr>
              <w:t>euro</w:t>
            </w:r>
            <w:r w:rsidRPr="00D1266B">
              <w:rPr>
                <w:noProof/>
                <w:sz w:val="24"/>
                <w:szCs w:val="24"/>
              </w:rPr>
              <w:t>.</w:t>
            </w:r>
          </w:p>
          <w:p w:rsidR="00C8402F" w:rsidRPr="00D1266B" w:rsidRDefault="00C8402F" w:rsidP="001F640D">
            <w:pPr>
              <w:pStyle w:val="ListParagraph"/>
              <w:spacing w:before="120"/>
              <w:ind w:left="0"/>
              <w:contextualSpacing w:val="0"/>
              <w:jc w:val="both"/>
              <w:rPr>
                <w:noProof/>
                <w:sz w:val="24"/>
                <w:szCs w:val="24"/>
              </w:rPr>
            </w:pPr>
            <w:r w:rsidRPr="00D1266B">
              <w:rPr>
                <w:b/>
                <w:noProof/>
                <w:sz w:val="24"/>
                <w:szCs w:val="24"/>
              </w:rPr>
              <w:t xml:space="preserve">Kopā 2015.gadā </w:t>
            </w:r>
            <w:r w:rsidRPr="00D1266B">
              <w:rPr>
                <w:noProof/>
                <w:sz w:val="24"/>
                <w:szCs w:val="24"/>
              </w:rPr>
              <w:t>(8 mēnešiem) Rīgas RC nepieciešams:</w:t>
            </w:r>
          </w:p>
          <w:p w:rsidR="00C8402F" w:rsidRPr="00D1266B" w:rsidRDefault="00C8402F" w:rsidP="00C8402F">
            <w:pPr>
              <w:pStyle w:val="ListParagraph"/>
              <w:ind w:left="0"/>
              <w:contextualSpacing w:val="0"/>
              <w:jc w:val="both"/>
              <w:rPr>
                <w:i/>
                <w:noProof/>
                <w:sz w:val="24"/>
                <w:szCs w:val="24"/>
              </w:rPr>
            </w:pPr>
            <w:r w:rsidRPr="00D1266B">
              <w:rPr>
                <w:noProof/>
                <w:sz w:val="24"/>
                <w:szCs w:val="24"/>
              </w:rPr>
              <w:t>(2 573</w:t>
            </w:r>
            <w:r>
              <w:rPr>
                <w:noProof/>
                <w:sz w:val="24"/>
                <w:szCs w:val="24"/>
              </w:rPr>
              <w:t> </w:t>
            </w:r>
            <w:r w:rsidRPr="00D1266B">
              <w:rPr>
                <w:noProof/>
                <w:sz w:val="24"/>
                <w:szCs w:val="24"/>
              </w:rPr>
              <w:t>757</w:t>
            </w:r>
            <w:r>
              <w:rPr>
                <w:noProof/>
                <w:sz w:val="24"/>
                <w:szCs w:val="24"/>
              </w:rPr>
              <w:t xml:space="preserve"> </w:t>
            </w:r>
            <w:r w:rsidRPr="00D1266B">
              <w:rPr>
                <w:noProof/>
                <w:sz w:val="24"/>
                <w:szCs w:val="24"/>
              </w:rPr>
              <w:t>+</w:t>
            </w:r>
            <w:r>
              <w:rPr>
                <w:noProof/>
                <w:sz w:val="24"/>
                <w:szCs w:val="24"/>
              </w:rPr>
              <w:t xml:space="preserve"> </w:t>
            </w:r>
            <w:r w:rsidRPr="00D1266B">
              <w:rPr>
                <w:noProof/>
                <w:sz w:val="24"/>
                <w:szCs w:val="24"/>
              </w:rPr>
              <w:t>1 539 369 +</w:t>
            </w:r>
            <w:r>
              <w:rPr>
                <w:noProof/>
                <w:sz w:val="24"/>
                <w:szCs w:val="24"/>
              </w:rPr>
              <w:t xml:space="preserve"> 39 181</w:t>
            </w:r>
            <w:r w:rsidRPr="00D1266B">
              <w:rPr>
                <w:noProof/>
                <w:sz w:val="24"/>
                <w:szCs w:val="24"/>
              </w:rPr>
              <w:t> </w:t>
            </w:r>
            <w:r w:rsidRPr="00C8402F">
              <w:rPr>
                <w:noProof/>
                <w:sz w:val="24"/>
                <w:szCs w:val="24"/>
              </w:rPr>
              <w:t>+</w:t>
            </w:r>
            <w:r>
              <w:rPr>
                <w:noProof/>
                <w:sz w:val="24"/>
                <w:szCs w:val="24"/>
              </w:rPr>
              <w:t xml:space="preserve"> 665 777</w:t>
            </w:r>
            <w:r w:rsidRPr="00D1266B">
              <w:rPr>
                <w:noProof/>
                <w:sz w:val="24"/>
                <w:szCs w:val="24"/>
              </w:rPr>
              <w:t> ) </w:t>
            </w:r>
            <w:r w:rsidRPr="00C8402F">
              <w:rPr>
                <w:noProof/>
                <w:sz w:val="24"/>
                <w:szCs w:val="24"/>
              </w:rPr>
              <w:t>euro = </w:t>
            </w:r>
            <w:r w:rsidRPr="00D1266B">
              <w:rPr>
                <w:b/>
                <w:noProof/>
                <w:sz w:val="24"/>
                <w:szCs w:val="24"/>
              </w:rPr>
              <w:t>4 818</w:t>
            </w:r>
            <w:r>
              <w:rPr>
                <w:b/>
                <w:noProof/>
                <w:sz w:val="24"/>
                <w:szCs w:val="24"/>
              </w:rPr>
              <w:t> </w:t>
            </w:r>
            <w:r w:rsidRPr="00D1266B">
              <w:rPr>
                <w:b/>
                <w:noProof/>
                <w:sz w:val="24"/>
                <w:szCs w:val="24"/>
              </w:rPr>
              <w:t xml:space="preserve">084 </w:t>
            </w:r>
            <w:r w:rsidRPr="00D1266B">
              <w:rPr>
                <w:b/>
                <w:i/>
                <w:noProof/>
                <w:sz w:val="24"/>
                <w:szCs w:val="24"/>
              </w:rPr>
              <w:t>euro</w:t>
            </w:r>
            <w:r>
              <w:rPr>
                <w:noProof/>
                <w:sz w:val="24"/>
                <w:szCs w:val="24"/>
              </w:rPr>
              <w:t>, kas atbilst pieejamā finansējuma apmēram</w:t>
            </w:r>
            <w:r w:rsidRPr="00D1266B">
              <w:rPr>
                <w:noProof/>
                <w:sz w:val="24"/>
                <w:szCs w:val="24"/>
              </w:rPr>
              <w:t xml:space="preserve"> 2015.gada 8 mēnešiem</w:t>
            </w:r>
            <w:r>
              <w:rPr>
                <w:i/>
                <w:noProof/>
                <w:sz w:val="24"/>
                <w:szCs w:val="24"/>
              </w:rPr>
              <w:t>.</w:t>
            </w:r>
          </w:p>
          <w:p w:rsidR="00C8402F" w:rsidRPr="00D1266B" w:rsidRDefault="00C8402F" w:rsidP="002C3335">
            <w:pPr>
              <w:pStyle w:val="ListParagraph"/>
              <w:spacing w:before="120"/>
              <w:ind w:left="0"/>
              <w:contextualSpacing w:val="0"/>
              <w:jc w:val="both"/>
              <w:rPr>
                <w:noProof/>
                <w:sz w:val="24"/>
                <w:szCs w:val="24"/>
              </w:rPr>
            </w:pPr>
          </w:p>
          <w:p w:rsidR="00C8402F" w:rsidRPr="00D1266B" w:rsidRDefault="00C8402F" w:rsidP="00957FD6">
            <w:pPr>
              <w:pStyle w:val="ListParagraph"/>
              <w:ind w:left="0"/>
              <w:contextualSpacing w:val="0"/>
              <w:jc w:val="both"/>
              <w:rPr>
                <w:noProof/>
                <w:sz w:val="24"/>
                <w:szCs w:val="24"/>
              </w:rPr>
            </w:pPr>
            <w:r w:rsidRPr="00D1266B">
              <w:rPr>
                <w:b/>
                <w:noProof/>
                <w:sz w:val="24"/>
                <w:szCs w:val="24"/>
                <w:u w:val="single"/>
              </w:rPr>
              <w:t>2016.gadā</w:t>
            </w:r>
            <w:r w:rsidRPr="00D1266B">
              <w:rPr>
                <w:noProof/>
                <w:sz w:val="24"/>
                <w:szCs w:val="24"/>
              </w:rPr>
              <w:t xml:space="preserve">:  </w:t>
            </w:r>
          </w:p>
          <w:p w:rsidR="00C8402F" w:rsidRPr="00D1266B" w:rsidRDefault="00C8402F" w:rsidP="00957FD6">
            <w:pPr>
              <w:pStyle w:val="ListParagraph"/>
              <w:spacing w:before="120"/>
              <w:ind w:left="0"/>
              <w:contextualSpacing w:val="0"/>
              <w:jc w:val="both"/>
              <w:rPr>
                <w:noProof/>
                <w:sz w:val="24"/>
                <w:szCs w:val="24"/>
              </w:rPr>
            </w:pPr>
            <w:r w:rsidRPr="00D1266B">
              <w:rPr>
                <w:noProof/>
                <w:sz w:val="24"/>
                <w:szCs w:val="24"/>
                <w:u w:val="single"/>
              </w:rPr>
              <w:t>Atlīdzībai</w:t>
            </w:r>
            <w:r w:rsidRPr="00D1266B">
              <w:rPr>
                <w:noProof/>
                <w:sz w:val="24"/>
                <w:szCs w:val="24"/>
              </w:rPr>
              <w:t xml:space="preserve"> (1000 kods) - 4 105 999 </w:t>
            </w:r>
            <w:r w:rsidRPr="00D1266B">
              <w:rPr>
                <w:i/>
                <w:noProof/>
                <w:sz w:val="24"/>
                <w:szCs w:val="24"/>
              </w:rPr>
              <w:t>euro</w:t>
            </w:r>
            <w:r w:rsidRPr="00D1266B">
              <w:rPr>
                <w:noProof/>
                <w:sz w:val="24"/>
                <w:szCs w:val="24"/>
              </w:rPr>
              <w:t xml:space="preserve">, tai skaitā: </w:t>
            </w:r>
          </w:p>
          <w:p w:rsidR="00C8402F" w:rsidRPr="00D1266B" w:rsidRDefault="00C8402F" w:rsidP="00957FD6">
            <w:pPr>
              <w:pStyle w:val="ListParagraph"/>
              <w:ind w:left="346" w:hanging="346"/>
              <w:contextualSpacing w:val="0"/>
              <w:jc w:val="both"/>
              <w:rPr>
                <w:noProof/>
                <w:sz w:val="24"/>
                <w:szCs w:val="24"/>
              </w:rPr>
            </w:pPr>
            <w:r w:rsidRPr="00D1266B">
              <w:rPr>
                <w:noProof/>
                <w:sz w:val="24"/>
                <w:szCs w:val="24"/>
              </w:rPr>
              <w:t xml:space="preserve">   - atalgo</w:t>
            </w:r>
            <w:r w:rsidRPr="00D1266B">
              <w:rPr>
                <w:noProof/>
                <w:sz w:val="24"/>
                <w:szCs w:val="24"/>
              </w:rPr>
              <w:softHyphen/>
              <w:t xml:space="preserve">jumam OMT vadītājiem (ieskaitot piemaksas par risku un nakts darbu), tehniskajam personālam, finanšu un personāla speciālistiem (1100 kods) - 3 238 449 </w:t>
            </w:r>
            <w:r w:rsidRPr="00D1266B">
              <w:rPr>
                <w:i/>
                <w:noProof/>
                <w:sz w:val="24"/>
                <w:szCs w:val="24"/>
              </w:rPr>
              <w:t>euro</w:t>
            </w:r>
            <w:r w:rsidRPr="00D1266B">
              <w:rPr>
                <w:noProof/>
                <w:sz w:val="24"/>
                <w:szCs w:val="24"/>
              </w:rPr>
              <w:t>,</w:t>
            </w:r>
          </w:p>
          <w:p w:rsidR="00C8402F" w:rsidRPr="00D1266B" w:rsidRDefault="00C8402F" w:rsidP="00957FD6">
            <w:pPr>
              <w:pStyle w:val="ListParagraph"/>
              <w:ind w:left="346" w:hanging="346"/>
              <w:contextualSpacing w:val="0"/>
              <w:jc w:val="both"/>
              <w:rPr>
                <w:noProof/>
                <w:sz w:val="24"/>
                <w:szCs w:val="24"/>
              </w:rPr>
            </w:pPr>
            <w:r w:rsidRPr="00D1266B">
              <w:rPr>
                <w:noProof/>
                <w:sz w:val="24"/>
                <w:szCs w:val="24"/>
              </w:rPr>
              <w:t xml:space="preserve">   - sociālajam nodoklim, pabalstiem un kompensācijām (1200 kods) - 863 550 </w:t>
            </w:r>
            <w:r w:rsidRPr="00D1266B">
              <w:rPr>
                <w:i/>
                <w:noProof/>
                <w:sz w:val="24"/>
                <w:szCs w:val="24"/>
              </w:rPr>
              <w:t>euro</w:t>
            </w:r>
            <w:r w:rsidRPr="00D1266B">
              <w:rPr>
                <w:noProof/>
                <w:sz w:val="24"/>
                <w:szCs w:val="24"/>
              </w:rPr>
              <w:t>,</w:t>
            </w:r>
          </w:p>
          <w:p w:rsidR="00C8402F" w:rsidRPr="00D1266B" w:rsidRDefault="00C8402F" w:rsidP="00957FD6">
            <w:pPr>
              <w:pStyle w:val="ListParagraph"/>
              <w:ind w:left="347" w:hanging="347"/>
              <w:contextualSpacing w:val="0"/>
              <w:jc w:val="both"/>
              <w:rPr>
                <w:noProof/>
                <w:sz w:val="24"/>
                <w:szCs w:val="24"/>
              </w:rPr>
            </w:pPr>
            <w:r w:rsidRPr="00D1266B">
              <w:rPr>
                <w:noProof/>
                <w:sz w:val="24"/>
                <w:szCs w:val="24"/>
              </w:rPr>
              <w:t xml:space="preserve">   - nelaimes gadījumu apdrošināšanai (1200 kods) - 4 000 </w:t>
            </w:r>
            <w:r w:rsidRPr="00D1266B">
              <w:rPr>
                <w:i/>
                <w:noProof/>
                <w:sz w:val="24"/>
                <w:szCs w:val="24"/>
              </w:rPr>
              <w:t>euro</w:t>
            </w:r>
            <w:r w:rsidR="00251E2F">
              <w:rPr>
                <w:noProof/>
                <w:sz w:val="24"/>
                <w:szCs w:val="24"/>
              </w:rPr>
              <w:t>.</w:t>
            </w:r>
          </w:p>
          <w:p w:rsidR="00C8402F" w:rsidRPr="00D1266B" w:rsidRDefault="00C8402F" w:rsidP="00957FD6">
            <w:pPr>
              <w:pStyle w:val="ListParagraph"/>
              <w:spacing w:before="120"/>
              <w:ind w:left="0"/>
              <w:contextualSpacing w:val="0"/>
              <w:jc w:val="both"/>
              <w:rPr>
                <w:noProof/>
                <w:sz w:val="24"/>
                <w:szCs w:val="24"/>
              </w:rPr>
            </w:pPr>
            <w:r w:rsidRPr="00D1266B">
              <w:rPr>
                <w:noProof/>
                <w:sz w:val="24"/>
                <w:szCs w:val="24"/>
                <w:u w:val="single"/>
              </w:rPr>
              <w:t>Precēm un pakalpojumiem</w:t>
            </w:r>
            <w:r w:rsidRPr="00D1266B">
              <w:rPr>
                <w:noProof/>
                <w:sz w:val="24"/>
                <w:szCs w:val="24"/>
              </w:rPr>
              <w:t xml:space="preserve"> (2000 kods) sakarā ar RRC pārņemšanu  - </w:t>
            </w:r>
            <w:r w:rsidRPr="00D1266B">
              <w:rPr>
                <w:sz w:val="24"/>
                <w:szCs w:val="24"/>
              </w:rPr>
              <w:t>1 727 572</w:t>
            </w:r>
            <w:r w:rsidRPr="00D1266B">
              <w:rPr>
                <w:noProof/>
                <w:sz w:val="24"/>
                <w:szCs w:val="24"/>
              </w:rPr>
              <w:t xml:space="preserve"> euro, tai skaitā:</w:t>
            </w:r>
          </w:p>
          <w:p w:rsidR="00C8402F" w:rsidRPr="00D1266B" w:rsidRDefault="00C8402F" w:rsidP="00957FD6">
            <w:pPr>
              <w:pStyle w:val="ListParagraph"/>
              <w:ind w:left="0"/>
              <w:contextualSpacing w:val="0"/>
              <w:jc w:val="both"/>
              <w:rPr>
                <w:noProof/>
                <w:sz w:val="24"/>
                <w:szCs w:val="24"/>
              </w:rPr>
            </w:pPr>
            <w:r w:rsidRPr="00D1266B">
              <w:rPr>
                <w:noProof/>
                <w:sz w:val="24"/>
                <w:szCs w:val="24"/>
              </w:rPr>
              <w:t xml:space="preserve">   - remontzonas telpu uzturēšanas izmaksas - 76 032 </w:t>
            </w:r>
            <w:r w:rsidRPr="00D1266B">
              <w:rPr>
                <w:i/>
                <w:noProof/>
                <w:sz w:val="24"/>
                <w:szCs w:val="24"/>
              </w:rPr>
              <w:t>euro</w:t>
            </w:r>
            <w:r w:rsidRPr="00D1266B">
              <w:rPr>
                <w:noProof/>
                <w:sz w:val="24"/>
                <w:szCs w:val="24"/>
              </w:rPr>
              <w:t>,</w:t>
            </w:r>
          </w:p>
          <w:p w:rsidR="00C8402F" w:rsidRPr="00D1266B" w:rsidRDefault="00C8402F" w:rsidP="00957FD6">
            <w:pPr>
              <w:pStyle w:val="ListParagraph"/>
              <w:ind w:left="0"/>
              <w:contextualSpacing w:val="0"/>
              <w:jc w:val="both"/>
              <w:rPr>
                <w:noProof/>
                <w:sz w:val="24"/>
                <w:szCs w:val="24"/>
              </w:rPr>
            </w:pPr>
            <w:r w:rsidRPr="00D1266B">
              <w:rPr>
                <w:noProof/>
                <w:sz w:val="24"/>
                <w:szCs w:val="24"/>
              </w:rPr>
              <w:t xml:space="preserve">   - degvielas iegāde OMT un saimnieciskajam transportam, t.sk.:</w:t>
            </w:r>
          </w:p>
          <w:p w:rsidR="00C8402F" w:rsidRPr="00D1266B" w:rsidRDefault="00C8402F" w:rsidP="00957FD6">
            <w:pPr>
              <w:pStyle w:val="ListParagraph"/>
              <w:ind w:left="0"/>
              <w:contextualSpacing w:val="0"/>
              <w:jc w:val="both"/>
              <w:rPr>
                <w:noProof/>
                <w:sz w:val="24"/>
                <w:szCs w:val="24"/>
              </w:rPr>
            </w:pPr>
            <w:r w:rsidRPr="00D1266B">
              <w:rPr>
                <w:noProof/>
                <w:sz w:val="24"/>
                <w:szCs w:val="24"/>
              </w:rPr>
              <w:tab/>
              <w:t xml:space="preserve">OMT - 1 091 034 </w:t>
            </w:r>
            <w:r w:rsidRPr="00D1266B">
              <w:rPr>
                <w:i/>
                <w:noProof/>
                <w:sz w:val="24"/>
                <w:szCs w:val="24"/>
              </w:rPr>
              <w:t>euro</w:t>
            </w:r>
            <w:r w:rsidRPr="00D1266B">
              <w:rPr>
                <w:noProof/>
                <w:sz w:val="24"/>
                <w:szCs w:val="24"/>
              </w:rPr>
              <w:t>,</w:t>
            </w:r>
          </w:p>
          <w:p w:rsidR="00C8402F" w:rsidRPr="00D1266B" w:rsidRDefault="00C8402F" w:rsidP="00957FD6">
            <w:pPr>
              <w:pStyle w:val="ListParagraph"/>
              <w:ind w:left="0"/>
              <w:contextualSpacing w:val="0"/>
              <w:jc w:val="both"/>
              <w:rPr>
                <w:noProof/>
                <w:sz w:val="24"/>
                <w:szCs w:val="24"/>
              </w:rPr>
            </w:pPr>
            <w:r w:rsidRPr="00D1266B">
              <w:rPr>
                <w:noProof/>
                <w:sz w:val="24"/>
                <w:szCs w:val="24"/>
              </w:rPr>
              <w:tab/>
              <w:t xml:space="preserve">saimnieciskajam transportam - 25 264 </w:t>
            </w:r>
            <w:r w:rsidRPr="00D1266B">
              <w:rPr>
                <w:i/>
                <w:noProof/>
                <w:sz w:val="24"/>
                <w:szCs w:val="24"/>
              </w:rPr>
              <w:t>euro</w:t>
            </w:r>
            <w:r w:rsidRPr="00D1266B">
              <w:rPr>
                <w:noProof/>
                <w:sz w:val="24"/>
                <w:szCs w:val="24"/>
              </w:rPr>
              <w:t>,</w:t>
            </w:r>
          </w:p>
          <w:p w:rsidR="00C8402F" w:rsidRPr="00D1266B" w:rsidRDefault="00C8402F" w:rsidP="00957FD6">
            <w:pPr>
              <w:pStyle w:val="ListParagraph"/>
              <w:ind w:left="0"/>
              <w:contextualSpacing w:val="0"/>
              <w:jc w:val="both"/>
              <w:rPr>
                <w:noProof/>
                <w:sz w:val="24"/>
                <w:szCs w:val="24"/>
              </w:rPr>
            </w:pPr>
            <w:r w:rsidRPr="00D1266B">
              <w:rPr>
                <w:noProof/>
                <w:sz w:val="24"/>
                <w:szCs w:val="24"/>
              </w:rPr>
              <w:t xml:space="preserve">   - transportlīdzekļu remonts un uzturēšana - 519 731 </w:t>
            </w:r>
            <w:r w:rsidRPr="00D1266B">
              <w:rPr>
                <w:i/>
                <w:noProof/>
                <w:sz w:val="24"/>
                <w:szCs w:val="24"/>
              </w:rPr>
              <w:t>euro</w:t>
            </w:r>
            <w:r w:rsidRPr="00D1266B">
              <w:rPr>
                <w:noProof/>
                <w:sz w:val="24"/>
                <w:szCs w:val="24"/>
              </w:rPr>
              <w:t>,</w:t>
            </w:r>
          </w:p>
          <w:p w:rsidR="00C8402F" w:rsidRPr="00D1266B" w:rsidRDefault="00C8402F" w:rsidP="00957FD6">
            <w:pPr>
              <w:pStyle w:val="ListParagraph"/>
              <w:ind w:left="0"/>
              <w:contextualSpacing w:val="0"/>
              <w:jc w:val="both"/>
              <w:rPr>
                <w:noProof/>
                <w:sz w:val="24"/>
                <w:szCs w:val="24"/>
              </w:rPr>
            </w:pPr>
            <w:r w:rsidRPr="00D1266B">
              <w:rPr>
                <w:noProof/>
                <w:sz w:val="24"/>
                <w:szCs w:val="24"/>
              </w:rPr>
              <w:t xml:space="preserve">   - darba apģērbu iegāde un noma - 9 727 </w:t>
            </w:r>
            <w:r w:rsidRPr="00D1266B">
              <w:rPr>
                <w:i/>
                <w:noProof/>
                <w:sz w:val="24"/>
                <w:szCs w:val="24"/>
              </w:rPr>
              <w:t>euro</w:t>
            </w:r>
            <w:r w:rsidRPr="00D1266B">
              <w:rPr>
                <w:noProof/>
                <w:sz w:val="24"/>
                <w:szCs w:val="24"/>
              </w:rPr>
              <w:t>,</w:t>
            </w:r>
          </w:p>
          <w:p w:rsidR="00C8402F" w:rsidRPr="00D1266B" w:rsidRDefault="00C8402F" w:rsidP="00957FD6">
            <w:pPr>
              <w:pStyle w:val="ListParagraph"/>
              <w:ind w:left="347" w:hanging="347"/>
              <w:contextualSpacing w:val="0"/>
              <w:jc w:val="both"/>
              <w:rPr>
                <w:noProof/>
                <w:sz w:val="24"/>
                <w:szCs w:val="24"/>
              </w:rPr>
            </w:pPr>
            <w:r w:rsidRPr="00D1266B">
              <w:rPr>
                <w:noProof/>
                <w:sz w:val="24"/>
                <w:szCs w:val="24"/>
              </w:rPr>
              <w:t xml:space="preserve">   - veselības aprūpe (darbinieku obligātās veselības pārbaudes un vakcinācija) - 2 255 </w:t>
            </w:r>
            <w:r w:rsidRPr="00D1266B">
              <w:rPr>
                <w:i/>
                <w:noProof/>
                <w:sz w:val="24"/>
                <w:szCs w:val="24"/>
              </w:rPr>
              <w:t>euro</w:t>
            </w:r>
            <w:r w:rsidRPr="00D1266B">
              <w:rPr>
                <w:noProof/>
                <w:sz w:val="24"/>
                <w:szCs w:val="24"/>
              </w:rPr>
              <w:t>,</w:t>
            </w:r>
          </w:p>
          <w:p w:rsidR="00C8402F" w:rsidRPr="00D1266B" w:rsidRDefault="00C8402F" w:rsidP="00957FD6">
            <w:pPr>
              <w:pStyle w:val="ListParagraph"/>
              <w:ind w:left="347" w:hanging="347"/>
              <w:contextualSpacing w:val="0"/>
              <w:jc w:val="both"/>
              <w:rPr>
                <w:noProof/>
                <w:sz w:val="24"/>
                <w:szCs w:val="24"/>
              </w:rPr>
            </w:pPr>
            <w:r w:rsidRPr="00D1266B">
              <w:rPr>
                <w:noProof/>
                <w:sz w:val="24"/>
                <w:szCs w:val="24"/>
              </w:rPr>
              <w:t xml:space="preserve">   - administratīvās izmaksas - 3 529 </w:t>
            </w:r>
            <w:r w:rsidRPr="00D1266B">
              <w:rPr>
                <w:i/>
                <w:noProof/>
                <w:sz w:val="24"/>
                <w:szCs w:val="24"/>
              </w:rPr>
              <w:t>euro</w:t>
            </w:r>
            <w:r w:rsidR="00251E2F">
              <w:rPr>
                <w:noProof/>
                <w:sz w:val="24"/>
                <w:szCs w:val="24"/>
              </w:rPr>
              <w:t>.</w:t>
            </w:r>
          </w:p>
          <w:p w:rsidR="00C8402F" w:rsidRPr="00D1266B" w:rsidRDefault="00C8402F" w:rsidP="00957FD6">
            <w:pPr>
              <w:pStyle w:val="ListParagraph"/>
              <w:spacing w:before="120"/>
              <w:ind w:left="0"/>
              <w:contextualSpacing w:val="0"/>
              <w:jc w:val="both"/>
              <w:rPr>
                <w:noProof/>
                <w:sz w:val="24"/>
                <w:szCs w:val="24"/>
              </w:rPr>
            </w:pPr>
            <w:r w:rsidRPr="00D1266B">
              <w:rPr>
                <w:noProof/>
                <w:sz w:val="24"/>
                <w:szCs w:val="24"/>
                <w:u w:val="single"/>
              </w:rPr>
              <w:t>Procentu izdevumiem</w:t>
            </w:r>
            <w:r w:rsidRPr="00D1266B">
              <w:rPr>
                <w:noProof/>
                <w:sz w:val="24"/>
                <w:szCs w:val="24"/>
              </w:rPr>
              <w:t xml:space="preserve"> (4000 kods) atbilstoši līzinga nosacīju</w:t>
            </w:r>
            <w:r w:rsidRPr="00D1266B">
              <w:rPr>
                <w:noProof/>
                <w:sz w:val="24"/>
                <w:szCs w:val="24"/>
              </w:rPr>
              <w:softHyphen/>
              <w:t xml:space="preserve">miem </w:t>
            </w:r>
            <w:r>
              <w:rPr>
                <w:noProof/>
                <w:sz w:val="24"/>
                <w:szCs w:val="24"/>
              </w:rPr>
              <w:t>–</w:t>
            </w:r>
            <w:r w:rsidRPr="00D1266B">
              <w:rPr>
                <w:noProof/>
                <w:sz w:val="24"/>
                <w:szCs w:val="24"/>
              </w:rPr>
              <w:t xml:space="preserve"> </w:t>
            </w:r>
            <w:r>
              <w:rPr>
                <w:noProof/>
                <w:sz w:val="24"/>
                <w:szCs w:val="24"/>
              </w:rPr>
              <w:t>149 019</w:t>
            </w:r>
            <w:r w:rsidRPr="00D1266B">
              <w:rPr>
                <w:noProof/>
                <w:sz w:val="24"/>
                <w:szCs w:val="24"/>
              </w:rPr>
              <w:t> </w:t>
            </w:r>
            <w:r w:rsidRPr="00D1266B">
              <w:rPr>
                <w:i/>
                <w:noProof/>
                <w:sz w:val="24"/>
                <w:szCs w:val="24"/>
              </w:rPr>
              <w:t>euro</w:t>
            </w:r>
            <w:r w:rsidR="00251E2F">
              <w:rPr>
                <w:noProof/>
                <w:sz w:val="24"/>
                <w:szCs w:val="24"/>
              </w:rPr>
              <w:t>.</w:t>
            </w:r>
          </w:p>
          <w:p w:rsidR="00C8402F" w:rsidRPr="00D1266B" w:rsidRDefault="00C8402F" w:rsidP="00C8402F">
            <w:pPr>
              <w:pStyle w:val="ListParagraph"/>
              <w:spacing w:before="120"/>
              <w:ind w:left="0"/>
              <w:contextualSpacing w:val="0"/>
              <w:jc w:val="both"/>
              <w:rPr>
                <w:noProof/>
                <w:sz w:val="24"/>
                <w:szCs w:val="24"/>
              </w:rPr>
            </w:pPr>
            <w:r w:rsidRPr="00D1266B">
              <w:rPr>
                <w:noProof/>
                <w:sz w:val="24"/>
                <w:szCs w:val="24"/>
                <w:u w:val="single"/>
              </w:rPr>
              <w:t>Pamatkapitāla veidošanai</w:t>
            </w:r>
            <w:r w:rsidRPr="00D1266B">
              <w:rPr>
                <w:noProof/>
                <w:sz w:val="24"/>
                <w:szCs w:val="24"/>
              </w:rPr>
              <w:t xml:space="preserve"> (5000 kods):</w:t>
            </w:r>
          </w:p>
          <w:p w:rsidR="00BF2BB8" w:rsidRPr="00D1266B" w:rsidRDefault="00C8402F" w:rsidP="00957FD6">
            <w:pPr>
              <w:pStyle w:val="ListParagraph"/>
              <w:ind w:left="0"/>
              <w:contextualSpacing w:val="0"/>
              <w:jc w:val="both"/>
              <w:rPr>
                <w:noProof/>
                <w:sz w:val="24"/>
                <w:szCs w:val="24"/>
              </w:rPr>
            </w:pPr>
            <w:r w:rsidRPr="00D1266B">
              <w:rPr>
                <w:noProof/>
                <w:sz w:val="24"/>
                <w:szCs w:val="24"/>
              </w:rPr>
              <w:t xml:space="preserve">   - jauno OMT iegādei līzingā, pārņemot Rīgas RC </w:t>
            </w:r>
            <w:r>
              <w:rPr>
                <w:noProof/>
                <w:sz w:val="24"/>
                <w:szCs w:val="24"/>
              </w:rPr>
              <w:t>–</w:t>
            </w:r>
            <w:r w:rsidRPr="00D1266B">
              <w:rPr>
                <w:noProof/>
                <w:sz w:val="24"/>
                <w:szCs w:val="24"/>
              </w:rPr>
              <w:t xml:space="preserve"> </w:t>
            </w:r>
            <w:r>
              <w:rPr>
                <w:noProof/>
                <w:sz w:val="24"/>
                <w:szCs w:val="24"/>
              </w:rPr>
              <w:t>1 553 840</w:t>
            </w:r>
            <w:r w:rsidRPr="00D1266B">
              <w:rPr>
                <w:noProof/>
                <w:sz w:val="24"/>
                <w:szCs w:val="24"/>
              </w:rPr>
              <w:t> </w:t>
            </w:r>
            <w:r w:rsidRPr="00D1266B">
              <w:rPr>
                <w:i/>
                <w:noProof/>
                <w:sz w:val="24"/>
                <w:szCs w:val="24"/>
              </w:rPr>
              <w:t>euro</w:t>
            </w:r>
            <w:r w:rsidRPr="00D1266B">
              <w:rPr>
                <w:noProof/>
                <w:sz w:val="24"/>
                <w:szCs w:val="24"/>
              </w:rPr>
              <w:t>.</w:t>
            </w:r>
          </w:p>
          <w:p w:rsidR="00C8402F" w:rsidRPr="00D1266B" w:rsidRDefault="00C8402F" w:rsidP="00957FD6">
            <w:pPr>
              <w:pStyle w:val="ListParagraph"/>
              <w:spacing w:before="120"/>
              <w:ind w:left="0"/>
              <w:contextualSpacing w:val="0"/>
              <w:jc w:val="both"/>
              <w:rPr>
                <w:noProof/>
                <w:sz w:val="24"/>
                <w:szCs w:val="24"/>
              </w:rPr>
            </w:pPr>
            <w:r w:rsidRPr="00D1266B">
              <w:rPr>
                <w:b/>
                <w:noProof/>
                <w:sz w:val="24"/>
                <w:szCs w:val="24"/>
              </w:rPr>
              <w:t xml:space="preserve">Kopā 2016.gadā </w:t>
            </w:r>
            <w:r w:rsidRPr="00D1266B">
              <w:rPr>
                <w:noProof/>
                <w:sz w:val="24"/>
                <w:szCs w:val="24"/>
              </w:rPr>
              <w:t>Rīgas RC nepieciešams:</w:t>
            </w:r>
          </w:p>
          <w:p w:rsidR="00C8402F" w:rsidRPr="00D1266B" w:rsidRDefault="00C8402F" w:rsidP="00957FD6">
            <w:pPr>
              <w:pStyle w:val="ListParagraph"/>
              <w:ind w:left="0"/>
              <w:contextualSpacing w:val="0"/>
              <w:jc w:val="both"/>
              <w:rPr>
                <w:noProof/>
                <w:sz w:val="24"/>
                <w:szCs w:val="24"/>
              </w:rPr>
            </w:pPr>
            <w:r w:rsidRPr="00D1266B">
              <w:rPr>
                <w:noProof/>
                <w:sz w:val="24"/>
                <w:szCs w:val="24"/>
              </w:rPr>
              <w:t>(4 105 999 +</w:t>
            </w:r>
            <w:r>
              <w:rPr>
                <w:noProof/>
                <w:sz w:val="24"/>
                <w:szCs w:val="24"/>
              </w:rPr>
              <w:t xml:space="preserve"> </w:t>
            </w:r>
            <w:r w:rsidRPr="00D1266B">
              <w:rPr>
                <w:noProof/>
                <w:sz w:val="24"/>
                <w:szCs w:val="24"/>
              </w:rPr>
              <w:t>1 727 572 +</w:t>
            </w:r>
            <w:r>
              <w:rPr>
                <w:noProof/>
                <w:sz w:val="24"/>
                <w:szCs w:val="24"/>
              </w:rPr>
              <w:t xml:space="preserve"> 149 019</w:t>
            </w:r>
            <w:r w:rsidRPr="00D1266B">
              <w:rPr>
                <w:noProof/>
                <w:sz w:val="24"/>
                <w:szCs w:val="24"/>
              </w:rPr>
              <w:t> +</w:t>
            </w:r>
            <w:r>
              <w:rPr>
                <w:noProof/>
                <w:sz w:val="24"/>
                <w:szCs w:val="24"/>
              </w:rPr>
              <w:t xml:space="preserve"> 1 553 840</w:t>
            </w:r>
            <w:r w:rsidRPr="00D1266B">
              <w:rPr>
                <w:noProof/>
                <w:sz w:val="24"/>
                <w:szCs w:val="24"/>
              </w:rPr>
              <w:t> ) </w:t>
            </w:r>
            <w:r w:rsidRPr="00D1266B">
              <w:rPr>
                <w:i/>
                <w:noProof/>
                <w:sz w:val="24"/>
                <w:szCs w:val="24"/>
              </w:rPr>
              <w:t xml:space="preserve">euro </w:t>
            </w:r>
            <w:r w:rsidRPr="00D1266B">
              <w:rPr>
                <w:noProof/>
                <w:sz w:val="24"/>
                <w:szCs w:val="24"/>
              </w:rPr>
              <w:t>= </w:t>
            </w:r>
            <w:r w:rsidRPr="00D1266B">
              <w:rPr>
                <w:b/>
                <w:noProof/>
                <w:sz w:val="24"/>
                <w:szCs w:val="24"/>
              </w:rPr>
              <w:t>7 536</w:t>
            </w:r>
            <w:r>
              <w:rPr>
                <w:b/>
                <w:noProof/>
                <w:sz w:val="24"/>
                <w:szCs w:val="24"/>
              </w:rPr>
              <w:t> </w:t>
            </w:r>
            <w:r w:rsidRPr="00D1266B">
              <w:rPr>
                <w:b/>
                <w:noProof/>
                <w:sz w:val="24"/>
                <w:szCs w:val="24"/>
              </w:rPr>
              <w:t xml:space="preserve">430 </w:t>
            </w:r>
            <w:r w:rsidRPr="00D1266B">
              <w:rPr>
                <w:b/>
                <w:i/>
                <w:noProof/>
                <w:sz w:val="24"/>
                <w:szCs w:val="24"/>
              </w:rPr>
              <w:t>euro</w:t>
            </w:r>
            <w:r>
              <w:rPr>
                <w:b/>
                <w:noProof/>
                <w:sz w:val="24"/>
                <w:szCs w:val="24"/>
              </w:rPr>
              <w:t>,</w:t>
            </w:r>
            <w:r>
              <w:rPr>
                <w:noProof/>
                <w:sz w:val="24"/>
                <w:szCs w:val="24"/>
              </w:rPr>
              <w:t xml:space="preserve"> kas atbilst pieejamā finansējuma apmēram</w:t>
            </w:r>
            <w:r w:rsidRPr="00D1266B">
              <w:rPr>
                <w:noProof/>
                <w:sz w:val="24"/>
                <w:szCs w:val="24"/>
              </w:rPr>
              <w:t xml:space="preserve"> 201</w:t>
            </w:r>
            <w:r>
              <w:rPr>
                <w:noProof/>
                <w:sz w:val="24"/>
                <w:szCs w:val="24"/>
              </w:rPr>
              <w:t>6</w:t>
            </w:r>
            <w:r w:rsidRPr="00D1266B">
              <w:rPr>
                <w:noProof/>
                <w:sz w:val="24"/>
                <w:szCs w:val="24"/>
              </w:rPr>
              <w:t>.gada</w:t>
            </w:r>
            <w:r>
              <w:rPr>
                <w:noProof/>
                <w:sz w:val="24"/>
                <w:szCs w:val="24"/>
              </w:rPr>
              <w:t>m.</w:t>
            </w:r>
          </w:p>
          <w:p w:rsidR="00C8402F" w:rsidRPr="00D1266B" w:rsidRDefault="00C8402F" w:rsidP="002C3335">
            <w:pPr>
              <w:pStyle w:val="ListParagraph"/>
              <w:spacing w:before="120"/>
              <w:ind w:left="0"/>
              <w:contextualSpacing w:val="0"/>
              <w:jc w:val="both"/>
              <w:rPr>
                <w:b/>
                <w:noProof/>
                <w:sz w:val="24"/>
                <w:szCs w:val="24"/>
                <w:u w:val="single"/>
              </w:rPr>
            </w:pPr>
          </w:p>
          <w:p w:rsidR="00C8402F" w:rsidRPr="00D1266B" w:rsidRDefault="00C8402F" w:rsidP="00B55637">
            <w:pPr>
              <w:pStyle w:val="ListParagraph"/>
              <w:ind w:left="0"/>
              <w:contextualSpacing w:val="0"/>
              <w:jc w:val="both"/>
              <w:rPr>
                <w:noProof/>
                <w:sz w:val="24"/>
                <w:szCs w:val="24"/>
              </w:rPr>
            </w:pPr>
            <w:r w:rsidRPr="00D1266B">
              <w:rPr>
                <w:b/>
                <w:noProof/>
                <w:sz w:val="24"/>
                <w:szCs w:val="24"/>
                <w:u w:val="single"/>
              </w:rPr>
              <w:t>2017.gadā</w:t>
            </w:r>
            <w:r w:rsidRPr="00D1266B">
              <w:rPr>
                <w:noProof/>
                <w:sz w:val="24"/>
                <w:szCs w:val="24"/>
              </w:rPr>
              <w:t>:</w:t>
            </w:r>
          </w:p>
          <w:p w:rsidR="00C8402F" w:rsidRPr="00D1266B" w:rsidRDefault="00C8402F" w:rsidP="006F34A1">
            <w:pPr>
              <w:pStyle w:val="ListParagraph"/>
              <w:spacing w:before="120"/>
              <w:ind w:left="0"/>
              <w:contextualSpacing w:val="0"/>
              <w:jc w:val="both"/>
              <w:rPr>
                <w:noProof/>
                <w:sz w:val="24"/>
                <w:szCs w:val="24"/>
              </w:rPr>
            </w:pPr>
            <w:r w:rsidRPr="00D1266B">
              <w:rPr>
                <w:noProof/>
                <w:sz w:val="24"/>
                <w:szCs w:val="24"/>
                <w:u w:val="single"/>
              </w:rPr>
              <w:t>Atlīdzībai</w:t>
            </w:r>
            <w:r w:rsidRPr="00D1266B">
              <w:rPr>
                <w:noProof/>
                <w:sz w:val="24"/>
                <w:szCs w:val="24"/>
              </w:rPr>
              <w:t xml:space="preserve"> (1000 kods) - 4 105 999 </w:t>
            </w:r>
            <w:r w:rsidRPr="00D1266B">
              <w:rPr>
                <w:i/>
                <w:noProof/>
                <w:sz w:val="24"/>
                <w:szCs w:val="24"/>
              </w:rPr>
              <w:t>euro</w:t>
            </w:r>
            <w:r w:rsidRPr="00D1266B">
              <w:rPr>
                <w:noProof/>
                <w:sz w:val="24"/>
                <w:szCs w:val="24"/>
              </w:rPr>
              <w:t xml:space="preserve">, tai skaitā: </w:t>
            </w:r>
          </w:p>
          <w:p w:rsidR="00C8402F" w:rsidRPr="00D1266B" w:rsidRDefault="00C8402F" w:rsidP="006F34A1">
            <w:pPr>
              <w:pStyle w:val="ListParagraph"/>
              <w:ind w:left="346" w:hanging="346"/>
              <w:contextualSpacing w:val="0"/>
              <w:jc w:val="both"/>
              <w:rPr>
                <w:noProof/>
                <w:sz w:val="24"/>
                <w:szCs w:val="24"/>
              </w:rPr>
            </w:pPr>
            <w:r w:rsidRPr="00D1266B">
              <w:rPr>
                <w:noProof/>
                <w:sz w:val="24"/>
                <w:szCs w:val="24"/>
              </w:rPr>
              <w:t xml:space="preserve">   - atalgo</w:t>
            </w:r>
            <w:r w:rsidRPr="00D1266B">
              <w:rPr>
                <w:noProof/>
                <w:sz w:val="24"/>
                <w:szCs w:val="24"/>
              </w:rPr>
              <w:softHyphen/>
              <w:t xml:space="preserve">jumam OMT vadītājiem (ieskaitot piemaksas par risku un nakts darbu), tehniskajam personālam, finanšu un personāla speciālistiem (1100 kods) - 3 238 449 </w:t>
            </w:r>
            <w:r w:rsidRPr="00D1266B">
              <w:rPr>
                <w:i/>
                <w:noProof/>
                <w:sz w:val="24"/>
                <w:szCs w:val="24"/>
              </w:rPr>
              <w:t>euro</w:t>
            </w:r>
            <w:r w:rsidRPr="00D1266B">
              <w:rPr>
                <w:noProof/>
                <w:sz w:val="24"/>
                <w:szCs w:val="24"/>
              </w:rPr>
              <w:t>,</w:t>
            </w:r>
          </w:p>
          <w:p w:rsidR="00C8402F" w:rsidRPr="00D1266B" w:rsidRDefault="00C8402F" w:rsidP="006F34A1">
            <w:pPr>
              <w:pStyle w:val="ListParagraph"/>
              <w:ind w:left="346" w:hanging="346"/>
              <w:contextualSpacing w:val="0"/>
              <w:jc w:val="both"/>
              <w:rPr>
                <w:noProof/>
                <w:sz w:val="24"/>
                <w:szCs w:val="24"/>
              </w:rPr>
            </w:pPr>
            <w:r w:rsidRPr="00D1266B">
              <w:rPr>
                <w:noProof/>
                <w:sz w:val="24"/>
                <w:szCs w:val="24"/>
              </w:rPr>
              <w:t xml:space="preserve">   - sociālajam nodoklim, pabalstiem un kompensācijām (1200 kods) - 863 550 </w:t>
            </w:r>
            <w:r w:rsidRPr="00D1266B">
              <w:rPr>
                <w:i/>
                <w:noProof/>
                <w:sz w:val="24"/>
                <w:szCs w:val="24"/>
              </w:rPr>
              <w:t>euro</w:t>
            </w:r>
            <w:r w:rsidRPr="00D1266B">
              <w:rPr>
                <w:noProof/>
                <w:sz w:val="24"/>
                <w:szCs w:val="24"/>
              </w:rPr>
              <w:t>,</w:t>
            </w:r>
          </w:p>
          <w:p w:rsidR="00C8402F" w:rsidRPr="00D1266B" w:rsidRDefault="00C8402F" w:rsidP="006F34A1">
            <w:pPr>
              <w:pStyle w:val="ListParagraph"/>
              <w:ind w:left="347" w:hanging="347"/>
              <w:contextualSpacing w:val="0"/>
              <w:jc w:val="both"/>
              <w:rPr>
                <w:noProof/>
                <w:sz w:val="24"/>
                <w:szCs w:val="24"/>
              </w:rPr>
            </w:pPr>
            <w:r w:rsidRPr="00D1266B">
              <w:rPr>
                <w:noProof/>
                <w:sz w:val="24"/>
                <w:szCs w:val="24"/>
              </w:rPr>
              <w:t xml:space="preserve">   - nelaimes gadījumu apdrošināšanai (1200 kods) - 4 000 </w:t>
            </w:r>
            <w:r w:rsidRPr="00D1266B">
              <w:rPr>
                <w:i/>
                <w:noProof/>
                <w:sz w:val="24"/>
                <w:szCs w:val="24"/>
              </w:rPr>
              <w:t>euro</w:t>
            </w:r>
            <w:r w:rsidR="00251E2F">
              <w:rPr>
                <w:noProof/>
                <w:sz w:val="24"/>
                <w:szCs w:val="24"/>
              </w:rPr>
              <w:t>.</w:t>
            </w:r>
          </w:p>
          <w:p w:rsidR="00C8402F" w:rsidRPr="00D1266B" w:rsidRDefault="00C8402F" w:rsidP="00B55637">
            <w:pPr>
              <w:pStyle w:val="ListParagraph"/>
              <w:spacing w:before="120"/>
              <w:ind w:left="0"/>
              <w:contextualSpacing w:val="0"/>
              <w:jc w:val="both"/>
              <w:rPr>
                <w:noProof/>
                <w:sz w:val="24"/>
                <w:szCs w:val="24"/>
              </w:rPr>
            </w:pPr>
            <w:r w:rsidRPr="00D1266B">
              <w:rPr>
                <w:noProof/>
                <w:sz w:val="24"/>
                <w:szCs w:val="24"/>
                <w:u w:val="single"/>
              </w:rPr>
              <w:t>Precēm un pakalpojumiem</w:t>
            </w:r>
            <w:r w:rsidRPr="00D1266B">
              <w:rPr>
                <w:noProof/>
                <w:sz w:val="24"/>
                <w:szCs w:val="24"/>
              </w:rPr>
              <w:t xml:space="preserve"> (2000 kods) sakarā ar RRC pārņemšanu  - </w:t>
            </w:r>
            <w:r w:rsidRPr="00D1266B">
              <w:rPr>
                <w:sz w:val="24"/>
                <w:szCs w:val="24"/>
              </w:rPr>
              <w:t>1 738 663</w:t>
            </w:r>
            <w:r w:rsidRPr="00D1266B">
              <w:rPr>
                <w:noProof/>
                <w:sz w:val="24"/>
                <w:szCs w:val="24"/>
              </w:rPr>
              <w:t xml:space="preserve"> euro, tai skaitā:</w:t>
            </w:r>
          </w:p>
          <w:p w:rsidR="00C8402F" w:rsidRPr="00D1266B" w:rsidRDefault="00C8402F" w:rsidP="00B55637">
            <w:pPr>
              <w:pStyle w:val="ListParagraph"/>
              <w:ind w:left="0"/>
              <w:contextualSpacing w:val="0"/>
              <w:jc w:val="both"/>
              <w:rPr>
                <w:noProof/>
                <w:sz w:val="24"/>
                <w:szCs w:val="24"/>
              </w:rPr>
            </w:pPr>
            <w:r w:rsidRPr="00D1266B">
              <w:rPr>
                <w:noProof/>
                <w:sz w:val="24"/>
                <w:szCs w:val="24"/>
              </w:rPr>
              <w:t xml:space="preserve">   - remontzonas telpu uzturēšanas izmaksas - 76 032 </w:t>
            </w:r>
            <w:r w:rsidRPr="00D1266B">
              <w:rPr>
                <w:i/>
                <w:noProof/>
                <w:sz w:val="24"/>
                <w:szCs w:val="24"/>
              </w:rPr>
              <w:t>euro</w:t>
            </w:r>
            <w:r w:rsidRPr="00D1266B">
              <w:rPr>
                <w:noProof/>
                <w:sz w:val="24"/>
                <w:szCs w:val="24"/>
              </w:rPr>
              <w:t>,</w:t>
            </w:r>
          </w:p>
          <w:p w:rsidR="00C8402F" w:rsidRPr="00D1266B" w:rsidRDefault="00C8402F" w:rsidP="00B55637">
            <w:pPr>
              <w:pStyle w:val="ListParagraph"/>
              <w:ind w:left="0"/>
              <w:contextualSpacing w:val="0"/>
              <w:jc w:val="both"/>
              <w:rPr>
                <w:noProof/>
                <w:sz w:val="24"/>
                <w:szCs w:val="24"/>
              </w:rPr>
            </w:pPr>
            <w:r w:rsidRPr="00D1266B">
              <w:rPr>
                <w:noProof/>
                <w:sz w:val="24"/>
                <w:szCs w:val="24"/>
              </w:rPr>
              <w:t xml:space="preserve">   - degvielas iegāde OMT un saimnieciskajam transportam, t.sk.:</w:t>
            </w:r>
          </w:p>
          <w:p w:rsidR="00C8402F" w:rsidRPr="00D1266B" w:rsidRDefault="00C8402F" w:rsidP="00316EA9">
            <w:pPr>
              <w:pStyle w:val="ListParagraph"/>
              <w:ind w:left="0"/>
              <w:contextualSpacing w:val="0"/>
              <w:jc w:val="both"/>
              <w:rPr>
                <w:noProof/>
                <w:sz w:val="24"/>
                <w:szCs w:val="24"/>
              </w:rPr>
            </w:pPr>
            <w:r w:rsidRPr="00D1266B">
              <w:rPr>
                <w:noProof/>
                <w:sz w:val="24"/>
                <w:szCs w:val="24"/>
              </w:rPr>
              <w:lastRenderedPageBreak/>
              <w:tab/>
              <w:t xml:space="preserve">OMT - 1 091 034 </w:t>
            </w:r>
            <w:r w:rsidRPr="00D1266B">
              <w:rPr>
                <w:i/>
                <w:noProof/>
                <w:sz w:val="24"/>
                <w:szCs w:val="24"/>
              </w:rPr>
              <w:t>euro</w:t>
            </w:r>
            <w:r w:rsidRPr="00D1266B">
              <w:rPr>
                <w:noProof/>
                <w:sz w:val="24"/>
                <w:szCs w:val="24"/>
              </w:rPr>
              <w:t>,</w:t>
            </w:r>
          </w:p>
          <w:p w:rsidR="00C8402F" w:rsidRPr="00D1266B" w:rsidRDefault="00C8402F" w:rsidP="00316EA9">
            <w:pPr>
              <w:pStyle w:val="ListParagraph"/>
              <w:ind w:left="0"/>
              <w:contextualSpacing w:val="0"/>
              <w:jc w:val="both"/>
              <w:rPr>
                <w:noProof/>
                <w:sz w:val="24"/>
                <w:szCs w:val="24"/>
              </w:rPr>
            </w:pPr>
            <w:r w:rsidRPr="00D1266B">
              <w:rPr>
                <w:noProof/>
                <w:sz w:val="24"/>
                <w:szCs w:val="24"/>
              </w:rPr>
              <w:tab/>
              <w:t xml:space="preserve">saimnieciskajam transportam - 25 264 </w:t>
            </w:r>
            <w:r w:rsidRPr="00D1266B">
              <w:rPr>
                <w:i/>
                <w:noProof/>
                <w:sz w:val="24"/>
                <w:szCs w:val="24"/>
              </w:rPr>
              <w:t>euro</w:t>
            </w:r>
            <w:r w:rsidRPr="00D1266B">
              <w:rPr>
                <w:noProof/>
                <w:sz w:val="24"/>
                <w:szCs w:val="24"/>
              </w:rPr>
              <w:t>,</w:t>
            </w:r>
          </w:p>
          <w:p w:rsidR="00C8402F" w:rsidRPr="00D1266B" w:rsidRDefault="00C8402F" w:rsidP="00B55637">
            <w:pPr>
              <w:pStyle w:val="ListParagraph"/>
              <w:ind w:left="0"/>
              <w:contextualSpacing w:val="0"/>
              <w:jc w:val="both"/>
              <w:rPr>
                <w:noProof/>
                <w:sz w:val="24"/>
                <w:szCs w:val="24"/>
              </w:rPr>
            </w:pPr>
            <w:r w:rsidRPr="00D1266B">
              <w:rPr>
                <w:noProof/>
                <w:sz w:val="24"/>
                <w:szCs w:val="24"/>
              </w:rPr>
              <w:t xml:space="preserve">   - transportlīdzekļu remonts un uzturēšana - 519 731 </w:t>
            </w:r>
            <w:r w:rsidRPr="00D1266B">
              <w:rPr>
                <w:i/>
                <w:noProof/>
                <w:sz w:val="24"/>
                <w:szCs w:val="24"/>
              </w:rPr>
              <w:t>euro</w:t>
            </w:r>
            <w:r w:rsidRPr="00D1266B">
              <w:rPr>
                <w:noProof/>
                <w:sz w:val="24"/>
                <w:szCs w:val="24"/>
              </w:rPr>
              <w:t>,</w:t>
            </w:r>
          </w:p>
          <w:p w:rsidR="00C8402F" w:rsidRPr="00D1266B" w:rsidRDefault="00C8402F" w:rsidP="00B55637">
            <w:pPr>
              <w:pStyle w:val="ListParagraph"/>
              <w:ind w:left="0"/>
              <w:contextualSpacing w:val="0"/>
              <w:jc w:val="both"/>
              <w:rPr>
                <w:noProof/>
                <w:sz w:val="24"/>
                <w:szCs w:val="24"/>
              </w:rPr>
            </w:pPr>
            <w:r w:rsidRPr="00D1266B">
              <w:rPr>
                <w:noProof/>
                <w:sz w:val="24"/>
                <w:szCs w:val="24"/>
              </w:rPr>
              <w:t xml:space="preserve">   - darba apģērbu iegāde un noma - 20 818 </w:t>
            </w:r>
            <w:r w:rsidRPr="00D1266B">
              <w:rPr>
                <w:i/>
                <w:noProof/>
                <w:sz w:val="24"/>
                <w:szCs w:val="24"/>
              </w:rPr>
              <w:t>euro</w:t>
            </w:r>
            <w:r w:rsidRPr="00D1266B">
              <w:rPr>
                <w:noProof/>
                <w:sz w:val="24"/>
                <w:szCs w:val="24"/>
              </w:rPr>
              <w:t>,</w:t>
            </w:r>
          </w:p>
          <w:p w:rsidR="00C8402F" w:rsidRPr="00D1266B" w:rsidRDefault="00C8402F" w:rsidP="00B55637">
            <w:pPr>
              <w:pStyle w:val="ListParagraph"/>
              <w:ind w:left="347" w:hanging="347"/>
              <w:contextualSpacing w:val="0"/>
              <w:jc w:val="both"/>
              <w:rPr>
                <w:noProof/>
                <w:sz w:val="24"/>
                <w:szCs w:val="24"/>
              </w:rPr>
            </w:pPr>
            <w:r w:rsidRPr="00D1266B">
              <w:rPr>
                <w:noProof/>
                <w:sz w:val="24"/>
                <w:szCs w:val="24"/>
              </w:rPr>
              <w:t xml:space="preserve">   - veselības aprūpe (darbinieku obligātās veselības pārbaudes un vakcinācija) – 2 255 </w:t>
            </w:r>
            <w:r w:rsidRPr="00D1266B">
              <w:rPr>
                <w:i/>
                <w:noProof/>
                <w:sz w:val="24"/>
                <w:szCs w:val="24"/>
              </w:rPr>
              <w:t>euro</w:t>
            </w:r>
            <w:r w:rsidRPr="00D1266B">
              <w:rPr>
                <w:noProof/>
                <w:sz w:val="24"/>
                <w:szCs w:val="24"/>
              </w:rPr>
              <w:t>,</w:t>
            </w:r>
          </w:p>
          <w:p w:rsidR="00C8402F" w:rsidRPr="00D1266B" w:rsidRDefault="00C8402F" w:rsidP="00B55637">
            <w:pPr>
              <w:pStyle w:val="ListParagraph"/>
              <w:ind w:left="347" w:hanging="347"/>
              <w:contextualSpacing w:val="0"/>
              <w:jc w:val="both"/>
              <w:rPr>
                <w:noProof/>
                <w:sz w:val="24"/>
                <w:szCs w:val="24"/>
              </w:rPr>
            </w:pPr>
            <w:r w:rsidRPr="00D1266B">
              <w:rPr>
                <w:noProof/>
                <w:sz w:val="24"/>
                <w:szCs w:val="24"/>
              </w:rPr>
              <w:t xml:space="preserve">   - administratīvās izmaksas - 3 529 </w:t>
            </w:r>
            <w:r w:rsidRPr="00D1266B">
              <w:rPr>
                <w:i/>
                <w:noProof/>
                <w:sz w:val="24"/>
                <w:szCs w:val="24"/>
              </w:rPr>
              <w:t>euro</w:t>
            </w:r>
            <w:r w:rsidR="00251E2F">
              <w:rPr>
                <w:noProof/>
                <w:sz w:val="24"/>
                <w:szCs w:val="24"/>
              </w:rPr>
              <w:t>.</w:t>
            </w:r>
          </w:p>
          <w:p w:rsidR="00C8402F" w:rsidRPr="00D1266B" w:rsidRDefault="00C8402F" w:rsidP="00B55637">
            <w:pPr>
              <w:pStyle w:val="ListParagraph"/>
              <w:spacing w:before="120"/>
              <w:ind w:left="0"/>
              <w:contextualSpacing w:val="0"/>
              <w:jc w:val="both"/>
              <w:rPr>
                <w:noProof/>
                <w:sz w:val="24"/>
                <w:szCs w:val="24"/>
              </w:rPr>
            </w:pPr>
            <w:r w:rsidRPr="00D1266B">
              <w:rPr>
                <w:noProof/>
                <w:sz w:val="24"/>
                <w:szCs w:val="24"/>
                <w:u w:val="single"/>
              </w:rPr>
              <w:t>Procentu izdevumiem</w:t>
            </w:r>
            <w:r w:rsidRPr="00D1266B">
              <w:rPr>
                <w:noProof/>
                <w:sz w:val="24"/>
                <w:szCs w:val="24"/>
              </w:rPr>
              <w:t xml:space="preserve"> (4000 kods) atbilstoši līzinga nosacīju</w:t>
            </w:r>
            <w:r w:rsidRPr="00D1266B">
              <w:rPr>
                <w:noProof/>
                <w:sz w:val="24"/>
                <w:szCs w:val="24"/>
              </w:rPr>
              <w:softHyphen/>
              <w:t xml:space="preserve">miem </w:t>
            </w:r>
            <w:r>
              <w:rPr>
                <w:noProof/>
                <w:sz w:val="24"/>
                <w:szCs w:val="24"/>
              </w:rPr>
              <w:t>–</w:t>
            </w:r>
            <w:r w:rsidRPr="00D1266B">
              <w:rPr>
                <w:noProof/>
                <w:sz w:val="24"/>
                <w:szCs w:val="24"/>
              </w:rPr>
              <w:t xml:space="preserve"> </w:t>
            </w:r>
            <w:r>
              <w:rPr>
                <w:noProof/>
                <w:sz w:val="24"/>
                <w:szCs w:val="24"/>
              </w:rPr>
              <w:t>156 340</w:t>
            </w:r>
            <w:r w:rsidRPr="00D1266B">
              <w:rPr>
                <w:noProof/>
                <w:sz w:val="24"/>
                <w:szCs w:val="24"/>
              </w:rPr>
              <w:t> </w:t>
            </w:r>
            <w:r w:rsidRPr="00D1266B">
              <w:rPr>
                <w:i/>
                <w:noProof/>
                <w:sz w:val="24"/>
                <w:szCs w:val="24"/>
              </w:rPr>
              <w:t>euro</w:t>
            </w:r>
            <w:r w:rsidR="00251E2F">
              <w:rPr>
                <w:noProof/>
                <w:sz w:val="24"/>
                <w:szCs w:val="24"/>
              </w:rPr>
              <w:t>.</w:t>
            </w:r>
          </w:p>
          <w:p w:rsidR="00C8402F" w:rsidRPr="00D1266B" w:rsidRDefault="00C8402F" w:rsidP="00C8402F">
            <w:pPr>
              <w:pStyle w:val="ListParagraph"/>
              <w:spacing w:before="120"/>
              <w:ind w:left="0"/>
              <w:contextualSpacing w:val="0"/>
              <w:jc w:val="both"/>
              <w:rPr>
                <w:noProof/>
                <w:sz w:val="24"/>
                <w:szCs w:val="24"/>
              </w:rPr>
            </w:pPr>
            <w:r w:rsidRPr="00D1266B">
              <w:rPr>
                <w:noProof/>
                <w:sz w:val="24"/>
                <w:szCs w:val="24"/>
                <w:u w:val="single"/>
              </w:rPr>
              <w:t>Pamatkapitāla veidošanai</w:t>
            </w:r>
            <w:r w:rsidRPr="00D1266B">
              <w:rPr>
                <w:noProof/>
                <w:sz w:val="24"/>
                <w:szCs w:val="24"/>
              </w:rPr>
              <w:t xml:space="preserve"> (5000 kods):</w:t>
            </w:r>
          </w:p>
          <w:p w:rsidR="00C8402F" w:rsidRPr="00D1266B" w:rsidRDefault="00C8402F" w:rsidP="00B55637">
            <w:pPr>
              <w:pStyle w:val="ListParagraph"/>
              <w:ind w:left="0"/>
              <w:contextualSpacing w:val="0"/>
              <w:jc w:val="both"/>
              <w:rPr>
                <w:noProof/>
                <w:sz w:val="24"/>
                <w:szCs w:val="24"/>
              </w:rPr>
            </w:pPr>
            <w:r w:rsidRPr="00D1266B">
              <w:rPr>
                <w:noProof/>
                <w:sz w:val="24"/>
                <w:szCs w:val="24"/>
              </w:rPr>
              <w:t xml:space="preserve">   - jauno OMT iegādei līzingā, pārņemot Rīgas RC - </w:t>
            </w:r>
            <w:r>
              <w:rPr>
                <w:noProof/>
                <w:sz w:val="24"/>
                <w:szCs w:val="24"/>
              </w:rPr>
              <w:t>1 535 428</w:t>
            </w:r>
            <w:r w:rsidRPr="00D1266B">
              <w:rPr>
                <w:noProof/>
                <w:sz w:val="24"/>
                <w:szCs w:val="24"/>
              </w:rPr>
              <w:t xml:space="preserve"> </w:t>
            </w:r>
            <w:r w:rsidRPr="00D1266B">
              <w:rPr>
                <w:i/>
                <w:noProof/>
                <w:sz w:val="24"/>
                <w:szCs w:val="24"/>
              </w:rPr>
              <w:t>euro</w:t>
            </w:r>
            <w:r>
              <w:rPr>
                <w:noProof/>
                <w:sz w:val="24"/>
                <w:szCs w:val="24"/>
              </w:rPr>
              <w:t>.</w:t>
            </w:r>
          </w:p>
          <w:p w:rsidR="00C8402F" w:rsidRPr="00D1266B" w:rsidRDefault="00C8402F" w:rsidP="00B55637">
            <w:pPr>
              <w:pStyle w:val="ListParagraph"/>
              <w:spacing w:before="120"/>
              <w:ind w:left="0"/>
              <w:contextualSpacing w:val="0"/>
              <w:jc w:val="both"/>
              <w:rPr>
                <w:noProof/>
                <w:sz w:val="24"/>
                <w:szCs w:val="24"/>
              </w:rPr>
            </w:pPr>
            <w:r w:rsidRPr="00D1266B">
              <w:rPr>
                <w:b/>
                <w:noProof/>
                <w:sz w:val="24"/>
                <w:szCs w:val="24"/>
              </w:rPr>
              <w:t xml:space="preserve">Kopā 2017.gadā </w:t>
            </w:r>
            <w:r w:rsidRPr="00D1266B">
              <w:rPr>
                <w:noProof/>
                <w:sz w:val="24"/>
                <w:szCs w:val="24"/>
              </w:rPr>
              <w:t>Rīgas RC nepieciešams:</w:t>
            </w:r>
          </w:p>
          <w:p w:rsidR="00C8402F" w:rsidRPr="00D1266B" w:rsidRDefault="00C8402F" w:rsidP="00652780">
            <w:pPr>
              <w:pStyle w:val="ListParagraph"/>
              <w:ind w:left="0"/>
              <w:contextualSpacing w:val="0"/>
              <w:jc w:val="both"/>
              <w:rPr>
                <w:noProof/>
                <w:sz w:val="24"/>
                <w:szCs w:val="24"/>
              </w:rPr>
            </w:pPr>
            <w:r w:rsidRPr="00D1266B">
              <w:rPr>
                <w:noProof/>
                <w:sz w:val="24"/>
                <w:szCs w:val="24"/>
              </w:rPr>
              <w:t>(4 105 999 +1 738 663 + </w:t>
            </w:r>
            <w:r>
              <w:rPr>
                <w:noProof/>
                <w:sz w:val="24"/>
                <w:szCs w:val="24"/>
              </w:rPr>
              <w:t>156 340</w:t>
            </w:r>
            <w:r w:rsidRPr="00D1266B">
              <w:rPr>
                <w:noProof/>
                <w:sz w:val="24"/>
                <w:szCs w:val="24"/>
              </w:rPr>
              <w:t> </w:t>
            </w:r>
            <w:r>
              <w:rPr>
                <w:noProof/>
                <w:sz w:val="24"/>
                <w:szCs w:val="24"/>
              </w:rPr>
              <w:t xml:space="preserve"> </w:t>
            </w:r>
            <w:r w:rsidRPr="00D1266B">
              <w:rPr>
                <w:noProof/>
                <w:sz w:val="24"/>
                <w:szCs w:val="24"/>
              </w:rPr>
              <w:t>+</w:t>
            </w:r>
            <w:r>
              <w:rPr>
                <w:noProof/>
                <w:sz w:val="24"/>
                <w:szCs w:val="24"/>
              </w:rPr>
              <w:t xml:space="preserve"> 1 535 428</w:t>
            </w:r>
            <w:r w:rsidRPr="00D1266B">
              <w:rPr>
                <w:noProof/>
                <w:sz w:val="24"/>
                <w:szCs w:val="24"/>
              </w:rPr>
              <w:t>) </w:t>
            </w:r>
            <w:r w:rsidRPr="00D1266B">
              <w:rPr>
                <w:i/>
                <w:noProof/>
                <w:sz w:val="24"/>
                <w:szCs w:val="24"/>
              </w:rPr>
              <w:t xml:space="preserve">euro </w:t>
            </w:r>
            <w:r w:rsidRPr="00D1266B">
              <w:rPr>
                <w:noProof/>
                <w:sz w:val="24"/>
                <w:szCs w:val="24"/>
              </w:rPr>
              <w:t>= </w:t>
            </w:r>
            <w:r w:rsidRPr="00D1266B">
              <w:rPr>
                <w:b/>
                <w:noProof/>
                <w:sz w:val="24"/>
                <w:szCs w:val="24"/>
              </w:rPr>
              <w:t>7 536</w:t>
            </w:r>
            <w:r>
              <w:rPr>
                <w:b/>
                <w:noProof/>
                <w:sz w:val="24"/>
                <w:szCs w:val="24"/>
              </w:rPr>
              <w:t> </w:t>
            </w:r>
            <w:r w:rsidRPr="00D1266B">
              <w:rPr>
                <w:b/>
                <w:noProof/>
                <w:sz w:val="24"/>
                <w:szCs w:val="24"/>
              </w:rPr>
              <w:t xml:space="preserve">430  </w:t>
            </w:r>
            <w:r w:rsidRPr="00D1266B">
              <w:rPr>
                <w:b/>
                <w:i/>
                <w:noProof/>
                <w:sz w:val="24"/>
                <w:szCs w:val="24"/>
              </w:rPr>
              <w:t>euro</w:t>
            </w:r>
            <w:r>
              <w:rPr>
                <w:noProof/>
                <w:sz w:val="24"/>
                <w:szCs w:val="24"/>
              </w:rPr>
              <w:t>, kas atbilst pieejamā finansējuma apmēram</w:t>
            </w:r>
            <w:r w:rsidRPr="00D1266B">
              <w:rPr>
                <w:noProof/>
                <w:sz w:val="24"/>
                <w:szCs w:val="24"/>
              </w:rPr>
              <w:t xml:space="preserve"> 201</w:t>
            </w:r>
            <w:r>
              <w:rPr>
                <w:noProof/>
                <w:sz w:val="24"/>
                <w:szCs w:val="24"/>
              </w:rPr>
              <w:t>7</w:t>
            </w:r>
            <w:r w:rsidRPr="00D1266B">
              <w:rPr>
                <w:noProof/>
                <w:sz w:val="24"/>
                <w:szCs w:val="24"/>
              </w:rPr>
              <w:t>.gada</w:t>
            </w:r>
            <w:r>
              <w:rPr>
                <w:noProof/>
                <w:sz w:val="24"/>
                <w:szCs w:val="24"/>
              </w:rPr>
              <w:t>m.</w:t>
            </w:r>
          </w:p>
          <w:p w:rsidR="00C8402F" w:rsidRPr="00D1266B" w:rsidRDefault="00C8402F" w:rsidP="002C3335">
            <w:pPr>
              <w:pStyle w:val="ListParagraph"/>
              <w:ind w:left="0"/>
              <w:contextualSpacing w:val="0"/>
              <w:jc w:val="both"/>
              <w:rPr>
                <w:b/>
                <w:noProof/>
                <w:sz w:val="24"/>
                <w:szCs w:val="24"/>
                <w:u w:val="single"/>
              </w:rPr>
            </w:pPr>
          </w:p>
          <w:p w:rsidR="00C8402F" w:rsidRPr="00897266" w:rsidRDefault="00C8402F" w:rsidP="00122314">
            <w:pPr>
              <w:pStyle w:val="ListParagraph"/>
              <w:ind w:left="0"/>
              <w:contextualSpacing w:val="0"/>
              <w:jc w:val="both"/>
              <w:rPr>
                <w:noProof/>
                <w:sz w:val="24"/>
                <w:szCs w:val="24"/>
              </w:rPr>
            </w:pPr>
            <w:r w:rsidRPr="00897266">
              <w:rPr>
                <w:b/>
                <w:noProof/>
                <w:sz w:val="24"/>
                <w:szCs w:val="24"/>
                <w:u w:val="single"/>
              </w:rPr>
              <w:t>2018.gadā</w:t>
            </w:r>
            <w:r w:rsidRPr="00897266">
              <w:rPr>
                <w:noProof/>
                <w:sz w:val="24"/>
                <w:szCs w:val="24"/>
              </w:rPr>
              <w:t>:</w:t>
            </w:r>
          </w:p>
          <w:p w:rsidR="00C8402F" w:rsidRPr="00897266" w:rsidRDefault="00C8402F" w:rsidP="00F83F05">
            <w:pPr>
              <w:pStyle w:val="ListParagraph"/>
              <w:spacing w:before="120"/>
              <w:ind w:left="0"/>
              <w:contextualSpacing w:val="0"/>
              <w:jc w:val="both"/>
              <w:rPr>
                <w:noProof/>
                <w:sz w:val="24"/>
                <w:szCs w:val="24"/>
              </w:rPr>
            </w:pPr>
            <w:r w:rsidRPr="00897266">
              <w:rPr>
                <w:noProof/>
                <w:sz w:val="24"/>
                <w:szCs w:val="24"/>
                <w:u w:val="single"/>
              </w:rPr>
              <w:t>Atlīdzībai</w:t>
            </w:r>
            <w:r w:rsidRPr="00897266">
              <w:rPr>
                <w:noProof/>
                <w:sz w:val="24"/>
                <w:szCs w:val="24"/>
              </w:rPr>
              <w:t xml:space="preserve"> (1000 kods) - 4 105 999 </w:t>
            </w:r>
            <w:r w:rsidRPr="00897266">
              <w:rPr>
                <w:i/>
                <w:noProof/>
                <w:sz w:val="24"/>
                <w:szCs w:val="24"/>
              </w:rPr>
              <w:t>euro</w:t>
            </w:r>
            <w:r w:rsidRPr="00897266">
              <w:rPr>
                <w:noProof/>
                <w:sz w:val="24"/>
                <w:szCs w:val="24"/>
              </w:rPr>
              <w:t xml:space="preserve">, tai skaitā: </w:t>
            </w:r>
          </w:p>
          <w:p w:rsidR="00C8402F" w:rsidRPr="00897266" w:rsidRDefault="00C8402F" w:rsidP="00F83F05">
            <w:pPr>
              <w:pStyle w:val="ListParagraph"/>
              <w:ind w:left="346" w:hanging="346"/>
              <w:contextualSpacing w:val="0"/>
              <w:jc w:val="both"/>
              <w:rPr>
                <w:noProof/>
                <w:sz w:val="24"/>
                <w:szCs w:val="24"/>
              </w:rPr>
            </w:pPr>
            <w:r w:rsidRPr="00897266">
              <w:rPr>
                <w:noProof/>
                <w:sz w:val="24"/>
                <w:szCs w:val="24"/>
              </w:rPr>
              <w:t xml:space="preserve">   - atalgo</w:t>
            </w:r>
            <w:r w:rsidRPr="00897266">
              <w:rPr>
                <w:noProof/>
                <w:sz w:val="24"/>
                <w:szCs w:val="24"/>
              </w:rPr>
              <w:softHyphen/>
              <w:t xml:space="preserve">jumam OMT vadītājiem (ieskaitot piemaksas par risku un nakts darbu), tehniskajam personālam, finanšu un personāla speciālistiem (1100 kods) - 3 238 449 </w:t>
            </w:r>
            <w:r w:rsidRPr="00897266">
              <w:rPr>
                <w:i/>
                <w:noProof/>
                <w:sz w:val="24"/>
                <w:szCs w:val="24"/>
              </w:rPr>
              <w:t>euro</w:t>
            </w:r>
            <w:r w:rsidRPr="00897266">
              <w:rPr>
                <w:noProof/>
                <w:sz w:val="24"/>
                <w:szCs w:val="24"/>
              </w:rPr>
              <w:t>,</w:t>
            </w:r>
          </w:p>
          <w:p w:rsidR="00C8402F" w:rsidRPr="00897266" w:rsidRDefault="00C8402F" w:rsidP="00F83F05">
            <w:pPr>
              <w:pStyle w:val="ListParagraph"/>
              <w:ind w:left="346" w:hanging="346"/>
              <w:contextualSpacing w:val="0"/>
              <w:jc w:val="both"/>
              <w:rPr>
                <w:noProof/>
                <w:sz w:val="24"/>
                <w:szCs w:val="24"/>
              </w:rPr>
            </w:pPr>
            <w:r w:rsidRPr="00897266">
              <w:rPr>
                <w:noProof/>
                <w:sz w:val="24"/>
                <w:szCs w:val="24"/>
              </w:rPr>
              <w:t xml:space="preserve">   - sociālajam nodoklim, pabalstiem un kompensācijām (1200 kods) - 863 550 </w:t>
            </w:r>
            <w:r w:rsidRPr="00897266">
              <w:rPr>
                <w:i/>
                <w:noProof/>
                <w:sz w:val="24"/>
                <w:szCs w:val="24"/>
              </w:rPr>
              <w:t>euro</w:t>
            </w:r>
            <w:r w:rsidRPr="00897266">
              <w:rPr>
                <w:noProof/>
                <w:sz w:val="24"/>
                <w:szCs w:val="24"/>
              </w:rPr>
              <w:t>,</w:t>
            </w:r>
          </w:p>
          <w:p w:rsidR="00C8402F" w:rsidRPr="00897266" w:rsidRDefault="00C8402F" w:rsidP="00F83F05">
            <w:pPr>
              <w:pStyle w:val="ListParagraph"/>
              <w:ind w:left="347" w:hanging="347"/>
              <w:contextualSpacing w:val="0"/>
              <w:jc w:val="both"/>
              <w:rPr>
                <w:noProof/>
                <w:sz w:val="24"/>
                <w:szCs w:val="24"/>
              </w:rPr>
            </w:pPr>
            <w:r w:rsidRPr="00897266">
              <w:rPr>
                <w:noProof/>
                <w:sz w:val="24"/>
                <w:szCs w:val="24"/>
              </w:rPr>
              <w:t xml:space="preserve">   - nelaimes gadījumu apdrošināšanai (1200 kods) - 4 000 </w:t>
            </w:r>
            <w:r w:rsidRPr="00897266">
              <w:rPr>
                <w:i/>
                <w:noProof/>
                <w:sz w:val="24"/>
                <w:szCs w:val="24"/>
              </w:rPr>
              <w:t>euro</w:t>
            </w:r>
            <w:r w:rsidR="00251E2F" w:rsidRPr="00897266">
              <w:rPr>
                <w:noProof/>
                <w:sz w:val="24"/>
                <w:szCs w:val="24"/>
              </w:rPr>
              <w:t>.</w:t>
            </w:r>
          </w:p>
          <w:p w:rsidR="00C8402F" w:rsidRPr="00897266" w:rsidRDefault="00C8402F" w:rsidP="00F83F05">
            <w:pPr>
              <w:pStyle w:val="ListParagraph"/>
              <w:spacing w:before="120"/>
              <w:ind w:left="0"/>
              <w:contextualSpacing w:val="0"/>
              <w:jc w:val="both"/>
              <w:rPr>
                <w:noProof/>
                <w:sz w:val="24"/>
                <w:szCs w:val="24"/>
              </w:rPr>
            </w:pPr>
            <w:r w:rsidRPr="00897266">
              <w:rPr>
                <w:noProof/>
                <w:sz w:val="24"/>
                <w:szCs w:val="24"/>
                <w:u w:val="single"/>
              </w:rPr>
              <w:t>Precēm un pakalpojumiem</w:t>
            </w:r>
            <w:r w:rsidRPr="00897266">
              <w:rPr>
                <w:noProof/>
                <w:sz w:val="24"/>
                <w:szCs w:val="24"/>
              </w:rPr>
              <w:t xml:space="preserve"> (2000 kods) sakarā ar RRC pārņemšanu  - </w:t>
            </w:r>
            <w:r w:rsidRPr="00897266">
              <w:rPr>
                <w:sz w:val="24"/>
                <w:szCs w:val="24"/>
              </w:rPr>
              <w:t>1</w:t>
            </w:r>
            <w:r w:rsidR="00897266" w:rsidRPr="00897266">
              <w:rPr>
                <w:sz w:val="24"/>
                <w:szCs w:val="24"/>
              </w:rPr>
              <w:t> 759 862</w:t>
            </w:r>
            <w:r w:rsidRPr="00897266">
              <w:rPr>
                <w:noProof/>
                <w:sz w:val="24"/>
                <w:szCs w:val="24"/>
              </w:rPr>
              <w:t xml:space="preserve"> euro, tai skaitā:</w:t>
            </w:r>
          </w:p>
          <w:p w:rsidR="00C8402F" w:rsidRPr="00897266" w:rsidRDefault="00C8402F" w:rsidP="00F83F05">
            <w:pPr>
              <w:pStyle w:val="ListParagraph"/>
              <w:ind w:left="0"/>
              <w:contextualSpacing w:val="0"/>
              <w:jc w:val="both"/>
              <w:rPr>
                <w:noProof/>
                <w:sz w:val="24"/>
                <w:szCs w:val="24"/>
              </w:rPr>
            </w:pPr>
            <w:r w:rsidRPr="00897266">
              <w:rPr>
                <w:noProof/>
                <w:sz w:val="24"/>
                <w:szCs w:val="24"/>
              </w:rPr>
              <w:t xml:space="preserve">   - remontzonas telpu uzturēšanas izmaksas - 76 032 </w:t>
            </w:r>
            <w:r w:rsidRPr="00897266">
              <w:rPr>
                <w:i/>
                <w:noProof/>
                <w:sz w:val="24"/>
                <w:szCs w:val="24"/>
              </w:rPr>
              <w:t>euro</w:t>
            </w:r>
            <w:r w:rsidRPr="00897266">
              <w:rPr>
                <w:noProof/>
                <w:sz w:val="24"/>
                <w:szCs w:val="24"/>
              </w:rPr>
              <w:t>,</w:t>
            </w:r>
          </w:p>
          <w:p w:rsidR="00C8402F" w:rsidRPr="00897266" w:rsidRDefault="00C8402F" w:rsidP="00F83F05">
            <w:pPr>
              <w:pStyle w:val="ListParagraph"/>
              <w:ind w:left="0"/>
              <w:contextualSpacing w:val="0"/>
              <w:jc w:val="both"/>
              <w:rPr>
                <w:noProof/>
                <w:sz w:val="24"/>
                <w:szCs w:val="24"/>
              </w:rPr>
            </w:pPr>
            <w:r w:rsidRPr="00897266">
              <w:rPr>
                <w:noProof/>
                <w:sz w:val="24"/>
                <w:szCs w:val="24"/>
              </w:rPr>
              <w:t xml:space="preserve">   - degvielas iegāde OMT un saimnieciskajam transportam, t.sk.:</w:t>
            </w:r>
          </w:p>
          <w:p w:rsidR="00C8402F" w:rsidRPr="00897266" w:rsidRDefault="00C8402F" w:rsidP="00F83F05">
            <w:pPr>
              <w:pStyle w:val="ListParagraph"/>
              <w:ind w:left="0"/>
              <w:contextualSpacing w:val="0"/>
              <w:jc w:val="both"/>
              <w:rPr>
                <w:noProof/>
                <w:sz w:val="24"/>
                <w:szCs w:val="24"/>
              </w:rPr>
            </w:pPr>
            <w:r w:rsidRPr="00897266">
              <w:rPr>
                <w:noProof/>
                <w:sz w:val="24"/>
                <w:szCs w:val="24"/>
              </w:rPr>
              <w:tab/>
              <w:t xml:space="preserve">OMT - 1 091 034 </w:t>
            </w:r>
            <w:r w:rsidRPr="00897266">
              <w:rPr>
                <w:i/>
                <w:noProof/>
                <w:sz w:val="24"/>
                <w:szCs w:val="24"/>
              </w:rPr>
              <w:t>euro</w:t>
            </w:r>
            <w:r w:rsidRPr="00897266">
              <w:rPr>
                <w:noProof/>
                <w:sz w:val="24"/>
                <w:szCs w:val="24"/>
              </w:rPr>
              <w:t>,</w:t>
            </w:r>
          </w:p>
          <w:p w:rsidR="00C8402F" w:rsidRPr="00897266" w:rsidRDefault="00C8402F" w:rsidP="00F83F05">
            <w:pPr>
              <w:pStyle w:val="ListParagraph"/>
              <w:ind w:left="0"/>
              <w:contextualSpacing w:val="0"/>
              <w:jc w:val="both"/>
              <w:rPr>
                <w:noProof/>
                <w:sz w:val="24"/>
                <w:szCs w:val="24"/>
              </w:rPr>
            </w:pPr>
            <w:r w:rsidRPr="00897266">
              <w:rPr>
                <w:noProof/>
                <w:sz w:val="24"/>
                <w:szCs w:val="24"/>
              </w:rPr>
              <w:tab/>
              <w:t xml:space="preserve">saimnieciskajam transportam - 25 264 </w:t>
            </w:r>
            <w:r w:rsidRPr="00897266">
              <w:rPr>
                <w:i/>
                <w:noProof/>
                <w:sz w:val="24"/>
                <w:szCs w:val="24"/>
              </w:rPr>
              <w:t>euro</w:t>
            </w:r>
            <w:r w:rsidRPr="00897266">
              <w:rPr>
                <w:noProof/>
                <w:sz w:val="24"/>
                <w:szCs w:val="24"/>
              </w:rPr>
              <w:t>,</w:t>
            </w:r>
          </w:p>
          <w:p w:rsidR="00C8402F" w:rsidRPr="00897266" w:rsidRDefault="00C8402F" w:rsidP="00F83F05">
            <w:pPr>
              <w:pStyle w:val="ListParagraph"/>
              <w:ind w:left="0"/>
              <w:contextualSpacing w:val="0"/>
              <w:jc w:val="both"/>
              <w:rPr>
                <w:noProof/>
                <w:sz w:val="24"/>
                <w:szCs w:val="24"/>
              </w:rPr>
            </w:pPr>
            <w:r w:rsidRPr="00897266">
              <w:rPr>
                <w:noProof/>
                <w:sz w:val="24"/>
                <w:szCs w:val="24"/>
              </w:rPr>
              <w:t xml:space="preserve">   - transportlīdzekļu remonts un uzturēšana - 519 731 </w:t>
            </w:r>
            <w:r w:rsidRPr="00897266">
              <w:rPr>
                <w:i/>
                <w:noProof/>
                <w:sz w:val="24"/>
                <w:szCs w:val="24"/>
              </w:rPr>
              <w:t>euro</w:t>
            </w:r>
            <w:r w:rsidRPr="00897266">
              <w:rPr>
                <w:noProof/>
                <w:sz w:val="24"/>
                <w:szCs w:val="24"/>
              </w:rPr>
              <w:t>,</w:t>
            </w:r>
          </w:p>
          <w:p w:rsidR="00C8402F" w:rsidRPr="00897266" w:rsidRDefault="00C8402F" w:rsidP="00F83F05">
            <w:pPr>
              <w:pStyle w:val="ListParagraph"/>
              <w:ind w:left="0"/>
              <w:contextualSpacing w:val="0"/>
              <w:jc w:val="both"/>
              <w:rPr>
                <w:noProof/>
                <w:sz w:val="24"/>
                <w:szCs w:val="24"/>
              </w:rPr>
            </w:pPr>
            <w:r w:rsidRPr="00897266">
              <w:rPr>
                <w:noProof/>
                <w:sz w:val="24"/>
                <w:szCs w:val="24"/>
              </w:rPr>
              <w:t xml:space="preserve">   - darba apģērbu iegāde un noma - 9 727 </w:t>
            </w:r>
            <w:r w:rsidRPr="00897266">
              <w:rPr>
                <w:i/>
                <w:noProof/>
                <w:sz w:val="24"/>
                <w:szCs w:val="24"/>
              </w:rPr>
              <w:t>euro</w:t>
            </w:r>
            <w:r w:rsidRPr="00897266">
              <w:rPr>
                <w:noProof/>
                <w:sz w:val="24"/>
                <w:szCs w:val="24"/>
              </w:rPr>
              <w:t>,</w:t>
            </w:r>
          </w:p>
          <w:p w:rsidR="00C8402F" w:rsidRPr="00897266" w:rsidRDefault="00C8402F" w:rsidP="00F83F05">
            <w:pPr>
              <w:pStyle w:val="ListParagraph"/>
              <w:ind w:left="347" w:hanging="347"/>
              <w:contextualSpacing w:val="0"/>
              <w:jc w:val="both"/>
              <w:rPr>
                <w:noProof/>
                <w:sz w:val="24"/>
                <w:szCs w:val="24"/>
              </w:rPr>
            </w:pPr>
            <w:r w:rsidRPr="00897266">
              <w:rPr>
                <w:noProof/>
                <w:sz w:val="24"/>
                <w:szCs w:val="24"/>
              </w:rPr>
              <w:t xml:space="preserve">   - veselības aprūpe (darbinieku obligātās veselības pārbaudes un vakcinācija) – </w:t>
            </w:r>
            <w:r w:rsidR="00897266" w:rsidRPr="00897266">
              <w:rPr>
                <w:noProof/>
                <w:sz w:val="24"/>
                <w:szCs w:val="24"/>
              </w:rPr>
              <w:t>34 545</w:t>
            </w:r>
            <w:r w:rsidRPr="00897266">
              <w:rPr>
                <w:noProof/>
                <w:sz w:val="24"/>
                <w:szCs w:val="24"/>
              </w:rPr>
              <w:t xml:space="preserve"> </w:t>
            </w:r>
            <w:r w:rsidRPr="00897266">
              <w:rPr>
                <w:i/>
                <w:noProof/>
                <w:sz w:val="24"/>
                <w:szCs w:val="24"/>
              </w:rPr>
              <w:t>euro</w:t>
            </w:r>
            <w:r w:rsidRPr="00897266">
              <w:rPr>
                <w:noProof/>
                <w:sz w:val="24"/>
                <w:szCs w:val="24"/>
              </w:rPr>
              <w:t>,</w:t>
            </w:r>
          </w:p>
          <w:p w:rsidR="00C8402F" w:rsidRPr="00D1266B" w:rsidRDefault="00C8402F" w:rsidP="00F83F05">
            <w:pPr>
              <w:pStyle w:val="ListParagraph"/>
              <w:ind w:left="347" w:hanging="347"/>
              <w:contextualSpacing w:val="0"/>
              <w:jc w:val="both"/>
              <w:rPr>
                <w:noProof/>
                <w:sz w:val="24"/>
                <w:szCs w:val="24"/>
              </w:rPr>
            </w:pPr>
            <w:r w:rsidRPr="00897266">
              <w:rPr>
                <w:noProof/>
                <w:sz w:val="24"/>
                <w:szCs w:val="24"/>
              </w:rPr>
              <w:t xml:space="preserve">   - administratīvās izmaksas - 3 529 </w:t>
            </w:r>
            <w:r w:rsidRPr="00897266">
              <w:rPr>
                <w:i/>
                <w:noProof/>
                <w:sz w:val="24"/>
                <w:szCs w:val="24"/>
              </w:rPr>
              <w:t>euro</w:t>
            </w:r>
            <w:r w:rsidR="00251E2F" w:rsidRPr="00897266">
              <w:rPr>
                <w:noProof/>
                <w:sz w:val="24"/>
                <w:szCs w:val="24"/>
              </w:rPr>
              <w:t>.</w:t>
            </w:r>
          </w:p>
          <w:p w:rsidR="00C8402F" w:rsidRPr="00D1266B" w:rsidRDefault="00C8402F" w:rsidP="00122314">
            <w:pPr>
              <w:pStyle w:val="ListParagraph"/>
              <w:spacing w:before="120"/>
              <w:ind w:left="0"/>
              <w:contextualSpacing w:val="0"/>
              <w:jc w:val="both"/>
              <w:rPr>
                <w:noProof/>
                <w:sz w:val="24"/>
                <w:szCs w:val="24"/>
              </w:rPr>
            </w:pPr>
            <w:r w:rsidRPr="00D1266B">
              <w:rPr>
                <w:noProof/>
                <w:sz w:val="24"/>
                <w:szCs w:val="24"/>
                <w:u w:val="single"/>
              </w:rPr>
              <w:t>Procentu izdevumiem</w:t>
            </w:r>
            <w:r w:rsidRPr="00D1266B">
              <w:rPr>
                <w:noProof/>
                <w:sz w:val="24"/>
                <w:szCs w:val="24"/>
              </w:rPr>
              <w:t xml:space="preserve"> (4000 kods) atbilstoši līzinga nosacīju</w:t>
            </w:r>
            <w:r w:rsidRPr="00D1266B">
              <w:rPr>
                <w:noProof/>
                <w:sz w:val="24"/>
                <w:szCs w:val="24"/>
              </w:rPr>
              <w:softHyphen/>
              <w:t xml:space="preserve">miem </w:t>
            </w:r>
            <w:r>
              <w:rPr>
                <w:noProof/>
                <w:sz w:val="24"/>
                <w:szCs w:val="24"/>
              </w:rPr>
              <w:t>–</w:t>
            </w:r>
            <w:r w:rsidRPr="00D1266B">
              <w:rPr>
                <w:noProof/>
                <w:sz w:val="24"/>
                <w:szCs w:val="24"/>
              </w:rPr>
              <w:t xml:space="preserve"> </w:t>
            </w:r>
            <w:r>
              <w:rPr>
                <w:noProof/>
                <w:sz w:val="24"/>
                <w:szCs w:val="24"/>
              </w:rPr>
              <w:t>123 987</w:t>
            </w:r>
            <w:r w:rsidRPr="00D1266B">
              <w:rPr>
                <w:noProof/>
                <w:sz w:val="24"/>
                <w:szCs w:val="24"/>
              </w:rPr>
              <w:t> </w:t>
            </w:r>
            <w:r w:rsidRPr="00D1266B">
              <w:rPr>
                <w:i/>
                <w:noProof/>
                <w:sz w:val="24"/>
                <w:szCs w:val="24"/>
              </w:rPr>
              <w:t>euro</w:t>
            </w:r>
            <w:r w:rsidR="00251E2F">
              <w:rPr>
                <w:noProof/>
                <w:sz w:val="24"/>
                <w:szCs w:val="24"/>
              </w:rPr>
              <w:t>.</w:t>
            </w:r>
          </w:p>
          <w:p w:rsidR="00C8402F" w:rsidRPr="00D1266B" w:rsidRDefault="00C8402F" w:rsidP="00122314">
            <w:pPr>
              <w:pStyle w:val="ListParagraph"/>
              <w:spacing w:before="120"/>
              <w:ind w:left="0"/>
              <w:contextualSpacing w:val="0"/>
              <w:jc w:val="both"/>
              <w:rPr>
                <w:noProof/>
                <w:sz w:val="24"/>
                <w:szCs w:val="24"/>
              </w:rPr>
            </w:pPr>
            <w:r w:rsidRPr="00D1266B">
              <w:rPr>
                <w:noProof/>
                <w:sz w:val="24"/>
                <w:szCs w:val="24"/>
                <w:u w:val="single"/>
              </w:rPr>
              <w:t>Pamatkapitāla veidošanai</w:t>
            </w:r>
            <w:r w:rsidRPr="00D1266B">
              <w:rPr>
                <w:noProof/>
                <w:sz w:val="24"/>
                <w:szCs w:val="24"/>
              </w:rPr>
              <w:t xml:space="preserve"> (5000 kods):</w:t>
            </w:r>
          </w:p>
          <w:p w:rsidR="00C8402F" w:rsidRPr="00D1266B" w:rsidRDefault="00C8402F" w:rsidP="00122314">
            <w:pPr>
              <w:pStyle w:val="ListParagraph"/>
              <w:ind w:left="0"/>
              <w:contextualSpacing w:val="0"/>
              <w:jc w:val="both"/>
              <w:rPr>
                <w:noProof/>
                <w:sz w:val="24"/>
                <w:szCs w:val="24"/>
              </w:rPr>
            </w:pPr>
            <w:r w:rsidRPr="00D1266B">
              <w:rPr>
                <w:noProof/>
                <w:sz w:val="24"/>
                <w:szCs w:val="24"/>
              </w:rPr>
              <w:t xml:space="preserve">   - jauno OMT iegādei līzingā, pārņemot Rīgas RC </w:t>
            </w:r>
            <w:r>
              <w:rPr>
                <w:noProof/>
                <w:sz w:val="24"/>
                <w:szCs w:val="24"/>
              </w:rPr>
              <w:t>–</w:t>
            </w:r>
            <w:r w:rsidRPr="00D1266B">
              <w:rPr>
                <w:noProof/>
                <w:sz w:val="24"/>
                <w:szCs w:val="24"/>
              </w:rPr>
              <w:t xml:space="preserve"> </w:t>
            </w:r>
            <w:r>
              <w:rPr>
                <w:noProof/>
                <w:sz w:val="24"/>
                <w:szCs w:val="24"/>
              </w:rPr>
              <w:t>1 546 582</w:t>
            </w:r>
            <w:r w:rsidRPr="00D1266B">
              <w:rPr>
                <w:noProof/>
                <w:sz w:val="24"/>
                <w:szCs w:val="24"/>
              </w:rPr>
              <w:t> </w:t>
            </w:r>
            <w:r w:rsidRPr="00D1266B">
              <w:rPr>
                <w:i/>
                <w:noProof/>
                <w:sz w:val="24"/>
                <w:szCs w:val="24"/>
              </w:rPr>
              <w:t>euro</w:t>
            </w:r>
            <w:r w:rsidRPr="00D1266B">
              <w:rPr>
                <w:noProof/>
                <w:sz w:val="24"/>
                <w:szCs w:val="24"/>
              </w:rPr>
              <w:t>.</w:t>
            </w:r>
          </w:p>
          <w:p w:rsidR="00C8402F" w:rsidRPr="00D1266B" w:rsidRDefault="00C8402F" w:rsidP="00122314">
            <w:pPr>
              <w:pStyle w:val="ListParagraph"/>
              <w:spacing w:before="120"/>
              <w:ind w:left="0"/>
              <w:contextualSpacing w:val="0"/>
              <w:jc w:val="both"/>
              <w:rPr>
                <w:noProof/>
                <w:sz w:val="24"/>
                <w:szCs w:val="24"/>
              </w:rPr>
            </w:pPr>
            <w:r w:rsidRPr="00D1266B">
              <w:rPr>
                <w:b/>
                <w:noProof/>
                <w:sz w:val="24"/>
                <w:szCs w:val="24"/>
              </w:rPr>
              <w:t xml:space="preserve">Kopā 2018.gadā </w:t>
            </w:r>
            <w:r w:rsidRPr="00D1266B">
              <w:rPr>
                <w:noProof/>
                <w:sz w:val="24"/>
                <w:szCs w:val="24"/>
              </w:rPr>
              <w:t>Rīgas RC nepieciešams:</w:t>
            </w:r>
          </w:p>
          <w:p w:rsidR="00AD17B6" w:rsidRDefault="00C8402F" w:rsidP="00122314">
            <w:pPr>
              <w:pStyle w:val="ListParagraph"/>
              <w:ind w:left="0"/>
              <w:contextualSpacing w:val="0"/>
              <w:jc w:val="both"/>
              <w:rPr>
                <w:noProof/>
                <w:sz w:val="24"/>
                <w:szCs w:val="24"/>
              </w:rPr>
            </w:pPr>
            <w:r w:rsidRPr="00D1266B">
              <w:rPr>
                <w:noProof/>
                <w:sz w:val="24"/>
                <w:szCs w:val="24"/>
              </w:rPr>
              <w:t>(4 105 999 + </w:t>
            </w:r>
            <w:r w:rsidR="00897266" w:rsidRPr="00897266">
              <w:rPr>
                <w:sz w:val="24"/>
                <w:szCs w:val="24"/>
              </w:rPr>
              <w:t>1 759</w:t>
            </w:r>
            <w:r w:rsidR="00897266">
              <w:rPr>
                <w:sz w:val="24"/>
                <w:szCs w:val="24"/>
              </w:rPr>
              <w:t> </w:t>
            </w:r>
            <w:r w:rsidR="00897266" w:rsidRPr="00897266">
              <w:rPr>
                <w:sz w:val="24"/>
                <w:szCs w:val="24"/>
              </w:rPr>
              <w:t>862</w:t>
            </w:r>
            <w:r w:rsidRPr="00D1266B">
              <w:rPr>
                <w:noProof/>
                <w:sz w:val="24"/>
                <w:szCs w:val="24"/>
              </w:rPr>
              <w:t xml:space="preserve"> + </w:t>
            </w:r>
            <w:r>
              <w:rPr>
                <w:noProof/>
                <w:sz w:val="24"/>
                <w:szCs w:val="24"/>
              </w:rPr>
              <w:t>123 987</w:t>
            </w:r>
            <w:r w:rsidRPr="00D1266B">
              <w:rPr>
                <w:noProof/>
                <w:sz w:val="24"/>
                <w:szCs w:val="24"/>
              </w:rPr>
              <w:t> +</w:t>
            </w:r>
            <w:r>
              <w:rPr>
                <w:noProof/>
                <w:sz w:val="24"/>
                <w:szCs w:val="24"/>
              </w:rPr>
              <w:t xml:space="preserve"> 1 546 582</w:t>
            </w:r>
            <w:r w:rsidRPr="00D1266B">
              <w:rPr>
                <w:noProof/>
                <w:sz w:val="24"/>
                <w:szCs w:val="24"/>
              </w:rPr>
              <w:t> ) </w:t>
            </w:r>
            <w:r w:rsidRPr="00D1266B">
              <w:rPr>
                <w:i/>
                <w:noProof/>
                <w:sz w:val="24"/>
                <w:szCs w:val="24"/>
              </w:rPr>
              <w:t xml:space="preserve">euro </w:t>
            </w:r>
            <w:r w:rsidRPr="00D1266B">
              <w:rPr>
                <w:noProof/>
                <w:sz w:val="24"/>
                <w:szCs w:val="24"/>
              </w:rPr>
              <w:t>= </w:t>
            </w:r>
            <w:r w:rsidRPr="00D1266B">
              <w:rPr>
                <w:b/>
                <w:noProof/>
                <w:sz w:val="24"/>
                <w:szCs w:val="24"/>
              </w:rPr>
              <w:t>7 536</w:t>
            </w:r>
            <w:r>
              <w:rPr>
                <w:b/>
                <w:noProof/>
                <w:sz w:val="24"/>
                <w:szCs w:val="24"/>
              </w:rPr>
              <w:t> </w:t>
            </w:r>
            <w:r w:rsidRPr="00D1266B">
              <w:rPr>
                <w:b/>
                <w:noProof/>
                <w:sz w:val="24"/>
                <w:szCs w:val="24"/>
              </w:rPr>
              <w:t xml:space="preserve">430  </w:t>
            </w:r>
            <w:r w:rsidRPr="00D1266B">
              <w:rPr>
                <w:b/>
                <w:i/>
                <w:noProof/>
                <w:sz w:val="24"/>
                <w:szCs w:val="24"/>
              </w:rPr>
              <w:t>euro</w:t>
            </w:r>
            <w:r>
              <w:rPr>
                <w:noProof/>
                <w:sz w:val="24"/>
                <w:szCs w:val="24"/>
              </w:rPr>
              <w:t xml:space="preserve">, kas </w:t>
            </w:r>
            <w:r w:rsidR="00AD17B6">
              <w:rPr>
                <w:noProof/>
                <w:sz w:val="24"/>
                <w:szCs w:val="24"/>
              </w:rPr>
              <w:t>iekļauts 2015.gada valsts budžeta ilgtermiņa saistību tālākā laika posma (2018.-2022.gads) kopējā apmērā.</w:t>
            </w:r>
          </w:p>
          <w:p w:rsidR="00C8402F" w:rsidRPr="00D1266B" w:rsidRDefault="00C8402F" w:rsidP="00B55637">
            <w:pPr>
              <w:pStyle w:val="ListParagraph"/>
              <w:ind w:left="0"/>
              <w:contextualSpacing w:val="0"/>
              <w:jc w:val="both"/>
              <w:rPr>
                <w:noProof/>
                <w:sz w:val="24"/>
                <w:szCs w:val="24"/>
              </w:rPr>
            </w:pPr>
          </w:p>
          <w:p w:rsidR="00C8402F" w:rsidRPr="00897266" w:rsidRDefault="00C8402F" w:rsidP="00D33AC8">
            <w:pPr>
              <w:pStyle w:val="ListParagraph"/>
              <w:ind w:left="0"/>
              <w:contextualSpacing w:val="0"/>
              <w:jc w:val="both"/>
              <w:rPr>
                <w:noProof/>
                <w:sz w:val="24"/>
                <w:szCs w:val="24"/>
              </w:rPr>
            </w:pPr>
            <w:r w:rsidRPr="00897266">
              <w:rPr>
                <w:b/>
                <w:noProof/>
                <w:sz w:val="24"/>
                <w:szCs w:val="24"/>
                <w:u w:val="single"/>
              </w:rPr>
              <w:t>2019.gadā</w:t>
            </w:r>
            <w:r w:rsidRPr="00897266">
              <w:rPr>
                <w:noProof/>
                <w:sz w:val="24"/>
                <w:szCs w:val="24"/>
              </w:rPr>
              <w:t>:</w:t>
            </w:r>
          </w:p>
          <w:p w:rsidR="00C8402F" w:rsidRPr="00897266" w:rsidRDefault="00C8402F" w:rsidP="00ED23F5">
            <w:pPr>
              <w:pStyle w:val="ListParagraph"/>
              <w:spacing w:before="120"/>
              <w:ind w:left="0"/>
              <w:contextualSpacing w:val="0"/>
              <w:jc w:val="both"/>
              <w:rPr>
                <w:noProof/>
                <w:sz w:val="24"/>
                <w:szCs w:val="24"/>
              </w:rPr>
            </w:pPr>
            <w:r w:rsidRPr="00897266">
              <w:rPr>
                <w:noProof/>
                <w:sz w:val="24"/>
                <w:szCs w:val="24"/>
                <w:u w:val="single"/>
              </w:rPr>
              <w:t>Atlīdzībai</w:t>
            </w:r>
            <w:r w:rsidRPr="00897266">
              <w:rPr>
                <w:noProof/>
                <w:sz w:val="24"/>
                <w:szCs w:val="24"/>
              </w:rPr>
              <w:t xml:space="preserve"> (1000 kods) - 4 105 999 </w:t>
            </w:r>
            <w:r w:rsidRPr="00897266">
              <w:rPr>
                <w:i/>
                <w:noProof/>
                <w:sz w:val="24"/>
                <w:szCs w:val="24"/>
              </w:rPr>
              <w:t>euro</w:t>
            </w:r>
            <w:r w:rsidRPr="00897266">
              <w:rPr>
                <w:noProof/>
                <w:sz w:val="24"/>
                <w:szCs w:val="24"/>
              </w:rPr>
              <w:t xml:space="preserve">, tai skaitā: </w:t>
            </w:r>
          </w:p>
          <w:p w:rsidR="00C8402F" w:rsidRPr="00897266" w:rsidRDefault="00C8402F" w:rsidP="00ED23F5">
            <w:pPr>
              <w:pStyle w:val="ListParagraph"/>
              <w:ind w:left="346" w:hanging="346"/>
              <w:contextualSpacing w:val="0"/>
              <w:jc w:val="both"/>
              <w:rPr>
                <w:noProof/>
                <w:sz w:val="24"/>
                <w:szCs w:val="24"/>
              </w:rPr>
            </w:pPr>
            <w:r w:rsidRPr="00897266">
              <w:rPr>
                <w:noProof/>
                <w:sz w:val="24"/>
                <w:szCs w:val="24"/>
              </w:rPr>
              <w:t xml:space="preserve">   - atalgo</w:t>
            </w:r>
            <w:r w:rsidRPr="00897266">
              <w:rPr>
                <w:noProof/>
                <w:sz w:val="24"/>
                <w:szCs w:val="24"/>
              </w:rPr>
              <w:softHyphen/>
              <w:t xml:space="preserve">jumam OMT vadītājiem (ieskaitot piemaksas par risku un </w:t>
            </w:r>
            <w:r w:rsidRPr="00897266">
              <w:rPr>
                <w:noProof/>
                <w:sz w:val="24"/>
                <w:szCs w:val="24"/>
              </w:rPr>
              <w:lastRenderedPageBreak/>
              <w:t xml:space="preserve">nakts darbu), tehniskajam personālam, finanšu un personāla speciālistiem (1100 kods) - 3 238 449 </w:t>
            </w:r>
            <w:r w:rsidRPr="00897266">
              <w:rPr>
                <w:i/>
                <w:noProof/>
                <w:sz w:val="24"/>
                <w:szCs w:val="24"/>
              </w:rPr>
              <w:t>euro</w:t>
            </w:r>
            <w:r w:rsidRPr="00897266">
              <w:rPr>
                <w:noProof/>
                <w:sz w:val="24"/>
                <w:szCs w:val="24"/>
              </w:rPr>
              <w:t>,</w:t>
            </w:r>
          </w:p>
          <w:p w:rsidR="00C8402F" w:rsidRPr="00897266" w:rsidRDefault="00C8402F" w:rsidP="00ED23F5">
            <w:pPr>
              <w:pStyle w:val="ListParagraph"/>
              <w:ind w:left="346" w:hanging="346"/>
              <w:contextualSpacing w:val="0"/>
              <w:jc w:val="both"/>
              <w:rPr>
                <w:noProof/>
                <w:sz w:val="24"/>
                <w:szCs w:val="24"/>
              </w:rPr>
            </w:pPr>
            <w:r w:rsidRPr="00897266">
              <w:rPr>
                <w:noProof/>
                <w:sz w:val="24"/>
                <w:szCs w:val="24"/>
              </w:rPr>
              <w:t xml:space="preserve">   - sociālajam nodoklim, pabalstiem un kompensācijām (1200 kods) - 863 550 </w:t>
            </w:r>
            <w:r w:rsidRPr="00897266">
              <w:rPr>
                <w:i/>
                <w:noProof/>
                <w:sz w:val="24"/>
                <w:szCs w:val="24"/>
              </w:rPr>
              <w:t>euro</w:t>
            </w:r>
            <w:r w:rsidRPr="00897266">
              <w:rPr>
                <w:noProof/>
                <w:sz w:val="24"/>
                <w:szCs w:val="24"/>
              </w:rPr>
              <w:t>,</w:t>
            </w:r>
          </w:p>
          <w:p w:rsidR="00C8402F" w:rsidRPr="00897266" w:rsidRDefault="00C8402F" w:rsidP="00ED23F5">
            <w:pPr>
              <w:pStyle w:val="ListParagraph"/>
              <w:ind w:left="347" w:hanging="347"/>
              <w:contextualSpacing w:val="0"/>
              <w:jc w:val="both"/>
              <w:rPr>
                <w:noProof/>
                <w:sz w:val="24"/>
                <w:szCs w:val="24"/>
              </w:rPr>
            </w:pPr>
            <w:r w:rsidRPr="00897266">
              <w:rPr>
                <w:noProof/>
                <w:sz w:val="24"/>
                <w:szCs w:val="24"/>
              </w:rPr>
              <w:t xml:space="preserve">   - nelaimes gadījumu apdrošināšanai (1200 kods) - 4 000 </w:t>
            </w:r>
            <w:r w:rsidRPr="00897266">
              <w:rPr>
                <w:i/>
                <w:noProof/>
                <w:sz w:val="24"/>
                <w:szCs w:val="24"/>
              </w:rPr>
              <w:t>euro</w:t>
            </w:r>
            <w:r w:rsidR="00251E2F" w:rsidRPr="00897266">
              <w:rPr>
                <w:noProof/>
                <w:sz w:val="24"/>
                <w:szCs w:val="24"/>
              </w:rPr>
              <w:t>.</w:t>
            </w:r>
          </w:p>
          <w:p w:rsidR="00C8402F" w:rsidRPr="00897266" w:rsidRDefault="00C8402F" w:rsidP="00ED23F5">
            <w:pPr>
              <w:pStyle w:val="ListParagraph"/>
              <w:spacing w:before="120"/>
              <w:ind w:left="0"/>
              <w:contextualSpacing w:val="0"/>
              <w:jc w:val="both"/>
              <w:rPr>
                <w:noProof/>
                <w:sz w:val="24"/>
                <w:szCs w:val="24"/>
              </w:rPr>
            </w:pPr>
            <w:r w:rsidRPr="00897266">
              <w:rPr>
                <w:noProof/>
                <w:sz w:val="24"/>
                <w:szCs w:val="24"/>
                <w:u w:val="single"/>
              </w:rPr>
              <w:t>Precēm un pakalpojumiem</w:t>
            </w:r>
            <w:r w:rsidRPr="00897266">
              <w:rPr>
                <w:noProof/>
                <w:sz w:val="24"/>
                <w:szCs w:val="24"/>
              </w:rPr>
              <w:t xml:space="preserve"> (2000 kods) sakarā ar RRC pārņemšanu  - </w:t>
            </w:r>
            <w:r w:rsidR="00897266" w:rsidRPr="00897266">
              <w:rPr>
                <w:sz w:val="24"/>
                <w:szCs w:val="24"/>
              </w:rPr>
              <w:t>1 746 010</w:t>
            </w:r>
            <w:r w:rsidRPr="00897266">
              <w:rPr>
                <w:noProof/>
                <w:sz w:val="24"/>
                <w:szCs w:val="24"/>
              </w:rPr>
              <w:t xml:space="preserve"> </w:t>
            </w:r>
            <w:r w:rsidRPr="00897266">
              <w:rPr>
                <w:i/>
                <w:noProof/>
                <w:sz w:val="24"/>
                <w:szCs w:val="24"/>
              </w:rPr>
              <w:t>euro</w:t>
            </w:r>
            <w:r w:rsidRPr="00897266">
              <w:rPr>
                <w:noProof/>
                <w:sz w:val="24"/>
                <w:szCs w:val="24"/>
              </w:rPr>
              <w:t>, tai skaitā:</w:t>
            </w:r>
          </w:p>
          <w:p w:rsidR="00C8402F" w:rsidRPr="00897266" w:rsidRDefault="00C8402F" w:rsidP="00ED23F5">
            <w:pPr>
              <w:pStyle w:val="ListParagraph"/>
              <w:ind w:left="0"/>
              <w:contextualSpacing w:val="0"/>
              <w:jc w:val="both"/>
              <w:rPr>
                <w:noProof/>
                <w:sz w:val="24"/>
                <w:szCs w:val="24"/>
              </w:rPr>
            </w:pPr>
            <w:r w:rsidRPr="00897266">
              <w:rPr>
                <w:noProof/>
                <w:sz w:val="24"/>
                <w:szCs w:val="24"/>
              </w:rPr>
              <w:t xml:space="preserve">   - remontzonas telpu uzturēšanas izmaksas - 76 032 </w:t>
            </w:r>
            <w:r w:rsidRPr="00897266">
              <w:rPr>
                <w:i/>
                <w:noProof/>
                <w:sz w:val="24"/>
                <w:szCs w:val="24"/>
              </w:rPr>
              <w:t>euro</w:t>
            </w:r>
            <w:r w:rsidRPr="00897266">
              <w:rPr>
                <w:noProof/>
                <w:sz w:val="24"/>
                <w:szCs w:val="24"/>
              </w:rPr>
              <w:t>,</w:t>
            </w:r>
          </w:p>
          <w:p w:rsidR="00C8402F" w:rsidRPr="00897266" w:rsidRDefault="00C8402F" w:rsidP="00ED23F5">
            <w:pPr>
              <w:pStyle w:val="ListParagraph"/>
              <w:ind w:left="0"/>
              <w:contextualSpacing w:val="0"/>
              <w:jc w:val="both"/>
              <w:rPr>
                <w:noProof/>
                <w:sz w:val="24"/>
                <w:szCs w:val="24"/>
              </w:rPr>
            </w:pPr>
            <w:r w:rsidRPr="00897266">
              <w:rPr>
                <w:noProof/>
                <w:sz w:val="24"/>
                <w:szCs w:val="24"/>
              </w:rPr>
              <w:t xml:space="preserve">   - remontzonas aprīkojuma atjaunošana (preces) - 1 350 </w:t>
            </w:r>
            <w:r w:rsidRPr="00897266">
              <w:rPr>
                <w:i/>
                <w:noProof/>
                <w:sz w:val="24"/>
                <w:szCs w:val="24"/>
              </w:rPr>
              <w:t>euro</w:t>
            </w:r>
            <w:r w:rsidRPr="00897266">
              <w:rPr>
                <w:noProof/>
                <w:sz w:val="24"/>
                <w:szCs w:val="24"/>
              </w:rPr>
              <w:t>,</w:t>
            </w:r>
          </w:p>
          <w:p w:rsidR="00C8402F" w:rsidRPr="00897266" w:rsidRDefault="00C8402F" w:rsidP="00ED23F5">
            <w:pPr>
              <w:pStyle w:val="ListParagraph"/>
              <w:ind w:left="0"/>
              <w:contextualSpacing w:val="0"/>
              <w:jc w:val="both"/>
              <w:rPr>
                <w:noProof/>
                <w:sz w:val="24"/>
                <w:szCs w:val="24"/>
              </w:rPr>
            </w:pPr>
            <w:r w:rsidRPr="00897266">
              <w:rPr>
                <w:noProof/>
                <w:sz w:val="24"/>
                <w:szCs w:val="24"/>
              </w:rPr>
              <w:t xml:space="preserve">   - degvielas iegāde OMT un saimnieciskajam transportam, t.sk.:</w:t>
            </w:r>
          </w:p>
          <w:p w:rsidR="00C8402F" w:rsidRPr="00897266" w:rsidRDefault="00C8402F" w:rsidP="00ED23F5">
            <w:pPr>
              <w:pStyle w:val="ListParagraph"/>
              <w:ind w:left="0"/>
              <w:contextualSpacing w:val="0"/>
              <w:jc w:val="both"/>
              <w:rPr>
                <w:noProof/>
                <w:sz w:val="24"/>
                <w:szCs w:val="24"/>
              </w:rPr>
            </w:pPr>
            <w:r w:rsidRPr="00897266">
              <w:rPr>
                <w:noProof/>
                <w:sz w:val="24"/>
                <w:szCs w:val="24"/>
              </w:rPr>
              <w:tab/>
              <w:t xml:space="preserve">OMT - 1 091 034 </w:t>
            </w:r>
            <w:r w:rsidRPr="00897266">
              <w:rPr>
                <w:i/>
                <w:noProof/>
                <w:sz w:val="24"/>
                <w:szCs w:val="24"/>
              </w:rPr>
              <w:t>euro</w:t>
            </w:r>
            <w:r w:rsidRPr="00897266">
              <w:rPr>
                <w:noProof/>
                <w:sz w:val="24"/>
                <w:szCs w:val="24"/>
              </w:rPr>
              <w:t>,</w:t>
            </w:r>
          </w:p>
          <w:p w:rsidR="00C8402F" w:rsidRPr="00897266" w:rsidRDefault="00C8402F" w:rsidP="00ED23F5">
            <w:pPr>
              <w:pStyle w:val="ListParagraph"/>
              <w:ind w:left="0"/>
              <w:contextualSpacing w:val="0"/>
              <w:jc w:val="both"/>
              <w:rPr>
                <w:noProof/>
                <w:sz w:val="24"/>
                <w:szCs w:val="24"/>
              </w:rPr>
            </w:pPr>
            <w:r w:rsidRPr="00897266">
              <w:rPr>
                <w:noProof/>
                <w:sz w:val="24"/>
                <w:szCs w:val="24"/>
              </w:rPr>
              <w:tab/>
              <w:t xml:space="preserve">saimnieciskajam transportam - 25 264 </w:t>
            </w:r>
            <w:r w:rsidRPr="00897266">
              <w:rPr>
                <w:i/>
                <w:noProof/>
                <w:sz w:val="24"/>
                <w:szCs w:val="24"/>
              </w:rPr>
              <w:t>euro</w:t>
            </w:r>
            <w:r w:rsidRPr="00897266">
              <w:rPr>
                <w:noProof/>
                <w:sz w:val="24"/>
                <w:szCs w:val="24"/>
              </w:rPr>
              <w:t>,</w:t>
            </w:r>
          </w:p>
          <w:p w:rsidR="00C8402F" w:rsidRPr="00897266" w:rsidRDefault="00C8402F" w:rsidP="00ED23F5">
            <w:pPr>
              <w:pStyle w:val="ListParagraph"/>
              <w:ind w:left="0"/>
              <w:contextualSpacing w:val="0"/>
              <w:jc w:val="both"/>
              <w:rPr>
                <w:noProof/>
                <w:sz w:val="24"/>
                <w:szCs w:val="24"/>
              </w:rPr>
            </w:pPr>
            <w:r w:rsidRPr="00897266">
              <w:rPr>
                <w:noProof/>
                <w:sz w:val="24"/>
                <w:szCs w:val="24"/>
              </w:rPr>
              <w:t xml:space="preserve">   - transportlīdzekļu remonts un uzturēšana - 519 731 </w:t>
            </w:r>
            <w:r w:rsidRPr="00897266">
              <w:rPr>
                <w:i/>
                <w:noProof/>
                <w:sz w:val="24"/>
                <w:szCs w:val="24"/>
              </w:rPr>
              <w:t>euro</w:t>
            </w:r>
            <w:r w:rsidRPr="00897266">
              <w:rPr>
                <w:noProof/>
                <w:sz w:val="24"/>
                <w:szCs w:val="24"/>
              </w:rPr>
              <w:t>,</w:t>
            </w:r>
          </w:p>
          <w:p w:rsidR="00C8402F" w:rsidRPr="00897266" w:rsidRDefault="00C8402F" w:rsidP="00ED23F5">
            <w:pPr>
              <w:pStyle w:val="ListParagraph"/>
              <w:ind w:left="0"/>
              <w:contextualSpacing w:val="0"/>
              <w:jc w:val="both"/>
              <w:rPr>
                <w:noProof/>
                <w:sz w:val="24"/>
                <w:szCs w:val="24"/>
              </w:rPr>
            </w:pPr>
            <w:r w:rsidRPr="00897266">
              <w:rPr>
                <w:noProof/>
                <w:sz w:val="24"/>
                <w:szCs w:val="24"/>
              </w:rPr>
              <w:t xml:space="preserve">   - darba apģērbu iegāde un noma - 9 727 </w:t>
            </w:r>
            <w:r w:rsidRPr="00897266">
              <w:rPr>
                <w:i/>
                <w:noProof/>
                <w:sz w:val="24"/>
                <w:szCs w:val="24"/>
              </w:rPr>
              <w:t>euro</w:t>
            </w:r>
            <w:r w:rsidRPr="00897266">
              <w:rPr>
                <w:noProof/>
                <w:sz w:val="24"/>
                <w:szCs w:val="24"/>
              </w:rPr>
              <w:t>,</w:t>
            </w:r>
          </w:p>
          <w:p w:rsidR="00C8402F" w:rsidRPr="00897266" w:rsidRDefault="00C8402F" w:rsidP="00ED23F5">
            <w:pPr>
              <w:pStyle w:val="ListParagraph"/>
              <w:ind w:left="347" w:hanging="347"/>
              <w:contextualSpacing w:val="0"/>
              <w:jc w:val="both"/>
              <w:rPr>
                <w:noProof/>
                <w:sz w:val="24"/>
                <w:szCs w:val="24"/>
              </w:rPr>
            </w:pPr>
            <w:r w:rsidRPr="00897266">
              <w:rPr>
                <w:noProof/>
                <w:sz w:val="24"/>
                <w:szCs w:val="24"/>
              </w:rPr>
              <w:t xml:space="preserve">   - veselības aprūpe (darbinieku obligātās veselības pārbaudes un vakcinācija) – </w:t>
            </w:r>
            <w:r w:rsidR="00897266" w:rsidRPr="00897266">
              <w:rPr>
                <w:noProof/>
                <w:sz w:val="24"/>
                <w:szCs w:val="24"/>
              </w:rPr>
              <w:t>19 343</w:t>
            </w:r>
            <w:r w:rsidRPr="00897266">
              <w:rPr>
                <w:noProof/>
                <w:sz w:val="24"/>
                <w:szCs w:val="24"/>
              </w:rPr>
              <w:t xml:space="preserve"> </w:t>
            </w:r>
            <w:r w:rsidRPr="00897266">
              <w:rPr>
                <w:i/>
                <w:noProof/>
                <w:sz w:val="24"/>
                <w:szCs w:val="24"/>
              </w:rPr>
              <w:t>euro</w:t>
            </w:r>
            <w:r w:rsidRPr="00897266">
              <w:rPr>
                <w:noProof/>
                <w:sz w:val="24"/>
                <w:szCs w:val="24"/>
              </w:rPr>
              <w:t>,</w:t>
            </w:r>
          </w:p>
          <w:p w:rsidR="00C8402F" w:rsidRPr="00D1266B" w:rsidRDefault="00C8402F" w:rsidP="00ED23F5">
            <w:pPr>
              <w:pStyle w:val="ListParagraph"/>
              <w:ind w:left="347" w:hanging="347"/>
              <w:contextualSpacing w:val="0"/>
              <w:jc w:val="both"/>
              <w:rPr>
                <w:noProof/>
                <w:sz w:val="24"/>
                <w:szCs w:val="24"/>
              </w:rPr>
            </w:pPr>
            <w:r w:rsidRPr="00897266">
              <w:rPr>
                <w:noProof/>
                <w:sz w:val="24"/>
                <w:szCs w:val="24"/>
              </w:rPr>
              <w:t xml:space="preserve">   - administratīvās izmaksas - 3 529 </w:t>
            </w:r>
            <w:r w:rsidRPr="00897266">
              <w:rPr>
                <w:i/>
                <w:noProof/>
                <w:sz w:val="24"/>
                <w:szCs w:val="24"/>
              </w:rPr>
              <w:t>euro</w:t>
            </w:r>
            <w:r w:rsidR="00251E2F" w:rsidRPr="00897266">
              <w:rPr>
                <w:noProof/>
                <w:sz w:val="24"/>
                <w:szCs w:val="24"/>
              </w:rPr>
              <w:t>.</w:t>
            </w:r>
          </w:p>
          <w:p w:rsidR="00C8402F" w:rsidRPr="00D1266B" w:rsidRDefault="00C8402F" w:rsidP="00ED23F5">
            <w:pPr>
              <w:pStyle w:val="ListParagraph"/>
              <w:spacing w:before="120"/>
              <w:ind w:left="0"/>
              <w:contextualSpacing w:val="0"/>
              <w:jc w:val="both"/>
              <w:rPr>
                <w:noProof/>
                <w:sz w:val="24"/>
                <w:szCs w:val="24"/>
              </w:rPr>
            </w:pPr>
            <w:r w:rsidRPr="00D1266B">
              <w:rPr>
                <w:noProof/>
                <w:sz w:val="24"/>
                <w:szCs w:val="24"/>
                <w:u w:val="single"/>
              </w:rPr>
              <w:t>Procentu izdevumiem</w:t>
            </w:r>
            <w:r w:rsidRPr="00D1266B">
              <w:rPr>
                <w:noProof/>
                <w:sz w:val="24"/>
                <w:szCs w:val="24"/>
              </w:rPr>
              <w:t xml:space="preserve"> (4000 kods) atbilstoši līzinga nosacīju</w:t>
            </w:r>
            <w:r w:rsidRPr="00D1266B">
              <w:rPr>
                <w:noProof/>
                <w:sz w:val="24"/>
                <w:szCs w:val="24"/>
              </w:rPr>
              <w:softHyphen/>
              <w:t xml:space="preserve">miem </w:t>
            </w:r>
            <w:r>
              <w:rPr>
                <w:noProof/>
                <w:sz w:val="24"/>
                <w:szCs w:val="24"/>
              </w:rPr>
              <w:t>–</w:t>
            </w:r>
            <w:r w:rsidRPr="00D1266B">
              <w:rPr>
                <w:noProof/>
                <w:sz w:val="24"/>
                <w:szCs w:val="24"/>
              </w:rPr>
              <w:t xml:space="preserve"> </w:t>
            </w:r>
            <w:r>
              <w:rPr>
                <w:noProof/>
                <w:sz w:val="24"/>
                <w:szCs w:val="24"/>
              </w:rPr>
              <w:t>78 416</w:t>
            </w:r>
            <w:r w:rsidRPr="00D1266B">
              <w:rPr>
                <w:noProof/>
                <w:sz w:val="24"/>
                <w:szCs w:val="24"/>
              </w:rPr>
              <w:t> </w:t>
            </w:r>
            <w:r w:rsidRPr="00D1266B">
              <w:rPr>
                <w:i/>
                <w:noProof/>
                <w:sz w:val="24"/>
                <w:szCs w:val="24"/>
              </w:rPr>
              <w:t>euro</w:t>
            </w:r>
            <w:r w:rsidR="00251E2F">
              <w:rPr>
                <w:noProof/>
                <w:sz w:val="24"/>
                <w:szCs w:val="24"/>
              </w:rPr>
              <w:t>.</w:t>
            </w:r>
          </w:p>
          <w:p w:rsidR="00C8402F" w:rsidRPr="00D1266B" w:rsidRDefault="00C8402F" w:rsidP="00ED23F5">
            <w:pPr>
              <w:pStyle w:val="ListParagraph"/>
              <w:spacing w:before="120"/>
              <w:ind w:left="0"/>
              <w:contextualSpacing w:val="0"/>
              <w:jc w:val="both"/>
              <w:rPr>
                <w:noProof/>
                <w:sz w:val="24"/>
                <w:szCs w:val="24"/>
              </w:rPr>
            </w:pPr>
            <w:r w:rsidRPr="00D1266B">
              <w:rPr>
                <w:noProof/>
                <w:sz w:val="24"/>
                <w:szCs w:val="24"/>
                <w:u w:val="single"/>
              </w:rPr>
              <w:t>Pamatkapitāla veidošanai</w:t>
            </w:r>
            <w:r w:rsidRPr="00D1266B">
              <w:rPr>
                <w:noProof/>
                <w:sz w:val="24"/>
                <w:szCs w:val="24"/>
              </w:rPr>
              <w:t xml:space="preserve"> (5000 kods) </w:t>
            </w:r>
            <w:r>
              <w:rPr>
                <w:noProof/>
                <w:sz w:val="24"/>
                <w:szCs w:val="24"/>
              </w:rPr>
              <w:t>–</w:t>
            </w:r>
            <w:r w:rsidRPr="00D1266B">
              <w:rPr>
                <w:noProof/>
                <w:sz w:val="24"/>
                <w:szCs w:val="24"/>
              </w:rPr>
              <w:t xml:space="preserve"> </w:t>
            </w:r>
            <w:r>
              <w:rPr>
                <w:noProof/>
                <w:sz w:val="24"/>
                <w:szCs w:val="24"/>
              </w:rPr>
              <w:t>1 606 005</w:t>
            </w:r>
            <w:r w:rsidRPr="00D1266B">
              <w:rPr>
                <w:noProof/>
                <w:sz w:val="24"/>
                <w:szCs w:val="24"/>
              </w:rPr>
              <w:t xml:space="preserve"> </w:t>
            </w:r>
            <w:r w:rsidRPr="00D1266B">
              <w:rPr>
                <w:i/>
                <w:noProof/>
                <w:sz w:val="24"/>
                <w:szCs w:val="24"/>
              </w:rPr>
              <w:t>euro</w:t>
            </w:r>
            <w:r w:rsidRPr="00D1266B">
              <w:rPr>
                <w:noProof/>
                <w:sz w:val="24"/>
                <w:szCs w:val="24"/>
              </w:rPr>
              <w:t>, tai skaitā:</w:t>
            </w:r>
          </w:p>
          <w:p w:rsidR="00C8402F" w:rsidRPr="00D1266B" w:rsidRDefault="00C8402F" w:rsidP="00ED23F5">
            <w:pPr>
              <w:pStyle w:val="ListParagraph"/>
              <w:ind w:left="0"/>
              <w:contextualSpacing w:val="0"/>
              <w:jc w:val="both"/>
              <w:rPr>
                <w:noProof/>
                <w:sz w:val="24"/>
                <w:szCs w:val="24"/>
              </w:rPr>
            </w:pPr>
            <w:r w:rsidRPr="00D1266B">
              <w:rPr>
                <w:noProof/>
                <w:sz w:val="24"/>
                <w:szCs w:val="24"/>
              </w:rPr>
              <w:t xml:space="preserve">   - jauno OMT iegādei līzingā, pārņemot Rīgas RC </w:t>
            </w:r>
            <w:r>
              <w:rPr>
                <w:noProof/>
                <w:sz w:val="24"/>
                <w:szCs w:val="24"/>
              </w:rPr>
              <w:t>–</w:t>
            </w:r>
            <w:r w:rsidRPr="00D1266B">
              <w:rPr>
                <w:noProof/>
                <w:sz w:val="24"/>
                <w:szCs w:val="24"/>
              </w:rPr>
              <w:t xml:space="preserve"> </w:t>
            </w:r>
            <w:r>
              <w:rPr>
                <w:noProof/>
                <w:sz w:val="24"/>
                <w:szCs w:val="24"/>
              </w:rPr>
              <w:t>1 592 153</w:t>
            </w:r>
            <w:r w:rsidRPr="00D1266B">
              <w:rPr>
                <w:noProof/>
                <w:sz w:val="24"/>
                <w:szCs w:val="24"/>
              </w:rPr>
              <w:t> </w:t>
            </w:r>
            <w:r w:rsidRPr="00D1266B">
              <w:rPr>
                <w:i/>
                <w:noProof/>
                <w:sz w:val="24"/>
                <w:szCs w:val="24"/>
              </w:rPr>
              <w:t>euro</w:t>
            </w:r>
            <w:r w:rsidRPr="00D1266B">
              <w:rPr>
                <w:noProof/>
                <w:sz w:val="24"/>
                <w:szCs w:val="24"/>
              </w:rPr>
              <w:t>,</w:t>
            </w:r>
          </w:p>
          <w:p w:rsidR="00C8402F" w:rsidRPr="00D1266B" w:rsidRDefault="00C8402F" w:rsidP="00FD19C0">
            <w:pPr>
              <w:pStyle w:val="ListParagraph"/>
              <w:ind w:left="347" w:hanging="347"/>
              <w:contextualSpacing w:val="0"/>
              <w:jc w:val="both"/>
              <w:rPr>
                <w:noProof/>
                <w:sz w:val="24"/>
                <w:szCs w:val="24"/>
              </w:rPr>
            </w:pPr>
            <w:r w:rsidRPr="00D1266B">
              <w:rPr>
                <w:noProof/>
                <w:sz w:val="24"/>
                <w:szCs w:val="24"/>
              </w:rPr>
              <w:t xml:space="preserve">   - OMT remontzonas aprīkojuma atjaunošana (kapitālās iegādes) - 13 852 </w:t>
            </w:r>
            <w:r w:rsidRPr="00D1266B">
              <w:rPr>
                <w:i/>
                <w:noProof/>
                <w:sz w:val="24"/>
                <w:szCs w:val="24"/>
              </w:rPr>
              <w:t>euro</w:t>
            </w:r>
            <w:r w:rsidRPr="00D1266B">
              <w:rPr>
                <w:noProof/>
                <w:sz w:val="24"/>
                <w:szCs w:val="24"/>
              </w:rPr>
              <w:t>.</w:t>
            </w:r>
          </w:p>
          <w:p w:rsidR="00C8402F" w:rsidRPr="00D1266B" w:rsidRDefault="00C8402F" w:rsidP="00ED23F5">
            <w:pPr>
              <w:pStyle w:val="ListParagraph"/>
              <w:spacing w:before="120"/>
              <w:ind w:left="0"/>
              <w:contextualSpacing w:val="0"/>
              <w:jc w:val="both"/>
              <w:rPr>
                <w:noProof/>
                <w:sz w:val="24"/>
                <w:szCs w:val="24"/>
              </w:rPr>
            </w:pPr>
            <w:r w:rsidRPr="00D1266B">
              <w:rPr>
                <w:b/>
                <w:noProof/>
                <w:sz w:val="24"/>
                <w:szCs w:val="24"/>
              </w:rPr>
              <w:t xml:space="preserve">Kopā 2019.gadā </w:t>
            </w:r>
            <w:r w:rsidRPr="00D1266B">
              <w:rPr>
                <w:noProof/>
                <w:sz w:val="24"/>
                <w:szCs w:val="24"/>
              </w:rPr>
              <w:t>Rīgas RC nepieciešams:</w:t>
            </w:r>
          </w:p>
          <w:p w:rsidR="00C8402F" w:rsidRDefault="00C8402F" w:rsidP="00ED23F5">
            <w:pPr>
              <w:pStyle w:val="ListParagraph"/>
              <w:spacing w:before="120"/>
              <w:ind w:left="0"/>
              <w:contextualSpacing w:val="0"/>
              <w:jc w:val="both"/>
              <w:rPr>
                <w:noProof/>
                <w:sz w:val="24"/>
                <w:szCs w:val="24"/>
              </w:rPr>
            </w:pPr>
            <w:r w:rsidRPr="00D1266B">
              <w:rPr>
                <w:noProof/>
                <w:sz w:val="24"/>
                <w:szCs w:val="24"/>
              </w:rPr>
              <w:t>(4 105</w:t>
            </w:r>
            <w:r w:rsidR="00897266">
              <w:rPr>
                <w:noProof/>
                <w:sz w:val="24"/>
                <w:szCs w:val="24"/>
              </w:rPr>
              <w:t> </w:t>
            </w:r>
            <w:r w:rsidRPr="00D1266B">
              <w:rPr>
                <w:noProof/>
                <w:sz w:val="24"/>
                <w:szCs w:val="24"/>
              </w:rPr>
              <w:t>999</w:t>
            </w:r>
            <w:r w:rsidR="00897266">
              <w:rPr>
                <w:noProof/>
                <w:sz w:val="24"/>
                <w:szCs w:val="24"/>
              </w:rPr>
              <w:t xml:space="preserve"> </w:t>
            </w:r>
            <w:r w:rsidRPr="00D1266B">
              <w:rPr>
                <w:noProof/>
                <w:sz w:val="24"/>
                <w:szCs w:val="24"/>
              </w:rPr>
              <w:t>+</w:t>
            </w:r>
            <w:r w:rsidR="00897266">
              <w:rPr>
                <w:noProof/>
                <w:sz w:val="24"/>
                <w:szCs w:val="24"/>
              </w:rPr>
              <w:t xml:space="preserve"> </w:t>
            </w:r>
            <w:r w:rsidR="00897266" w:rsidRPr="00897266">
              <w:rPr>
                <w:sz w:val="24"/>
                <w:szCs w:val="24"/>
              </w:rPr>
              <w:t>1 746</w:t>
            </w:r>
            <w:r w:rsidR="00897266">
              <w:rPr>
                <w:sz w:val="24"/>
                <w:szCs w:val="24"/>
              </w:rPr>
              <w:t> </w:t>
            </w:r>
            <w:r w:rsidR="00897266" w:rsidRPr="00897266">
              <w:rPr>
                <w:sz w:val="24"/>
                <w:szCs w:val="24"/>
              </w:rPr>
              <w:t>010</w:t>
            </w:r>
            <w:r w:rsidR="00897266" w:rsidRPr="00897266">
              <w:rPr>
                <w:noProof/>
                <w:sz w:val="24"/>
                <w:szCs w:val="24"/>
              </w:rPr>
              <w:t xml:space="preserve"> </w:t>
            </w:r>
            <w:r w:rsidRPr="00D1266B">
              <w:rPr>
                <w:noProof/>
                <w:sz w:val="24"/>
                <w:szCs w:val="24"/>
              </w:rPr>
              <w:t xml:space="preserve">+ </w:t>
            </w:r>
            <w:r>
              <w:rPr>
                <w:noProof/>
                <w:sz w:val="24"/>
                <w:szCs w:val="24"/>
              </w:rPr>
              <w:t>78</w:t>
            </w:r>
            <w:r w:rsidR="00897266">
              <w:rPr>
                <w:noProof/>
                <w:sz w:val="24"/>
                <w:szCs w:val="24"/>
              </w:rPr>
              <w:t> </w:t>
            </w:r>
            <w:r>
              <w:rPr>
                <w:noProof/>
                <w:sz w:val="24"/>
                <w:szCs w:val="24"/>
              </w:rPr>
              <w:t>416</w:t>
            </w:r>
            <w:r w:rsidR="00897266">
              <w:rPr>
                <w:noProof/>
                <w:sz w:val="24"/>
                <w:szCs w:val="24"/>
              </w:rPr>
              <w:t xml:space="preserve"> </w:t>
            </w:r>
            <w:r w:rsidRPr="00D1266B">
              <w:rPr>
                <w:noProof/>
                <w:sz w:val="24"/>
                <w:szCs w:val="24"/>
              </w:rPr>
              <w:t>+</w:t>
            </w:r>
            <w:r w:rsidR="00897266">
              <w:rPr>
                <w:noProof/>
                <w:sz w:val="24"/>
                <w:szCs w:val="24"/>
              </w:rPr>
              <w:t xml:space="preserve"> </w:t>
            </w:r>
            <w:r>
              <w:rPr>
                <w:noProof/>
                <w:sz w:val="24"/>
                <w:szCs w:val="24"/>
              </w:rPr>
              <w:t>1</w:t>
            </w:r>
            <w:r w:rsidR="00897266">
              <w:rPr>
                <w:noProof/>
                <w:sz w:val="24"/>
                <w:szCs w:val="24"/>
              </w:rPr>
              <w:t> </w:t>
            </w:r>
            <w:r>
              <w:rPr>
                <w:noProof/>
                <w:sz w:val="24"/>
                <w:szCs w:val="24"/>
              </w:rPr>
              <w:t>606</w:t>
            </w:r>
            <w:r w:rsidR="00897266">
              <w:rPr>
                <w:noProof/>
                <w:sz w:val="24"/>
                <w:szCs w:val="24"/>
              </w:rPr>
              <w:t> </w:t>
            </w:r>
            <w:r>
              <w:rPr>
                <w:noProof/>
                <w:sz w:val="24"/>
                <w:szCs w:val="24"/>
              </w:rPr>
              <w:t>005</w:t>
            </w:r>
            <w:r w:rsidRPr="00D1266B">
              <w:rPr>
                <w:noProof/>
                <w:sz w:val="24"/>
                <w:szCs w:val="24"/>
              </w:rPr>
              <w:t>) </w:t>
            </w:r>
            <w:r w:rsidRPr="00D1266B">
              <w:rPr>
                <w:i/>
                <w:noProof/>
                <w:sz w:val="24"/>
                <w:szCs w:val="24"/>
              </w:rPr>
              <w:t xml:space="preserve">euro </w:t>
            </w:r>
            <w:r w:rsidRPr="00D1266B">
              <w:rPr>
                <w:noProof/>
                <w:sz w:val="24"/>
                <w:szCs w:val="24"/>
              </w:rPr>
              <w:t>= </w:t>
            </w:r>
            <w:r w:rsidRPr="00D1266B">
              <w:rPr>
                <w:b/>
                <w:noProof/>
                <w:sz w:val="24"/>
                <w:szCs w:val="24"/>
              </w:rPr>
              <w:t>7 536</w:t>
            </w:r>
            <w:r>
              <w:rPr>
                <w:b/>
                <w:noProof/>
                <w:sz w:val="24"/>
                <w:szCs w:val="24"/>
              </w:rPr>
              <w:t> </w:t>
            </w:r>
            <w:r w:rsidRPr="00D1266B">
              <w:rPr>
                <w:b/>
                <w:noProof/>
                <w:sz w:val="24"/>
                <w:szCs w:val="24"/>
              </w:rPr>
              <w:t xml:space="preserve">430  </w:t>
            </w:r>
            <w:r w:rsidRPr="00D1266B">
              <w:rPr>
                <w:b/>
                <w:i/>
                <w:noProof/>
                <w:sz w:val="24"/>
                <w:szCs w:val="24"/>
              </w:rPr>
              <w:t>euro</w:t>
            </w:r>
            <w:r>
              <w:rPr>
                <w:noProof/>
                <w:sz w:val="24"/>
                <w:szCs w:val="24"/>
              </w:rPr>
              <w:t xml:space="preserve">, </w:t>
            </w:r>
            <w:r w:rsidR="00AD17B6">
              <w:rPr>
                <w:noProof/>
                <w:sz w:val="24"/>
                <w:szCs w:val="24"/>
              </w:rPr>
              <w:t>kas iekļauts 2015.gada valsts budžeta ilgtermiņa saistību tālākā laika posma (2018.-2022.gads) kopējā apmērā.</w:t>
            </w:r>
          </w:p>
          <w:p w:rsidR="00C8402F" w:rsidRPr="00D1266B" w:rsidRDefault="00C8402F" w:rsidP="00D33AC8">
            <w:pPr>
              <w:pStyle w:val="ListParagraph"/>
              <w:ind w:left="0"/>
              <w:contextualSpacing w:val="0"/>
              <w:jc w:val="both"/>
              <w:rPr>
                <w:i/>
                <w:noProof/>
                <w:sz w:val="24"/>
                <w:szCs w:val="24"/>
              </w:rPr>
            </w:pPr>
          </w:p>
          <w:p w:rsidR="00C8402F" w:rsidRPr="00897266" w:rsidRDefault="00C8402F" w:rsidP="0016189C">
            <w:pPr>
              <w:pStyle w:val="ListParagraph"/>
              <w:ind w:left="0"/>
              <w:contextualSpacing w:val="0"/>
              <w:jc w:val="both"/>
              <w:rPr>
                <w:noProof/>
                <w:sz w:val="24"/>
                <w:szCs w:val="24"/>
              </w:rPr>
            </w:pPr>
            <w:r w:rsidRPr="00897266">
              <w:rPr>
                <w:b/>
                <w:noProof/>
                <w:sz w:val="24"/>
                <w:szCs w:val="24"/>
                <w:u w:val="single"/>
              </w:rPr>
              <w:t>2020.gadā</w:t>
            </w:r>
            <w:r w:rsidRPr="00897266">
              <w:rPr>
                <w:noProof/>
                <w:sz w:val="24"/>
                <w:szCs w:val="24"/>
              </w:rPr>
              <w:t>:</w:t>
            </w:r>
          </w:p>
          <w:p w:rsidR="00C8402F" w:rsidRPr="00897266" w:rsidRDefault="00C8402F" w:rsidP="0070614F">
            <w:pPr>
              <w:pStyle w:val="ListParagraph"/>
              <w:spacing w:before="120"/>
              <w:ind w:left="0"/>
              <w:contextualSpacing w:val="0"/>
              <w:jc w:val="both"/>
              <w:rPr>
                <w:noProof/>
                <w:sz w:val="24"/>
                <w:szCs w:val="24"/>
              </w:rPr>
            </w:pPr>
            <w:r w:rsidRPr="00897266">
              <w:rPr>
                <w:noProof/>
                <w:sz w:val="24"/>
                <w:szCs w:val="24"/>
                <w:u w:val="single"/>
              </w:rPr>
              <w:t>Atlīdzībai</w:t>
            </w:r>
            <w:r w:rsidRPr="00897266">
              <w:rPr>
                <w:noProof/>
                <w:sz w:val="24"/>
                <w:szCs w:val="24"/>
              </w:rPr>
              <w:t xml:space="preserve"> (1000 kods) - 4 105 999 </w:t>
            </w:r>
            <w:r w:rsidRPr="00897266">
              <w:rPr>
                <w:i/>
                <w:noProof/>
                <w:sz w:val="24"/>
                <w:szCs w:val="24"/>
              </w:rPr>
              <w:t>euro</w:t>
            </w:r>
            <w:r w:rsidRPr="00897266">
              <w:rPr>
                <w:noProof/>
                <w:sz w:val="24"/>
                <w:szCs w:val="24"/>
              </w:rPr>
              <w:t xml:space="preserve">, tai skaitā: </w:t>
            </w:r>
          </w:p>
          <w:p w:rsidR="00C8402F" w:rsidRPr="00897266" w:rsidRDefault="00C8402F" w:rsidP="0070614F">
            <w:pPr>
              <w:pStyle w:val="ListParagraph"/>
              <w:ind w:left="346" w:hanging="346"/>
              <w:contextualSpacing w:val="0"/>
              <w:jc w:val="both"/>
              <w:rPr>
                <w:noProof/>
                <w:sz w:val="24"/>
                <w:szCs w:val="24"/>
              </w:rPr>
            </w:pPr>
            <w:r w:rsidRPr="00897266">
              <w:rPr>
                <w:noProof/>
                <w:sz w:val="24"/>
                <w:szCs w:val="24"/>
              </w:rPr>
              <w:t xml:space="preserve">   - atalgo</w:t>
            </w:r>
            <w:r w:rsidRPr="00897266">
              <w:rPr>
                <w:noProof/>
                <w:sz w:val="24"/>
                <w:szCs w:val="24"/>
              </w:rPr>
              <w:softHyphen/>
              <w:t xml:space="preserve">jumam OMT vadītājiem (ieskaitot piemaksas par risku un nakts darbu), tehniskajam personālam, finanšu un personāla speciālistiem (1100 kods) - 3 238 449 </w:t>
            </w:r>
            <w:r w:rsidRPr="00897266">
              <w:rPr>
                <w:i/>
                <w:noProof/>
                <w:sz w:val="24"/>
                <w:szCs w:val="24"/>
              </w:rPr>
              <w:t>euro</w:t>
            </w:r>
            <w:r w:rsidRPr="00897266">
              <w:rPr>
                <w:noProof/>
                <w:sz w:val="24"/>
                <w:szCs w:val="24"/>
              </w:rPr>
              <w:t>,</w:t>
            </w:r>
          </w:p>
          <w:p w:rsidR="00C8402F" w:rsidRPr="00897266" w:rsidRDefault="00C8402F" w:rsidP="0070614F">
            <w:pPr>
              <w:pStyle w:val="ListParagraph"/>
              <w:ind w:left="346" w:hanging="346"/>
              <w:contextualSpacing w:val="0"/>
              <w:jc w:val="both"/>
              <w:rPr>
                <w:noProof/>
                <w:sz w:val="24"/>
                <w:szCs w:val="24"/>
              </w:rPr>
            </w:pPr>
            <w:r w:rsidRPr="00897266">
              <w:rPr>
                <w:noProof/>
                <w:sz w:val="24"/>
                <w:szCs w:val="24"/>
              </w:rPr>
              <w:t xml:space="preserve">   - sociālajam nodoklim, pabalstiem un kompensācijām (1200 kods) - 863 550 </w:t>
            </w:r>
            <w:r w:rsidRPr="00897266">
              <w:rPr>
                <w:i/>
                <w:noProof/>
                <w:sz w:val="24"/>
                <w:szCs w:val="24"/>
              </w:rPr>
              <w:t>euro</w:t>
            </w:r>
            <w:r w:rsidRPr="00897266">
              <w:rPr>
                <w:noProof/>
                <w:sz w:val="24"/>
                <w:szCs w:val="24"/>
              </w:rPr>
              <w:t>,</w:t>
            </w:r>
          </w:p>
          <w:p w:rsidR="00C8402F" w:rsidRPr="00897266" w:rsidRDefault="00C8402F" w:rsidP="0070614F">
            <w:pPr>
              <w:pStyle w:val="ListParagraph"/>
              <w:ind w:left="347" w:hanging="347"/>
              <w:contextualSpacing w:val="0"/>
              <w:jc w:val="both"/>
              <w:rPr>
                <w:noProof/>
                <w:sz w:val="24"/>
                <w:szCs w:val="24"/>
              </w:rPr>
            </w:pPr>
            <w:r w:rsidRPr="00897266">
              <w:rPr>
                <w:noProof/>
                <w:sz w:val="24"/>
                <w:szCs w:val="24"/>
              </w:rPr>
              <w:t xml:space="preserve">   - nelaimes gadījumu apdrošināšanai (1200 kods) - 4 000 </w:t>
            </w:r>
            <w:r w:rsidRPr="00897266">
              <w:rPr>
                <w:i/>
                <w:noProof/>
                <w:sz w:val="24"/>
                <w:szCs w:val="24"/>
              </w:rPr>
              <w:t>euro</w:t>
            </w:r>
            <w:r w:rsidR="00251E2F" w:rsidRPr="00897266">
              <w:rPr>
                <w:noProof/>
                <w:sz w:val="24"/>
                <w:szCs w:val="24"/>
              </w:rPr>
              <w:t>.</w:t>
            </w:r>
          </w:p>
          <w:p w:rsidR="00C8402F" w:rsidRPr="00897266" w:rsidRDefault="00C8402F" w:rsidP="0070614F">
            <w:pPr>
              <w:pStyle w:val="ListParagraph"/>
              <w:spacing w:before="120"/>
              <w:ind w:left="0"/>
              <w:contextualSpacing w:val="0"/>
              <w:jc w:val="both"/>
              <w:rPr>
                <w:noProof/>
                <w:sz w:val="24"/>
                <w:szCs w:val="24"/>
              </w:rPr>
            </w:pPr>
            <w:r w:rsidRPr="00897266">
              <w:rPr>
                <w:noProof/>
                <w:sz w:val="24"/>
                <w:szCs w:val="24"/>
                <w:u w:val="single"/>
              </w:rPr>
              <w:t>Precēm un pakalpojumiem</w:t>
            </w:r>
            <w:r w:rsidRPr="00897266">
              <w:rPr>
                <w:noProof/>
                <w:sz w:val="24"/>
                <w:szCs w:val="24"/>
              </w:rPr>
              <w:t xml:space="preserve"> (2000 kods) sakarā ar RRC pārņemšanu  - </w:t>
            </w:r>
            <w:r w:rsidRPr="00897266">
              <w:rPr>
                <w:sz w:val="24"/>
                <w:szCs w:val="24"/>
              </w:rPr>
              <w:t>1 </w:t>
            </w:r>
            <w:r w:rsidR="00897266" w:rsidRPr="00897266">
              <w:rPr>
                <w:sz w:val="24"/>
                <w:szCs w:val="24"/>
              </w:rPr>
              <w:t>751</w:t>
            </w:r>
            <w:r w:rsidRPr="00897266">
              <w:rPr>
                <w:sz w:val="24"/>
                <w:szCs w:val="24"/>
              </w:rPr>
              <w:t xml:space="preserve"> </w:t>
            </w:r>
            <w:r w:rsidR="00897266" w:rsidRPr="00897266">
              <w:rPr>
                <w:sz w:val="24"/>
                <w:szCs w:val="24"/>
              </w:rPr>
              <w:t>399</w:t>
            </w:r>
            <w:r w:rsidRPr="00897266">
              <w:rPr>
                <w:noProof/>
                <w:sz w:val="24"/>
                <w:szCs w:val="24"/>
              </w:rPr>
              <w:t xml:space="preserve"> euro, tai skaitā:</w:t>
            </w:r>
          </w:p>
          <w:p w:rsidR="00C8402F" w:rsidRPr="00897266" w:rsidRDefault="00C8402F" w:rsidP="0070614F">
            <w:pPr>
              <w:pStyle w:val="ListParagraph"/>
              <w:ind w:left="0"/>
              <w:contextualSpacing w:val="0"/>
              <w:jc w:val="both"/>
              <w:rPr>
                <w:noProof/>
                <w:sz w:val="24"/>
                <w:szCs w:val="24"/>
              </w:rPr>
            </w:pPr>
            <w:r w:rsidRPr="00897266">
              <w:rPr>
                <w:noProof/>
                <w:sz w:val="24"/>
                <w:szCs w:val="24"/>
              </w:rPr>
              <w:t xml:space="preserve">   - remontzonas telpu uzturēšanas izmaksas - 76 032 </w:t>
            </w:r>
            <w:r w:rsidRPr="00897266">
              <w:rPr>
                <w:i/>
                <w:noProof/>
                <w:sz w:val="24"/>
                <w:szCs w:val="24"/>
              </w:rPr>
              <w:t>euro</w:t>
            </w:r>
            <w:r w:rsidRPr="00897266">
              <w:rPr>
                <w:noProof/>
                <w:sz w:val="24"/>
                <w:szCs w:val="24"/>
              </w:rPr>
              <w:t>,</w:t>
            </w:r>
          </w:p>
          <w:p w:rsidR="00C8402F" w:rsidRPr="00897266" w:rsidRDefault="00C8402F" w:rsidP="0070614F">
            <w:pPr>
              <w:pStyle w:val="ListParagraph"/>
              <w:ind w:left="0"/>
              <w:contextualSpacing w:val="0"/>
              <w:jc w:val="both"/>
              <w:rPr>
                <w:noProof/>
                <w:sz w:val="24"/>
                <w:szCs w:val="24"/>
              </w:rPr>
            </w:pPr>
            <w:r w:rsidRPr="00897266">
              <w:rPr>
                <w:noProof/>
                <w:sz w:val="24"/>
                <w:szCs w:val="24"/>
              </w:rPr>
              <w:t xml:space="preserve">   - remontzonas aprīkojuma atjaunošana (preces) - 1 350 </w:t>
            </w:r>
            <w:r w:rsidRPr="00897266">
              <w:rPr>
                <w:i/>
                <w:noProof/>
                <w:sz w:val="24"/>
                <w:szCs w:val="24"/>
              </w:rPr>
              <w:t>euro</w:t>
            </w:r>
            <w:r w:rsidRPr="00897266">
              <w:rPr>
                <w:noProof/>
                <w:sz w:val="24"/>
                <w:szCs w:val="24"/>
              </w:rPr>
              <w:t>,</w:t>
            </w:r>
          </w:p>
          <w:p w:rsidR="00C8402F" w:rsidRPr="00897266" w:rsidRDefault="00C8402F" w:rsidP="0070614F">
            <w:pPr>
              <w:pStyle w:val="ListParagraph"/>
              <w:ind w:left="0"/>
              <w:contextualSpacing w:val="0"/>
              <w:jc w:val="both"/>
              <w:rPr>
                <w:noProof/>
                <w:sz w:val="24"/>
                <w:szCs w:val="24"/>
              </w:rPr>
            </w:pPr>
            <w:r w:rsidRPr="00897266">
              <w:rPr>
                <w:noProof/>
                <w:sz w:val="24"/>
                <w:szCs w:val="24"/>
              </w:rPr>
              <w:t xml:space="preserve">   - degvielas iegāde OMT un saimnieciskajam transportam, t.sk.:</w:t>
            </w:r>
          </w:p>
          <w:p w:rsidR="00C8402F" w:rsidRPr="00897266" w:rsidRDefault="00C8402F" w:rsidP="0070614F">
            <w:pPr>
              <w:pStyle w:val="ListParagraph"/>
              <w:ind w:left="0"/>
              <w:contextualSpacing w:val="0"/>
              <w:jc w:val="both"/>
              <w:rPr>
                <w:noProof/>
                <w:sz w:val="24"/>
                <w:szCs w:val="24"/>
              </w:rPr>
            </w:pPr>
            <w:r w:rsidRPr="00897266">
              <w:rPr>
                <w:noProof/>
                <w:sz w:val="24"/>
                <w:szCs w:val="24"/>
              </w:rPr>
              <w:tab/>
              <w:t xml:space="preserve">OMT - 1 091 034 </w:t>
            </w:r>
            <w:r w:rsidRPr="00897266">
              <w:rPr>
                <w:i/>
                <w:noProof/>
                <w:sz w:val="24"/>
                <w:szCs w:val="24"/>
              </w:rPr>
              <w:t>euro</w:t>
            </w:r>
            <w:r w:rsidRPr="00897266">
              <w:rPr>
                <w:noProof/>
                <w:sz w:val="24"/>
                <w:szCs w:val="24"/>
              </w:rPr>
              <w:t>,</w:t>
            </w:r>
          </w:p>
          <w:p w:rsidR="00C8402F" w:rsidRPr="00897266" w:rsidRDefault="00C8402F" w:rsidP="0070614F">
            <w:pPr>
              <w:pStyle w:val="ListParagraph"/>
              <w:ind w:left="0"/>
              <w:contextualSpacing w:val="0"/>
              <w:jc w:val="both"/>
              <w:rPr>
                <w:noProof/>
                <w:sz w:val="24"/>
                <w:szCs w:val="24"/>
              </w:rPr>
            </w:pPr>
            <w:r w:rsidRPr="00897266">
              <w:rPr>
                <w:noProof/>
                <w:sz w:val="24"/>
                <w:szCs w:val="24"/>
              </w:rPr>
              <w:tab/>
              <w:t xml:space="preserve">saimnieciskajam transportam - 25 264 </w:t>
            </w:r>
            <w:r w:rsidRPr="00897266">
              <w:rPr>
                <w:i/>
                <w:noProof/>
                <w:sz w:val="24"/>
                <w:szCs w:val="24"/>
              </w:rPr>
              <w:t>euro</w:t>
            </w:r>
            <w:r w:rsidRPr="00897266">
              <w:rPr>
                <w:noProof/>
                <w:sz w:val="24"/>
                <w:szCs w:val="24"/>
              </w:rPr>
              <w:t>,</w:t>
            </w:r>
          </w:p>
          <w:p w:rsidR="00C8402F" w:rsidRPr="00897266" w:rsidRDefault="00C8402F" w:rsidP="0070614F">
            <w:pPr>
              <w:pStyle w:val="ListParagraph"/>
              <w:ind w:left="0"/>
              <w:contextualSpacing w:val="0"/>
              <w:jc w:val="both"/>
              <w:rPr>
                <w:noProof/>
                <w:sz w:val="24"/>
                <w:szCs w:val="24"/>
              </w:rPr>
            </w:pPr>
            <w:r w:rsidRPr="00897266">
              <w:rPr>
                <w:noProof/>
                <w:sz w:val="24"/>
                <w:szCs w:val="24"/>
              </w:rPr>
              <w:t xml:space="preserve">   - transportlīdzekļu remonts un uzturēšana - 519 731 </w:t>
            </w:r>
            <w:r w:rsidRPr="00897266">
              <w:rPr>
                <w:i/>
                <w:noProof/>
                <w:sz w:val="24"/>
                <w:szCs w:val="24"/>
              </w:rPr>
              <w:t>euro</w:t>
            </w:r>
            <w:r w:rsidRPr="00897266">
              <w:rPr>
                <w:noProof/>
                <w:sz w:val="24"/>
                <w:szCs w:val="24"/>
              </w:rPr>
              <w:t>,</w:t>
            </w:r>
          </w:p>
          <w:p w:rsidR="00C8402F" w:rsidRPr="00897266" w:rsidRDefault="00C8402F" w:rsidP="0070614F">
            <w:pPr>
              <w:pStyle w:val="ListParagraph"/>
              <w:ind w:left="0"/>
              <w:contextualSpacing w:val="0"/>
              <w:jc w:val="both"/>
              <w:rPr>
                <w:noProof/>
                <w:sz w:val="24"/>
                <w:szCs w:val="24"/>
              </w:rPr>
            </w:pPr>
            <w:r w:rsidRPr="00897266">
              <w:rPr>
                <w:noProof/>
                <w:sz w:val="24"/>
                <w:szCs w:val="24"/>
              </w:rPr>
              <w:t xml:space="preserve">   - darba apģērbu iegāde un noma - 20 818 </w:t>
            </w:r>
            <w:r w:rsidRPr="00897266">
              <w:rPr>
                <w:i/>
                <w:noProof/>
                <w:sz w:val="24"/>
                <w:szCs w:val="24"/>
              </w:rPr>
              <w:t>euro</w:t>
            </w:r>
            <w:r w:rsidRPr="00897266">
              <w:rPr>
                <w:noProof/>
                <w:sz w:val="24"/>
                <w:szCs w:val="24"/>
              </w:rPr>
              <w:t>,</w:t>
            </w:r>
          </w:p>
          <w:p w:rsidR="00C8402F" w:rsidRPr="00897266" w:rsidRDefault="00C8402F" w:rsidP="0070614F">
            <w:pPr>
              <w:pStyle w:val="ListParagraph"/>
              <w:ind w:left="347" w:hanging="347"/>
              <w:contextualSpacing w:val="0"/>
              <w:jc w:val="both"/>
              <w:rPr>
                <w:noProof/>
                <w:sz w:val="24"/>
                <w:szCs w:val="24"/>
              </w:rPr>
            </w:pPr>
            <w:r w:rsidRPr="00897266">
              <w:rPr>
                <w:noProof/>
                <w:sz w:val="24"/>
                <w:szCs w:val="24"/>
              </w:rPr>
              <w:t xml:space="preserve">   - veselības aprūpe (darbinieku obligātās veselības pārbaudes un </w:t>
            </w:r>
            <w:r w:rsidRPr="00897266">
              <w:rPr>
                <w:noProof/>
                <w:sz w:val="24"/>
                <w:szCs w:val="24"/>
              </w:rPr>
              <w:lastRenderedPageBreak/>
              <w:t xml:space="preserve">vakcinācija) </w:t>
            </w:r>
            <w:r w:rsidR="00897266" w:rsidRPr="00897266">
              <w:rPr>
                <w:noProof/>
                <w:sz w:val="24"/>
                <w:szCs w:val="24"/>
              </w:rPr>
              <w:t>–</w:t>
            </w:r>
            <w:r w:rsidRPr="00897266">
              <w:rPr>
                <w:noProof/>
                <w:sz w:val="24"/>
                <w:szCs w:val="24"/>
              </w:rPr>
              <w:t xml:space="preserve"> </w:t>
            </w:r>
            <w:r w:rsidR="00897266" w:rsidRPr="00897266">
              <w:rPr>
                <w:noProof/>
                <w:sz w:val="24"/>
                <w:szCs w:val="24"/>
              </w:rPr>
              <w:t>13 641</w:t>
            </w:r>
            <w:r w:rsidRPr="00897266">
              <w:rPr>
                <w:noProof/>
                <w:sz w:val="24"/>
                <w:szCs w:val="24"/>
              </w:rPr>
              <w:t xml:space="preserve"> </w:t>
            </w:r>
            <w:r w:rsidRPr="00897266">
              <w:rPr>
                <w:i/>
                <w:noProof/>
                <w:sz w:val="24"/>
                <w:szCs w:val="24"/>
              </w:rPr>
              <w:t>euro</w:t>
            </w:r>
            <w:r w:rsidRPr="00897266">
              <w:rPr>
                <w:noProof/>
                <w:sz w:val="24"/>
                <w:szCs w:val="24"/>
              </w:rPr>
              <w:t>,</w:t>
            </w:r>
          </w:p>
          <w:p w:rsidR="00C8402F" w:rsidRPr="00D1266B" w:rsidRDefault="00C8402F" w:rsidP="0070614F">
            <w:pPr>
              <w:pStyle w:val="ListParagraph"/>
              <w:ind w:left="347" w:hanging="347"/>
              <w:contextualSpacing w:val="0"/>
              <w:jc w:val="both"/>
              <w:rPr>
                <w:noProof/>
                <w:sz w:val="24"/>
                <w:szCs w:val="24"/>
              </w:rPr>
            </w:pPr>
            <w:r w:rsidRPr="00897266">
              <w:rPr>
                <w:noProof/>
                <w:sz w:val="24"/>
                <w:szCs w:val="24"/>
              </w:rPr>
              <w:t xml:space="preserve">   - administratīvās izmaksas - 3 529 </w:t>
            </w:r>
            <w:r w:rsidRPr="00897266">
              <w:rPr>
                <w:i/>
                <w:noProof/>
                <w:sz w:val="24"/>
                <w:szCs w:val="24"/>
              </w:rPr>
              <w:t>euro</w:t>
            </w:r>
            <w:r w:rsidR="00251E2F" w:rsidRPr="00897266">
              <w:rPr>
                <w:noProof/>
                <w:sz w:val="24"/>
                <w:szCs w:val="24"/>
              </w:rPr>
              <w:t>.</w:t>
            </w:r>
          </w:p>
          <w:p w:rsidR="00C8402F" w:rsidRPr="00D1266B" w:rsidRDefault="00C8402F" w:rsidP="0070614F">
            <w:pPr>
              <w:pStyle w:val="ListParagraph"/>
              <w:spacing w:before="120"/>
              <w:ind w:left="0"/>
              <w:contextualSpacing w:val="0"/>
              <w:jc w:val="both"/>
              <w:rPr>
                <w:noProof/>
                <w:sz w:val="24"/>
                <w:szCs w:val="24"/>
              </w:rPr>
            </w:pPr>
            <w:r w:rsidRPr="00D1266B">
              <w:rPr>
                <w:noProof/>
                <w:sz w:val="24"/>
                <w:szCs w:val="24"/>
                <w:u w:val="single"/>
              </w:rPr>
              <w:t>Procentu izdevumiem</w:t>
            </w:r>
            <w:r w:rsidRPr="00D1266B">
              <w:rPr>
                <w:noProof/>
                <w:sz w:val="24"/>
                <w:szCs w:val="24"/>
              </w:rPr>
              <w:t xml:space="preserve"> (4000 kods) atbilstoši līzinga nosacīju</w:t>
            </w:r>
            <w:r w:rsidRPr="00D1266B">
              <w:rPr>
                <w:noProof/>
                <w:sz w:val="24"/>
                <w:szCs w:val="24"/>
              </w:rPr>
              <w:softHyphen/>
              <w:t xml:space="preserve">miem </w:t>
            </w:r>
            <w:r>
              <w:rPr>
                <w:noProof/>
                <w:sz w:val="24"/>
                <w:szCs w:val="24"/>
              </w:rPr>
              <w:t>–</w:t>
            </w:r>
            <w:r w:rsidRPr="00D1266B">
              <w:rPr>
                <w:noProof/>
                <w:sz w:val="24"/>
                <w:szCs w:val="24"/>
              </w:rPr>
              <w:t xml:space="preserve"> </w:t>
            </w:r>
            <w:r>
              <w:rPr>
                <w:noProof/>
                <w:sz w:val="24"/>
                <w:szCs w:val="24"/>
              </w:rPr>
              <w:t>32 649</w:t>
            </w:r>
            <w:r w:rsidRPr="00D1266B">
              <w:rPr>
                <w:noProof/>
                <w:sz w:val="24"/>
                <w:szCs w:val="24"/>
              </w:rPr>
              <w:t> </w:t>
            </w:r>
            <w:r w:rsidRPr="00D1266B">
              <w:rPr>
                <w:i/>
                <w:noProof/>
                <w:sz w:val="24"/>
                <w:szCs w:val="24"/>
              </w:rPr>
              <w:t>euro</w:t>
            </w:r>
            <w:r w:rsidR="00251E2F">
              <w:rPr>
                <w:noProof/>
                <w:sz w:val="24"/>
                <w:szCs w:val="24"/>
              </w:rPr>
              <w:t>.</w:t>
            </w:r>
          </w:p>
          <w:p w:rsidR="00C8402F" w:rsidRPr="00D1266B" w:rsidRDefault="00C8402F" w:rsidP="00C4199F">
            <w:pPr>
              <w:pStyle w:val="ListParagraph"/>
              <w:spacing w:before="120"/>
              <w:ind w:left="0"/>
              <w:contextualSpacing w:val="0"/>
              <w:jc w:val="both"/>
              <w:rPr>
                <w:noProof/>
                <w:sz w:val="24"/>
                <w:szCs w:val="24"/>
              </w:rPr>
            </w:pPr>
            <w:r w:rsidRPr="00D1266B">
              <w:rPr>
                <w:noProof/>
                <w:sz w:val="24"/>
                <w:szCs w:val="24"/>
                <w:u w:val="single"/>
              </w:rPr>
              <w:t>Pamatkapitāla veidošanai</w:t>
            </w:r>
            <w:r w:rsidRPr="00D1266B">
              <w:rPr>
                <w:noProof/>
                <w:sz w:val="24"/>
                <w:szCs w:val="24"/>
              </w:rPr>
              <w:t xml:space="preserve"> (5000 kods) </w:t>
            </w:r>
            <w:r>
              <w:rPr>
                <w:noProof/>
                <w:sz w:val="24"/>
                <w:szCs w:val="24"/>
              </w:rPr>
              <w:t>–</w:t>
            </w:r>
            <w:r w:rsidRPr="00D1266B">
              <w:rPr>
                <w:noProof/>
                <w:sz w:val="24"/>
                <w:szCs w:val="24"/>
              </w:rPr>
              <w:t xml:space="preserve"> </w:t>
            </w:r>
            <w:r>
              <w:rPr>
                <w:noProof/>
                <w:sz w:val="24"/>
                <w:szCs w:val="24"/>
              </w:rPr>
              <w:t>1 646 383</w:t>
            </w:r>
            <w:r w:rsidRPr="00D1266B">
              <w:rPr>
                <w:noProof/>
                <w:sz w:val="24"/>
                <w:szCs w:val="24"/>
              </w:rPr>
              <w:t xml:space="preserve"> </w:t>
            </w:r>
            <w:r w:rsidRPr="00D1266B">
              <w:rPr>
                <w:i/>
                <w:noProof/>
                <w:sz w:val="24"/>
                <w:szCs w:val="24"/>
              </w:rPr>
              <w:t>euro</w:t>
            </w:r>
            <w:r w:rsidRPr="00D1266B">
              <w:rPr>
                <w:noProof/>
                <w:sz w:val="24"/>
                <w:szCs w:val="24"/>
              </w:rPr>
              <w:t>, tai skaitā:</w:t>
            </w:r>
          </w:p>
          <w:p w:rsidR="00C8402F" w:rsidRPr="00D1266B" w:rsidRDefault="00C8402F" w:rsidP="00C4199F">
            <w:pPr>
              <w:pStyle w:val="ListParagraph"/>
              <w:ind w:left="0"/>
              <w:contextualSpacing w:val="0"/>
              <w:jc w:val="both"/>
              <w:rPr>
                <w:noProof/>
                <w:sz w:val="24"/>
                <w:szCs w:val="24"/>
              </w:rPr>
            </w:pPr>
            <w:r w:rsidRPr="00D1266B">
              <w:rPr>
                <w:noProof/>
                <w:sz w:val="24"/>
                <w:szCs w:val="24"/>
              </w:rPr>
              <w:t xml:space="preserve">   - jauno OMT iegādei līzingā, pārņemot Rīgas RC </w:t>
            </w:r>
            <w:r>
              <w:rPr>
                <w:noProof/>
                <w:sz w:val="24"/>
                <w:szCs w:val="24"/>
              </w:rPr>
              <w:t>–</w:t>
            </w:r>
            <w:r w:rsidRPr="00D1266B">
              <w:rPr>
                <w:noProof/>
                <w:sz w:val="24"/>
                <w:szCs w:val="24"/>
              </w:rPr>
              <w:t xml:space="preserve"> </w:t>
            </w:r>
            <w:r>
              <w:rPr>
                <w:noProof/>
                <w:sz w:val="24"/>
                <w:szCs w:val="24"/>
              </w:rPr>
              <w:t>1 264 191</w:t>
            </w:r>
            <w:r w:rsidRPr="00D1266B">
              <w:rPr>
                <w:noProof/>
                <w:sz w:val="24"/>
                <w:szCs w:val="24"/>
              </w:rPr>
              <w:t> </w:t>
            </w:r>
            <w:r w:rsidRPr="00D1266B">
              <w:rPr>
                <w:i/>
                <w:noProof/>
                <w:sz w:val="24"/>
                <w:szCs w:val="24"/>
              </w:rPr>
              <w:t>euro</w:t>
            </w:r>
            <w:r w:rsidRPr="00D1266B">
              <w:rPr>
                <w:noProof/>
                <w:sz w:val="24"/>
                <w:szCs w:val="24"/>
              </w:rPr>
              <w:t>,</w:t>
            </w:r>
          </w:p>
          <w:p w:rsidR="00C8402F" w:rsidRPr="00C8402F" w:rsidRDefault="00C8402F" w:rsidP="00FD19C0">
            <w:pPr>
              <w:pStyle w:val="ListParagraph"/>
              <w:ind w:left="347" w:hanging="347"/>
              <w:contextualSpacing w:val="0"/>
              <w:jc w:val="both"/>
              <w:rPr>
                <w:i/>
                <w:noProof/>
                <w:sz w:val="24"/>
                <w:szCs w:val="24"/>
              </w:rPr>
            </w:pPr>
            <w:r w:rsidRPr="00D1266B">
              <w:rPr>
                <w:noProof/>
                <w:sz w:val="24"/>
                <w:szCs w:val="24"/>
              </w:rPr>
              <w:t xml:space="preserve">   - jauno OMT iegādei, pārņemot Rīgas RC </w:t>
            </w:r>
            <w:r>
              <w:rPr>
                <w:noProof/>
                <w:sz w:val="24"/>
                <w:szCs w:val="24"/>
              </w:rPr>
              <w:t>–</w:t>
            </w:r>
            <w:r w:rsidRPr="00D1266B">
              <w:rPr>
                <w:noProof/>
                <w:sz w:val="24"/>
                <w:szCs w:val="24"/>
              </w:rPr>
              <w:t xml:space="preserve"> </w:t>
            </w:r>
            <w:r>
              <w:rPr>
                <w:noProof/>
                <w:sz w:val="24"/>
                <w:szCs w:val="24"/>
              </w:rPr>
              <w:t xml:space="preserve">368 340 </w:t>
            </w:r>
            <w:r>
              <w:rPr>
                <w:i/>
                <w:noProof/>
                <w:sz w:val="24"/>
                <w:szCs w:val="24"/>
              </w:rPr>
              <w:t>euro,</w:t>
            </w:r>
          </w:p>
          <w:p w:rsidR="00C8402F" w:rsidRPr="00D1266B" w:rsidRDefault="00C8402F" w:rsidP="00FD19C0">
            <w:pPr>
              <w:pStyle w:val="ListParagraph"/>
              <w:ind w:left="347" w:hanging="347"/>
              <w:contextualSpacing w:val="0"/>
              <w:jc w:val="both"/>
              <w:rPr>
                <w:noProof/>
                <w:sz w:val="24"/>
                <w:szCs w:val="24"/>
              </w:rPr>
            </w:pPr>
            <w:r w:rsidRPr="00D1266B">
              <w:rPr>
                <w:noProof/>
                <w:sz w:val="24"/>
                <w:szCs w:val="24"/>
              </w:rPr>
              <w:t xml:space="preserve">   - OMT remontzonas aprīkojuma atjaunošana (kapitālās iegādes) - 13 852 </w:t>
            </w:r>
            <w:r w:rsidRPr="00D1266B">
              <w:rPr>
                <w:i/>
                <w:noProof/>
                <w:sz w:val="24"/>
                <w:szCs w:val="24"/>
              </w:rPr>
              <w:t>euro</w:t>
            </w:r>
            <w:r w:rsidRPr="00D1266B">
              <w:rPr>
                <w:noProof/>
                <w:sz w:val="24"/>
                <w:szCs w:val="24"/>
              </w:rPr>
              <w:t>.</w:t>
            </w:r>
          </w:p>
          <w:p w:rsidR="00C8402F" w:rsidRPr="00D1266B" w:rsidRDefault="00C8402F" w:rsidP="00C4199F">
            <w:pPr>
              <w:pStyle w:val="ListParagraph"/>
              <w:spacing w:before="120"/>
              <w:ind w:left="0"/>
              <w:contextualSpacing w:val="0"/>
              <w:jc w:val="both"/>
              <w:rPr>
                <w:noProof/>
                <w:sz w:val="24"/>
                <w:szCs w:val="24"/>
              </w:rPr>
            </w:pPr>
            <w:r w:rsidRPr="00D1266B">
              <w:rPr>
                <w:b/>
                <w:noProof/>
                <w:sz w:val="24"/>
                <w:szCs w:val="24"/>
              </w:rPr>
              <w:t xml:space="preserve">Kopā 2020.gadā </w:t>
            </w:r>
            <w:r w:rsidRPr="00D1266B">
              <w:rPr>
                <w:noProof/>
                <w:sz w:val="24"/>
                <w:szCs w:val="24"/>
              </w:rPr>
              <w:t>Rīgas RC nepieciešams:</w:t>
            </w:r>
          </w:p>
          <w:p w:rsidR="00C8402F" w:rsidRPr="00D1266B" w:rsidRDefault="00C8402F" w:rsidP="00C4199F">
            <w:pPr>
              <w:pStyle w:val="ListParagraph"/>
              <w:ind w:left="0"/>
              <w:contextualSpacing w:val="0"/>
              <w:jc w:val="both"/>
              <w:rPr>
                <w:noProof/>
                <w:sz w:val="24"/>
                <w:szCs w:val="24"/>
              </w:rPr>
            </w:pPr>
            <w:r w:rsidRPr="00D1266B">
              <w:rPr>
                <w:noProof/>
                <w:sz w:val="24"/>
                <w:szCs w:val="24"/>
              </w:rPr>
              <w:t>(4 105</w:t>
            </w:r>
            <w:r>
              <w:rPr>
                <w:noProof/>
                <w:sz w:val="24"/>
                <w:szCs w:val="24"/>
              </w:rPr>
              <w:t> </w:t>
            </w:r>
            <w:r w:rsidRPr="00D1266B">
              <w:rPr>
                <w:noProof/>
                <w:sz w:val="24"/>
                <w:szCs w:val="24"/>
              </w:rPr>
              <w:t>999</w:t>
            </w:r>
            <w:r>
              <w:rPr>
                <w:noProof/>
                <w:sz w:val="24"/>
                <w:szCs w:val="24"/>
              </w:rPr>
              <w:t xml:space="preserve"> </w:t>
            </w:r>
            <w:r w:rsidRPr="00D1266B">
              <w:rPr>
                <w:noProof/>
                <w:sz w:val="24"/>
                <w:szCs w:val="24"/>
              </w:rPr>
              <w:t>+</w:t>
            </w:r>
            <w:r>
              <w:rPr>
                <w:noProof/>
                <w:sz w:val="24"/>
                <w:szCs w:val="24"/>
              </w:rPr>
              <w:t xml:space="preserve"> </w:t>
            </w:r>
            <w:r w:rsidR="00897266" w:rsidRPr="00897266">
              <w:rPr>
                <w:sz w:val="24"/>
                <w:szCs w:val="24"/>
              </w:rPr>
              <w:t>1 751</w:t>
            </w:r>
            <w:r w:rsidR="00897266">
              <w:rPr>
                <w:sz w:val="24"/>
                <w:szCs w:val="24"/>
              </w:rPr>
              <w:t> </w:t>
            </w:r>
            <w:r w:rsidR="00897266" w:rsidRPr="00897266">
              <w:rPr>
                <w:sz w:val="24"/>
                <w:szCs w:val="24"/>
              </w:rPr>
              <w:t>399</w:t>
            </w:r>
            <w:r w:rsidR="00897266" w:rsidRPr="00897266">
              <w:rPr>
                <w:noProof/>
                <w:sz w:val="24"/>
                <w:szCs w:val="24"/>
              </w:rPr>
              <w:t xml:space="preserve"> </w:t>
            </w:r>
            <w:r w:rsidRPr="00D1266B">
              <w:rPr>
                <w:noProof/>
                <w:sz w:val="24"/>
                <w:szCs w:val="24"/>
              </w:rPr>
              <w:t xml:space="preserve">+ </w:t>
            </w:r>
            <w:r>
              <w:rPr>
                <w:noProof/>
                <w:sz w:val="24"/>
                <w:szCs w:val="24"/>
              </w:rPr>
              <w:t>32 649</w:t>
            </w:r>
            <w:r w:rsidRPr="00D1266B">
              <w:rPr>
                <w:noProof/>
                <w:sz w:val="24"/>
                <w:szCs w:val="24"/>
              </w:rPr>
              <w:t> + </w:t>
            </w:r>
            <w:r>
              <w:rPr>
                <w:noProof/>
                <w:sz w:val="24"/>
                <w:szCs w:val="24"/>
              </w:rPr>
              <w:t>1 646 383</w:t>
            </w:r>
            <w:r w:rsidRPr="00D1266B">
              <w:rPr>
                <w:noProof/>
                <w:sz w:val="24"/>
                <w:szCs w:val="24"/>
              </w:rPr>
              <w:t>) </w:t>
            </w:r>
            <w:r w:rsidRPr="00D1266B">
              <w:rPr>
                <w:i/>
                <w:noProof/>
                <w:sz w:val="24"/>
                <w:szCs w:val="24"/>
              </w:rPr>
              <w:t xml:space="preserve">euro </w:t>
            </w:r>
            <w:r w:rsidRPr="00D1266B">
              <w:rPr>
                <w:noProof/>
                <w:sz w:val="24"/>
                <w:szCs w:val="24"/>
              </w:rPr>
              <w:t>= </w:t>
            </w:r>
            <w:r w:rsidRPr="00D1266B">
              <w:rPr>
                <w:b/>
                <w:noProof/>
                <w:sz w:val="24"/>
                <w:szCs w:val="24"/>
              </w:rPr>
              <w:t>7 536</w:t>
            </w:r>
            <w:r>
              <w:rPr>
                <w:b/>
                <w:noProof/>
                <w:sz w:val="24"/>
                <w:szCs w:val="24"/>
              </w:rPr>
              <w:t> </w:t>
            </w:r>
            <w:r w:rsidRPr="00D1266B">
              <w:rPr>
                <w:b/>
                <w:noProof/>
                <w:sz w:val="24"/>
                <w:szCs w:val="24"/>
              </w:rPr>
              <w:t xml:space="preserve">430  </w:t>
            </w:r>
            <w:r w:rsidRPr="00D1266B">
              <w:rPr>
                <w:b/>
                <w:i/>
                <w:noProof/>
                <w:sz w:val="24"/>
                <w:szCs w:val="24"/>
              </w:rPr>
              <w:t>euro</w:t>
            </w:r>
            <w:r>
              <w:rPr>
                <w:noProof/>
                <w:sz w:val="24"/>
                <w:szCs w:val="24"/>
              </w:rPr>
              <w:t xml:space="preserve">, </w:t>
            </w:r>
            <w:r w:rsidR="00AD17B6">
              <w:rPr>
                <w:noProof/>
                <w:sz w:val="24"/>
                <w:szCs w:val="24"/>
              </w:rPr>
              <w:t>kas iekļauts 2015.gada valsts budžeta ilgtermiņa saistību tālākā laika posma (2018.-2022.gads) kopējā apmērā.</w:t>
            </w:r>
          </w:p>
          <w:p w:rsidR="00C8402F" w:rsidRPr="00D1266B" w:rsidRDefault="00C8402F" w:rsidP="00D33AC8">
            <w:pPr>
              <w:pStyle w:val="ListParagraph"/>
              <w:ind w:left="0"/>
              <w:contextualSpacing w:val="0"/>
              <w:jc w:val="both"/>
              <w:rPr>
                <w:noProof/>
                <w:sz w:val="24"/>
                <w:szCs w:val="24"/>
              </w:rPr>
            </w:pPr>
          </w:p>
          <w:p w:rsidR="00C8402F" w:rsidRPr="00897266" w:rsidRDefault="00C8402F" w:rsidP="001A1CC5">
            <w:pPr>
              <w:pStyle w:val="ListParagraph"/>
              <w:ind w:left="0"/>
              <w:contextualSpacing w:val="0"/>
              <w:jc w:val="both"/>
              <w:rPr>
                <w:noProof/>
                <w:sz w:val="24"/>
                <w:szCs w:val="24"/>
              </w:rPr>
            </w:pPr>
            <w:r w:rsidRPr="00897266">
              <w:rPr>
                <w:b/>
                <w:noProof/>
                <w:sz w:val="24"/>
                <w:szCs w:val="24"/>
                <w:u w:val="single"/>
              </w:rPr>
              <w:t>2021.gadā</w:t>
            </w:r>
            <w:r w:rsidRPr="00897266">
              <w:rPr>
                <w:noProof/>
                <w:sz w:val="24"/>
                <w:szCs w:val="24"/>
              </w:rPr>
              <w:t>:</w:t>
            </w:r>
          </w:p>
          <w:p w:rsidR="00C8402F" w:rsidRPr="00897266" w:rsidRDefault="00C8402F" w:rsidP="00FD19C0">
            <w:pPr>
              <w:pStyle w:val="ListParagraph"/>
              <w:spacing w:before="120"/>
              <w:ind w:left="0"/>
              <w:contextualSpacing w:val="0"/>
              <w:jc w:val="both"/>
              <w:rPr>
                <w:noProof/>
                <w:sz w:val="24"/>
                <w:szCs w:val="24"/>
              </w:rPr>
            </w:pPr>
            <w:r w:rsidRPr="00897266">
              <w:rPr>
                <w:noProof/>
                <w:sz w:val="24"/>
                <w:szCs w:val="24"/>
                <w:u w:val="single"/>
              </w:rPr>
              <w:t>Atlīdzībai</w:t>
            </w:r>
            <w:r w:rsidRPr="00897266">
              <w:rPr>
                <w:noProof/>
                <w:sz w:val="24"/>
                <w:szCs w:val="24"/>
              </w:rPr>
              <w:t xml:space="preserve"> (1000 kods) - 4 105 999 </w:t>
            </w:r>
            <w:r w:rsidRPr="00897266">
              <w:rPr>
                <w:i/>
                <w:noProof/>
                <w:sz w:val="24"/>
                <w:szCs w:val="24"/>
              </w:rPr>
              <w:t>euro</w:t>
            </w:r>
            <w:r w:rsidRPr="00897266">
              <w:rPr>
                <w:noProof/>
                <w:sz w:val="24"/>
                <w:szCs w:val="24"/>
              </w:rPr>
              <w:t xml:space="preserve">, tai skaitā: </w:t>
            </w:r>
          </w:p>
          <w:p w:rsidR="00C8402F" w:rsidRPr="00897266" w:rsidRDefault="00C8402F" w:rsidP="00FD19C0">
            <w:pPr>
              <w:pStyle w:val="ListParagraph"/>
              <w:ind w:left="346" w:hanging="346"/>
              <w:contextualSpacing w:val="0"/>
              <w:jc w:val="both"/>
              <w:rPr>
                <w:noProof/>
                <w:sz w:val="24"/>
                <w:szCs w:val="24"/>
              </w:rPr>
            </w:pPr>
            <w:r w:rsidRPr="00897266">
              <w:rPr>
                <w:noProof/>
                <w:sz w:val="24"/>
                <w:szCs w:val="24"/>
              </w:rPr>
              <w:t xml:space="preserve">   - atalgo</w:t>
            </w:r>
            <w:r w:rsidRPr="00897266">
              <w:rPr>
                <w:noProof/>
                <w:sz w:val="24"/>
                <w:szCs w:val="24"/>
              </w:rPr>
              <w:softHyphen/>
              <w:t xml:space="preserve">jumam OMT vadītājiem (ieskaitot piemaksas par risku un nakts darbu), tehniskajam personālam, finanšu un personāla speciālistiem (1100 kods) - 3 238 449 </w:t>
            </w:r>
            <w:r w:rsidRPr="00897266">
              <w:rPr>
                <w:i/>
                <w:noProof/>
                <w:sz w:val="24"/>
                <w:szCs w:val="24"/>
              </w:rPr>
              <w:t>euro</w:t>
            </w:r>
            <w:r w:rsidRPr="00897266">
              <w:rPr>
                <w:noProof/>
                <w:sz w:val="24"/>
                <w:szCs w:val="24"/>
              </w:rPr>
              <w:t>,</w:t>
            </w:r>
          </w:p>
          <w:p w:rsidR="00C8402F" w:rsidRPr="00897266" w:rsidRDefault="00C8402F" w:rsidP="00FD19C0">
            <w:pPr>
              <w:pStyle w:val="ListParagraph"/>
              <w:ind w:left="346" w:hanging="346"/>
              <w:contextualSpacing w:val="0"/>
              <w:jc w:val="both"/>
              <w:rPr>
                <w:noProof/>
                <w:sz w:val="24"/>
                <w:szCs w:val="24"/>
              </w:rPr>
            </w:pPr>
            <w:r w:rsidRPr="00897266">
              <w:rPr>
                <w:noProof/>
                <w:sz w:val="24"/>
                <w:szCs w:val="24"/>
              </w:rPr>
              <w:t xml:space="preserve">   - sociālajam nodoklim, pabalstiem un kompensācijām (1200 kods) - 863 550 </w:t>
            </w:r>
            <w:r w:rsidRPr="00897266">
              <w:rPr>
                <w:i/>
                <w:noProof/>
                <w:sz w:val="24"/>
                <w:szCs w:val="24"/>
              </w:rPr>
              <w:t>euro</w:t>
            </w:r>
            <w:r w:rsidRPr="00897266">
              <w:rPr>
                <w:noProof/>
                <w:sz w:val="24"/>
                <w:szCs w:val="24"/>
              </w:rPr>
              <w:t>,</w:t>
            </w:r>
          </w:p>
          <w:p w:rsidR="00C8402F" w:rsidRPr="00897266" w:rsidRDefault="00C8402F" w:rsidP="00FD19C0">
            <w:pPr>
              <w:pStyle w:val="ListParagraph"/>
              <w:ind w:left="347" w:hanging="347"/>
              <w:contextualSpacing w:val="0"/>
              <w:jc w:val="both"/>
              <w:rPr>
                <w:noProof/>
                <w:sz w:val="24"/>
                <w:szCs w:val="24"/>
              </w:rPr>
            </w:pPr>
            <w:r w:rsidRPr="00897266">
              <w:rPr>
                <w:noProof/>
                <w:sz w:val="24"/>
                <w:szCs w:val="24"/>
              </w:rPr>
              <w:t xml:space="preserve">   - nelaimes gadījumu apdrošināšanai (1200 kods) - 4 000 </w:t>
            </w:r>
            <w:r w:rsidRPr="00897266">
              <w:rPr>
                <w:i/>
                <w:noProof/>
                <w:sz w:val="24"/>
                <w:szCs w:val="24"/>
              </w:rPr>
              <w:t>euro</w:t>
            </w:r>
            <w:r w:rsidR="00251E2F" w:rsidRPr="00897266">
              <w:rPr>
                <w:noProof/>
                <w:sz w:val="24"/>
                <w:szCs w:val="24"/>
              </w:rPr>
              <w:t>.</w:t>
            </w:r>
          </w:p>
          <w:p w:rsidR="00C8402F" w:rsidRPr="00897266" w:rsidRDefault="00C8402F" w:rsidP="00FD19C0">
            <w:pPr>
              <w:pStyle w:val="ListParagraph"/>
              <w:spacing w:before="120"/>
              <w:ind w:left="0"/>
              <w:contextualSpacing w:val="0"/>
              <w:jc w:val="both"/>
              <w:rPr>
                <w:noProof/>
                <w:sz w:val="24"/>
                <w:szCs w:val="24"/>
              </w:rPr>
            </w:pPr>
            <w:r w:rsidRPr="00897266">
              <w:rPr>
                <w:noProof/>
                <w:sz w:val="24"/>
                <w:szCs w:val="24"/>
                <w:u w:val="single"/>
              </w:rPr>
              <w:t>Precēm un pakalpojumiem</w:t>
            </w:r>
            <w:r w:rsidRPr="00897266">
              <w:rPr>
                <w:noProof/>
                <w:sz w:val="24"/>
                <w:szCs w:val="24"/>
              </w:rPr>
              <w:t xml:space="preserve"> (2000 kods) sakarā ar RRC pārņemšanu  - </w:t>
            </w:r>
            <w:r w:rsidRPr="00897266">
              <w:rPr>
                <w:sz w:val="24"/>
                <w:szCs w:val="24"/>
              </w:rPr>
              <w:t>1</w:t>
            </w:r>
            <w:r w:rsidR="00897266" w:rsidRPr="00897266">
              <w:rPr>
                <w:sz w:val="24"/>
                <w:szCs w:val="24"/>
              </w:rPr>
              <w:t> 772 244</w:t>
            </w:r>
            <w:r w:rsidRPr="00897266">
              <w:rPr>
                <w:noProof/>
                <w:sz w:val="24"/>
                <w:szCs w:val="24"/>
              </w:rPr>
              <w:t xml:space="preserve"> </w:t>
            </w:r>
            <w:r w:rsidRPr="00897266">
              <w:rPr>
                <w:i/>
                <w:noProof/>
                <w:sz w:val="24"/>
                <w:szCs w:val="24"/>
              </w:rPr>
              <w:t>euro</w:t>
            </w:r>
            <w:r w:rsidRPr="00897266">
              <w:rPr>
                <w:noProof/>
                <w:sz w:val="24"/>
                <w:szCs w:val="24"/>
              </w:rPr>
              <w:t>, tai skaitā:</w:t>
            </w:r>
          </w:p>
          <w:p w:rsidR="00C8402F" w:rsidRPr="00897266" w:rsidRDefault="00C8402F" w:rsidP="00FD19C0">
            <w:pPr>
              <w:pStyle w:val="ListParagraph"/>
              <w:ind w:left="0"/>
              <w:contextualSpacing w:val="0"/>
              <w:jc w:val="both"/>
              <w:rPr>
                <w:noProof/>
                <w:sz w:val="24"/>
                <w:szCs w:val="24"/>
              </w:rPr>
            </w:pPr>
            <w:r w:rsidRPr="00897266">
              <w:rPr>
                <w:noProof/>
                <w:sz w:val="24"/>
                <w:szCs w:val="24"/>
              </w:rPr>
              <w:t xml:space="preserve">   - remontzonas telpu uzturēšanas izmaksas - 76 032 </w:t>
            </w:r>
            <w:r w:rsidRPr="00897266">
              <w:rPr>
                <w:i/>
                <w:noProof/>
                <w:sz w:val="24"/>
                <w:szCs w:val="24"/>
              </w:rPr>
              <w:t>euro</w:t>
            </w:r>
            <w:r w:rsidRPr="00897266">
              <w:rPr>
                <w:noProof/>
                <w:sz w:val="24"/>
                <w:szCs w:val="24"/>
              </w:rPr>
              <w:t>,</w:t>
            </w:r>
          </w:p>
          <w:p w:rsidR="00C8402F" w:rsidRPr="00897266" w:rsidRDefault="00C8402F" w:rsidP="00FD19C0">
            <w:pPr>
              <w:pStyle w:val="ListParagraph"/>
              <w:ind w:left="0"/>
              <w:contextualSpacing w:val="0"/>
              <w:jc w:val="both"/>
              <w:rPr>
                <w:noProof/>
                <w:sz w:val="24"/>
                <w:szCs w:val="24"/>
              </w:rPr>
            </w:pPr>
            <w:r w:rsidRPr="00897266">
              <w:rPr>
                <w:noProof/>
                <w:sz w:val="24"/>
                <w:szCs w:val="24"/>
              </w:rPr>
              <w:t xml:space="preserve">   - remontzonas aprīkojuma atjaunošana (preces) - 1 350 </w:t>
            </w:r>
            <w:r w:rsidRPr="00897266">
              <w:rPr>
                <w:i/>
                <w:noProof/>
                <w:sz w:val="24"/>
                <w:szCs w:val="24"/>
              </w:rPr>
              <w:t>euro</w:t>
            </w:r>
            <w:r w:rsidRPr="00897266">
              <w:rPr>
                <w:noProof/>
                <w:sz w:val="24"/>
                <w:szCs w:val="24"/>
              </w:rPr>
              <w:t>,</w:t>
            </w:r>
          </w:p>
          <w:p w:rsidR="00C8402F" w:rsidRPr="00897266" w:rsidRDefault="00C8402F" w:rsidP="00FD19C0">
            <w:pPr>
              <w:pStyle w:val="ListParagraph"/>
              <w:ind w:left="0"/>
              <w:contextualSpacing w:val="0"/>
              <w:jc w:val="both"/>
              <w:rPr>
                <w:noProof/>
                <w:sz w:val="24"/>
                <w:szCs w:val="24"/>
              </w:rPr>
            </w:pPr>
            <w:r w:rsidRPr="00897266">
              <w:rPr>
                <w:noProof/>
                <w:sz w:val="24"/>
                <w:szCs w:val="24"/>
              </w:rPr>
              <w:t xml:space="preserve">   - degvielas iegāde OMT un saimnieciskajam transportam, t.sk.:</w:t>
            </w:r>
          </w:p>
          <w:p w:rsidR="00C8402F" w:rsidRPr="00897266" w:rsidRDefault="00C8402F" w:rsidP="00FD19C0">
            <w:pPr>
              <w:pStyle w:val="ListParagraph"/>
              <w:ind w:left="0"/>
              <w:contextualSpacing w:val="0"/>
              <w:jc w:val="both"/>
              <w:rPr>
                <w:noProof/>
                <w:sz w:val="24"/>
                <w:szCs w:val="24"/>
              </w:rPr>
            </w:pPr>
            <w:r w:rsidRPr="00897266">
              <w:rPr>
                <w:noProof/>
                <w:sz w:val="24"/>
                <w:szCs w:val="24"/>
              </w:rPr>
              <w:tab/>
              <w:t xml:space="preserve">OMT - 1 091 034 </w:t>
            </w:r>
            <w:r w:rsidRPr="00897266">
              <w:rPr>
                <w:i/>
                <w:noProof/>
                <w:sz w:val="24"/>
                <w:szCs w:val="24"/>
              </w:rPr>
              <w:t>euro</w:t>
            </w:r>
            <w:r w:rsidRPr="00897266">
              <w:rPr>
                <w:noProof/>
                <w:sz w:val="24"/>
                <w:szCs w:val="24"/>
              </w:rPr>
              <w:t>,</w:t>
            </w:r>
          </w:p>
          <w:p w:rsidR="00C8402F" w:rsidRPr="00897266" w:rsidRDefault="00C8402F" w:rsidP="00FD19C0">
            <w:pPr>
              <w:pStyle w:val="ListParagraph"/>
              <w:ind w:left="0"/>
              <w:contextualSpacing w:val="0"/>
              <w:jc w:val="both"/>
              <w:rPr>
                <w:noProof/>
                <w:sz w:val="24"/>
                <w:szCs w:val="24"/>
              </w:rPr>
            </w:pPr>
            <w:r w:rsidRPr="00897266">
              <w:rPr>
                <w:noProof/>
                <w:sz w:val="24"/>
                <w:szCs w:val="24"/>
              </w:rPr>
              <w:tab/>
              <w:t xml:space="preserve">saimnieciskajam transportam - 25 264 </w:t>
            </w:r>
            <w:r w:rsidRPr="00897266">
              <w:rPr>
                <w:i/>
                <w:noProof/>
                <w:sz w:val="24"/>
                <w:szCs w:val="24"/>
              </w:rPr>
              <w:t>euro</w:t>
            </w:r>
            <w:r w:rsidRPr="00897266">
              <w:rPr>
                <w:noProof/>
                <w:sz w:val="24"/>
                <w:szCs w:val="24"/>
              </w:rPr>
              <w:t>,</w:t>
            </w:r>
          </w:p>
          <w:p w:rsidR="00C8402F" w:rsidRPr="00897266" w:rsidRDefault="00C8402F" w:rsidP="00FD19C0">
            <w:pPr>
              <w:pStyle w:val="ListParagraph"/>
              <w:ind w:left="0"/>
              <w:contextualSpacing w:val="0"/>
              <w:jc w:val="both"/>
              <w:rPr>
                <w:noProof/>
                <w:sz w:val="24"/>
                <w:szCs w:val="24"/>
              </w:rPr>
            </w:pPr>
            <w:r w:rsidRPr="00897266">
              <w:rPr>
                <w:noProof/>
                <w:sz w:val="24"/>
                <w:szCs w:val="24"/>
              </w:rPr>
              <w:t xml:space="preserve">   - transportlīdzekļu remonts un uzturēšana - 519 731 </w:t>
            </w:r>
            <w:r w:rsidRPr="00897266">
              <w:rPr>
                <w:i/>
                <w:noProof/>
                <w:sz w:val="24"/>
                <w:szCs w:val="24"/>
              </w:rPr>
              <w:t>euro</w:t>
            </w:r>
            <w:r w:rsidRPr="00897266">
              <w:rPr>
                <w:noProof/>
                <w:sz w:val="24"/>
                <w:szCs w:val="24"/>
              </w:rPr>
              <w:t>,</w:t>
            </w:r>
          </w:p>
          <w:p w:rsidR="00C8402F" w:rsidRPr="00897266" w:rsidRDefault="00C8402F" w:rsidP="00FD19C0">
            <w:pPr>
              <w:pStyle w:val="ListParagraph"/>
              <w:ind w:left="0"/>
              <w:contextualSpacing w:val="0"/>
              <w:jc w:val="both"/>
              <w:rPr>
                <w:noProof/>
                <w:sz w:val="24"/>
                <w:szCs w:val="24"/>
              </w:rPr>
            </w:pPr>
            <w:r w:rsidRPr="00897266">
              <w:rPr>
                <w:noProof/>
                <w:sz w:val="24"/>
                <w:szCs w:val="24"/>
              </w:rPr>
              <w:t xml:space="preserve">   - darba apģērbu iegāde un noma - 9 727 </w:t>
            </w:r>
            <w:r w:rsidRPr="00897266">
              <w:rPr>
                <w:i/>
                <w:noProof/>
                <w:sz w:val="24"/>
                <w:szCs w:val="24"/>
              </w:rPr>
              <w:t>euro</w:t>
            </w:r>
            <w:r w:rsidRPr="00897266">
              <w:rPr>
                <w:noProof/>
                <w:sz w:val="24"/>
                <w:szCs w:val="24"/>
              </w:rPr>
              <w:t>,</w:t>
            </w:r>
          </w:p>
          <w:p w:rsidR="00C8402F" w:rsidRPr="00897266" w:rsidRDefault="00C8402F" w:rsidP="00FD19C0">
            <w:pPr>
              <w:pStyle w:val="ListParagraph"/>
              <w:ind w:left="347" w:hanging="347"/>
              <w:contextualSpacing w:val="0"/>
              <w:jc w:val="both"/>
              <w:rPr>
                <w:noProof/>
                <w:sz w:val="24"/>
                <w:szCs w:val="24"/>
              </w:rPr>
            </w:pPr>
            <w:r w:rsidRPr="00897266">
              <w:rPr>
                <w:noProof/>
                <w:sz w:val="24"/>
                <w:szCs w:val="24"/>
              </w:rPr>
              <w:t xml:space="preserve">   - veselības aprūpe (darbinieku obligātās veselības pārbaudes un vakcinācija) </w:t>
            </w:r>
            <w:r w:rsidR="00897266" w:rsidRPr="00897266">
              <w:rPr>
                <w:noProof/>
                <w:sz w:val="24"/>
                <w:szCs w:val="24"/>
              </w:rPr>
              <w:t>–</w:t>
            </w:r>
            <w:r w:rsidRPr="00897266">
              <w:rPr>
                <w:noProof/>
                <w:sz w:val="24"/>
                <w:szCs w:val="24"/>
              </w:rPr>
              <w:t xml:space="preserve"> </w:t>
            </w:r>
            <w:r w:rsidR="00897266" w:rsidRPr="00897266">
              <w:rPr>
                <w:noProof/>
                <w:sz w:val="24"/>
                <w:szCs w:val="24"/>
              </w:rPr>
              <w:t>45 577</w:t>
            </w:r>
            <w:r w:rsidRPr="00897266">
              <w:rPr>
                <w:noProof/>
                <w:sz w:val="24"/>
                <w:szCs w:val="24"/>
              </w:rPr>
              <w:t xml:space="preserve"> </w:t>
            </w:r>
            <w:r w:rsidRPr="00897266">
              <w:rPr>
                <w:i/>
                <w:noProof/>
                <w:sz w:val="24"/>
                <w:szCs w:val="24"/>
              </w:rPr>
              <w:t>euro</w:t>
            </w:r>
            <w:r w:rsidRPr="00897266">
              <w:rPr>
                <w:noProof/>
                <w:sz w:val="24"/>
                <w:szCs w:val="24"/>
              </w:rPr>
              <w:t>,</w:t>
            </w:r>
          </w:p>
          <w:p w:rsidR="00C8402F" w:rsidRPr="00D1266B" w:rsidRDefault="00C8402F" w:rsidP="00FD19C0">
            <w:pPr>
              <w:pStyle w:val="ListParagraph"/>
              <w:ind w:left="347" w:hanging="347"/>
              <w:contextualSpacing w:val="0"/>
              <w:jc w:val="both"/>
              <w:rPr>
                <w:noProof/>
                <w:sz w:val="24"/>
                <w:szCs w:val="24"/>
              </w:rPr>
            </w:pPr>
            <w:r w:rsidRPr="00897266">
              <w:rPr>
                <w:noProof/>
                <w:sz w:val="24"/>
                <w:szCs w:val="24"/>
              </w:rPr>
              <w:t xml:space="preserve">   - administratīvās izmaksas - 3 529 </w:t>
            </w:r>
            <w:r w:rsidRPr="00897266">
              <w:rPr>
                <w:i/>
                <w:noProof/>
                <w:sz w:val="24"/>
                <w:szCs w:val="24"/>
              </w:rPr>
              <w:t>euro</w:t>
            </w:r>
            <w:r w:rsidR="00251E2F" w:rsidRPr="00897266">
              <w:rPr>
                <w:noProof/>
                <w:sz w:val="24"/>
                <w:szCs w:val="24"/>
              </w:rPr>
              <w:t>.</w:t>
            </w:r>
          </w:p>
          <w:p w:rsidR="00C8402F" w:rsidRPr="00D1266B" w:rsidRDefault="00C8402F" w:rsidP="00C8402F">
            <w:pPr>
              <w:pStyle w:val="ListParagraph"/>
              <w:spacing w:before="120"/>
              <w:ind w:left="0"/>
              <w:contextualSpacing w:val="0"/>
              <w:jc w:val="both"/>
              <w:rPr>
                <w:noProof/>
                <w:sz w:val="24"/>
                <w:szCs w:val="24"/>
              </w:rPr>
            </w:pPr>
            <w:r w:rsidRPr="00D1266B">
              <w:rPr>
                <w:noProof/>
                <w:sz w:val="24"/>
                <w:szCs w:val="24"/>
                <w:u w:val="single"/>
              </w:rPr>
              <w:t>Procentu izdevumiem</w:t>
            </w:r>
            <w:r w:rsidRPr="00D1266B">
              <w:rPr>
                <w:noProof/>
                <w:sz w:val="24"/>
                <w:szCs w:val="24"/>
              </w:rPr>
              <w:t xml:space="preserve"> (4000 kods) atbilstoši līzinga nosacīju</w:t>
            </w:r>
            <w:r w:rsidRPr="00D1266B">
              <w:rPr>
                <w:noProof/>
                <w:sz w:val="24"/>
                <w:szCs w:val="24"/>
              </w:rPr>
              <w:softHyphen/>
              <w:t xml:space="preserve">miem </w:t>
            </w:r>
            <w:r>
              <w:rPr>
                <w:noProof/>
                <w:sz w:val="24"/>
                <w:szCs w:val="24"/>
              </w:rPr>
              <w:t>–</w:t>
            </w:r>
            <w:r w:rsidRPr="00D1266B">
              <w:rPr>
                <w:noProof/>
                <w:sz w:val="24"/>
                <w:szCs w:val="24"/>
              </w:rPr>
              <w:t xml:space="preserve"> </w:t>
            </w:r>
            <w:r>
              <w:rPr>
                <w:noProof/>
                <w:sz w:val="24"/>
                <w:szCs w:val="24"/>
              </w:rPr>
              <w:t>7 287</w:t>
            </w:r>
            <w:r w:rsidRPr="00D1266B">
              <w:rPr>
                <w:noProof/>
                <w:sz w:val="24"/>
                <w:szCs w:val="24"/>
              </w:rPr>
              <w:t> </w:t>
            </w:r>
            <w:r w:rsidRPr="00D1266B">
              <w:rPr>
                <w:i/>
                <w:noProof/>
                <w:sz w:val="24"/>
                <w:szCs w:val="24"/>
              </w:rPr>
              <w:t>euro</w:t>
            </w:r>
            <w:r w:rsidR="00251E2F">
              <w:rPr>
                <w:noProof/>
                <w:sz w:val="24"/>
                <w:szCs w:val="24"/>
              </w:rPr>
              <w:t>.</w:t>
            </w:r>
          </w:p>
          <w:p w:rsidR="00C8402F" w:rsidRPr="00D1266B" w:rsidRDefault="00C8402F" w:rsidP="001A1CC5">
            <w:pPr>
              <w:pStyle w:val="ListParagraph"/>
              <w:spacing w:before="120"/>
              <w:ind w:left="0"/>
              <w:contextualSpacing w:val="0"/>
              <w:jc w:val="both"/>
              <w:rPr>
                <w:noProof/>
                <w:sz w:val="24"/>
                <w:szCs w:val="24"/>
              </w:rPr>
            </w:pPr>
            <w:r w:rsidRPr="00D1266B">
              <w:rPr>
                <w:noProof/>
                <w:sz w:val="24"/>
                <w:szCs w:val="24"/>
                <w:u w:val="single"/>
              </w:rPr>
              <w:t>Pamatkapitāla veidošanai</w:t>
            </w:r>
            <w:r w:rsidRPr="00D1266B">
              <w:rPr>
                <w:noProof/>
                <w:sz w:val="24"/>
                <w:szCs w:val="24"/>
              </w:rPr>
              <w:t xml:space="preserve"> (5000 kods) </w:t>
            </w:r>
            <w:r>
              <w:rPr>
                <w:noProof/>
                <w:sz w:val="24"/>
                <w:szCs w:val="24"/>
              </w:rPr>
              <w:t>–</w:t>
            </w:r>
            <w:r w:rsidRPr="00D1266B">
              <w:rPr>
                <w:noProof/>
                <w:sz w:val="24"/>
                <w:szCs w:val="24"/>
              </w:rPr>
              <w:t xml:space="preserve"> </w:t>
            </w:r>
            <w:r>
              <w:rPr>
                <w:noProof/>
                <w:sz w:val="24"/>
                <w:szCs w:val="24"/>
              </w:rPr>
              <w:t>1 650 900</w:t>
            </w:r>
            <w:r w:rsidRPr="00D1266B">
              <w:rPr>
                <w:noProof/>
                <w:sz w:val="24"/>
                <w:szCs w:val="24"/>
              </w:rPr>
              <w:t> </w:t>
            </w:r>
            <w:r w:rsidRPr="00D1266B">
              <w:rPr>
                <w:i/>
                <w:noProof/>
                <w:sz w:val="24"/>
                <w:szCs w:val="24"/>
              </w:rPr>
              <w:t>euro</w:t>
            </w:r>
            <w:r w:rsidRPr="00D1266B">
              <w:rPr>
                <w:noProof/>
                <w:sz w:val="24"/>
                <w:szCs w:val="24"/>
              </w:rPr>
              <w:t>, tai skaitā:</w:t>
            </w:r>
          </w:p>
          <w:p w:rsidR="00C8402F" w:rsidRPr="00D1266B" w:rsidRDefault="00C8402F" w:rsidP="00C8402F">
            <w:pPr>
              <w:pStyle w:val="ListParagraph"/>
              <w:ind w:left="0"/>
              <w:contextualSpacing w:val="0"/>
              <w:jc w:val="both"/>
              <w:rPr>
                <w:noProof/>
                <w:sz w:val="24"/>
                <w:szCs w:val="24"/>
              </w:rPr>
            </w:pPr>
            <w:r w:rsidRPr="00D1266B">
              <w:rPr>
                <w:noProof/>
                <w:sz w:val="24"/>
                <w:szCs w:val="24"/>
              </w:rPr>
              <w:t xml:space="preserve">   - jauno OMT iegādei līzingā, pārņemot Rīgas RC </w:t>
            </w:r>
            <w:r>
              <w:rPr>
                <w:noProof/>
                <w:sz w:val="24"/>
                <w:szCs w:val="24"/>
              </w:rPr>
              <w:t>–</w:t>
            </w:r>
            <w:r w:rsidRPr="00D1266B">
              <w:rPr>
                <w:noProof/>
                <w:sz w:val="24"/>
                <w:szCs w:val="24"/>
              </w:rPr>
              <w:t xml:space="preserve"> </w:t>
            </w:r>
            <w:r>
              <w:rPr>
                <w:noProof/>
                <w:sz w:val="24"/>
                <w:szCs w:val="24"/>
              </w:rPr>
              <w:t>483 064</w:t>
            </w:r>
            <w:r w:rsidRPr="00D1266B">
              <w:rPr>
                <w:noProof/>
                <w:sz w:val="24"/>
                <w:szCs w:val="24"/>
              </w:rPr>
              <w:t> </w:t>
            </w:r>
            <w:r w:rsidRPr="00D1266B">
              <w:rPr>
                <w:i/>
                <w:noProof/>
                <w:sz w:val="24"/>
                <w:szCs w:val="24"/>
              </w:rPr>
              <w:t>euro</w:t>
            </w:r>
            <w:r w:rsidRPr="00D1266B">
              <w:rPr>
                <w:noProof/>
                <w:sz w:val="24"/>
                <w:szCs w:val="24"/>
              </w:rPr>
              <w:t>,</w:t>
            </w:r>
          </w:p>
          <w:p w:rsidR="00C8402F" w:rsidRPr="00C8402F" w:rsidRDefault="00C8402F" w:rsidP="00C8402F">
            <w:pPr>
              <w:pStyle w:val="ListParagraph"/>
              <w:ind w:left="347" w:hanging="347"/>
              <w:contextualSpacing w:val="0"/>
              <w:jc w:val="both"/>
              <w:rPr>
                <w:i/>
                <w:noProof/>
                <w:sz w:val="24"/>
                <w:szCs w:val="24"/>
              </w:rPr>
            </w:pPr>
            <w:r w:rsidRPr="00D1266B">
              <w:rPr>
                <w:noProof/>
                <w:sz w:val="24"/>
                <w:szCs w:val="24"/>
              </w:rPr>
              <w:t xml:space="preserve">   - jauno OMT iegādei, pārņemot Rīgas RC </w:t>
            </w:r>
            <w:r>
              <w:rPr>
                <w:noProof/>
                <w:sz w:val="24"/>
                <w:szCs w:val="24"/>
              </w:rPr>
              <w:t>–</w:t>
            </w:r>
            <w:r w:rsidRPr="00D1266B">
              <w:rPr>
                <w:noProof/>
                <w:sz w:val="24"/>
                <w:szCs w:val="24"/>
              </w:rPr>
              <w:t xml:space="preserve"> </w:t>
            </w:r>
            <w:r>
              <w:rPr>
                <w:noProof/>
                <w:sz w:val="24"/>
                <w:szCs w:val="24"/>
              </w:rPr>
              <w:t xml:space="preserve">1 153 984 </w:t>
            </w:r>
            <w:r>
              <w:rPr>
                <w:i/>
                <w:noProof/>
                <w:sz w:val="24"/>
                <w:szCs w:val="24"/>
              </w:rPr>
              <w:t>euro,</w:t>
            </w:r>
          </w:p>
          <w:p w:rsidR="00C8402F" w:rsidRPr="00D1266B" w:rsidRDefault="00C8402F" w:rsidP="001A1CC5">
            <w:pPr>
              <w:pStyle w:val="ListParagraph"/>
              <w:ind w:left="0"/>
              <w:contextualSpacing w:val="0"/>
              <w:jc w:val="both"/>
              <w:rPr>
                <w:noProof/>
                <w:sz w:val="24"/>
                <w:szCs w:val="24"/>
              </w:rPr>
            </w:pPr>
            <w:r w:rsidRPr="00D1266B">
              <w:rPr>
                <w:noProof/>
                <w:sz w:val="24"/>
                <w:szCs w:val="24"/>
              </w:rPr>
              <w:t xml:space="preserve">   - OMT remontzonas aprīkojuma atjaunošanai - 13 852 </w:t>
            </w:r>
            <w:r w:rsidRPr="00D1266B">
              <w:rPr>
                <w:i/>
                <w:noProof/>
                <w:sz w:val="24"/>
                <w:szCs w:val="24"/>
              </w:rPr>
              <w:t>euro</w:t>
            </w:r>
            <w:r w:rsidRPr="00D1266B">
              <w:rPr>
                <w:noProof/>
                <w:sz w:val="24"/>
                <w:szCs w:val="24"/>
              </w:rPr>
              <w:t>.</w:t>
            </w:r>
          </w:p>
          <w:p w:rsidR="00C8402F" w:rsidRPr="00D1266B" w:rsidRDefault="00C8402F" w:rsidP="001A1CC5">
            <w:pPr>
              <w:pStyle w:val="ListParagraph"/>
              <w:spacing w:before="120"/>
              <w:ind w:left="0"/>
              <w:contextualSpacing w:val="0"/>
              <w:jc w:val="both"/>
              <w:rPr>
                <w:noProof/>
                <w:sz w:val="24"/>
                <w:szCs w:val="24"/>
              </w:rPr>
            </w:pPr>
            <w:r w:rsidRPr="00D1266B">
              <w:rPr>
                <w:b/>
                <w:noProof/>
                <w:sz w:val="24"/>
                <w:szCs w:val="24"/>
              </w:rPr>
              <w:t xml:space="preserve">Kopā 2021.gadā </w:t>
            </w:r>
            <w:r w:rsidRPr="00D1266B">
              <w:rPr>
                <w:noProof/>
                <w:sz w:val="24"/>
                <w:szCs w:val="24"/>
              </w:rPr>
              <w:t>Rīgas RC nepieciešams:</w:t>
            </w:r>
          </w:p>
          <w:p w:rsidR="00C8402F" w:rsidRDefault="00C8402F" w:rsidP="00C8402F">
            <w:pPr>
              <w:pStyle w:val="ListParagraph"/>
              <w:ind w:left="0"/>
              <w:contextualSpacing w:val="0"/>
              <w:jc w:val="both"/>
              <w:rPr>
                <w:noProof/>
                <w:sz w:val="24"/>
                <w:szCs w:val="24"/>
              </w:rPr>
            </w:pPr>
            <w:r w:rsidRPr="00D1266B">
              <w:rPr>
                <w:noProof/>
                <w:sz w:val="24"/>
                <w:szCs w:val="24"/>
              </w:rPr>
              <w:t>(4 105 999 + </w:t>
            </w:r>
            <w:r w:rsidR="00897266" w:rsidRPr="00897266">
              <w:rPr>
                <w:sz w:val="24"/>
                <w:szCs w:val="24"/>
              </w:rPr>
              <w:t>1 772</w:t>
            </w:r>
            <w:r w:rsidR="00897266">
              <w:rPr>
                <w:sz w:val="24"/>
                <w:szCs w:val="24"/>
              </w:rPr>
              <w:t> </w:t>
            </w:r>
            <w:r w:rsidR="00897266" w:rsidRPr="00897266">
              <w:rPr>
                <w:sz w:val="24"/>
                <w:szCs w:val="24"/>
              </w:rPr>
              <w:t>244</w:t>
            </w:r>
            <w:r w:rsidR="00897266" w:rsidRPr="00897266">
              <w:rPr>
                <w:noProof/>
                <w:sz w:val="24"/>
                <w:szCs w:val="24"/>
              </w:rPr>
              <w:t xml:space="preserve"> </w:t>
            </w:r>
            <w:r w:rsidRPr="00D1266B">
              <w:rPr>
                <w:noProof/>
                <w:sz w:val="24"/>
                <w:szCs w:val="24"/>
              </w:rPr>
              <w:t>+</w:t>
            </w:r>
            <w:r>
              <w:rPr>
                <w:noProof/>
                <w:sz w:val="24"/>
                <w:szCs w:val="24"/>
              </w:rPr>
              <w:t xml:space="preserve"> 7 287</w:t>
            </w:r>
            <w:r w:rsidRPr="00D1266B">
              <w:rPr>
                <w:noProof/>
                <w:sz w:val="24"/>
                <w:szCs w:val="24"/>
              </w:rPr>
              <w:t> </w:t>
            </w:r>
            <w:r>
              <w:rPr>
                <w:noProof/>
                <w:sz w:val="24"/>
                <w:szCs w:val="24"/>
              </w:rPr>
              <w:t xml:space="preserve"> + 1 650 900</w:t>
            </w:r>
            <w:r w:rsidRPr="00D1266B">
              <w:rPr>
                <w:noProof/>
                <w:sz w:val="24"/>
                <w:szCs w:val="24"/>
              </w:rPr>
              <w:t> ) </w:t>
            </w:r>
            <w:r w:rsidRPr="00D1266B">
              <w:rPr>
                <w:i/>
                <w:noProof/>
                <w:sz w:val="24"/>
                <w:szCs w:val="24"/>
              </w:rPr>
              <w:t xml:space="preserve">euro </w:t>
            </w:r>
            <w:r w:rsidRPr="00D1266B">
              <w:rPr>
                <w:noProof/>
                <w:sz w:val="24"/>
                <w:szCs w:val="24"/>
              </w:rPr>
              <w:t>= </w:t>
            </w:r>
            <w:r w:rsidRPr="00D1266B">
              <w:rPr>
                <w:b/>
                <w:noProof/>
                <w:sz w:val="24"/>
                <w:szCs w:val="24"/>
              </w:rPr>
              <w:t>7 536</w:t>
            </w:r>
            <w:r>
              <w:rPr>
                <w:b/>
                <w:noProof/>
                <w:sz w:val="24"/>
                <w:szCs w:val="24"/>
              </w:rPr>
              <w:t> </w:t>
            </w:r>
            <w:r w:rsidRPr="00D1266B">
              <w:rPr>
                <w:b/>
                <w:noProof/>
                <w:sz w:val="24"/>
                <w:szCs w:val="24"/>
              </w:rPr>
              <w:t xml:space="preserve">430  </w:t>
            </w:r>
            <w:r w:rsidRPr="00D1266B">
              <w:rPr>
                <w:b/>
                <w:i/>
                <w:noProof/>
                <w:sz w:val="24"/>
                <w:szCs w:val="24"/>
              </w:rPr>
              <w:t>euro</w:t>
            </w:r>
            <w:r>
              <w:rPr>
                <w:noProof/>
                <w:sz w:val="24"/>
                <w:szCs w:val="24"/>
              </w:rPr>
              <w:t xml:space="preserve">, </w:t>
            </w:r>
            <w:r w:rsidR="00AD17B6">
              <w:rPr>
                <w:noProof/>
                <w:sz w:val="24"/>
                <w:szCs w:val="24"/>
              </w:rPr>
              <w:t>kas iekļauts 2015.gada valsts budžeta ilgtermiņa saistību tālākā laika posma (2018.-2022.gads) kopējā apmērā.</w:t>
            </w:r>
          </w:p>
          <w:p w:rsidR="00C8402F" w:rsidRPr="00D1266B" w:rsidRDefault="00C8402F" w:rsidP="00C8402F">
            <w:pPr>
              <w:pStyle w:val="ListParagraph"/>
              <w:ind w:left="0"/>
              <w:contextualSpacing w:val="0"/>
              <w:jc w:val="both"/>
              <w:rPr>
                <w:noProof/>
                <w:sz w:val="24"/>
                <w:szCs w:val="24"/>
              </w:rPr>
            </w:pPr>
          </w:p>
          <w:p w:rsidR="00C8402F" w:rsidRPr="00897266" w:rsidRDefault="00C8402F" w:rsidP="00C8402F">
            <w:pPr>
              <w:pStyle w:val="ListParagraph"/>
              <w:ind w:left="0"/>
              <w:contextualSpacing w:val="0"/>
              <w:jc w:val="both"/>
              <w:rPr>
                <w:noProof/>
                <w:sz w:val="24"/>
                <w:szCs w:val="24"/>
              </w:rPr>
            </w:pPr>
            <w:r w:rsidRPr="00897266">
              <w:rPr>
                <w:b/>
                <w:noProof/>
                <w:sz w:val="24"/>
                <w:szCs w:val="24"/>
                <w:u w:val="single"/>
              </w:rPr>
              <w:t>2022.gadā</w:t>
            </w:r>
            <w:r w:rsidRPr="00897266">
              <w:rPr>
                <w:noProof/>
                <w:sz w:val="24"/>
                <w:szCs w:val="24"/>
              </w:rPr>
              <w:t xml:space="preserve"> (4 mēnešiem: janvāris – aprīlis):</w:t>
            </w:r>
          </w:p>
          <w:p w:rsidR="00C8402F" w:rsidRPr="00897266" w:rsidRDefault="00C8402F" w:rsidP="00C8402F">
            <w:pPr>
              <w:pStyle w:val="ListParagraph"/>
              <w:spacing w:before="120"/>
              <w:ind w:left="0"/>
              <w:contextualSpacing w:val="0"/>
              <w:jc w:val="both"/>
              <w:rPr>
                <w:noProof/>
                <w:sz w:val="24"/>
                <w:szCs w:val="24"/>
              </w:rPr>
            </w:pPr>
            <w:r w:rsidRPr="00897266">
              <w:rPr>
                <w:noProof/>
                <w:sz w:val="24"/>
                <w:szCs w:val="24"/>
                <w:u w:val="single"/>
              </w:rPr>
              <w:lastRenderedPageBreak/>
              <w:t>Atlīdzībai</w:t>
            </w:r>
            <w:r w:rsidRPr="00897266">
              <w:rPr>
                <w:noProof/>
                <w:sz w:val="24"/>
                <w:szCs w:val="24"/>
              </w:rPr>
              <w:t xml:space="preserve"> (1000 kods) </w:t>
            </w:r>
            <w:r w:rsidR="00897266">
              <w:rPr>
                <w:noProof/>
                <w:sz w:val="24"/>
                <w:szCs w:val="24"/>
              </w:rPr>
              <w:t>–</w:t>
            </w:r>
            <w:r w:rsidRPr="00897266">
              <w:rPr>
                <w:noProof/>
                <w:sz w:val="24"/>
                <w:szCs w:val="24"/>
              </w:rPr>
              <w:t xml:space="preserve"> </w:t>
            </w:r>
            <w:r w:rsidR="00897266">
              <w:rPr>
                <w:noProof/>
                <w:sz w:val="24"/>
                <w:szCs w:val="24"/>
              </w:rPr>
              <w:t>1 368 666</w:t>
            </w:r>
            <w:r w:rsidRPr="00897266">
              <w:rPr>
                <w:noProof/>
                <w:sz w:val="24"/>
                <w:szCs w:val="24"/>
              </w:rPr>
              <w:t> </w:t>
            </w:r>
            <w:r w:rsidRPr="00897266">
              <w:rPr>
                <w:i/>
                <w:noProof/>
                <w:sz w:val="24"/>
                <w:szCs w:val="24"/>
              </w:rPr>
              <w:t>euro</w:t>
            </w:r>
            <w:r w:rsidRPr="00897266">
              <w:rPr>
                <w:noProof/>
                <w:sz w:val="24"/>
                <w:szCs w:val="24"/>
              </w:rPr>
              <w:t xml:space="preserve">, tai skaitā: </w:t>
            </w:r>
          </w:p>
          <w:p w:rsidR="00C8402F" w:rsidRPr="00897266" w:rsidRDefault="00C8402F" w:rsidP="00C8402F">
            <w:pPr>
              <w:pStyle w:val="ListParagraph"/>
              <w:ind w:left="346" w:hanging="346"/>
              <w:contextualSpacing w:val="0"/>
              <w:jc w:val="both"/>
              <w:rPr>
                <w:noProof/>
                <w:sz w:val="24"/>
                <w:szCs w:val="24"/>
              </w:rPr>
            </w:pPr>
            <w:r w:rsidRPr="00897266">
              <w:rPr>
                <w:noProof/>
                <w:sz w:val="24"/>
                <w:szCs w:val="24"/>
              </w:rPr>
              <w:t xml:space="preserve">   - atalgo</w:t>
            </w:r>
            <w:r w:rsidRPr="00897266">
              <w:rPr>
                <w:noProof/>
                <w:sz w:val="24"/>
                <w:szCs w:val="24"/>
              </w:rPr>
              <w:softHyphen/>
              <w:t xml:space="preserve">jumam OMT vadītājiem (ieskaitot piemaksas par risku un nakts darbu), tehniskajam personālam, finanšu un personāla speciālistiem (1100 kods) </w:t>
            </w:r>
            <w:r w:rsidR="00897266">
              <w:rPr>
                <w:noProof/>
                <w:sz w:val="24"/>
                <w:szCs w:val="24"/>
              </w:rPr>
              <w:t>–</w:t>
            </w:r>
            <w:r w:rsidRPr="00897266">
              <w:rPr>
                <w:noProof/>
                <w:sz w:val="24"/>
                <w:szCs w:val="24"/>
              </w:rPr>
              <w:t xml:space="preserve"> </w:t>
            </w:r>
            <w:r w:rsidR="00897266">
              <w:rPr>
                <w:noProof/>
                <w:sz w:val="24"/>
                <w:szCs w:val="24"/>
              </w:rPr>
              <w:t>1 079 483</w:t>
            </w:r>
            <w:r w:rsidRPr="00897266">
              <w:rPr>
                <w:noProof/>
                <w:sz w:val="24"/>
                <w:szCs w:val="24"/>
              </w:rPr>
              <w:t xml:space="preserve"> </w:t>
            </w:r>
            <w:r w:rsidRPr="00897266">
              <w:rPr>
                <w:i/>
                <w:noProof/>
                <w:sz w:val="24"/>
                <w:szCs w:val="24"/>
              </w:rPr>
              <w:t>euro</w:t>
            </w:r>
            <w:r w:rsidRPr="00897266">
              <w:rPr>
                <w:noProof/>
                <w:sz w:val="24"/>
                <w:szCs w:val="24"/>
              </w:rPr>
              <w:t>,</w:t>
            </w:r>
          </w:p>
          <w:p w:rsidR="00C8402F" w:rsidRPr="00897266" w:rsidRDefault="00C8402F" w:rsidP="00C8402F">
            <w:pPr>
              <w:pStyle w:val="ListParagraph"/>
              <w:ind w:left="346" w:hanging="346"/>
              <w:contextualSpacing w:val="0"/>
              <w:jc w:val="both"/>
              <w:rPr>
                <w:noProof/>
                <w:sz w:val="24"/>
                <w:szCs w:val="24"/>
              </w:rPr>
            </w:pPr>
            <w:r w:rsidRPr="00897266">
              <w:rPr>
                <w:noProof/>
                <w:sz w:val="24"/>
                <w:szCs w:val="24"/>
              </w:rPr>
              <w:t xml:space="preserve">   - sociālajam nodoklim, pabalstiem un kompensācijām (1200 kods) </w:t>
            </w:r>
            <w:r w:rsidR="00897266">
              <w:rPr>
                <w:noProof/>
                <w:sz w:val="24"/>
                <w:szCs w:val="24"/>
              </w:rPr>
              <w:t>–</w:t>
            </w:r>
            <w:r w:rsidRPr="00897266">
              <w:rPr>
                <w:noProof/>
                <w:sz w:val="24"/>
                <w:szCs w:val="24"/>
              </w:rPr>
              <w:t xml:space="preserve"> </w:t>
            </w:r>
            <w:r w:rsidR="00897266">
              <w:rPr>
                <w:noProof/>
                <w:sz w:val="24"/>
                <w:szCs w:val="24"/>
              </w:rPr>
              <w:t>287 850</w:t>
            </w:r>
            <w:r w:rsidRPr="00897266">
              <w:rPr>
                <w:noProof/>
                <w:sz w:val="24"/>
                <w:szCs w:val="24"/>
              </w:rPr>
              <w:t> </w:t>
            </w:r>
            <w:r w:rsidRPr="00897266">
              <w:rPr>
                <w:i/>
                <w:noProof/>
                <w:sz w:val="24"/>
                <w:szCs w:val="24"/>
              </w:rPr>
              <w:t>euro</w:t>
            </w:r>
            <w:r w:rsidRPr="00897266">
              <w:rPr>
                <w:noProof/>
                <w:sz w:val="24"/>
                <w:szCs w:val="24"/>
              </w:rPr>
              <w:t>,</w:t>
            </w:r>
          </w:p>
          <w:p w:rsidR="00C8402F" w:rsidRPr="00897266" w:rsidRDefault="00C8402F" w:rsidP="00C8402F">
            <w:pPr>
              <w:pStyle w:val="ListParagraph"/>
              <w:ind w:left="347" w:hanging="347"/>
              <w:contextualSpacing w:val="0"/>
              <w:jc w:val="both"/>
              <w:rPr>
                <w:noProof/>
                <w:sz w:val="24"/>
                <w:szCs w:val="24"/>
              </w:rPr>
            </w:pPr>
            <w:r w:rsidRPr="00897266">
              <w:rPr>
                <w:noProof/>
                <w:sz w:val="24"/>
                <w:szCs w:val="24"/>
              </w:rPr>
              <w:t xml:space="preserve">   - nelaimes gadījumu apdrošināšanai (1200 kods) </w:t>
            </w:r>
            <w:r w:rsidR="00897266">
              <w:rPr>
                <w:noProof/>
                <w:sz w:val="24"/>
                <w:szCs w:val="24"/>
              </w:rPr>
              <w:t>–</w:t>
            </w:r>
            <w:r w:rsidRPr="00897266">
              <w:rPr>
                <w:noProof/>
                <w:sz w:val="24"/>
                <w:szCs w:val="24"/>
              </w:rPr>
              <w:t xml:space="preserve"> </w:t>
            </w:r>
            <w:r w:rsidR="00897266">
              <w:rPr>
                <w:noProof/>
                <w:sz w:val="24"/>
                <w:szCs w:val="24"/>
              </w:rPr>
              <w:t>1 333</w:t>
            </w:r>
            <w:r w:rsidRPr="00897266">
              <w:rPr>
                <w:noProof/>
                <w:sz w:val="24"/>
                <w:szCs w:val="24"/>
              </w:rPr>
              <w:t> </w:t>
            </w:r>
            <w:r w:rsidRPr="00897266">
              <w:rPr>
                <w:i/>
                <w:noProof/>
                <w:sz w:val="24"/>
                <w:szCs w:val="24"/>
              </w:rPr>
              <w:t>euro</w:t>
            </w:r>
            <w:r w:rsidR="00251E2F" w:rsidRPr="00897266">
              <w:rPr>
                <w:noProof/>
                <w:sz w:val="24"/>
                <w:szCs w:val="24"/>
              </w:rPr>
              <w:t>.</w:t>
            </w:r>
          </w:p>
          <w:p w:rsidR="00C8402F" w:rsidRPr="00897266" w:rsidRDefault="00C8402F" w:rsidP="00C8402F">
            <w:pPr>
              <w:pStyle w:val="ListParagraph"/>
              <w:spacing w:before="120"/>
              <w:ind w:left="0"/>
              <w:contextualSpacing w:val="0"/>
              <w:jc w:val="both"/>
              <w:rPr>
                <w:noProof/>
                <w:sz w:val="24"/>
                <w:szCs w:val="24"/>
              </w:rPr>
            </w:pPr>
            <w:r w:rsidRPr="00897266">
              <w:rPr>
                <w:noProof/>
                <w:sz w:val="24"/>
                <w:szCs w:val="24"/>
                <w:u w:val="single"/>
              </w:rPr>
              <w:t>Precēm un pakalpojumiem</w:t>
            </w:r>
            <w:r w:rsidRPr="00897266">
              <w:rPr>
                <w:noProof/>
                <w:sz w:val="24"/>
                <w:szCs w:val="24"/>
              </w:rPr>
              <w:t xml:space="preserve"> (2000 kods) sakarā ar RRC pārņemšanu  - </w:t>
            </w:r>
            <w:r w:rsidR="00897266">
              <w:rPr>
                <w:sz w:val="24"/>
                <w:szCs w:val="24"/>
              </w:rPr>
              <w:t>554 425</w:t>
            </w:r>
            <w:r w:rsidRPr="00897266">
              <w:rPr>
                <w:noProof/>
                <w:sz w:val="24"/>
                <w:szCs w:val="24"/>
              </w:rPr>
              <w:t xml:space="preserve"> </w:t>
            </w:r>
            <w:r w:rsidRPr="00897266">
              <w:rPr>
                <w:i/>
                <w:noProof/>
                <w:sz w:val="24"/>
                <w:szCs w:val="24"/>
              </w:rPr>
              <w:t>euro</w:t>
            </w:r>
            <w:r w:rsidRPr="00897266">
              <w:rPr>
                <w:noProof/>
                <w:sz w:val="24"/>
                <w:szCs w:val="24"/>
              </w:rPr>
              <w:t>, tai skaitā:</w:t>
            </w:r>
          </w:p>
          <w:p w:rsidR="00C8402F" w:rsidRPr="00897266" w:rsidRDefault="00C8402F" w:rsidP="00C8402F">
            <w:pPr>
              <w:pStyle w:val="ListParagraph"/>
              <w:ind w:left="0"/>
              <w:contextualSpacing w:val="0"/>
              <w:jc w:val="both"/>
              <w:rPr>
                <w:noProof/>
                <w:sz w:val="24"/>
                <w:szCs w:val="24"/>
              </w:rPr>
            </w:pPr>
            <w:r w:rsidRPr="00897266">
              <w:rPr>
                <w:noProof/>
                <w:sz w:val="24"/>
                <w:szCs w:val="24"/>
              </w:rPr>
              <w:t xml:space="preserve">   - remontzonas telpu uzturēšanas izmaksas </w:t>
            </w:r>
            <w:r w:rsidR="00897266">
              <w:rPr>
                <w:noProof/>
                <w:sz w:val="24"/>
                <w:szCs w:val="24"/>
              </w:rPr>
              <w:t>–</w:t>
            </w:r>
            <w:r w:rsidRPr="00897266">
              <w:rPr>
                <w:noProof/>
                <w:sz w:val="24"/>
                <w:szCs w:val="24"/>
              </w:rPr>
              <w:t xml:space="preserve"> </w:t>
            </w:r>
            <w:r w:rsidR="00897266">
              <w:rPr>
                <w:noProof/>
                <w:sz w:val="24"/>
                <w:szCs w:val="24"/>
              </w:rPr>
              <w:t>25 344</w:t>
            </w:r>
            <w:r w:rsidRPr="00897266">
              <w:rPr>
                <w:noProof/>
                <w:sz w:val="24"/>
                <w:szCs w:val="24"/>
              </w:rPr>
              <w:t xml:space="preserve"> </w:t>
            </w:r>
            <w:r w:rsidRPr="00897266">
              <w:rPr>
                <w:i/>
                <w:noProof/>
                <w:sz w:val="24"/>
                <w:szCs w:val="24"/>
              </w:rPr>
              <w:t>euro</w:t>
            </w:r>
            <w:r w:rsidRPr="00897266">
              <w:rPr>
                <w:noProof/>
                <w:sz w:val="24"/>
                <w:szCs w:val="24"/>
              </w:rPr>
              <w:t>,</w:t>
            </w:r>
          </w:p>
          <w:p w:rsidR="00C8402F" w:rsidRPr="00897266" w:rsidRDefault="00C8402F" w:rsidP="00C8402F">
            <w:pPr>
              <w:pStyle w:val="ListParagraph"/>
              <w:ind w:left="0"/>
              <w:contextualSpacing w:val="0"/>
              <w:jc w:val="both"/>
              <w:rPr>
                <w:noProof/>
                <w:sz w:val="24"/>
                <w:szCs w:val="24"/>
              </w:rPr>
            </w:pPr>
            <w:r w:rsidRPr="00897266">
              <w:rPr>
                <w:noProof/>
                <w:sz w:val="24"/>
                <w:szCs w:val="24"/>
              </w:rPr>
              <w:t xml:space="preserve">   - remontzonas aprīkojuma atjaunošana (preces) - 1 350 </w:t>
            </w:r>
            <w:r w:rsidRPr="00897266">
              <w:rPr>
                <w:i/>
                <w:noProof/>
                <w:sz w:val="24"/>
                <w:szCs w:val="24"/>
              </w:rPr>
              <w:t>euro</w:t>
            </w:r>
            <w:r w:rsidRPr="00897266">
              <w:rPr>
                <w:noProof/>
                <w:sz w:val="24"/>
                <w:szCs w:val="24"/>
              </w:rPr>
              <w:t>,</w:t>
            </w:r>
          </w:p>
          <w:p w:rsidR="00C8402F" w:rsidRPr="00897266" w:rsidRDefault="00C8402F" w:rsidP="00C8402F">
            <w:pPr>
              <w:pStyle w:val="ListParagraph"/>
              <w:ind w:left="0"/>
              <w:contextualSpacing w:val="0"/>
              <w:jc w:val="both"/>
              <w:rPr>
                <w:noProof/>
                <w:sz w:val="24"/>
                <w:szCs w:val="24"/>
              </w:rPr>
            </w:pPr>
            <w:r w:rsidRPr="00897266">
              <w:rPr>
                <w:noProof/>
                <w:sz w:val="24"/>
                <w:szCs w:val="24"/>
              </w:rPr>
              <w:t xml:space="preserve">   - degvielas iegāde OMT un saimnieciskajam transportam, t.sk.:</w:t>
            </w:r>
          </w:p>
          <w:p w:rsidR="00C8402F" w:rsidRPr="00897266" w:rsidRDefault="00C8402F" w:rsidP="00C8402F">
            <w:pPr>
              <w:pStyle w:val="ListParagraph"/>
              <w:ind w:left="0"/>
              <w:contextualSpacing w:val="0"/>
              <w:jc w:val="both"/>
              <w:rPr>
                <w:noProof/>
                <w:sz w:val="24"/>
                <w:szCs w:val="24"/>
              </w:rPr>
            </w:pPr>
            <w:r w:rsidRPr="00897266">
              <w:rPr>
                <w:noProof/>
                <w:sz w:val="24"/>
                <w:szCs w:val="24"/>
              </w:rPr>
              <w:tab/>
              <w:t xml:space="preserve">OMT </w:t>
            </w:r>
            <w:r w:rsidR="00897266">
              <w:rPr>
                <w:noProof/>
                <w:sz w:val="24"/>
                <w:szCs w:val="24"/>
              </w:rPr>
              <w:t>–</w:t>
            </w:r>
            <w:r w:rsidRPr="00897266">
              <w:rPr>
                <w:noProof/>
                <w:sz w:val="24"/>
                <w:szCs w:val="24"/>
              </w:rPr>
              <w:t xml:space="preserve"> </w:t>
            </w:r>
            <w:r w:rsidR="00897266">
              <w:rPr>
                <w:noProof/>
                <w:sz w:val="24"/>
                <w:szCs w:val="24"/>
              </w:rPr>
              <w:t>363 678</w:t>
            </w:r>
            <w:r w:rsidRPr="00897266">
              <w:rPr>
                <w:noProof/>
                <w:sz w:val="24"/>
                <w:szCs w:val="24"/>
              </w:rPr>
              <w:t xml:space="preserve"> </w:t>
            </w:r>
            <w:r w:rsidRPr="00897266">
              <w:rPr>
                <w:i/>
                <w:noProof/>
                <w:sz w:val="24"/>
                <w:szCs w:val="24"/>
              </w:rPr>
              <w:t>euro</w:t>
            </w:r>
            <w:r w:rsidRPr="00897266">
              <w:rPr>
                <w:noProof/>
                <w:sz w:val="24"/>
                <w:szCs w:val="24"/>
              </w:rPr>
              <w:t>,</w:t>
            </w:r>
          </w:p>
          <w:p w:rsidR="00C8402F" w:rsidRPr="00897266" w:rsidRDefault="00C8402F" w:rsidP="00C8402F">
            <w:pPr>
              <w:pStyle w:val="ListParagraph"/>
              <w:ind w:left="0"/>
              <w:contextualSpacing w:val="0"/>
              <w:jc w:val="both"/>
              <w:rPr>
                <w:noProof/>
                <w:sz w:val="24"/>
                <w:szCs w:val="24"/>
              </w:rPr>
            </w:pPr>
            <w:r w:rsidRPr="00897266">
              <w:rPr>
                <w:noProof/>
                <w:sz w:val="24"/>
                <w:szCs w:val="24"/>
              </w:rPr>
              <w:tab/>
              <w:t xml:space="preserve">saimnieciskajam transportam </w:t>
            </w:r>
            <w:r w:rsidR="00897266">
              <w:rPr>
                <w:noProof/>
                <w:sz w:val="24"/>
                <w:szCs w:val="24"/>
              </w:rPr>
              <w:t>–</w:t>
            </w:r>
            <w:r w:rsidRPr="00897266">
              <w:rPr>
                <w:noProof/>
                <w:sz w:val="24"/>
                <w:szCs w:val="24"/>
              </w:rPr>
              <w:t xml:space="preserve"> </w:t>
            </w:r>
            <w:r w:rsidR="00897266">
              <w:rPr>
                <w:noProof/>
                <w:sz w:val="24"/>
                <w:szCs w:val="24"/>
              </w:rPr>
              <w:t>8 422</w:t>
            </w:r>
            <w:r w:rsidRPr="00897266">
              <w:rPr>
                <w:noProof/>
                <w:sz w:val="24"/>
                <w:szCs w:val="24"/>
              </w:rPr>
              <w:t xml:space="preserve"> </w:t>
            </w:r>
            <w:r w:rsidRPr="00897266">
              <w:rPr>
                <w:i/>
                <w:noProof/>
                <w:sz w:val="24"/>
                <w:szCs w:val="24"/>
              </w:rPr>
              <w:t>euro</w:t>
            </w:r>
            <w:r w:rsidRPr="00897266">
              <w:rPr>
                <w:noProof/>
                <w:sz w:val="24"/>
                <w:szCs w:val="24"/>
              </w:rPr>
              <w:t>,</w:t>
            </w:r>
          </w:p>
          <w:p w:rsidR="00C8402F" w:rsidRPr="00897266" w:rsidRDefault="00C8402F" w:rsidP="00C8402F">
            <w:pPr>
              <w:pStyle w:val="ListParagraph"/>
              <w:ind w:left="0"/>
              <w:contextualSpacing w:val="0"/>
              <w:jc w:val="both"/>
              <w:rPr>
                <w:noProof/>
                <w:sz w:val="24"/>
                <w:szCs w:val="24"/>
              </w:rPr>
            </w:pPr>
            <w:r w:rsidRPr="00897266">
              <w:rPr>
                <w:noProof/>
                <w:sz w:val="24"/>
                <w:szCs w:val="24"/>
              </w:rPr>
              <w:t xml:space="preserve">   - transportlīdzekļu remonts un uzturēšana </w:t>
            </w:r>
            <w:r w:rsidR="00897266">
              <w:rPr>
                <w:noProof/>
                <w:sz w:val="24"/>
                <w:szCs w:val="24"/>
              </w:rPr>
              <w:t>–</w:t>
            </w:r>
            <w:r w:rsidRPr="00897266">
              <w:rPr>
                <w:noProof/>
                <w:sz w:val="24"/>
                <w:szCs w:val="24"/>
              </w:rPr>
              <w:t xml:space="preserve"> </w:t>
            </w:r>
            <w:r w:rsidR="00897266">
              <w:rPr>
                <w:noProof/>
                <w:sz w:val="24"/>
                <w:szCs w:val="24"/>
              </w:rPr>
              <w:t>145 041</w:t>
            </w:r>
            <w:r w:rsidRPr="00897266">
              <w:rPr>
                <w:noProof/>
                <w:sz w:val="24"/>
                <w:szCs w:val="24"/>
              </w:rPr>
              <w:t xml:space="preserve"> </w:t>
            </w:r>
            <w:r w:rsidRPr="00897266">
              <w:rPr>
                <w:i/>
                <w:noProof/>
                <w:sz w:val="24"/>
                <w:szCs w:val="24"/>
              </w:rPr>
              <w:t>euro</w:t>
            </w:r>
            <w:r w:rsidRPr="00897266">
              <w:rPr>
                <w:noProof/>
                <w:sz w:val="24"/>
                <w:szCs w:val="24"/>
              </w:rPr>
              <w:t>,</w:t>
            </w:r>
          </w:p>
          <w:p w:rsidR="00C8402F" w:rsidRPr="00897266" w:rsidRDefault="00C8402F" w:rsidP="00C8402F">
            <w:pPr>
              <w:pStyle w:val="ListParagraph"/>
              <w:ind w:left="0"/>
              <w:contextualSpacing w:val="0"/>
              <w:jc w:val="both"/>
              <w:rPr>
                <w:noProof/>
                <w:sz w:val="24"/>
                <w:szCs w:val="24"/>
              </w:rPr>
            </w:pPr>
            <w:r w:rsidRPr="00897266">
              <w:rPr>
                <w:noProof/>
                <w:sz w:val="24"/>
                <w:szCs w:val="24"/>
              </w:rPr>
              <w:t xml:space="preserve">   - darba apģērbu iegāde un noma </w:t>
            </w:r>
            <w:r w:rsidR="00897266">
              <w:rPr>
                <w:noProof/>
                <w:sz w:val="24"/>
                <w:szCs w:val="24"/>
              </w:rPr>
              <w:t>–</w:t>
            </w:r>
            <w:r w:rsidRPr="00897266">
              <w:rPr>
                <w:noProof/>
                <w:sz w:val="24"/>
                <w:szCs w:val="24"/>
              </w:rPr>
              <w:t xml:space="preserve"> </w:t>
            </w:r>
            <w:r w:rsidR="00897266">
              <w:rPr>
                <w:noProof/>
                <w:sz w:val="24"/>
                <w:szCs w:val="24"/>
              </w:rPr>
              <w:t>8 662</w:t>
            </w:r>
            <w:r w:rsidRPr="00897266">
              <w:rPr>
                <w:noProof/>
                <w:sz w:val="24"/>
                <w:szCs w:val="24"/>
              </w:rPr>
              <w:t xml:space="preserve"> </w:t>
            </w:r>
            <w:r w:rsidRPr="00897266">
              <w:rPr>
                <w:i/>
                <w:noProof/>
                <w:sz w:val="24"/>
                <w:szCs w:val="24"/>
              </w:rPr>
              <w:t>euro</w:t>
            </w:r>
            <w:r w:rsidRPr="00897266">
              <w:rPr>
                <w:noProof/>
                <w:sz w:val="24"/>
                <w:szCs w:val="24"/>
              </w:rPr>
              <w:t>,</w:t>
            </w:r>
          </w:p>
          <w:p w:rsidR="00C8402F" w:rsidRPr="00897266" w:rsidRDefault="00C8402F" w:rsidP="00C8402F">
            <w:pPr>
              <w:pStyle w:val="ListParagraph"/>
              <w:ind w:left="347" w:hanging="347"/>
              <w:contextualSpacing w:val="0"/>
              <w:jc w:val="both"/>
              <w:rPr>
                <w:noProof/>
                <w:sz w:val="24"/>
                <w:szCs w:val="24"/>
              </w:rPr>
            </w:pPr>
            <w:r w:rsidRPr="00897266">
              <w:rPr>
                <w:noProof/>
                <w:sz w:val="24"/>
                <w:szCs w:val="24"/>
              </w:rPr>
              <w:t xml:space="preserve">   - veselības aprūpe (darbinieku obligātās veselības pārbaudes un vakcinācija) - </w:t>
            </w:r>
            <w:r w:rsidR="00897266">
              <w:rPr>
                <w:noProof/>
                <w:sz w:val="24"/>
                <w:szCs w:val="24"/>
              </w:rPr>
              <w:t>752</w:t>
            </w:r>
            <w:r w:rsidRPr="00897266">
              <w:rPr>
                <w:noProof/>
                <w:sz w:val="24"/>
                <w:szCs w:val="24"/>
              </w:rPr>
              <w:t xml:space="preserve"> </w:t>
            </w:r>
            <w:r w:rsidRPr="00897266">
              <w:rPr>
                <w:i/>
                <w:noProof/>
                <w:sz w:val="24"/>
                <w:szCs w:val="24"/>
              </w:rPr>
              <w:t>euro</w:t>
            </w:r>
            <w:r w:rsidRPr="00897266">
              <w:rPr>
                <w:noProof/>
                <w:sz w:val="24"/>
                <w:szCs w:val="24"/>
              </w:rPr>
              <w:t>,</w:t>
            </w:r>
          </w:p>
          <w:p w:rsidR="00C8402F" w:rsidRPr="00D1266B" w:rsidRDefault="00C8402F" w:rsidP="00C8402F">
            <w:pPr>
              <w:pStyle w:val="ListParagraph"/>
              <w:ind w:left="347" w:hanging="347"/>
              <w:contextualSpacing w:val="0"/>
              <w:jc w:val="both"/>
              <w:rPr>
                <w:noProof/>
                <w:sz w:val="24"/>
                <w:szCs w:val="24"/>
              </w:rPr>
            </w:pPr>
            <w:r w:rsidRPr="00897266">
              <w:rPr>
                <w:noProof/>
                <w:sz w:val="24"/>
                <w:szCs w:val="24"/>
              </w:rPr>
              <w:t xml:space="preserve">   - administratīvās izmaksas </w:t>
            </w:r>
            <w:r w:rsidR="00897266">
              <w:rPr>
                <w:noProof/>
                <w:sz w:val="24"/>
                <w:szCs w:val="24"/>
              </w:rPr>
              <w:t>–</w:t>
            </w:r>
            <w:r w:rsidRPr="00897266">
              <w:rPr>
                <w:noProof/>
                <w:sz w:val="24"/>
                <w:szCs w:val="24"/>
              </w:rPr>
              <w:t xml:space="preserve"> </w:t>
            </w:r>
            <w:r w:rsidR="00897266">
              <w:rPr>
                <w:noProof/>
                <w:sz w:val="24"/>
                <w:szCs w:val="24"/>
              </w:rPr>
              <w:t>1 176</w:t>
            </w:r>
            <w:r w:rsidRPr="00897266">
              <w:rPr>
                <w:noProof/>
                <w:sz w:val="24"/>
                <w:szCs w:val="24"/>
              </w:rPr>
              <w:t xml:space="preserve"> </w:t>
            </w:r>
            <w:r w:rsidRPr="00897266">
              <w:rPr>
                <w:i/>
                <w:noProof/>
                <w:sz w:val="24"/>
                <w:szCs w:val="24"/>
              </w:rPr>
              <w:t>euro</w:t>
            </w:r>
            <w:r w:rsidR="00251E2F" w:rsidRPr="00897266">
              <w:rPr>
                <w:noProof/>
                <w:sz w:val="24"/>
                <w:szCs w:val="24"/>
              </w:rPr>
              <w:t>.</w:t>
            </w:r>
          </w:p>
          <w:p w:rsidR="00C8402F" w:rsidRPr="00D1266B" w:rsidRDefault="00C8402F" w:rsidP="00C8402F">
            <w:pPr>
              <w:pStyle w:val="ListParagraph"/>
              <w:spacing w:before="120"/>
              <w:ind w:left="0"/>
              <w:contextualSpacing w:val="0"/>
              <w:jc w:val="both"/>
              <w:rPr>
                <w:noProof/>
                <w:sz w:val="24"/>
                <w:szCs w:val="24"/>
              </w:rPr>
            </w:pPr>
            <w:r w:rsidRPr="00D1266B">
              <w:rPr>
                <w:noProof/>
                <w:sz w:val="24"/>
                <w:szCs w:val="24"/>
                <w:u w:val="single"/>
              </w:rPr>
              <w:t>Procentu izdevumiem</w:t>
            </w:r>
            <w:r w:rsidRPr="00D1266B">
              <w:rPr>
                <w:noProof/>
                <w:sz w:val="24"/>
                <w:szCs w:val="24"/>
              </w:rPr>
              <w:t xml:space="preserve"> (4000 kods) atbilstoši līzinga nosacīju</w:t>
            </w:r>
            <w:r w:rsidRPr="00D1266B">
              <w:rPr>
                <w:noProof/>
                <w:sz w:val="24"/>
                <w:szCs w:val="24"/>
              </w:rPr>
              <w:softHyphen/>
              <w:t xml:space="preserve">miem </w:t>
            </w:r>
            <w:r>
              <w:rPr>
                <w:noProof/>
                <w:sz w:val="24"/>
                <w:szCs w:val="24"/>
              </w:rPr>
              <w:t>–</w:t>
            </w:r>
            <w:r w:rsidRPr="00D1266B">
              <w:rPr>
                <w:noProof/>
                <w:sz w:val="24"/>
                <w:szCs w:val="24"/>
              </w:rPr>
              <w:t xml:space="preserve"> </w:t>
            </w:r>
            <w:r>
              <w:rPr>
                <w:noProof/>
                <w:sz w:val="24"/>
                <w:szCs w:val="24"/>
              </w:rPr>
              <w:t>600</w:t>
            </w:r>
            <w:r w:rsidRPr="00D1266B">
              <w:rPr>
                <w:noProof/>
                <w:sz w:val="24"/>
                <w:szCs w:val="24"/>
              </w:rPr>
              <w:t> </w:t>
            </w:r>
            <w:r w:rsidRPr="00D1266B">
              <w:rPr>
                <w:i/>
                <w:noProof/>
                <w:sz w:val="24"/>
                <w:szCs w:val="24"/>
              </w:rPr>
              <w:t>euro</w:t>
            </w:r>
            <w:r w:rsidR="00251E2F">
              <w:rPr>
                <w:noProof/>
                <w:sz w:val="24"/>
                <w:szCs w:val="24"/>
              </w:rPr>
              <w:t>.</w:t>
            </w:r>
          </w:p>
          <w:p w:rsidR="00C8402F" w:rsidRPr="00D1266B" w:rsidRDefault="00C8402F" w:rsidP="00C8402F">
            <w:pPr>
              <w:pStyle w:val="ListParagraph"/>
              <w:spacing w:before="120"/>
              <w:ind w:left="0"/>
              <w:contextualSpacing w:val="0"/>
              <w:jc w:val="both"/>
              <w:rPr>
                <w:noProof/>
                <w:sz w:val="24"/>
                <w:szCs w:val="24"/>
              </w:rPr>
            </w:pPr>
            <w:r w:rsidRPr="00D1266B">
              <w:rPr>
                <w:noProof/>
                <w:sz w:val="24"/>
                <w:szCs w:val="24"/>
                <w:u w:val="single"/>
              </w:rPr>
              <w:t>Pamatkapitāla veidošanai</w:t>
            </w:r>
            <w:r w:rsidRPr="00D1266B">
              <w:rPr>
                <w:noProof/>
                <w:sz w:val="24"/>
                <w:szCs w:val="24"/>
              </w:rPr>
              <w:t xml:space="preserve"> (5000 kods) </w:t>
            </w:r>
            <w:r>
              <w:rPr>
                <w:noProof/>
                <w:sz w:val="24"/>
                <w:szCs w:val="24"/>
              </w:rPr>
              <w:t>–</w:t>
            </w:r>
            <w:r w:rsidRPr="00D1266B">
              <w:rPr>
                <w:noProof/>
                <w:sz w:val="24"/>
                <w:szCs w:val="24"/>
              </w:rPr>
              <w:t xml:space="preserve"> </w:t>
            </w:r>
            <w:r>
              <w:rPr>
                <w:noProof/>
                <w:sz w:val="24"/>
                <w:szCs w:val="24"/>
              </w:rPr>
              <w:t>588 452</w:t>
            </w:r>
            <w:r w:rsidRPr="00D1266B">
              <w:rPr>
                <w:noProof/>
                <w:sz w:val="24"/>
                <w:szCs w:val="24"/>
              </w:rPr>
              <w:t> </w:t>
            </w:r>
            <w:r w:rsidRPr="00D1266B">
              <w:rPr>
                <w:i/>
                <w:noProof/>
                <w:sz w:val="24"/>
                <w:szCs w:val="24"/>
              </w:rPr>
              <w:t>euro</w:t>
            </w:r>
            <w:r w:rsidRPr="00D1266B">
              <w:rPr>
                <w:noProof/>
                <w:sz w:val="24"/>
                <w:szCs w:val="24"/>
              </w:rPr>
              <w:t>, tai skaitā:</w:t>
            </w:r>
          </w:p>
          <w:p w:rsidR="00C8402F" w:rsidRPr="00D1266B" w:rsidRDefault="00C8402F" w:rsidP="00C8402F">
            <w:pPr>
              <w:pStyle w:val="ListParagraph"/>
              <w:ind w:left="0"/>
              <w:contextualSpacing w:val="0"/>
              <w:jc w:val="both"/>
              <w:rPr>
                <w:noProof/>
                <w:sz w:val="24"/>
                <w:szCs w:val="24"/>
              </w:rPr>
            </w:pPr>
            <w:r w:rsidRPr="00D1266B">
              <w:rPr>
                <w:noProof/>
                <w:sz w:val="24"/>
                <w:szCs w:val="24"/>
              </w:rPr>
              <w:t xml:space="preserve">   - jauno OMT iegādei līzingā, pārņemot Rīgas RC </w:t>
            </w:r>
            <w:r>
              <w:rPr>
                <w:noProof/>
                <w:sz w:val="24"/>
                <w:szCs w:val="24"/>
              </w:rPr>
              <w:t>–</w:t>
            </w:r>
            <w:r w:rsidRPr="00D1266B">
              <w:rPr>
                <w:noProof/>
                <w:sz w:val="24"/>
                <w:szCs w:val="24"/>
              </w:rPr>
              <w:t xml:space="preserve"> </w:t>
            </w:r>
            <w:r>
              <w:rPr>
                <w:noProof/>
                <w:sz w:val="24"/>
                <w:szCs w:val="24"/>
              </w:rPr>
              <w:t>83 480</w:t>
            </w:r>
            <w:r w:rsidRPr="00D1266B">
              <w:rPr>
                <w:noProof/>
                <w:sz w:val="24"/>
                <w:szCs w:val="24"/>
              </w:rPr>
              <w:t> </w:t>
            </w:r>
            <w:r w:rsidRPr="00D1266B">
              <w:rPr>
                <w:i/>
                <w:noProof/>
                <w:sz w:val="24"/>
                <w:szCs w:val="24"/>
              </w:rPr>
              <w:t>euro</w:t>
            </w:r>
            <w:r w:rsidRPr="00D1266B">
              <w:rPr>
                <w:noProof/>
                <w:sz w:val="24"/>
                <w:szCs w:val="24"/>
              </w:rPr>
              <w:t>,</w:t>
            </w:r>
          </w:p>
          <w:p w:rsidR="00C8402F" w:rsidRPr="00C8402F" w:rsidRDefault="00C8402F" w:rsidP="00C8402F">
            <w:pPr>
              <w:pStyle w:val="ListParagraph"/>
              <w:ind w:left="347" w:hanging="347"/>
              <w:contextualSpacing w:val="0"/>
              <w:jc w:val="both"/>
              <w:rPr>
                <w:i/>
                <w:noProof/>
                <w:sz w:val="24"/>
                <w:szCs w:val="24"/>
              </w:rPr>
            </w:pPr>
            <w:r w:rsidRPr="00D1266B">
              <w:rPr>
                <w:noProof/>
                <w:sz w:val="24"/>
                <w:szCs w:val="24"/>
              </w:rPr>
              <w:t xml:space="preserve">   - jauno OMT iegādei, pārņemot Rīgas RC </w:t>
            </w:r>
            <w:r>
              <w:rPr>
                <w:noProof/>
                <w:sz w:val="24"/>
                <w:szCs w:val="24"/>
              </w:rPr>
              <w:t>–</w:t>
            </w:r>
            <w:r w:rsidRPr="00D1266B">
              <w:rPr>
                <w:noProof/>
                <w:sz w:val="24"/>
                <w:szCs w:val="24"/>
              </w:rPr>
              <w:t xml:space="preserve"> </w:t>
            </w:r>
            <w:r>
              <w:rPr>
                <w:noProof/>
                <w:sz w:val="24"/>
                <w:szCs w:val="24"/>
              </w:rPr>
              <w:t xml:space="preserve">491 120 </w:t>
            </w:r>
            <w:r>
              <w:rPr>
                <w:i/>
                <w:noProof/>
                <w:sz w:val="24"/>
                <w:szCs w:val="24"/>
              </w:rPr>
              <w:t>euro,</w:t>
            </w:r>
          </w:p>
          <w:p w:rsidR="00C8402F" w:rsidRPr="00D1266B" w:rsidRDefault="00C8402F" w:rsidP="00C8402F">
            <w:pPr>
              <w:pStyle w:val="ListParagraph"/>
              <w:ind w:left="0"/>
              <w:contextualSpacing w:val="0"/>
              <w:jc w:val="both"/>
              <w:rPr>
                <w:noProof/>
                <w:sz w:val="24"/>
                <w:szCs w:val="24"/>
              </w:rPr>
            </w:pPr>
            <w:r w:rsidRPr="00D1266B">
              <w:rPr>
                <w:noProof/>
                <w:sz w:val="24"/>
                <w:szCs w:val="24"/>
              </w:rPr>
              <w:t xml:space="preserve">   - OMT remontzonas aprīkojuma atjaunošanai - 13 852 </w:t>
            </w:r>
            <w:r w:rsidRPr="00D1266B">
              <w:rPr>
                <w:i/>
                <w:noProof/>
                <w:sz w:val="24"/>
                <w:szCs w:val="24"/>
              </w:rPr>
              <w:t>euro</w:t>
            </w:r>
            <w:r w:rsidRPr="00D1266B">
              <w:rPr>
                <w:noProof/>
                <w:sz w:val="24"/>
                <w:szCs w:val="24"/>
              </w:rPr>
              <w:t>.</w:t>
            </w:r>
          </w:p>
          <w:p w:rsidR="00C8402F" w:rsidRPr="00D1266B" w:rsidRDefault="00C8402F" w:rsidP="00C8402F">
            <w:pPr>
              <w:pStyle w:val="ListParagraph"/>
              <w:spacing w:before="120"/>
              <w:ind w:left="0"/>
              <w:contextualSpacing w:val="0"/>
              <w:jc w:val="both"/>
              <w:rPr>
                <w:noProof/>
                <w:sz w:val="24"/>
                <w:szCs w:val="24"/>
              </w:rPr>
            </w:pPr>
            <w:r w:rsidRPr="00D1266B">
              <w:rPr>
                <w:b/>
                <w:noProof/>
                <w:sz w:val="24"/>
                <w:szCs w:val="24"/>
              </w:rPr>
              <w:t>Kopā 202</w:t>
            </w:r>
            <w:r>
              <w:rPr>
                <w:b/>
                <w:noProof/>
                <w:sz w:val="24"/>
                <w:szCs w:val="24"/>
              </w:rPr>
              <w:t>2</w:t>
            </w:r>
            <w:r w:rsidRPr="00D1266B">
              <w:rPr>
                <w:b/>
                <w:noProof/>
                <w:sz w:val="24"/>
                <w:szCs w:val="24"/>
              </w:rPr>
              <w:t xml:space="preserve">.gadā </w:t>
            </w:r>
            <w:r w:rsidRPr="00D1266B">
              <w:rPr>
                <w:noProof/>
                <w:sz w:val="24"/>
                <w:szCs w:val="24"/>
              </w:rPr>
              <w:t>Rīgas RC nepieciešams:</w:t>
            </w:r>
          </w:p>
          <w:p w:rsidR="00C8402F" w:rsidRPr="00D1266B" w:rsidRDefault="00C8402F" w:rsidP="00C8402F">
            <w:pPr>
              <w:pStyle w:val="ListParagraph"/>
              <w:ind w:left="0"/>
              <w:contextualSpacing w:val="0"/>
              <w:jc w:val="both"/>
              <w:rPr>
                <w:noProof/>
                <w:sz w:val="24"/>
                <w:szCs w:val="24"/>
              </w:rPr>
            </w:pPr>
            <w:r w:rsidRPr="00D1266B">
              <w:rPr>
                <w:noProof/>
                <w:sz w:val="24"/>
                <w:szCs w:val="24"/>
              </w:rPr>
              <w:t>(</w:t>
            </w:r>
            <w:r w:rsidR="00897266">
              <w:rPr>
                <w:noProof/>
                <w:sz w:val="24"/>
                <w:szCs w:val="24"/>
              </w:rPr>
              <w:t>1 368 666</w:t>
            </w:r>
            <w:r w:rsidR="00897266" w:rsidRPr="00897266">
              <w:rPr>
                <w:noProof/>
                <w:sz w:val="24"/>
                <w:szCs w:val="24"/>
              </w:rPr>
              <w:t> </w:t>
            </w:r>
            <w:r w:rsidRPr="00D1266B">
              <w:rPr>
                <w:noProof/>
                <w:sz w:val="24"/>
                <w:szCs w:val="24"/>
              </w:rPr>
              <w:t>+ </w:t>
            </w:r>
            <w:r w:rsidR="00897266">
              <w:rPr>
                <w:sz w:val="24"/>
                <w:szCs w:val="24"/>
              </w:rPr>
              <w:t>554 425</w:t>
            </w:r>
            <w:r w:rsidR="00897266" w:rsidRPr="00897266">
              <w:rPr>
                <w:noProof/>
                <w:sz w:val="24"/>
                <w:szCs w:val="24"/>
              </w:rPr>
              <w:t xml:space="preserve"> </w:t>
            </w:r>
            <w:r w:rsidRPr="00D1266B">
              <w:rPr>
                <w:noProof/>
                <w:sz w:val="24"/>
                <w:szCs w:val="24"/>
              </w:rPr>
              <w:t>+</w:t>
            </w:r>
            <w:r>
              <w:rPr>
                <w:noProof/>
                <w:sz w:val="24"/>
                <w:szCs w:val="24"/>
              </w:rPr>
              <w:t xml:space="preserve"> 600</w:t>
            </w:r>
            <w:r w:rsidRPr="00D1266B">
              <w:rPr>
                <w:noProof/>
                <w:sz w:val="24"/>
                <w:szCs w:val="24"/>
              </w:rPr>
              <w:t> </w:t>
            </w:r>
            <w:r>
              <w:rPr>
                <w:noProof/>
                <w:sz w:val="24"/>
                <w:szCs w:val="24"/>
              </w:rPr>
              <w:t>+ 588 452</w:t>
            </w:r>
            <w:r w:rsidRPr="00D1266B">
              <w:rPr>
                <w:noProof/>
                <w:sz w:val="24"/>
                <w:szCs w:val="24"/>
              </w:rPr>
              <w:t> ) </w:t>
            </w:r>
            <w:r w:rsidRPr="00D1266B">
              <w:rPr>
                <w:i/>
                <w:noProof/>
                <w:sz w:val="24"/>
                <w:szCs w:val="24"/>
              </w:rPr>
              <w:t xml:space="preserve">euro </w:t>
            </w:r>
            <w:r w:rsidRPr="00D1266B">
              <w:rPr>
                <w:noProof/>
                <w:sz w:val="24"/>
                <w:szCs w:val="24"/>
              </w:rPr>
              <w:t>= </w:t>
            </w:r>
            <w:r>
              <w:rPr>
                <w:b/>
                <w:noProof/>
                <w:sz w:val="24"/>
                <w:szCs w:val="24"/>
              </w:rPr>
              <w:t>2 512 143</w:t>
            </w:r>
            <w:r w:rsidRPr="00D1266B">
              <w:rPr>
                <w:b/>
                <w:noProof/>
                <w:sz w:val="24"/>
                <w:szCs w:val="24"/>
              </w:rPr>
              <w:t xml:space="preserve">  </w:t>
            </w:r>
            <w:r w:rsidRPr="00D1266B">
              <w:rPr>
                <w:b/>
                <w:i/>
                <w:noProof/>
                <w:sz w:val="24"/>
                <w:szCs w:val="24"/>
              </w:rPr>
              <w:t>euro</w:t>
            </w:r>
            <w:r>
              <w:rPr>
                <w:noProof/>
                <w:sz w:val="24"/>
                <w:szCs w:val="24"/>
              </w:rPr>
              <w:t xml:space="preserve">, </w:t>
            </w:r>
            <w:r w:rsidR="00AD17B6">
              <w:rPr>
                <w:noProof/>
                <w:sz w:val="24"/>
                <w:szCs w:val="24"/>
              </w:rPr>
              <w:t>kas iekļauts 2015.gada valsts budžeta ilgtermiņa saistību tālākā laika posma (2018.-2022.gads) kopējā apmērā.</w:t>
            </w:r>
          </w:p>
        </w:tc>
      </w:tr>
      <w:tr w:rsidR="00C8402F" w:rsidRPr="00D1266B" w:rsidTr="00897266">
        <w:tc>
          <w:tcPr>
            <w:tcW w:w="2630" w:type="dxa"/>
            <w:shd w:val="clear" w:color="auto" w:fill="auto"/>
            <w:hideMark/>
          </w:tcPr>
          <w:p w:rsidR="00C8402F" w:rsidRPr="00D1266B" w:rsidRDefault="00C8402F" w:rsidP="00947C9D">
            <w:pPr>
              <w:rPr>
                <w:noProof/>
                <w:sz w:val="24"/>
                <w:szCs w:val="24"/>
              </w:rPr>
            </w:pPr>
            <w:r w:rsidRPr="00D1266B">
              <w:rPr>
                <w:noProof/>
                <w:sz w:val="24"/>
                <w:szCs w:val="24"/>
              </w:rPr>
              <w:t>6.1. detalizēts ieņēmumu aprēķins</w:t>
            </w:r>
          </w:p>
        </w:tc>
        <w:tc>
          <w:tcPr>
            <w:tcW w:w="6910" w:type="dxa"/>
            <w:gridSpan w:val="5"/>
            <w:vMerge/>
            <w:shd w:val="clear" w:color="auto" w:fill="auto"/>
            <w:hideMark/>
          </w:tcPr>
          <w:p w:rsidR="00C8402F" w:rsidRPr="00D1266B" w:rsidRDefault="00C8402F" w:rsidP="00947C9D">
            <w:pPr>
              <w:rPr>
                <w:noProof/>
                <w:sz w:val="24"/>
                <w:szCs w:val="24"/>
              </w:rPr>
            </w:pPr>
          </w:p>
        </w:tc>
      </w:tr>
      <w:tr w:rsidR="00C8402F" w:rsidRPr="00D1266B" w:rsidTr="00897266">
        <w:tc>
          <w:tcPr>
            <w:tcW w:w="2630" w:type="dxa"/>
            <w:shd w:val="clear" w:color="auto" w:fill="auto"/>
            <w:hideMark/>
          </w:tcPr>
          <w:p w:rsidR="00C8402F" w:rsidRPr="00D1266B" w:rsidRDefault="00C8402F" w:rsidP="00947C9D">
            <w:pPr>
              <w:rPr>
                <w:noProof/>
                <w:sz w:val="24"/>
                <w:szCs w:val="24"/>
              </w:rPr>
            </w:pPr>
            <w:r w:rsidRPr="00D1266B">
              <w:rPr>
                <w:noProof/>
                <w:sz w:val="24"/>
                <w:szCs w:val="24"/>
              </w:rPr>
              <w:t>6.2. detalizēts izdevumu aprēķins</w:t>
            </w:r>
          </w:p>
        </w:tc>
        <w:tc>
          <w:tcPr>
            <w:tcW w:w="6910" w:type="dxa"/>
            <w:gridSpan w:val="5"/>
            <w:vMerge/>
            <w:shd w:val="clear" w:color="auto" w:fill="auto"/>
            <w:hideMark/>
          </w:tcPr>
          <w:p w:rsidR="00C8402F" w:rsidRPr="00D1266B" w:rsidRDefault="00C8402F" w:rsidP="00947C9D">
            <w:pPr>
              <w:rPr>
                <w:noProof/>
                <w:sz w:val="24"/>
                <w:szCs w:val="24"/>
              </w:rPr>
            </w:pPr>
          </w:p>
        </w:tc>
      </w:tr>
      <w:tr w:rsidR="00C8402F" w:rsidRPr="00D1266B" w:rsidTr="00897266">
        <w:trPr>
          <w:trHeight w:val="555"/>
        </w:trPr>
        <w:tc>
          <w:tcPr>
            <w:tcW w:w="2630" w:type="dxa"/>
            <w:shd w:val="clear" w:color="auto" w:fill="auto"/>
            <w:hideMark/>
          </w:tcPr>
          <w:p w:rsidR="00C8402F" w:rsidRPr="00D1266B" w:rsidRDefault="00C8402F" w:rsidP="008976AD">
            <w:pPr>
              <w:spacing w:before="120"/>
              <w:rPr>
                <w:noProof/>
                <w:sz w:val="24"/>
                <w:szCs w:val="24"/>
              </w:rPr>
            </w:pPr>
            <w:r w:rsidRPr="00D1266B">
              <w:rPr>
                <w:noProof/>
                <w:sz w:val="24"/>
                <w:szCs w:val="24"/>
              </w:rPr>
              <w:lastRenderedPageBreak/>
              <w:t>7. Cita informācija</w:t>
            </w:r>
          </w:p>
        </w:tc>
        <w:tc>
          <w:tcPr>
            <w:tcW w:w="6910" w:type="dxa"/>
            <w:gridSpan w:val="5"/>
            <w:shd w:val="clear" w:color="auto" w:fill="auto"/>
            <w:hideMark/>
          </w:tcPr>
          <w:p w:rsidR="00AD17B6" w:rsidRDefault="00AD17B6" w:rsidP="0079577B">
            <w:pPr>
              <w:pStyle w:val="ListParagraph"/>
              <w:spacing w:before="120"/>
              <w:ind w:left="0"/>
              <w:contextualSpacing w:val="0"/>
              <w:jc w:val="both"/>
              <w:rPr>
                <w:noProof/>
                <w:sz w:val="24"/>
                <w:szCs w:val="24"/>
              </w:rPr>
            </w:pPr>
            <w:r>
              <w:rPr>
                <w:noProof/>
                <w:sz w:val="24"/>
                <w:szCs w:val="28"/>
              </w:rPr>
              <w:t>I</w:t>
            </w:r>
            <w:r w:rsidRPr="00D87DB9">
              <w:rPr>
                <w:noProof/>
                <w:sz w:val="24"/>
                <w:szCs w:val="28"/>
              </w:rPr>
              <w:t>zmaksas</w:t>
            </w:r>
            <w:r>
              <w:rPr>
                <w:noProof/>
                <w:sz w:val="24"/>
                <w:szCs w:val="28"/>
              </w:rPr>
              <w:t xml:space="preserve">, kas saistītas ar ārpakalpojumu pārņemšanu un turpmāku NMP pakalpojumu sniegšanu </w:t>
            </w:r>
            <w:r w:rsidRPr="00AA2093">
              <w:rPr>
                <w:noProof/>
                <w:sz w:val="24"/>
                <w:szCs w:val="28"/>
              </w:rPr>
              <w:t>Rīgas reģionālajā centrā</w:t>
            </w:r>
            <w:r>
              <w:rPr>
                <w:noProof/>
                <w:sz w:val="24"/>
                <w:szCs w:val="28"/>
              </w:rPr>
              <w:t>, tiks nodrošinātas NMP dienestam pieejamā valsts budžeta finansējuma ietvaros.</w:t>
            </w:r>
          </w:p>
          <w:p w:rsidR="00C8402F" w:rsidRPr="00D1266B" w:rsidRDefault="00C8402F" w:rsidP="0079577B">
            <w:pPr>
              <w:pStyle w:val="ListParagraph"/>
              <w:spacing w:before="120"/>
              <w:ind w:left="0"/>
              <w:contextualSpacing w:val="0"/>
              <w:jc w:val="both"/>
              <w:rPr>
                <w:noProof/>
                <w:sz w:val="24"/>
                <w:szCs w:val="24"/>
              </w:rPr>
            </w:pPr>
            <w:r>
              <w:rPr>
                <w:noProof/>
                <w:sz w:val="24"/>
                <w:szCs w:val="24"/>
              </w:rPr>
              <w:t>A</w:t>
            </w:r>
            <w:r w:rsidRPr="00D1266B">
              <w:rPr>
                <w:noProof/>
                <w:sz w:val="24"/>
                <w:szCs w:val="24"/>
              </w:rPr>
              <w:t>prēķinos atbilstoši Ministru kabineta 2009.gada 15.decembra instrukcijas Nr.19 „</w:t>
            </w:r>
            <w:r w:rsidRPr="00D1266B">
              <w:rPr>
                <w:i/>
                <w:noProof/>
                <w:sz w:val="24"/>
                <w:szCs w:val="24"/>
              </w:rPr>
              <w:t>Tiesību akta projekta sākotnējās ietekmes izvērtēšanas kārtība</w:t>
            </w:r>
            <w:r w:rsidRPr="00D1266B">
              <w:rPr>
                <w:noProof/>
                <w:sz w:val="24"/>
                <w:szCs w:val="24"/>
              </w:rPr>
              <w:t>” 45.2.apakšpunktam nav ņemts vērā iespējams degvielas, darbaspēka un citu resursu izmaksu pieaugums, kas tiks vērtēts katru gadu, sagatavojot jaunās politikas iniciatīvas un administratīvās kapacitātes stiprināšanas pasākumus nākamajiem trīs gadiem.</w:t>
            </w:r>
          </w:p>
        </w:tc>
      </w:tr>
    </w:tbl>
    <w:p w:rsidR="000F2CF5" w:rsidRPr="00EA5202" w:rsidRDefault="000231E0" w:rsidP="004751E4">
      <w:pPr>
        <w:spacing w:before="100" w:beforeAutospacing="1" w:after="100" w:afterAutospacing="1"/>
        <w:ind w:firstLine="301"/>
        <w:rPr>
          <w:noProof/>
          <w:sz w:val="28"/>
          <w:szCs w:val="28"/>
        </w:rPr>
      </w:pPr>
      <w:r w:rsidRPr="000231E0">
        <w:rPr>
          <w:noProof/>
          <w:sz w:val="28"/>
          <w:szCs w:val="28"/>
        </w:rPr>
        <w:t> Anotācijas IV, V</w:t>
      </w:r>
      <w:r>
        <w:rPr>
          <w:noProof/>
          <w:sz w:val="28"/>
          <w:szCs w:val="28"/>
        </w:rPr>
        <w:t xml:space="preserve"> un</w:t>
      </w:r>
      <w:r w:rsidRPr="000231E0">
        <w:rPr>
          <w:noProof/>
          <w:sz w:val="28"/>
          <w:szCs w:val="28"/>
        </w:rPr>
        <w:t xml:space="preserve"> VI</w:t>
      </w:r>
      <w:r w:rsidR="00947C9D">
        <w:rPr>
          <w:noProof/>
          <w:sz w:val="28"/>
          <w:szCs w:val="28"/>
        </w:rPr>
        <w:t xml:space="preserve"> sadaļas</w:t>
      </w:r>
      <w:r>
        <w:rPr>
          <w:noProof/>
          <w:sz w:val="28"/>
          <w:szCs w:val="28"/>
        </w:rPr>
        <w:t xml:space="preserve"> </w:t>
      </w:r>
      <w:r w:rsidRPr="000231E0">
        <w:rPr>
          <w:noProof/>
          <w:sz w:val="28"/>
          <w:szCs w:val="28"/>
        </w:rPr>
        <w:t>– projekts šīs jomas neskar.</w:t>
      </w: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6"/>
        <w:gridCol w:w="3405"/>
        <w:gridCol w:w="5523"/>
      </w:tblGrid>
      <w:tr w:rsidR="00BE19E0" w:rsidRPr="00EA5202" w:rsidTr="00EA5202">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BE19E0" w:rsidRPr="00EA5202" w:rsidRDefault="00BE19E0" w:rsidP="00EA5202">
            <w:pPr>
              <w:jc w:val="center"/>
              <w:rPr>
                <w:b/>
                <w:noProof/>
                <w:color w:val="000000"/>
                <w:sz w:val="28"/>
                <w:szCs w:val="28"/>
              </w:rPr>
            </w:pPr>
            <w:r w:rsidRPr="00EA5202">
              <w:rPr>
                <w:b/>
                <w:noProof/>
                <w:color w:val="000000"/>
                <w:sz w:val="28"/>
                <w:szCs w:val="28"/>
              </w:rPr>
              <w:t>VII. Tiesību akta projekta izpildes nodrošināšana un tās ietekme uz institūcijām</w:t>
            </w:r>
          </w:p>
        </w:tc>
      </w:tr>
      <w:tr w:rsidR="00BE19E0" w:rsidRPr="00EA5202" w:rsidTr="00EA5202">
        <w:tc>
          <w:tcPr>
            <w:tcW w:w="516"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noProof/>
                <w:color w:val="000000"/>
                <w:sz w:val="28"/>
                <w:szCs w:val="28"/>
              </w:rPr>
            </w:pPr>
            <w:r w:rsidRPr="00EA5202">
              <w:rPr>
                <w:noProof/>
                <w:color w:val="000000"/>
                <w:sz w:val="28"/>
                <w:szCs w:val="28"/>
              </w:rPr>
              <w:lastRenderedPageBreak/>
              <w:t>1.</w:t>
            </w:r>
          </w:p>
        </w:tc>
        <w:tc>
          <w:tcPr>
            <w:tcW w:w="3405"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noProof/>
                <w:color w:val="000000"/>
                <w:sz w:val="28"/>
                <w:szCs w:val="28"/>
              </w:rPr>
            </w:pPr>
            <w:r w:rsidRPr="00EA5202">
              <w:rPr>
                <w:noProof/>
                <w:color w:val="000000"/>
                <w:sz w:val="28"/>
                <w:szCs w:val="28"/>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BE19E0" w:rsidRPr="00EA5202" w:rsidRDefault="00F66038" w:rsidP="00EA5202">
            <w:pPr>
              <w:spacing w:before="120"/>
              <w:jc w:val="both"/>
              <w:rPr>
                <w:noProof/>
                <w:color w:val="000000"/>
                <w:sz w:val="28"/>
                <w:szCs w:val="28"/>
              </w:rPr>
            </w:pPr>
            <w:r w:rsidRPr="00EA5202">
              <w:rPr>
                <w:noProof/>
                <w:sz w:val="28"/>
                <w:szCs w:val="28"/>
              </w:rPr>
              <w:t>NMP dienests</w:t>
            </w:r>
          </w:p>
        </w:tc>
      </w:tr>
      <w:tr w:rsidR="00BE19E0" w:rsidRPr="00EA5202" w:rsidTr="00EA5202">
        <w:tc>
          <w:tcPr>
            <w:tcW w:w="516"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noProof/>
                <w:sz w:val="28"/>
                <w:szCs w:val="28"/>
              </w:rPr>
            </w:pPr>
            <w:r w:rsidRPr="00EA5202">
              <w:rPr>
                <w:noProof/>
                <w:sz w:val="28"/>
                <w:szCs w:val="28"/>
              </w:rPr>
              <w:t>2.</w:t>
            </w:r>
          </w:p>
        </w:tc>
        <w:tc>
          <w:tcPr>
            <w:tcW w:w="3405"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noProof/>
                <w:sz w:val="28"/>
                <w:szCs w:val="28"/>
              </w:rPr>
            </w:pPr>
            <w:r w:rsidRPr="00EA5202">
              <w:rPr>
                <w:noProof/>
                <w:sz w:val="28"/>
                <w:szCs w:val="28"/>
              </w:rPr>
              <w:t>Projekta izpildes ietekme uz pārvaldes funkcijām un institucionālo struktūru.</w:t>
            </w:r>
          </w:p>
          <w:p w:rsidR="00BE19E0" w:rsidRPr="00EA5202" w:rsidRDefault="00BE19E0" w:rsidP="00EA5202">
            <w:pPr>
              <w:spacing w:before="100" w:beforeAutospacing="1" w:after="100" w:afterAutospacing="1"/>
              <w:jc w:val="both"/>
              <w:rPr>
                <w:noProof/>
                <w:sz w:val="28"/>
                <w:szCs w:val="28"/>
              </w:rPr>
            </w:pPr>
            <w:r w:rsidRPr="00EA5202">
              <w:rPr>
                <w:noProof/>
                <w:sz w:val="28"/>
                <w:szCs w:val="28"/>
              </w:rP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BE19E0" w:rsidRPr="00EA5202" w:rsidRDefault="00BE19E0" w:rsidP="006D67AC">
            <w:pPr>
              <w:jc w:val="both"/>
              <w:rPr>
                <w:noProof/>
                <w:sz w:val="28"/>
                <w:szCs w:val="28"/>
              </w:rPr>
            </w:pPr>
            <w:r w:rsidRPr="00EA5202">
              <w:rPr>
                <w:noProof/>
                <w:sz w:val="28"/>
                <w:szCs w:val="28"/>
              </w:rPr>
              <w:t>Projekts šo jomu neskar</w:t>
            </w:r>
          </w:p>
        </w:tc>
      </w:tr>
      <w:tr w:rsidR="00BE19E0" w:rsidRPr="00EA5202" w:rsidTr="00EA5202">
        <w:tc>
          <w:tcPr>
            <w:tcW w:w="516"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color w:val="000000"/>
                <w:sz w:val="28"/>
                <w:szCs w:val="28"/>
              </w:rPr>
            </w:pPr>
            <w:r w:rsidRPr="00EA5202">
              <w:rPr>
                <w:color w:val="000000"/>
                <w:sz w:val="28"/>
                <w:szCs w:val="28"/>
              </w:rPr>
              <w:t>3.</w:t>
            </w:r>
          </w:p>
        </w:tc>
        <w:tc>
          <w:tcPr>
            <w:tcW w:w="3405"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color w:val="000000"/>
                <w:sz w:val="28"/>
                <w:szCs w:val="28"/>
              </w:rPr>
            </w:pPr>
            <w:r w:rsidRPr="00EA5202">
              <w:rPr>
                <w:color w:val="000000"/>
                <w:sz w:val="28"/>
                <w:szCs w:val="28"/>
              </w:rPr>
              <w:t>Cita informācija</w:t>
            </w:r>
          </w:p>
        </w:tc>
        <w:tc>
          <w:tcPr>
            <w:tcW w:w="5523" w:type="dxa"/>
            <w:tcBorders>
              <w:top w:val="single" w:sz="6" w:space="0" w:color="auto"/>
              <w:left w:val="single" w:sz="6" w:space="0" w:color="auto"/>
              <w:bottom w:val="single" w:sz="6" w:space="0" w:color="auto"/>
              <w:right w:val="single" w:sz="6" w:space="0" w:color="auto"/>
            </w:tcBorders>
          </w:tcPr>
          <w:p w:rsidR="00BE19E0" w:rsidRPr="00EA5202" w:rsidRDefault="00BE19E0" w:rsidP="00F66038">
            <w:pPr>
              <w:spacing w:before="100" w:beforeAutospacing="1" w:after="100" w:afterAutospacing="1"/>
              <w:jc w:val="both"/>
              <w:rPr>
                <w:color w:val="000000"/>
                <w:sz w:val="28"/>
                <w:szCs w:val="28"/>
              </w:rPr>
            </w:pPr>
            <w:r w:rsidRPr="00EA5202">
              <w:rPr>
                <w:color w:val="000000"/>
                <w:sz w:val="28"/>
                <w:szCs w:val="28"/>
              </w:rPr>
              <w:t>Nav</w:t>
            </w:r>
          </w:p>
        </w:tc>
      </w:tr>
    </w:tbl>
    <w:p w:rsidR="00BE19E0" w:rsidRPr="00EA5202" w:rsidRDefault="00BE19E0" w:rsidP="00BE19E0">
      <w:pPr>
        <w:rPr>
          <w:sz w:val="28"/>
          <w:szCs w:val="28"/>
        </w:rPr>
      </w:pPr>
    </w:p>
    <w:p w:rsidR="00BE19E0" w:rsidRPr="00EA5202" w:rsidRDefault="00BE19E0" w:rsidP="00BE19E0">
      <w:pPr>
        <w:rPr>
          <w:sz w:val="28"/>
          <w:szCs w:val="28"/>
        </w:rPr>
      </w:pPr>
    </w:p>
    <w:p w:rsidR="0085641E" w:rsidRPr="00EA5202" w:rsidRDefault="0085641E" w:rsidP="00BE19E0">
      <w:pPr>
        <w:rPr>
          <w:sz w:val="28"/>
          <w:szCs w:val="28"/>
        </w:rPr>
      </w:pPr>
    </w:p>
    <w:p w:rsidR="00555C51" w:rsidRPr="00555C51" w:rsidRDefault="00555C51" w:rsidP="00555C51">
      <w:pPr>
        <w:jc w:val="both"/>
        <w:rPr>
          <w:sz w:val="28"/>
          <w:szCs w:val="28"/>
        </w:rPr>
      </w:pPr>
      <w:r w:rsidRPr="00555C51">
        <w:rPr>
          <w:sz w:val="28"/>
          <w:szCs w:val="28"/>
        </w:rPr>
        <w:t>Veselības ministrs</w:t>
      </w:r>
      <w:r w:rsidRPr="00555C51">
        <w:rPr>
          <w:sz w:val="28"/>
          <w:szCs w:val="28"/>
        </w:rPr>
        <w:tab/>
      </w:r>
      <w:r w:rsidRPr="00555C51">
        <w:rPr>
          <w:sz w:val="28"/>
          <w:szCs w:val="28"/>
        </w:rPr>
        <w:tab/>
      </w:r>
      <w:r w:rsidRPr="00555C51">
        <w:rPr>
          <w:sz w:val="28"/>
          <w:szCs w:val="28"/>
        </w:rPr>
        <w:tab/>
      </w:r>
      <w:r w:rsidRPr="00555C51">
        <w:rPr>
          <w:sz w:val="28"/>
          <w:szCs w:val="28"/>
        </w:rPr>
        <w:tab/>
      </w:r>
      <w:r w:rsidRPr="00555C51">
        <w:rPr>
          <w:sz w:val="28"/>
          <w:szCs w:val="28"/>
        </w:rPr>
        <w:tab/>
      </w:r>
      <w:r w:rsidRPr="00555C51">
        <w:rPr>
          <w:sz w:val="28"/>
          <w:szCs w:val="28"/>
        </w:rPr>
        <w:tab/>
      </w:r>
      <w:r w:rsidRPr="00555C51">
        <w:rPr>
          <w:sz w:val="28"/>
          <w:szCs w:val="28"/>
        </w:rPr>
        <w:tab/>
      </w:r>
      <w:r w:rsidRPr="00555C51">
        <w:rPr>
          <w:sz w:val="28"/>
          <w:szCs w:val="28"/>
        </w:rPr>
        <w:tab/>
      </w:r>
      <w:proofErr w:type="spellStart"/>
      <w:r w:rsidRPr="00555C51">
        <w:rPr>
          <w:sz w:val="28"/>
          <w:szCs w:val="28"/>
        </w:rPr>
        <w:t>G.Belēvičs</w:t>
      </w:r>
      <w:proofErr w:type="spellEnd"/>
    </w:p>
    <w:p w:rsidR="003C36D2" w:rsidRDefault="003C36D2" w:rsidP="00BE19E0"/>
    <w:p w:rsidR="003C36D2" w:rsidRDefault="003C36D2" w:rsidP="00BE19E0"/>
    <w:p w:rsidR="003C36D2" w:rsidRDefault="003C36D2" w:rsidP="00BE19E0"/>
    <w:p w:rsidR="00735D23" w:rsidRPr="00373EAC" w:rsidRDefault="00A72629" w:rsidP="00735D23">
      <w:r>
        <w:t>1</w:t>
      </w:r>
      <w:r w:rsidR="00432036">
        <w:t>2</w:t>
      </w:r>
      <w:r w:rsidR="00735D23">
        <w:t>.</w:t>
      </w:r>
      <w:r w:rsidR="005D132F">
        <w:t>01</w:t>
      </w:r>
      <w:r w:rsidR="00735D23">
        <w:t>.201</w:t>
      </w:r>
      <w:r w:rsidR="005D132F">
        <w:t>5</w:t>
      </w:r>
      <w:r w:rsidR="00735D23">
        <w:t xml:space="preserve"> 1</w:t>
      </w:r>
      <w:r w:rsidR="00C90A1F">
        <w:t>7</w:t>
      </w:r>
      <w:r w:rsidR="00735D23">
        <w:t>:</w:t>
      </w:r>
      <w:r w:rsidR="00C90A1F">
        <w:t>35</w:t>
      </w:r>
    </w:p>
    <w:bookmarkStart w:id="7" w:name="OLE_LINK5"/>
    <w:bookmarkStart w:id="8" w:name="OLE_LINK6"/>
    <w:p w:rsidR="00735D23" w:rsidRPr="00995A90" w:rsidRDefault="003C2500" w:rsidP="00735D23">
      <w:pPr>
        <w:rPr>
          <w:sz w:val="22"/>
          <w:szCs w:val="22"/>
        </w:rPr>
      </w:pPr>
      <w:r w:rsidRPr="00995A90">
        <w:rPr>
          <w:sz w:val="22"/>
          <w:szCs w:val="22"/>
        </w:rPr>
        <w:fldChar w:fldCharType="begin"/>
      </w:r>
      <w:r w:rsidR="00735D23" w:rsidRPr="00995A90">
        <w:rPr>
          <w:sz w:val="22"/>
          <w:szCs w:val="22"/>
        </w:rPr>
        <w:instrText xml:space="preserve"> NUMWORDS  \# "# ##0"  \* MERGEFORMAT </w:instrText>
      </w:r>
      <w:r w:rsidRPr="00995A90">
        <w:rPr>
          <w:sz w:val="22"/>
          <w:szCs w:val="22"/>
        </w:rPr>
        <w:fldChar w:fldCharType="separate"/>
      </w:r>
      <w:r w:rsidR="00C90A1F" w:rsidRPr="00C90A1F">
        <w:rPr>
          <w:noProof/>
        </w:rPr>
        <w:t>3 751</w:t>
      </w:r>
      <w:r w:rsidRPr="00995A90">
        <w:rPr>
          <w:sz w:val="22"/>
          <w:szCs w:val="22"/>
        </w:rPr>
        <w:fldChar w:fldCharType="end"/>
      </w:r>
    </w:p>
    <w:p w:rsidR="00735D23" w:rsidRDefault="00735D23" w:rsidP="00735D23">
      <w:proofErr w:type="spellStart"/>
      <w:r>
        <w:t>J.Blaževičs</w:t>
      </w:r>
      <w:proofErr w:type="spellEnd"/>
      <w:r>
        <w:t>, 67876046</w:t>
      </w:r>
    </w:p>
    <w:p w:rsidR="006035C6" w:rsidRPr="003B09F0" w:rsidRDefault="003C2500" w:rsidP="00735D23">
      <w:hyperlink r:id="rId9" w:history="1">
        <w:r w:rsidR="00735D23" w:rsidRPr="004E394E">
          <w:rPr>
            <w:rStyle w:val="Hyperlink"/>
          </w:rPr>
          <w:t>Jevgenijs.Blazevics@vm.gov.lv</w:t>
        </w:r>
      </w:hyperlink>
      <w:bookmarkEnd w:id="7"/>
      <w:bookmarkEnd w:id="8"/>
    </w:p>
    <w:sectPr w:rsidR="006035C6" w:rsidRPr="003B09F0" w:rsidSect="001F640D">
      <w:headerReference w:type="even" r:id="rId10"/>
      <w:headerReference w:type="default" r:id="rId11"/>
      <w:footerReference w:type="default" r:id="rId12"/>
      <w:footerReference w:type="first" r:id="rId13"/>
      <w:pgSz w:w="11906" w:h="16838" w:code="9"/>
      <w:pgMar w:top="1418" w:right="1134" w:bottom="284" w:left="1701" w:header="703" w:footer="7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66B" w:rsidRDefault="00D1266B">
      <w:r>
        <w:separator/>
      </w:r>
    </w:p>
  </w:endnote>
  <w:endnote w:type="continuationSeparator" w:id="0">
    <w:p w:rsidR="00D1266B" w:rsidRDefault="00D12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5D" w:rsidRPr="00A72629" w:rsidRDefault="00A72629" w:rsidP="00A72629">
    <w:pPr>
      <w:pStyle w:val="Footer"/>
      <w:jc w:val="both"/>
      <w:rPr>
        <w:sz w:val="20"/>
        <w:szCs w:val="20"/>
      </w:rPr>
    </w:pPr>
    <w:r>
      <w:rPr>
        <w:sz w:val="20"/>
        <w:szCs w:val="20"/>
      </w:rPr>
      <w:t>VManot_1</w:t>
    </w:r>
    <w:r w:rsidR="00432036">
      <w:rPr>
        <w:sz w:val="20"/>
        <w:szCs w:val="20"/>
      </w:rPr>
      <w:t>2</w:t>
    </w:r>
    <w:r>
      <w:rPr>
        <w:sz w:val="20"/>
        <w:szCs w:val="20"/>
      </w:rPr>
      <w:t xml:space="preserve">0115_OMT; </w:t>
    </w:r>
    <w:r w:rsidRPr="00A72629">
      <w:rPr>
        <w:sz w:val="20"/>
        <w:szCs w:val="20"/>
      </w:rPr>
      <w:t>Ministru kabineta rīkojuma projekta „Par atļauju Neatliekamās medicīniskās palīdzības dienestam uzņemties ilgtermiņa saistības par Neatliekamās medicīniskās palīdzības dienesta Rīgas reģionālajam centram nepieciešamā operatīvā medicīniskā transporta iegādi līzingā”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5D" w:rsidRPr="00A72629" w:rsidRDefault="00C7185D" w:rsidP="00EA5202">
    <w:pPr>
      <w:pStyle w:val="Footer"/>
      <w:jc w:val="both"/>
      <w:rPr>
        <w:sz w:val="20"/>
        <w:szCs w:val="20"/>
      </w:rPr>
    </w:pPr>
    <w:r>
      <w:rPr>
        <w:sz w:val="20"/>
        <w:szCs w:val="20"/>
      </w:rPr>
      <w:t>VManot_</w:t>
    </w:r>
    <w:r w:rsidR="00A72629">
      <w:rPr>
        <w:sz w:val="20"/>
        <w:szCs w:val="20"/>
      </w:rPr>
      <w:t>1</w:t>
    </w:r>
    <w:r w:rsidR="00432036">
      <w:rPr>
        <w:sz w:val="20"/>
        <w:szCs w:val="20"/>
      </w:rPr>
      <w:t>2</w:t>
    </w:r>
    <w:r w:rsidR="00997023">
      <w:rPr>
        <w:sz w:val="20"/>
        <w:szCs w:val="20"/>
      </w:rPr>
      <w:t>0115</w:t>
    </w:r>
    <w:r>
      <w:rPr>
        <w:sz w:val="20"/>
        <w:szCs w:val="20"/>
      </w:rPr>
      <w:t xml:space="preserve">_OMT; </w:t>
    </w:r>
    <w:r w:rsidR="00A72629" w:rsidRPr="00A72629">
      <w:rPr>
        <w:sz w:val="20"/>
        <w:szCs w:val="20"/>
      </w:rPr>
      <w:t>Ministru kabineta rīkojuma projekta „Par atļauju Neatliekamās medicīniskās palīdzības dienestam uzņemties ilgtermiņa saistības par Neatliekamās medicīniskās palīdzības dienesta Rīgas reģionālajam centram nepieciešamā operatīvā medicīniskā transporta iegādi līzingā”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66B" w:rsidRDefault="00D1266B">
      <w:r>
        <w:separator/>
      </w:r>
    </w:p>
  </w:footnote>
  <w:footnote w:type="continuationSeparator" w:id="0">
    <w:p w:rsidR="00D1266B" w:rsidRDefault="00D12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5D" w:rsidRDefault="003C2500" w:rsidP="00EA5202">
    <w:pPr>
      <w:pStyle w:val="Header"/>
      <w:framePr w:wrap="around" w:vAnchor="text" w:hAnchor="margin" w:xAlign="center" w:y="1"/>
      <w:rPr>
        <w:rStyle w:val="PageNumber"/>
      </w:rPr>
    </w:pPr>
    <w:r>
      <w:rPr>
        <w:rStyle w:val="PageNumber"/>
      </w:rPr>
      <w:fldChar w:fldCharType="begin"/>
    </w:r>
    <w:r w:rsidR="00C7185D">
      <w:rPr>
        <w:rStyle w:val="PageNumber"/>
      </w:rPr>
      <w:instrText xml:space="preserve">PAGE  </w:instrText>
    </w:r>
    <w:r>
      <w:rPr>
        <w:rStyle w:val="PageNumber"/>
      </w:rPr>
      <w:fldChar w:fldCharType="end"/>
    </w:r>
  </w:p>
  <w:p w:rsidR="00C7185D" w:rsidRDefault="00C718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5D" w:rsidRDefault="003C2500" w:rsidP="00EA5202">
    <w:pPr>
      <w:pStyle w:val="Header"/>
      <w:framePr w:wrap="around" w:vAnchor="text" w:hAnchor="margin" w:xAlign="center" w:y="1"/>
      <w:rPr>
        <w:rStyle w:val="PageNumber"/>
      </w:rPr>
    </w:pPr>
    <w:r>
      <w:rPr>
        <w:rStyle w:val="PageNumber"/>
      </w:rPr>
      <w:fldChar w:fldCharType="begin"/>
    </w:r>
    <w:r w:rsidR="00C7185D">
      <w:rPr>
        <w:rStyle w:val="PageNumber"/>
      </w:rPr>
      <w:instrText xml:space="preserve">PAGE  </w:instrText>
    </w:r>
    <w:r>
      <w:rPr>
        <w:rStyle w:val="PageNumber"/>
      </w:rPr>
      <w:fldChar w:fldCharType="separate"/>
    </w:r>
    <w:r w:rsidR="00C90A1F">
      <w:rPr>
        <w:rStyle w:val="PageNumber"/>
        <w:noProof/>
      </w:rPr>
      <w:t>14</w:t>
    </w:r>
    <w:r>
      <w:rPr>
        <w:rStyle w:val="PageNumber"/>
      </w:rPr>
      <w:fldChar w:fldCharType="end"/>
    </w:r>
  </w:p>
  <w:p w:rsidR="00C7185D" w:rsidRDefault="00C7185D" w:rsidP="00EA52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195"/>
    <w:multiLevelType w:val="hybridMultilevel"/>
    <w:tmpl w:val="A1105AB6"/>
    <w:lvl w:ilvl="0" w:tplc="DE16803A">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B7F0175"/>
    <w:multiLevelType w:val="hybridMultilevel"/>
    <w:tmpl w:val="C298C0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A7694C"/>
    <w:multiLevelType w:val="hybridMultilevel"/>
    <w:tmpl w:val="2CB4631A"/>
    <w:lvl w:ilvl="0" w:tplc="B5F2B730">
      <w:start w:val="1"/>
      <w:numFmt w:val="lowerLetter"/>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3">
    <w:nsid w:val="52695D52"/>
    <w:multiLevelType w:val="hybridMultilevel"/>
    <w:tmpl w:val="BF780F4C"/>
    <w:lvl w:ilvl="0" w:tplc="04260005">
      <w:start w:val="1"/>
      <w:numFmt w:val="bullet"/>
      <w:lvlText w:val=""/>
      <w:lvlJc w:val="left"/>
      <w:pPr>
        <w:ind w:left="720" w:hanging="360"/>
      </w:pPr>
      <w:rPr>
        <w:rFonts w:ascii="Wingdings" w:hAnsi="Wingdings" w:hint="default"/>
      </w:rPr>
    </w:lvl>
    <w:lvl w:ilvl="1" w:tplc="B45E2F9A">
      <w:start w:val="1"/>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F867145"/>
    <w:multiLevelType w:val="hybridMultilevel"/>
    <w:tmpl w:val="DC4A9200"/>
    <w:lvl w:ilvl="0" w:tplc="0426000F">
      <w:start w:val="1"/>
      <w:numFmt w:val="decimal"/>
      <w:lvlText w:val="%1."/>
      <w:lvlJc w:val="left"/>
      <w:pPr>
        <w:ind w:left="3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C012191"/>
    <w:multiLevelType w:val="hybridMultilevel"/>
    <w:tmpl w:val="BC0C9C92"/>
    <w:lvl w:ilvl="0" w:tplc="DE168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C2028D0"/>
    <w:multiLevelType w:val="hybridMultilevel"/>
    <w:tmpl w:val="CFF0A59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s Bikovs">
    <w15:presenceInfo w15:providerId="None" w15:userId="Mareks Bikov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19E0"/>
    <w:rsid w:val="00006C35"/>
    <w:rsid w:val="000074DD"/>
    <w:rsid w:val="0002058B"/>
    <w:rsid w:val="00020827"/>
    <w:rsid w:val="000231E0"/>
    <w:rsid w:val="00023B16"/>
    <w:rsid w:val="00031053"/>
    <w:rsid w:val="000365B6"/>
    <w:rsid w:val="00044AD9"/>
    <w:rsid w:val="00051AC6"/>
    <w:rsid w:val="00053FC5"/>
    <w:rsid w:val="00055E03"/>
    <w:rsid w:val="00066CB2"/>
    <w:rsid w:val="0006745D"/>
    <w:rsid w:val="000703DD"/>
    <w:rsid w:val="000770B5"/>
    <w:rsid w:val="00077D2C"/>
    <w:rsid w:val="00082FF1"/>
    <w:rsid w:val="00091990"/>
    <w:rsid w:val="000A3CDE"/>
    <w:rsid w:val="000A4317"/>
    <w:rsid w:val="000C1405"/>
    <w:rsid w:val="000C2C36"/>
    <w:rsid w:val="000C2CCA"/>
    <w:rsid w:val="000E0FC7"/>
    <w:rsid w:val="000E248D"/>
    <w:rsid w:val="000F2CF5"/>
    <w:rsid w:val="001025B5"/>
    <w:rsid w:val="00107654"/>
    <w:rsid w:val="0011061B"/>
    <w:rsid w:val="001143F9"/>
    <w:rsid w:val="00122314"/>
    <w:rsid w:val="00124513"/>
    <w:rsid w:val="00124D74"/>
    <w:rsid w:val="00134D57"/>
    <w:rsid w:val="001368DE"/>
    <w:rsid w:val="0014237D"/>
    <w:rsid w:val="0016189C"/>
    <w:rsid w:val="00177DDE"/>
    <w:rsid w:val="0018307E"/>
    <w:rsid w:val="00185003"/>
    <w:rsid w:val="001852FA"/>
    <w:rsid w:val="001A1CC5"/>
    <w:rsid w:val="001D0115"/>
    <w:rsid w:val="001D6AC1"/>
    <w:rsid w:val="001D7C56"/>
    <w:rsid w:val="001E1C87"/>
    <w:rsid w:val="001F640D"/>
    <w:rsid w:val="001F66F3"/>
    <w:rsid w:val="002010D3"/>
    <w:rsid w:val="00202BDA"/>
    <w:rsid w:val="00212A2C"/>
    <w:rsid w:val="00214417"/>
    <w:rsid w:val="00224AB1"/>
    <w:rsid w:val="00231410"/>
    <w:rsid w:val="00241799"/>
    <w:rsid w:val="00247327"/>
    <w:rsid w:val="00251E2F"/>
    <w:rsid w:val="002533F0"/>
    <w:rsid w:val="00255836"/>
    <w:rsid w:val="00255D51"/>
    <w:rsid w:val="002603F7"/>
    <w:rsid w:val="002622FB"/>
    <w:rsid w:val="002703F2"/>
    <w:rsid w:val="0028190C"/>
    <w:rsid w:val="002964E9"/>
    <w:rsid w:val="002A7D92"/>
    <w:rsid w:val="002B1B25"/>
    <w:rsid w:val="002C3335"/>
    <w:rsid w:val="002D03E2"/>
    <w:rsid w:val="002E3E28"/>
    <w:rsid w:val="002F15F9"/>
    <w:rsid w:val="002F6005"/>
    <w:rsid w:val="0031445F"/>
    <w:rsid w:val="0031652E"/>
    <w:rsid w:val="00316EA9"/>
    <w:rsid w:val="003364FA"/>
    <w:rsid w:val="003448B0"/>
    <w:rsid w:val="00353322"/>
    <w:rsid w:val="003563D4"/>
    <w:rsid w:val="00365A5C"/>
    <w:rsid w:val="00375A1F"/>
    <w:rsid w:val="00384D0E"/>
    <w:rsid w:val="00393A58"/>
    <w:rsid w:val="00395556"/>
    <w:rsid w:val="003A2A38"/>
    <w:rsid w:val="003B09F0"/>
    <w:rsid w:val="003C2500"/>
    <w:rsid w:val="003C36D2"/>
    <w:rsid w:val="003D180D"/>
    <w:rsid w:val="003E40E3"/>
    <w:rsid w:val="003F1B97"/>
    <w:rsid w:val="003F7140"/>
    <w:rsid w:val="0040123C"/>
    <w:rsid w:val="00401909"/>
    <w:rsid w:val="00424CE2"/>
    <w:rsid w:val="00431163"/>
    <w:rsid w:val="00432036"/>
    <w:rsid w:val="004421FF"/>
    <w:rsid w:val="00453603"/>
    <w:rsid w:val="00453770"/>
    <w:rsid w:val="0046153C"/>
    <w:rsid w:val="004751E4"/>
    <w:rsid w:val="00480280"/>
    <w:rsid w:val="0048089D"/>
    <w:rsid w:val="00497846"/>
    <w:rsid w:val="004A414E"/>
    <w:rsid w:val="004A45D0"/>
    <w:rsid w:val="004B2DD5"/>
    <w:rsid w:val="004C56DA"/>
    <w:rsid w:val="004D2A16"/>
    <w:rsid w:val="004D4243"/>
    <w:rsid w:val="004E1939"/>
    <w:rsid w:val="00500501"/>
    <w:rsid w:val="00501B89"/>
    <w:rsid w:val="00502CE0"/>
    <w:rsid w:val="005113F0"/>
    <w:rsid w:val="00531CF8"/>
    <w:rsid w:val="00555C51"/>
    <w:rsid w:val="00555FCE"/>
    <w:rsid w:val="00561F73"/>
    <w:rsid w:val="00563167"/>
    <w:rsid w:val="00574067"/>
    <w:rsid w:val="005742D4"/>
    <w:rsid w:val="0057745E"/>
    <w:rsid w:val="00591F70"/>
    <w:rsid w:val="00594346"/>
    <w:rsid w:val="005B3609"/>
    <w:rsid w:val="005C2434"/>
    <w:rsid w:val="005D132F"/>
    <w:rsid w:val="005D3471"/>
    <w:rsid w:val="005D5CED"/>
    <w:rsid w:val="005F0B8C"/>
    <w:rsid w:val="005F5ABC"/>
    <w:rsid w:val="0060004E"/>
    <w:rsid w:val="00601C22"/>
    <w:rsid w:val="006035C6"/>
    <w:rsid w:val="00612C0A"/>
    <w:rsid w:val="0061341B"/>
    <w:rsid w:val="00613908"/>
    <w:rsid w:val="00614E07"/>
    <w:rsid w:val="00630BAF"/>
    <w:rsid w:val="00640A7E"/>
    <w:rsid w:val="00641F8F"/>
    <w:rsid w:val="00645718"/>
    <w:rsid w:val="006505EB"/>
    <w:rsid w:val="00650ADF"/>
    <w:rsid w:val="00652780"/>
    <w:rsid w:val="006601D8"/>
    <w:rsid w:val="00661643"/>
    <w:rsid w:val="0066313E"/>
    <w:rsid w:val="006943C4"/>
    <w:rsid w:val="006A460E"/>
    <w:rsid w:val="006A4D70"/>
    <w:rsid w:val="006C0DD4"/>
    <w:rsid w:val="006C6459"/>
    <w:rsid w:val="006D67AC"/>
    <w:rsid w:val="006F34A1"/>
    <w:rsid w:val="006F6D5A"/>
    <w:rsid w:val="006F7D42"/>
    <w:rsid w:val="00704444"/>
    <w:rsid w:val="0070614F"/>
    <w:rsid w:val="00706540"/>
    <w:rsid w:val="007119B5"/>
    <w:rsid w:val="0073544D"/>
    <w:rsid w:val="00735D23"/>
    <w:rsid w:val="00742435"/>
    <w:rsid w:val="0076160E"/>
    <w:rsid w:val="00767210"/>
    <w:rsid w:val="00785921"/>
    <w:rsid w:val="0079577B"/>
    <w:rsid w:val="007A1DF3"/>
    <w:rsid w:val="007A2124"/>
    <w:rsid w:val="007A5269"/>
    <w:rsid w:val="007A6A87"/>
    <w:rsid w:val="007C0DDC"/>
    <w:rsid w:val="007C3E44"/>
    <w:rsid w:val="007D2430"/>
    <w:rsid w:val="007D4B59"/>
    <w:rsid w:val="007E3C80"/>
    <w:rsid w:val="008011D1"/>
    <w:rsid w:val="00802421"/>
    <w:rsid w:val="00820CE3"/>
    <w:rsid w:val="00822D7C"/>
    <w:rsid w:val="008242EF"/>
    <w:rsid w:val="008344E6"/>
    <w:rsid w:val="008468F7"/>
    <w:rsid w:val="0085146E"/>
    <w:rsid w:val="0085641E"/>
    <w:rsid w:val="00864ED3"/>
    <w:rsid w:val="008663A0"/>
    <w:rsid w:val="008761F4"/>
    <w:rsid w:val="00876976"/>
    <w:rsid w:val="0088175E"/>
    <w:rsid w:val="00884A4D"/>
    <w:rsid w:val="00892BB8"/>
    <w:rsid w:val="00894FE0"/>
    <w:rsid w:val="00896C73"/>
    <w:rsid w:val="00897266"/>
    <w:rsid w:val="008976AD"/>
    <w:rsid w:val="008A2E8B"/>
    <w:rsid w:val="008C0817"/>
    <w:rsid w:val="008C169D"/>
    <w:rsid w:val="008C4BCD"/>
    <w:rsid w:val="008D2055"/>
    <w:rsid w:val="008D7ED6"/>
    <w:rsid w:val="008E0319"/>
    <w:rsid w:val="008E0941"/>
    <w:rsid w:val="008E6C67"/>
    <w:rsid w:val="008F16DA"/>
    <w:rsid w:val="008F5726"/>
    <w:rsid w:val="008F5D32"/>
    <w:rsid w:val="00901365"/>
    <w:rsid w:val="00901383"/>
    <w:rsid w:val="00912EAE"/>
    <w:rsid w:val="00914480"/>
    <w:rsid w:val="00923C2D"/>
    <w:rsid w:val="00923FDC"/>
    <w:rsid w:val="0093329C"/>
    <w:rsid w:val="00936373"/>
    <w:rsid w:val="00946DBC"/>
    <w:rsid w:val="00947C9D"/>
    <w:rsid w:val="00957FD6"/>
    <w:rsid w:val="009600A9"/>
    <w:rsid w:val="00980102"/>
    <w:rsid w:val="009850DD"/>
    <w:rsid w:val="00985C85"/>
    <w:rsid w:val="0099123C"/>
    <w:rsid w:val="009914E1"/>
    <w:rsid w:val="0099415C"/>
    <w:rsid w:val="009952DA"/>
    <w:rsid w:val="00997023"/>
    <w:rsid w:val="009A0A0F"/>
    <w:rsid w:val="009A4D05"/>
    <w:rsid w:val="009B3C1A"/>
    <w:rsid w:val="009B68E1"/>
    <w:rsid w:val="009C3D55"/>
    <w:rsid w:val="009D6540"/>
    <w:rsid w:val="009F07E3"/>
    <w:rsid w:val="009F2B4D"/>
    <w:rsid w:val="009F384D"/>
    <w:rsid w:val="009F4EB0"/>
    <w:rsid w:val="009F6562"/>
    <w:rsid w:val="00A00978"/>
    <w:rsid w:val="00A06AD7"/>
    <w:rsid w:val="00A07E0B"/>
    <w:rsid w:val="00A1327A"/>
    <w:rsid w:val="00A15DB2"/>
    <w:rsid w:val="00A178A6"/>
    <w:rsid w:val="00A23896"/>
    <w:rsid w:val="00A26138"/>
    <w:rsid w:val="00A26749"/>
    <w:rsid w:val="00A42588"/>
    <w:rsid w:val="00A51DC3"/>
    <w:rsid w:val="00A52868"/>
    <w:rsid w:val="00A5645F"/>
    <w:rsid w:val="00A67BEE"/>
    <w:rsid w:val="00A72629"/>
    <w:rsid w:val="00A80BCD"/>
    <w:rsid w:val="00A814F2"/>
    <w:rsid w:val="00A85938"/>
    <w:rsid w:val="00AA2093"/>
    <w:rsid w:val="00AA2A46"/>
    <w:rsid w:val="00AA77FC"/>
    <w:rsid w:val="00AB4D83"/>
    <w:rsid w:val="00AC5453"/>
    <w:rsid w:val="00AD1487"/>
    <w:rsid w:val="00AD17B6"/>
    <w:rsid w:val="00AD26E4"/>
    <w:rsid w:val="00AE3048"/>
    <w:rsid w:val="00AE4B15"/>
    <w:rsid w:val="00AF0B6E"/>
    <w:rsid w:val="00AF2580"/>
    <w:rsid w:val="00AF75C8"/>
    <w:rsid w:val="00B065AB"/>
    <w:rsid w:val="00B11229"/>
    <w:rsid w:val="00B21D31"/>
    <w:rsid w:val="00B22D71"/>
    <w:rsid w:val="00B278EC"/>
    <w:rsid w:val="00B40AAA"/>
    <w:rsid w:val="00B40CF5"/>
    <w:rsid w:val="00B46166"/>
    <w:rsid w:val="00B55637"/>
    <w:rsid w:val="00B6026B"/>
    <w:rsid w:val="00B65D33"/>
    <w:rsid w:val="00B85822"/>
    <w:rsid w:val="00B90ABC"/>
    <w:rsid w:val="00B90FB6"/>
    <w:rsid w:val="00B976B8"/>
    <w:rsid w:val="00BA03DD"/>
    <w:rsid w:val="00BA222E"/>
    <w:rsid w:val="00BA270A"/>
    <w:rsid w:val="00BB05C0"/>
    <w:rsid w:val="00BB13C1"/>
    <w:rsid w:val="00BB4797"/>
    <w:rsid w:val="00BC04A3"/>
    <w:rsid w:val="00BD5A19"/>
    <w:rsid w:val="00BE19E0"/>
    <w:rsid w:val="00BE5E2E"/>
    <w:rsid w:val="00BE5EE3"/>
    <w:rsid w:val="00BF296C"/>
    <w:rsid w:val="00BF2BB8"/>
    <w:rsid w:val="00BF4770"/>
    <w:rsid w:val="00BF6854"/>
    <w:rsid w:val="00C11A5E"/>
    <w:rsid w:val="00C13420"/>
    <w:rsid w:val="00C20D41"/>
    <w:rsid w:val="00C25DC3"/>
    <w:rsid w:val="00C26C81"/>
    <w:rsid w:val="00C4199F"/>
    <w:rsid w:val="00C46C4C"/>
    <w:rsid w:val="00C47C2E"/>
    <w:rsid w:val="00C57E79"/>
    <w:rsid w:val="00C61CC2"/>
    <w:rsid w:val="00C62906"/>
    <w:rsid w:val="00C66F95"/>
    <w:rsid w:val="00C715F6"/>
    <w:rsid w:val="00C7185D"/>
    <w:rsid w:val="00C72486"/>
    <w:rsid w:val="00C81388"/>
    <w:rsid w:val="00C8402F"/>
    <w:rsid w:val="00C84C61"/>
    <w:rsid w:val="00C87AE2"/>
    <w:rsid w:val="00C90A1F"/>
    <w:rsid w:val="00CA063F"/>
    <w:rsid w:val="00CA348C"/>
    <w:rsid w:val="00CA610A"/>
    <w:rsid w:val="00CA783E"/>
    <w:rsid w:val="00CA7C4C"/>
    <w:rsid w:val="00CB72DB"/>
    <w:rsid w:val="00CC612C"/>
    <w:rsid w:val="00CE2C4E"/>
    <w:rsid w:val="00CE717E"/>
    <w:rsid w:val="00CF46B6"/>
    <w:rsid w:val="00D12156"/>
    <w:rsid w:val="00D1266B"/>
    <w:rsid w:val="00D175DE"/>
    <w:rsid w:val="00D203F8"/>
    <w:rsid w:val="00D218A3"/>
    <w:rsid w:val="00D266EA"/>
    <w:rsid w:val="00D26972"/>
    <w:rsid w:val="00D33AC8"/>
    <w:rsid w:val="00D40E86"/>
    <w:rsid w:val="00D555C9"/>
    <w:rsid w:val="00D57E27"/>
    <w:rsid w:val="00D67779"/>
    <w:rsid w:val="00D67E0C"/>
    <w:rsid w:val="00D71060"/>
    <w:rsid w:val="00D74BB7"/>
    <w:rsid w:val="00D77BED"/>
    <w:rsid w:val="00D87DB9"/>
    <w:rsid w:val="00DA42F5"/>
    <w:rsid w:val="00DB077D"/>
    <w:rsid w:val="00DC1A70"/>
    <w:rsid w:val="00DC2B8C"/>
    <w:rsid w:val="00DD193A"/>
    <w:rsid w:val="00DD7F61"/>
    <w:rsid w:val="00DE0F05"/>
    <w:rsid w:val="00DE346A"/>
    <w:rsid w:val="00DE50D9"/>
    <w:rsid w:val="00DF59DB"/>
    <w:rsid w:val="00DF6881"/>
    <w:rsid w:val="00DF72E9"/>
    <w:rsid w:val="00E1145D"/>
    <w:rsid w:val="00E12829"/>
    <w:rsid w:val="00E159ED"/>
    <w:rsid w:val="00E16222"/>
    <w:rsid w:val="00E228B5"/>
    <w:rsid w:val="00E2309C"/>
    <w:rsid w:val="00E31804"/>
    <w:rsid w:val="00E336D5"/>
    <w:rsid w:val="00E40300"/>
    <w:rsid w:val="00E5257B"/>
    <w:rsid w:val="00E61F19"/>
    <w:rsid w:val="00E6461E"/>
    <w:rsid w:val="00E65650"/>
    <w:rsid w:val="00E70CF6"/>
    <w:rsid w:val="00E76A6C"/>
    <w:rsid w:val="00E87031"/>
    <w:rsid w:val="00E874A4"/>
    <w:rsid w:val="00E87C55"/>
    <w:rsid w:val="00E9078B"/>
    <w:rsid w:val="00E9793B"/>
    <w:rsid w:val="00EA5202"/>
    <w:rsid w:val="00EA78EB"/>
    <w:rsid w:val="00EB0013"/>
    <w:rsid w:val="00EC107C"/>
    <w:rsid w:val="00EC2039"/>
    <w:rsid w:val="00EC3CB7"/>
    <w:rsid w:val="00EC787C"/>
    <w:rsid w:val="00ED1C39"/>
    <w:rsid w:val="00ED23F5"/>
    <w:rsid w:val="00ED563F"/>
    <w:rsid w:val="00EE1B40"/>
    <w:rsid w:val="00EE52DA"/>
    <w:rsid w:val="00EE7FDC"/>
    <w:rsid w:val="00EF16A9"/>
    <w:rsid w:val="00EF76DE"/>
    <w:rsid w:val="00F04BE3"/>
    <w:rsid w:val="00F1742D"/>
    <w:rsid w:val="00F17E28"/>
    <w:rsid w:val="00F3072F"/>
    <w:rsid w:val="00F30993"/>
    <w:rsid w:val="00F44369"/>
    <w:rsid w:val="00F549EE"/>
    <w:rsid w:val="00F66038"/>
    <w:rsid w:val="00F727D4"/>
    <w:rsid w:val="00F7285B"/>
    <w:rsid w:val="00F758B8"/>
    <w:rsid w:val="00F83F05"/>
    <w:rsid w:val="00F85B08"/>
    <w:rsid w:val="00F86C0F"/>
    <w:rsid w:val="00F95F3E"/>
    <w:rsid w:val="00FB3864"/>
    <w:rsid w:val="00FC47B4"/>
    <w:rsid w:val="00FC7692"/>
    <w:rsid w:val="00FD140C"/>
    <w:rsid w:val="00FD19C0"/>
    <w:rsid w:val="00FD29F0"/>
    <w:rsid w:val="00FD4219"/>
    <w:rsid w:val="00FE01CC"/>
    <w:rsid w:val="00FE2681"/>
    <w:rsid w:val="00FE29B8"/>
    <w:rsid w:val="00FE419A"/>
    <w:rsid w:val="00FE7D34"/>
    <w:rsid w:val="00FF4043"/>
    <w:rsid w:val="00FF701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9E0"/>
    <w:pPr>
      <w:spacing w:after="0" w:line="240" w:lineRule="auto"/>
    </w:pPr>
  </w:style>
  <w:style w:type="paragraph" w:styleId="NormalWeb">
    <w:name w:val="Normal (Web)"/>
    <w:basedOn w:val="Normal"/>
    <w:rsid w:val="00BE19E0"/>
    <w:pPr>
      <w:spacing w:before="100" w:beforeAutospacing="1" w:after="100" w:afterAutospacing="1"/>
    </w:pPr>
  </w:style>
  <w:style w:type="paragraph" w:customStyle="1" w:styleId="naisf">
    <w:name w:val="naisf"/>
    <w:basedOn w:val="Normal"/>
    <w:rsid w:val="00BE19E0"/>
    <w:pPr>
      <w:spacing w:before="75" w:after="75"/>
      <w:ind w:firstLine="375"/>
      <w:jc w:val="both"/>
    </w:pPr>
  </w:style>
  <w:style w:type="paragraph" w:customStyle="1" w:styleId="naisc">
    <w:name w:val="naisc"/>
    <w:basedOn w:val="Normal"/>
    <w:rsid w:val="00BE19E0"/>
    <w:pPr>
      <w:spacing w:before="450" w:after="300"/>
      <w:jc w:val="center"/>
    </w:pPr>
    <w:rPr>
      <w:sz w:val="26"/>
      <w:szCs w:val="26"/>
    </w:rPr>
  </w:style>
  <w:style w:type="paragraph" w:styleId="Footer">
    <w:name w:val="footer"/>
    <w:basedOn w:val="Normal"/>
    <w:link w:val="FooterChar"/>
    <w:rsid w:val="00BE19E0"/>
    <w:pPr>
      <w:tabs>
        <w:tab w:val="center" w:pos="4153"/>
        <w:tab w:val="right" w:pos="8306"/>
      </w:tabs>
    </w:pPr>
  </w:style>
  <w:style w:type="character" w:customStyle="1" w:styleId="FooterChar">
    <w:name w:val="Footer Char"/>
    <w:basedOn w:val="DefaultParagraphFont"/>
    <w:link w:val="Footer"/>
    <w:rsid w:val="00BE19E0"/>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BE19E0"/>
    <w:pPr>
      <w:tabs>
        <w:tab w:val="center" w:pos="4153"/>
        <w:tab w:val="right" w:pos="8306"/>
      </w:tabs>
    </w:pPr>
  </w:style>
  <w:style w:type="character" w:customStyle="1" w:styleId="HeaderChar">
    <w:name w:val="Header Char"/>
    <w:basedOn w:val="DefaultParagraphFont"/>
    <w:link w:val="Header"/>
    <w:uiPriority w:val="99"/>
    <w:rsid w:val="00BE19E0"/>
    <w:rPr>
      <w:rFonts w:ascii="Times New Roman" w:eastAsia="Times New Roman" w:hAnsi="Times New Roman" w:cs="Times New Roman"/>
      <w:sz w:val="24"/>
      <w:szCs w:val="24"/>
      <w:lang w:eastAsia="lv-LV"/>
    </w:rPr>
  </w:style>
  <w:style w:type="character" w:styleId="PageNumber">
    <w:name w:val="page number"/>
    <w:basedOn w:val="DefaultParagraphFont"/>
    <w:rsid w:val="00BE19E0"/>
  </w:style>
  <w:style w:type="paragraph" w:styleId="BalloonText">
    <w:name w:val="Balloon Text"/>
    <w:basedOn w:val="Normal"/>
    <w:link w:val="BalloonTextChar"/>
    <w:uiPriority w:val="99"/>
    <w:semiHidden/>
    <w:unhideWhenUsed/>
    <w:rsid w:val="0085641E"/>
    <w:rPr>
      <w:rFonts w:ascii="Tahoma" w:hAnsi="Tahoma" w:cs="Tahoma"/>
      <w:sz w:val="16"/>
      <w:szCs w:val="16"/>
    </w:rPr>
  </w:style>
  <w:style w:type="character" w:customStyle="1" w:styleId="BalloonTextChar">
    <w:name w:val="Balloon Text Char"/>
    <w:basedOn w:val="DefaultParagraphFont"/>
    <w:link w:val="BalloonText"/>
    <w:uiPriority w:val="99"/>
    <w:semiHidden/>
    <w:rsid w:val="0085641E"/>
    <w:rPr>
      <w:rFonts w:ascii="Tahoma" w:eastAsia="Times New Roman" w:hAnsi="Tahoma" w:cs="Tahoma"/>
      <w:sz w:val="16"/>
      <w:szCs w:val="16"/>
      <w:lang w:eastAsia="lv-LV"/>
    </w:rPr>
  </w:style>
  <w:style w:type="character" w:styleId="Hyperlink">
    <w:name w:val="Hyperlink"/>
    <w:basedOn w:val="DefaultParagraphFont"/>
    <w:uiPriority w:val="99"/>
    <w:unhideWhenUsed/>
    <w:rsid w:val="000231E0"/>
    <w:rPr>
      <w:color w:val="0000FF" w:themeColor="hyperlink"/>
      <w:u w:val="single"/>
    </w:rPr>
  </w:style>
  <w:style w:type="character" w:styleId="CommentReference">
    <w:name w:val="annotation reference"/>
    <w:basedOn w:val="DefaultParagraphFont"/>
    <w:uiPriority w:val="99"/>
    <w:semiHidden/>
    <w:unhideWhenUsed/>
    <w:rsid w:val="005F5ABC"/>
    <w:rPr>
      <w:sz w:val="16"/>
      <w:szCs w:val="16"/>
    </w:rPr>
  </w:style>
  <w:style w:type="paragraph" w:styleId="CommentText">
    <w:name w:val="annotation text"/>
    <w:basedOn w:val="Normal"/>
    <w:link w:val="CommentTextChar"/>
    <w:uiPriority w:val="99"/>
    <w:semiHidden/>
    <w:unhideWhenUsed/>
    <w:rsid w:val="005F5ABC"/>
    <w:rPr>
      <w:sz w:val="20"/>
      <w:szCs w:val="20"/>
    </w:rPr>
  </w:style>
  <w:style w:type="character" w:customStyle="1" w:styleId="CommentTextChar">
    <w:name w:val="Comment Text Char"/>
    <w:basedOn w:val="DefaultParagraphFont"/>
    <w:link w:val="CommentText"/>
    <w:uiPriority w:val="99"/>
    <w:semiHidden/>
    <w:rsid w:val="005F5A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F5ABC"/>
    <w:rPr>
      <w:b/>
      <w:bCs/>
    </w:rPr>
  </w:style>
  <w:style w:type="character" w:customStyle="1" w:styleId="CommentSubjectChar">
    <w:name w:val="Comment Subject Char"/>
    <w:basedOn w:val="CommentTextChar"/>
    <w:link w:val="CommentSubject"/>
    <w:uiPriority w:val="99"/>
    <w:semiHidden/>
    <w:rsid w:val="005F5ABC"/>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AD1487"/>
    <w:pPr>
      <w:ind w:left="720"/>
      <w:contextualSpacing/>
    </w:pPr>
  </w:style>
  <w:style w:type="table" w:styleId="TableGrid">
    <w:name w:val="Table Grid"/>
    <w:basedOn w:val="TableNormal"/>
    <w:uiPriority w:val="59"/>
    <w:rsid w:val="001F6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95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9E0"/>
    <w:pPr>
      <w:spacing w:after="0" w:line="240" w:lineRule="auto"/>
    </w:pPr>
  </w:style>
  <w:style w:type="paragraph" w:styleId="NormalWeb">
    <w:name w:val="Normal (Web)"/>
    <w:basedOn w:val="Normal"/>
    <w:rsid w:val="00BE19E0"/>
    <w:pPr>
      <w:spacing w:before="100" w:beforeAutospacing="1" w:after="100" w:afterAutospacing="1"/>
    </w:pPr>
  </w:style>
  <w:style w:type="paragraph" w:customStyle="1" w:styleId="naisf">
    <w:name w:val="naisf"/>
    <w:basedOn w:val="Normal"/>
    <w:rsid w:val="00BE19E0"/>
    <w:pPr>
      <w:spacing w:before="75" w:after="75"/>
      <w:ind w:firstLine="375"/>
      <w:jc w:val="both"/>
    </w:pPr>
  </w:style>
  <w:style w:type="paragraph" w:customStyle="1" w:styleId="naisc">
    <w:name w:val="naisc"/>
    <w:basedOn w:val="Normal"/>
    <w:rsid w:val="00BE19E0"/>
    <w:pPr>
      <w:spacing w:before="450" w:after="300"/>
      <w:jc w:val="center"/>
    </w:pPr>
    <w:rPr>
      <w:sz w:val="26"/>
      <w:szCs w:val="26"/>
    </w:rPr>
  </w:style>
  <w:style w:type="paragraph" w:styleId="Footer">
    <w:name w:val="footer"/>
    <w:basedOn w:val="Normal"/>
    <w:link w:val="FooterChar"/>
    <w:rsid w:val="00BE19E0"/>
    <w:pPr>
      <w:tabs>
        <w:tab w:val="center" w:pos="4153"/>
        <w:tab w:val="right" w:pos="8306"/>
      </w:tabs>
    </w:pPr>
  </w:style>
  <w:style w:type="character" w:customStyle="1" w:styleId="FooterChar">
    <w:name w:val="Footer Char"/>
    <w:basedOn w:val="DefaultParagraphFont"/>
    <w:link w:val="Footer"/>
    <w:rsid w:val="00BE19E0"/>
    <w:rPr>
      <w:rFonts w:ascii="Times New Roman" w:eastAsia="Times New Roman" w:hAnsi="Times New Roman" w:cs="Times New Roman"/>
      <w:sz w:val="24"/>
      <w:szCs w:val="24"/>
      <w:lang w:eastAsia="lv-LV"/>
    </w:rPr>
  </w:style>
  <w:style w:type="paragraph" w:styleId="Header">
    <w:name w:val="header"/>
    <w:basedOn w:val="Normal"/>
    <w:link w:val="HeaderChar"/>
    <w:rsid w:val="00BE19E0"/>
    <w:pPr>
      <w:tabs>
        <w:tab w:val="center" w:pos="4153"/>
        <w:tab w:val="right" w:pos="8306"/>
      </w:tabs>
    </w:pPr>
  </w:style>
  <w:style w:type="character" w:customStyle="1" w:styleId="HeaderChar">
    <w:name w:val="Header Char"/>
    <w:basedOn w:val="DefaultParagraphFont"/>
    <w:link w:val="Header"/>
    <w:rsid w:val="00BE19E0"/>
    <w:rPr>
      <w:rFonts w:ascii="Times New Roman" w:eastAsia="Times New Roman" w:hAnsi="Times New Roman" w:cs="Times New Roman"/>
      <w:sz w:val="24"/>
      <w:szCs w:val="24"/>
      <w:lang w:eastAsia="lv-LV"/>
    </w:rPr>
  </w:style>
  <w:style w:type="character" w:styleId="PageNumber">
    <w:name w:val="page number"/>
    <w:basedOn w:val="DefaultParagraphFont"/>
    <w:rsid w:val="00BE19E0"/>
  </w:style>
  <w:style w:type="paragraph" w:styleId="BalloonText">
    <w:name w:val="Balloon Text"/>
    <w:basedOn w:val="Normal"/>
    <w:link w:val="BalloonTextChar"/>
    <w:uiPriority w:val="99"/>
    <w:semiHidden/>
    <w:unhideWhenUsed/>
    <w:rsid w:val="0085641E"/>
    <w:rPr>
      <w:rFonts w:ascii="Tahoma" w:hAnsi="Tahoma" w:cs="Tahoma"/>
      <w:sz w:val="16"/>
      <w:szCs w:val="16"/>
    </w:rPr>
  </w:style>
  <w:style w:type="character" w:customStyle="1" w:styleId="BalloonTextChar">
    <w:name w:val="Balloon Text Char"/>
    <w:basedOn w:val="DefaultParagraphFont"/>
    <w:link w:val="BalloonText"/>
    <w:uiPriority w:val="99"/>
    <w:semiHidden/>
    <w:rsid w:val="0085641E"/>
    <w:rPr>
      <w:rFonts w:ascii="Tahoma" w:eastAsia="Times New Roman" w:hAnsi="Tahoma" w:cs="Tahoma"/>
      <w:sz w:val="16"/>
      <w:szCs w:val="16"/>
      <w:lang w:eastAsia="lv-LV"/>
    </w:rPr>
  </w:style>
  <w:style w:type="character" w:styleId="Hyperlink">
    <w:name w:val="Hyperlink"/>
    <w:basedOn w:val="DefaultParagraphFont"/>
    <w:uiPriority w:val="99"/>
    <w:unhideWhenUsed/>
    <w:rsid w:val="000231E0"/>
    <w:rPr>
      <w:color w:val="0000FF" w:themeColor="hyperlink"/>
      <w:u w:val="single"/>
    </w:rPr>
  </w:style>
  <w:style w:type="character" w:styleId="CommentReference">
    <w:name w:val="annotation reference"/>
    <w:basedOn w:val="DefaultParagraphFont"/>
    <w:uiPriority w:val="99"/>
    <w:semiHidden/>
    <w:unhideWhenUsed/>
    <w:rsid w:val="005F5ABC"/>
    <w:rPr>
      <w:sz w:val="16"/>
      <w:szCs w:val="16"/>
    </w:rPr>
  </w:style>
  <w:style w:type="paragraph" w:styleId="CommentText">
    <w:name w:val="annotation text"/>
    <w:basedOn w:val="Normal"/>
    <w:link w:val="CommentTextChar"/>
    <w:uiPriority w:val="99"/>
    <w:semiHidden/>
    <w:unhideWhenUsed/>
    <w:rsid w:val="005F5ABC"/>
    <w:rPr>
      <w:sz w:val="20"/>
      <w:szCs w:val="20"/>
    </w:rPr>
  </w:style>
  <w:style w:type="character" w:customStyle="1" w:styleId="CommentTextChar">
    <w:name w:val="Comment Text Char"/>
    <w:basedOn w:val="DefaultParagraphFont"/>
    <w:link w:val="CommentText"/>
    <w:uiPriority w:val="99"/>
    <w:semiHidden/>
    <w:rsid w:val="005F5A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F5ABC"/>
    <w:rPr>
      <w:b/>
      <w:bCs/>
    </w:rPr>
  </w:style>
  <w:style w:type="character" w:customStyle="1" w:styleId="CommentSubjectChar">
    <w:name w:val="Comment Subject Char"/>
    <w:basedOn w:val="CommentTextChar"/>
    <w:link w:val="CommentSubject"/>
    <w:uiPriority w:val="99"/>
    <w:semiHidden/>
    <w:rsid w:val="005F5ABC"/>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AD1487"/>
    <w:pPr>
      <w:ind w:left="720"/>
      <w:contextualSpacing/>
    </w:pPr>
  </w:style>
</w:styles>
</file>

<file path=word/webSettings.xml><?xml version="1.0" encoding="utf-8"?>
<w:webSettings xmlns:r="http://schemas.openxmlformats.org/officeDocument/2006/relationships" xmlns:w="http://schemas.openxmlformats.org/wordprocessingml/2006/main">
  <w:divs>
    <w:div w:id="1262957066">
      <w:bodyDiv w:val="1"/>
      <w:marLeft w:val="0"/>
      <w:marRight w:val="0"/>
      <w:marTop w:val="0"/>
      <w:marBottom w:val="0"/>
      <w:divBdr>
        <w:top w:val="none" w:sz="0" w:space="0" w:color="auto"/>
        <w:left w:val="none" w:sz="0" w:space="0" w:color="auto"/>
        <w:bottom w:val="none" w:sz="0" w:space="0" w:color="auto"/>
        <w:right w:val="none" w:sz="0" w:space="0" w:color="auto"/>
      </w:divBdr>
    </w:div>
    <w:div w:id="13915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evgenijs.Blazevics@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8049B-0164-44E3-AB20-A0FB2237B838}">
  <ds:schemaRefs>
    <ds:schemaRef ds:uri="http://schemas.openxmlformats.org/officeDocument/2006/bibliography"/>
  </ds:schemaRefs>
</ds:datastoreItem>
</file>

<file path=customXml/itemProps2.xml><?xml version="1.0" encoding="utf-8"?>
<ds:datastoreItem xmlns:ds="http://schemas.openxmlformats.org/officeDocument/2006/customXml" ds:itemID="{C8E6115F-780B-424E-B11B-9AB3F242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2955</Words>
  <Characters>23708</Characters>
  <Application>Microsoft Office Word</Application>
  <DocSecurity>0</DocSecurity>
  <Lines>1030</Lines>
  <Paragraphs>437</Paragraphs>
  <ScaleCrop>false</ScaleCrop>
  <HeadingPairs>
    <vt:vector size="2" baseType="variant">
      <vt:variant>
        <vt:lpstr>Title</vt:lpstr>
      </vt:variant>
      <vt:variant>
        <vt:i4>1</vt:i4>
      </vt:variant>
    </vt:vector>
  </HeadingPairs>
  <TitlesOfParts>
    <vt:vector size="1" baseType="lpstr">
      <vt:lpstr>Ministru kabineta rīkojuma projekta „Par atļauju Neatliekamās medicīniskās palīdzības dienestam uzņemties ilgtermiņa saistības 2015. – 2020.gadam par Neatliekamās medicīniskās palīdzības dienesta Rīgas reģionālajam centram nepieciešamā operatīvā medicīnis</vt:lpstr>
    </vt:vector>
  </TitlesOfParts>
  <Company>VM</Company>
  <LinksUpToDate>false</LinksUpToDate>
  <CharactersWithSpaces>26226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Neatliekamās medicīniskās palīdzības dienestam uzņemties ilgtermiņa saistības 2015. – 2020.gadam par Neatliekamās medicīniskās palīdzības dienesta Rīgas reģionālajam centram nepieciešamā operatīvā medicīniskā transporta iegādi līzingā” sākotnējās ietekmes novērtējuma ziņojums (anotācija)</dc:title>
  <dc:subject>Anotācija</dc:subject>
  <dc:creator>Jevgenijs Blaževičs</dc:creator>
  <dc:description>Jevgenijs Blaževičs
tālr. 67876046
Jevgenijs.Blazevics@vm.gov.lv</dc:description>
  <cp:lastModifiedBy>jblazevics</cp:lastModifiedBy>
  <cp:revision>4</cp:revision>
  <cp:lastPrinted>2015-01-12T15:35:00Z</cp:lastPrinted>
  <dcterms:created xsi:type="dcterms:W3CDTF">2015-01-12T08:00:00Z</dcterms:created>
  <dcterms:modified xsi:type="dcterms:W3CDTF">2015-01-12T15:35:00Z</dcterms:modified>
  <cp:category>Veselības ministrija</cp:category>
</cp:coreProperties>
</file>