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FE" w:rsidRPr="00BB46BB" w:rsidRDefault="00221D60" w:rsidP="00C71014">
      <w:pPr>
        <w:jc w:val="center"/>
        <w:rPr>
          <w:b/>
          <w:color w:val="000000" w:themeColor="text1"/>
        </w:rPr>
      </w:pPr>
      <w:bookmarkStart w:id="0" w:name="OLE_LINK4"/>
      <w:bookmarkStart w:id="1" w:name="OLE_LINK5"/>
      <w:r w:rsidRPr="00BB46BB">
        <w:rPr>
          <w:b/>
          <w:bCs/>
          <w:color w:val="000000" w:themeColor="text1"/>
        </w:rPr>
        <w:t xml:space="preserve">Ministru kabineta noteikumu projekta  </w:t>
      </w:r>
      <w:bookmarkStart w:id="2" w:name="OLE_LINK7"/>
      <w:bookmarkStart w:id="3" w:name="OLE_LINK8"/>
      <w:r w:rsidR="0028776D" w:rsidRPr="00BB46BB">
        <w:rPr>
          <w:b/>
          <w:bCs/>
          <w:color w:val="000000" w:themeColor="text1"/>
        </w:rPr>
        <w:t>„Grozījumi Ministru kabineta 2013.gada 17.decembra noteikumos Nr.1529 „Veselības aprūpes organizēšanas un finansēšanas kārtība”</w:t>
      </w:r>
      <w:r w:rsidR="00C71014" w:rsidRPr="00BB46BB">
        <w:rPr>
          <w:b/>
          <w:bCs/>
          <w:color w:val="000000" w:themeColor="text1"/>
        </w:rPr>
        <w:t xml:space="preserve"> </w:t>
      </w:r>
      <w:r w:rsidR="00E571FE" w:rsidRPr="00BB46BB">
        <w:rPr>
          <w:b/>
          <w:color w:val="000000" w:themeColor="text1"/>
        </w:rPr>
        <w:t xml:space="preserve">sākotnējās ietekmes novērtējuma </w:t>
      </w:r>
      <w:smartTag w:uri="schemas-tilde-lv/tildestengine" w:element="veidnes">
        <w:smartTagPr>
          <w:attr w:name="text" w:val="ziņojums"/>
          <w:attr w:name="baseform" w:val="ziņojums"/>
          <w:attr w:name="id" w:val="-1"/>
        </w:smartTagPr>
        <w:r w:rsidR="00E571FE" w:rsidRPr="00BB46BB">
          <w:rPr>
            <w:b/>
            <w:color w:val="000000" w:themeColor="text1"/>
          </w:rPr>
          <w:t>ziņojums</w:t>
        </w:r>
      </w:smartTag>
      <w:r w:rsidR="00E571FE" w:rsidRPr="00BB46BB">
        <w:rPr>
          <w:b/>
          <w:bCs/>
          <w:color w:val="000000" w:themeColor="text1"/>
        </w:rPr>
        <w:t xml:space="preserve"> (anotācija)</w:t>
      </w:r>
    </w:p>
    <w:bookmarkEnd w:id="0"/>
    <w:bookmarkEnd w:id="1"/>
    <w:p w:rsidR="00E571FE" w:rsidRPr="00BB46BB" w:rsidRDefault="00E571FE" w:rsidP="00BF6E4D">
      <w:pPr>
        <w:pStyle w:val="naisf"/>
        <w:spacing w:before="0" w:beforeAutospacing="0" w:after="0" w:afterAutospacing="0"/>
        <w:rPr>
          <w:color w:val="000000" w:themeColor="text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56"/>
        <w:gridCol w:w="2269"/>
        <w:gridCol w:w="6408"/>
      </w:tblGrid>
      <w:tr w:rsidR="00E571FE" w:rsidRPr="00BB46BB" w:rsidTr="001374C1">
        <w:tc>
          <w:tcPr>
            <w:tcW w:w="5000" w:type="pct"/>
            <w:gridSpan w:val="3"/>
            <w:vAlign w:val="center"/>
          </w:tcPr>
          <w:bookmarkEnd w:id="2"/>
          <w:bookmarkEnd w:id="3"/>
          <w:p w:rsidR="00E571FE" w:rsidRPr="00BB46BB" w:rsidRDefault="00E571FE" w:rsidP="00BF6E4D">
            <w:pPr>
              <w:jc w:val="center"/>
              <w:rPr>
                <w:b/>
                <w:bCs/>
                <w:color w:val="000000" w:themeColor="text1"/>
                <w:lang w:eastAsia="lv-LV"/>
              </w:rPr>
            </w:pPr>
            <w:r w:rsidRPr="00BB46BB">
              <w:rPr>
                <w:b/>
                <w:bCs/>
                <w:color w:val="000000" w:themeColor="text1"/>
                <w:lang w:eastAsia="lv-LV"/>
              </w:rPr>
              <w:t>I. Tiesību akta projekta izstrādes nepieciešamība</w:t>
            </w:r>
          </w:p>
        </w:tc>
      </w:tr>
      <w:tr w:rsidR="00E571FE" w:rsidRPr="00BB46BB" w:rsidTr="001374C1">
        <w:tc>
          <w:tcPr>
            <w:tcW w:w="250" w:type="pct"/>
          </w:tcPr>
          <w:p w:rsidR="00E571FE" w:rsidRPr="00BB46BB" w:rsidRDefault="00E571FE" w:rsidP="00BF6E4D">
            <w:pPr>
              <w:jc w:val="center"/>
              <w:rPr>
                <w:color w:val="000000" w:themeColor="text1"/>
                <w:lang w:eastAsia="lv-LV"/>
              </w:rPr>
            </w:pPr>
            <w:r w:rsidRPr="00BB46BB">
              <w:rPr>
                <w:color w:val="000000" w:themeColor="text1"/>
                <w:lang w:eastAsia="lv-LV"/>
              </w:rPr>
              <w:t>1.</w:t>
            </w:r>
          </w:p>
        </w:tc>
        <w:tc>
          <w:tcPr>
            <w:tcW w:w="1242" w:type="pct"/>
          </w:tcPr>
          <w:p w:rsidR="00E571FE" w:rsidRPr="00BB46BB" w:rsidRDefault="00E571FE" w:rsidP="00BF6E4D">
            <w:pPr>
              <w:jc w:val="both"/>
              <w:rPr>
                <w:color w:val="000000" w:themeColor="text1"/>
                <w:lang w:eastAsia="lv-LV"/>
              </w:rPr>
            </w:pPr>
            <w:r w:rsidRPr="00BB46BB">
              <w:rPr>
                <w:color w:val="000000" w:themeColor="text1"/>
                <w:lang w:eastAsia="lv-LV"/>
              </w:rPr>
              <w:t>Pamatojums</w:t>
            </w:r>
          </w:p>
        </w:tc>
        <w:tc>
          <w:tcPr>
            <w:tcW w:w="3508" w:type="pct"/>
          </w:tcPr>
          <w:p w:rsidR="001D5071" w:rsidRPr="00BB46BB" w:rsidRDefault="000D183E" w:rsidP="00A07B81">
            <w:pPr>
              <w:ind w:firstLine="252"/>
              <w:jc w:val="both"/>
              <w:rPr>
                <w:iCs/>
                <w:color w:val="000000" w:themeColor="text1"/>
              </w:rPr>
            </w:pPr>
            <w:r w:rsidRPr="00BB46BB">
              <w:rPr>
                <w:iCs/>
                <w:color w:val="000000" w:themeColor="text1"/>
              </w:rPr>
              <w:t>Ministru kabineta 2013.gada 17.decembra protokol</w:t>
            </w:r>
            <w:r w:rsidR="002238F5" w:rsidRPr="00BB46BB">
              <w:rPr>
                <w:iCs/>
                <w:color w:val="000000" w:themeColor="text1"/>
              </w:rPr>
              <w:t>a</w:t>
            </w:r>
            <w:r w:rsidRPr="00BB46BB">
              <w:rPr>
                <w:iCs/>
                <w:color w:val="000000" w:themeColor="text1"/>
              </w:rPr>
              <w:t xml:space="preserve"> Nr.67 113.§ 5.</w:t>
            </w:r>
            <w:r w:rsidR="001D5071" w:rsidRPr="00BB46BB">
              <w:rPr>
                <w:iCs/>
                <w:color w:val="000000" w:themeColor="text1"/>
              </w:rPr>
              <w:t>1. un 5.3.apakšpunkts.</w:t>
            </w:r>
          </w:p>
          <w:p w:rsidR="002C0406" w:rsidRPr="00BB46BB" w:rsidRDefault="001D5071" w:rsidP="00A07B81">
            <w:pPr>
              <w:ind w:firstLine="252"/>
              <w:jc w:val="both"/>
              <w:rPr>
                <w:iCs/>
                <w:color w:val="000000" w:themeColor="text1"/>
              </w:rPr>
            </w:pPr>
            <w:r w:rsidRPr="00BB46BB">
              <w:rPr>
                <w:iCs/>
                <w:color w:val="000000" w:themeColor="text1"/>
              </w:rPr>
              <w:t>Ministru prezidenta 2014.gada 22.septembra rezolūcija Nr.12/SAN-1376/11046.</w:t>
            </w:r>
            <w:r w:rsidR="000D183E" w:rsidRPr="00BB46BB">
              <w:rPr>
                <w:iCs/>
                <w:color w:val="000000" w:themeColor="text1"/>
              </w:rPr>
              <w:t xml:space="preserve"> </w:t>
            </w:r>
          </w:p>
          <w:p w:rsidR="00904477" w:rsidRPr="00BB46BB" w:rsidRDefault="00904477" w:rsidP="00A07B81">
            <w:pPr>
              <w:ind w:firstLine="252"/>
              <w:jc w:val="both"/>
              <w:rPr>
                <w:iCs/>
                <w:color w:val="000000" w:themeColor="text1"/>
              </w:rPr>
            </w:pPr>
            <w:r w:rsidRPr="00BB46BB">
              <w:rPr>
                <w:color w:val="000000" w:themeColor="text1"/>
              </w:rPr>
              <w:t>Ministru kabinetā 2014.gada 10.novembra sēdē (protokols Nr.61, 28.paragrāfs) un Ministru kabinetā 2014.gada 12.novembra sēdē (protokols Nr.62, 2.paragrāfs) atbalstīta valsts budžetu līdzekļu novirzīšana jaunajām politikas iniciatīvām 2015., 2016. un 2017.gadā.</w:t>
            </w:r>
          </w:p>
          <w:p w:rsidR="00C71014" w:rsidRPr="00BB46BB" w:rsidRDefault="00C71014" w:rsidP="00125D3E">
            <w:pPr>
              <w:ind w:firstLine="252"/>
              <w:jc w:val="both"/>
              <w:rPr>
                <w:iCs/>
                <w:color w:val="000000" w:themeColor="text1"/>
              </w:rPr>
            </w:pPr>
            <w:r w:rsidRPr="00BB46BB">
              <w:rPr>
                <w:color w:val="000000" w:themeColor="text1"/>
              </w:rPr>
              <w:t>Ministru kabineta 2014.gada 22.novembra sēdē</w:t>
            </w:r>
            <w:r w:rsidR="00904477" w:rsidRPr="00BB46BB">
              <w:rPr>
                <w:color w:val="000000" w:themeColor="text1"/>
              </w:rPr>
              <w:t xml:space="preserve"> (protokols Nr.64, 16.paragrāfs)</w:t>
            </w:r>
            <w:r w:rsidRPr="00BB46BB">
              <w:rPr>
                <w:color w:val="000000" w:themeColor="text1"/>
              </w:rPr>
              <w:t xml:space="preserve"> apstiprinātais precizētais Latvijas Vispārējās valdības budžeta plāna projekts 2015.gadam</w:t>
            </w:r>
            <w:r w:rsidR="00125D3E" w:rsidRPr="00BB46BB">
              <w:rPr>
                <w:color w:val="000000" w:themeColor="text1"/>
              </w:rPr>
              <w:t>.</w:t>
            </w:r>
          </w:p>
        </w:tc>
      </w:tr>
      <w:tr w:rsidR="00E571FE" w:rsidRPr="00BB46BB" w:rsidTr="001374C1">
        <w:tc>
          <w:tcPr>
            <w:tcW w:w="250" w:type="pct"/>
          </w:tcPr>
          <w:p w:rsidR="00E571FE" w:rsidRPr="00BB46BB" w:rsidRDefault="00E571FE" w:rsidP="00BF6E4D">
            <w:pPr>
              <w:jc w:val="center"/>
              <w:rPr>
                <w:color w:val="000000" w:themeColor="text1"/>
                <w:lang w:eastAsia="lv-LV"/>
              </w:rPr>
            </w:pPr>
            <w:r w:rsidRPr="00BB46BB">
              <w:rPr>
                <w:color w:val="000000" w:themeColor="text1"/>
                <w:lang w:eastAsia="lv-LV"/>
              </w:rPr>
              <w:t>2.</w:t>
            </w:r>
          </w:p>
        </w:tc>
        <w:tc>
          <w:tcPr>
            <w:tcW w:w="1242" w:type="pct"/>
          </w:tcPr>
          <w:p w:rsidR="00E571FE" w:rsidRPr="00BB46BB" w:rsidRDefault="00E571FE" w:rsidP="00BF6E4D">
            <w:pPr>
              <w:jc w:val="both"/>
              <w:rPr>
                <w:color w:val="000000" w:themeColor="text1"/>
                <w:lang w:eastAsia="lv-LV"/>
              </w:rPr>
            </w:pPr>
            <w:r w:rsidRPr="00BB46BB">
              <w:rPr>
                <w:color w:val="000000" w:themeColor="text1"/>
                <w:lang w:eastAsia="lv-LV"/>
              </w:rPr>
              <w:t xml:space="preserve">Pašreizējā situācija </w:t>
            </w:r>
            <w:r w:rsidRPr="00BB46BB">
              <w:rPr>
                <w:color w:val="000000" w:themeColor="text1"/>
              </w:rPr>
              <w:t>un problēmas, kuru risināšanai tiesību akta projekts izstrādāts, tiesiskā regulējuma mērķis un būtība</w:t>
            </w:r>
          </w:p>
        </w:tc>
        <w:tc>
          <w:tcPr>
            <w:tcW w:w="3508" w:type="pct"/>
          </w:tcPr>
          <w:p w:rsidR="00A07B81" w:rsidRPr="00BB46BB" w:rsidRDefault="00A07B81" w:rsidP="00A07B81">
            <w:pPr>
              <w:ind w:firstLine="252"/>
              <w:jc w:val="both"/>
              <w:rPr>
                <w:color w:val="000000" w:themeColor="text1"/>
              </w:rPr>
            </w:pPr>
            <w:r w:rsidRPr="00BB46BB">
              <w:rPr>
                <w:color w:val="000000" w:themeColor="text1"/>
              </w:rPr>
              <w:t>Kārtību, kādā iedzīvotāji saņem valsts apmaksātos veselības aprūpes pakalpojumus nosaka Ministru kabineta 2013.gada 17.decembra noteikumi Nr.</w:t>
            </w:r>
            <w:r w:rsidR="00474164" w:rsidRPr="00BB46BB">
              <w:rPr>
                <w:color w:val="000000" w:themeColor="text1"/>
              </w:rPr>
              <w:t>1529</w:t>
            </w:r>
            <w:r w:rsidRPr="00BB46BB">
              <w:rPr>
                <w:color w:val="000000" w:themeColor="text1"/>
              </w:rPr>
              <w:t xml:space="preserve"> „Veselības aprūpes organizēšanas un finansēšanas kārtība”</w:t>
            </w:r>
            <w:r w:rsidRPr="00BB46BB">
              <w:rPr>
                <w:bCs/>
                <w:color w:val="000000" w:themeColor="text1"/>
              </w:rPr>
              <w:t xml:space="preserve"> (turpmāk – noteikumi).</w:t>
            </w:r>
            <w:r w:rsidRPr="00BB46BB">
              <w:rPr>
                <w:color w:val="000000" w:themeColor="text1"/>
              </w:rPr>
              <w:t xml:space="preserve"> </w:t>
            </w:r>
          </w:p>
          <w:p w:rsidR="002C0406" w:rsidRPr="00BB46BB" w:rsidRDefault="00A07B81" w:rsidP="00EC420E">
            <w:pPr>
              <w:ind w:firstLine="252"/>
              <w:jc w:val="both"/>
              <w:rPr>
                <w:iCs/>
                <w:color w:val="000000" w:themeColor="text1"/>
              </w:rPr>
            </w:pPr>
            <w:r w:rsidRPr="00BB46BB">
              <w:rPr>
                <w:iCs/>
                <w:color w:val="000000" w:themeColor="text1"/>
              </w:rPr>
              <w:t>Izpildot Ministru prezidenta 2014.gada 22.septembra rezolūcijā Nr.12/SAN-1376/11046 doto uzdevumu</w:t>
            </w:r>
            <w:r w:rsidR="00474164" w:rsidRPr="00BB46BB">
              <w:rPr>
                <w:iCs/>
                <w:color w:val="000000" w:themeColor="text1"/>
              </w:rPr>
              <w:t xml:space="preserve">, </w:t>
            </w:r>
            <w:r w:rsidR="00EC420E" w:rsidRPr="00BB46BB">
              <w:rPr>
                <w:iCs/>
                <w:color w:val="000000" w:themeColor="text1"/>
              </w:rPr>
              <w:t xml:space="preserve">Veselības ministrija noteiktā kārtībā </w:t>
            </w:r>
            <w:r w:rsidR="00474164" w:rsidRPr="00BB46BB">
              <w:rPr>
                <w:iCs/>
                <w:color w:val="000000" w:themeColor="text1"/>
              </w:rPr>
              <w:t>ir sagatavojusi</w:t>
            </w:r>
            <w:r w:rsidR="00EC420E" w:rsidRPr="00BB46BB">
              <w:rPr>
                <w:iCs/>
                <w:color w:val="000000" w:themeColor="text1"/>
              </w:rPr>
              <w:t xml:space="preserve"> Ministru kabineta noteikumu projekt</w:t>
            </w:r>
            <w:r w:rsidR="00474164" w:rsidRPr="00BB46BB">
              <w:rPr>
                <w:iCs/>
                <w:color w:val="000000" w:themeColor="text1"/>
              </w:rPr>
              <w:t>u</w:t>
            </w:r>
            <w:r w:rsidR="00EC420E" w:rsidRPr="00BB46BB">
              <w:rPr>
                <w:iCs/>
                <w:color w:val="000000" w:themeColor="text1"/>
              </w:rPr>
              <w:t xml:space="preserve"> „Grozījumi Ministru kabineta 2013.gada 17.decembra noteikumos Nr.1529 „Veselības aprūpes organizēšanas un finansēšanas kārtība” (turpmāk – noteikumu projekts).</w:t>
            </w:r>
            <w:r w:rsidR="00A217B1" w:rsidRPr="00BB46BB">
              <w:rPr>
                <w:iCs/>
                <w:color w:val="000000" w:themeColor="text1"/>
              </w:rPr>
              <w:t xml:space="preserve"> Noteikumu projektā ietverti šādi grozījumi:</w:t>
            </w:r>
          </w:p>
          <w:p w:rsidR="00086D82" w:rsidRPr="00BB46BB" w:rsidRDefault="00A217B1" w:rsidP="00486D79">
            <w:pPr>
              <w:ind w:firstLine="252"/>
              <w:jc w:val="both"/>
              <w:rPr>
                <w:iCs/>
                <w:color w:val="000000" w:themeColor="text1"/>
              </w:rPr>
            </w:pPr>
            <w:r w:rsidRPr="00BB46BB">
              <w:rPr>
                <w:iCs/>
                <w:color w:val="000000" w:themeColor="text1"/>
              </w:rPr>
              <w:t>šobrīd n</w:t>
            </w:r>
            <w:r w:rsidR="00EC420E" w:rsidRPr="00BB46BB">
              <w:rPr>
                <w:iCs/>
                <w:color w:val="000000" w:themeColor="text1"/>
              </w:rPr>
              <w:t>oteikumu 6.punktā noteik</w:t>
            </w:r>
            <w:r w:rsidR="007F5C53" w:rsidRPr="00BB46BB">
              <w:rPr>
                <w:iCs/>
                <w:color w:val="000000" w:themeColor="text1"/>
              </w:rPr>
              <w:t xml:space="preserve">ti veselības aprūpes pakalpojumi, kuri personai tiek nodrošināti no valsts budžeta līdzekļiem un viņa paša maksājumiem (pacienta iemaksas, līdzmaksājuma). Ņemot vērā, ka arī vecmāte var slēgt līgumu ar Nacionālo veselības dienestu (turpmāk – NVD) par grūtnieču aprūpi, </w:t>
            </w:r>
            <w:r w:rsidR="002C636F" w:rsidRPr="00BB46BB">
              <w:rPr>
                <w:iCs/>
                <w:color w:val="000000" w:themeColor="text1"/>
              </w:rPr>
              <w:t>noteikumu projekts paredz papildināt noteikumu 6.2.2.1.apakšpunktu</w:t>
            </w:r>
            <w:r w:rsidR="00486D79" w:rsidRPr="00BB46BB">
              <w:rPr>
                <w:iCs/>
                <w:color w:val="000000" w:themeColor="text1"/>
              </w:rPr>
              <w:t xml:space="preserve"> ar normu</w:t>
            </w:r>
            <w:r w:rsidR="002C636F" w:rsidRPr="00BB46BB">
              <w:rPr>
                <w:iCs/>
                <w:color w:val="000000" w:themeColor="text1"/>
              </w:rPr>
              <w:t>, ka valsts apmaksātos sekundārās</w:t>
            </w:r>
            <w:r w:rsidR="00486D79" w:rsidRPr="00BB46BB">
              <w:rPr>
                <w:iCs/>
                <w:color w:val="000000" w:themeColor="text1"/>
              </w:rPr>
              <w:t xml:space="preserve"> </w:t>
            </w:r>
            <w:r w:rsidR="002C636F" w:rsidRPr="00BB46BB">
              <w:rPr>
                <w:iCs/>
                <w:color w:val="000000" w:themeColor="text1"/>
              </w:rPr>
              <w:t>un terciārās ambulatorās veselības aprūpes pakalpojumus nodrošina arī vecmāte</w:t>
            </w:r>
            <w:r w:rsidR="00086D82" w:rsidRPr="00BB46BB">
              <w:rPr>
                <w:iCs/>
                <w:color w:val="000000" w:themeColor="text1"/>
              </w:rPr>
              <w:t>.</w:t>
            </w:r>
            <w:r w:rsidR="002A1BD7" w:rsidRPr="00BB46BB">
              <w:rPr>
                <w:iCs/>
                <w:color w:val="000000" w:themeColor="text1"/>
              </w:rPr>
              <w:t xml:space="preserve"> </w:t>
            </w:r>
            <w:r w:rsidR="00086D82" w:rsidRPr="00BB46BB">
              <w:rPr>
                <w:iCs/>
                <w:color w:val="000000" w:themeColor="text1"/>
              </w:rPr>
              <w:t>T</w:t>
            </w:r>
            <w:r w:rsidR="002A1BD7" w:rsidRPr="00BB46BB">
              <w:rPr>
                <w:iCs/>
                <w:color w:val="000000" w:themeColor="text1"/>
              </w:rPr>
              <w:t xml:space="preserve">āpat šis apakšpunkts papildināts ar nosacījumu, ka valsts apmaksātos </w:t>
            </w:r>
            <w:r w:rsidR="002C636F" w:rsidRPr="00BB46BB">
              <w:rPr>
                <w:iCs/>
                <w:color w:val="000000" w:themeColor="text1"/>
              </w:rPr>
              <w:t xml:space="preserve"> </w:t>
            </w:r>
            <w:r w:rsidR="002A1BD7" w:rsidRPr="00BB46BB">
              <w:rPr>
                <w:iCs/>
                <w:color w:val="000000" w:themeColor="text1"/>
              </w:rPr>
              <w:t xml:space="preserve">veselības aprūpes pakalpojumus var sniegt arī </w:t>
            </w:r>
            <w:r w:rsidR="002C636F" w:rsidRPr="00BB46BB">
              <w:rPr>
                <w:iCs/>
                <w:color w:val="000000" w:themeColor="text1"/>
              </w:rPr>
              <w:t>ārstniecības atbalsta persona</w:t>
            </w:r>
            <w:r w:rsidR="002A1BD7" w:rsidRPr="00BB46BB">
              <w:rPr>
                <w:iCs/>
                <w:color w:val="000000" w:themeColor="text1"/>
              </w:rPr>
              <w:t xml:space="preserve">, kura </w:t>
            </w:r>
            <w:r w:rsidR="00086D82" w:rsidRPr="00BB46BB">
              <w:rPr>
                <w:iCs/>
                <w:color w:val="000000" w:themeColor="text1"/>
              </w:rPr>
              <w:t xml:space="preserve">atbilstoši šiem noteikumiem ir iesaistīta un </w:t>
            </w:r>
            <w:r w:rsidR="002A1BD7" w:rsidRPr="00BB46BB">
              <w:rPr>
                <w:iCs/>
                <w:color w:val="000000" w:themeColor="text1"/>
              </w:rPr>
              <w:t>nodrošina</w:t>
            </w:r>
            <w:r w:rsidR="00086D82" w:rsidRPr="00BB46BB">
              <w:rPr>
                <w:iCs/>
                <w:color w:val="000000" w:themeColor="text1"/>
              </w:rPr>
              <w:t xml:space="preserve"> valsts apmaksāto veselības aprūpes pakalpojumu sniegšanu.</w:t>
            </w:r>
          </w:p>
          <w:p w:rsidR="00E63676" w:rsidRPr="00BB46BB" w:rsidRDefault="00486D79" w:rsidP="00E63676">
            <w:pPr>
              <w:ind w:firstLine="252"/>
              <w:jc w:val="both"/>
              <w:rPr>
                <w:iCs/>
                <w:color w:val="000000" w:themeColor="text1"/>
              </w:rPr>
            </w:pPr>
            <w:r w:rsidRPr="00BB46BB">
              <w:rPr>
                <w:iCs/>
                <w:color w:val="000000" w:themeColor="text1"/>
              </w:rPr>
              <w:t>Izpildot Ministru kabineta 2013.gada 17.decembra protokolā Nr.67 113.§ 5.3.apakšpunktā doto uzdevumu</w:t>
            </w:r>
            <w:r w:rsidR="002F130C" w:rsidRPr="00BB46BB">
              <w:rPr>
                <w:iCs/>
                <w:color w:val="000000" w:themeColor="text1"/>
              </w:rPr>
              <w:t>,</w:t>
            </w:r>
            <w:r w:rsidRPr="00BB46BB">
              <w:rPr>
                <w:iCs/>
                <w:color w:val="000000" w:themeColor="text1"/>
              </w:rPr>
              <w:t xml:space="preserve"> Veselības ministrija kopā ar Aizsardzības ministriju izvērtēja nepieciešamību </w:t>
            </w:r>
            <w:r w:rsidR="002F130C" w:rsidRPr="00BB46BB">
              <w:rPr>
                <w:iCs/>
                <w:color w:val="000000" w:themeColor="text1"/>
              </w:rPr>
              <w:t xml:space="preserve">atļaut Nacionālo bruņoto spēku Militārā medicīnas centra ārstiem izrakstīt kompensējamās zāles un medicīniskās ierīces, kā arī nosūtīt personu, kura pieņemta profesionālajā dienestā vai zemessardzes dienestā (ja zemessargam veselības bojājums gūts, pildot zemessardzes uzdevumus vai piedaloties apmācībā), saņemt sekundārās veselības aprūpes pakalpojumus, </w:t>
            </w:r>
            <w:r w:rsidRPr="00BB46BB">
              <w:rPr>
                <w:iCs/>
                <w:color w:val="000000" w:themeColor="text1"/>
              </w:rPr>
              <w:t>noteikum</w:t>
            </w:r>
            <w:r w:rsidR="002F130C" w:rsidRPr="00BB46BB">
              <w:rPr>
                <w:iCs/>
                <w:color w:val="000000" w:themeColor="text1"/>
              </w:rPr>
              <w:t xml:space="preserve">u </w:t>
            </w:r>
            <w:r w:rsidR="003441B1" w:rsidRPr="00BB46BB">
              <w:rPr>
                <w:iCs/>
                <w:color w:val="000000" w:themeColor="text1"/>
              </w:rPr>
              <w:t xml:space="preserve">9.punkts </w:t>
            </w:r>
            <w:r w:rsidR="002F130C" w:rsidRPr="00BB46BB">
              <w:rPr>
                <w:iCs/>
                <w:color w:val="000000" w:themeColor="text1"/>
              </w:rPr>
              <w:t>projektā izteikts jaunā</w:t>
            </w:r>
            <w:r w:rsidRPr="00BB46BB">
              <w:rPr>
                <w:iCs/>
                <w:color w:val="000000" w:themeColor="text1"/>
              </w:rPr>
              <w:t xml:space="preserve"> </w:t>
            </w:r>
            <w:r w:rsidR="002F130C" w:rsidRPr="00BB46BB">
              <w:rPr>
                <w:iCs/>
                <w:color w:val="000000" w:themeColor="text1"/>
              </w:rPr>
              <w:t xml:space="preserve"> redakcijā</w:t>
            </w:r>
            <w:r w:rsidR="003441B1" w:rsidRPr="00BB46BB">
              <w:rPr>
                <w:iCs/>
                <w:color w:val="000000" w:themeColor="text1"/>
              </w:rPr>
              <w:t>,</w:t>
            </w:r>
            <w:r w:rsidR="002F130C" w:rsidRPr="00BB46BB">
              <w:rPr>
                <w:iCs/>
                <w:color w:val="000000" w:themeColor="text1"/>
              </w:rPr>
              <w:t xml:space="preserve"> izdalot atsevišķos apakšpunktos tās </w:t>
            </w:r>
            <w:r w:rsidR="002F130C" w:rsidRPr="00BB46BB">
              <w:rPr>
                <w:iCs/>
                <w:color w:val="000000" w:themeColor="text1"/>
              </w:rPr>
              <w:lastRenderedPageBreak/>
              <w:t>ārstniecības personas, kurām ir tiesības nosūtīt personu valsts apmaksāto veselības aprūpes pakalpojumu saņemšanai vai izrakstīt ambulatorai ārstēšanai paredzētās no valsts budžeta līdzekļiem kompensējamās zāles un medicīniskās ierīces</w:t>
            </w:r>
            <w:r w:rsidR="001626E2" w:rsidRPr="00BB46BB">
              <w:rPr>
                <w:iCs/>
                <w:color w:val="000000" w:themeColor="text1"/>
              </w:rPr>
              <w:t>, tai skaitā</w:t>
            </w:r>
            <w:r w:rsidR="005B3738" w:rsidRPr="00BB46BB">
              <w:rPr>
                <w:iCs/>
                <w:color w:val="000000" w:themeColor="text1"/>
              </w:rPr>
              <w:t xml:space="preserve"> Noteikumu projekta 9.4.apakšpunkts nosaka, ka ārstiem, kuri </w:t>
            </w:r>
            <w:r w:rsidR="00E63676" w:rsidRPr="00BB46BB">
              <w:rPr>
                <w:iCs/>
                <w:color w:val="000000" w:themeColor="text1"/>
              </w:rPr>
              <w:t xml:space="preserve">nodarbināti </w:t>
            </w:r>
            <w:r w:rsidR="005B3738" w:rsidRPr="00BB46BB">
              <w:rPr>
                <w:iCs/>
                <w:color w:val="000000" w:themeColor="text1"/>
              </w:rPr>
              <w:t>Nacionālo bruņoto spēku ārstniecības iestādēs un kuriem šādas tiesības ir noteiktas starp dienestu un Nacionālajiem bruņotajiem spēkiem noslēgtajā starpresor</w:t>
            </w:r>
            <w:r w:rsidR="00E63676" w:rsidRPr="00BB46BB">
              <w:rPr>
                <w:iCs/>
                <w:color w:val="000000" w:themeColor="text1"/>
              </w:rPr>
              <w:t>u</w:t>
            </w:r>
            <w:r w:rsidR="005B3738" w:rsidRPr="00BB46BB">
              <w:rPr>
                <w:iCs/>
                <w:color w:val="000000" w:themeColor="text1"/>
              </w:rPr>
              <w:t xml:space="preserve"> vienošanās par sadarbību.</w:t>
            </w:r>
            <w:r w:rsidR="00E63676" w:rsidRPr="00BB46BB">
              <w:rPr>
                <w:color w:val="000000" w:themeColor="text1"/>
              </w:rPr>
              <w:t xml:space="preserve"> NVD </w:t>
            </w:r>
            <w:r w:rsidR="00E63676" w:rsidRPr="00BB46BB">
              <w:rPr>
                <w:iCs/>
                <w:color w:val="000000" w:themeColor="text1"/>
              </w:rPr>
              <w:t xml:space="preserve">ar Nacionālajiem bruņotajiem spēkiem slēgts starpresoru vienošanos par sadarbību valsts kompensējamo zāļu un medicīnisko ierīču nodrošināšanā un veselības aprūpes pakalpojumu sniegšanā personām. Vienošanās noteiks kārtību, kādā Nacionālie bruņotie spēki sniedz informāciju NVD par tām Nacionālajos bruņotajos spēkos nodarbinātām ārstniecības personām, kurām tiks piešķirtas tiesības profesionālā dienesta karavīrus nosūtīt tādu veselības aprūpes pakalpojumu saņemšanai, kas tiek apmaksāti no Nacionālā veselības dienesta administrēšanā nodotiem līdzekļiem, kā arī izrakstīt valsts kompensējamās zāles un medicīniskās ierīces.  </w:t>
            </w:r>
          </w:p>
          <w:p w:rsidR="002238F5" w:rsidRPr="00BB46BB" w:rsidRDefault="00117B13" w:rsidP="00234FB3">
            <w:pPr>
              <w:ind w:firstLine="252"/>
              <w:jc w:val="both"/>
              <w:rPr>
                <w:iCs/>
                <w:color w:val="000000" w:themeColor="text1"/>
              </w:rPr>
            </w:pPr>
            <w:r w:rsidRPr="00BB46BB">
              <w:rPr>
                <w:iCs/>
                <w:color w:val="000000" w:themeColor="text1"/>
              </w:rPr>
              <w:t xml:space="preserve"> </w:t>
            </w:r>
            <w:r w:rsidR="002238F5" w:rsidRPr="00BB46BB">
              <w:rPr>
                <w:iCs/>
                <w:color w:val="000000" w:themeColor="text1"/>
              </w:rPr>
              <w:t>Saskaņā ar Eiropas Parlamenta un Padomes 2011.gada 9.marta Direktīvas 2011/24/ES par pacientu tiesību piemērošanu pārrobežu veselības aprūpē un Ministru kabineta 2011.gada 1.novembra noteikumiem Nr.850 „Nacionālā veselības dienesta nolikums” NVD ir deleģēts veikt pārrobežu veselības aprūpes valsts kontaktpunkta uzdevumus. Precizējot kontaktpunkta pienākumus saistībā ar pārrobežu direktīvā noteikto pienākumu visu valstu kontaktpunktiem sadarboties savā starpā un sniegt informāciju, ir papildināta 10.punkta ievaddaļa (attiecībā uz informācijas sniegšanu), 10.3.apakšpunkts (paredzot, ka NVD tīmekļa vietnē tiks atrunāta arī kārtība, kādā iespējams saņemt izdevumu atlīdzību par ārvalstīs saņemtiem veselība aprūpes pakalpojumiem), kā arī noteikumi ir papildināti ar jaunu 10.</w:t>
            </w:r>
            <w:r w:rsidR="002238F5" w:rsidRPr="00BB46BB">
              <w:rPr>
                <w:iCs/>
                <w:color w:val="000000" w:themeColor="text1"/>
                <w:vertAlign w:val="superscript"/>
              </w:rPr>
              <w:t>1</w:t>
            </w:r>
            <w:r w:rsidR="002238F5" w:rsidRPr="00BB46BB">
              <w:rPr>
                <w:iCs/>
                <w:color w:val="000000" w:themeColor="text1"/>
              </w:rPr>
              <w:t xml:space="preserve"> punktu, ka nosaka sadarbības pienākumu ar citu ES, EEZ valstu un Šveices kontaktpunktiem. </w:t>
            </w:r>
          </w:p>
          <w:p w:rsidR="001626E2" w:rsidRPr="00BB46BB" w:rsidRDefault="001626E2" w:rsidP="00234FB3">
            <w:pPr>
              <w:ind w:firstLine="252"/>
              <w:jc w:val="both"/>
              <w:rPr>
                <w:iCs/>
                <w:color w:val="000000" w:themeColor="text1"/>
              </w:rPr>
            </w:pPr>
            <w:r w:rsidRPr="00BB46BB">
              <w:rPr>
                <w:iCs/>
                <w:color w:val="000000" w:themeColor="text1"/>
              </w:rPr>
              <w:t xml:space="preserve">Atbilstoši izmaiņām </w:t>
            </w:r>
            <w:r w:rsidR="009F4C2B" w:rsidRPr="00BB46BB">
              <w:rPr>
                <w:iCs/>
                <w:color w:val="000000" w:themeColor="text1"/>
              </w:rPr>
              <w:t>2009.gada 24.februāra Ministru kabineta noteikumos Nr.192 „Ārstniecības personu un ārstniecības atbalsta personu reģistra izveides, papildināšanas un uzturēšanas kārtība”,</w:t>
            </w:r>
            <w:r w:rsidRPr="00BB46BB">
              <w:rPr>
                <w:iCs/>
                <w:color w:val="000000" w:themeColor="text1"/>
              </w:rPr>
              <w:t xml:space="preserve"> ar kurām tika izslēgta specialitāte „</w:t>
            </w:r>
            <w:proofErr w:type="spellStart"/>
            <w:r w:rsidRPr="00BB46BB">
              <w:rPr>
                <w:iCs/>
                <w:color w:val="000000" w:themeColor="text1"/>
              </w:rPr>
              <w:t>rehabilitologs</w:t>
            </w:r>
            <w:proofErr w:type="spellEnd"/>
            <w:r w:rsidRPr="00BB46BB">
              <w:rPr>
                <w:iCs/>
                <w:color w:val="000000" w:themeColor="text1"/>
              </w:rPr>
              <w:t>”</w:t>
            </w:r>
            <w:r w:rsidR="009F4C2B" w:rsidRPr="00BB46BB">
              <w:rPr>
                <w:iCs/>
                <w:color w:val="000000" w:themeColor="text1"/>
              </w:rPr>
              <w:t>,</w:t>
            </w:r>
            <w:r w:rsidRPr="00BB46BB">
              <w:rPr>
                <w:iCs/>
                <w:color w:val="000000" w:themeColor="text1"/>
              </w:rPr>
              <w:t xml:space="preserve"> un noteiktā pārejas perioda beigām visā noteikumu tekstā tiek svītrots vārds „</w:t>
            </w:r>
            <w:proofErr w:type="spellStart"/>
            <w:r w:rsidRPr="00BB46BB">
              <w:rPr>
                <w:iCs/>
                <w:color w:val="000000" w:themeColor="text1"/>
              </w:rPr>
              <w:t>rehabilitologs</w:t>
            </w:r>
            <w:proofErr w:type="spellEnd"/>
            <w:r w:rsidRPr="00BB46BB">
              <w:rPr>
                <w:iCs/>
                <w:color w:val="000000" w:themeColor="text1"/>
              </w:rPr>
              <w:t xml:space="preserve">”. </w:t>
            </w:r>
          </w:p>
          <w:p w:rsidR="0031438E" w:rsidRPr="00BB46BB" w:rsidRDefault="002B0D6D" w:rsidP="00CB2485">
            <w:pPr>
              <w:ind w:firstLine="252"/>
              <w:jc w:val="both"/>
              <w:rPr>
                <w:color w:val="000000" w:themeColor="text1"/>
              </w:rPr>
            </w:pPr>
            <w:r w:rsidRPr="00BB46BB">
              <w:rPr>
                <w:iCs/>
                <w:color w:val="000000" w:themeColor="text1"/>
              </w:rPr>
              <w:t>Noteikumu 11.punktā noteikti tie veselības aprūpes pakalpojumi, kurus neapmaksā no valsts budžeta</w:t>
            </w:r>
            <w:r w:rsidR="008F2914" w:rsidRPr="00BB46BB">
              <w:rPr>
                <w:iCs/>
                <w:color w:val="000000" w:themeColor="text1"/>
              </w:rPr>
              <w:t xml:space="preserve"> ar noteiktiem izņēmumiem. </w:t>
            </w:r>
            <w:r w:rsidR="001626E2" w:rsidRPr="00BB46BB">
              <w:rPr>
                <w:iCs/>
                <w:color w:val="000000" w:themeColor="text1"/>
              </w:rPr>
              <w:t>Lai uzlabotu pacientu, kuriem v</w:t>
            </w:r>
            <w:r w:rsidR="002238F5" w:rsidRPr="00BB46BB">
              <w:rPr>
                <w:iCs/>
                <w:color w:val="000000" w:themeColor="text1"/>
              </w:rPr>
              <w:t>e</w:t>
            </w:r>
            <w:r w:rsidR="001626E2" w:rsidRPr="00BB46BB">
              <w:rPr>
                <w:iCs/>
                <w:color w:val="000000" w:themeColor="text1"/>
              </w:rPr>
              <w:t xml:space="preserve">ikta vai nepieciešama </w:t>
            </w:r>
            <w:proofErr w:type="spellStart"/>
            <w:r w:rsidR="001626E2" w:rsidRPr="00BB46BB">
              <w:rPr>
                <w:iCs/>
                <w:color w:val="000000" w:themeColor="text1"/>
              </w:rPr>
              <w:t>alogēnas</w:t>
            </w:r>
            <w:proofErr w:type="spellEnd"/>
            <w:r w:rsidR="001626E2" w:rsidRPr="00BB46BB">
              <w:rPr>
                <w:iCs/>
                <w:color w:val="000000" w:themeColor="text1"/>
              </w:rPr>
              <w:t xml:space="preserve"> cilmes š</w:t>
            </w:r>
            <w:r w:rsidR="008E4370" w:rsidRPr="00BB46BB">
              <w:rPr>
                <w:iCs/>
                <w:color w:val="000000" w:themeColor="text1"/>
              </w:rPr>
              <w:t>ū</w:t>
            </w:r>
            <w:r w:rsidR="001626E2" w:rsidRPr="00BB46BB">
              <w:rPr>
                <w:iCs/>
                <w:color w:val="000000" w:themeColor="text1"/>
              </w:rPr>
              <w:t>nu transplantācija, iespēju saņemt valsts apmaksātus laboratoriskos izmeklējumus, kuri šobrīd nav pieejami Latvijas ārstniecības iestādēs, noteikumi papildināti ar 11.2</w:t>
            </w:r>
            <w:r w:rsidR="008E4370" w:rsidRPr="00BB46BB">
              <w:rPr>
                <w:iCs/>
                <w:color w:val="000000" w:themeColor="text1"/>
              </w:rPr>
              <w:t>1</w:t>
            </w:r>
            <w:r w:rsidR="001626E2" w:rsidRPr="00BB46BB">
              <w:rPr>
                <w:iCs/>
                <w:color w:val="000000" w:themeColor="text1"/>
              </w:rPr>
              <w:t xml:space="preserve">.4.apakšpunktu. </w:t>
            </w:r>
            <w:r w:rsidR="00125D3E" w:rsidRPr="00BB46BB">
              <w:rPr>
                <w:iCs/>
                <w:color w:val="000000" w:themeColor="text1"/>
              </w:rPr>
              <w:t>N</w:t>
            </w:r>
            <w:r w:rsidR="008F2914" w:rsidRPr="00BB46BB">
              <w:rPr>
                <w:iCs/>
                <w:color w:val="000000" w:themeColor="text1"/>
              </w:rPr>
              <w:t xml:space="preserve">oteikumu 11.23.1.apakšpunktā noteikts, ka medicīnisko rehabilitāciju var saņemt ar ģimenes ārsta vai cita speciālista nosūtījumu, saņemot fizikālās un rehabilitācijas medicīnas ārsta vai rehabilitologa, kā </w:t>
            </w:r>
            <w:r w:rsidR="008F2914" w:rsidRPr="00BB46BB">
              <w:rPr>
                <w:iCs/>
                <w:color w:val="000000" w:themeColor="text1"/>
              </w:rPr>
              <w:lastRenderedPageBreak/>
              <w:t>arī funkcionālā speciālista konsultāciju. Noteikumu projektā minētais apakšpunkts papildināts</w:t>
            </w:r>
            <w:r w:rsidR="0031438E" w:rsidRPr="00BB46BB">
              <w:rPr>
                <w:iCs/>
                <w:color w:val="000000" w:themeColor="text1"/>
              </w:rPr>
              <w:t xml:space="preserve"> ar nosacījumu,</w:t>
            </w:r>
            <w:r w:rsidR="008F2914" w:rsidRPr="00BB46BB">
              <w:rPr>
                <w:iCs/>
                <w:color w:val="000000" w:themeColor="text1"/>
              </w:rPr>
              <w:t xml:space="preserve"> ka arī logopēda konsultācija</w:t>
            </w:r>
            <w:r w:rsidR="0031438E" w:rsidRPr="00BB46BB">
              <w:rPr>
                <w:iCs/>
                <w:color w:val="000000" w:themeColor="text1"/>
              </w:rPr>
              <w:t xml:space="preserve"> </w:t>
            </w:r>
            <w:r w:rsidR="008F2914" w:rsidRPr="00BB46BB">
              <w:rPr>
                <w:iCs/>
                <w:color w:val="000000" w:themeColor="text1"/>
              </w:rPr>
              <w:t>tiek apmaksāta no valsts budžeta</w:t>
            </w:r>
            <w:r w:rsidR="009D3549" w:rsidRPr="00BB46BB">
              <w:rPr>
                <w:iCs/>
                <w:color w:val="000000" w:themeColor="text1"/>
              </w:rPr>
              <w:t>,</w:t>
            </w:r>
            <w:r w:rsidR="008F2914" w:rsidRPr="00BB46BB">
              <w:rPr>
                <w:iCs/>
                <w:color w:val="000000" w:themeColor="text1"/>
              </w:rPr>
              <w:t xml:space="preserve"> </w:t>
            </w:r>
            <w:r w:rsidR="0031438E" w:rsidRPr="00BB46BB">
              <w:rPr>
                <w:iCs/>
                <w:color w:val="000000" w:themeColor="text1"/>
              </w:rPr>
              <w:t xml:space="preserve">vienlaicīgi papildinot noteikumus ar </w:t>
            </w:r>
            <w:r w:rsidR="0031438E" w:rsidRPr="00BB46BB">
              <w:rPr>
                <w:color w:val="000000" w:themeColor="text1"/>
              </w:rPr>
              <w:t>11.23.1.</w:t>
            </w:r>
            <w:r w:rsidR="0031438E" w:rsidRPr="00BB46BB">
              <w:rPr>
                <w:color w:val="000000" w:themeColor="text1"/>
                <w:vertAlign w:val="superscript"/>
              </w:rPr>
              <w:t>1</w:t>
            </w:r>
            <w:r w:rsidR="0031438E" w:rsidRPr="00BB46BB">
              <w:rPr>
                <w:color w:val="000000" w:themeColor="text1"/>
              </w:rPr>
              <w:t xml:space="preserve"> apakšpunktu, kas precizē logopēda pakalpojumu saņemšanas kārtību bērniem, kā arī novērš pretrunu ar </w:t>
            </w:r>
            <w:r w:rsidR="00CB2485" w:rsidRPr="00BB46BB">
              <w:rPr>
                <w:color w:val="000000" w:themeColor="text1"/>
              </w:rPr>
              <w:t xml:space="preserve">noteikumu </w:t>
            </w:r>
            <w:r w:rsidR="0031438E" w:rsidRPr="00BB46BB">
              <w:rPr>
                <w:color w:val="000000" w:themeColor="text1"/>
              </w:rPr>
              <w:t>138.punktu, kurš pieļauj funkcionālā speciālista sniegtus pakalpojumus līdz pieciem apmeklējumiem.</w:t>
            </w:r>
            <w:r w:rsidR="00CB2485" w:rsidRPr="00BB46BB">
              <w:rPr>
                <w:color w:val="000000" w:themeColor="text1"/>
              </w:rPr>
              <w:t xml:space="preserve"> </w:t>
            </w:r>
            <w:r w:rsidR="0031438E" w:rsidRPr="00BB46BB">
              <w:rPr>
                <w:color w:val="000000" w:themeColor="text1"/>
              </w:rPr>
              <w:t>Noteikumu 11.30.9.apakšpunkts izteikts jaunā redakcijā, ietver</w:t>
            </w:r>
            <w:r w:rsidR="00CB2485" w:rsidRPr="00BB46BB">
              <w:rPr>
                <w:color w:val="000000" w:themeColor="text1"/>
              </w:rPr>
              <w:t xml:space="preserve">ot </w:t>
            </w:r>
            <w:r w:rsidR="0031438E" w:rsidRPr="00BB46BB">
              <w:rPr>
                <w:color w:val="000000" w:themeColor="text1"/>
              </w:rPr>
              <w:t xml:space="preserve">11.30.10. un 11.30.11.apakšpunktā iekļautās normas, kuras svītrotas kā atsevišķi apakšpunkti, jo </w:t>
            </w:r>
            <w:r w:rsidR="00CB2485" w:rsidRPr="00BB46BB">
              <w:rPr>
                <w:color w:val="000000" w:themeColor="text1"/>
              </w:rPr>
              <w:t xml:space="preserve">mugurkaula distrofiski deģeneratīvu slimību ārstēšanu no valsts budžeta apmaksā pie noteiktām diagnozēm: ar muguras smadzeņu vai zirgastes kompresijas simptomātiku un ar progresējošu mugurkaula deformāciju, ja ir mugurkaula ķirurģijas konsilija atzinums. Noteikumu 11.35.apakšpunktā noteikts, ka no valsts budžeta  </w:t>
            </w:r>
            <w:r w:rsidR="00EB36EB" w:rsidRPr="00BB46BB">
              <w:rPr>
                <w:color w:val="000000" w:themeColor="text1"/>
              </w:rPr>
              <w:t xml:space="preserve">neapmaksā </w:t>
            </w:r>
            <w:r w:rsidR="00CB2485" w:rsidRPr="00BB46BB">
              <w:rPr>
                <w:color w:val="000000" w:themeColor="text1"/>
              </w:rPr>
              <w:t>medicīnisko apaugļošanu sievietēm pēc 37 gadu vecuma.</w:t>
            </w:r>
            <w:r w:rsidR="00EB36EB" w:rsidRPr="00BB46BB">
              <w:rPr>
                <w:color w:val="000000" w:themeColor="text1"/>
              </w:rPr>
              <w:t xml:space="preserve"> Noteikumu projekts papildina šo apakšpunktu ar izņēmumu, ja olšūnu stimulācija ar medikamentiem, kas sievietei uzsākta līdz </w:t>
            </w:r>
            <w:r w:rsidR="002238F5" w:rsidRPr="00BB46BB">
              <w:rPr>
                <w:color w:val="000000" w:themeColor="text1"/>
              </w:rPr>
              <w:t xml:space="preserve">minētajam </w:t>
            </w:r>
            <w:r w:rsidR="00EB36EB" w:rsidRPr="00BB46BB">
              <w:rPr>
                <w:color w:val="000000" w:themeColor="text1"/>
              </w:rPr>
              <w:t xml:space="preserve">vecumam, ir bijusi veiksmīga un medicīniskā apaugļošana tiek turpināta līdz embrija transfēram bez tā sasaldēšanas. Minētā norma nodrošina procedūras pēctecību, ja tā ir uzsākta līdz 38 gadu vecumam un ir veiksmīga. </w:t>
            </w:r>
            <w:r w:rsidR="00E74D39" w:rsidRPr="00BB46BB">
              <w:rPr>
                <w:color w:val="000000" w:themeColor="text1"/>
              </w:rPr>
              <w:t>Tāpat m</w:t>
            </w:r>
            <w:r w:rsidR="00EB36EB" w:rsidRPr="00BB46BB">
              <w:rPr>
                <w:color w:val="000000" w:themeColor="text1"/>
              </w:rPr>
              <w:t xml:space="preserve">inētā norma </w:t>
            </w:r>
            <w:r w:rsidR="001F09EB" w:rsidRPr="00BB46BB">
              <w:rPr>
                <w:color w:val="000000" w:themeColor="text1"/>
              </w:rPr>
              <w:t xml:space="preserve">pozitīvi rezultē </w:t>
            </w:r>
            <w:r w:rsidR="00EB36EB" w:rsidRPr="00BB46BB">
              <w:rPr>
                <w:color w:val="000000" w:themeColor="text1"/>
              </w:rPr>
              <w:t>valsts budžeta finansēt</w:t>
            </w:r>
            <w:r w:rsidR="00E74D39" w:rsidRPr="00BB46BB">
              <w:rPr>
                <w:color w:val="000000" w:themeColor="text1"/>
              </w:rPr>
              <w:t xml:space="preserve">o </w:t>
            </w:r>
            <w:r w:rsidR="00EB36EB" w:rsidRPr="00BB46BB">
              <w:rPr>
                <w:color w:val="000000" w:themeColor="text1"/>
              </w:rPr>
              <w:t>medikamentu izlietojumu</w:t>
            </w:r>
            <w:r w:rsidR="001F09EB" w:rsidRPr="00BB46BB">
              <w:rPr>
                <w:color w:val="000000" w:themeColor="text1"/>
              </w:rPr>
              <w:t>.</w:t>
            </w:r>
            <w:r w:rsidR="00EB36EB" w:rsidRPr="00BB46BB">
              <w:rPr>
                <w:color w:val="000000" w:themeColor="text1"/>
              </w:rPr>
              <w:t xml:space="preserve"> </w:t>
            </w:r>
          </w:p>
          <w:p w:rsidR="0055073F" w:rsidRPr="00BB46BB" w:rsidRDefault="00CC02A0" w:rsidP="00234FB3">
            <w:pPr>
              <w:ind w:firstLine="252"/>
              <w:jc w:val="both"/>
              <w:rPr>
                <w:iCs/>
                <w:color w:val="000000" w:themeColor="text1"/>
              </w:rPr>
            </w:pPr>
            <w:r w:rsidRPr="00BB46BB">
              <w:rPr>
                <w:iCs/>
                <w:color w:val="000000" w:themeColor="text1"/>
              </w:rPr>
              <w:t>Ministru kabinets 2014.gada 30.septembrī pieņēma  noteikumus Nr.585 „Noteikumi par bijušajiem zemessargiem apmaksājamiem veselības aprūpes pakalpojumiem, kā arī izdevumu apjomu un samaksas kārtību”, līdz ar to noteikumu projekt</w:t>
            </w:r>
            <w:r w:rsidR="00AE157D" w:rsidRPr="00BB46BB">
              <w:rPr>
                <w:iCs/>
                <w:color w:val="000000" w:themeColor="text1"/>
              </w:rPr>
              <w:t>s</w:t>
            </w:r>
            <w:r w:rsidRPr="00BB46BB">
              <w:rPr>
                <w:iCs/>
                <w:color w:val="000000" w:themeColor="text1"/>
              </w:rPr>
              <w:t xml:space="preserve"> paredz </w:t>
            </w:r>
            <w:r w:rsidR="00AE157D" w:rsidRPr="00BB46BB">
              <w:rPr>
                <w:iCs/>
                <w:color w:val="000000" w:themeColor="text1"/>
              </w:rPr>
              <w:t>papildināt noteikumu 13.1.2.apakšpunktu, nosakot, ka Aizsardzības ministrija sedz maksu par veselības aprūpes pakalpojumiem bijušajiem zemessargiem</w:t>
            </w:r>
            <w:r w:rsidR="00927FB4" w:rsidRPr="00BB46BB">
              <w:rPr>
                <w:iCs/>
                <w:color w:val="000000" w:themeColor="text1"/>
              </w:rPr>
              <w:t>, ja līgums par dienestu Latvijas Republikas Zemessardzē ir izbeigts zemessarga invaliditātes vai ievainojuma dēļ, kas iegūts, pildot Zemessardzes uzdevumus vai piedaloties apmācībā, vai slimības dēļ, kuras cēlonis ir saistīts ar Zemessardzes uzdevumu pildīšanu vai dalību apmācībā.</w:t>
            </w:r>
          </w:p>
          <w:p w:rsidR="00967CF3" w:rsidRPr="00BB46BB" w:rsidRDefault="001626E2" w:rsidP="00260308">
            <w:pPr>
              <w:ind w:firstLine="252"/>
              <w:jc w:val="both"/>
              <w:rPr>
                <w:iCs/>
                <w:color w:val="000000" w:themeColor="text1"/>
              </w:rPr>
            </w:pPr>
            <w:r w:rsidRPr="00BB46BB">
              <w:rPr>
                <w:iCs/>
                <w:color w:val="000000" w:themeColor="text1"/>
              </w:rPr>
              <w:t>Lai novērstu pretrunu starp noteikumu 14.3.apakšpunktā un 3.pielikumā noteikto</w:t>
            </w:r>
            <w:r w:rsidR="00967CF3" w:rsidRPr="00BB46BB">
              <w:rPr>
                <w:iCs/>
                <w:color w:val="000000" w:themeColor="text1"/>
              </w:rPr>
              <w:t xml:space="preserve">, noteikumu 14.3.apakšpunkts precizēts, nosakot, ka viena pacienta ārstēšanās tarifs noteikts noteikumu 3.pielikuma 3.punktā. </w:t>
            </w:r>
          </w:p>
          <w:p w:rsidR="00967CF3" w:rsidRPr="00BB46BB" w:rsidRDefault="00967CF3" w:rsidP="00260308">
            <w:pPr>
              <w:ind w:firstLine="252"/>
              <w:jc w:val="both"/>
              <w:rPr>
                <w:iCs/>
                <w:color w:val="000000" w:themeColor="text1"/>
              </w:rPr>
            </w:pPr>
            <w:r w:rsidRPr="00BB46BB">
              <w:rPr>
                <w:iCs/>
                <w:color w:val="000000" w:themeColor="text1"/>
              </w:rPr>
              <w:t xml:space="preserve">Atbilstoši 2014.gada 22.novembra Ministru kabineta sēdē apstiprinātajam Latvijas vispārējās valdības budžeta plāna projektam no 2015.gada 1.janvāra paredzēts samazināt pacienta līdzmaksājumu par stacionārā ārstniecības iestādē veiktām ķirurģiskām operācijām, tādēļ noteikumu 19.punktā veiktas izmaiņas, nosakot </w:t>
            </w:r>
            <w:proofErr w:type="spellStart"/>
            <w:r w:rsidRPr="00BB46BB">
              <w:rPr>
                <w:iCs/>
                <w:color w:val="000000" w:themeColor="text1"/>
              </w:rPr>
              <w:t>līdzmaksājumu</w:t>
            </w:r>
            <w:proofErr w:type="spellEnd"/>
            <w:r w:rsidRPr="00BB46BB">
              <w:rPr>
                <w:iCs/>
                <w:color w:val="000000" w:themeColor="text1"/>
              </w:rPr>
              <w:t xml:space="preserve"> 31</w:t>
            </w:r>
            <w:r w:rsidR="001374C1" w:rsidRPr="00BB46BB">
              <w:rPr>
                <w:iCs/>
                <w:color w:val="000000" w:themeColor="text1"/>
              </w:rPr>
              <w:t>,00</w:t>
            </w:r>
            <w:r w:rsidRPr="00BB46BB">
              <w:rPr>
                <w:iCs/>
                <w:color w:val="000000" w:themeColor="text1"/>
              </w:rPr>
              <w:t xml:space="preserve"> </w:t>
            </w:r>
            <w:proofErr w:type="spellStart"/>
            <w:r w:rsidRPr="00BB46BB">
              <w:rPr>
                <w:i/>
                <w:iCs/>
                <w:color w:val="000000" w:themeColor="text1"/>
              </w:rPr>
              <w:t>euro</w:t>
            </w:r>
            <w:proofErr w:type="spellEnd"/>
            <w:r w:rsidRPr="00BB46BB">
              <w:rPr>
                <w:i/>
                <w:iCs/>
                <w:color w:val="000000" w:themeColor="text1"/>
              </w:rPr>
              <w:t xml:space="preserve"> </w:t>
            </w:r>
            <w:r w:rsidRPr="00BB46BB">
              <w:rPr>
                <w:iCs/>
                <w:color w:val="000000" w:themeColor="text1"/>
              </w:rPr>
              <w:t xml:space="preserve">apmērā.   </w:t>
            </w:r>
          </w:p>
          <w:p w:rsidR="002C2DFF" w:rsidRPr="00BB46BB" w:rsidRDefault="0055073F" w:rsidP="00260308">
            <w:pPr>
              <w:ind w:firstLine="252"/>
              <w:jc w:val="both"/>
              <w:rPr>
                <w:color w:val="000000" w:themeColor="text1"/>
              </w:rPr>
            </w:pPr>
            <w:r w:rsidRPr="00BB46BB">
              <w:rPr>
                <w:iCs/>
                <w:color w:val="000000" w:themeColor="text1"/>
              </w:rPr>
              <w:t>Noteikumu 22.punkts</w:t>
            </w:r>
            <w:r w:rsidR="00260308" w:rsidRPr="00BB46BB">
              <w:rPr>
                <w:iCs/>
                <w:color w:val="000000" w:themeColor="text1"/>
              </w:rPr>
              <w:t xml:space="preserve"> nosaka, ka </w:t>
            </w:r>
            <w:r w:rsidRPr="00BB46BB">
              <w:rPr>
                <w:iCs/>
                <w:color w:val="000000" w:themeColor="text1"/>
              </w:rPr>
              <w:t xml:space="preserve">NVD teritoriālā nodaļa </w:t>
            </w:r>
            <w:r w:rsidR="00260308" w:rsidRPr="00BB46BB">
              <w:rPr>
                <w:iCs/>
                <w:color w:val="000000" w:themeColor="text1"/>
              </w:rPr>
              <w:t>i</w:t>
            </w:r>
            <w:r w:rsidRPr="00BB46BB">
              <w:rPr>
                <w:color w:val="000000" w:themeColor="text1"/>
              </w:rPr>
              <w:t xml:space="preserve">zziņu, </w:t>
            </w:r>
            <w:r w:rsidR="00BE4240" w:rsidRPr="00BB46BB">
              <w:rPr>
                <w:color w:val="000000" w:themeColor="text1"/>
              </w:rPr>
              <w:t xml:space="preserve">par to, </w:t>
            </w:r>
            <w:r w:rsidRPr="00BB46BB">
              <w:rPr>
                <w:color w:val="000000" w:themeColor="text1"/>
              </w:rPr>
              <w:t xml:space="preserve">ka persona kalendāra gada laikā ir saņēmusi veselības aprūpes pakalpojumus un veikusi pacienta iemaksu 569,15 </w:t>
            </w:r>
            <w:r w:rsidRPr="00BB46BB">
              <w:rPr>
                <w:i/>
                <w:color w:val="000000" w:themeColor="text1"/>
              </w:rPr>
              <w:t>euro</w:t>
            </w:r>
            <w:r w:rsidRPr="00BB46BB">
              <w:rPr>
                <w:color w:val="000000" w:themeColor="text1"/>
              </w:rPr>
              <w:t xml:space="preserve"> apmērā</w:t>
            </w:r>
            <w:r w:rsidR="00260308" w:rsidRPr="00BB46BB">
              <w:rPr>
                <w:color w:val="000000" w:themeColor="text1"/>
              </w:rPr>
              <w:t xml:space="preserve">, atbilstoši personas uzrādītajiem maksājuma </w:t>
            </w:r>
            <w:r w:rsidR="00260308" w:rsidRPr="00BB46BB">
              <w:rPr>
                <w:color w:val="000000" w:themeColor="text1"/>
              </w:rPr>
              <w:lastRenderedPageBreak/>
              <w:t xml:space="preserve">dokumentiem, papildināts ar nosacījumu, ka pacienta iemaksā ietver arī </w:t>
            </w:r>
            <w:r w:rsidRPr="00BB46BB">
              <w:rPr>
                <w:color w:val="000000" w:themeColor="text1"/>
              </w:rPr>
              <w:t>apdrošinātāja segto</w:t>
            </w:r>
            <w:r w:rsidR="00260308" w:rsidRPr="00BB46BB">
              <w:rPr>
                <w:color w:val="000000" w:themeColor="text1"/>
              </w:rPr>
              <w:t>s izdevumus.</w:t>
            </w:r>
            <w:r w:rsidRPr="00BB46BB">
              <w:rPr>
                <w:color w:val="000000" w:themeColor="text1"/>
              </w:rPr>
              <w:t xml:space="preserve"> </w:t>
            </w:r>
          </w:p>
          <w:p w:rsidR="006957BF" w:rsidRPr="00BB46BB" w:rsidRDefault="00F6749D" w:rsidP="00F6749D">
            <w:pPr>
              <w:ind w:firstLine="252"/>
              <w:jc w:val="both"/>
              <w:rPr>
                <w:color w:val="000000" w:themeColor="text1"/>
              </w:rPr>
            </w:pPr>
            <w:r w:rsidRPr="00BB46BB">
              <w:rPr>
                <w:bCs/>
                <w:color w:val="000000" w:themeColor="text1"/>
              </w:rPr>
              <w:t>Izsakot noteikumu 50.punktu jaunā redakcijā</w:t>
            </w:r>
            <w:r w:rsidR="00F64128" w:rsidRPr="00BB46BB">
              <w:rPr>
                <w:bCs/>
                <w:color w:val="000000" w:themeColor="text1"/>
              </w:rPr>
              <w:t>,</w:t>
            </w:r>
            <w:r w:rsidRPr="00BB46BB">
              <w:rPr>
                <w:bCs/>
                <w:color w:val="000000" w:themeColor="text1"/>
              </w:rPr>
              <w:t xml:space="preserve"> </w:t>
            </w:r>
            <w:r w:rsidR="009A5585" w:rsidRPr="00BB46BB">
              <w:rPr>
                <w:bCs/>
                <w:color w:val="000000" w:themeColor="text1"/>
              </w:rPr>
              <w:t>precizēt</w:t>
            </w:r>
            <w:r w:rsidR="009D3549" w:rsidRPr="00BB46BB">
              <w:rPr>
                <w:bCs/>
                <w:color w:val="000000" w:themeColor="text1"/>
              </w:rPr>
              <w:t>i gadījumi</w:t>
            </w:r>
            <w:r w:rsidR="009A5585" w:rsidRPr="00BB46BB">
              <w:rPr>
                <w:bCs/>
                <w:color w:val="000000" w:themeColor="text1"/>
              </w:rPr>
              <w:t>, k</w:t>
            </w:r>
            <w:r w:rsidR="009D3549" w:rsidRPr="00BB46BB">
              <w:rPr>
                <w:bCs/>
                <w:color w:val="000000" w:themeColor="text1"/>
              </w:rPr>
              <w:t>a</w:t>
            </w:r>
            <w:r w:rsidR="009A5585" w:rsidRPr="00BB46BB">
              <w:rPr>
                <w:bCs/>
                <w:color w:val="000000" w:themeColor="text1"/>
              </w:rPr>
              <w:t xml:space="preserve">d personas reģistrācija pie ģimenes ārsta tiek bloķēta, un </w:t>
            </w:r>
            <w:r w:rsidR="009D3549" w:rsidRPr="00BB46BB">
              <w:rPr>
                <w:bCs/>
                <w:color w:val="000000" w:themeColor="text1"/>
              </w:rPr>
              <w:t xml:space="preserve">noteikts, </w:t>
            </w:r>
            <w:r w:rsidR="009A5585" w:rsidRPr="00BB46BB">
              <w:rPr>
                <w:bCs/>
                <w:color w:val="000000" w:themeColor="text1"/>
              </w:rPr>
              <w:t>kur</w:t>
            </w:r>
            <w:r w:rsidR="009D3549" w:rsidRPr="00BB46BB">
              <w:rPr>
                <w:bCs/>
                <w:color w:val="000000" w:themeColor="text1"/>
              </w:rPr>
              <w:t>as</w:t>
            </w:r>
            <w:r w:rsidR="009A5585" w:rsidRPr="00BB46BB">
              <w:rPr>
                <w:bCs/>
                <w:color w:val="000000" w:themeColor="text1"/>
              </w:rPr>
              <w:t xml:space="preserve"> </w:t>
            </w:r>
            <w:r w:rsidR="009D3549" w:rsidRPr="00BB46BB">
              <w:rPr>
                <w:bCs/>
                <w:color w:val="000000" w:themeColor="text1"/>
              </w:rPr>
              <w:t xml:space="preserve">personas </w:t>
            </w:r>
            <w:r w:rsidR="009A5585" w:rsidRPr="00BB46BB">
              <w:rPr>
                <w:bCs/>
                <w:color w:val="000000" w:themeColor="text1"/>
              </w:rPr>
              <w:t>var vērsties pie ģimenes ārsta kā īslaicīgie pacienti.</w:t>
            </w:r>
          </w:p>
          <w:p w:rsidR="00782AFB" w:rsidRPr="00BB46BB" w:rsidRDefault="00A35DC2" w:rsidP="00277E80">
            <w:pPr>
              <w:ind w:firstLine="252"/>
              <w:jc w:val="both"/>
              <w:rPr>
                <w:bCs/>
                <w:color w:val="000000" w:themeColor="text1"/>
              </w:rPr>
            </w:pPr>
            <w:r w:rsidRPr="00BB46BB">
              <w:rPr>
                <w:bCs/>
                <w:color w:val="000000" w:themeColor="text1"/>
              </w:rPr>
              <w:t>Lai nodrošinātu pakalpojumu pieejamību un nerastos pārpratumi par ģimenes ārsta, kuram ir vairākas pieņemšanas vietas, pieejamību pamatpraksē un otrajā prakses vietā, precizēt</w:t>
            </w:r>
            <w:r w:rsidR="002A1BD7" w:rsidRPr="00BB46BB">
              <w:rPr>
                <w:bCs/>
                <w:color w:val="000000" w:themeColor="text1"/>
              </w:rPr>
              <w:t>s</w:t>
            </w:r>
            <w:r w:rsidRPr="00BB46BB">
              <w:rPr>
                <w:bCs/>
                <w:color w:val="000000" w:themeColor="text1"/>
              </w:rPr>
              <w:t xml:space="preserve"> </w:t>
            </w:r>
            <w:r w:rsidR="002A1BD7" w:rsidRPr="00BB46BB">
              <w:rPr>
                <w:bCs/>
                <w:color w:val="000000" w:themeColor="text1"/>
              </w:rPr>
              <w:t xml:space="preserve">noteikumu </w:t>
            </w:r>
            <w:r w:rsidRPr="00BB46BB">
              <w:rPr>
                <w:bCs/>
                <w:color w:val="000000" w:themeColor="text1"/>
              </w:rPr>
              <w:t>53.1..apakšpunkt</w:t>
            </w:r>
            <w:r w:rsidR="002A1BD7" w:rsidRPr="00BB46BB">
              <w:rPr>
                <w:bCs/>
                <w:color w:val="000000" w:themeColor="text1"/>
              </w:rPr>
              <w:t>s,</w:t>
            </w:r>
            <w:r w:rsidRPr="00BB46BB">
              <w:rPr>
                <w:bCs/>
                <w:color w:val="000000" w:themeColor="text1"/>
              </w:rPr>
              <w:t xml:space="preserve"> nosakot, ka noteikumos noteiktais minimālais ģimenes ārsta pacientu pieņemšanas laiks summējas. </w:t>
            </w:r>
            <w:r w:rsidR="00277E80" w:rsidRPr="00BB46BB">
              <w:rPr>
                <w:bCs/>
                <w:color w:val="000000" w:themeColor="text1"/>
              </w:rPr>
              <w:t>Izsakot 67.6.1.apakšpunktu jaunā redakcijā, noteikumos precizēt</w:t>
            </w:r>
            <w:r w:rsidRPr="00BB46BB">
              <w:rPr>
                <w:bCs/>
                <w:color w:val="000000" w:themeColor="text1"/>
              </w:rPr>
              <w:t>s termina „ilglaicīgā aizvietošana” termiņš</w:t>
            </w:r>
            <w:r w:rsidR="006026E8" w:rsidRPr="00BB46BB">
              <w:rPr>
                <w:bCs/>
                <w:color w:val="000000" w:themeColor="text1"/>
              </w:rPr>
              <w:t>.</w:t>
            </w:r>
            <w:r w:rsidRPr="00BB46BB">
              <w:rPr>
                <w:bCs/>
                <w:color w:val="000000" w:themeColor="text1"/>
              </w:rPr>
              <w:t xml:space="preserve"> </w:t>
            </w:r>
          </w:p>
          <w:p w:rsidR="00277E80" w:rsidRPr="00BB46BB" w:rsidRDefault="00785845" w:rsidP="00785845">
            <w:pPr>
              <w:ind w:firstLine="252"/>
              <w:jc w:val="both"/>
              <w:rPr>
                <w:bCs/>
                <w:color w:val="000000" w:themeColor="text1"/>
              </w:rPr>
            </w:pPr>
            <w:r w:rsidRPr="00BB46BB">
              <w:rPr>
                <w:bCs/>
                <w:color w:val="000000" w:themeColor="text1"/>
              </w:rPr>
              <w:t>Ar Veselības ministrijas 2014.gada 24.jūlija rīkojumu Nr.93 tika izveidota darba grupa medicīniskās rehabilitācijas pakalpojumu izvērtēšanai un priekšlikumu izstrādei</w:t>
            </w:r>
            <w:r w:rsidR="00E70D87" w:rsidRPr="00BB46BB">
              <w:rPr>
                <w:bCs/>
                <w:color w:val="000000" w:themeColor="text1"/>
              </w:rPr>
              <w:t xml:space="preserve"> (turpmāk- rehabilitācijas darba grupa)</w:t>
            </w:r>
            <w:r w:rsidRPr="00BB46BB">
              <w:rPr>
                <w:bCs/>
                <w:color w:val="000000" w:themeColor="text1"/>
              </w:rPr>
              <w:t xml:space="preserve">. Atbilstoši minētās darba grupas ierosinājumam nepieciešams samazināt termiņu, kādā uzsākta rehabilitācijas pakalpojumu sniegšana, jo rehabilitācija vairs nav tik efektīva, ja to uzsāk vēlāk. </w:t>
            </w:r>
            <w:r w:rsidR="00606E42" w:rsidRPr="00BB46BB">
              <w:rPr>
                <w:bCs/>
                <w:color w:val="000000" w:themeColor="text1"/>
              </w:rPr>
              <w:t>Precizējot 72.3.apakšpunkta redakciju</w:t>
            </w:r>
            <w:r w:rsidR="006026E8" w:rsidRPr="00BB46BB">
              <w:rPr>
                <w:bCs/>
                <w:color w:val="000000" w:themeColor="text1"/>
              </w:rPr>
              <w:t xml:space="preserve"> tiek noteikts</w:t>
            </w:r>
            <w:r w:rsidR="00606E42" w:rsidRPr="00BB46BB">
              <w:rPr>
                <w:bCs/>
                <w:color w:val="000000" w:themeColor="text1"/>
              </w:rPr>
              <w:t>, ka</w:t>
            </w:r>
            <w:r w:rsidR="00277E80" w:rsidRPr="00BB46BB">
              <w:rPr>
                <w:bCs/>
                <w:color w:val="000000" w:themeColor="text1"/>
              </w:rPr>
              <w:t xml:space="preserve"> personai </w:t>
            </w:r>
            <w:r w:rsidR="00606E42" w:rsidRPr="00BB46BB">
              <w:rPr>
                <w:bCs/>
                <w:color w:val="000000" w:themeColor="text1"/>
              </w:rPr>
              <w:t xml:space="preserve">ar diagnozi I60, I61, I63, I64 vai I69 </w:t>
            </w:r>
            <w:r w:rsidR="00277E80" w:rsidRPr="00BB46BB">
              <w:rPr>
                <w:bCs/>
                <w:color w:val="000000" w:themeColor="text1"/>
              </w:rPr>
              <w:t xml:space="preserve">mājās sniegtās ambulatorās </w:t>
            </w:r>
            <w:r w:rsidR="00606E42" w:rsidRPr="00BB46BB">
              <w:rPr>
                <w:bCs/>
                <w:color w:val="000000" w:themeColor="text1"/>
              </w:rPr>
              <w:t>medicīniskās rehabilitācijas pakalpojums jāuzsāk trīs mēnešu laikā pēc saslimšanas, tādejādi tik</w:t>
            </w:r>
            <w:r w:rsidR="006026E8" w:rsidRPr="00BB46BB">
              <w:rPr>
                <w:bCs/>
                <w:color w:val="000000" w:themeColor="text1"/>
              </w:rPr>
              <w:t>s</w:t>
            </w:r>
            <w:r w:rsidR="00606E42" w:rsidRPr="00BB46BB">
              <w:rPr>
                <w:bCs/>
                <w:color w:val="000000" w:themeColor="text1"/>
              </w:rPr>
              <w:t xml:space="preserve"> nodrošināta medicīniskās rehabilitācijas pakalpojuma efektivitāte.</w:t>
            </w:r>
          </w:p>
          <w:p w:rsidR="00967CF3" w:rsidRPr="00BB46BB" w:rsidRDefault="00967CF3" w:rsidP="006E1563">
            <w:pPr>
              <w:ind w:firstLine="252"/>
              <w:jc w:val="both"/>
              <w:rPr>
                <w:bCs/>
                <w:color w:val="000000" w:themeColor="text1"/>
              </w:rPr>
            </w:pPr>
            <w:r w:rsidRPr="00BB46BB">
              <w:rPr>
                <w:bCs/>
                <w:color w:val="000000" w:themeColor="text1"/>
              </w:rPr>
              <w:t>Lai samazinātu valsts izmaksas par paliatīvo aprūpi bērniem, kas ievietoti stacionārā ārstniecības iestādē, noteikumi papildināti ar 74.</w:t>
            </w:r>
            <w:r w:rsidR="00076C5A" w:rsidRPr="00BB46BB">
              <w:rPr>
                <w:bCs/>
                <w:color w:val="000000" w:themeColor="text1"/>
              </w:rPr>
              <w:t>7</w:t>
            </w:r>
            <w:r w:rsidRPr="00BB46BB">
              <w:rPr>
                <w:bCs/>
                <w:color w:val="000000" w:themeColor="text1"/>
              </w:rPr>
              <w:t xml:space="preserve">.apakšpunktu, kas paredz turpmāk veikt parenterālu barošanu mājās bērniem, kas ir valsts sabiedrības ar ierobežotu atbildību „Bērnu klīniskā universitātes slimnīca” paliatīvās aprūpes kabineta uzskaitē. </w:t>
            </w:r>
            <w:r w:rsidR="00507456" w:rsidRPr="00BB46BB">
              <w:rPr>
                <w:bCs/>
                <w:color w:val="000000" w:themeColor="text1"/>
              </w:rPr>
              <w:t>Papildus izmaiņas veiktas noteikumu 79.punktā, lai noteiktu, ka šajā punktā minētais nosacījums par maksimālo epizodes ilgumu veselības aprūpei mājās neatt</w:t>
            </w:r>
            <w:r w:rsidR="00A61A26" w:rsidRPr="00BB46BB">
              <w:rPr>
                <w:bCs/>
                <w:color w:val="000000" w:themeColor="text1"/>
              </w:rPr>
              <w:t>ie</w:t>
            </w:r>
            <w:r w:rsidR="00507456" w:rsidRPr="00BB46BB">
              <w:rPr>
                <w:bCs/>
                <w:color w:val="000000" w:themeColor="text1"/>
              </w:rPr>
              <w:t xml:space="preserve">ktos uz bērnu </w:t>
            </w:r>
            <w:proofErr w:type="spellStart"/>
            <w:r w:rsidR="00507456" w:rsidRPr="00BB46BB">
              <w:rPr>
                <w:bCs/>
                <w:color w:val="000000" w:themeColor="text1"/>
              </w:rPr>
              <w:t>parenterāl</w:t>
            </w:r>
            <w:r w:rsidR="00A61A26" w:rsidRPr="00BB46BB">
              <w:rPr>
                <w:bCs/>
                <w:color w:val="000000" w:themeColor="text1"/>
              </w:rPr>
              <w:t>u</w:t>
            </w:r>
            <w:proofErr w:type="spellEnd"/>
            <w:r w:rsidR="00507456" w:rsidRPr="00BB46BB">
              <w:rPr>
                <w:bCs/>
                <w:color w:val="000000" w:themeColor="text1"/>
              </w:rPr>
              <w:t xml:space="preserve"> barošanu mājās. </w:t>
            </w:r>
          </w:p>
          <w:p w:rsidR="00967CF3" w:rsidRPr="00BB46BB" w:rsidRDefault="00967CF3" w:rsidP="006E1563">
            <w:pPr>
              <w:ind w:firstLine="252"/>
              <w:jc w:val="both"/>
              <w:rPr>
                <w:bCs/>
                <w:color w:val="000000" w:themeColor="text1"/>
              </w:rPr>
            </w:pPr>
            <w:r w:rsidRPr="00BB46BB">
              <w:rPr>
                <w:bCs/>
                <w:color w:val="000000" w:themeColor="text1"/>
              </w:rPr>
              <w:t>Atbilstoši rehabilitācijas darba grupas ierosinājumam nepieciešams precizēt noteikumu 76.punktu</w:t>
            </w:r>
            <w:r w:rsidR="00507456" w:rsidRPr="00BB46BB">
              <w:rPr>
                <w:bCs/>
                <w:color w:val="000000" w:themeColor="text1"/>
              </w:rPr>
              <w:t xml:space="preserve">, jo fizioterapeita asistents atbilstoši tā kompetencei nav tiesīgs pastāvīgi sniegt medicīniskās rehabilitācijas pakalpojumus mājās. </w:t>
            </w:r>
          </w:p>
          <w:p w:rsidR="00277E80" w:rsidRPr="00BB46BB" w:rsidRDefault="006216C7" w:rsidP="006E1563">
            <w:pPr>
              <w:ind w:firstLine="252"/>
              <w:jc w:val="both"/>
              <w:rPr>
                <w:bCs/>
                <w:color w:val="000000" w:themeColor="text1"/>
              </w:rPr>
            </w:pPr>
            <w:r w:rsidRPr="00BB46BB">
              <w:rPr>
                <w:bCs/>
                <w:color w:val="000000" w:themeColor="text1"/>
              </w:rPr>
              <w:t>Šobrīd nav noteikts</w:t>
            </w:r>
            <w:r w:rsidR="006026E8" w:rsidRPr="00BB46BB">
              <w:rPr>
                <w:bCs/>
                <w:color w:val="000000" w:themeColor="text1"/>
              </w:rPr>
              <w:t>,</w:t>
            </w:r>
            <w:r w:rsidRPr="00BB46BB">
              <w:rPr>
                <w:bCs/>
                <w:color w:val="000000" w:themeColor="text1"/>
              </w:rPr>
              <w:t xml:space="preserve"> kurā </w:t>
            </w:r>
            <w:r w:rsidR="006026E8" w:rsidRPr="00BB46BB">
              <w:rPr>
                <w:bCs/>
                <w:color w:val="000000" w:themeColor="text1"/>
              </w:rPr>
              <w:t>mēneša datumā</w:t>
            </w:r>
            <w:r w:rsidRPr="00BB46BB">
              <w:rPr>
                <w:bCs/>
                <w:color w:val="000000" w:themeColor="text1"/>
              </w:rPr>
              <w:t xml:space="preserve"> </w:t>
            </w:r>
            <w:r w:rsidR="006026E8" w:rsidRPr="00BB46BB">
              <w:rPr>
                <w:bCs/>
                <w:color w:val="000000" w:themeColor="text1"/>
              </w:rPr>
              <w:t xml:space="preserve">NVD </w:t>
            </w:r>
            <w:r w:rsidRPr="00BB46BB">
              <w:rPr>
                <w:bCs/>
                <w:color w:val="000000" w:themeColor="text1"/>
              </w:rPr>
              <w:t>fiksē reģistrēto pacientu skait</w:t>
            </w:r>
            <w:r w:rsidR="006026E8" w:rsidRPr="00BB46BB">
              <w:rPr>
                <w:bCs/>
                <w:color w:val="000000" w:themeColor="text1"/>
              </w:rPr>
              <w:t>u</w:t>
            </w:r>
            <w:r w:rsidRPr="00BB46BB">
              <w:rPr>
                <w:bCs/>
                <w:color w:val="000000" w:themeColor="text1"/>
              </w:rPr>
              <w:t xml:space="preserve"> jaunatvērtā ģimenes ārsta praksē, kas praktiskajā darbā rada pārpratumus, kā arī neefektīvu resursu izlietošanu, sekojot līdzi šīm izmaiņām katru dienu. </w:t>
            </w:r>
            <w:r w:rsidR="00C90667" w:rsidRPr="00BB46BB">
              <w:rPr>
                <w:bCs/>
                <w:color w:val="000000" w:themeColor="text1"/>
              </w:rPr>
              <w:t>P</w:t>
            </w:r>
            <w:r w:rsidRPr="00BB46BB">
              <w:rPr>
                <w:bCs/>
                <w:color w:val="000000" w:themeColor="text1"/>
              </w:rPr>
              <w:t>apildinot noteikumus ar 93.</w:t>
            </w:r>
            <w:r w:rsidRPr="00BB46BB">
              <w:rPr>
                <w:bCs/>
                <w:color w:val="000000" w:themeColor="text1"/>
                <w:vertAlign w:val="superscript"/>
              </w:rPr>
              <w:t>1</w:t>
            </w:r>
            <w:r w:rsidRPr="00BB46BB">
              <w:rPr>
                <w:bCs/>
                <w:color w:val="000000" w:themeColor="text1"/>
              </w:rPr>
              <w:t>punktu</w:t>
            </w:r>
            <w:r w:rsidR="006026E8" w:rsidRPr="00BB46BB">
              <w:rPr>
                <w:bCs/>
                <w:color w:val="000000" w:themeColor="text1"/>
              </w:rPr>
              <w:t>,</w:t>
            </w:r>
            <w:r w:rsidRPr="00BB46BB">
              <w:rPr>
                <w:bCs/>
                <w:color w:val="000000" w:themeColor="text1"/>
              </w:rPr>
              <w:t xml:space="preserve"> </w:t>
            </w:r>
            <w:r w:rsidR="00C90667" w:rsidRPr="00BB46BB">
              <w:rPr>
                <w:bCs/>
                <w:color w:val="000000" w:themeColor="text1"/>
              </w:rPr>
              <w:t>tiek noteikts</w:t>
            </w:r>
            <w:r w:rsidRPr="00BB46BB">
              <w:rPr>
                <w:bCs/>
                <w:color w:val="000000" w:themeColor="text1"/>
              </w:rPr>
              <w:t>, ka reģistrēto pacientu skaits jaunatvērtā ģimenes ārsta praksē tiek fiksēts katra mēneša 20.datumā, kas ir saistīts arī ar izmaksājamā finansējuma aprēķināšanu</w:t>
            </w:r>
            <w:r w:rsidR="00C90667" w:rsidRPr="00BB46BB">
              <w:rPr>
                <w:bCs/>
                <w:color w:val="000000" w:themeColor="text1"/>
              </w:rPr>
              <w:t xml:space="preserve"> jaunatvērtai ģimenes ārsta praksei</w:t>
            </w:r>
            <w:r w:rsidRPr="00BB46BB">
              <w:rPr>
                <w:bCs/>
                <w:color w:val="000000" w:themeColor="text1"/>
              </w:rPr>
              <w:t xml:space="preserve">. </w:t>
            </w:r>
          </w:p>
          <w:p w:rsidR="00507456" w:rsidRPr="00BB46BB" w:rsidRDefault="00507456" w:rsidP="006E1563">
            <w:pPr>
              <w:ind w:firstLine="252"/>
              <w:jc w:val="both"/>
              <w:rPr>
                <w:bCs/>
                <w:color w:val="000000" w:themeColor="text1"/>
              </w:rPr>
            </w:pPr>
            <w:r w:rsidRPr="00BB46BB">
              <w:rPr>
                <w:bCs/>
                <w:color w:val="000000" w:themeColor="text1"/>
              </w:rPr>
              <w:t>Atbilstoši rehabilitācijas darba grupas ierosinājumam nepieciešams precizēt noteikumu 105.punktu, lai novērstu neskaidrības par to, kā nosaka dienas stacionārā sniegto medicīniskās rehabilitācijas pakalpojumu ilgumu.</w:t>
            </w:r>
          </w:p>
          <w:p w:rsidR="006E1563" w:rsidRPr="00BB46BB" w:rsidRDefault="006E1563" w:rsidP="006A7596">
            <w:pPr>
              <w:ind w:firstLine="252"/>
              <w:jc w:val="both"/>
              <w:rPr>
                <w:bCs/>
                <w:color w:val="000000" w:themeColor="text1"/>
              </w:rPr>
            </w:pPr>
            <w:r w:rsidRPr="00BB46BB">
              <w:rPr>
                <w:bCs/>
                <w:color w:val="000000" w:themeColor="text1"/>
              </w:rPr>
              <w:lastRenderedPageBreak/>
              <w:t xml:space="preserve">Izsakot </w:t>
            </w:r>
            <w:r w:rsidR="00F64128" w:rsidRPr="00BB46BB">
              <w:rPr>
                <w:bCs/>
                <w:color w:val="000000" w:themeColor="text1"/>
              </w:rPr>
              <w:t xml:space="preserve">noteikumu </w:t>
            </w:r>
            <w:r w:rsidRPr="00BB46BB">
              <w:rPr>
                <w:bCs/>
                <w:color w:val="000000" w:themeColor="text1"/>
              </w:rPr>
              <w:t>106.punktu jaunā redakcijā</w:t>
            </w:r>
            <w:r w:rsidR="00E0658E" w:rsidRPr="00BB46BB">
              <w:rPr>
                <w:bCs/>
                <w:color w:val="000000" w:themeColor="text1"/>
              </w:rPr>
              <w:t>,</w:t>
            </w:r>
            <w:r w:rsidR="006A7596" w:rsidRPr="00BB46BB">
              <w:rPr>
                <w:bCs/>
                <w:color w:val="000000" w:themeColor="text1"/>
              </w:rPr>
              <w:t xml:space="preserve"> precizēta norma par dienas stacionārā sniedzamiem veselības aprūpes pakalpojumiem.</w:t>
            </w:r>
          </w:p>
          <w:p w:rsidR="006A7596" w:rsidRPr="00BB46BB" w:rsidRDefault="006A7596" w:rsidP="008558ED">
            <w:pPr>
              <w:ind w:firstLine="252"/>
              <w:jc w:val="both"/>
              <w:rPr>
                <w:bCs/>
                <w:color w:val="000000" w:themeColor="text1"/>
              </w:rPr>
            </w:pPr>
            <w:r w:rsidRPr="00BB46BB">
              <w:rPr>
                <w:bCs/>
                <w:color w:val="000000" w:themeColor="text1"/>
              </w:rPr>
              <w:t>Papildinot noteikumus ar 131.</w:t>
            </w:r>
            <w:r w:rsidRPr="00BB46BB">
              <w:rPr>
                <w:bCs/>
                <w:color w:val="000000" w:themeColor="text1"/>
                <w:vertAlign w:val="superscript"/>
              </w:rPr>
              <w:t>1</w:t>
            </w:r>
            <w:r w:rsidRPr="00BB46BB">
              <w:rPr>
                <w:bCs/>
                <w:color w:val="000000" w:themeColor="text1"/>
              </w:rPr>
              <w:t>punktu, nodrošināts, ka pacientam ar onkoloģisku saslimšanu pirmā</w:t>
            </w:r>
            <w:r w:rsidR="008558ED" w:rsidRPr="00BB46BB">
              <w:rPr>
                <w:bCs/>
                <w:color w:val="000000" w:themeColor="text1"/>
              </w:rPr>
              <w:t xml:space="preserve"> onkologa vai hematologa </w:t>
            </w:r>
            <w:r w:rsidRPr="00BB46BB">
              <w:rPr>
                <w:bCs/>
                <w:color w:val="000000" w:themeColor="text1"/>
              </w:rPr>
              <w:t>speciālista konsultācija</w:t>
            </w:r>
            <w:r w:rsidR="00AA16EE" w:rsidRPr="00BB46BB">
              <w:rPr>
                <w:bCs/>
                <w:color w:val="000000" w:themeColor="text1"/>
              </w:rPr>
              <w:t xml:space="preserve"> tiek nodrošināta</w:t>
            </w:r>
            <w:r w:rsidRPr="00BB46BB">
              <w:rPr>
                <w:bCs/>
                <w:color w:val="000000" w:themeColor="text1"/>
              </w:rPr>
              <w:t xml:space="preserve"> </w:t>
            </w:r>
            <w:r w:rsidR="00AA16EE" w:rsidRPr="00BB46BB">
              <w:rPr>
                <w:bCs/>
                <w:color w:val="000000" w:themeColor="text1"/>
              </w:rPr>
              <w:t>ne vēlāk kā desmit darba dienu laikā no brīža, kad persona vērsusies ārstniecības iestādē.</w:t>
            </w:r>
          </w:p>
          <w:p w:rsidR="00A3610C" w:rsidRPr="00BB46BB" w:rsidRDefault="00A3610C" w:rsidP="00A3610C">
            <w:pPr>
              <w:ind w:firstLine="252"/>
              <w:jc w:val="both"/>
              <w:rPr>
                <w:bCs/>
                <w:color w:val="000000" w:themeColor="text1"/>
              </w:rPr>
            </w:pPr>
            <w:r w:rsidRPr="00BB46BB">
              <w:rPr>
                <w:bCs/>
                <w:color w:val="000000" w:themeColor="text1"/>
              </w:rPr>
              <w:t xml:space="preserve">Izsakot </w:t>
            </w:r>
            <w:r w:rsidR="00F64128" w:rsidRPr="00BB46BB">
              <w:rPr>
                <w:bCs/>
                <w:color w:val="000000" w:themeColor="text1"/>
              </w:rPr>
              <w:t xml:space="preserve">noteikumu </w:t>
            </w:r>
            <w:r w:rsidRPr="00BB46BB">
              <w:rPr>
                <w:bCs/>
                <w:color w:val="000000" w:themeColor="text1"/>
              </w:rPr>
              <w:t>137.punktu jaunā redakcijā, precizēti medicīniskās rehabilitācijas mērķi visos medicīniskās rehabilitācijas procesa posmos.</w:t>
            </w:r>
          </w:p>
          <w:p w:rsidR="00A3610C" w:rsidRPr="00BB46BB" w:rsidRDefault="00C006E0" w:rsidP="00D47429">
            <w:pPr>
              <w:ind w:firstLine="252"/>
              <w:jc w:val="both"/>
              <w:rPr>
                <w:color w:val="000000" w:themeColor="text1"/>
              </w:rPr>
            </w:pPr>
            <w:r w:rsidRPr="00BB46BB">
              <w:rPr>
                <w:bCs/>
                <w:color w:val="000000" w:themeColor="text1"/>
              </w:rPr>
              <w:t xml:space="preserve">Izsakot </w:t>
            </w:r>
            <w:r w:rsidR="00D47429" w:rsidRPr="00BB46BB">
              <w:rPr>
                <w:bCs/>
                <w:color w:val="000000" w:themeColor="text1"/>
              </w:rPr>
              <w:t>1</w:t>
            </w:r>
            <w:r w:rsidRPr="00BB46BB">
              <w:rPr>
                <w:bCs/>
                <w:color w:val="000000" w:themeColor="text1"/>
              </w:rPr>
              <w:t>38.punktu jaunā redakcijā, noteikumos precizēta terminoloģija. Savukārt papildinot noteikumus ar jaunu 138.</w:t>
            </w:r>
            <w:r w:rsidRPr="00BB46BB">
              <w:rPr>
                <w:bCs/>
                <w:color w:val="000000" w:themeColor="text1"/>
                <w:vertAlign w:val="superscript"/>
              </w:rPr>
              <w:t>1</w:t>
            </w:r>
            <w:r w:rsidRPr="00BB46BB">
              <w:rPr>
                <w:bCs/>
                <w:color w:val="000000" w:themeColor="text1"/>
              </w:rPr>
              <w:t xml:space="preserve">punktu, noteikta </w:t>
            </w:r>
            <w:r w:rsidRPr="00BB46BB">
              <w:rPr>
                <w:color w:val="000000" w:themeColor="text1"/>
              </w:rPr>
              <w:t>logopēda pakalpojumu saņemšanas kārtīb</w:t>
            </w:r>
            <w:r w:rsidR="00B67529" w:rsidRPr="00BB46BB">
              <w:rPr>
                <w:color w:val="000000" w:themeColor="text1"/>
              </w:rPr>
              <w:t>a</w:t>
            </w:r>
            <w:r w:rsidRPr="00BB46BB">
              <w:rPr>
                <w:color w:val="000000" w:themeColor="text1"/>
              </w:rPr>
              <w:t xml:space="preserve"> bērniem.</w:t>
            </w:r>
          </w:p>
          <w:p w:rsidR="00173B8E" w:rsidRPr="00BB46BB" w:rsidRDefault="00173B8E" w:rsidP="00D47429">
            <w:pPr>
              <w:ind w:firstLine="252"/>
              <w:jc w:val="both"/>
              <w:rPr>
                <w:bCs/>
                <w:color w:val="000000" w:themeColor="text1"/>
              </w:rPr>
            </w:pPr>
            <w:r w:rsidRPr="00BB46BB">
              <w:rPr>
                <w:bCs/>
                <w:color w:val="000000" w:themeColor="text1"/>
              </w:rPr>
              <w:t>Atbilstoši rehabilitācijas darba grupas ieteikumiem:</w:t>
            </w:r>
          </w:p>
          <w:p w:rsidR="00E70D87" w:rsidRPr="00BB46BB" w:rsidRDefault="00173B8E" w:rsidP="00173B8E">
            <w:pPr>
              <w:ind w:firstLine="252"/>
              <w:jc w:val="both"/>
              <w:rPr>
                <w:bCs/>
                <w:color w:val="000000" w:themeColor="text1"/>
              </w:rPr>
            </w:pPr>
            <w:r w:rsidRPr="00BB46BB">
              <w:rPr>
                <w:bCs/>
                <w:color w:val="000000" w:themeColor="text1"/>
              </w:rPr>
              <w:t>-</w:t>
            </w:r>
            <w:r w:rsidR="00C90667" w:rsidRPr="00BB46BB">
              <w:rPr>
                <w:bCs/>
                <w:color w:val="000000" w:themeColor="text1"/>
              </w:rPr>
              <w:t xml:space="preserve"> noteikumi </w:t>
            </w:r>
            <w:r w:rsidRPr="00BB46BB">
              <w:rPr>
                <w:bCs/>
                <w:color w:val="000000" w:themeColor="text1"/>
              </w:rPr>
              <w:t>papildināt</w:t>
            </w:r>
            <w:r w:rsidR="00C90667" w:rsidRPr="00BB46BB">
              <w:rPr>
                <w:bCs/>
                <w:color w:val="000000" w:themeColor="text1"/>
              </w:rPr>
              <w:t>i</w:t>
            </w:r>
            <w:r w:rsidRPr="00BB46BB">
              <w:rPr>
                <w:bCs/>
                <w:color w:val="000000" w:themeColor="text1"/>
              </w:rPr>
              <w:t xml:space="preserve"> ar 139.5.apakšpunktu, </w:t>
            </w:r>
            <w:r w:rsidR="00C90667" w:rsidRPr="00BB46BB">
              <w:rPr>
                <w:bCs/>
                <w:color w:val="000000" w:themeColor="text1"/>
              </w:rPr>
              <w:t xml:space="preserve">kurā noteikts, </w:t>
            </w:r>
            <w:r w:rsidRPr="00BB46BB">
              <w:rPr>
                <w:bCs/>
                <w:color w:val="000000" w:themeColor="text1"/>
              </w:rPr>
              <w:t xml:space="preserve">ka, atlasot pacientu medicīniskās rehabilitācijas pakalpojumam, jānovērtē </w:t>
            </w:r>
            <w:r w:rsidR="00176CBF" w:rsidRPr="00BB46BB">
              <w:rPr>
                <w:bCs/>
                <w:color w:val="000000" w:themeColor="text1"/>
              </w:rPr>
              <w:t>pakalpojuma sniegšanas vieta</w:t>
            </w:r>
            <w:r w:rsidRPr="00BB46BB">
              <w:rPr>
                <w:bCs/>
                <w:color w:val="000000" w:themeColor="text1"/>
              </w:rPr>
              <w:t>, atbilstoši pacienta veselības stāvoklim;</w:t>
            </w:r>
          </w:p>
          <w:p w:rsidR="00173B8E" w:rsidRPr="00BB46BB" w:rsidRDefault="00173B8E" w:rsidP="00D67432">
            <w:pPr>
              <w:ind w:firstLine="252"/>
              <w:jc w:val="both"/>
              <w:rPr>
                <w:color w:val="000000" w:themeColor="text1"/>
              </w:rPr>
            </w:pPr>
            <w:r w:rsidRPr="00BB46BB">
              <w:rPr>
                <w:bCs/>
                <w:color w:val="000000" w:themeColor="text1"/>
              </w:rPr>
              <w:t>-</w:t>
            </w:r>
            <w:r w:rsidR="00C90667" w:rsidRPr="00BB46BB">
              <w:rPr>
                <w:bCs/>
                <w:color w:val="000000" w:themeColor="text1"/>
              </w:rPr>
              <w:t xml:space="preserve"> noteikumu </w:t>
            </w:r>
            <w:r w:rsidRPr="00BB46BB">
              <w:rPr>
                <w:bCs/>
                <w:color w:val="000000" w:themeColor="text1"/>
              </w:rPr>
              <w:t>145.punkt</w:t>
            </w:r>
            <w:r w:rsidR="00C90667" w:rsidRPr="00BB46BB">
              <w:rPr>
                <w:bCs/>
                <w:color w:val="000000" w:themeColor="text1"/>
              </w:rPr>
              <w:t>s</w:t>
            </w:r>
            <w:r w:rsidRPr="00BB46BB">
              <w:rPr>
                <w:bCs/>
                <w:color w:val="000000" w:themeColor="text1"/>
              </w:rPr>
              <w:t xml:space="preserve"> </w:t>
            </w:r>
            <w:r w:rsidR="00C00BDC" w:rsidRPr="00BB46BB">
              <w:rPr>
                <w:bCs/>
                <w:color w:val="000000" w:themeColor="text1"/>
              </w:rPr>
              <w:t xml:space="preserve">izteikts </w:t>
            </w:r>
            <w:r w:rsidRPr="00BB46BB">
              <w:rPr>
                <w:bCs/>
                <w:color w:val="000000" w:themeColor="text1"/>
              </w:rPr>
              <w:t>jaunā redakcijā</w:t>
            </w:r>
            <w:r w:rsidR="00805A8A" w:rsidRPr="00BB46BB">
              <w:rPr>
                <w:bCs/>
                <w:color w:val="000000" w:themeColor="text1"/>
              </w:rPr>
              <w:t xml:space="preserve">, </w:t>
            </w:r>
            <w:r w:rsidR="00C00BDC" w:rsidRPr="00BB46BB">
              <w:rPr>
                <w:bCs/>
                <w:color w:val="000000" w:themeColor="text1"/>
              </w:rPr>
              <w:t xml:space="preserve">nosakot </w:t>
            </w:r>
            <w:r w:rsidRPr="00BB46BB">
              <w:rPr>
                <w:bCs/>
                <w:color w:val="000000" w:themeColor="text1"/>
              </w:rPr>
              <w:t>nosacījum</w:t>
            </w:r>
            <w:r w:rsidR="00C00BDC" w:rsidRPr="00BB46BB">
              <w:rPr>
                <w:bCs/>
                <w:color w:val="000000" w:themeColor="text1"/>
              </w:rPr>
              <w:t>us</w:t>
            </w:r>
            <w:r w:rsidR="00805A8A" w:rsidRPr="00BB46BB">
              <w:rPr>
                <w:bCs/>
                <w:color w:val="000000" w:themeColor="text1"/>
              </w:rPr>
              <w:t>,</w:t>
            </w:r>
            <w:r w:rsidRPr="00BB46BB">
              <w:rPr>
                <w:bCs/>
                <w:color w:val="000000" w:themeColor="text1"/>
              </w:rPr>
              <w:t xml:space="preserve"> atbilstoši kuriem</w:t>
            </w:r>
            <w:r w:rsidRPr="00BB46BB">
              <w:rPr>
                <w:color w:val="000000" w:themeColor="text1"/>
              </w:rPr>
              <w:t xml:space="preserve"> medicīniskās rehabilitācijas </w:t>
            </w:r>
            <w:r w:rsidRPr="00BB46BB">
              <w:rPr>
                <w:bCs/>
                <w:color w:val="000000" w:themeColor="text1"/>
              </w:rPr>
              <w:t xml:space="preserve">multiprofesionālā komanda </w:t>
            </w:r>
            <w:r w:rsidR="00D67432" w:rsidRPr="00BB46BB">
              <w:rPr>
                <w:bCs/>
                <w:color w:val="000000" w:themeColor="text1"/>
              </w:rPr>
              <w:t xml:space="preserve">pacientam </w:t>
            </w:r>
            <w:r w:rsidRPr="00BB46BB">
              <w:rPr>
                <w:color w:val="000000" w:themeColor="text1"/>
              </w:rPr>
              <w:t>sniedz multiprofesionāl</w:t>
            </w:r>
            <w:r w:rsidR="00D67432" w:rsidRPr="00BB46BB">
              <w:rPr>
                <w:color w:val="000000" w:themeColor="text1"/>
              </w:rPr>
              <w:t>ās</w:t>
            </w:r>
            <w:r w:rsidRPr="00BB46BB">
              <w:rPr>
                <w:color w:val="000000" w:themeColor="text1"/>
              </w:rPr>
              <w:t xml:space="preserve"> medicīniskās rehabilitācijas pakalpojum</w:t>
            </w:r>
            <w:r w:rsidR="00D67432" w:rsidRPr="00BB46BB">
              <w:rPr>
                <w:color w:val="000000" w:themeColor="text1"/>
              </w:rPr>
              <w:t>u;</w:t>
            </w:r>
          </w:p>
          <w:p w:rsidR="00D67432" w:rsidRPr="00BB46BB" w:rsidRDefault="00D67432" w:rsidP="00D67432">
            <w:pPr>
              <w:ind w:firstLine="252"/>
              <w:jc w:val="both"/>
              <w:rPr>
                <w:bCs/>
                <w:color w:val="000000" w:themeColor="text1"/>
              </w:rPr>
            </w:pPr>
            <w:r w:rsidRPr="00BB46BB">
              <w:rPr>
                <w:bCs/>
                <w:color w:val="000000" w:themeColor="text1"/>
              </w:rPr>
              <w:t>-</w:t>
            </w:r>
            <w:r w:rsidR="00AA250D" w:rsidRPr="00BB46BB">
              <w:rPr>
                <w:bCs/>
                <w:color w:val="000000" w:themeColor="text1"/>
              </w:rPr>
              <w:t xml:space="preserve"> </w:t>
            </w:r>
            <w:r w:rsidR="00C00BDC" w:rsidRPr="00BB46BB">
              <w:rPr>
                <w:bCs/>
                <w:color w:val="000000" w:themeColor="text1"/>
              </w:rPr>
              <w:t xml:space="preserve">noteikumu </w:t>
            </w:r>
            <w:r w:rsidRPr="00BB46BB">
              <w:rPr>
                <w:bCs/>
                <w:color w:val="000000" w:themeColor="text1"/>
              </w:rPr>
              <w:t>146.punkt</w:t>
            </w:r>
            <w:r w:rsidR="00C00BDC" w:rsidRPr="00BB46BB">
              <w:rPr>
                <w:bCs/>
                <w:color w:val="000000" w:themeColor="text1"/>
              </w:rPr>
              <w:t>s</w:t>
            </w:r>
            <w:r w:rsidRPr="00BB46BB">
              <w:rPr>
                <w:bCs/>
                <w:color w:val="000000" w:themeColor="text1"/>
              </w:rPr>
              <w:t xml:space="preserve"> </w:t>
            </w:r>
            <w:r w:rsidR="00C00BDC" w:rsidRPr="00BB46BB">
              <w:rPr>
                <w:bCs/>
                <w:color w:val="000000" w:themeColor="text1"/>
              </w:rPr>
              <w:t xml:space="preserve">izteikts </w:t>
            </w:r>
            <w:r w:rsidRPr="00BB46BB">
              <w:rPr>
                <w:bCs/>
                <w:color w:val="000000" w:themeColor="text1"/>
              </w:rPr>
              <w:t xml:space="preserve">jaunā redakcijā, </w:t>
            </w:r>
            <w:r w:rsidR="00805A8A" w:rsidRPr="00BB46BB">
              <w:rPr>
                <w:bCs/>
                <w:color w:val="000000" w:themeColor="text1"/>
              </w:rPr>
              <w:t xml:space="preserve">nosakot </w:t>
            </w:r>
            <w:r w:rsidR="00E05FB3" w:rsidRPr="00BB46BB">
              <w:rPr>
                <w:bCs/>
                <w:color w:val="000000" w:themeColor="text1"/>
              </w:rPr>
              <w:t>gadījum</w:t>
            </w:r>
            <w:r w:rsidR="00805A8A" w:rsidRPr="00BB46BB">
              <w:rPr>
                <w:bCs/>
                <w:color w:val="000000" w:themeColor="text1"/>
              </w:rPr>
              <w:t>us, kad</w:t>
            </w:r>
            <w:r w:rsidR="00E05FB3" w:rsidRPr="00BB46BB">
              <w:rPr>
                <w:bCs/>
                <w:color w:val="000000" w:themeColor="text1"/>
              </w:rPr>
              <w:t xml:space="preserve"> </w:t>
            </w:r>
            <w:r w:rsidRPr="00BB46BB">
              <w:rPr>
                <w:bCs/>
                <w:color w:val="000000" w:themeColor="text1"/>
              </w:rPr>
              <w:t xml:space="preserve"> pacients </w:t>
            </w:r>
            <w:r w:rsidR="00E05FB3" w:rsidRPr="00BB46BB">
              <w:rPr>
                <w:bCs/>
                <w:color w:val="000000" w:themeColor="text1"/>
              </w:rPr>
              <w:t xml:space="preserve">multiprofesionālos medicīniskās rehabilitācijas pakalpojumus </w:t>
            </w:r>
            <w:r w:rsidRPr="00BB46BB">
              <w:rPr>
                <w:bCs/>
                <w:color w:val="000000" w:themeColor="text1"/>
              </w:rPr>
              <w:t>saņem dienas stacionārā un k</w:t>
            </w:r>
            <w:r w:rsidR="00805A8A" w:rsidRPr="00BB46BB">
              <w:rPr>
                <w:bCs/>
                <w:color w:val="000000" w:themeColor="text1"/>
              </w:rPr>
              <w:t>a</w:t>
            </w:r>
            <w:r w:rsidRPr="00BB46BB">
              <w:rPr>
                <w:bCs/>
                <w:color w:val="000000" w:themeColor="text1"/>
              </w:rPr>
              <w:t>d</w:t>
            </w:r>
            <w:r w:rsidR="00E05FB3" w:rsidRPr="00BB46BB">
              <w:rPr>
                <w:bCs/>
                <w:color w:val="000000" w:themeColor="text1"/>
              </w:rPr>
              <w:t xml:space="preserve"> </w:t>
            </w:r>
            <w:r w:rsidRPr="00BB46BB">
              <w:rPr>
                <w:bCs/>
                <w:color w:val="000000" w:themeColor="text1"/>
              </w:rPr>
              <w:t>stacionārā;</w:t>
            </w:r>
          </w:p>
          <w:p w:rsidR="00507456" w:rsidRPr="00BB46BB" w:rsidRDefault="00E05FB3" w:rsidP="00D67432">
            <w:pPr>
              <w:ind w:firstLine="252"/>
              <w:jc w:val="both"/>
              <w:rPr>
                <w:bCs/>
                <w:color w:val="000000" w:themeColor="text1"/>
              </w:rPr>
            </w:pPr>
            <w:r w:rsidRPr="00BB46BB">
              <w:rPr>
                <w:bCs/>
                <w:color w:val="000000" w:themeColor="text1"/>
              </w:rPr>
              <w:t>-</w:t>
            </w:r>
            <w:r w:rsidR="00AA250D" w:rsidRPr="00BB46BB">
              <w:rPr>
                <w:bCs/>
                <w:color w:val="000000" w:themeColor="text1"/>
              </w:rPr>
              <w:t xml:space="preserve"> </w:t>
            </w:r>
            <w:r w:rsidR="00C00BDC" w:rsidRPr="00BB46BB">
              <w:rPr>
                <w:bCs/>
                <w:color w:val="000000" w:themeColor="text1"/>
              </w:rPr>
              <w:t xml:space="preserve">noteikumu </w:t>
            </w:r>
            <w:r w:rsidRPr="00BB46BB">
              <w:rPr>
                <w:bCs/>
                <w:color w:val="000000" w:themeColor="text1"/>
              </w:rPr>
              <w:t>147.punktā precizēt</w:t>
            </w:r>
            <w:r w:rsidR="00C00BDC" w:rsidRPr="00BB46BB">
              <w:rPr>
                <w:bCs/>
                <w:color w:val="000000" w:themeColor="text1"/>
              </w:rPr>
              <w:t>a</w:t>
            </w:r>
            <w:r w:rsidRPr="00BB46BB">
              <w:rPr>
                <w:bCs/>
                <w:color w:val="000000" w:themeColor="text1"/>
              </w:rPr>
              <w:t xml:space="preserve"> terminoloģij</w:t>
            </w:r>
            <w:r w:rsidR="00C00BDC" w:rsidRPr="00BB46BB">
              <w:rPr>
                <w:bCs/>
                <w:color w:val="000000" w:themeColor="text1"/>
              </w:rPr>
              <w:t>a</w:t>
            </w:r>
            <w:r w:rsidRPr="00BB46BB">
              <w:rPr>
                <w:bCs/>
                <w:color w:val="000000" w:themeColor="text1"/>
              </w:rPr>
              <w:t xml:space="preserve"> attiecībā uz gadījumiem, kad fizikālās un rehabilitācijas medicīnas ārsts personu var iekļaut medicīniskās rehabilitācijas dinamiskajā novērošanā</w:t>
            </w:r>
            <w:r w:rsidR="00507456" w:rsidRPr="00BB46BB">
              <w:rPr>
                <w:bCs/>
                <w:color w:val="000000" w:themeColor="text1"/>
              </w:rPr>
              <w:t>;</w:t>
            </w:r>
          </w:p>
          <w:p w:rsidR="00E05FB3" w:rsidRPr="00BB46BB" w:rsidRDefault="00507456" w:rsidP="00D67432">
            <w:pPr>
              <w:ind w:firstLine="252"/>
              <w:jc w:val="both"/>
              <w:rPr>
                <w:bCs/>
                <w:color w:val="000000" w:themeColor="text1"/>
              </w:rPr>
            </w:pPr>
            <w:r w:rsidRPr="00BB46BB">
              <w:rPr>
                <w:bCs/>
                <w:color w:val="000000" w:themeColor="text1"/>
              </w:rPr>
              <w:t xml:space="preserve"> noteikumu 148.punktā precizēti ārsta pienākumi, īstenojot dinamisko novērošanu medicīniskajā rehabilitācijā, organizējot rehabilitācijas plāna sagatavošanu vai pārskatīšanu.</w:t>
            </w:r>
          </w:p>
          <w:p w:rsidR="00E05FB3" w:rsidRPr="00BB46BB" w:rsidRDefault="00E05FB3" w:rsidP="00D67432">
            <w:pPr>
              <w:ind w:firstLine="252"/>
              <w:jc w:val="both"/>
              <w:rPr>
                <w:bCs/>
                <w:color w:val="000000" w:themeColor="text1"/>
              </w:rPr>
            </w:pPr>
            <w:r w:rsidRPr="00BB46BB">
              <w:rPr>
                <w:bCs/>
                <w:color w:val="000000" w:themeColor="text1"/>
              </w:rPr>
              <w:t>Noteikumu 1</w:t>
            </w:r>
            <w:r w:rsidR="00171D75" w:rsidRPr="00BB46BB">
              <w:rPr>
                <w:bCs/>
                <w:color w:val="000000" w:themeColor="text1"/>
              </w:rPr>
              <w:t>54</w:t>
            </w:r>
            <w:r w:rsidRPr="00BB46BB">
              <w:rPr>
                <w:bCs/>
                <w:color w:val="000000" w:themeColor="text1"/>
              </w:rPr>
              <w:t xml:space="preserve">.punkts papildināts ar normu, </w:t>
            </w:r>
            <w:r w:rsidR="000546F4" w:rsidRPr="00BB46BB">
              <w:rPr>
                <w:bCs/>
                <w:color w:val="000000" w:themeColor="text1"/>
              </w:rPr>
              <w:t xml:space="preserve">kas nosaka, </w:t>
            </w:r>
            <w:r w:rsidRPr="00BB46BB">
              <w:rPr>
                <w:bCs/>
                <w:color w:val="000000" w:themeColor="text1"/>
              </w:rPr>
              <w:t xml:space="preserve">ka NVD </w:t>
            </w:r>
            <w:r w:rsidR="00171D75" w:rsidRPr="00BB46BB">
              <w:rPr>
                <w:bCs/>
                <w:color w:val="000000" w:themeColor="text1"/>
              </w:rPr>
              <w:t xml:space="preserve">ārstniecības iestādei </w:t>
            </w:r>
            <w:r w:rsidRPr="00BB46BB">
              <w:rPr>
                <w:bCs/>
                <w:color w:val="000000" w:themeColor="text1"/>
              </w:rPr>
              <w:t xml:space="preserve">neapmaksā </w:t>
            </w:r>
            <w:r w:rsidR="00171D75" w:rsidRPr="00BB46BB">
              <w:rPr>
                <w:bCs/>
                <w:color w:val="000000" w:themeColor="text1"/>
              </w:rPr>
              <w:t xml:space="preserve">pacientu </w:t>
            </w:r>
            <w:r w:rsidRPr="00BB46BB">
              <w:rPr>
                <w:bCs/>
                <w:color w:val="000000" w:themeColor="text1"/>
              </w:rPr>
              <w:t>ārstēšan</w:t>
            </w:r>
            <w:r w:rsidR="00171D75" w:rsidRPr="00BB46BB">
              <w:rPr>
                <w:bCs/>
                <w:color w:val="000000" w:themeColor="text1"/>
              </w:rPr>
              <w:t>u</w:t>
            </w:r>
            <w:r w:rsidRPr="00BB46BB">
              <w:rPr>
                <w:bCs/>
                <w:color w:val="000000" w:themeColor="text1"/>
              </w:rPr>
              <w:t xml:space="preserve"> dienas stacionārā, ja tajā tiek veiktas lielās ķirurģiskās operācijas, kuras nav iekļautas dienas stacionār</w:t>
            </w:r>
            <w:r w:rsidR="00171D75" w:rsidRPr="00BB46BB">
              <w:rPr>
                <w:bCs/>
                <w:color w:val="000000" w:themeColor="text1"/>
              </w:rPr>
              <w:t xml:space="preserve">ā veicamo pakalpojumu sarakstā </w:t>
            </w:r>
            <w:r w:rsidRPr="00BB46BB">
              <w:rPr>
                <w:bCs/>
                <w:color w:val="000000" w:themeColor="text1"/>
              </w:rPr>
              <w:t xml:space="preserve"> (noteikumu 19.pielikums).</w:t>
            </w:r>
          </w:p>
          <w:p w:rsidR="00336E8F" w:rsidRPr="00BB46BB" w:rsidRDefault="004421A0" w:rsidP="000546F4">
            <w:pPr>
              <w:ind w:firstLine="252"/>
              <w:jc w:val="both"/>
              <w:rPr>
                <w:bCs/>
                <w:color w:val="000000" w:themeColor="text1"/>
              </w:rPr>
            </w:pPr>
            <w:r w:rsidRPr="00BB46BB">
              <w:rPr>
                <w:bCs/>
                <w:color w:val="000000" w:themeColor="text1"/>
              </w:rPr>
              <w:t>Lai izpildītu Ministru kabineta 2011.gada 15.februāra Valdības rīcības plāna 10.7.2.punktā noteikto, kas paredz „Izstrādāt un uzsākt pielietot stacionārajā veselības aprūpē ar diagnozēm saistīto grupu (Diagnosis related groups – DRG) apmaksas modeli,</w:t>
            </w:r>
            <w:r w:rsidR="00EC2DD4" w:rsidRPr="00BB46BB">
              <w:rPr>
                <w:bCs/>
                <w:color w:val="000000" w:themeColor="text1"/>
              </w:rPr>
              <w:t>”</w:t>
            </w:r>
            <w:r w:rsidRPr="00BB46BB">
              <w:rPr>
                <w:bCs/>
                <w:color w:val="000000" w:themeColor="text1"/>
              </w:rPr>
              <w:t xml:space="preserve"> tiek ieviesta jauna kārtībā, kādā tiks uzskaitīti un apmaksāti daļa no stacionārā ārstniecības iestādē sniegtajiem pakalpojumiem. DRG sistēma tiek ieviesta, lai nodrošinātu veselības statistikas uzskaiti atbilstoši Pasaules Veselības organizācijas izstrādātai metodoloģijai, pielietotu starptautiski atzītu procedūru klasifikatoru (Ziemeļvalstu ķirurģisko procedūru </w:t>
            </w:r>
            <w:r w:rsidRPr="00BB46BB">
              <w:rPr>
                <w:bCs/>
                <w:color w:val="000000" w:themeColor="text1"/>
              </w:rPr>
              <w:lastRenderedPageBreak/>
              <w:t xml:space="preserve">klasifikācija (NOMESCO)) un paaugstinātu ārstēšanas izmaksu efektivitāti par sniegto pakalpojumu, kā arī, lai veiktu sniegto pakalpojumu apmaksu, ņemot vērā pacientu veselības stāvokļa sarežģītību. Izmaiņas 168.1.apakšpunktā veiktas </w:t>
            </w:r>
            <w:r w:rsidR="006C43BD" w:rsidRPr="00BB46BB">
              <w:rPr>
                <w:bCs/>
                <w:color w:val="000000" w:themeColor="text1"/>
              </w:rPr>
              <w:t>saistībā ar DRG sistēmas, kura maina finansējuma plānošanas un pakalpojumu apmaksas kārtību, ieviešanu</w:t>
            </w:r>
            <w:r w:rsidR="00336E8F" w:rsidRPr="00BB46BB">
              <w:rPr>
                <w:bCs/>
                <w:color w:val="000000" w:themeColor="text1"/>
              </w:rPr>
              <w:t xml:space="preserve"> un</w:t>
            </w:r>
            <w:r w:rsidR="006C43BD" w:rsidRPr="00BB46BB">
              <w:rPr>
                <w:bCs/>
                <w:color w:val="000000" w:themeColor="text1"/>
              </w:rPr>
              <w:t xml:space="preserve"> </w:t>
            </w:r>
            <w:r w:rsidR="00336E8F" w:rsidRPr="00BB46BB">
              <w:rPr>
                <w:bCs/>
                <w:color w:val="000000" w:themeColor="text1"/>
              </w:rPr>
              <w:t xml:space="preserve">paredz, ka ikmēneša fiksētajā maksājumā par stacionārās veselības aprūpes pakalpojumu sniegšanu tiks iekļauti divu veidu </w:t>
            </w:r>
            <w:r w:rsidR="008D64C9" w:rsidRPr="00BB46BB">
              <w:rPr>
                <w:bCs/>
                <w:color w:val="000000" w:themeColor="text1"/>
              </w:rPr>
              <w:t>maksājumi</w:t>
            </w:r>
            <w:r w:rsidR="00336E8F" w:rsidRPr="00BB46BB">
              <w:rPr>
                <w:bCs/>
                <w:color w:val="000000" w:themeColor="text1"/>
              </w:rPr>
              <w:t xml:space="preserve"> </w:t>
            </w:r>
            <w:r w:rsidR="008D64C9" w:rsidRPr="00BB46BB">
              <w:rPr>
                <w:bCs/>
                <w:color w:val="000000" w:themeColor="text1"/>
              </w:rPr>
              <w:t>–</w:t>
            </w:r>
            <w:r w:rsidR="00336E8F" w:rsidRPr="00BB46BB">
              <w:rPr>
                <w:bCs/>
                <w:color w:val="000000" w:themeColor="text1"/>
              </w:rPr>
              <w:t xml:space="preserve"> </w:t>
            </w:r>
            <w:r w:rsidR="008D64C9" w:rsidRPr="00BB46BB">
              <w:rPr>
                <w:bCs/>
                <w:color w:val="000000" w:themeColor="text1"/>
              </w:rPr>
              <w:t xml:space="preserve">viens, kas aprēķināts atbilstoši DRG sistēmai, par pakalpojumiem, kas ietilpst DRG grupā, un otrs – par pakalpojumiem, kas neietilpst DRG grupā un aprēķināts, izmantojot līdzšinējo noteikumos noteikto kārtību, t.i. izmantojot viena pacienta ārstēšanas tarifu.   </w:t>
            </w:r>
            <w:r w:rsidR="006C43BD" w:rsidRPr="00BB46BB">
              <w:rPr>
                <w:bCs/>
                <w:color w:val="000000" w:themeColor="text1"/>
              </w:rPr>
              <w:t xml:space="preserve"> </w:t>
            </w:r>
          </w:p>
          <w:p w:rsidR="00AA048F" w:rsidRPr="00BB46BB" w:rsidRDefault="00F64128" w:rsidP="00AA048F">
            <w:pPr>
              <w:ind w:firstLine="252"/>
              <w:jc w:val="both"/>
              <w:rPr>
                <w:bCs/>
                <w:color w:val="000000" w:themeColor="text1"/>
              </w:rPr>
            </w:pPr>
            <w:r w:rsidRPr="00BB46BB">
              <w:rPr>
                <w:bCs/>
                <w:color w:val="000000" w:themeColor="text1"/>
              </w:rPr>
              <w:t xml:space="preserve">Noteikumi papildināti ar 168.7.apakšpunktu, kas </w:t>
            </w:r>
            <w:r w:rsidR="008D64C9" w:rsidRPr="00BB46BB">
              <w:rPr>
                <w:bCs/>
                <w:color w:val="000000" w:themeColor="text1"/>
              </w:rPr>
              <w:t>nodrošinā</w:t>
            </w:r>
            <w:r w:rsidRPr="00BB46BB">
              <w:rPr>
                <w:bCs/>
                <w:color w:val="000000" w:themeColor="text1"/>
              </w:rPr>
              <w:t>s</w:t>
            </w:r>
            <w:r w:rsidR="008D64C9" w:rsidRPr="00BB46BB">
              <w:rPr>
                <w:bCs/>
                <w:color w:val="000000" w:themeColor="text1"/>
              </w:rPr>
              <w:t xml:space="preserve"> plānveida pakalpojumu rindu mazināšanos un samaksu par lielo locītavu plānveida operāciju veikšanu atbilstoši katras ārstniecības iestādes veiktā darba apjomam</w:t>
            </w:r>
            <w:r w:rsidR="00F210A6" w:rsidRPr="00BB46BB">
              <w:rPr>
                <w:bCs/>
                <w:color w:val="000000" w:themeColor="text1"/>
              </w:rPr>
              <w:t xml:space="preserve"> - viena pacienta ārstēšanas tarif</w:t>
            </w:r>
            <w:r w:rsidRPr="00BB46BB">
              <w:rPr>
                <w:bCs/>
                <w:color w:val="000000" w:themeColor="text1"/>
              </w:rPr>
              <w:t>am</w:t>
            </w:r>
            <w:r w:rsidR="00F210A6" w:rsidRPr="00BB46BB">
              <w:rPr>
                <w:bCs/>
                <w:color w:val="000000" w:themeColor="text1"/>
              </w:rPr>
              <w:t xml:space="preserve"> par katru pacientu</w:t>
            </w:r>
            <w:r w:rsidR="008D64C9" w:rsidRPr="00BB46BB">
              <w:rPr>
                <w:bCs/>
                <w:color w:val="000000" w:themeColor="text1"/>
              </w:rPr>
              <w:t>, nevis fiksētā maksājuma ietvaros</w:t>
            </w:r>
            <w:r w:rsidRPr="00BB46BB">
              <w:rPr>
                <w:bCs/>
                <w:color w:val="000000" w:themeColor="text1"/>
              </w:rPr>
              <w:t>.</w:t>
            </w:r>
            <w:r w:rsidR="00EC2DD4" w:rsidRPr="00BB46BB">
              <w:rPr>
                <w:bCs/>
                <w:color w:val="000000" w:themeColor="text1"/>
              </w:rPr>
              <w:t xml:space="preserve"> </w:t>
            </w:r>
          </w:p>
          <w:p w:rsidR="00AA048F" w:rsidRPr="00BB46BB" w:rsidRDefault="00F64128" w:rsidP="00AA048F">
            <w:pPr>
              <w:ind w:firstLine="252"/>
              <w:jc w:val="both"/>
              <w:rPr>
                <w:bCs/>
                <w:color w:val="000000" w:themeColor="text1"/>
              </w:rPr>
            </w:pPr>
            <w:r w:rsidRPr="00BB46BB">
              <w:rPr>
                <w:bCs/>
                <w:color w:val="000000" w:themeColor="text1"/>
              </w:rPr>
              <w:t xml:space="preserve">Noteikumu </w:t>
            </w:r>
            <w:r w:rsidR="00AA048F" w:rsidRPr="00BB46BB">
              <w:rPr>
                <w:bCs/>
                <w:color w:val="000000" w:themeColor="text1"/>
              </w:rPr>
              <w:t>169.punktā veikti redakcionāli precizējumi</w:t>
            </w:r>
            <w:r w:rsidR="005A496D" w:rsidRPr="00BB46BB">
              <w:rPr>
                <w:bCs/>
                <w:color w:val="000000" w:themeColor="text1"/>
              </w:rPr>
              <w:t>,</w:t>
            </w:r>
            <w:r w:rsidR="00AA048F" w:rsidRPr="00BB46BB">
              <w:rPr>
                <w:bCs/>
                <w:color w:val="000000" w:themeColor="text1"/>
              </w:rPr>
              <w:t xml:space="preserve"> mainot atsauci uz 168.2.apakšpunktā minēto ikmēneša fiksēto piemaksu par daudzprofilu slimnīcas uzņemšanas nodaļas darbību.</w:t>
            </w:r>
          </w:p>
          <w:p w:rsidR="00AA048F" w:rsidRPr="00BB46BB" w:rsidRDefault="00942D6D" w:rsidP="00AA048F">
            <w:pPr>
              <w:ind w:firstLine="252"/>
              <w:jc w:val="both"/>
              <w:rPr>
                <w:bCs/>
                <w:color w:val="000000" w:themeColor="text1"/>
              </w:rPr>
            </w:pPr>
            <w:r w:rsidRPr="00BB46BB">
              <w:rPr>
                <w:bCs/>
                <w:color w:val="000000" w:themeColor="text1"/>
              </w:rPr>
              <w:t>Noteikumu 172.punkts izteikts jaunā redakcijā, l</w:t>
            </w:r>
            <w:r w:rsidR="00F210A6" w:rsidRPr="00BB46BB">
              <w:rPr>
                <w:bCs/>
                <w:color w:val="000000" w:themeColor="text1"/>
              </w:rPr>
              <w:t>ai uzlabotu pakalpojumu pieejamību iedzīvotājiem ar zemiem ienākumiem un novērstu situāciju, ka</w:t>
            </w:r>
            <w:r w:rsidR="00662CBA" w:rsidRPr="00BB46BB">
              <w:rPr>
                <w:bCs/>
                <w:color w:val="000000" w:themeColor="text1"/>
              </w:rPr>
              <w:t>d</w:t>
            </w:r>
            <w:r w:rsidR="00F210A6" w:rsidRPr="00BB46BB">
              <w:rPr>
                <w:bCs/>
                <w:color w:val="000000" w:themeColor="text1"/>
              </w:rPr>
              <w:t xml:space="preserve"> ārstniecības iestādes primāri </w:t>
            </w:r>
            <w:r w:rsidR="005A496D" w:rsidRPr="00BB46BB">
              <w:rPr>
                <w:bCs/>
                <w:color w:val="000000" w:themeColor="text1"/>
              </w:rPr>
              <w:t xml:space="preserve">veselības aprūpes </w:t>
            </w:r>
            <w:r w:rsidR="00F210A6" w:rsidRPr="00BB46BB">
              <w:rPr>
                <w:bCs/>
                <w:color w:val="000000" w:themeColor="text1"/>
              </w:rPr>
              <w:t>pakalpojumus nodrošina pacientiem, kuri no personīgiem līdzekļiem var segt pusi no operācijas izmaksām, tādā veid</w:t>
            </w:r>
            <w:r w:rsidR="005A496D" w:rsidRPr="00BB46BB">
              <w:rPr>
                <w:bCs/>
                <w:color w:val="000000" w:themeColor="text1"/>
              </w:rPr>
              <w:t>ā</w:t>
            </w:r>
            <w:r w:rsidR="00F210A6" w:rsidRPr="00BB46BB">
              <w:rPr>
                <w:bCs/>
                <w:color w:val="000000" w:themeColor="text1"/>
              </w:rPr>
              <w:t xml:space="preserve"> nodrošinot arī ārstniecības iestādēm papildus ienākumus</w:t>
            </w:r>
            <w:r w:rsidRPr="00BB46BB">
              <w:rPr>
                <w:bCs/>
                <w:color w:val="000000" w:themeColor="text1"/>
              </w:rPr>
              <w:t xml:space="preserve">. Jaunajā redakcijā </w:t>
            </w:r>
            <w:r w:rsidR="000400A5" w:rsidRPr="00BB46BB">
              <w:rPr>
                <w:bCs/>
                <w:color w:val="000000" w:themeColor="text1"/>
              </w:rPr>
              <w:t xml:space="preserve">ietverti </w:t>
            </w:r>
            <w:r w:rsidR="00F210A6" w:rsidRPr="00BB46BB">
              <w:rPr>
                <w:bCs/>
                <w:color w:val="000000" w:themeColor="text1"/>
              </w:rPr>
              <w:t>papildu nosacījum</w:t>
            </w:r>
            <w:r w:rsidR="000400A5" w:rsidRPr="00BB46BB">
              <w:rPr>
                <w:bCs/>
                <w:color w:val="000000" w:themeColor="text1"/>
              </w:rPr>
              <w:t>i</w:t>
            </w:r>
            <w:r w:rsidR="005A496D" w:rsidRPr="00BB46BB">
              <w:rPr>
                <w:bCs/>
                <w:color w:val="000000" w:themeColor="text1"/>
              </w:rPr>
              <w:t xml:space="preserve"> un proporcij</w:t>
            </w:r>
            <w:r w:rsidR="00095E48" w:rsidRPr="00BB46BB">
              <w:rPr>
                <w:bCs/>
                <w:color w:val="000000" w:themeColor="text1"/>
              </w:rPr>
              <w:t>a</w:t>
            </w:r>
            <w:r w:rsidR="00F210A6" w:rsidRPr="00BB46BB">
              <w:rPr>
                <w:bCs/>
                <w:color w:val="000000" w:themeColor="text1"/>
              </w:rPr>
              <w:t xml:space="preserve">, kas jāievēro ārstniecības iestādēm, veicot </w:t>
            </w:r>
            <w:r w:rsidR="00454754" w:rsidRPr="00BB46BB">
              <w:rPr>
                <w:bCs/>
                <w:color w:val="000000" w:themeColor="text1"/>
              </w:rPr>
              <w:t xml:space="preserve">valsts apmaksāto </w:t>
            </w:r>
            <w:r w:rsidR="00F210A6" w:rsidRPr="00BB46BB">
              <w:rPr>
                <w:bCs/>
                <w:color w:val="000000" w:themeColor="text1"/>
              </w:rPr>
              <w:t>plānveida gūžas locītavas endoprotezēšanu.</w:t>
            </w:r>
            <w:r w:rsidR="006C43BD" w:rsidRPr="00BB46BB">
              <w:rPr>
                <w:bCs/>
                <w:color w:val="000000" w:themeColor="text1"/>
              </w:rPr>
              <w:t xml:space="preserve"> </w:t>
            </w:r>
          </w:p>
          <w:p w:rsidR="00503FAB" w:rsidRPr="00BB46BB" w:rsidRDefault="00942D6D" w:rsidP="00AA048F">
            <w:pPr>
              <w:ind w:firstLine="252"/>
              <w:jc w:val="both"/>
              <w:rPr>
                <w:bCs/>
                <w:color w:val="000000" w:themeColor="text1"/>
              </w:rPr>
            </w:pPr>
            <w:r w:rsidRPr="00BB46BB">
              <w:rPr>
                <w:bCs/>
                <w:color w:val="000000" w:themeColor="text1"/>
              </w:rPr>
              <w:t xml:space="preserve">Noteikumu </w:t>
            </w:r>
            <w:r w:rsidR="00503FAB" w:rsidRPr="00BB46BB">
              <w:rPr>
                <w:bCs/>
                <w:color w:val="000000" w:themeColor="text1"/>
              </w:rPr>
              <w:t>176.punktā iekļautā norma ir zaudējusi aktualitāti, jo ārstniecības iestādes vairs neizmanto šajā punktā noteiktās tiesības iekasēt no personas līdzmaksājumu, ja persona izvēlas dārgāku trahejas neapklāto nitinola stentu. Līdz ar to šis noteikumu punkts ir svītrojams.</w:t>
            </w:r>
          </w:p>
          <w:p w:rsidR="000546F4" w:rsidRPr="00BB46BB" w:rsidRDefault="00942D6D" w:rsidP="00F36250">
            <w:pPr>
              <w:ind w:firstLine="252"/>
              <w:jc w:val="both"/>
              <w:rPr>
                <w:bCs/>
                <w:color w:val="000000" w:themeColor="text1"/>
              </w:rPr>
            </w:pPr>
            <w:r w:rsidRPr="00BB46BB">
              <w:rPr>
                <w:bCs/>
                <w:color w:val="000000" w:themeColor="text1"/>
              </w:rPr>
              <w:t xml:space="preserve">Noteikumu </w:t>
            </w:r>
            <w:r w:rsidR="00F36250" w:rsidRPr="00BB46BB">
              <w:rPr>
                <w:bCs/>
                <w:color w:val="000000" w:themeColor="text1"/>
              </w:rPr>
              <w:t xml:space="preserve">179.punkts papildināts ar nosacījumu, ka stacionārās ārstniecības iestādes ir tiesīgas saņemt no valsts maksu par sniegto pakalpojumu arī gadījumos, ja dzemdētāja nesaskaņoti atstāj slimnīcu uzreiz pēc dzemdībām, t.i. ārstniecības iestādē pavada tikai vienu dienu.   </w:t>
            </w:r>
          </w:p>
          <w:p w:rsidR="007E7390" w:rsidRPr="00BB46BB" w:rsidRDefault="0013531C" w:rsidP="00186F7E">
            <w:pPr>
              <w:ind w:firstLine="252"/>
              <w:jc w:val="both"/>
              <w:rPr>
                <w:bCs/>
                <w:color w:val="000000" w:themeColor="text1"/>
              </w:rPr>
            </w:pPr>
            <w:r w:rsidRPr="00BB46BB">
              <w:rPr>
                <w:bCs/>
                <w:color w:val="000000" w:themeColor="text1"/>
              </w:rPr>
              <w:t xml:space="preserve">Ņemot vērā, ka profilaktisko apskašu apmaksai nepieciešamie finanšu līdzekļi tiek plānoti un apmaksāti citādā kārtībā, nekā laboratorijas izmeklējumi, tad no noteikumiem tiek svītrots  182.1.3.apakšpunkts, kurš noteica, ka laboratoriskos izmeklējumus, kas veikti profilaktiskās apskates ietvaros, apmaksā no noteikumu 181.punktā noteiktajā kārtībā aprēķinātajiem rezerves līdzekļiem ambulatoro laboratorisko pakalpojumu apmaksai.   </w:t>
            </w:r>
            <w:r w:rsidR="007E7390" w:rsidRPr="00BB46BB">
              <w:rPr>
                <w:bCs/>
                <w:color w:val="000000" w:themeColor="text1"/>
              </w:rPr>
              <w:t xml:space="preserve">Ar grozījumiem 184.2.apakšpunktā un 186.punktā precizēta finanšu līdzekļu plānošanas kārtība, ar kuru tiek noteikta summa, kuras ietvaros  ārstam jāiekļaujas, nosūtot </w:t>
            </w:r>
            <w:r w:rsidR="007E7390" w:rsidRPr="00BB46BB">
              <w:rPr>
                <w:bCs/>
                <w:color w:val="000000" w:themeColor="text1"/>
              </w:rPr>
              <w:lastRenderedPageBreak/>
              <w:t>pacientus uz laboratorijas izmeklējumiem.</w:t>
            </w:r>
            <w:bookmarkStart w:id="4" w:name="_GoBack"/>
            <w:bookmarkEnd w:id="4"/>
          </w:p>
          <w:p w:rsidR="00186F7E" w:rsidRDefault="00F36250" w:rsidP="00186F7E">
            <w:pPr>
              <w:ind w:firstLine="252"/>
              <w:jc w:val="both"/>
              <w:rPr>
                <w:bCs/>
                <w:color w:val="000000" w:themeColor="text1"/>
              </w:rPr>
            </w:pPr>
            <w:r w:rsidRPr="00BB46BB">
              <w:rPr>
                <w:bCs/>
                <w:color w:val="000000" w:themeColor="text1"/>
              </w:rPr>
              <w:t xml:space="preserve">Grozījums 191.punktā precizē </w:t>
            </w:r>
            <w:r w:rsidR="00AE09F1" w:rsidRPr="00BB46BB">
              <w:rPr>
                <w:bCs/>
                <w:color w:val="000000" w:themeColor="text1"/>
              </w:rPr>
              <w:t>laboratorisko pakalpojumu apmaksai nepieciešamo līdzekļu apjoma aprēķina kārtību atbilstoši reālajai situācijai, t.i. nosak</w:t>
            </w:r>
            <w:r w:rsidR="00186F7E" w:rsidRPr="00BB46BB">
              <w:rPr>
                <w:bCs/>
                <w:color w:val="000000" w:themeColor="text1"/>
              </w:rPr>
              <w:t>a</w:t>
            </w:r>
            <w:r w:rsidR="00AE09F1" w:rsidRPr="00BB46BB">
              <w:rPr>
                <w:bCs/>
                <w:color w:val="000000" w:themeColor="text1"/>
              </w:rPr>
              <w:t xml:space="preserve"> </w:t>
            </w:r>
            <w:r w:rsidR="00186F7E" w:rsidRPr="00BB46BB">
              <w:rPr>
                <w:bCs/>
                <w:color w:val="000000" w:themeColor="text1"/>
              </w:rPr>
              <w:t>izvērtējuma periodu no 1.janvāra līdz 31</w:t>
            </w:r>
            <w:r w:rsidR="00AE09F1" w:rsidRPr="00BB46BB">
              <w:rPr>
                <w:bCs/>
                <w:color w:val="000000" w:themeColor="text1"/>
              </w:rPr>
              <w:t>.</w:t>
            </w:r>
            <w:r w:rsidR="00186F7E" w:rsidRPr="00BB46BB">
              <w:rPr>
                <w:bCs/>
                <w:color w:val="000000" w:themeColor="text1"/>
              </w:rPr>
              <w:t>decembrim, lai salīdzinātu aprēķināto un līgumā ar ārstniecības iestādi norādīto ambulatoro laboratorisko pakalpojumu apmaksai paredzēto līdzekļu apmēru ar izlietoto ambulatoro laboratorisko pakalpojumu apmaksai paredzēto līdzekļu apmēru.</w:t>
            </w:r>
            <w:r w:rsidR="00AE09F1" w:rsidRPr="00BB46BB">
              <w:rPr>
                <w:bCs/>
                <w:color w:val="000000" w:themeColor="text1"/>
              </w:rPr>
              <w:t xml:space="preserve"> </w:t>
            </w:r>
            <w:r w:rsidR="00186F7E" w:rsidRPr="00BB46BB">
              <w:rPr>
                <w:bCs/>
                <w:color w:val="000000" w:themeColor="text1"/>
              </w:rPr>
              <w:t>Savukārt 194.punkta redakcija ir saistīta ar grozījumiem 191.punktā.</w:t>
            </w:r>
          </w:p>
          <w:p w:rsidR="00F322E1" w:rsidRPr="00BB46BB" w:rsidRDefault="00F322E1" w:rsidP="00186F7E">
            <w:pPr>
              <w:ind w:firstLine="252"/>
              <w:jc w:val="both"/>
              <w:rPr>
                <w:bCs/>
                <w:color w:val="000000" w:themeColor="text1"/>
              </w:rPr>
            </w:pPr>
            <w:r>
              <w:rPr>
                <w:bCs/>
                <w:color w:val="000000" w:themeColor="text1"/>
              </w:rPr>
              <w:t xml:space="preserve">Grozījums 205.3.apakšpunktā nodrošinās, ka Neatliekamās medicīniskās palīdzības dienests dzīvībai kritiskā stāvoklī </w:t>
            </w:r>
            <w:r w:rsidR="008B60C6">
              <w:rPr>
                <w:bCs/>
                <w:color w:val="000000" w:themeColor="text1"/>
              </w:rPr>
              <w:t xml:space="preserve">ne tikai </w:t>
            </w:r>
            <w:r>
              <w:rPr>
                <w:bCs/>
                <w:color w:val="000000" w:themeColor="text1"/>
              </w:rPr>
              <w:t>nogādā</w:t>
            </w:r>
            <w:r w:rsidR="008B60C6">
              <w:rPr>
                <w:bCs/>
                <w:color w:val="000000" w:themeColor="text1"/>
              </w:rPr>
              <w:t>s</w:t>
            </w:r>
            <w:r>
              <w:rPr>
                <w:bCs/>
                <w:color w:val="000000" w:themeColor="text1"/>
              </w:rPr>
              <w:t xml:space="preserve"> bērnu </w:t>
            </w:r>
            <w:r w:rsidRPr="00BB46BB">
              <w:rPr>
                <w:bCs/>
                <w:color w:val="000000" w:themeColor="text1"/>
              </w:rPr>
              <w:t xml:space="preserve">ES, EEZ </w:t>
            </w:r>
            <w:r w:rsidR="008B60C6">
              <w:rPr>
                <w:bCs/>
                <w:color w:val="000000" w:themeColor="text1"/>
              </w:rPr>
              <w:t xml:space="preserve">dalībvalsts </w:t>
            </w:r>
            <w:r w:rsidRPr="00BB46BB">
              <w:rPr>
                <w:bCs/>
                <w:color w:val="000000" w:themeColor="text1"/>
              </w:rPr>
              <w:t>vai Šveic</w:t>
            </w:r>
            <w:r w:rsidR="008B60C6">
              <w:rPr>
                <w:bCs/>
                <w:color w:val="000000" w:themeColor="text1"/>
              </w:rPr>
              <w:t>es ārstniecības iestādē</w:t>
            </w:r>
            <w:r>
              <w:rPr>
                <w:bCs/>
                <w:color w:val="000000" w:themeColor="text1"/>
              </w:rPr>
              <w:t xml:space="preserve"> nepieciešamo veselības aprūpes pakalpojumu </w:t>
            </w:r>
            <w:r w:rsidR="008B60C6">
              <w:rPr>
                <w:bCs/>
                <w:color w:val="000000" w:themeColor="text1"/>
              </w:rPr>
              <w:t xml:space="preserve">saņemšanai, bet arī  pārvedīs viņu uz Latviju, ja bērna veselības stāvokļa dēļ būs nepieciešama medicīniskā transportēšana. </w:t>
            </w:r>
          </w:p>
          <w:p w:rsidR="0013531C" w:rsidRPr="00BB46BB" w:rsidRDefault="009F4C2B" w:rsidP="00186F7E">
            <w:pPr>
              <w:ind w:firstLine="252"/>
              <w:jc w:val="both"/>
              <w:rPr>
                <w:bCs/>
                <w:color w:val="000000" w:themeColor="text1"/>
              </w:rPr>
            </w:pPr>
            <w:r w:rsidRPr="00BB46BB">
              <w:rPr>
                <w:bCs/>
                <w:color w:val="000000" w:themeColor="text1"/>
              </w:rPr>
              <w:t xml:space="preserve">Izmaiņas 225.punktā veiktas, jo </w:t>
            </w:r>
            <w:r w:rsidR="004B2B18" w:rsidRPr="00BB46BB">
              <w:rPr>
                <w:bCs/>
                <w:color w:val="000000" w:themeColor="text1"/>
              </w:rPr>
              <w:t xml:space="preserve">NVD </w:t>
            </w:r>
            <w:r w:rsidRPr="00BB46BB">
              <w:rPr>
                <w:bCs/>
                <w:color w:val="000000" w:themeColor="text1"/>
              </w:rPr>
              <w:t xml:space="preserve">paziņojumā par atlases procedūru ir jānorāda precīzs piedāvājumu iesniegšanas termiņš, tajā skaitā pēdējās piedāvājuma iesniegšanas dienas datums, savukārt, piesakot  publikāciju izdevumam „Latvijas Vēstnesis”, </w:t>
            </w:r>
            <w:r w:rsidR="003650ED" w:rsidRPr="00BB46BB">
              <w:rPr>
                <w:bCs/>
                <w:color w:val="000000" w:themeColor="text1"/>
              </w:rPr>
              <w:t xml:space="preserve">NVD </w:t>
            </w:r>
            <w:r w:rsidRPr="00BB46BB">
              <w:rPr>
                <w:bCs/>
                <w:color w:val="000000" w:themeColor="text1"/>
              </w:rPr>
              <w:t xml:space="preserve">var lūgt, lai to publicē noteiktā dienā, bet izdevums „Latvijas Vēstnesis”  šo lūgumu izpilda iespēju robežās. Līdz ar to var rasties situācija, ka no paziņojuma publicēšanas dienas līdz šajā paziņojumā norādītajam datumam ir vairāk vai mazāk par 20 dienām. Lai izvairītos no šādām situācijām noteikumos jānosaka, ka piedāvājumu iesniegšanas termiņš ir nevis precīzi 20 dienas, bet ne mazāk par 20 dienām.   </w:t>
            </w:r>
          </w:p>
          <w:p w:rsidR="00186F7E" w:rsidRPr="00BB46BB" w:rsidRDefault="00186F7E" w:rsidP="00186F7E">
            <w:pPr>
              <w:ind w:firstLine="252"/>
              <w:jc w:val="both"/>
              <w:rPr>
                <w:bCs/>
                <w:color w:val="000000" w:themeColor="text1"/>
              </w:rPr>
            </w:pPr>
            <w:r w:rsidRPr="00BB46BB">
              <w:rPr>
                <w:bCs/>
                <w:color w:val="000000" w:themeColor="text1"/>
              </w:rPr>
              <w:t xml:space="preserve">Atbilstoši </w:t>
            </w:r>
            <w:r w:rsidR="00F90531" w:rsidRPr="00BB46BB">
              <w:rPr>
                <w:bCs/>
                <w:color w:val="000000" w:themeColor="text1"/>
              </w:rPr>
              <w:t xml:space="preserve">Izglītības kvalitātes valsts dienestu </w:t>
            </w:r>
            <w:r w:rsidRPr="00BB46BB">
              <w:rPr>
                <w:bCs/>
                <w:color w:val="000000" w:themeColor="text1"/>
              </w:rPr>
              <w:t xml:space="preserve">ierosinājumam </w:t>
            </w:r>
            <w:r w:rsidR="00786D2C" w:rsidRPr="00BB46BB">
              <w:rPr>
                <w:bCs/>
                <w:color w:val="000000" w:themeColor="text1"/>
              </w:rPr>
              <w:t>precizēta 238.punkta redakcija</w:t>
            </w:r>
            <w:r w:rsidR="007C3F4F" w:rsidRPr="00BB46BB">
              <w:rPr>
                <w:bCs/>
                <w:color w:val="000000" w:themeColor="text1"/>
              </w:rPr>
              <w:t xml:space="preserve"> un tajā noteikts, ka līgumu par veselības aprūpes pakalpojumu mājās sniegšanu NVD slēdz ar ārstniecības iestādi,</w:t>
            </w:r>
            <w:r w:rsidR="0090637F" w:rsidRPr="00BB46BB">
              <w:rPr>
                <w:bCs/>
                <w:color w:val="000000" w:themeColor="text1"/>
              </w:rPr>
              <w:t xml:space="preserve"> kura NVD uzrāda māsas vai ārsta palīga attiecīgo profesionālās pilnveides izglītības apliecību</w:t>
            </w:r>
            <w:r w:rsidR="0057532A" w:rsidRPr="00BB46BB">
              <w:rPr>
                <w:bCs/>
                <w:color w:val="000000" w:themeColor="text1"/>
              </w:rPr>
              <w:t xml:space="preserve"> par</w:t>
            </w:r>
            <w:r w:rsidR="0057532A" w:rsidRPr="00BB46BB">
              <w:rPr>
                <w:color w:val="000000" w:themeColor="text1"/>
              </w:rPr>
              <w:t xml:space="preserve"> </w:t>
            </w:r>
            <w:r w:rsidR="0057532A" w:rsidRPr="00BB46BB">
              <w:rPr>
                <w:bCs/>
                <w:color w:val="000000" w:themeColor="text1"/>
              </w:rPr>
              <w:t>klātienē apgūto licencētu profesionālās pilnveides izglītības  programmu par veselības aprūpes procesu mājās 40 mācību stundu apjomā akreditētā izglītības iestādē.</w:t>
            </w:r>
            <w:r w:rsidR="00F90531" w:rsidRPr="00BB46BB">
              <w:rPr>
                <w:bCs/>
                <w:color w:val="000000" w:themeColor="text1"/>
              </w:rPr>
              <w:t xml:space="preserve"> </w:t>
            </w:r>
          </w:p>
          <w:p w:rsidR="004604D2" w:rsidRPr="00BB46BB" w:rsidRDefault="00424854" w:rsidP="007310EF">
            <w:pPr>
              <w:ind w:firstLine="252"/>
              <w:jc w:val="both"/>
              <w:rPr>
                <w:bCs/>
                <w:color w:val="000000" w:themeColor="text1"/>
              </w:rPr>
            </w:pPr>
            <w:r w:rsidRPr="00BB46BB">
              <w:rPr>
                <w:bCs/>
                <w:color w:val="000000" w:themeColor="text1"/>
              </w:rPr>
              <w:t>Ņemot vērā, ka ārstniecības iestā</w:t>
            </w:r>
            <w:r w:rsidR="00095E48" w:rsidRPr="00BB46BB">
              <w:rPr>
                <w:bCs/>
                <w:color w:val="000000" w:themeColor="text1"/>
              </w:rPr>
              <w:t>des</w:t>
            </w:r>
            <w:r w:rsidRPr="00BB46BB">
              <w:rPr>
                <w:bCs/>
                <w:color w:val="000000" w:themeColor="text1"/>
              </w:rPr>
              <w:t xml:space="preserve"> pārskatos snie</w:t>
            </w:r>
            <w:r w:rsidR="00095E48" w:rsidRPr="00BB46BB">
              <w:rPr>
                <w:bCs/>
                <w:color w:val="000000" w:themeColor="text1"/>
              </w:rPr>
              <w:t>dz</w:t>
            </w:r>
            <w:r w:rsidRPr="00BB46BB">
              <w:rPr>
                <w:bCs/>
                <w:color w:val="000000" w:themeColor="text1"/>
              </w:rPr>
              <w:t xml:space="preserve"> informācij</w:t>
            </w:r>
            <w:r w:rsidR="00095E48" w:rsidRPr="00BB46BB">
              <w:rPr>
                <w:bCs/>
                <w:color w:val="000000" w:themeColor="text1"/>
              </w:rPr>
              <w:t>u</w:t>
            </w:r>
            <w:r w:rsidRPr="00BB46BB">
              <w:rPr>
                <w:bCs/>
                <w:color w:val="000000" w:themeColor="text1"/>
              </w:rPr>
              <w:t xml:space="preserve"> gan par valsts budžeta līdzekļu izlietojumu, gan par citiem</w:t>
            </w:r>
            <w:r w:rsidR="007310EF" w:rsidRPr="00BB46BB">
              <w:rPr>
                <w:bCs/>
                <w:color w:val="000000" w:themeColor="text1"/>
              </w:rPr>
              <w:t xml:space="preserve"> jautājumiem</w:t>
            </w:r>
            <w:r w:rsidRPr="00BB46BB">
              <w:rPr>
                <w:bCs/>
                <w:color w:val="000000" w:themeColor="text1"/>
              </w:rPr>
              <w:t xml:space="preserve">, </w:t>
            </w:r>
            <w:r w:rsidR="00942D6D" w:rsidRPr="00BB46BB">
              <w:rPr>
                <w:bCs/>
                <w:color w:val="000000" w:themeColor="text1"/>
              </w:rPr>
              <w:t xml:space="preserve">noteikumu </w:t>
            </w:r>
            <w:r w:rsidRPr="00BB46BB">
              <w:rPr>
                <w:bCs/>
                <w:color w:val="000000" w:themeColor="text1"/>
              </w:rPr>
              <w:t>240.3.apakšpunktā svītroti vārdi „valsts budžeta”, tādejādi tiek precizēts, ka pārskati ir ne tikai par valsts līdzekļu izlietojumu.</w:t>
            </w:r>
          </w:p>
          <w:p w:rsidR="004604D2" w:rsidRPr="00BB46BB" w:rsidRDefault="004604D2" w:rsidP="00612C5B">
            <w:pPr>
              <w:ind w:firstLine="252"/>
              <w:jc w:val="both"/>
              <w:rPr>
                <w:color w:val="000000" w:themeColor="text1"/>
              </w:rPr>
            </w:pPr>
            <w:r w:rsidRPr="00BB46BB">
              <w:rPr>
                <w:bCs/>
                <w:color w:val="000000" w:themeColor="text1"/>
              </w:rPr>
              <w:t>Izsakot</w:t>
            </w:r>
            <w:r w:rsidR="00942D6D" w:rsidRPr="00BB46BB">
              <w:rPr>
                <w:bCs/>
                <w:color w:val="000000" w:themeColor="text1"/>
              </w:rPr>
              <w:t xml:space="preserve"> noteikumu </w:t>
            </w:r>
            <w:r w:rsidRPr="00BB46BB">
              <w:rPr>
                <w:bCs/>
                <w:color w:val="000000" w:themeColor="text1"/>
              </w:rPr>
              <w:t>244.1.apakšpunktu jaunā redakcijā</w:t>
            </w:r>
            <w:r w:rsidR="00942D6D" w:rsidRPr="00BB46BB">
              <w:rPr>
                <w:bCs/>
                <w:color w:val="000000" w:themeColor="text1"/>
              </w:rPr>
              <w:t>,</w:t>
            </w:r>
            <w:r w:rsidRPr="00BB46BB">
              <w:rPr>
                <w:bCs/>
                <w:color w:val="000000" w:themeColor="text1"/>
              </w:rPr>
              <w:t xml:space="preserve"> precizēti plānošanas nosacījumi ambulatorajai veselības aprūpei</w:t>
            </w:r>
            <w:r w:rsidR="00942D6D" w:rsidRPr="00BB46BB">
              <w:rPr>
                <w:bCs/>
                <w:color w:val="000000" w:themeColor="text1"/>
              </w:rPr>
              <w:t>.</w:t>
            </w:r>
            <w:r w:rsidR="00612C5B" w:rsidRPr="00BB46BB">
              <w:rPr>
                <w:bCs/>
                <w:color w:val="000000" w:themeColor="text1"/>
              </w:rPr>
              <w:t xml:space="preserve">  </w:t>
            </w:r>
            <w:r w:rsidR="00942D6D" w:rsidRPr="00BB46BB">
              <w:rPr>
                <w:bCs/>
                <w:color w:val="000000" w:themeColor="text1"/>
              </w:rPr>
              <w:t xml:space="preserve">Svītrotā </w:t>
            </w:r>
            <w:r w:rsidR="00612C5B" w:rsidRPr="00BB46BB">
              <w:rPr>
                <w:bCs/>
                <w:color w:val="000000" w:themeColor="text1"/>
              </w:rPr>
              <w:t xml:space="preserve">244.7.apakšpunkta norma tiek iekļauta </w:t>
            </w:r>
            <w:r w:rsidR="00612C5B" w:rsidRPr="00BB46BB">
              <w:rPr>
                <w:color w:val="000000" w:themeColor="text1"/>
              </w:rPr>
              <w:t>244.1.</w:t>
            </w:r>
            <w:r w:rsidR="00A46AAE" w:rsidRPr="00BB46BB">
              <w:rPr>
                <w:color w:val="000000" w:themeColor="text1"/>
              </w:rPr>
              <w:t>3</w:t>
            </w:r>
            <w:r w:rsidR="00612C5B" w:rsidRPr="00BB46BB">
              <w:rPr>
                <w:color w:val="000000" w:themeColor="text1"/>
              </w:rPr>
              <w:t xml:space="preserve">. apakšpunktā. </w:t>
            </w:r>
          </w:p>
          <w:p w:rsidR="00F54890" w:rsidRPr="00BB46BB" w:rsidRDefault="00A22ABC" w:rsidP="00F54890">
            <w:pPr>
              <w:ind w:firstLine="252"/>
              <w:jc w:val="both"/>
              <w:rPr>
                <w:bCs/>
                <w:color w:val="000000" w:themeColor="text1"/>
              </w:rPr>
            </w:pPr>
            <w:r w:rsidRPr="00BB46BB">
              <w:rPr>
                <w:bCs/>
                <w:color w:val="000000" w:themeColor="text1"/>
              </w:rPr>
              <w:t xml:space="preserve">Grozījumi noteikumu </w:t>
            </w:r>
            <w:r w:rsidR="00F54890" w:rsidRPr="00BB46BB">
              <w:rPr>
                <w:bCs/>
                <w:color w:val="000000" w:themeColor="text1"/>
              </w:rPr>
              <w:t>245.punkt</w:t>
            </w:r>
            <w:r w:rsidR="00336E8F" w:rsidRPr="00BB46BB">
              <w:rPr>
                <w:bCs/>
                <w:color w:val="000000" w:themeColor="text1"/>
              </w:rPr>
              <w:t xml:space="preserve">ā un </w:t>
            </w:r>
            <w:r w:rsidR="00F54890" w:rsidRPr="00BB46BB">
              <w:rPr>
                <w:bCs/>
                <w:color w:val="000000" w:themeColor="text1"/>
              </w:rPr>
              <w:t>247.1.apakšpunkt</w:t>
            </w:r>
            <w:r w:rsidR="00336E8F" w:rsidRPr="00BB46BB">
              <w:rPr>
                <w:bCs/>
                <w:color w:val="000000" w:themeColor="text1"/>
              </w:rPr>
              <w:t>ā veikt</w:t>
            </w:r>
            <w:r w:rsidRPr="00BB46BB">
              <w:rPr>
                <w:bCs/>
                <w:color w:val="000000" w:themeColor="text1"/>
              </w:rPr>
              <w:t>i</w:t>
            </w:r>
            <w:r w:rsidR="00336E8F" w:rsidRPr="00BB46BB">
              <w:rPr>
                <w:bCs/>
                <w:color w:val="000000" w:themeColor="text1"/>
              </w:rPr>
              <w:t xml:space="preserve">, lai saistībā ar DRG sistēmas ieviešanu noteiktu jaunu kārtību, kādā tiek plānots finansējums, kas paredzēts ārstniecības iestādēm par stacionārās veselības aprūpes pakalpojumu sniegšanu. </w:t>
            </w:r>
          </w:p>
          <w:p w:rsidR="00F54890" w:rsidRPr="00BB46BB" w:rsidRDefault="00A22ABC" w:rsidP="00F54890">
            <w:pPr>
              <w:ind w:firstLine="252"/>
              <w:jc w:val="both"/>
              <w:rPr>
                <w:bCs/>
                <w:color w:val="000000" w:themeColor="text1"/>
              </w:rPr>
            </w:pPr>
            <w:r w:rsidRPr="00BB46BB">
              <w:rPr>
                <w:bCs/>
                <w:color w:val="000000" w:themeColor="text1"/>
              </w:rPr>
              <w:t xml:space="preserve">Noteikumu </w:t>
            </w:r>
            <w:r w:rsidR="00F54890" w:rsidRPr="00BB46BB">
              <w:rPr>
                <w:bCs/>
                <w:color w:val="000000" w:themeColor="text1"/>
              </w:rPr>
              <w:t xml:space="preserve">247.7.apakšpunktā precizēts pašvaldības </w:t>
            </w:r>
            <w:r w:rsidR="00F54890" w:rsidRPr="00BB46BB">
              <w:rPr>
                <w:bCs/>
                <w:color w:val="000000" w:themeColor="text1"/>
              </w:rPr>
              <w:lastRenderedPageBreak/>
              <w:t>sabiedrības ar ierobežotu atbildību „Rēzeknes slimnīca” nosaukums.</w:t>
            </w:r>
          </w:p>
          <w:p w:rsidR="00F27288" w:rsidRPr="00BB46BB" w:rsidRDefault="0072553F" w:rsidP="00F27288">
            <w:pPr>
              <w:ind w:firstLine="252"/>
              <w:jc w:val="both"/>
              <w:rPr>
                <w:bCs/>
                <w:color w:val="000000" w:themeColor="text1"/>
              </w:rPr>
            </w:pPr>
            <w:r w:rsidRPr="00BB46BB">
              <w:rPr>
                <w:bCs/>
                <w:color w:val="000000" w:themeColor="text1"/>
              </w:rPr>
              <w:t>S</w:t>
            </w:r>
            <w:r w:rsidR="00E23E6F" w:rsidRPr="00BB46BB">
              <w:rPr>
                <w:bCs/>
                <w:color w:val="000000" w:themeColor="text1"/>
              </w:rPr>
              <w:t>aistībā ar DRG sistēmas ieviešanu</w:t>
            </w:r>
            <w:r w:rsidRPr="00BB46BB">
              <w:rPr>
                <w:bCs/>
                <w:color w:val="000000" w:themeColor="text1"/>
              </w:rPr>
              <w:t>,</w:t>
            </w:r>
            <w:r w:rsidR="00E23E6F" w:rsidRPr="00BB46BB">
              <w:rPr>
                <w:bCs/>
                <w:color w:val="000000" w:themeColor="text1"/>
              </w:rPr>
              <w:t xml:space="preserve"> no</w:t>
            </w:r>
            <w:r w:rsidRPr="00BB46BB">
              <w:rPr>
                <w:bCs/>
                <w:color w:val="000000" w:themeColor="text1"/>
              </w:rPr>
              <w:t>sakot</w:t>
            </w:r>
            <w:r w:rsidR="00E23E6F" w:rsidRPr="00BB46BB">
              <w:rPr>
                <w:bCs/>
                <w:color w:val="000000" w:themeColor="text1"/>
              </w:rPr>
              <w:t xml:space="preserve"> jaunu kārtību, kādā tiek plānots finansējums, kas paredzēts ārstniecības iestādēm par stacionārās veselības aprūpes pakalpojumu sniegšanu</w:t>
            </w:r>
            <w:r w:rsidRPr="00BB46BB">
              <w:rPr>
                <w:bCs/>
                <w:color w:val="000000" w:themeColor="text1"/>
              </w:rPr>
              <w:t xml:space="preserve">, svītrots </w:t>
            </w:r>
            <w:r w:rsidR="00A22ABC" w:rsidRPr="00BB46BB">
              <w:rPr>
                <w:bCs/>
                <w:color w:val="000000" w:themeColor="text1"/>
              </w:rPr>
              <w:t xml:space="preserve">noteikumu </w:t>
            </w:r>
            <w:r w:rsidRPr="00BB46BB">
              <w:rPr>
                <w:bCs/>
                <w:color w:val="000000" w:themeColor="text1"/>
              </w:rPr>
              <w:t>247.8.apakšpunkts</w:t>
            </w:r>
            <w:r w:rsidR="00E23E6F" w:rsidRPr="00BB46BB">
              <w:rPr>
                <w:bCs/>
                <w:color w:val="000000" w:themeColor="text1"/>
              </w:rPr>
              <w:t>.</w:t>
            </w:r>
          </w:p>
          <w:p w:rsidR="00F54890" w:rsidRPr="00BB46BB" w:rsidRDefault="00F27288" w:rsidP="00F54890">
            <w:pPr>
              <w:ind w:firstLine="252"/>
              <w:jc w:val="both"/>
              <w:rPr>
                <w:bCs/>
                <w:color w:val="000000" w:themeColor="text1"/>
              </w:rPr>
            </w:pPr>
            <w:r w:rsidRPr="00BB46BB">
              <w:rPr>
                <w:bCs/>
                <w:color w:val="000000" w:themeColor="text1"/>
              </w:rPr>
              <w:t xml:space="preserve">Izsakot </w:t>
            </w:r>
            <w:r w:rsidR="00A22ABC" w:rsidRPr="00BB46BB">
              <w:rPr>
                <w:bCs/>
                <w:color w:val="000000" w:themeColor="text1"/>
              </w:rPr>
              <w:t xml:space="preserve">noteikumu </w:t>
            </w:r>
            <w:r w:rsidRPr="00BB46BB">
              <w:rPr>
                <w:bCs/>
                <w:color w:val="000000" w:themeColor="text1"/>
              </w:rPr>
              <w:t>251.3.1.apakšpunktu jaunā redakcijā</w:t>
            </w:r>
            <w:r w:rsidR="00A22ABC" w:rsidRPr="00BB46BB">
              <w:rPr>
                <w:bCs/>
                <w:color w:val="000000" w:themeColor="text1"/>
              </w:rPr>
              <w:t>,</w:t>
            </w:r>
            <w:r w:rsidRPr="00BB46BB">
              <w:rPr>
                <w:bCs/>
                <w:color w:val="000000" w:themeColor="text1"/>
              </w:rPr>
              <w:t xml:space="preserve"> tiek precizēti nosacījumi, lai </w:t>
            </w:r>
            <w:r w:rsidR="005400EA" w:rsidRPr="00BB46BB">
              <w:rPr>
                <w:bCs/>
                <w:color w:val="000000" w:themeColor="text1"/>
              </w:rPr>
              <w:t xml:space="preserve">NVD varētu </w:t>
            </w:r>
            <w:r w:rsidRPr="00BB46BB">
              <w:rPr>
                <w:bCs/>
                <w:color w:val="000000" w:themeColor="text1"/>
              </w:rPr>
              <w:t>efektīvāk novirzīt papildu līdzekļus iestādēm, kas sniedz pakalpojumus bērniem.</w:t>
            </w:r>
          </w:p>
          <w:p w:rsidR="00A46AAE" w:rsidRPr="00BB46BB" w:rsidRDefault="0013531C" w:rsidP="00F27288">
            <w:pPr>
              <w:ind w:firstLine="252"/>
              <w:jc w:val="both"/>
              <w:rPr>
                <w:bCs/>
                <w:color w:val="000000" w:themeColor="text1"/>
              </w:rPr>
            </w:pPr>
            <w:r w:rsidRPr="00BB46BB">
              <w:rPr>
                <w:bCs/>
                <w:color w:val="000000" w:themeColor="text1"/>
              </w:rPr>
              <w:t xml:space="preserve">Lai nodrošinātu efektīvāku līgumu par valsts apmaksāto veselības aprūpes pakalpojumu sniegšanu administrēšanu, noteikumu 251.3.4. un 257.6.apakšpunktos mainīta </w:t>
            </w:r>
            <w:r w:rsidR="0019380D" w:rsidRPr="00BB46BB">
              <w:rPr>
                <w:bCs/>
                <w:color w:val="000000" w:themeColor="text1"/>
              </w:rPr>
              <w:t xml:space="preserve">minimālā līdzekļu </w:t>
            </w:r>
            <w:r w:rsidRPr="00BB46BB">
              <w:rPr>
                <w:bCs/>
                <w:color w:val="000000" w:themeColor="text1"/>
              </w:rPr>
              <w:t xml:space="preserve">summa, līdz kurai </w:t>
            </w:r>
            <w:r w:rsidR="003650ED" w:rsidRPr="00BB46BB">
              <w:rPr>
                <w:bCs/>
                <w:color w:val="000000" w:themeColor="text1"/>
              </w:rPr>
              <w:t xml:space="preserve">NVD </w:t>
            </w:r>
            <w:r w:rsidRPr="00BB46BB">
              <w:rPr>
                <w:bCs/>
                <w:color w:val="000000" w:themeColor="text1"/>
              </w:rPr>
              <w:t>neveic izmaiņas līgumos</w:t>
            </w:r>
            <w:r w:rsidR="0019380D" w:rsidRPr="00BB46BB">
              <w:rPr>
                <w:bCs/>
                <w:color w:val="000000" w:themeColor="text1"/>
              </w:rPr>
              <w:t>.</w:t>
            </w:r>
            <w:r w:rsidRPr="00BB46BB">
              <w:rPr>
                <w:bCs/>
                <w:color w:val="000000" w:themeColor="text1"/>
              </w:rPr>
              <w:t xml:space="preserve"> </w:t>
            </w:r>
          </w:p>
          <w:p w:rsidR="0013531C" w:rsidRPr="00BB46BB" w:rsidRDefault="0013531C" w:rsidP="00F27288">
            <w:pPr>
              <w:ind w:firstLine="252"/>
              <w:jc w:val="both"/>
              <w:rPr>
                <w:bCs/>
                <w:color w:val="000000" w:themeColor="text1"/>
              </w:rPr>
            </w:pPr>
            <w:r w:rsidRPr="00BB46BB">
              <w:rPr>
                <w:bCs/>
                <w:color w:val="000000" w:themeColor="text1"/>
              </w:rPr>
              <w:t xml:space="preserve"> </w:t>
            </w:r>
            <w:r w:rsidR="00A46AAE" w:rsidRPr="00BB46BB">
              <w:rPr>
                <w:bCs/>
                <w:color w:val="000000" w:themeColor="text1"/>
              </w:rPr>
              <w:t xml:space="preserve">Saistībā ar DRG sistēmas ieviešanu, noteikumu 251.4.2.apakšpunkts izteikts jaunā redakcijā un nosaka kārtību, saskaņā ar kuru papildu finanšu līdzekļi stacionāro veselības aprūpes pakalpojumu apmaksai tiks novirzīti ārstniecības iestādēm.   </w:t>
            </w:r>
          </w:p>
          <w:p w:rsidR="006263F0" w:rsidRPr="00BB46BB" w:rsidRDefault="00F27288" w:rsidP="00F27288">
            <w:pPr>
              <w:ind w:firstLine="252"/>
              <w:jc w:val="both"/>
              <w:rPr>
                <w:bCs/>
                <w:color w:val="000000" w:themeColor="text1"/>
              </w:rPr>
            </w:pPr>
            <w:r w:rsidRPr="00BB46BB">
              <w:rPr>
                <w:bCs/>
                <w:color w:val="000000" w:themeColor="text1"/>
              </w:rPr>
              <w:t>Izsakot 255.punktu jaunā redakcijā, noteikumos noteikt</w:t>
            </w:r>
            <w:r w:rsidR="000E1F94" w:rsidRPr="00BB46BB">
              <w:rPr>
                <w:bCs/>
                <w:color w:val="000000" w:themeColor="text1"/>
              </w:rPr>
              <w:t>a</w:t>
            </w:r>
            <w:r w:rsidRPr="00BB46BB">
              <w:rPr>
                <w:bCs/>
                <w:color w:val="000000" w:themeColor="text1"/>
              </w:rPr>
              <w:t xml:space="preserve"> iespēj</w:t>
            </w:r>
            <w:r w:rsidR="000E1F94" w:rsidRPr="00BB46BB">
              <w:rPr>
                <w:bCs/>
                <w:color w:val="000000" w:themeColor="text1"/>
              </w:rPr>
              <w:t>a</w:t>
            </w:r>
            <w:r w:rsidRPr="00BB46BB">
              <w:rPr>
                <w:bCs/>
                <w:color w:val="000000" w:themeColor="text1"/>
              </w:rPr>
              <w:t xml:space="preserve"> speciālistam iziet ar finansējumu no ārstniecības iestādes ātrāk kā no nākamā gada sākuma</w:t>
            </w:r>
            <w:r w:rsidR="00A46AAE" w:rsidRPr="00BB46BB">
              <w:rPr>
                <w:bCs/>
                <w:color w:val="000000" w:themeColor="text1"/>
              </w:rPr>
              <w:t>.</w:t>
            </w:r>
            <w:r w:rsidRPr="00BB46BB">
              <w:rPr>
                <w:bCs/>
                <w:color w:val="000000" w:themeColor="text1"/>
              </w:rPr>
              <w:t xml:space="preserve"> </w:t>
            </w:r>
            <w:r w:rsidR="00A46AAE" w:rsidRPr="00BB46BB">
              <w:rPr>
                <w:bCs/>
                <w:color w:val="000000" w:themeColor="text1"/>
              </w:rPr>
              <w:t>J</w:t>
            </w:r>
            <w:r w:rsidRPr="00BB46BB">
              <w:rPr>
                <w:bCs/>
                <w:color w:val="000000" w:themeColor="text1"/>
              </w:rPr>
              <w:t>a</w:t>
            </w:r>
            <w:r w:rsidR="00A46AAE" w:rsidRPr="00BB46BB">
              <w:rPr>
                <w:bCs/>
                <w:color w:val="000000" w:themeColor="text1"/>
              </w:rPr>
              <w:t xml:space="preserve"> tiek ievērota 254.punktā minēto kritēriju izpilde un līguma finanšu apmēru nosakot atbilstoši speciālista sniegtajam veselības aprūpes pakalpojumu apjomam, kā arī ievērojot 244. un 246.punktā noteikto kārtību</w:t>
            </w:r>
            <w:r w:rsidR="006263F0" w:rsidRPr="00BB46BB">
              <w:rPr>
                <w:bCs/>
                <w:color w:val="000000" w:themeColor="text1"/>
              </w:rPr>
              <w:t xml:space="preserve">. Minētā norma vērsta uz </w:t>
            </w:r>
            <w:r w:rsidR="00DE20DA" w:rsidRPr="00BB46BB">
              <w:rPr>
                <w:bCs/>
                <w:color w:val="000000" w:themeColor="text1"/>
              </w:rPr>
              <w:t xml:space="preserve">valsts apmaksātu </w:t>
            </w:r>
            <w:r w:rsidR="006263F0" w:rsidRPr="00BB46BB">
              <w:rPr>
                <w:bCs/>
                <w:color w:val="000000" w:themeColor="text1"/>
              </w:rPr>
              <w:t>ārstu speciālistu pieejamīb</w:t>
            </w:r>
            <w:r w:rsidR="00DE20DA" w:rsidRPr="00BB46BB">
              <w:rPr>
                <w:bCs/>
                <w:color w:val="000000" w:themeColor="text1"/>
              </w:rPr>
              <w:t>as nodrošināšanu</w:t>
            </w:r>
            <w:r w:rsidR="006263F0" w:rsidRPr="00BB46BB">
              <w:rPr>
                <w:bCs/>
                <w:color w:val="000000" w:themeColor="text1"/>
              </w:rPr>
              <w:t xml:space="preserve"> iedzīvotājiem. </w:t>
            </w:r>
          </w:p>
          <w:p w:rsidR="000E1F94" w:rsidRPr="00BB46BB" w:rsidRDefault="00A22ABC" w:rsidP="00F27288">
            <w:pPr>
              <w:ind w:firstLine="252"/>
              <w:jc w:val="both"/>
              <w:rPr>
                <w:bCs/>
                <w:color w:val="000000" w:themeColor="text1"/>
              </w:rPr>
            </w:pPr>
            <w:r w:rsidRPr="00BB46BB">
              <w:rPr>
                <w:bCs/>
                <w:color w:val="000000" w:themeColor="text1"/>
              </w:rPr>
              <w:t xml:space="preserve">Noteikumu </w:t>
            </w:r>
            <w:r w:rsidR="000E1F94" w:rsidRPr="00BB46BB">
              <w:rPr>
                <w:bCs/>
                <w:color w:val="000000" w:themeColor="text1"/>
              </w:rPr>
              <w:t>259.punkta redakcija paredz iespēju NVD novirzīt veselības aprūpes pakalpojumu sniedzēja plānoto gada finanšu apmēru</w:t>
            </w:r>
            <w:r w:rsidRPr="00BB46BB">
              <w:rPr>
                <w:bCs/>
                <w:color w:val="000000" w:themeColor="text1"/>
              </w:rPr>
              <w:t>, ja tas nav apgūts,</w:t>
            </w:r>
            <w:r w:rsidR="007D017D" w:rsidRPr="00BB46BB">
              <w:rPr>
                <w:bCs/>
                <w:color w:val="000000" w:themeColor="text1"/>
              </w:rPr>
              <w:t xml:space="preserve"> </w:t>
            </w:r>
            <w:r w:rsidR="000E1F94" w:rsidRPr="00BB46BB">
              <w:rPr>
                <w:bCs/>
                <w:color w:val="000000" w:themeColor="text1"/>
              </w:rPr>
              <w:t>staru terapija</w:t>
            </w:r>
            <w:r w:rsidR="00280C8D" w:rsidRPr="00BB46BB">
              <w:rPr>
                <w:bCs/>
                <w:color w:val="000000" w:themeColor="text1"/>
              </w:rPr>
              <w:t>s pakalpojumu nodrošināšanai</w:t>
            </w:r>
            <w:r w:rsidR="000E1F94" w:rsidRPr="00BB46BB">
              <w:rPr>
                <w:bCs/>
                <w:color w:val="000000" w:themeColor="text1"/>
              </w:rPr>
              <w:t>.</w:t>
            </w:r>
          </w:p>
          <w:p w:rsidR="00BA6864" w:rsidRPr="00BB46BB" w:rsidRDefault="00CB2A6F" w:rsidP="00BA6864">
            <w:pPr>
              <w:ind w:firstLine="252"/>
              <w:jc w:val="both"/>
              <w:rPr>
                <w:bCs/>
                <w:color w:val="000000" w:themeColor="text1"/>
              </w:rPr>
            </w:pPr>
            <w:r w:rsidRPr="00BB46BB">
              <w:rPr>
                <w:bCs/>
                <w:color w:val="000000" w:themeColor="text1"/>
              </w:rPr>
              <w:t xml:space="preserve">Grozījums </w:t>
            </w:r>
            <w:r w:rsidR="00C071D5" w:rsidRPr="00BB46BB">
              <w:rPr>
                <w:bCs/>
                <w:color w:val="000000" w:themeColor="text1"/>
              </w:rPr>
              <w:t xml:space="preserve">noteikumu </w:t>
            </w:r>
            <w:r w:rsidR="00BA6864" w:rsidRPr="00BB46BB">
              <w:rPr>
                <w:bCs/>
                <w:color w:val="000000" w:themeColor="text1"/>
              </w:rPr>
              <w:t>262.punktā veikt</w:t>
            </w:r>
            <w:r w:rsidRPr="00BB46BB">
              <w:rPr>
                <w:bCs/>
                <w:color w:val="000000" w:themeColor="text1"/>
              </w:rPr>
              <w:t>s</w:t>
            </w:r>
            <w:r w:rsidR="00BA6864" w:rsidRPr="00BB46BB">
              <w:rPr>
                <w:bCs/>
                <w:color w:val="000000" w:themeColor="text1"/>
              </w:rPr>
              <w:t xml:space="preserve"> saistībā ar DRG sistēmas ieviešanu, nosakot, ka dienesta plānoto finansējumu no vienas stacionārās veselības aprūpes pakalpojumu programmas uz otru var novirzīt tikai programmās „Iezīmētie pakalpojumi”.   </w:t>
            </w:r>
          </w:p>
          <w:p w:rsidR="00280C8D" w:rsidRPr="00BB46BB" w:rsidRDefault="00280C8D" w:rsidP="00280C8D">
            <w:pPr>
              <w:ind w:firstLine="252"/>
              <w:jc w:val="both"/>
              <w:rPr>
                <w:color w:val="000000" w:themeColor="text1"/>
              </w:rPr>
            </w:pPr>
            <w:r w:rsidRPr="00BB46BB">
              <w:rPr>
                <w:bCs/>
                <w:color w:val="000000" w:themeColor="text1"/>
              </w:rPr>
              <w:t xml:space="preserve">Papildinot noteikumus ar </w:t>
            </w:r>
            <w:r w:rsidRPr="00BB46BB">
              <w:rPr>
                <w:color w:val="000000" w:themeColor="text1"/>
              </w:rPr>
              <w:t>262.</w:t>
            </w:r>
            <w:r w:rsidRPr="00BB46BB">
              <w:rPr>
                <w:color w:val="000000" w:themeColor="text1"/>
                <w:vertAlign w:val="superscript"/>
              </w:rPr>
              <w:t xml:space="preserve">1 </w:t>
            </w:r>
            <w:r w:rsidRPr="00BB46BB">
              <w:rPr>
                <w:color w:val="000000" w:themeColor="text1"/>
              </w:rPr>
              <w:t xml:space="preserve">punktu, NVD dota iespēja  pārvirzīt stacionārajai veselības aprūpei plānoto finansējumu ambulatorajai veselības aprūpei. Tādejādi tiks veicināta ambulatoro veselības aprūpes pakalpojumu  sniegšana. </w:t>
            </w:r>
          </w:p>
          <w:p w:rsidR="00F62D8C" w:rsidRPr="00BB46BB" w:rsidRDefault="00F62D8C" w:rsidP="00280C8D">
            <w:pPr>
              <w:ind w:firstLine="252"/>
              <w:jc w:val="both"/>
              <w:rPr>
                <w:bCs/>
                <w:color w:val="000000" w:themeColor="text1"/>
              </w:rPr>
            </w:pPr>
            <w:r w:rsidRPr="00BB46BB">
              <w:rPr>
                <w:bCs/>
                <w:color w:val="000000" w:themeColor="text1"/>
              </w:rPr>
              <w:t xml:space="preserve">Papildinot noteikumus ar </w:t>
            </w:r>
            <w:r w:rsidRPr="00BB46BB">
              <w:rPr>
                <w:color w:val="000000" w:themeColor="text1"/>
              </w:rPr>
              <w:t>264.4.</w:t>
            </w:r>
            <w:r w:rsidRPr="00BB46BB">
              <w:rPr>
                <w:color w:val="000000" w:themeColor="text1"/>
                <w:vertAlign w:val="superscript"/>
              </w:rPr>
              <w:t xml:space="preserve">1 </w:t>
            </w:r>
            <w:r w:rsidRPr="00BB46BB">
              <w:rPr>
                <w:color w:val="000000" w:themeColor="text1"/>
              </w:rPr>
              <w:t>apakšpunktu</w:t>
            </w:r>
            <w:r w:rsidR="00CB2A6F" w:rsidRPr="00BB46BB">
              <w:rPr>
                <w:color w:val="000000" w:themeColor="text1"/>
              </w:rPr>
              <w:t>, NVD do</w:t>
            </w:r>
            <w:r w:rsidR="005166D5" w:rsidRPr="00BB46BB">
              <w:rPr>
                <w:color w:val="000000" w:themeColor="text1"/>
              </w:rPr>
              <w:t>ta</w:t>
            </w:r>
            <w:r w:rsidR="00CB2A6F" w:rsidRPr="00BB46BB">
              <w:rPr>
                <w:color w:val="000000" w:themeColor="text1"/>
              </w:rPr>
              <w:t xml:space="preserve"> iespēj</w:t>
            </w:r>
            <w:r w:rsidR="005166D5" w:rsidRPr="00BB46BB">
              <w:rPr>
                <w:color w:val="000000" w:themeColor="text1"/>
              </w:rPr>
              <w:t>a</w:t>
            </w:r>
            <w:r w:rsidR="00CB2A6F" w:rsidRPr="00BB46BB">
              <w:rPr>
                <w:color w:val="000000" w:themeColor="text1"/>
              </w:rPr>
              <w:t xml:space="preserve"> </w:t>
            </w:r>
            <w:r w:rsidRPr="00BB46BB">
              <w:rPr>
                <w:color w:val="000000" w:themeColor="text1"/>
              </w:rPr>
              <w:t xml:space="preserve">izbeigt ar ārstniecības iestādi līgumu, </w:t>
            </w:r>
            <w:r w:rsidR="007C1C57" w:rsidRPr="00BB46BB">
              <w:rPr>
                <w:color w:val="000000" w:themeColor="text1"/>
              </w:rPr>
              <w:t>ja sekundārās ambulatorās veselības aprūpes pakalpojumu sniedzējs tiesības sniegt valsts apmaksātos veselības aprūpes pakalpojumus nodod citai ārstniecības iestādei.</w:t>
            </w:r>
          </w:p>
          <w:p w:rsidR="00F27288" w:rsidRPr="00BB46BB" w:rsidRDefault="005166D5" w:rsidP="00F27288">
            <w:pPr>
              <w:ind w:firstLine="252"/>
              <w:jc w:val="both"/>
              <w:rPr>
                <w:bCs/>
                <w:color w:val="000000" w:themeColor="text1"/>
              </w:rPr>
            </w:pPr>
            <w:r w:rsidRPr="00BB46BB">
              <w:rPr>
                <w:bCs/>
                <w:color w:val="000000" w:themeColor="text1"/>
              </w:rPr>
              <w:t>Grozījum</w:t>
            </w:r>
            <w:r w:rsidR="0019380D" w:rsidRPr="00BB46BB">
              <w:rPr>
                <w:bCs/>
                <w:color w:val="000000" w:themeColor="text1"/>
              </w:rPr>
              <w:t>i</w:t>
            </w:r>
            <w:r w:rsidRPr="00BB46BB">
              <w:rPr>
                <w:bCs/>
                <w:color w:val="000000" w:themeColor="text1"/>
              </w:rPr>
              <w:t xml:space="preserve"> </w:t>
            </w:r>
            <w:r w:rsidR="00BA6864" w:rsidRPr="00BB46BB">
              <w:rPr>
                <w:bCs/>
                <w:color w:val="000000" w:themeColor="text1"/>
              </w:rPr>
              <w:t>286.punktā veikt</w:t>
            </w:r>
            <w:r w:rsidRPr="00BB46BB">
              <w:rPr>
                <w:bCs/>
                <w:color w:val="000000" w:themeColor="text1"/>
              </w:rPr>
              <w:t>s</w:t>
            </w:r>
            <w:r w:rsidR="00BA6864" w:rsidRPr="00BB46BB">
              <w:rPr>
                <w:bCs/>
                <w:color w:val="000000" w:themeColor="text1"/>
              </w:rPr>
              <w:t xml:space="preserve"> saistībā ar DRG sistēmas, kura maina finansējuma plānošanas un pakalpojumu apmaksas kārtību, ieviešanu. Turpmāk maksājums par DRG grupā ietilpstošo stacionārās veselības aprūpes pakalpojumu sniegšanu tiks aprēķināti</w:t>
            </w:r>
            <w:r w:rsidR="00C071D5" w:rsidRPr="00BB46BB">
              <w:rPr>
                <w:bCs/>
                <w:color w:val="000000" w:themeColor="text1"/>
              </w:rPr>
              <w:t xml:space="preserve"> saskaņā ar </w:t>
            </w:r>
            <w:r w:rsidRPr="00BB46BB">
              <w:rPr>
                <w:bCs/>
                <w:color w:val="000000" w:themeColor="text1"/>
              </w:rPr>
              <w:t>3.pielikuma 3.2.apakšpunktā noteikto dalījumu</w:t>
            </w:r>
            <w:r w:rsidR="00BA6864" w:rsidRPr="00BB46BB">
              <w:rPr>
                <w:bCs/>
                <w:color w:val="000000" w:themeColor="text1"/>
              </w:rPr>
              <w:t xml:space="preserve">.   </w:t>
            </w:r>
          </w:p>
          <w:p w:rsidR="0019380D" w:rsidRPr="008135D5" w:rsidRDefault="0019380D" w:rsidP="00F27288">
            <w:pPr>
              <w:ind w:firstLine="252"/>
              <w:jc w:val="both"/>
              <w:rPr>
                <w:bCs/>
              </w:rPr>
            </w:pPr>
            <w:r w:rsidRPr="008135D5">
              <w:rPr>
                <w:iCs/>
              </w:rPr>
              <w:t xml:space="preserve">Atbilstoši 2014.gada 22.novembra Ministru kabineta sēdē </w:t>
            </w:r>
            <w:r w:rsidRPr="008135D5">
              <w:rPr>
                <w:iCs/>
              </w:rPr>
              <w:lastRenderedPageBreak/>
              <w:t>apstiprinātajam Latvijas vispārējās valdības budžeta plāna projektam no 2015.gada 1.janvāra paredzēts palielināt vidējo darba samaksu, kas tiek izmantota veselības aprūpes pakalpojumu tarifu aprēķināšanai,  ārstniecības un pacientu aprūpes personām, funkcionālo speciālistu asistentiem, kā arī ārstniecības un pacientu aprūpes atbalsta personālam, tādēļ noteikumu 287.2.un 287.3.apakšpunktā veiktas attiecīgas izmaiņas.</w:t>
            </w:r>
          </w:p>
          <w:p w:rsidR="00F54890" w:rsidRPr="00BB46BB" w:rsidRDefault="004062C1" w:rsidP="00890700">
            <w:pPr>
              <w:ind w:firstLine="252"/>
              <w:jc w:val="both"/>
              <w:rPr>
                <w:bCs/>
                <w:color w:val="000000" w:themeColor="text1"/>
              </w:rPr>
            </w:pPr>
            <w:r w:rsidRPr="00BB46BB">
              <w:rPr>
                <w:bCs/>
                <w:color w:val="000000" w:themeColor="text1"/>
              </w:rPr>
              <w:t>Papildinot noteikumus ar 289.3.apakšpunktu</w:t>
            </w:r>
            <w:r w:rsidR="00890700" w:rsidRPr="00BB46BB">
              <w:rPr>
                <w:bCs/>
                <w:color w:val="000000" w:themeColor="text1"/>
              </w:rPr>
              <w:t>, noteikts, ka</w:t>
            </w:r>
            <w:r w:rsidRPr="00BB46BB">
              <w:rPr>
                <w:bCs/>
                <w:color w:val="000000" w:themeColor="text1"/>
              </w:rPr>
              <w:t xml:space="preserve"> jauniem </w:t>
            </w:r>
            <w:r w:rsidR="00890700" w:rsidRPr="00BB46BB">
              <w:rPr>
                <w:bCs/>
                <w:color w:val="000000" w:themeColor="text1"/>
              </w:rPr>
              <w:t xml:space="preserve">veselības aprūpes pakalpojumiem, kurus plānots iekļaut valsts apmaksājamo veselības aprūpes </w:t>
            </w:r>
            <w:r w:rsidRPr="00BB46BB">
              <w:rPr>
                <w:bCs/>
                <w:color w:val="000000" w:themeColor="text1"/>
              </w:rPr>
              <w:t>pakalpojum</w:t>
            </w:r>
            <w:r w:rsidR="00890700" w:rsidRPr="00BB46BB">
              <w:rPr>
                <w:bCs/>
                <w:color w:val="000000" w:themeColor="text1"/>
              </w:rPr>
              <w:t xml:space="preserve">u klāstā, NVD veic </w:t>
            </w:r>
            <w:r w:rsidRPr="00BB46BB">
              <w:rPr>
                <w:bCs/>
                <w:color w:val="000000" w:themeColor="text1"/>
              </w:rPr>
              <w:t>izmaksu</w:t>
            </w:r>
            <w:r w:rsidR="00890700" w:rsidRPr="00BB46BB">
              <w:rPr>
                <w:bCs/>
                <w:color w:val="000000" w:themeColor="text1"/>
              </w:rPr>
              <w:t xml:space="preserve"> efektivitātes aprēķinu.</w:t>
            </w:r>
          </w:p>
          <w:p w:rsidR="00890700" w:rsidRPr="00BB46BB" w:rsidRDefault="00222F5E" w:rsidP="007C6D23">
            <w:pPr>
              <w:ind w:firstLine="252"/>
              <w:jc w:val="both"/>
              <w:rPr>
                <w:bCs/>
                <w:color w:val="000000" w:themeColor="text1"/>
              </w:rPr>
            </w:pPr>
            <w:r w:rsidRPr="00BB46BB">
              <w:rPr>
                <w:bCs/>
                <w:color w:val="000000" w:themeColor="text1"/>
              </w:rPr>
              <w:t>Lai samazinātu administratīvo slogu</w:t>
            </w:r>
            <w:r w:rsidR="007C6D23" w:rsidRPr="00BB46BB">
              <w:rPr>
                <w:bCs/>
                <w:color w:val="000000" w:themeColor="text1"/>
              </w:rPr>
              <w:t xml:space="preserve"> personai</w:t>
            </w:r>
            <w:r w:rsidRPr="00BB46BB">
              <w:rPr>
                <w:bCs/>
                <w:color w:val="000000" w:themeColor="text1"/>
              </w:rPr>
              <w:t xml:space="preserve"> piesakoties S1 veidlapas saņemšanai un sekmētu labas pārvaldības principa ievērošanu, informācija par personas nodarbinātību tiks pieprasīta no Valsts ieņēmumu dienesta, līdz ar to no noteikumiem tiek svītrots 295.2., 296.2.</w:t>
            </w:r>
            <w:r w:rsidR="001B2DBE" w:rsidRPr="00BB46BB">
              <w:rPr>
                <w:bCs/>
                <w:color w:val="000000" w:themeColor="text1"/>
              </w:rPr>
              <w:t>,</w:t>
            </w:r>
            <w:r w:rsidRPr="00BB46BB">
              <w:rPr>
                <w:bCs/>
                <w:color w:val="000000" w:themeColor="text1"/>
              </w:rPr>
              <w:t xml:space="preserve"> 297.2.</w:t>
            </w:r>
            <w:r w:rsidR="001B2DBE" w:rsidRPr="00BB46BB">
              <w:rPr>
                <w:bCs/>
                <w:color w:val="000000" w:themeColor="text1"/>
              </w:rPr>
              <w:t>, 298.2.</w:t>
            </w:r>
            <w:r w:rsidRPr="00BB46BB">
              <w:rPr>
                <w:bCs/>
                <w:color w:val="000000" w:themeColor="text1"/>
              </w:rPr>
              <w:t>apakšpunkts</w:t>
            </w:r>
            <w:r w:rsidR="00E6483D" w:rsidRPr="00BB46BB">
              <w:rPr>
                <w:bCs/>
                <w:color w:val="000000" w:themeColor="text1"/>
              </w:rPr>
              <w:t>, ka arī 301.2.</w:t>
            </w:r>
            <w:r w:rsidR="001B2DBE" w:rsidRPr="00BB46BB">
              <w:rPr>
                <w:bCs/>
                <w:color w:val="000000" w:themeColor="text1"/>
              </w:rPr>
              <w:t>, 301.3.,</w:t>
            </w:r>
            <w:r w:rsidR="00E6483D" w:rsidRPr="00BB46BB">
              <w:rPr>
                <w:bCs/>
                <w:color w:val="000000" w:themeColor="text1"/>
              </w:rPr>
              <w:t xml:space="preserve"> 301.4.</w:t>
            </w:r>
            <w:r w:rsidR="001B2DBE" w:rsidRPr="00BB46BB">
              <w:rPr>
                <w:bCs/>
                <w:color w:val="000000" w:themeColor="text1"/>
              </w:rPr>
              <w:t xml:space="preserve"> un 301.5.</w:t>
            </w:r>
            <w:r w:rsidR="00E6483D" w:rsidRPr="00BB46BB">
              <w:rPr>
                <w:bCs/>
                <w:color w:val="000000" w:themeColor="text1"/>
              </w:rPr>
              <w:t>apakšpunkts.</w:t>
            </w:r>
          </w:p>
          <w:p w:rsidR="00886C0A" w:rsidRPr="00BB46BB" w:rsidRDefault="00C071D5" w:rsidP="00E6483D">
            <w:pPr>
              <w:ind w:firstLine="252"/>
              <w:jc w:val="both"/>
              <w:rPr>
                <w:bCs/>
                <w:color w:val="000000" w:themeColor="text1"/>
              </w:rPr>
            </w:pPr>
            <w:r w:rsidRPr="00BB46BB">
              <w:rPr>
                <w:bCs/>
                <w:color w:val="000000" w:themeColor="text1"/>
              </w:rPr>
              <w:t xml:space="preserve">Noteikumu </w:t>
            </w:r>
            <w:r w:rsidR="00886C0A" w:rsidRPr="00BB46BB">
              <w:rPr>
                <w:bCs/>
                <w:color w:val="000000" w:themeColor="text1"/>
              </w:rPr>
              <w:t>299. un 300.punkta ievaddaļa tiek papildināta ar nosacījumu, ka S1 veidlapu var pieprasīt tikai tās personas, kur</w:t>
            </w:r>
            <w:r w:rsidR="00E6483D" w:rsidRPr="00BB46BB">
              <w:rPr>
                <w:bCs/>
                <w:color w:val="000000" w:themeColor="text1"/>
              </w:rPr>
              <w:t>ā</w:t>
            </w:r>
            <w:r w:rsidR="00886C0A" w:rsidRPr="00BB46BB">
              <w:rPr>
                <w:bCs/>
                <w:color w:val="000000" w:themeColor="text1"/>
              </w:rPr>
              <w:t>m ir tiesības saņemt no valsts budžeta līdzekļiem apmaksātus veselības aprūpes pakalpojumus Latvijas Republikā</w:t>
            </w:r>
            <w:r w:rsidR="00E6483D" w:rsidRPr="00BB46BB">
              <w:rPr>
                <w:bCs/>
                <w:color w:val="000000" w:themeColor="text1"/>
              </w:rPr>
              <w:t>.</w:t>
            </w:r>
            <w:r w:rsidR="00886C0A" w:rsidRPr="00BB46BB">
              <w:rPr>
                <w:bCs/>
                <w:color w:val="000000" w:themeColor="text1"/>
              </w:rPr>
              <w:t xml:space="preserve"> </w:t>
            </w:r>
          </w:p>
          <w:p w:rsidR="00914AD9" w:rsidRPr="00BB46BB" w:rsidRDefault="00C86ED8" w:rsidP="00E6483D">
            <w:pPr>
              <w:ind w:firstLine="252"/>
              <w:jc w:val="both"/>
              <w:rPr>
                <w:bCs/>
                <w:color w:val="000000" w:themeColor="text1"/>
              </w:rPr>
            </w:pPr>
            <w:r w:rsidRPr="00BB46BB">
              <w:rPr>
                <w:bCs/>
                <w:color w:val="000000" w:themeColor="text1"/>
              </w:rPr>
              <w:t xml:space="preserve">Papildinot noteikumus ar </w:t>
            </w:r>
            <w:r w:rsidR="00E6483D" w:rsidRPr="00BB46BB">
              <w:rPr>
                <w:bCs/>
                <w:color w:val="000000" w:themeColor="text1"/>
              </w:rPr>
              <w:t>303.3.1.4.</w:t>
            </w:r>
            <w:r w:rsidRPr="00BB46BB">
              <w:rPr>
                <w:bCs/>
                <w:color w:val="000000" w:themeColor="text1"/>
              </w:rPr>
              <w:t>apakšpunktu un izsakot</w:t>
            </w:r>
            <w:r w:rsidR="00BA6864" w:rsidRPr="00BB46BB">
              <w:rPr>
                <w:bCs/>
                <w:color w:val="000000" w:themeColor="text1"/>
              </w:rPr>
              <w:t>,</w:t>
            </w:r>
            <w:r w:rsidR="00E6483D" w:rsidRPr="00BB46BB">
              <w:rPr>
                <w:bCs/>
                <w:color w:val="000000" w:themeColor="text1"/>
              </w:rPr>
              <w:t xml:space="preserve"> 303.3.2., 303.3.3.</w:t>
            </w:r>
            <w:r w:rsidR="00914AD9" w:rsidRPr="00BB46BB">
              <w:rPr>
                <w:bCs/>
                <w:color w:val="000000" w:themeColor="text1"/>
              </w:rPr>
              <w:t>,</w:t>
            </w:r>
            <w:r w:rsidR="00E6483D" w:rsidRPr="00BB46BB">
              <w:rPr>
                <w:bCs/>
                <w:color w:val="000000" w:themeColor="text1"/>
              </w:rPr>
              <w:t xml:space="preserve"> 303.3.4. un 303.3.5.apakšpunkt</w:t>
            </w:r>
            <w:r w:rsidRPr="00BB46BB">
              <w:rPr>
                <w:bCs/>
                <w:color w:val="000000" w:themeColor="text1"/>
              </w:rPr>
              <w:t>u jaunā redakcijā</w:t>
            </w:r>
            <w:r w:rsidR="00D436DA" w:rsidRPr="00BB46BB">
              <w:rPr>
                <w:bCs/>
                <w:color w:val="000000" w:themeColor="text1"/>
              </w:rPr>
              <w:t xml:space="preserve">, </w:t>
            </w:r>
            <w:r w:rsidR="00914AD9" w:rsidRPr="00BB46BB">
              <w:rPr>
                <w:bCs/>
                <w:color w:val="000000" w:themeColor="text1"/>
              </w:rPr>
              <w:t xml:space="preserve">precizētas </w:t>
            </w:r>
            <w:r w:rsidRPr="00BB46BB">
              <w:rPr>
                <w:bCs/>
                <w:color w:val="000000" w:themeColor="text1"/>
              </w:rPr>
              <w:t>prasības personām, kuras ir ES, EEZ vai Šveices pilsoņi</w:t>
            </w:r>
            <w:r w:rsidR="00D436DA" w:rsidRPr="00BB46BB">
              <w:rPr>
                <w:bCs/>
                <w:color w:val="000000" w:themeColor="text1"/>
              </w:rPr>
              <w:t>,</w:t>
            </w:r>
            <w:r w:rsidRPr="00BB46BB">
              <w:rPr>
                <w:bCs/>
                <w:color w:val="000000" w:themeColor="text1"/>
              </w:rPr>
              <w:t xml:space="preserve"> ja </w:t>
            </w:r>
            <w:r w:rsidR="00914AD9" w:rsidRPr="00BB46BB">
              <w:rPr>
                <w:bCs/>
                <w:color w:val="000000" w:themeColor="text1"/>
              </w:rPr>
              <w:t>viņas veic darbību Latvijas Republikā nodarbinātas personas statusā.</w:t>
            </w:r>
            <w:r w:rsidR="00D436DA" w:rsidRPr="00BB46BB">
              <w:rPr>
                <w:bCs/>
                <w:color w:val="000000" w:themeColor="text1"/>
              </w:rPr>
              <w:t xml:space="preserve"> </w:t>
            </w:r>
          </w:p>
          <w:p w:rsidR="00914AD9" w:rsidRPr="00BB46BB" w:rsidRDefault="00914AD9" w:rsidP="00E6483D">
            <w:pPr>
              <w:ind w:firstLine="252"/>
              <w:jc w:val="both"/>
              <w:rPr>
                <w:bCs/>
                <w:color w:val="000000" w:themeColor="text1"/>
              </w:rPr>
            </w:pPr>
            <w:r w:rsidRPr="00BB46BB">
              <w:rPr>
                <w:color w:val="000000" w:themeColor="text1"/>
              </w:rPr>
              <w:t>Svītrojot 312.3.apakšpunktu un papildinot noteikumus ar 312.</w:t>
            </w:r>
            <w:r w:rsidRPr="00BB46BB">
              <w:rPr>
                <w:color w:val="000000" w:themeColor="text1"/>
                <w:vertAlign w:val="superscript"/>
              </w:rPr>
              <w:t>1</w:t>
            </w:r>
            <w:r w:rsidRPr="00BB46BB">
              <w:rPr>
                <w:color w:val="000000" w:themeColor="text1"/>
              </w:rPr>
              <w:t xml:space="preserve"> punktu</w:t>
            </w:r>
            <w:r w:rsidRPr="00BB46BB">
              <w:rPr>
                <w:color w:val="000000" w:themeColor="text1"/>
                <w:sz w:val="28"/>
                <w:szCs w:val="28"/>
              </w:rPr>
              <w:t xml:space="preserve"> </w:t>
            </w:r>
            <w:r w:rsidR="00D436DA" w:rsidRPr="00BB46BB">
              <w:rPr>
                <w:bCs/>
                <w:color w:val="000000" w:themeColor="text1"/>
              </w:rPr>
              <w:t xml:space="preserve">tiek noteikts, ka ārstniecības iestādes apstiprinājumu par to, ka attiecīgais pakalpojums tiks nodrošināts, pamatojoties uz S2 veidlapu, jāsniedz tikai </w:t>
            </w:r>
            <w:r w:rsidRPr="00BB46BB">
              <w:rPr>
                <w:bCs/>
                <w:color w:val="000000" w:themeColor="text1"/>
              </w:rPr>
              <w:t xml:space="preserve">tādos </w:t>
            </w:r>
            <w:r w:rsidR="00D436DA" w:rsidRPr="00BB46BB">
              <w:rPr>
                <w:bCs/>
                <w:color w:val="000000" w:themeColor="text1"/>
              </w:rPr>
              <w:t>gadījumos, kad to pieprasa</w:t>
            </w:r>
            <w:r w:rsidRPr="00BB46BB">
              <w:rPr>
                <w:bCs/>
                <w:color w:val="000000" w:themeColor="text1"/>
              </w:rPr>
              <w:t xml:space="preserve"> NVD</w:t>
            </w:r>
            <w:r w:rsidR="00D436DA" w:rsidRPr="00BB46BB">
              <w:rPr>
                <w:bCs/>
                <w:color w:val="000000" w:themeColor="text1"/>
              </w:rPr>
              <w:t xml:space="preserve">, nevis visos gadījumos, kad persona vēršas </w:t>
            </w:r>
            <w:r w:rsidRPr="00BB46BB">
              <w:rPr>
                <w:bCs/>
                <w:color w:val="000000" w:themeColor="text1"/>
              </w:rPr>
              <w:t xml:space="preserve">NVD </w:t>
            </w:r>
            <w:r w:rsidR="00D436DA" w:rsidRPr="00BB46BB">
              <w:rPr>
                <w:bCs/>
                <w:color w:val="000000" w:themeColor="text1"/>
              </w:rPr>
              <w:t>un vēlas saņemt S2 veidlapu, šādas</w:t>
            </w:r>
            <w:r w:rsidR="00D436DA" w:rsidRPr="00BB46BB">
              <w:rPr>
                <w:color w:val="000000" w:themeColor="text1"/>
              </w:rPr>
              <w:t xml:space="preserve"> izmaiņas </w:t>
            </w:r>
            <w:r w:rsidRPr="00BB46BB">
              <w:rPr>
                <w:color w:val="000000" w:themeColor="text1"/>
              </w:rPr>
              <w:t xml:space="preserve">vērstas uz </w:t>
            </w:r>
            <w:r w:rsidRPr="00BB46BB">
              <w:rPr>
                <w:bCs/>
                <w:color w:val="000000" w:themeColor="text1"/>
              </w:rPr>
              <w:t xml:space="preserve">administratīvo slogu mazināšanu personām. </w:t>
            </w:r>
          </w:p>
          <w:p w:rsidR="00E6483D" w:rsidRPr="00BB46BB" w:rsidRDefault="004C6188" w:rsidP="00E6483D">
            <w:pPr>
              <w:ind w:firstLine="252"/>
              <w:jc w:val="both"/>
              <w:rPr>
                <w:bCs/>
                <w:color w:val="000000" w:themeColor="text1"/>
              </w:rPr>
            </w:pPr>
            <w:r w:rsidRPr="00BB46BB">
              <w:rPr>
                <w:bCs/>
                <w:color w:val="000000" w:themeColor="text1"/>
              </w:rPr>
              <w:t>Noteikumu 324.2.3.apakšpunkt</w:t>
            </w:r>
            <w:r w:rsidR="00143117" w:rsidRPr="00BB46BB">
              <w:rPr>
                <w:bCs/>
                <w:color w:val="000000" w:themeColor="text1"/>
              </w:rPr>
              <w:t>ā tiek svītroti vārdi „</w:t>
            </w:r>
            <w:r w:rsidR="00143117" w:rsidRPr="00BB46BB">
              <w:rPr>
                <w:color w:val="000000" w:themeColor="text1"/>
              </w:rPr>
              <w:t>sekundārās ambulatorās”</w:t>
            </w:r>
            <w:r w:rsidRPr="00BB46BB">
              <w:rPr>
                <w:bCs/>
                <w:color w:val="000000" w:themeColor="text1"/>
              </w:rPr>
              <w:t>, jo ķirurģiskos pakalpojumus oftalmoloģijā var saņemt arī kā stacionāru veselības aprūpes pakalpojumu.</w:t>
            </w:r>
          </w:p>
          <w:p w:rsidR="00E6483D" w:rsidRPr="00BB46BB" w:rsidRDefault="00A17BE5" w:rsidP="00051976">
            <w:pPr>
              <w:ind w:firstLine="252"/>
              <w:jc w:val="both"/>
              <w:rPr>
                <w:bCs/>
                <w:color w:val="000000" w:themeColor="text1"/>
              </w:rPr>
            </w:pPr>
            <w:r w:rsidRPr="00BB46BB">
              <w:rPr>
                <w:bCs/>
                <w:color w:val="000000" w:themeColor="text1"/>
              </w:rPr>
              <w:t>Papildinot noteikumus ar 325.</w:t>
            </w:r>
            <w:r w:rsidRPr="00BB46BB">
              <w:rPr>
                <w:bCs/>
                <w:color w:val="000000" w:themeColor="text1"/>
                <w:vertAlign w:val="superscript"/>
              </w:rPr>
              <w:t>1</w:t>
            </w:r>
            <w:r w:rsidRPr="00BB46BB">
              <w:rPr>
                <w:bCs/>
                <w:color w:val="000000" w:themeColor="text1"/>
              </w:rPr>
              <w:t xml:space="preserve">punktu, NVD </w:t>
            </w:r>
            <w:r w:rsidR="00C071D5" w:rsidRPr="00BB46BB">
              <w:rPr>
                <w:bCs/>
                <w:color w:val="000000" w:themeColor="text1"/>
              </w:rPr>
              <w:t xml:space="preserve">noteikts </w:t>
            </w:r>
            <w:r w:rsidR="00E313A0" w:rsidRPr="00BB46BB">
              <w:rPr>
                <w:bCs/>
                <w:color w:val="000000" w:themeColor="text1"/>
              </w:rPr>
              <w:t xml:space="preserve">pienākums </w:t>
            </w:r>
            <w:r w:rsidRPr="00BB46BB">
              <w:rPr>
                <w:bCs/>
                <w:color w:val="000000" w:themeColor="text1"/>
              </w:rPr>
              <w:t>pirms lēmuma pieņemšanas par</w:t>
            </w:r>
            <w:r w:rsidR="0049293A" w:rsidRPr="00BB46BB">
              <w:rPr>
                <w:bCs/>
                <w:color w:val="000000" w:themeColor="text1"/>
              </w:rPr>
              <w:t xml:space="preserve"> S1</w:t>
            </w:r>
            <w:r w:rsidRPr="00BB46BB">
              <w:rPr>
                <w:bCs/>
                <w:color w:val="000000" w:themeColor="text1"/>
              </w:rPr>
              <w:t xml:space="preserve"> </w:t>
            </w:r>
            <w:r w:rsidR="0049293A" w:rsidRPr="00BB46BB">
              <w:rPr>
                <w:bCs/>
                <w:color w:val="000000" w:themeColor="text1"/>
              </w:rPr>
              <w:t xml:space="preserve">veidlapas - </w:t>
            </w:r>
            <w:r w:rsidRPr="00BB46BB">
              <w:rPr>
                <w:bCs/>
                <w:color w:val="000000" w:themeColor="text1"/>
              </w:rPr>
              <w:t xml:space="preserve">iepriekšējas atļaujas izsniegšanas </w:t>
            </w:r>
            <w:r w:rsidR="00051976" w:rsidRPr="00BB46BB">
              <w:rPr>
                <w:bCs/>
                <w:color w:val="000000" w:themeColor="text1"/>
              </w:rPr>
              <w:t xml:space="preserve">personai </w:t>
            </w:r>
            <w:r w:rsidRPr="00BB46BB">
              <w:rPr>
                <w:bCs/>
                <w:color w:val="000000" w:themeColor="text1"/>
              </w:rPr>
              <w:t xml:space="preserve">plānveida veselības aprūpes pakalpojumu saņemšanai citā </w:t>
            </w:r>
            <w:r w:rsidR="00051976" w:rsidRPr="00BB46BB">
              <w:rPr>
                <w:bCs/>
                <w:color w:val="000000" w:themeColor="text1"/>
              </w:rPr>
              <w:t>Eiropas Savienības (ES), Eiropas Ekonomiskās Zonas (EEZ) dalībvalstī vai Šveicē  izvērtē</w:t>
            </w:r>
            <w:r w:rsidR="0049293A" w:rsidRPr="00BB46BB">
              <w:rPr>
                <w:bCs/>
                <w:color w:val="000000" w:themeColor="text1"/>
              </w:rPr>
              <w:t>t</w:t>
            </w:r>
            <w:r w:rsidR="00051976" w:rsidRPr="00BB46BB">
              <w:rPr>
                <w:bCs/>
                <w:color w:val="000000" w:themeColor="text1"/>
              </w:rPr>
              <w:t xml:space="preserve">, </w:t>
            </w:r>
            <w:r w:rsidR="0049293A" w:rsidRPr="00BB46BB">
              <w:rPr>
                <w:bCs/>
                <w:color w:val="000000" w:themeColor="text1"/>
              </w:rPr>
              <w:t xml:space="preserve">varbūt </w:t>
            </w:r>
            <w:r w:rsidRPr="00BB46BB">
              <w:rPr>
                <w:bCs/>
                <w:color w:val="000000" w:themeColor="text1"/>
              </w:rPr>
              <w:t>personai pienākas S2 veidlap</w:t>
            </w:r>
            <w:r w:rsidR="00C071D5" w:rsidRPr="00BB46BB">
              <w:rPr>
                <w:bCs/>
                <w:color w:val="000000" w:themeColor="text1"/>
              </w:rPr>
              <w:t>a</w:t>
            </w:r>
            <w:r w:rsidRPr="00BB46BB">
              <w:rPr>
                <w:bCs/>
                <w:color w:val="000000" w:themeColor="text1"/>
              </w:rPr>
              <w:t>.</w:t>
            </w:r>
          </w:p>
          <w:p w:rsidR="008243E4" w:rsidRPr="00BB46BB" w:rsidRDefault="003118C1" w:rsidP="008243E4">
            <w:pPr>
              <w:ind w:firstLine="252"/>
              <w:jc w:val="both"/>
              <w:rPr>
                <w:bCs/>
                <w:color w:val="000000" w:themeColor="text1"/>
              </w:rPr>
            </w:pPr>
            <w:r w:rsidRPr="00BB46BB">
              <w:rPr>
                <w:bCs/>
                <w:color w:val="000000" w:themeColor="text1"/>
              </w:rPr>
              <w:t>Papildinot noteikumus ar 327.</w:t>
            </w:r>
            <w:r w:rsidRPr="00BB46BB">
              <w:rPr>
                <w:bCs/>
                <w:color w:val="000000" w:themeColor="text1"/>
                <w:vertAlign w:val="superscript"/>
              </w:rPr>
              <w:t>1</w:t>
            </w:r>
            <w:r w:rsidR="00D159BD" w:rsidRPr="00BB46BB">
              <w:rPr>
                <w:bCs/>
                <w:color w:val="000000" w:themeColor="text1"/>
                <w:vertAlign w:val="superscript"/>
              </w:rPr>
              <w:t xml:space="preserve"> </w:t>
            </w:r>
            <w:r w:rsidR="00D159BD" w:rsidRPr="00BB46BB">
              <w:rPr>
                <w:bCs/>
                <w:color w:val="000000" w:themeColor="text1"/>
              </w:rPr>
              <w:t>un 330.</w:t>
            </w:r>
            <w:r w:rsidR="00D159BD" w:rsidRPr="00BB46BB">
              <w:rPr>
                <w:bCs/>
                <w:color w:val="000000" w:themeColor="text1"/>
                <w:vertAlign w:val="superscript"/>
              </w:rPr>
              <w:t>1</w:t>
            </w:r>
            <w:r w:rsidRPr="00BB46BB">
              <w:rPr>
                <w:bCs/>
                <w:color w:val="000000" w:themeColor="text1"/>
              </w:rPr>
              <w:t>punktu</w:t>
            </w:r>
            <w:r w:rsidR="00E313A0" w:rsidRPr="00BB46BB">
              <w:rPr>
                <w:bCs/>
                <w:color w:val="000000" w:themeColor="text1"/>
              </w:rPr>
              <w:t xml:space="preserve">, noteikts, ka </w:t>
            </w:r>
            <w:r w:rsidRPr="00BB46BB">
              <w:rPr>
                <w:bCs/>
                <w:color w:val="000000" w:themeColor="text1"/>
              </w:rPr>
              <w:t xml:space="preserve"> </w:t>
            </w:r>
            <w:r w:rsidR="00620C6D" w:rsidRPr="00BB46BB">
              <w:rPr>
                <w:bCs/>
                <w:color w:val="000000" w:themeColor="text1"/>
              </w:rPr>
              <w:t xml:space="preserve">persona </w:t>
            </w:r>
            <w:r w:rsidR="00E313A0" w:rsidRPr="00BB46BB">
              <w:rPr>
                <w:bCs/>
                <w:color w:val="000000" w:themeColor="text1"/>
              </w:rPr>
              <w:t>NVD lēmumu par iepriekšējās atļaujas izsniegšanu</w:t>
            </w:r>
            <w:r w:rsidR="00D159BD" w:rsidRPr="00BB46BB">
              <w:rPr>
                <w:bCs/>
                <w:color w:val="000000" w:themeColor="text1"/>
              </w:rPr>
              <w:t xml:space="preserve"> </w:t>
            </w:r>
            <w:r w:rsidR="00325C8A" w:rsidRPr="00BB46BB">
              <w:rPr>
                <w:bCs/>
                <w:color w:val="000000" w:themeColor="text1"/>
              </w:rPr>
              <w:t xml:space="preserve">ES, EEZ vai Šveicē, </w:t>
            </w:r>
            <w:r w:rsidR="00D159BD" w:rsidRPr="00BB46BB">
              <w:rPr>
                <w:bCs/>
                <w:color w:val="000000" w:themeColor="text1"/>
              </w:rPr>
              <w:t xml:space="preserve">vai lēmumu par izdevumu atmaksu </w:t>
            </w:r>
            <w:r w:rsidR="00E313A0" w:rsidRPr="00BB46BB">
              <w:rPr>
                <w:bCs/>
                <w:color w:val="000000" w:themeColor="text1"/>
              </w:rPr>
              <w:t xml:space="preserve">var </w:t>
            </w:r>
            <w:r w:rsidRPr="00BB46BB">
              <w:rPr>
                <w:bCs/>
                <w:color w:val="000000" w:themeColor="text1"/>
              </w:rPr>
              <w:t xml:space="preserve"> pārsūdzēt</w:t>
            </w:r>
            <w:r w:rsidR="00E313A0" w:rsidRPr="00BB46BB">
              <w:rPr>
                <w:color w:val="000000" w:themeColor="text1"/>
              </w:rPr>
              <w:t xml:space="preserve"> Administratīvā procesa likumā noteiktajā kārtībā</w:t>
            </w:r>
            <w:r w:rsidRPr="00BB46BB">
              <w:rPr>
                <w:bCs/>
                <w:color w:val="000000" w:themeColor="text1"/>
              </w:rPr>
              <w:t>.</w:t>
            </w:r>
            <w:r w:rsidR="008243E4" w:rsidRPr="00BB46BB">
              <w:rPr>
                <w:bCs/>
                <w:color w:val="000000" w:themeColor="text1"/>
              </w:rPr>
              <w:t xml:space="preserve"> Ārstniecības likumā ir dots deleģējums Ministru kabinetam noteikt kārtību, kādā tiek organizēta veselības aprūpe. Ņemot vērā brīvo personu un pakalpojumu kustību, Eiropas Savienība ir pieņēmusi vairākas direktīvas un regulas, kas ir vērstas uz </w:t>
            </w:r>
            <w:r w:rsidR="008243E4" w:rsidRPr="00BB46BB">
              <w:rPr>
                <w:bCs/>
                <w:color w:val="000000" w:themeColor="text1"/>
              </w:rPr>
              <w:lastRenderedPageBreak/>
              <w:t>pārrobežu veselības aprūpi – personas tiesības saņemt no valsts budžeta apmaksātus veselības aprūpes pakalpojumus Eiropas Savienības dalībvalstīs. Līdz ar to atbilstoši Ārstniecības likumā dotajam deleģējumam ir nepieciešams noteikt, kā tiek organizēta pārrobežu veselības aprūpe un pie kādiem nosacījumiem Eiropas Savienībās dalībvalstīs saņemtais veselības aprūpes pakalpojums tiks apmaksāts no valsts budžeta.</w:t>
            </w:r>
          </w:p>
          <w:p w:rsidR="00E313A0" w:rsidRPr="00BB46BB" w:rsidRDefault="00E313A0" w:rsidP="00620C6D">
            <w:pPr>
              <w:ind w:firstLine="252"/>
              <w:jc w:val="both"/>
              <w:rPr>
                <w:color w:val="000000" w:themeColor="text1"/>
              </w:rPr>
            </w:pPr>
            <w:r w:rsidRPr="00BB46BB">
              <w:rPr>
                <w:bCs/>
                <w:color w:val="000000" w:themeColor="text1"/>
              </w:rPr>
              <w:t>Izsakot 328.2. un 328.2.2. apakšpunktu jaunā redakcijā</w:t>
            </w:r>
            <w:r w:rsidR="008243E4" w:rsidRPr="00BB46BB">
              <w:rPr>
                <w:bCs/>
                <w:color w:val="000000" w:themeColor="text1"/>
              </w:rPr>
              <w:t xml:space="preserve"> un p</w:t>
            </w:r>
            <w:r w:rsidR="008243E4" w:rsidRPr="00BB46BB">
              <w:rPr>
                <w:color w:val="000000" w:themeColor="text1"/>
              </w:rPr>
              <w:t>apildinot noteikumus ar  330.1 un 330.2punktu</w:t>
            </w:r>
            <w:r w:rsidRPr="00BB46BB">
              <w:rPr>
                <w:bCs/>
                <w:color w:val="000000" w:themeColor="text1"/>
              </w:rPr>
              <w:t xml:space="preserve"> prec</w:t>
            </w:r>
            <w:r w:rsidR="00620C6D" w:rsidRPr="00BB46BB">
              <w:rPr>
                <w:bCs/>
                <w:color w:val="000000" w:themeColor="text1"/>
              </w:rPr>
              <w:t>ī</w:t>
            </w:r>
            <w:r w:rsidRPr="00BB46BB">
              <w:rPr>
                <w:bCs/>
                <w:color w:val="000000" w:themeColor="text1"/>
              </w:rPr>
              <w:t>z</w:t>
            </w:r>
            <w:r w:rsidR="00620C6D" w:rsidRPr="00BB46BB">
              <w:rPr>
                <w:bCs/>
                <w:color w:val="000000" w:themeColor="text1"/>
              </w:rPr>
              <w:t>i noteikts</w:t>
            </w:r>
            <w:r w:rsidRPr="00BB46BB">
              <w:rPr>
                <w:bCs/>
                <w:color w:val="000000" w:themeColor="text1"/>
              </w:rPr>
              <w:t xml:space="preserve">, ka atlīdzinot izdevumus par citā ES, EEZ vai Šveicē saņemtajiem veselības aprūpes pakalpojumiem, NVD </w:t>
            </w:r>
            <w:r w:rsidR="00620C6D" w:rsidRPr="00BB46BB">
              <w:rPr>
                <w:bCs/>
                <w:color w:val="000000" w:themeColor="text1"/>
              </w:rPr>
              <w:t>apmaksu veic</w:t>
            </w:r>
            <w:r w:rsidR="00620C6D" w:rsidRPr="00BB46BB">
              <w:rPr>
                <w:color w:val="000000" w:themeColor="text1"/>
              </w:rPr>
              <w:t xml:space="preserve"> atbilstoši tarifam uz brīdi, kad saņemts veselības aprūpes pakalpojums, kā arī </w:t>
            </w:r>
            <w:r w:rsidR="0049293A" w:rsidRPr="00BB46BB">
              <w:rPr>
                <w:color w:val="000000" w:themeColor="text1"/>
              </w:rPr>
              <w:t xml:space="preserve">NVD </w:t>
            </w:r>
            <w:r w:rsidR="00620C6D" w:rsidRPr="00BB46BB">
              <w:rPr>
                <w:color w:val="000000" w:themeColor="text1"/>
              </w:rPr>
              <w:t>pārbauda, vai saņemtais veselības pakalpojums mūsu valstī tiek apmaksāts no valsts budžeta līdzekļiem.</w:t>
            </w:r>
          </w:p>
          <w:p w:rsidR="002454FA" w:rsidRPr="00BB46BB" w:rsidRDefault="00C071D5" w:rsidP="00620C6D">
            <w:pPr>
              <w:ind w:firstLine="252"/>
              <w:jc w:val="both"/>
              <w:rPr>
                <w:color w:val="000000" w:themeColor="text1"/>
              </w:rPr>
            </w:pPr>
            <w:r w:rsidRPr="00BB46BB">
              <w:rPr>
                <w:color w:val="000000" w:themeColor="text1"/>
              </w:rPr>
              <w:t xml:space="preserve">Noteikumu </w:t>
            </w:r>
            <w:r w:rsidR="002454FA" w:rsidRPr="00BB46BB">
              <w:rPr>
                <w:color w:val="000000" w:themeColor="text1"/>
              </w:rPr>
              <w:t>338.2.apakšpunktā precizē</w:t>
            </w:r>
            <w:r w:rsidR="007D643B" w:rsidRPr="00BB46BB">
              <w:rPr>
                <w:color w:val="000000" w:themeColor="text1"/>
              </w:rPr>
              <w:t>tas</w:t>
            </w:r>
            <w:r w:rsidR="002454FA" w:rsidRPr="00BB46BB">
              <w:rPr>
                <w:color w:val="000000" w:themeColor="text1"/>
              </w:rPr>
              <w:t xml:space="preserve"> vidējās izmaksas</w:t>
            </w:r>
            <w:r w:rsidR="007D643B" w:rsidRPr="00BB46BB">
              <w:rPr>
                <w:color w:val="000000" w:themeColor="text1"/>
              </w:rPr>
              <w:t xml:space="preserve"> par neatliekamās medicīniskās palīdzības brigādes izsaukumu savstarpējos norēķinus ar ES, EEZ dalībvalstīm un Šveici par šo valstu sociālā nodrošinājuma sistēmas ietvaros apdrošinātām personām.</w:t>
            </w:r>
          </w:p>
          <w:p w:rsidR="00BE2308" w:rsidRDefault="006872A0" w:rsidP="00BE2308">
            <w:pPr>
              <w:ind w:firstLine="252"/>
              <w:jc w:val="both"/>
              <w:rPr>
                <w:bCs/>
                <w:color w:val="000000" w:themeColor="text1"/>
              </w:rPr>
            </w:pPr>
            <w:r w:rsidRPr="00BB46BB">
              <w:rPr>
                <w:bCs/>
                <w:color w:val="000000" w:themeColor="text1"/>
              </w:rPr>
              <w:t xml:space="preserve">Svītrojot noteikumu </w:t>
            </w:r>
            <w:r w:rsidR="007D643B" w:rsidRPr="00BB46BB">
              <w:rPr>
                <w:bCs/>
                <w:color w:val="000000" w:themeColor="text1"/>
              </w:rPr>
              <w:t xml:space="preserve">341.punktā </w:t>
            </w:r>
            <w:r w:rsidRPr="00BB46BB">
              <w:rPr>
                <w:bCs/>
                <w:color w:val="000000" w:themeColor="text1"/>
              </w:rPr>
              <w:t xml:space="preserve">ietverto nosacījumu, ka </w:t>
            </w:r>
            <w:r w:rsidR="007D643B" w:rsidRPr="00BB46BB">
              <w:rPr>
                <w:bCs/>
                <w:color w:val="000000" w:themeColor="text1"/>
              </w:rPr>
              <w:t>238.punktā noteiktās normas spēkā stāšanās termiņ</w:t>
            </w:r>
            <w:r w:rsidRPr="00BB46BB">
              <w:rPr>
                <w:bCs/>
                <w:color w:val="000000" w:themeColor="text1"/>
              </w:rPr>
              <w:t>š ir 2015.gada 1.janvāris un, papildinot noteikumus ar 353.punktu, kurš paredz, ka 238.punkts stājas spēkā 2016.gada 1.janvārī, tiek nodrošināts</w:t>
            </w:r>
            <w:r w:rsidR="007D643B" w:rsidRPr="00BB46BB">
              <w:rPr>
                <w:bCs/>
                <w:color w:val="000000" w:themeColor="text1"/>
              </w:rPr>
              <w:t xml:space="preserve">, </w:t>
            </w:r>
            <w:r w:rsidRPr="00BB46BB">
              <w:rPr>
                <w:bCs/>
                <w:color w:val="000000" w:themeColor="text1"/>
              </w:rPr>
              <w:t>ka līgumu par veselības aprūpes pakalpojumu mājās sniegšanu NVD slēdz ar ārstniecības iestādi, kura NVD uzrāda māsas vai ārsta palīga attiecīgo profesionālās pilnveides izglītības apliecību par</w:t>
            </w:r>
            <w:r w:rsidRPr="00BB46BB">
              <w:rPr>
                <w:color w:val="000000" w:themeColor="text1"/>
              </w:rPr>
              <w:t xml:space="preserve"> </w:t>
            </w:r>
            <w:r w:rsidRPr="00BB46BB">
              <w:rPr>
                <w:bCs/>
                <w:color w:val="000000" w:themeColor="text1"/>
              </w:rPr>
              <w:t xml:space="preserve">klātienē apgūto </w:t>
            </w:r>
            <w:r w:rsidRPr="00BB46BB">
              <w:rPr>
                <w:color w:val="000000" w:themeColor="text1"/>
              </w:rPr>
              <w:t>licencētu un akreditētu profesionālās pilnveides izglītības programmu</w:t>
            </w:r>
            <w:r w:rsidRPr="00BB46BB">
              <w:rPr>
                <w:bCs/>
                <w:color w:val="000000" w:themeColor="text1"/>
              </w:rPr>
              <w:t xml:space="preserve"> par veselības aprūpes procesu mājās 40 mācību stundu apjomā akreditētā izglītības iestādē. </w:t>
            </w:r>
            <w:r w:rsidR="007D643B" w:rsidRPr="00BB46BB">
              <w:rPr>
                <w:bCs/>
                <w:color w:val="000000" w:themeColor="text1"/>
              </w:rPr>
              <w:t xml:space="preserve"> </w:t>
            </w:r>
            <w:r w:rsidR="00D03076" w:rsidRPr="00BB46BB">
              <w:rPr>
                <w:bCs/>
                <w:color w:val="000000" w:themeColor="text1"/>
              </w:rPr>
              <w:t>M</w:t>
            </w:r>
            <w:r w:rsidR="007D643B" w:rsidRPr="00BB46BB">
              <w:rPr>
                <w:bCs/>
                <w:color w:val="000000" w:themeColor="text1"/>
              </w:rPr>
              <w:t xml:space="preserve">āsas vai ārsta palīga licencēta pilnveides programma par ārstēšanas un aprūpes procesu mājās </w:t>
            </w:r>
            <w:r w:rsidR="00BE2308" w:rsidRPr="00BB46BB">
              <w:rPr>
                <w:bCs/>
                <w:color w:val="000000" w:themeColor="text1"/>
              </w:rPr>
              <w:t>ir apstiprināta 2014.gada 4.februārī (</w:t>
            </w:r>
            <w:r w:rsidR="00E97FE3" w:rsidRPr="00BB46BB">
              <w:rPr>
                <w:bCs/>
                <w:color w:val="000000" w:themeColor="text1"/>
              </w:rPr>
              <w:t>Informācija no Izglītības kvalitātes dienesta licencēto programmu datu bāzes).</w:t>
            </w:r>
          </w:p>
          <w:p w:rsidR="00881C2E" w:rsidRPr="00BB46BB" w:rsidRDefault="00881C2E" w:rsidP="00BE2308">
            <w:pPr>
              <w:ind w:firstLine="252"/>
              <w:jc w:val="both"/>
              <w:rPr>
                <w:bCs/>
                <w:color w:val="000000" w:themeColor="text1"/>
              </w:rPr>
            </w:pPr>
            <w:r>
              <w:rPr>
                <w:bCs/>
                <w:color w:val="000000" w:themeColor="text1"/>
              </w:rPr>
              <w:t>Svītrojot 351.punktu, 5.pielikuma 16.1. un 16.2.apakšpunktu</w:t>
            </w:r>
            <w:r w:rsidR="0091655D">
              <w:rPr>
                <w:bCs/>
                <w:color w:val="000000" w:themeColor="text1"/>
              </w:rPr>
              <w:t xml:space="preserve"> tiek veikti redakcionāli grozījumi.</w:t>
            </w:r>
          </w:p>
          <w:p w:rsidR="001B2735" w:rsidRPr="00BB46BB" w:rsidRDefault="00603054" w:rsidP="00BE2308">
            <w:pPr>
              <w:ind w:firstLine="252"/>
              <w:jc w:val="both"/>
              <w:rPr>
                <w:bCs/>
                <w:color w:val="000000" w:themeColor="text1"/>
              </w:rPr>
            </w:pPr>
            <w:r w:rsidRPr="00BB46BB">
              <w:rPr>
                <w:bCs/>
                <w:color w:val="000000" w:themeColor="text1"/>
              </w:rPr>
              <w:t xml:space="preserve">Veselības ministrija, virzot izskatīšanai 2013.gada 18.decembra Ministru kabineta sēdē ministru kabineta noteikumu projektu par veselības aprūpes organizēšanas un finansēšanas kārtību, piedāvāja ieviest nosacījumu, ka, ja pacients nav apmeklējis savu ģimenes ārstu vairāk kā trīs gadus, ģimenes ārstam pārtrauktu maksāt kapitācijas naudu par šo pacientu, līdz viņš atkal vērstos pie ģimenes ārsta veselības aprūpes pakalpojumu saņemšanai. Pret šo priekšlikumu bija iebildumi no ģimenes ārstiem un Ministru kabineta sēdes laikā pēc diskusijām tika pieņemts lēmums precizēt regulējumu par kapitācijas naudas aprēķinu par tiem pacientiem, kuri neapmeklē ģimenes ārstu vairāk kā trīs gadus, paredzot, ka kapitācijas nauda par attiecīgo pacientu tiks samazināta par 50%, bet iegūtie līdzekļi tiks novirzīti pārējām ģimenes ārstu praksēm. Atbilstoši sēdē nolemtajam </w:t>
            </w:r>
            <w:r w:rsidR="00474C8E" w:rsidRPr="00BB46BB">
              <w:rPr>
                <w:bCs/>
                <w:color w:val="000000" w:themeColor="text1"/>
              </w:rPr>
              <w:t xml:space="preserve">NVD </w:t>
            </w:r>
            <w:r w:rsidRPr="00BB46BB">
              <w:rPr>
                <w:bCs/>
                <w:color w:val="000000" w:themeColor="text1"/>
              </w:rPr>
              <w:t xml:space="preserve">tika uzdots sagatavot priekšlikumus šāda </w:t>
            </w:r>
            <w:r w:rsidRPr="00BB46BB">
              <w:rPr>
                <w:bCs/>
                <w:color w:val="000000" w:themeColor="text1"/>
              </w:rPr>
              <w:lastRenderedPageBreak/>
              <w:t xml:space="preserve">mehānisma izstrādei, taču rezultātā tika secināts, ka šobrīd </w:t>
            </w:r>
            <w:r w:rsidR="00474C8E" w:rsidRPr="00BB46BB">
              <w:rPr>
                <w:bCs/>
                <w:color w:val="000000" w:themeColor="text1"/>
              </w:rPr>
              <w:t xml:space="preserve">NVD </w:t>
            </w:r>
            <w:r w:rsidRPr="00BB46BB">
              <w:rPr>
                <w:bCs/>
                <w:color w:val="000000" w:themeColor="text1"/>
              </w:rPr>
              <w:t xml:space="preserve">Vadības informācijas sistēmā nav iespējams veikt šādus aprēķinus. Lai nodrošinātu minēto nosacījumu izpildi, nepieciešami būtiski papildus finanšu līdzekļi izmaiņu veikšanai Vadības informācijas sistēmā. Tāpat ar ģimenes ārstiem netika panākta vienošanās par labāko risinājumu neizmaksātās kapitācijas naudas novirzīšanai pārējām ģimenes ārstu praksēm. Šobrīd </w:t>
            </w:r>
            <w:r w:rsidR="00D03076" w:rsidRPr="00BB46BB">
              <w:rPr>
                <w:bCs/>
                <w:color w:val="000000" w:themeColor="text1"/>
              </w:rPr>
              <w:t>noteikumu 344.</w:t>
            </w:r>
            <w:r w:rsidRPr="00BB46BB">
              <w:rPr>
                <w:bCs/>
                <w:color w:val="000000" w:themeColor="text1"/>
              </w:rPr>
              <w:t>punkts tiek svītrots, vienlaicīgi turpinot diskusijas ar ģimenes ārstiem par labākajiem risinājumiem pacientu profilaktiskās apskates aptveres rādītāju uzlabošanai.</w:t>
            </w:r>
          </w:p>
          <w:p w:rsidR="0006507B" w:rsidRPr="00BB46BB" w:rsidRDefault="0006507B" w:rsidP="00853316">
            <w:pPr>
              <w:ind w:firstLine="252"/>
              <w:jc w:val="both"/>
              <w:rPr>
                <w:b/>
                <w:bCs/>
                <w:color w:val="000000" w:themeColor="text1"/>
              </w:rPr>
            </w:pPr>
            <w:r w:rsidRPr="00BB46BB">
              <w:rPr>
                <w:bCs/>
                <w:color w:val="000000" w:themeColor="text1"/>
              </w:rPr>
              <w:t>Papildinot noteikumus ar 35</w:t>
            </w:r>
            <w:r w:rsidR="00D03076" w:rsidRPr="00BB46BB">
              <w:rPr>
                <w:bCs/>
                <w:color w:val="000000" w:themeColor="text1"/>
              </w:rPr>
              <w:t>4</w:t>
            </w:r>
            <w:r w:rsidRPr="00BB46BB">
              <w:rPr>
                <w:bCs/>
                <w:color w:val="000000" w:themeColor="text1"/>
              </w:rPr>
              <w:t>.punktu</w:t>
            </w:r>
            <w:r w:rsidR="00877F68" w:rsidRPr="00BB46BB">
              <w:rPr>
                <w:bCs/>
                <w:color w:val="000000" w:themeColor="text1"/>
              </w:rPr>
              <w:t>,</w:t>
            </w:r>
            <w:r w:rsidRPr="00BB46BB">
              <w:rPr>
                <w:bCs/>
                <w:color w:val="000000" w:themeColor="text1"/>
              </w:rPr>
              <w:t xml:space="preserve"> noteikta kārtība</w:t>
            </w:r>
            <w:r w:rsidR="00C95C3F" w:rsidRPr="00BB46BB">
              <w:rPr>
                <w:bCs/>
                <w:color w:val="000000" w:themeColor="text1"/>
              </w:rPr>
              <w:t>,</w:t>
            </w:r>
            <w:r w:rsidRPr="00BB46BB">
              <w:rPr>
                <w:bCs/>
                <w:color w:val="000000" w:themeColor="text1"/>
              </w:rPr>
              <w:t xml:space="preserve"> atbilstoši kurai NVD ārstniecības iestādēm maksā kompensācijas maksājumu par </w:t>
            </w:r>
            <w:r w:rsidR="00853316" w:rsidRPr="00BB46BB">
              <w:rPr>
                <w:bCs/>
                <w:color w:val="000000" w:themeColor="text1"/>
              </w:rPr>
              <w:t>DRG programmas ieviešanu.</w:t>
            </w:r>
            <w:r w:rsidR="00902647" w:rsidRPr="00BB46BB">
              <w:rPr>
                <w:color w:val="000000" w:themeColor="text1"/>
              </w:rPr>
              <w:t xml:space="preserve"> </w:t>
            </w:r>
            <w:r w:rsidR="00902647" w:rsidRPr="00BB46BB">
              <w:rPr>
                <w:bCs/>
                <w:color w:val="000000" w:themeColor="text1"/>
              </w:rPr>
              <w:t xml:space="preserve">Tomēr ņemot vērā, ka DRG sistēmas ieviešana būtiski mainīs atsevišķām stacionārajām ārstniecības iestādēm novirzāmo finansējumu apjomu valsts apmaksāto veselības aprūpes pakalpojumu sniegšanai, lai neradītu zaudējumus ārstniecības iestādēm un radītu tām iespēju plānot savu darbību, nepieciešams paredzēt pārejas periodu un kārtību, kādā </w:t>
            </w:r>
            <w:r w:rsidR="00CF6FB6" w:rsidRPr="00BB46BB">
              <w:rPr>
                <w:bCs/>
                <w:color w:val="000000" w:themeColor="text1"/>
              </w:rPr>
              <w:t xml:space="preserve">DRG sistēmas aprēķinātais </w:t>
            </w:r>
            <w:r w:rsidR="00902647" w:rsidRPr="00BB46BB">
              <w:rPr>
                <w:bCs/>
                <w:color w:val="000000" w:themeColor="text1"/>
              </w:rPr>
              <w:t xml:space="preserve">finansējums tiek samazināts pakāpeniski. </w:t>
            </w:r>
          </w:p>
          <w:p w:rsidR="00853316" w:rsidRPr="00BB46BB" w:rsidRDefault="00853316" w:rsidP="00853316">
            <w:pPr>
              <w:ind w:firstLine="252"/>
              <w:jc w:val="both"/>
              <w:rPr>
                <w:bCs/>
                <w:color w:val="000000" w:themeColor="text1"/>
              </w:rPr>
            </w:pPr>
            <w:r w:rsidRPr="00BB46BB">
              <w:rPr>
                <w:bCs/>
                <w:color w:val="000000" w:themeColor="text1"/>
              </w:rPr>
              <w:t>Papildinot noteikumus ar 35</w:t>
            </w:r>
            <w:r w:rsidR="00D03076" w:rsidRPr="00BB46BB">
              <w:rPr>
                <w:bCs/>
                <w:color w:val="000000" w:themeColor="text1"/>
              </w:rPr>
              <w:t>5</w:t>
            </w:r>
            <w:r w:rsidRPr="00BB46BB">
              <w:rPr>
                <w:bCs/>
                <w:color w:val="000000" w:themeColor="text1"/>
              </w:rPr>
              <w:t>.punktu</w:t>
            </w:r>
            <w:r w:rsidR="00877F68" w:rsidRPr="00BB46BB">
              <w:rPr>
                <w:bCs/>
                <w:color w:val="000000" w:themeColor="text1"/>
              </w:rPr>
              <w:t>,</w:t>
            </w:r>
            <w:r w:rsidRPr="00BB46BB">
              <w:rPr>
                <w:color w:val="000000" w:themeColor="text1"/>
              </w:rPr>
              <w:t xml:space="preserve"> </w:t>
            </w:r>
            <w:r w:rsidRPr="00BB46BB">
              <w:rPr>
                <w:bCs/>
                <w:color w:val="000000" w:themeColor="text1"/>
              </w:rPr>
              <w:t xml:space="preserve">noteikts, ka ģimenes ārsta gada darbības rādītāju izvērtējums 2015.gadā par 2014.gada izpildi tiks veikts </w:t>
            </w:r>
            <w:r w:rsidR="00877F68" w:rsidRPr="00BB46BB">
              <w:rPr>
                <w:bCs/>
                <w:color w:val="000000" w:themeColor="text1"/>
              </w:rPr>
              <w:t xml:space="preserve">saskaņā ar šo noteikumu 14.pielikuma </w:t>
            </w:r>
            <w:r w:rsidRPr="00BB46BB">
              <w:rPr>
                <w:bCs/>
                <w:color w:val="000000" w:themeColor="text1"/>
              </w:rPr>
              <w:t>nosacījumiem.</w:t>
            </w:r>
          </w:p>
          <w:p w:rsidR="00853316" w:rsidRPr="00BB46BB" w:rsidRDefault="00853316" w:rsidP="00853316">
            <w:pPr>
              <w:ind w:firstLine="252"/>
              <w:jc w:val="both"/>
              <w:rPr>
                <w:bCs/>
                <w:color w:val="000000" w:themeColor="text1"/>
              </w:rPr>
            </w:pPr>
            <w:r w:rsidRPr="00BB46BB">
              <w:rPr>
                <w:bCs/>
                <w:color w:val="000000" w:themeColor="text1"/>
              </w:rPr>
              <w:t>Papildinot noteikumus ar 35</w:t>
            </w:r>
            <w:r w:rsidR="00D03076" w:rsidRPr="00BB46BB">
              <w:rPr>
                <w:bCs/>
                <w:color w:val="000000" w:themeColor="text1"/>
              </w:rPr>
              <w:t>6</w:t>
            </w:r>
            <w:r w:rsidRPr="00BB46BB">
              <w:rPr>
                <w:bCs/>
                <w:color w:val="000000" w:themeColor="text1"/>
              </w:rPr>
              <w:t>.punktu</w:t>
            </w:r>
            <w:r w:rsidR="00C071D5" w:rsidRPr="00BB46BB">
              <w:rPr>
                <w:bCs/>
                <w:color w:val="000000" w:themeColor="text1"/>
              </w:rPr>
              <w:t>,</w:t>
            </w:r>
            <w:r w:rsidRPr="00BB46BB">
              <w:rPr>
                <w:color w:val="000000" w:themeColor="text1"/>
              </w:rPr>
              <w:t xml:space="preserve"> t</w:t>
            </w:r>
            <w:r w:rsidRPr="00BB46BB">
              <w:rPr>
                <w:bCs/>
                <w:color w:val="000000" w:themeColor="text1"/>
              </w:rPr>
              <w:t>iek noteikta kārtība saskaņā ar kuru ārstniecības iestādei apmaksās 2014.gadā sniegt</w:t>
            </w:r>
            <w:r w:rsidR="00D03076" w:rsidRPr="00BB46BB">
              <w:rPr>
                <w:bCs/>
                <w:color w:val="000000" w:themeColor="text1"/>
              </w:rPr>
              <w:t>os</w:t>
            </w:r>
            <w:r w:rsidRPr="00BB46BB">
              <w:rPr>
                <w:bCs/>
                <w:color w:val="000000" w:themeColor="text1"/>
              </w:rPr>
              <w:t xml:space="preserve"> ārstniecisk</w:t>
            </w:r>
            <w:r w:rsidR="00D03076" w:rsidRPr="00BB46BB">
              <w:rPr>
                <w:bCs/>
                <w:color w:val="000000" w:themeColor="text1"/>
              </w:rPr>
              <w:t>os</w:t>
            </w:r>
            <w:r w:rsidRPr="00BB46BB">
              <w:rPr>
                <w:bCs/>
                <w:color w:val="000000" w:themeColor="text1"/>
              </w:rPr>
              <w:t xml:space="preserve"> pakalpojum</w:t>
            </w:r>
            <w:r w:rsidR="00D03076" w:rsidRPr="00BB46BB">
              <w:rPr>
                <w:bCs/>
                <w:color w:val="000000" w:themeColor="text1"/>
              </w:rPr>
              <w:t>us</w:t>
            </w:r>
            <w:r w:rsidRPr="00BB46BB">
              <w:rPr>
                <w:bCs/>
                <w:color w:val="000000" w:themeColor="text1"/>
              </w:rPr>
              <w:t xml:space="preserve"> ar dārgu medikamentu. </w:t>
            </w:r>
          </w:p>
          <w:p w:rsidR="00F1530B" w:rsidRPr="00BB46BB" w:rsidRDefault="00684D15" w:rsidP="00F1530B">
            <w:pPr>
              <w:ind w:firstLine="252"/>
              <w:jc w:val="both"/>
              <w:rPr>
                <w:bCs/>
                <w:color w:val="000000" w:themeColor="text1"/>
              </w:rPr>
            </w:pPr>
            <w:r w:rsidRPr="00BB46BB">
              <w:rPr>
                <w:bCs/>
                <w:color w:val="000000" w:themeColor="text1"/>
              </w:rPr>
              <w:t>N</w:t>
            </w:r>
            <w:r w:rsidR="00F1530B" w:rsidRPr="00BB46BB">
              <w:rPr>
                <w:bCs/>
                <w:color w:val="000000" w:themeColor="text1"/>
              </w:rPr>
              <w:t>oteikumu 1.pielikum</w:t>
            </w:r>
            <w:r w:rsidRPr="00BB46BB">
              <w:rPr>
                <w:bCs/>
                <w:color w:val="000000" w:themeColor="text1"/>
              </w:rPr>
              <w:t>a 1.1.4.apakšpunktā precizēti nosacījumi, kādas asins analīzes jānoņem bērnam trešajā –piektajā dzīves dienā. Savukārt 6.2.apakšpunktā precizēti ģimenes ārsta veiktā pieaugušo vispārējā veselības pārbaude</w:t>
            </w:r>
            <w:r w:rsidR="00F74BD8" w:rsidRPr="00BB46BB">
              <w:rPr>
                <w:bCs/>
                <w:color w:val="000000" w:themeColor="text1"/>
              </w:rPr>
              <w:t>s nosacījumi.</w:t>
            </w:r>
            <w:r w:rsidRPr="00BB46BB">
              <w:rPr>
                <w:bCs/>
                <w:color w:val="000000" w:themeColor="text1"/>
              </w:rPr>
              <w:t xml:space="preserve"> </w:t>
            </w:r>
          </w:p>
          <w:p w:rsidR="001374C1" w:rsidRPr="00BB46BB" w:rsidRDefault="00F91905" w:rsidP="001374C1">
            <w:pPr>
              <w:ind w:firstLine="252"/>
              <w:jc w:val="both"/>
              <w:rPr>
                <w:bCs/>
                <w:color w:val="000000" w:themeColor="text1"/>
              </w:rPr>
            </w:pPr>
            <w:r w:rsidRPr="00BB46BB">
              <w:rPr>
                <w:bCs/>
                <w:color w:val="000000" w:themeColor="text1"/>
              </w:rPr>
              <w:t>Grozījumi 2.pielikumā tiek veikti:</w:t>
            </w:r>
          </w:p>
          <w:p w:rsidR="001374C1" w:rsidRPr="00BB46BB" w:rsidRDefault="001374C1" w:rsidP="001374C1">
            <w:pPr>
              <w:ind w:firstLine="252"/>
              <w:jc w:val="both"/>
              <w:rPr>
                <w:bCs/>
                <w:color w:val="000000" w:themeColor="text1"/>
              </w:rPr>
            </w:pPr>
            <w:r w:rsidRPr="00BB46BB">
              <w:rPr>
                <w:bCs/>
                <w:color w:val="000000" w:themeColor="text1"/>
              </w:rPr>
              <w:t>-</w:t>
            </w:r>
            <w:r w:rsidR="00F91905" w:rsidRPr="00BB46BB">
              <w:rPr>
                <w:bCs/>
                <w:color w:val="000000" w:themeColor="text1"/>
              </w:rPr>
              <w:t>saistībā ar izmaiņām dz</w:t>
            </w:r>
            <w:r w:rsidR="008368D9" w:rsidRPr="00BB46BB">
              <w:rPr>
                <w:bCs/>
                <w:color w:val="000000" w:themeColor="text1"/>
              </w:rPr>
              <w:t>e</w:t>
            </w:r>
            <w:r w:rsidR="00F91905" w:rsidRPr="00BB46BB">
              <w:rPr>
                <w:bCs/>
                <w:color w:val="000000" w:themeColor="text1"/>
              </w:rPr>
              <w:t>mdes kakla izmeklējumu rezultātu uzskaitē</w:t>
            </w:r>
            <w:r w:rsidR="00607A09" w:rsidRPr="00BB46BB">
              <w:rPr>
                <w:bCs/>
                <w:color w:val="000000" w:themeColor="text1"/>
              </w:rPr>
              <w:t xml:space="preserve"> valsts organizētā vēža </w:t>
            </w:r>
            <w:proofErr w:type="spellStart"/>
            <w:r w:rsidR="00607A09" w:rsidRPr="00BB46BB">
              <w:rPr>
                <w:bCs/>
                <w:color w:val="000000" w:themeColor="text1"/>
              </w:rPr>
              <w:t>skrīninga</w:t>
            </w:r>
            <w:proofErr w:type="spellEnd"/>
            <w:r w:rsidR="00607A09" w:rsidRPr="00BB46BB">
              <w:rPr>
                <w:bCs/>
                <w:color w:val="000000" w:themeColor="text1"/>
              </w:rPr>
              <w:t xml:space="preserve"> ietvaros;</w:t>
            </w:r>
          </w:p>
          <w:p w:rsidR="00607A09" w:rsidRPr="00BB46BB" w:rsidRDefault="001374C1" w:rsidP="001374C1">
            <w:pPr>
              <w:ind w:firstLine="252"/>
              <w:jc w:val="both"/>
              <w:rPr>
                <w:bCs/>
                <w:color w:val="000000" w:themeColor="text1"/>
              </w:rPr>
            </w:pPr>
            <w:r w:rsidRPr="00BB46BB">
              <w:rPr>
                <w:bCs/>
                <w:color w:val="000000" w:themeColor="text1"/>
              </w:rPr>
              <w:t xml:space="preserve">- </w:t>
            </w:r>
            <w:r w:rsidR="00607A09" w:rsidRPr="00BB46BB">
              <w:rPr>
                <w:bCs/>
                <w:color w:val="000000" w:themeColor="text1"/>
              </w:rPr>
              <w:t>lai turpmāk laboratoriskie izmeklējumi tuberkulozes noteikšanai tiktu veikti un apmaksāti nacionālās mikrobioloģijas references un 3.bioloģiskās drošības līmeņa laboratorijai.</w:t>
            </w:r>
          </w:p>
          <w:p w:rsidR="001374C1" w:rsidRPr="00BB46BB" w:rsidRDefault="00607A09" w:rsidP="001374C1">
            <w:pPr>
              <w:ind w:firstLine="252"/>
              <w:jc w:val="both"/>
              <w:rPr>
                <w:bCs/>
                <w:color w:val="000000" w:themeColor="text1"/>
              </w:rPr>
            </w:pPr>
            <w:r w:rsidRPr="00BB46BB">
              <w:rPr>
                <w:bCs/>
                <w:color w:val="000000" w:themeColor="text1"/>
              </w:rPr>
              <w:t>Atbilstoši 2014.gada 22.novembra Ministru kabineta sēdē apstiprinātajam Latvijas vispārējās valdības budžeta plāna projektam no 2015.gada 1.janvāra paredzēts palielināt vidējo darba samaksu, kas tiek izmantota veselības aprūpes pakalpojumu tarifu aprēķināšanai, ārstniecības un pacientu aprūpes personām, funkcionālo speciālistu asistentiem, kā arī ārstniecības un pacientu aprūpes atbalsta personālam, tādēļ noteikumu 3.pielikumā veiktas attiecīgas vesel</w:t>
            </w:r>
            <w:r w:rsidR="008368D9" w:rsidRPr="00BB46BB">
              <w:rPr>
                <w:bCs/>
                <w:color w:val="000000" w:themeColor="text1"/>
              </w:rPr>
              <w:t>ī</w:t>
            </w:r>
            <w:r w:rsidRPr="00BB46BB">
              <w:rPr>
                <w:bCs/>
                <w:color w:val="000000" w:themeColor="text1"/>
              </w:rPr>
              <w:t>b</w:t>
            </w:r>
            <w:r w:rsidR="008368D9" w:rsidRPr="00BB46BB">
              <w:rPr>
                <w:bCs/>
                <w:color w:val="000000" w:themeColor="text1"/>
              </w:rPr>
              <w:t>a</w:t>
            </w:r>
            <w:r w:rsidRPr="00BB46BB">
              <w:rPr>
                <w:bCs/>
                <w:color w:val="000000" w:themeColor="text1"/>
              </w:rPr>
              <w:t>s aprūpes pakalpojumu tarifu izmaiņas. Papildus izmaiņas</w:t>
            </w:r>
            <w:r w:rsidR="008368D9" w:rsidRPr="00BB46BB">
              <w:rPr>
                <w:bCs/>
                <w:color w:val="000000" w:themeColor="text1"/>
              </w:rPr>
              <w:t xml:space="preserve"> </w:t>
            </w:r>
            <w:r w:rsidR="00F1530B" w:rsidRPr="00BB46BB">
              <w:rPr>
                <w:bCs/>
                <w:color w:val="000000" w:themeColor="text1"/>
              </w:rPr>
              <w:t>3.pielikuma 3.punkt</w:t>
            </w:r>
            <w:r w:rsidR="002F3E4D" w:rsidRPr="00BB46BB">
              <w:rPr>
                <w:bCs/>
                <w:color w:val="000000" w:themeColor="text1"/>
              </w:rPr>
              <w:t>ā veikt</w:t>
            </w:r>
            <w:r w:rsidRPr="00BB46BB">
              <w:rPr>
                <w:bCs/>
                <w:color w:val="000000" w:themeColor="text1"/>
              </w:rPr>
              <w:t>as</w:t>
            </w:r>
            <w:r w:rsidR="002F3E4D" w:rsidRPr="00BB46BB">
              <w:rPr>
                <w:bCs/>
                <w:color w:val="000000" w:themeColor="text1"/>
              </w:rPr>
              <w:t xml:space="preserve"> saistībā ar DRG sistēmas ieviešanu</w:t>
            </w:r>
            <w:r w:rsidRPr="00BB46BB">
              <w:rPr>
                <w:bCs/>
                <w:color w:val="000000" w:themeColor="text1"/>
              </w:rPr>
              <w:t xml:space="preserve"> - 3</w:t>
            </w:r>
            <w:r w:rsidR="002F3E4D" w:rsidRPr="00BB46BB">
              <w:rPr>
                <w:bCs/>
                <w:color w:val="000000" w:themeColor="text1"/>
              </w:rPr>
              <w:t>.punktā noteikts, kuras no pakalpojumu programmām iekļautas DRG grupu aprēķinā un turpmāk tiks apmaksātas citādā kārtībā</w:t>
            </w:r>
            <w:r w:rsidR="009F4C2B" w:rsidRPr="00BB46BB">
              <w:rPr>
                <w:bCs/>
                <w:color w:val="000000" w:themeColor="text1"/>
              </w:rPr>
              <w:t xml:space="preserve">, izmaiņas 3.pielikuma </w:t>
            </w:r>
            <w:r w:rsidR="009F4C2B" w:rsidRPr="00BB46BB">
              <w:rPr>
                <w:bCs/>
                <w:color w:val="000000" w:themeColor="text1"/>
              </w:rPr>
              <w:lastRenderedPageBreak/>
              <w:t xml:space="preserve">5.punktā veiktas saistībā ar izmaiņām </w:t>
            </w:r>
            <w:r w:rsidR="001E4304" w:rsidRPr="00BB46BB">
              <w:rPr>
                <w:bCs/>
                <w:color w:val="000000" w:themeColor="text1"/>
              </w:rPr>
              <w:t>Starptautisko statistisko slimību un veselības problēmu klasifikācijas 10.redakcijas kodos</w:t>
            </w:r>
            <w:r w:rsidR="001374C1" w:rsidRPr="00BB46BB">
              <w:rPr>
                <w:bCs/>
                <w:color w:val="000000" w:themeColor="text1"/>
              </w:rPr>
              <w:t>.</w:t>
            </w:r>
          </w:p>
          <w:p w:rsidR="00607A09" w:rsidRPr="00BB46BB" w:rsidRDefault="00607A09" w:rsidP="001374C1">
            <w:pPr>
              <w:ind w:firstLine="252"/>
              <w:jc w:val="both"/>
              <w:rPr>
                <w:iCs/>
                <w:color w:val="000000" w:themeColor="text1"/>
              </w:rPr>
            </w:pPr>
            <w:r w:rsidRPr="00BB46BB">
              <w:rPr>
                <w:iCs/>
                <w:color w:val="000000" w:themeColor="text1"/>
              </w:rPr>
              <w:t>Atbilstoši 2014.gada 22.novembra Ministru kabineta sēdē apstiprinātajam Latvijas vispārējās valdības budžeta plāna projektam no 2015.gada 1.janvāra paredzēts samazināt pacienta iemaksu par ārstēšanos stacionārā ārstniecības iestādē, tādēļ noteikumu 4.pielikumā veiktas izmaiņas, nosakot pacienta iemaksu 10</w:t>
            </w:r>
            <w:r w:rsidR="001374C1" w:rsidRPr="00BB46BB">
              <w:rPr>
                <w:iCs/>
                <w:color w:val="000000" w:themeColor="text1"/>
              </w:rPr>
              <w:t>,00</w:t>
            </w:r>
            <w:r w:rsidRPr="00BB46BB">
              <w:rPr>
                <w:iCs/>
                <w:color w:val="000000" w:themeColor="text1"/>
              </w:rPr>
              <w:t xml:space="preserve"> </w:t>
            </w:r>
            <w:proofErr w:type="spellStart"/>
            <w:r w:rsidRPr="00BB46BB">
              <w:rPr>
                <w:i/>
                <w:iCs/>
                <w:color w:val="000000" w:themeColor="text1"/>
              </w:rPr>
              <w:t>euro</w:t>
            </w:r>
            <w:proofErr w:type="spellEnd"/>
            <w:r w:rsidRPr="00BB46BB">
              <w:rPr>
                <w:i/>
                <w:iCs/>
                <w:color w:val="000000" w:themeColor="text1"/>
              </w:rPr>
              <w:t xml:space="preserve"> </w:t>
            </w:r>
            <w:r w:rsidRPr="00BB46BB">
              <w:rPr>
                <w:iCs/>
                <w:color w:val="000000" w:themeColor="text1"/>
              </w:rPr>
              <w:t xml:space="preserve">apmērā. </w:t>
            </w:r>
          </w:p>
          <w:p w:rsidR="008368D9" w:rsidRPr="00BB46BB" w:rsidRDefault="00F1530B" w:rsidP="00F1530B">
            <w:pPr>
              <w:ind w:firstLine="252"/>
              <w:jc w:val="both"/>
              <w:rPr>
                <w:color w:val="000000" w:themeColor="text1"/>
              </w:rPr>
            </w:pPr>
            <w:r w:rsidRPr="00BB46BB">
              <w:rPr>
                <w:bCs/>
                <w:color w:val="000000" w:themeColor="text1"/>
              </w:rPr>
              <w:t xml:space="preserve">Izsakot </w:t>
            </w:r>
            <w:r w:rsidR="00842433" w:rsidRPr="00BB46BB">
              <w:rPr>
                <w:bCs/>
                <w:color w:val="000000" w:themeColor="text1"/>
              </w:rPr>
              <w:t xml:space="preserve">noteikumu </w:t>
            </w:r>
            <w:r w:rsidRPr="00BB46BB">
              <w:rPr>
                <w:color w:val="000000" w:themeColor="text1"/>
              </w:rPr>
              <w:t>5.pielikuma 13.6.</w:t>
            </w:r>
            <w:r w:rsidR="00547CAB" w:rsidRPr="00BB46BB">
              <w:rPr>
                <w:color w:val="000000" w:themeColor="text1"/>
              </w:rPr>
              <w:t>,</w:t>
            </w:r>
            <w:r w:rsidR="00AF26F8" w:rsidRPr="00BB46BB">
              <w:rPr>
                <w:color w:val="000000" w:themeColor="text1"/>
              </w:rPr>
              <w:t xml:space="preserve"> 18.47.</w:t>
            </w:r>
            <w:r w:rsidR="00547CAB" w:rsidRPr="00BB46BB">
              <w:rPr>
                <w:color w:val="000000" w:themeColor="text1"/>
              </w:rPr>
              <w:t xml:space="preserve"> un</w:t>
            </w:r>
            <w:r w:rsidRPr="00BB46BB">
              <w:rPr>
                <w:color w:val="000000" w:themeColor="text1"/>
              </w:rPr>
              <w:t xml:space="preserve"> </w:t>
            </w:r>
            <w:r w:rsidR="00AF26F8" w:rsidRPr="00BB46BB">
              <w:rPr>
                <w:color w:val="000000" w:themeColor="text1"/>
              </w:rPr>
              <w:t>18</w:t>
            </w:r>
            <w:r w:rsidRPr="00BB46BB">
              <w:rPr>
                <w:color w:val="000000" w:themeColor="text1"/>
              </w:rPr>
              <w:t>.218.</w:t>
            </w:r>
            <w:r w:rsidR="00AF26F8" w:rsidRPr="00BB46BB">
              <w:rPr>
                <w:color w:val="000000" w:themeColor="text1"/>
              </w:rPr>
              <w:t xml:space="preserve"> </w:t>
            </w:r>
            <w:r w:rsidR="005F6175" w:rsidRPr="00BB46BB">
              <w:rPr>
                <w:color w:val="000000" w:themeColor="text1"/>
              </w:rPr>
              <w:t xml:space="preserve">apakšpunktu </w:t>
            </w:r>
            <w:r w:rsidRPr="00BB46BB">
              <w:rPr>
                <w:color w:val="000000" w:themeColor="text1"/>
              </w:rPr>
              <w:t>jaunā redakcijā un papildinot</w:t>
            </w:r>
            <w:r w:rsidR="005F6175" w:rsidRPr="00BB46BB">
              <w:rPr>
                <w:color w:val="000000" w:themeColor="text1"/>
              </w:rPr>
              <w:t xml:space="preserve"> noteikumus</w:t>
            </w:r>
            <w:r w:rsidRPr="00BB46BB">
              <w:rPr>
                <w:color w:val="000000" w:themeColor="text1"/>
              </w:rPr>
              <w:t xml:space="preserve"> ar </w:t>
            </w:r>
            <w:r w:rsidR="00AF26F8" w:rsidRPr="00BB46BB">
              <w:rPr>
                <w:color w:val="000000" w:themeColor="text1"/>
              </w:rPr>
              <w:t>18.175.</w:t>
            </w:r>
            <w:r w:rsidR="00AF26F8" w:rsidRPr="00BB46BB">
              <w:rPr>
                <w:color w:val="000000" w:themeColor="text1"/>
                <w:vertAlign w:val="superscript"/>
              </w:rPr>
              <w:t>1</w:t>
            </w:r>
            <w:r w:rsidR="00547CAB" w:rsidRPr="00BB46BB">
              <w:rPr>
                <w:color w:val="000000" w:themeColor="text1"/>
                <w:vertAlign w:val="superscript"/>
              </w:rPr>
              <w:t xml:space="preserve"> </w:t>
            </w:r>
            <w:r w:rsidR="00547CAB" w:rsidRPr="00BB46BB">
              <w:rPr>
                <w:color w:val="000000" w:themeColor="text1"/>
              </w:rPr>
              <w:t>un</w:t>
            </w:r>
            <w:r w:rsidRPr="00BB46BB">
              <w:rPr>
                <w:color w:val="000000" w:themeColor="text1"/>
              </w:rPr>
              <w:t>18.376.</w:t>
            </w:r>
            <w:r w:rsidRPr="00BB46BB">
              <w:rPr>
                <w:color w:val="000000" w:themeColor="text1"/>
                <w:vertAlign w:val="superscript"/>
              </w:rPr>
              <w:t>1</w:t>
            </w:r>
            <w:r w:rsidRPr="00BB46BB">
              <w:rPr>
                <w:color w:val="000000" w:themeColor="text1"/>
              </w:rPr>
              <w:t>punktu tiek papildināts manipulāciju saraksts pacienta iemaksas noteikšanai</w:t>
            </w:r>
            <w:r w:rsidR="005F6175" w:rsidRPr="00BB46BB">
              <w:rPr>
                <w:color w:val="000000" w:themeColor="text1"/>
              </w:rPr>
              <w:t>.</w:t>
            </w:r>
          </w:p>
          <w:p w:rsidR="005F6175" w:rsidRPr="00BB46BB" w:rsidRDefault="00842433" w:rsidP="005F6175">
            <w:pPr>
              <w:ind w:firstLine="252"/>
              <w:jc w:val="both"/>
              <w:rPr>
                <w:bCs/>
                <w:color w:val="000000" w:themeColor="text1"/>
              </w:rPr>
            </w:pPr>
            <w:r w:rsidRPr="00BB46BB">
              <w:rPr>
                <w:color w:val="000000" w:themeColor="text1"/>
              </w:rPr>
              <w:t xml:space="preserve">Noteikumu </w:t>
            </w:r>
            <w:r w:rsidR="005F6175" w:rsidRPr="00BB46BB">
              <w:rPr>
                <w:color w:val="000000" w:themeColor="text1"/>
              </w:rPr>
              <w:t>7.pielikuma 2.1.apakšpunkt</w:t>
            </w:r>
            <w:r w:rsidR="00981802" w:rsidRPr="00BB46BB">
              <w:rPr>
                <w:color w:val="000000" w:themeColor="text1"/>
              </w:rPr>
              <w:t>a</w:t>
            </w:r>
            <w:r w:rsidR="005F6175" w:rsidRPr="00BB46BB">
              <w:rPr>
                <w:color w:val="000000" w:themeColor="text1"/>
              </w:rPr>
              <w:t xml:space="preserve"> jaunajā redakcijā ir iekļauts skaidrojums par to, ko ietver ginekoloģiskā apskate valsts organizētā vēža skrīninga ietvaros. </w:t>
            </w:r>
            <w:r w:rsidR="005F6175" w:rsidRPr="00BB46BB">
              <w:rPr>
                <w:bCs/>
                <w:color w:val="000000" w:themeColor="text1"/>
              </w:rPr>
              <w:t xml:space="preserve">Savukārt </w:t>
            </w:r>
            <w:r w:rsidR="008368D9" w:rsidRPr="00BB46BB">
              <w:rPr>
                <w:bCs/>
                <w:color w:val="000000" w:themeColor="text1"/>
              </w:rPr>
              <w:t xml:space="preserve">7.pielikuma </w:t>
            </w:r>
            <w:r w:rsidR="005F6175" w:rsidRPr="00BB46BB">
              <w:rPr>
                <w:bCs/>
                <w:color w:val="000000" w:themeColor="text1"/>
              </w:rPr>
              <w:t>3.</w:t>
            </w:r>
            <w:r w:rsidR="008368D9" w:rsidRPr="00BB46BB">
              <w:rPr>
                <w:bCs/>
                <w:color w:val="000000" w:themeColor="text1"/>
              </w:rPr>
              <w:t xml:space="preserve">, 4. un 5.punktā </w:t>
            </w:r>
            <w:r w:rsidR="006C6EBB" w:rsidRPr="00BB46BB">
              <w:rPr>
                <w:bCs/>
                <w:color w:val="000000" w:themeColor="text1"/>
              </w:rPr>
              <w:t xml:space="preserve"> veikti redakcionāli precizējumi</w:t>
            </w:r>
            <w:r w:rsidR="008368D9" w:rsidRPr="00BB46BB">
              <w:rPr>
                <w:bCs/>
                <w:color w:val="000000" w:themeColor="text1"/>
              </w:rPr>
              <w:t xml:space="preserve">, kā arī grozījumi saistībā ar izmaiņām dzemdes kakla izmeklējumu rezultātu uzskaitē valsts organizētā vēža </w:t>
            </w:r>
            <w:proofErr w:type="spellStart"/>
            <w:r w:rsidR="008368D9" w:rsidRPr="00BB46BB">
              <w:rPr>
                <w:bCs/>
                <w:color w:val="000000" w:themeColor="text1"/>
              </w:rPr>
              <w:t>skrīninga</w:t>
            </w:r>
            <w:proofErr w:type="spellEnd"/>
            <w:r w:rsidR="008368D9" w:rsidRPr="00BB46BB">
              <w:rPr>
                <w:bCs/>
                <w:color w:val="000000" w:themeColor="text1"/>
              </w:rPr>
              <w:t xml:space="preserve"> ietvaros.</w:t>
            </w:r>
          </w:p>
          <w:p w:rsidR="005A002D" w:rsidRPr="00BB46BB" w:rsidRDefault="005A002D" w:rsidP="005F6175">
            <w:pPr>
              <w:ind w:firstLine="252"/>
              <w:jc w:val="both"/>
              <w:rPr>
                <w:bCs/>
                <w:color w:val="000000" w:themeColor="text1"/>
              </w:rPr>
            </w:pPr>
            <w:r w:rsidRPr="00BB46BB">
              <w:rPr>
                <w:bCs/>
                <w:color w:val="000000" w:themeColor="text1"/>
              </w:rPr>
              <w:t>Grozījumi 9.pielikumā:</w:t>
            </w:r>
          </w:p>
          <w:p w:rsidR="002E684D" w:rsidRPr="00BB46BB" w:rsidRDefault="005A002D" w:rsidP="005F6175">
            <w:pPr>
              <w:ind w:firstLine="252"/>
              <w:jc w:val="both"/>
              <w:rPr>
                <w:bCs/>
                <w:color w:val="000000" w:themeColor="text1"/>
              </w:rPr>
            </w:pPr>
            <w:r w:rsidRPr="00BB46BB">
              <w:rPr>
                <w:bCs/>
                <w:color w:val="000000" w:themeColor="text1"/>
              </w:rPr>
              <w:t>-</w:t>
            </w:r>
            <w:r w:rsidR="00352A06" w:rsidRPr="00BB46BB">
              <w:rPr>
                <w:bCs/>
                <w:color w:val="000000" w:themeColor="text1"/>
              </w:rPr>
              <w:t xml:space="preserve"> </w:t>
            </w:r>
            <w:r w:rsidR="002E684D" w:rsidRPr="00BB46BB">
              <w:rPr>
                <w:bCs/>
                <w:color w:val="000000" w:themeColor="text1"/>
              </w:rPr>
              <w:t xml:space="preserve">atbilstoši 2014.gada 22.novembra Ministru kabineta sēdē apstiprinātajam Latvijas vispārējās valdības budžeta plāna projektam no 2015.gada 1.janvāra paredzēts palielināt darba samaksu personām, kuras saņem minimālo algu, tādēļ 5.punktā mainīta </w:t>
            </w:r>
            <w:proofErr w:type="spellStart"/>
            <w:r w:rsidR="002E684D" w:rsidRPr="00BB46BB">
              <w:rPr>
                <w:bCs/>
                <w:color w:val="000000" w:themeColor="text1"/>
              </w:rPr>
              <w:t>kapitācijas</w:t>
            </w:r>
            <w:proofErr w:type="spellEnd"/>
            <w:r w:rsidR="002E684D" w:rsidRPr="00BB46BB">
              <w:rPr>
                <w:bCs/>
                <w:color w:val="000000" w:themeColor="text1"/>
              </w:rPr>
              <w:t xml:space="preserve"> naudas aprēķināšanai noteiktā summa.</w:t>
            </w:r>
          </w:p>
          <w:p w:rsidR="005A002D" w:rsidRPr="00BB46BB" w:rsidRDefault="002E684D" w:rsidP="005F6175">
            <w:pPr>
              <w:ind w:firstLine="252"/>
              <w:jc w:val="both"/>
              <w:rPr>
                <w:bCs/>
                <w:color w:val="000000" w:themeColor="text1"/>
              </w:rPr>
            </w:pPr>
            <w:r w:rsidRPr="00BB46BB">
              <w:rPr>
                <w:bCs/>
                <w:color w:val="000000" w:themeColor="text1"/>
              </w:rPr>
              <w:t xml:space="preserve">- </w:t>
            </w:r>
            <w:r w:rsidR="005A002D" w:rsidRPr="00BB46BB">
              <w:rPr>
                <w:bCs/>
                <w:color w:val="000000" w:themeColor="text1"/>
              </w:rPr>
              <w:t>8.4.apakšpunktā veikti redakcionāli precizējumi;</w:t>
            </w:r>
          </w:p>
          <w:p w:rsidR="005A002D" w:rsidRPr="00BB46BB" w:rsidRDefault="005A002D" w:rsidP="005A002D">
            <w:pPr>
              <w:ind w:firstLine="252"/>
              <w:jc w:val="both"/>
              <w:rPr>
                <w:bCs/>
                <w:color w:val="000000" w:themeColor="text1"/>
              </w:rPr>
            </w:pPr>
            <w:r w:rsidRPr="00BB46BB">
              <w:rPr>
                <w:bCs/>
                <w:color w:val="000000" w:themeColor="text1"/>
              </w:rPr>
              <w:t>-</w:t>
            </w:r>
            <w:r w:rsidR="00352A06" w:rsidRPr="00BB46BB">
              <w:rPr>
                <w:bCs/>
                <w:color w:val="000000" w:themeColor="text1"/>
              </w:rPr>
              <w:t xml:space="preserve"> </w:t>
            </w:r>
            <w:r w:rsidRPr="00BB46BB">
              <w:rPr>
                <w:bCs/>
                <w:color w:val="000000" w:themeColor="text1"/>
              </w:rPr>
              <w:t>13.punktā un</w:t>
            </w:r>
            <w:r w:rsidR="00352A06" w:rsidRPr="00BB46BB">
              <w:rPr>
                <w:bCs/>
                <w:color w:val="000000" w:themeColor="text1"/>
              </w:rPr>
              <w:t>,</w:t>
            </w:r>
            <w:r w:rsidRPr="00BB46BB">
              <w:rPr>
                <w:bCs/>
                <w:color w:val="000000" w:themeColor="text1"/>
              </w:rPr>
              <w:t xml:space="preserve"> papildinot </w:t>
            </w:r>
            <w:r w:rsidR="00352A06" w:rsidRPr="00BB46BB">
              <w:rPr>
                <w:bCs/>
                <w:color w:val="000000" w:themeColor="text1"/>
              </w:rPr>
              <w:t xml:space="preserve">pielikumu </w:t>
            </w:r>
            <w:r w:rsidRPr="00BB46BB">
              <w:rPr>
                <w:bCs/>
                <w:color w:val="000000" w:themeColor="text1"/>
              </w:rPr>
              <w:t>ar 14.,15. un 16.punktu</w:t>
            </w:r>
            <w:r w:rsidR="00352A06" w:rsidRPr="00BB46BB">
              <w:rPr>
                <w:bCs/>
                <w:color w:val="000000" w:themeColor="text1"/>
              </w:rPr>
              <w:t>,</w:t>
            </w:r>
            <w:r w:rsidRPr="00BB46BB">
              <w:rPr>
                <w:bCs/>
                <w:color w:val="000000" w:themeColor="text1"/>
              </w:rPr>
              <w:t xml:space="preserve">  noteikta </w:t>
            </w:r>
            <w:r w:rsidR="00877F68" w:rsidRPr="00BB46BB">
              <w:rPr>
                <w:bCs/>
                <w:color w:val="000000" w:themeColor="text1"/>
              </w:rPr>
              <w:t xml:space="preserve">finanšu </w:t>
            </w:r>
            <w:r w:rsidRPr="00BB46BB">
              <w:rPr>
                <w:bCs/>
                <w:color w:val="000000" w:themeColor="text1"/>
              </w:rPr>
              <w:t>līdzekļu plānošanas kārtība</w:t>
            </w:r>
            <w:r w:rsidR="00020C88" w:rsidRPr="00BB46BB">
              <w:rPr>
                <w:bCs/>
                <w:color w:val="000000" w:themeColor="text1"/>
              </w:rPr>
              <w:t xml:space="preserve"> nākamajam kalendārajam gadam, nosakot primārās veselības aprūpes finanšu līdzekļu sadali veselības aprūpes mājās pakalpojumu sniedzējiem</w:t>
            </w:r>
            <w:r w:rsidRPr="00BB46BB">
              <w:rPr>
                <w:bCs/>
                <w:color w:val="000000" w:themeColor="text1"/>
              </w:rPr>
              <w:t>, atbilstoši iedzīvotāju skaitam teritorijā.</w:t>
            </w:r>
          </w:p>
          <w:p w:rsidR="00A20DEB" w:rsidRPr="00BB46BB" w:rsidRDefault="00A20DEB" w:rsidP="00A20DEB">
            <w:pPr>
              <w:ind w:firstLine="252"/>
              <w:jc w:val="both"/>
              <w:rPr>
                <w:bCs/>
                <w:color w:val="000000" w:themeColor="text1"/>
              </w:rPr>
            </w:pPr>
            <w:r w:rsidRPr="00BB46BB">
              <w:rPr>
                <w:bCs/>
                <w:color w:val="000000" w:themeColor="text1"/>
              </w:rPr>
              <w:t>Grozījumi 10.pielikumā:</w:t>
            </w:r>
          </w:p>
          <w:p w:rsidR="00C41590" w:rsidRPr="00BB46BB" w:rsidRDefault="00C41590" w:rsidP="00A20DEB">
            <w:pPr>
              <w:ind w:firstLine="252"/>
              <w:jc w:val="both"/>
              <w:rPr>
                <w:bCs/>
                <w:color w:val="000000" w:themeColor="text1"/>
              </w:rPr>
            </w:pPr>
            <w:r w:rsidRPr="00BB46BB">
              <w:rPr>
                <w:bCs/>
                <w:color w:val="000000" w:themeColor="text1"/>
              </w:rPr>
              <w:t>-</w:t>
            </w:r>
            <w:r w:rsidR="00352A06" w:rsidRPr="00BB46BB">
              <w:rPr>
                <w:bCs/>
                <w:color w:val="000000" w:themeColor="text1"/>
              </w:rPr>
              <w:t xml:space="preserve"> </w:t>
            </w:r>
            <w:r w:rsidRPr="00BB46BB">
              <w:rPr>
                <w:bCs/>
                <w:color w:val="000000" w:themeColor="text1"/>
              </w:rPr>
              <w:t>2.2.apakšpunktā precizēts nosacījumus attiecībā uz ģimenes ārsta iespēju veidot papildus pieņemšanas vietu. Šobrīd šī joma netiek detalizēti regulēta, līdz ar to ir radušies pārpratumi;</w:t>
            </w:r>
          </w:p>
          <w:p w:rsidR="005A002D" w:rsidRPr="00BB46BB" w:rsidRDefault="00C41590" w:rsidP="00C41590">
            <w:pPr>
              <w:ind w:firstLine="252"/>
              <w:jc w:val="both"/>
              <w:rPr>
                <w:bCs/>
                <w:color w:val="000000" w:themeColor="text1"/>
              </w:rPr>
            </w:pPr>
            <w:r w:rsidRPr="00BB46BB">
              <w:rPr>
                <w:bCs/>
                <w:color w:val="000000" w:themeColor="text1"/>
              </w:rPr>
              <w:t>-</w:t>
            </w:r>
            <w:r w:rsidR="00352A06" w:rsidRPr="00BB46BB">
              <w:rPr>
                <w:bCs/>
                <w:color w:val="000000" w:themeColor="text1"/>
              </w:rPr>
              <w:t xml:space="preserve"> </w:t>
            </w:r>
            <w:r w:rsidRPr="00BB46BB">
              <w:rPr>
                <w:bCs/>
                <w:color w:val="000000" w:themeColor="text1"/>
              </w:rPr>
              <w:t>2.5.apakšpunktā precizēti nosacījumi attiecībā uz ģimenes ārsta iespēju veidot papildus pieņemšanas vietu. Šobrīd šī joma netiek detalizēti regulēta, kā rezultātā ir radušās problēmsituācijas, apdraudot primārās veselības aprūpes pakalpojumu pieejamību noteiktu teritoriju iedzīvotājiem;</w:t>
            </w:r>
          </w:p>
          <w:p w:rsidR="00C41590" w:rsidRPr="00BB46BB" w:rsidRDefault="00C41590" w:rsidP="00FE1552">
            <w:pPr>
              <w:ind w:firstLine="252"/>
              <w:jc w:val="both"/>
              <w:rPr>
                <w:bCs/>
                <w:color w:val="000000" w:themeColor="text1"/>
              </w:rPr>
            </w:pPr>
            <w:r w:rsidRPr="00BB46BB">
              <w:rPr>
                <w:bCs/>
                <w:color w:val="000000" w:themeColor="text1"/>
              </w:rPr>
              <w:t>-</w:t>
            </w:r>
            <w:r w:rsidR="00DE7247" w:rsidRPr="00BB46BB">
              <w:rPr>
                <w:bCs/>
                <w:color w:val="000000" w:themeColor="text1"/>
              </w:rPr>
              <w:t xml:space="preserve"> </w:t>
            </w:r>
            <w:r w:rsidRPr="00BB46BB">
              <w:rPr>
                <w:bCs/>
                <w:color w:val="000000" w:themeColor="text1"/>
              </w:rPr>
              <w:t xml:space="preserve">14.punkta redakcija novērš neskaidrības, </w:t>
            </w:r>
            <w:r w:rsidR="00325C8A" w:rsidRPr="00BB46BB">
              <w:rPr>
                <w:bCs/>
                <w:color w:val="000000" w:themeColor="text1"/>
              </w:rPr>
              <w:t xml:space="preserve">par to, </w:t>
            </w:r>
            <w:r w:rsidRPr="00BB46BB">
              <w:rPr>
                <w:bCs/>
                <w:color w:val="000000" w:themeColor="text1"/>
              </w:rPr>
              <w:t xml:space="preserve">kurā brīdī tiek vērtēta </w:t>
            </w:r>
            <w:r w:rsidR="00FE1552" w:rsidRPr="00BB46BB">
              <w:rPr>
                <w:bCs/>
                <w:color w:val="000000" w:themeColor="text1"/>
              </w:rPr>
              <w:t xml:space="preserve">savlaicīgi atklāta </w:t>
            </w:r>
            <w:r w:rsidRPr="00BB46BB">
              <w:rPr>
                <w:bCs/>
                <w:color w:val="000000" w:themeColor="text1"/>
              </w:rPr>
              <w:t>vēža stadija.</w:t>
            </w:r>
          </w:p>
          <w:p w:rsidR="00813C94" w:rsidRPr="00BB46BB" w:rsidRDefault="00813C94" w:rsidP="00813C94">
            <w:pPr>
              <w:ind w:firstLine="252"/>
              <w:jc w:val="both"/>
              <w:rPr>
                <w:bCs/>
                <w:color w:val="000000" w:themeColor="text1"/>
              </w:rPr>
            </w:pPr>
            <w:r w:rsidRPr="00BB46BB">
              <w:rPr>
                <w:bCs/>
                <w:color w:val="000000" w:themeColor="text1"/>
              </w:rPr>
              <w:t>Grozījumi 11.pielikumā</w:t>
            </w:r>
            <w:r w:rsidR="0072674C" w:rsidRPr="00BB46BB">
              <w:rPr>
                <w:bCs/>
                <w:color w:val="000000" w:themeColor="text1"/>
              </w:rPr>
              <w:t xml:space="preserve"> nosaka, ka </w:t>
            </w:r>
            <w:r w:rsidR="00B87681" w:rsidRPr="00BB46BB">
              <w:rPr>
                <w:bCs/>
                <w:color w:val="000000" w:themeColor="text1"/>
              </w:rPr>
              <w:t>šajā pielikumā noteiktās manipulācijas atbilstoši kompetencei var veikt arī praksē nodarbināta māsa vai ārsta palīgs (feldšeris), jo ģimenes ārsta praksē pakalpojumu sniegšana tiek organizēta komandas darba veidā, dalot pienākumus, atbilstoši katrai ārstniecības personai noteiktai kompetencei</w:t>
            </w:r>
            <w:r w:rsidR="008368D9" w:rsidRPr="00BB46BB">
              <w:rPr>
                <w:bCs/>
                <w:color w:val="000000" w:themeColor="text1"/>
              </w:rPr>
              <w:t>.</w:t>
            </w:r>
            <w:r w:rsidR="001374C1" w:rsidRPr="00BB46BB">
              <w:rPr>
                <w:bCs/>
                <w:color w:val="000000" w:themeColor="text1"/>
              </w:rPr>
              <w:t xml:space="preserve"> Vienlaikus </w:t>
            </w:r>
            <w:r w:rsidR="008368D9" w:rsidRPr="00BB46BB">
              <w:rPr>
                <w:bCs/>
                <w:color w:val="000000" w:themeColor="text1"/>
              </w:rPr>
              <w:t xml:space="preserve">11.pielikums papildināts ar papildus manipulācijām, kuras atbilstoši kompetencei ir tiesīgs veikt ģimenes ārsts, kā arī veikti precizējumi, nosakot, ka bērnu profilaktiskās apskates nav tiesīgs veikt internists, bet pieaugušo </w:t>
            </w:r>
            <w:r w:rsidR="008368D9" w:rsidRPr="00BB46BB">
              <w:rPr>
                <w:bCs/>
                <w:color w:val="000000" w:themeColor="text1"/>
              </w:rPr>
              <w:lastRenderedPageBreak/>
              <w:t>pacientu profilaktiskās apskates neveic pediatrs</w:t>
            </w:r>
            <w:r w:rsidR="00B87681" w:rsidRPr="00BB46BB">
              <w:rPr>
                <w:bCs/>
                <w:color w:val="000000" w:themeColor="text1"/>
              </w:rPr>
              <w:t>.</w:t>
            </w:r>
          </w:p>
          <w:p w:rsidR="008368D9" w:rsidRPr="00BB46BB" w:rsidRDefault="008368D9" w:rsidP="00813C94">
            <w:pPr>
              <w:ind w:firstLine="252"/>
              <w:jc w:val="both"/>
              <w:rPr>
                <w:bCs/>
                <w:color w:val="000000" w:themeColor="text1"/>
              </w:rPr>
            </w:pPr>
            <w:r w:rsidRPr="00BB46BB">
              <w:rPr>
                <w:bCs/>
                <w:color w:val="000000" w:themeColor="text1"/>
              </w:rPr>
              <w:t xml:space="preserve">Noteikumu 12.pielikuma 9.punktā precizēts, ka dienests ārsta palīga (feldšera) darba samaksas aprēķinā ņem vērā arī valsts sociālās apdrošināšanas obligāto iemaksu likmi. </w:t>
            </w:r>
          </w:p>
          <w:p w:rsidR="00914C58" w:rsidRPr="00BB46BB" w:rsidRDefault="00842433" w:rsidP="00813C94">
            <w:pPr>
              <w:ind w:firstLine="252"/>
              <w:jc w:val="both"/>
              <w:rPr>
                <w:bCs/>
                <w:color w:val="000000" w:themeColor="text1"/>
              </w:rPr>
            </w:pPr>
            <w:r w:rsidRPr="00BB46BB">
              <w:rPr>
                <w:bCs/>
                <w:color w:val="000000" w:themeColor="text1"/>
              </w:rPr>
              <w:t xml:space="preserve">Noteikumu </w:t>
            </w:r>
            <w:r w:rsidR="00914C58" w:rsidRPr="00BB46BB">
              <w:rPr>
                <w:bCs/>
                <w:color w:val="000000" w:themeColor="text1"/>
              </w:rPr>
              <w:t>12.pielikuma 16.punktā veikti redakcionāli precizējumi,</w:t>
            </w:r>
            <w:r w:rsidR="00914C58" w:rsidRPr="00BB46BB">
              <w:rPr>
                <w:color w:val="000000" w:themeColor="text1"/>
              </w:rPr>
              <w:t xml:space="preserve"> </w:t>
            </w:r>
            <w:r w:rsidR="00914C58" w:rsidRPr="00BB46BB">
              <w:rPr>
                <w:bCs/>
                <w:color w:val="000000" w:themeColor="text1"/>
              </w:rPr>
              <w:t>lai novērstu normas interpretācijai</w:t>
            </w:r>
            <w:r w:rsidR="00352A06" w:rsidRPr="00BB46BB">
              <w:rPr>
                <w:bCs/>
                <w:color w:val="000000" w:themeColor="text1"/>
              </w:rPr>
              <w:t xml:space="preserve"> iespējas</w:t>
            </w:r>
            <w:r w:rsidR="00914C58" w:rsidRPr="00BB46BB">
              <w:rPr>
                <w:bCs/>
                <w:color w:val="000000" w:themeColor="text1"/>
              </w:rPr>
              <w:t>.</w:t>
            </w:r>
          </w:p>
          <w:p w:rsidR="00914C58" w:rsidRPr="00BB46BB" w:rsidRDefault="008368D9" w:rsidP="00813C94">
            <w:pPr>
              <w:ind w:firstLine="252"/>
              <w:jc w:val="both"/>
              <w:rPr>
                <w:bCs/>
                <w:color w:val="000000" w:themeColor="text1"/>
              </w:rPr>
            </w:pPr>
            <w:r w:rsidRPr="00BB46BB">
              <w:rPr>
                <w:bCs/>
                <w:color w:val="000000" w:themeColor="text1"/>
              </w:rPr>
              <w:t xml:space="preserve">Atbilstoši 2014.gada 22.novembra Ministru kabineta sēdē apstiprinātajam Latvijas vispārējās valdības budžeta plāna projektam no 2015.gada 1.janvāra paredzēts palielināt vidējo darba samaksu, kas tiek izmantota veselības aprūpes pakalpojumu tarifu aprēķināšanai, ārstniecības un pacientu aprūpes personām, funkcionālo speciālistu asistentiem, kā arī ārstniecības un pacientu aprūpes atbalsta personālam, tādēļ noteikumu 13.pielikumā veiktas aprūpes epizožu tarifu izmaiņas. </w:t>
            </w:r>
            <w:r w:rsidR="00914C58" w:rsidRPr="00BB46BB">
              <w:rPr>
                <w:bCs/>
                <w:color w:val="000000" w:themeColor="text1"/>
              </w:rPr>
              <w:t xml:space="preserve">Papildinot </w:t>
            </w:r>
            <w:r w:rsidR="00842433" w:rsidRPr="00BB46BB">
              <w:rPr>
                <w:bCs/>
                <w:color w:val="000000" w:themeColor="text1"/>
              </w:rPr>
              <w:t xml:space="preserve">noteikumu </w:t>
            </w:r>
            <w:r w:rsidR="00914C58" w:rsidRPr="00BB46BB">
              <w:rPr>
                <w:bCs/>
                <w:color w:val="000000" w:themeColor="text1"/>
              </w:rPr>
              <w:t>13.pielikum</w:t>
            </w:r>
            <w:r w:rsidR="00842433" w:rsidRPr="00BB46BB">
              <w:rPr>
                <w:bCs/>
                <w:color w:val="000000" w:themeColor="text1"/>
              </w:rPr>
              <w:t>u</w:t>
            </w:r>
            <w:r w:rsidR="00914C58" w:rsidRPr="00BB46BB">
              <w:rPr>
                <w:bCs/>
                <w:color w:val="000000" w:themeColor="text1"/>
              </w:rPr>
              <w:t xml:space="preserve"> ar 4.1.1.</w:t>
            </w:r>
            <w:r w:rsidR="00914C58" w:rsidRPr="00BB46BB">
              <w:rPr>
                <w:bCs/>
                <w:color w:val="000000" w:themeColor="text1"/>
                <w:vertAlign w:val="superscript"/>
              </w:rPr>
              <w:t>1</w:t>
            </w:r>
            <w:r w:rsidR="00914C58" w:rsidRPr="00BB46BB">
              <w:rPr>
                <w:bCs/>
                <w:color w:val="000000" w:themeColor="text1"/>
              </w:rPr>
              <w:t xml:space="preserve"> apakšpunktu</w:t>
            </w:r>
            <w:r w:rsidR="00352A06" w:rsidRPr="00BB46BB">
              <w:rPr>
                <w:bCs/>
                <w:color w:val="000000" w:themeColor="text1"/>
              </w:rPr>
              <w:t>,</w:t>
            </w:r>
            <w:r w:rsidR="00914C58" w:rsidRPr="00BB46BB">
              <w:rPr>
                <w:color w:val="000000" w:themeColor="text1"/>
              </w:rPr>
              <w:t xml:space="preserve"> tiek </w:t>
            </w:r>
            <w:r w:rsidR="00914C58" w:rsidRPr="00BB46BB">
              <w:rPr>
                <w:bCs/>
                <w:color w:val="000000" w:themeColor="text1"/>
              </w:rPr>
              <w:t>noteikts, ka 7.veida aprūpes epizodi sekundārajā ambulatorajā veselības aprūpē var pielietot (maksāt) arī audiologopēdam.</w:t>
            </w:r>
          </w:p>
          <w:p w:rsidR="00333FB6" w:rsidRPr="00BB46BB" w:rsidRDefault="00333FB6" w:rsidP="00B06E93">
            <w:pPr>
              <w:ind w:firstLine="252"/>
              <w:jc w:val="both"/>
              <w:rPr>
                <w:bCs/>
                <w:color w:val="000000" w:themeColor="text1"/>
              </w:rPr>
            </w:pPr>
            <w:r w:rsidRPr="00BB46BB">
              <w:rPr>
                <w:bCs/>
                <w:color w:val="000000" w:themeColor="text1"/>
              </w:rPr>
              <w:t>Šobrīd spēkā esošā ģ</w:t>
            </w:r>
            <w:r w:rsidR="00854986" w:rsidRPr="00BB46BB">
              <w:rPr>
                <w:bCs/>
                <w:color w:val="000000" w:themeColor="text1"/>
              </w:rPr>
              <w:t>imenes ārsta gada darbības novērtē</w:t>
            </w:r>
            <w:r w:rsidRPr="00BB46BB">
              <w:rPr>
                <w:bCs/>
                <w:color w:val="000000" w:themeColor="text1"/>
              </w:rPr>
              <w:t>šanas</w:t>
            </w:r>
            <w:r w:rsidR="00854986" w:rsidRPr="00BB46BB">
              <w:rPr>
                <w:bCs/>
                <w:color w:val="000000" w:themeColor="text1"/>
              </w:rPr>
              <w:t xml:space="preserve"> sistēma ieviesta no 2013.gada 1.janvāra</w:t>
            </w:r>
            <w:r w:rsidRPr="00BB46BB">
              <w:rPr>
                <w:bCs/>
                <w:color w:val="000000" w:themeColor="text1"/>
              </w:rPr>
              <w:t xml:space="preserve">. </w:t>
            </w:r>
            <w:r w:rsidR="00854986" w:rsidRPr="00BB46BB">
              <w:rPr>
                <w:bCs/>
                <w:color w:val="000000" w:themeColor="text1"/>
              </w:rPr>
              <w:t>2014.gadā</w:t>
            </w:r>
            <w:r w:rsidRPr="00BB46BB">
              <w:rPr>
                <w:bCs/>
                <w:color w:val="000000" w:themeColor="text1"/>
              </w:rPr>
              <w:t xml:space="preserve"> NVD sadarbībā ar ģimenes ārstiem izvērtēja kvalitātes rādītāju </w:t>
            </w:r>
            <w:r w:rsidR="00854986" w:rsidRPr="00BB46BB">
              <w:rPr>
                <w:bCs/>
                <w:color w:val="000000" w:themeColor="text1"/>
              </w:rPr>
              <w:t>izpildes dat</w:t>
            </w:r>
            <w:r w:rsidRPr="00BB46BB">
              <w:rPr>
                <w:bCs/>
                <w:color w:val="000000" w:themeColor="text1"/>
              </w:rPr>
              <w:t>us</w:t>
            </w:r>
            <w:r w:rsidR="00854986" w:rsidRPr="00BB46BB">
              <w:rPr>
                <w:bCs/>
                <w:color w:val="000000" w:themeColor="text1"/>
              </w:rPr>
              <w:t xml:space="preserve"> un </w:t>
            </w:r>
            <w:r w:rsidRPr="00BB46BB">
              <w:rPr>
                <w:bCs/>
                <w:color w:val="000000" w:themeColor="text1"/>
              </w:rPr>
              <w:t xml:space="preserve">izvērtējuma rezultātā </w:t>
            </w:r>
            <w:r w:rsidR="00854986" w:rsidRPr="00BB46BB">
              <w:rPr>
                <w:bCs/>
                <w:color w:val="000000" w:themeColor="text1"/>
              </w:rPr>
              <w:t>sagatavotie priekšlikumi sistēmas attīstībai</w:t>
            </w:r>
            <w:r w:rsidRPr="00BB46BB">
              <w:rPr>
                <w:bCs/>
                <w:color w:val="000000" w:themeColor="text1"/>
              </w:rPr>
              <w:t xml:space="preserve"> ietverti 14.pielikuma 2.punktā un 4.4.apakšpunktā</w:t>
            </w:r>
            <w:r w:rsidR="00B06E93" w:rsidRPr="00BB46BB">
              <w:rPr>
                <w:bCs/>
                <w:color w:val="000000" w:themeColor="text1"/>
              </w:rPr>
              <w:t xml:space="preserve">. Minētie grozījumi novērš gadījumus, kad kvalitātes nauda ģimenes ārstam tiek izmaksāta par neizpildītu rādītāju. </w:t>
            </w:r>
          </w:p>
          <w:p w:rsidR="00D750D4" w:rsidRPr="00BB46BB" w:rsidRDefault="00724DA9" w:rsidP="00D750D4">
            <w:pPr>
              <w:ind w:firstLine="252"/>
              <w:jc w:val="both"/>
              <w:rPr>
                <w:color w:val="000000" w:themeColor="text1"/>
              </w:rPr>
            </w:pPr>
            <w:r w:rsidRPr="00BB46BB">
              <w:rPr>
                <w:bCs/>
                <w:color w:val="000000" w:themeColor="text1"/>
              </w:rPr>
              <w:t>Atbilstoši 2014.gada 22.novembra Ministru kabineta sēdē apstiprinātajam Latvijas vispārējās valdības budžeta plāna projektam no 2015.gada 1.janvāra paredzēts palielināt vidējo darba samaksu, kas tiek izmantota veselības aprūpes pakalpojumu tarifu aprēķināšanai,  ārstniecības un pacientu aprūpes personām, funkcionālo speciālistu asistentiem, kā arī ārstniecības un pacientu aprūpes atbalsta personālam, tādēļ noteikumu 15.pielikumā veiktas izmaiņas maksājumos, kas tiek izmantotas fiksētā maksājuma nodrošināšanai par speciālistu un ārstniecības iestāžu struktūrvienību darbību ambulator</w:t>
            </w:r>
            <w:r w:rsidR="006A388B" w:rsidRPr="00BB46BB">
              <w:rPr>
                <w:bCs/>
                <w:color w:val="000000" w:themeColor="text1"/>
              </w:rPr>
              <w:t>a</w:t>
            </w:r>
            <w:r w:rsidRPr="00BB46BB">
              <w:rPr>
                <w:bCs/>
                <w:color w:val="000000" w:themeColor="text1"/>
              </w:rPr>
              <w:t>jā veselības aprūpē.</w:t>
            </w:r>
            <w:r w:rsidR="006A388B" w:rsidRPr="00BB46BB">
              <w:rPr>
                <w:bCs/>
                <w:color w:val="000000" w:themeColor="text1"/>
              </w:rPr>
              <w:t xml:space="preserve"> </w:t>
            </w:r>
            <w:r w:rsidR="00842433" w:rsidRPr="00BB46BB">
              <w:rPr>
                <w:bCs/>
                <w:color w:val="000000" w:themeColor="text1"/>
              </w:rPr>
              <w:t xml:space="preserve">Noteikumu </w:t>
            </w:r>
            <w:r w:rsidR="00D750D4" w:rsidRPr="00BB46BB">
              <w:rPr>
                <w:bCs/>
                <w:color w:val="000000" w:themeColor="text1"/>
              </w:rPr>
              <w:t xml:space="preserve">15.pielikuma </w:t>
            </w:r>
            <w:r w:rsidRPr="00BB46BB">
              <w:rPr>
                <w:bCs/>
                <w:color w:val="000000" w:themeColor="text1"/>
              </w:rPr>
              <w:t xml:space="preserve">1.punkta </w:t>
            </w:r>
            <w:r w:rsidR="001E4304" w:rsidRPr="00BB46BB">
              <w:rPr>
                <w:bCs/>
                <w:color w:val="000000" w:themeColor="text1"/>
              </w:rPr>
              <w:t xml:space="preserve">veiktas </w:t>
            </w:r>
            <w:r w:rsidRPr="00BB46BB">
              <w:rPr>
                <w:bCs/>
                <w:color w:val="000000" w:themeColor="text1"/>
              </w:rPr>
              <w:t>izmaiņas</w:t>
            </w:r>
            <w:r w:rsidR="001E4304" w:rsidRPr="00BB46BB">
              <w:rPr>
                <w:bCs/>
                <w:color w:val="000000" w:themeColor="text1"/>
              </w:rPr>
              <w:t xml:space="preserve">, </w:t>
            </w:r>
            <w:r w:rsidR="006A388B" w:rsidRPr="00BB46BB">
              <w:rPr>
                <w:bCs/>
                <w:color w:val="000000" w:themeColor="text1"/>
              </w:rPr>
              <w:t xml:space="preserve">lai precizētu kārtību, kādā </w:t>
            </w:r>
            <w:r w:rsidR="00BD3836" w:rsidRPr="00BB46BB">
              <w:rPr>
                <w:bCs/>
                <w:color w:val="000000" w:themeColor="text1"/>
              </w:rPr>
              <w:t xml:space="preserve">NVD </w:t>
            </w:r>
            <w:r w:rsidR="006A388B" w:rsidRPr="00BB46BB">
              <w:rPr>
                <w:bCs/>
                <w:color w:val="000000" w:themeColor="text1"/>
              </w:rPr>
              <w:t xml:space="preserve">plāno finansējumu </w:t>
            </w:r>
            <w:r w:rsidR="006A388B" w:rsidRPr="00BB46BB">
              <w:rPr>
                <w:color w:val="000000" w:themeColor="text1"/>
              </w:rPr>
              <w:t>steidzamās medicīniskās palīdzības punktu darbības nodrošināšanai</w:t>
            </w:r>
            <w:r w:rsidRPr="00BB46BB">
              <w:rPr>
                <w:bCs/>
                <w:color w:val="000000" w:themeColor="text1"/>
              </w:rPr>
              <w:t xml:space="preserve">, savukārt </w:t>
            </w:r>
            <w:r w:rsidR="00D750D4" w:rsidRPr="00BB46BB">
              <w:rPr>
                <w:bCs/>
                <w:color w:val="000000" w:themeColor="text1"/>
              </w:rPr>
              <w:t xml:space="preserve">7.punkta redakcija nodrošina NVD iespēju </w:t>
            </w:r>
            <w:r w:rsidR="00D750D4" w:rsidRPr="00BB46BB">
              <w:rPr>
                <w:color w:val="000000" w:themeColor="text1"/>
              </w:rPr>
              <w:t>efektīvāk pārplānot finanšu līdzekļu</w:t>
            </w:r>
            <w:r w:rsidR="006A388B" w:rsidRPr="00BB46BB">
              <w:rPr>
                <w:color w:val="000000" w:themeColor="text1"/>
              </w:rPr>
              <w:t>s un kontrolēt to</w:t>
            </w:r>
            <w:r w:rsidR="00D750D4" w:rsidRPr="00BB46BB">
              <w:rPr>
                <w:color w:val="000000" w:themeColor="text1"/>
              </w:rPr>
              <w:t xml:space="preserve"> izlietojumu.</w:t>
            </w:r>
          </w:p>
          <w:p w:rsidR="00FB1885" w:rsidRPr="00BB46BB" w:rsidRDefault="00724DA9" w:rsidP="00D750D4">
            <w:pPr>
              <w:ind w:firstLine="252"/>
              <w:jc w:val="both"/>
              <w:rPr>
                <w:color w:val="000000" w:themeColor="text1"/>
              </w:rPr>
            </w:pPr>
            <w:r w:rsidRPr="00BB46BB">
              <w:rPr>
                <w:bCs/>
                <w:color w:val="000000" w:themeColor="text1"/>
              </w:rPr>
              <w:t xml:space="preserve">Atbilstoši 2014.gada 22.novembra Ministru kabineta sēdē apstiprinātajam Latvijas vispārējās valdības budžeta plāna projektam no 2015.gada 1.janvāra paredzēts palielināt vidējo darba samaksu, kas tiek izmantota veselības aprūpes pakalpojumu tarifu aprēķināšanai,  ārstniecības un pacientu aprūpes personām, funkcionālo speciālistu asistentiem, kā arī ārstniecības un pacientu aprūpes atbalsta personālam, tādēļ noteikumu 16.pielikumā veiktas attiecīgas veselības aprūpes pakalpojumu tarifu izmaiņas, kā arī papildus noteikumu </w:t>
            </w:r>
            <w:r w:rsidRPr="00BB46BB">
              <w:rPr>
                <w:color w:val="000000" w:themeColor="text1"/>
              </w:rPr>
              <w:t>16.pielikumā</w:t>
            </w:r>
            <w:r w:rsidRPr="00BB46BB">
              <w:rPr>
                <w:bCs/>
                <w:color w:val="000000" w:themeColor="text1"/>
              </w:rPr>
              <w:t xml:space="preserve"> veikti šādi </w:t>
            </w:r>
            <w:r w:rsidRPr="00BB46BB">
              <w:rPr>
                <w:color w:val="000000" w:themeColor="text1"/>
              </w:rPr>
              <w:t>g</w:t>
            </w:r>
            <w:r w:rsidR="00FB1885" w:rsidRPr="00BB46BB">
              <w:rPr>
                <w:color w:val="000000" w:themeColor="text1"/>
              </w:rPr>
              <w:t>rozījumi:</w:t>
            </w:r>
          </w:p>
          <w:p w:rsidR="00724DA9" w:rsidRPr="00BB46BB" w:rsidRDefault="00724DA9" w:rsidP="00D750D4">
            <w:pPr>
              <w:ind w:firstLine="252"/>
              <w:jc w:val="both"/>
              <w:rPr>
                <w:color w:val="000000" w:themeColor="text1"/>
              </w:rPr>
            </w:pPr>
            <w:r w:rsidRPr="00BB46BB">
              <w:rPr>
                <w:color w:val="000000" w:themeColor="text1"/>
              </w:rPr>
              <w:t>- veikti redakcionāli precizējumi manipulāciju nosaukumos</w:t>
            </w:r>
            <w:r w:rsidR="00A57D3D" w:rsidRPr="00BB46BB">
              <w:rPr>
                <w:color w:val="000000" w:themeColor="text1"/>
              </w:rPr>
              <w:t xml:space="preserve">, tai </w:t>
            </w:r>
            <w:r w:rsidR="00A57D3D" w:rsidRPr="00BB46BB">
              <w:rPr>
                <w:color w:val="000000" w:themeColor="text1"/>
              </w:rPr>
              <w:lastRenderedPageBreak/>
              <w:t>skaitā saistībā ar izmaiņām ar Starptautisko statistisko slimību un veselības problēmu klasifikācijas 10.redakcijas kodos</w:t>
            </w:r>
            <w:r w:rsidRPr="00BB46BB">
              <w:rPr>
                <w:color w:val="000000" w:themeColor="text1"/>
              </w:rPr>
              <w:t>;</w:t>
            </w:r>
          </w:p>
          <w:p w:rsidR="00CB2238" w:rsidRPr="00BB46BB" w:rsidRDefault="00FB1885" w:rsidP="00CB2238">
            <w:pPr>
              <w:ind w:firstLine="252"/>
              <w:jc w:val="both"/>
              <w:rPr>
                <w:bCs/>
                <w:color w:val="000000" w:themeColor="text1"/>
              </w:rPr>
            </w:pPr>
            <w:r w:rsidRPr="00BB46BB">
              <w:rPr>
                <w:bCs/>
                <w:color w:val="000000" w:themeColor="text1"/>
              </w:rPr>
              <w:t>-</w:t>
            </w:r>
            <w:r w:rsidR="00DE7247" w:rsidRPr="00BB46BB">
              <w:rPr>
                <w:bCs/>
                <w:color w:val="000000" w:themeColor="text1"/>
              </w:rPr>
              <w:t xml:space="preserve"> </w:t>
            </w:r>
            <w:r w:rsidRPr="00BB46BB">
              <w:rPr>
                <w:color w:val="000000" w:themeColor="text1"/>
              </w:rPr>
              <w:t>i</w:t>
            </w:r>
            <w:r w:rsidRPr="00BB46BB">
              <w:rPr>
                <w:bCs/>
                <w:color w:val="000000" w:themeColor="text1"/>
              </w:rPr>
              <w:t>zsakot sadaļas „NEONATOLOĢIJA UN PEDIATRIJA (manipulācijas 02077 - 02405)” ievaddaļu jaunā redakcijā</w:t>
            </w:r>
            <w:r w:rsidR="00CB2238" w:rsidRPr="00BB46BB">
              <w:rPr>
                <w:bCs/>
                <w:color w:val="000000" w:themeColor="text1"/>
              </w:rPr>
              <w:t>, noteikts, ka šajā sadaļā minētos pakalpojumus sniedz arī valsts sabiedrības ar ierobežotu atbildību „Bērnu klīniskā universitātes slimnīcas” speciālisti (neonatologi, bērnu pneimonologi, bērnu kardiologi;</w:t>
            </w:r>
          </w:p>
          <w:p w:rsidR="00FB1885" w:rsidRPr="00BB46BB" w:rsidRDefault="00CB2238" w:rsidP="00CB2238">
            <w:pPr>
              <w:ind w:firstLine="252"/>
              <w:jc w:val="both"/>
              <w:rPr>
                <w:color w:val="000000" w:themeColor="text1"/>
              </w:rPr>
            </w:pPr>
            <w:r w:rsidRPr="00BB46BB">
              <w:rPr>
                <w:bCs/>
                <w:color w:val="000000" w:themeColor="text1"/>
              </w:rPr>
              <w:t>-</w:t>
            </w:r>
            <w:r w:rsidRPr="00BB46BB">
              <w:rPr>
                <w:color w:val="000000" w:themeColor="text1"/>
              </w:rPr>
              <w:t xml:space="preserve"> p</w:t>
            </w:r>
            <w:r w:rsidRPr="00BB46BB">
              <w:rPr>
                <w:bCs/>
                <w:color w:val="000000" w:themeColor="text1"/>
              </w:rPr>
              <w:t xml:space="preserve">apildinot sadaļas FIZIKĀLĀ MEDICĪNA (manipulācijas 05017 – 05104) ievaddaļu ar otro teikumu noteikts, ka  </w:t>
            </w:r>
            <w:r w:rsidRPr="00BB46BB">
              <w:rPr>
                <w:color w:val="000000" w:themeColor="text1"/>
              </w:rPr>
              <w:t>šīs manipulācijas pieaugušajiem apmaksā stacionārā;</w:t>
            </w:r>
          </w:p>
          <w:p w:rsidR="00CB2238" w:rsidRPr="00BB46BB" w:rsidRDefault="00CB2238" w:rsidP="00D77244">
            <w:pPr>
              <w:ind w:firstLine="252"/>
              <w:jc w:val="both"/>
              <w:rPr>
                <w:color w:val="000000" w:themeColor="text1"/>
              </w:rPr>
            </w:pPr>
            <w:r w:rsidRPr="00BB46BB">
              <w:rPr>
                <w:bCs/>
                <w:color w:val="000000" w:themeColor="text1"/>
              </w:rPr>
              <w:t xml:space="preserve">- izsakot </w:t>
            </w:r>
            <w:r w:rsidR="00D77244" w:rsidRPr="00BB46BB">
              <w:rPr>
                <w:bCs/>
                <w:color w:val="000000" w:themeColor="text1"/>
              </w:rPr>
              <w:t xml:space="preserve">sadaļas „PULMONOLOĢIJA </w:t>
            </w:r>
            <w:r w:rsidR="00D77244" w:rsidRPr="00BB46BB">
              <w:rPr>
                <w:color w:val="000000" w:themeColor="text1"/>
              </w:rPr>
              <w:t>(manipulācijas 07002 – 07060)” pirmo teikumu jaunā redakcijā, noteikt</w:t>
            </w:r>
            <w:r w:rsidR="00352A06" w:rsidRPr="00BB46BB">
              <w:rPr>
                <w:color w:val="000000" w:themeColor="text1"/>
              </w:rPr>
              <w:t>i</w:t>
            </w:r>
            <w:r w:rsidR="00D77244" w:rsidRPr="00BB46BB">
              <w:rPr>
                <w:color w:val="000000" w:themeColor="text1"/>
              </w:rPr>
              <w:t xml:space="preserve"> </w:t>
            </w:r>
            <w:r w:rsidR="00352A06" w:rsidRPr="00BB46BB">
              <w:rPr>
                <w:color w:val="000000" w:themeColor="text1"/>
              </w:rPr>
              <w:t xml:space="preserve">speciālisti, </w:t>
            </w:r>
            <w:r w:rsidR="00D77244" w:rsidRPr="00BB46BB">
              <w:rPr>
                <w:color w:val="000000" w:themeColor="text1"/>
              </w:rPr>
              <w:t>kuriem ir tiesības uzrādīt attiecīgās manipulācijas, lai saņemtu samaksu no valsts budžeta;</w:t>
            </w:r>
          </w:p>
          <w:p w:rsidR="00724DA9" w:rsidRPr="00BB46BB" w:rsidRDefault="00724DA9" w:rsidP="00D77244">
            <w:pPr>
              <w:ind w:firstLine="252"/>
              <w:jc w:val="both"/>
              <w:rPr>
                <w:color w:val="000000" w:themeColor="text1"/>
              </w:rPr>
            </w:pPr>
            <w:r w:rsidRPr="00BB46BB">
              <w:rPr>
                <w:color w:val="000000" w:themeColor="text1"/>
              </w:rPr>
              <w:t>- veikti grozījumi manipulāciju tekstos saistībā ar izmaiņām dzemdes kakla izmeklējumu rezultātu uzskaitē valsts organizētā vēža skrīninga ietvaros;</w:t>
            </w:r>
          </w:p>
          <w:p w:rsidR="00D77244" w:rsidRPr="00BB46BB" w:rsidRDefault="00D77244" w:rsidP="00D77244">
            <w:pPr>
              <w:ind w:firstLine="252"/>
              <w:jc w:val="both"/>
              <w:rPr>
                <w:color w:val="000000" w:themeColor="text1"/>
              </w:rPr>
            </w:pPr>
            <w:r w:rsidRPr="00BB46BB">
              <w:rPr>
                <w:color w:val="000000" w:themeColor="text1"/>
              </w:rPr>
              <w:t xml:space="preserve">- izsakot sadaļas „RADIOLOĢIJA (manipulācijas 50011 – 50853)” ievaddaļas 4.punktu jaunā redakcijā, veikti redakcionāli grozījumi; </w:t>
            </w:r>
          </w:p>
          <w:p w:rsidR="00B15BC6" w:rsidRPr="00BB46BB" w:rsidRDefault="00D77244" w:rsidP="00D77244">
            <w:pPr>
              <w:ind w:firstLine="252"/>
              <w:jc w:val="both"/>
              <w:rPr>
                <w:bCs/>
                <w:color w:val="000000" w:themeColor="text1"/>
              </w:rPr>
            </w:pPr>
            <w:r w:rsidRPr="00BB46BB">
              <w:rPr>
                <w:bCs/>
                <w:color w:val="000000" w:themeColor="text1"/>
              </w:rPr>
              <w:t>-</w:t>
            </w:r>
            <w:r w:rsidR="00B15BC6" w:rsidRPr="00BB46BB">
              <w:rPr>
                <w:bCs/>
                <w:color w:val="000000" w:themeColor="text1"/>
              </w:rPr>
              <w:t xml:space="preserve"> </w:t>
            </w:r>
            <w:r w:rsidRPr="00BB46BB">
              <w:rPr>
                <w:bCs/>
                <w:color w:val="000000" w:themeColor="text1"/>
              </w:rPr>
              <w:t>atbilstoši Latvijas Ultrasonogrāfistu asociācijas ierosinājumam papildināta sadaļas „RADIOLOĢIJA (manipulācijas 50011 – 50853)” ievaddaļa ar 6., 7. un 8.punktu;</w:t>
            </w:r>
          </w:p>
          <w:p w:rsidR="00404496" w:rsidRPr="00BB46BB" w:rsidRDefault="00B15BC6" w:rsidP="00404496">
            <w:pPr>
              <w:ind w:firstLine="252"/>
              <w:jc w:val="both"/>
              <w:rPr>
                <w:color w:val="000000" w:themeColor="text1"/>
              </w:rPr>
            </w:pPr>
            <w:r w:rsidRPr="00BB46BB">
              <w:rPr>
                <w:bCs/>
                <w:color w:val="000000" w:themeColor="text1"/>
              </w:rPr>
              <w:t xml:space="preserve">- </w:t>
            </w:r>
            <w:r w:rsidR="00724DA9" w:rsidRPr="00BB46BB">
              <w:rPr>
                <w:bCs/>
                <w:color w:val="000000" w:themeColor="text1"/>
              </w:rPr>
              <w:t xml:space="preserve">veikti </w:t>
            </w:r>
            <w:r w:rsidR="001418B7" w:rsidRPr="00BB46BB">
              <w:rPr>
                <w:bCs/>
                <w:color w:val="000000" w:themeColor="text1"/>
              </w:rPr>
              <w:t>grozījumi</w:t>
            </w:r>
            <w:r w:rsidR="00724DA9" w:rsidRPr="00BB46BB">
              <w:rPr>
                <w:bCs/>
                <w:color w:val="000000" w:themeColor="text1"/>
              </w:rPr>
              <w:t xml:space="preserve">, kas </w:t>
            </w:r>
            <w:r w:rsidR="00404496" w:rsidRPr="00BB46BB">
              <w:rPr>
                <w:bCs/>
                <w:color w:val="000000" w:themeColor="text1"/>
              </w:rPr>
              <w:t>saistīt</w:t>
            </w:r>
            <w:r w:rsidR="001418B7" w:rsidRPr="00BB46BB">
              <w:rPr>
                <w:bCs/>
                <w:color w:val="000000" w:themeColor="text1"/>
              </w:rPr>
              <w:t>i</w:t>
            </w:r>
            <w:r w:rsidR="00404496" w:rsidRPr="00BB46BB">
              <w:rPr>
                <w:bCs/>
                <w:color w:val="000000" w:themeColor="text1"/>
              </w:rPr>
              <w:t xml:space="preserve"> ar</w:t>
            </w:r>
            <w:r w:rsidR="00404496" w:rsidRPr="00BB46BB">
              <w:rPr>
                <w:color w:val="000000" w:themeColor="text1"/>
              </w:rPr>
              <w:t xml:space="preserve"> ārstniecības iestāžu sniegto pakalpojumu uzskaites precizēšanu, līdz šim, veicot rentgenogrāfijas izmeklējumus, manipulācija paredzēja izmeklējumus 5-6 projekcijās, kas ir maksimālais projekciju skaits, bet ir situācijas, ka vienam izmeklējumam var </w:t>
            </w:r>
            <w:r w:rsidR="00B85D2A" w:rsidRPr="00BB46BB">
              <w:rPr>
                <w:color w:val="000000" w:themeColor="text1"/>
              </w:rPr>
              <w:t>ap</w:t>
            </w:r>
            <w:r w:rsidR="00404496" w:rsidRPr="00BB46BB">
              <w:rPr>
                <w:color w:val="000000" w:themeColor="text1"/>
              </w:rPr>
              <w:t>rakstīt vairāk kā sešas projekcijas;</w:t>
            </w:r>
          </w:p>
          <w:p w:rsidR="00404496" w:rsidRPr="00BB46BB" w:rsidRDefault="00404496" w:rsidP="00404496">
            <w:pPr>
              <w:ind w:firstLine="252"/>
              <w:jc w:val="both"/>
              <w:rPr>
                <w:bCs/>
                <w:color w:val="000000" w:themeColor="text1"/>
              </w:rPr>
            </w:pPr>
            <w:r w:rsidRPr="00BB46BB">
              <w:rPr>
                <w:bCs/>
                <w:color w:val="000000" w:themeColor="text1"/>
              </w:rPr>
              <w:t>-</w:t>
            </w:r>
            <w:r w:rsidR="00724DA9" w:rsidRPr="00BB46BB">
              <w:rPr>
                <w:bCs/>
                <w:color w:val="000000" w:themeColor="text1"/>
              </w:rPr>
              <w:t xml:space="preserve"> vairākos punktos</w:t>
            </w:r>
            <w:r w:rsidR="00C8617D" w:rsidRPr="00BB46BB">
              <w:rPr>
                <w:bCs/>
                <w:color w:val="000000" w:themeColor="text1"/>
              </w:rPr>
              <w:t xml:space="preserve"> un sadaļas „CITĀS SADAĻĀS NEIEKĻAUTĀS MANIPULĀCIJAS (manipulācijas 60001–60339; 60400–60417; 60450–60482)” </w:t>
            </w:r>
            <w:r w:rsidR="00724DA9" w:rsidRPr="00BB46BB">
              <w:rPr>
                <w:bCs/>
                <w:color w:val="000000" w:themeColor="text1"/>
              </w:rPr>
              <w:t xml:space="preserve">tekstā </w:t>
            </w:r>
            <w:r w:rsidRPr="00BB46BB">
              <w:rPr>
                <w:bCs/>
                <w:color w:val="000000" w:themeColor="text1"/>
              </w:rPr>
              <w:t>veikt</w:t>
            </w:r>
            <w:r w:rsidR="00C8617D" w:rsidRPr="00BB46BB">
              <w:rPr>
                <w:bCs/>
                <w:color w:val="000000" w:themeColor="text1"/>
              </w:rPr>
              <w:t>i</w:t>
            </w:r>
            <w:r w:rsidRPr="00BB46BB">
              <w:rPr>
                <w:bCs/>
                <w:color w:val="000000" w:themeColor="text1"/>
              </w:rPr>
              <w:t xml:space="preserve"> redakcionāl</w:t>
            </w:r>
            <w:r w:rsidR="00C8617D" w:rsidRPr="00BB46BB">
              <w:rPr>
                <w:bCs/>
                <w:color w:val="000000" w:themeColor="text1"/>
              </w:rPr>
              <w:t>i</w:t>
            </w:r>
            <w:r w:rsidRPr="00BB46BB">
              <w:rPr>
                <w:bCs/>
                <w:color w:val="000000" w:themeColor="text1"/>
              </w:rPr>
              <w:t xml:space="preserve"> grozījum</w:t>
            </w:r>
            <w:r w:rsidR="00C8617D" w:rsidRPr="00BB46BB">
              <w:rPr>
                <w:bCs/>
                <w:color w:val="000000" w:themeColor="text1"/>
              </w:rPr>
              <w:t>i</w:t>
            </w:r>
            <w:r w:rsidRPr="00BB46BB">
              <w:rPr>
                <w:bCs/>
                <w:color w:val="000000" w:themeColor="text1"/>
              </w:rPr>
              <w:t>, kur</w:t>
            </w:r>
            <w:r w:rsidR="00C8617D" w:rsidRPr="00BB46BB">
              <w:rPr>
                <w:bCs/>
                <w:color w:val="000000" w:themeColor="text1"/>
              </w:rPr>
              <w:t>i</w:t>
            </w:r>
            <w:r w:rsidRPr="00BB46BB">
              <w:rPr>
                <w:bCs/>
                <w:color w:val="000000" w:themeColor="text1"/>
              </w:rPr>
              <w:t xml:space="preserve"> saistīt</w:t>
            </w:r>
            <w:r w:rsidR="00C8617D" w:rsidRPr="00BB46BB">
              <w:rPr>
                <w:bCs/>
                <w:color w:val="000000" w:themeColor="text1"/>
              </w:rPr>
              <w:t>i</w:t>
            </w:r>
            <w:r w:rsidRPr="00BB46BB">
              <w:rPr>
                <w:bCs/>
                <w:color w:val="000000" w:themeColor="text1"/>
              </w:rPr>
              <w:t xml:space="preserve"> ar pāreju uz </w:t>
            </w:r>
            <w:r w:rsidRPr="00BB46BB">
              <w:rPr>
                <w:bCs/>
                <w:i/>
                <w:color w:val="000000" w:themeColor="text1"/>
              </w:rPr>
              <w:t>euro</w:t>
            </w:r>
            <w:r w:rsidRPr="00BB46BB">
              <w:rPr>
                <w:bCs/>
                <w:color w:val="000000" w:themeColor="text1"/>
              </w:rPr>
              <w:t>;</w:t>
            </w:r>
          </w:p>
          <w:p w:rsidR="00724DA9" w:rsidRPr="00BB46BB" w:rsidRDefault="00724DA9" w:rsidP="00404496">
            <w:pPr>
              <w:ind w:firstLine="252"/>
              <w:jc w:val="both"/>
              <w:rPr>
                <w:bCs/>
                <w:color w:val="000000" w:themeColor="text1"/>
              </w:rPr>
            </w:pPr>
            <w:r w:rsidRPr="00BB46BB">
              <w:rPr>
                <w:bCs/>
                <w:color w:val="000000" w:themeColor="text1"/>
              </w:rPr>
              <w:t xml:space="preserve">- </w:t>
            </w:r>
            <w:r w:rsidR="00A57D3D" w:rsidRPr="00BB46BB">
              <w:rPr>
                <w:bCs/>
                <w:color w:val="000000" w:themeColor="text1"/>
              </w:rPr>
              <w:t>no pielikuma izslēgta manipulācija, kas paredzēja atsevišķu tarifu par a</w:t>
            </w:r>
            <w:r w:rsidR="00A57D3D" w:rsidRPr="00BB46BB">
              <w:rPr>
                <w:color w:val="000000" w:themeColor="text1"/>
              </w:rPr>
              <w:t xml:space="preserve">nestēzija </w:t>
            </w:r>
            <w:proofErr w:type="spellStart"/>
            <w:r w:rsidR="00A57D3D" w:rsidRPr="00BB46BB">
              <w:rPr>
                <w:color w:val="000000" w:themeColor="text1"/>
              </w:rPr>
              <w:t>kardioķirurģiskai</w:t>
            </w:r>
            <w:proofErr w:type="spellEnd"/>
            <w:r w:rsidR="00A57D3D" w:rsidRPr="00BB46BB">
              <w:rPr>
                <w:color w:val="000000" w:themeColor="text1"/>
              </w:rPr>
              <w:t xml:space="preserve"> operācijai valsts sabiedrībā ar ierobežotu atbildību "Bērnu klīniskā universitātes slimnīca", </w:t>
            </w:r>
            <w:r w:rsidR="00A57D3D" w:rsidRPr="00BB46BB">
              <w:rPr>
                <w:bCs/>
                <w:color w:val="000000" w:themeColor="text1"/>
              </w:rPr>
              <w:t xml:space="preserve">jo tā zaudējusi aktualitāti un tās vietā tiek izmantotas citas manipulācijas; </w:t>
            </w:r>
          </w:p>
          <w:p w:rsidR="00B15BC6" w:rsidRPr="00BB46BB" w:rsidRDefault="00B15BC6" w:rsidP="00B15BC6">
            <w:pPr>
              <w:ind w:firstLine="252"/>
              <w:jc w:val="both"/>
              <w:rPr>
                <w:bCs/>
                <w:color w:val="000000" w:themeColor="text1"/>
              </w:rPr>
            </w:pPr>
            <w:r w:rsidRPr="00BB46BB">
              <w:rPr>
                <w:bCs/>
                <w:color w:val="000000" w:themeColor="text1"/>
              </w:rPr>
              <w:t xml:space="preserve">- </w:t>
            </w:r>
            <w:r w:rsidR="00724DA9" w:rsidRPr="00BB46BB">
              <w:rPr>
                <w:bCs/>
                <w:color w:val="000000" w:themeColor="text1"/>
              </w:rPr>
              <w:t xml:space="preserve">veiktas izmaiņas, kas paredz </w:t>
            </w:r>
            <w:r w:rsidR="00404496" w:rsidRPr="00BB46BB">
              <w:rPr>
                <w:bCs/>
                <w:color w:val="000000" w:themeColor="text1"/>
              </w:rPr>
              <w:t>turpmāk samaks</w:t>
            </w:r>
            <w:r w:rsidR="005F1EC9" w:rsidRPr="00BB46BB">
              <w:rPr>
                <w:bCs/>
                <w:color w:val="000000" w:themeColor="text1"/>
              </w:rPr>
              <w:t>u</w:t>
            </w:r>
            <w:r w:rsidR="00404496" w:rsidRPr="00BB46BB">
              <w:rPr>
                <w:bCs/>
                <w:color w:val="000000" w:themeColor="text1"/>
              </w:rPr>
              <w:t xml:space="preserve"> par </w:t>
            </w:r>
            <w:r w:rsidR="00A57D3D" w:rsidRPr="00BB46BB">
              <w:rPr>
                <w:color w:val="000000" w:themeColor="text1"/>
              </w:rPr>
              <w:t xml:space="preserve">zāļu </w:t>
            </w:r>
            <w:proofErr w:type="spellStart"/>
            <w:r w:rsidR="00A57D3D" w:rsidRPr="00BB46BB">
              <w:rPr>
                <w:color w:val="000000" w:themeColor="text1"/>
              </w:rPr>
              <w:t>Rekombinantā</w:t>
            </w:r>
            <w:proofErr w:type="spellEnd"/>
            <w:r w:rsidR="00A57D3D" w:rsidRPr="00BB46BB">
              <w:rPr>
                <w:color w:val="000000" w:themeColor="text1"/>
              </w:rPr>
              <w:t xml:space="preserve"> aktivētā VII faktora (</w:t>
            </w:r>
            <w:proofErr w:type="spellStart"/>
            <w:r w:rsidR="00A57D3D" w:rsidRPr="00BB46BB">
              <w:rPr>
                <w:color w:val="000000" w:themeColor="text1"/>
              </w:rPr>
              <w:t>Nova</w:t>
            </w:r>
            <w:proofErr w:type="spellEnd"/>
            <w:r w:rsidR="00A57D3D" w:rsidRPr="00BB46BB">
              <w:rPr>
                <w:color w:val="000000" w:themeColor="text1"/>
              </w:rPr>
              <w:t xml:space="preserve"> </w:t>
            </w:r>
            <w:proofErr w:type="spellStart"/>
            <w:r w:rsidR="00A57D3D" w:rsidRPr="00BB46BB">
              <w:rPr>
                <w:color w:val="000000" w:themeColor="text1"/>
              </w:rPr>
              <w:t>Seven</w:t>
            </w:r>
            <w:proofErr w:type="spellEnd"/>
            <w:r w:rsidR="00A57D3D" w:rsidRPr="00BB46BB">
              <w:rPr>
                <w:color w:val="000000" w:themeColor="text1"/>
              </w:rPr>
              <w:t>)</w:t>
            </w:r>
            <w:r w:rsidR="00404496" w:rsidRPr="00BB46BB">
              <w:rPr>
                <w:bCs/>
                <w:color w:val="000000" w:themeColor="text1"/>
              </w:rPr>
              <w:t xml:space="preserve"> lietošanu ārstniecības iestādēs </w:t>
            </w:r>
            <w:r w:rsidR="00C919C6" w:rsidRPr="00BB46BB">
              <w:rPr>
                <w:bCs/>
                <w:color w:val="000000" w:themeColor="text1"/>
              </w:rPr>
              <w:t>veikt</w:t>
            </w:r>
            <w:r w:rsidR="00404496" w:rsidRPr="00BB46BB">
              <w:rPr>
                <w:bCs/>
                <w:color w:val="000000" w:themeColor="text1"/>
              </w:rPr>
              <w:t xml:space="preserve">, pamatojoties uz atsevišķu rēķinu iesniegšanu </w:t>
            </w:r>
            <w:r w:rsidR="005F1EC9" w:rsidRPr="00BB46BB">
              <w:rPr>
                <w:bCs/>
                <w:color w:val="000000" w:themeColor="text1"/>
              </w:rPr>
              <w:t xml:space="preserve">un manipulācijas izmantot tikai veiktā darba uzskaitei </w:t>
            </w:r>
            <w:r w:rsidR="00404496" w:rsidRPr="00BB46BB">
              <w:rPr>
                <w:bCs/>
                <w:color w:val="000000" w:themeColor="text1"/>
              </w:rPr>
              <w:t xml:space="preserve">(izmaiņas 22.pielikumā);  </w:t>
            </w:r>
          </w:p>
          <w:p w:rsidR="005F1EC9" w:rsidRPr="00BB46BB" w:rsidRDefault="005F1EC9" w:rsidP="00B15BC6">
            <w:pPr>
              <w:ind w:firstLine="252"/>
              <w:jc w:val="both"/>
              <w:rPr>
                <w:bCs/>
                <w:color w:val="000000" w:themeColor="text1"/>
              </w:rPr>
            </w:pPr>
            <w:r w:rsidRPr="00BB46BB">
              <w:rPr>
                <w:bCs/>
                <w:color w:val="000000" w:themeColor="text1"/>
              </w:rPr>
              <w:t xml:space="preserve">- no pielikuma izslēgtas </w:t>
            </w:r>
            <w:r w:rsidR="00A57D3D" w:rsidRPr="00BB46BB">
              <w:rPr>
                <w:bCs/>
                <w:color w:val="000000" w:themeColor="text1"/>
              </w:rPr>
              <w:t xml:space="preserve">divas </w:t>
            </w:r>
            <w:r w:rsidRPr="00BB46BB">
              <w:rPr>
                <w:bCs/>
                <w:color w:val="000000" w:themeColor="text1"/>
              </w:rPr>
              <w:t>manipulācijas, kas paredz</w:t>
            </w:r>
            <w:r w:rsidR="00A57D3D" w:rsidRPr="00BB46BB">
              <w:rPr>
                <w:bCs/>
                <w:color w:val="000000" w:themeColor="text1"/>
              </w:rPr>
              <w:t>ēja tarifu par vienreizējās operācijas veļas lietošanu</w:t>
            </w:r>
            <w:r w:rsidRPr="00BB46BB">
              <w:rPr>
                <w:bCs/>
                <w:color w:val="000000" w:themeColor="text1"/>
              </w:rPr>
              <w:t>, jo to izmaksas jau ir iekļautas</w:t>
            </w:r>
            <w:r w:rsidR="00A57D3D" w:rsidRPr="00BB46BB">
              <w:rPr>
                <w:bCs/>
                <w:color w:val="000000" w:themeColor="text1"/>
              </w:rPr>
              <w:t xml:space="preserve"> citos veselības aprūpes pakalpojumu</w:t>
            </w:r>
            <w:r w:rsidRPr="00BB46BB">
              <w:rPr>
                <w:bCs/>
                <w:color w:val="000000" w:themeColor="text1"/>
              </w:rPr>
              <w:t xml:space="preserve"> tarifos, kurus </w:t>
            </w:r>
            <w:r w:rsidR="00A57D3D" w:rsidRPr="00BB46BB">
              <w:rPr>
                <w:bCs/>
                <w:color w:val="000000" w:themeColor="text1"/>
              </w:rPr>
              <w:t>ārstniecības iestādēm maksā par operāciju veikšanu;</w:t>
            </w:r>
            <w:r w:rsidRPr="00BB46BB">
              <w:rPr>
                <w:bCs/>
                <w:color w:val="000000" w:themeColor="text1"/>
              </w:rPr>
              <w:t xml:space="preserve"> </w:t>
            </w:r>
          </w:p>
          <w:p w:rsidR="005F1EC9" w:rsidRPr="00BB46BB" w:rsidRDefault="005F1EC9" w:rsidP="00B15BC6">
            <w:pPr>
              <w:ind w:firstLine="252"/>
              <w:jc w:val="both"/>
              <w:rPr>
                <w:bCs/>
                <w:color w:val="000000" w:themeColor="text1"/>
              </w:rPr>
            </w:pPr>
            <w:r w:rsidRPr="00BB46BB">
              <w:rPr>
                <w:bCs/>
                <w:color w:val="000000" w:themeColor="text1"/>
              </w:rPr>
              <w:t xml:space="preserve">- iekļautas jaunas manipulācijas, kuras nepieciešamas parenterālās barošanas nodrošināšanai veselības aprūpes mājās </w:t>
            </w:r>
            <w:r w:rsidRPr="00BB46BB">
              <w:rPr>
                <w:bCs/>
                <w:color w:val="000000" w:themeColor="text1"/>
              </w:rPr>
              <w:lastRenderedPageBreak/>
              <w:t xml:space="preserve">nodrošināšanai; </w:t>
            </w:r>
          </w:p>
          <w:p w:rsidR="00B15BC6" w:rsidRPr="00BB46BB" w:rsidRDefault="00B15BC6" w:rsidP="00B15BC6">
            <w:pPr>
              <w:ind w:firstLine="252"/>
              <w:jc w:val="both"/>
              <w:rPr>
                <w:bCs/>
                <w:color w:val="000000" w:themeColor="text1"/>
              </w:rPr>
            </w:pPr>
            <w:r w:rsidRPr="00BB46BB">
              <w:rPr>
                <w:bCs/>
                <w:color w:val="000000" w:themeColor="text1"/>
              </w:rPr>
              <w:t>-</w:t>
            </w:r>
            <w:r w:rsidRPr="00BB46BB">
              <w:rPr>
                <w:color w:val="000000" w:themeColor="text1"/>
              </w:rPr>
              <w:t xml:space="preserve"> l</w:t>
            </w:r>
            <w:r w:rsidRPr="00BB46BB">
              <w:rPr>
                <w:bCs/>
                <w:color w:val="000000" w:themeColor="text1"/>
              </w:rPr>
              <w:t>ai gūtu plašāku priekšstatu par to, kā šobrīd tiek nodrošinātas māsas vai ārsta palīga veik</w:t>
            </w:r>
            <w:r w:rsidR="00404496" w:rsidRPr="00BB46BB">
              <w:rPr>
                <w:bCs/>
                <w:color w:val="000000" w:themeColor="text1"/>
              </w:rPr>
              <w:t>tas bērna profilak</w:t>
            </w:r>
            <w:r w:rsidRPr="00BB46BB">
              <w:rPr>
                <w:bCs/>
                <w:color w:val="000000" w:themeColor="text1"/>
              </w:rPr>
              <w:t>tis</w:t>
            </w:r>
            <w:r w:rsidR="00404496" w:rsidRPr="00BB46BB">
              <w:rPr>
                <w:bCs/>
                <w:color w:val="000000" w:themeColor="text1"/>
              </w:rPr>
              <w:t>k</w:t>
            </w:r>
            <w:r w:rsidRPr="00BB46BB">
              <w:rPr>
                <w:bCs/>
                <w:color w:val="000000" w:themeColor="text1"/>
              </w:rPr>
              <w:t>ās apskates mājās un pārliecinātos, ka tas tiek veikts, noteikumi papildināti ar jaunu uzskaites manipulāciju māsas veiktai patronāžai mājās;</w:t>
            </w:r>
          </w:p>
          <w:p w:rsidR="00404496" w:rsidRPr="00BB46BB" w:rsidRDefault="00272716" w:rsidP="00B15BC6">
            <w:pPr>
              <w:ind w:firstLine="252"/>
              <w:jc w:val="both"/>
              <w:rPr>
                <w:bCs/>
                <w:color w:val="000000" w:themeColor="text1"/>
              </w:rPr>
            </w:pPr>
            <w:r w:rsidRPr="00BB46BB">
              <w:rPr>
                <w:bCs/>
                <w:color w:val="000000" w:themeColor="text1"/>
              </w:rPr>
              <w:t xml:space="preserve">- </w:t>
            </w:r>
            <w:r w:rsidR="000D2BDA" w:rsidRPr="00BB46BB">
              <w:rPr>
                <w:bCs/>
                <w:color w:val="000000" w:themeColor="text1"/>
              </w:rPr>
              <w:t>grozījum</w:t>
            </w:r>
            <w:r w:rsidR="005F1EC9" w:rsidRPr="00BB46BB">
              <w:rPr>
                <w:bCs/>
                <w:color w:val="000000" w:themeColor="text1"/>
              </w:rPr>
              <w:t>i, kas</w:t>
            </w:r>
            <w:r w:rsidR="00404496" w:rsidRPr="00BB46BB">
              <w:rPr>
                <w:bCs/>
                <w:color w:val="000000" w:themeColor="text1"/>
              </w:rPr>
              <w:t xml:space="preserve"> saistīt</w:t>
            </w:r>
            <w:r w:rsidR="005F1EC9" w:rsidRPr="00BB46BB">
              <w:rPr>
                <w:bCs/>
                <w:color w:val="000000" w:themeColor="text1"/>
              </w:rPr>
              <w:t>i</w:t>
            </w:r>
            <w:r w:rsidR="00404496" w:rsidRPr="00BB46BB">
              <w:rPr>
                <w:bCs/>
                <w:color w:val="000000" w:themeColor="text1"/>
              </w:rPr>
              <w:t xml:space="preserve"> ar specialitātes nosaukuma maiņu no </w:t>
            </w:r>
            <w:r w:rsidR="000D2BDA" w:rsidRPr="00BB46BB">
              <w:rPr>
                <w:bCs/>
                <w:color w:val="000000" w:themeColor="text1"/>
              </w:rPr>
              <w:t>„</w:t>
            </w:r>
            <w:r w:rsidR="00404496" w:rsidRPr="00BB46BB">
              <w:rPr>
                <w:bCs/>
                <w:color w:val="000000" w:themeColor="text1"/>
              </w:rPr>
              <w:t xml:space="preserve">ftiziopulmonologs” uz </w:t>
            </w:r>
            <w:r w:rsidR="000D2BDA" w:rsidRPr="00BB46BB">
              <w:rPr>
                <w:bCs/>
                <w:color w:val="000000" w:themeColor="text1"/>
              </w:rPr>
              <w:t>„</w:t>
            </w:r>
            <w:r w:rsidR="00404496" w:rsidRPr="00BB46BB">
              <w:rPr>
                <w:bCs/>
                <w:color w:val="000000" w:themeColor="text1"/>
              </w:rPr>
              <w:t>pneimonologs”;</w:t>
            </w:r>
          </w:p>
          <w:p w:rsidR="00272716" w:rsidRPr="00BB46BB" w:rsidRDefault="00404496" w:rsidP="00B15BC6">
            <w:pPr>
              <w:ind w:firstLine="252"/>
              <w:jc w:val="both"/>
              <w:rPr>
                <w:bCs/>
                <w:color w:val="000000" w:themeColor="text1"/>
              </w:rPr>
            </w:pPr>
            <w:r w:rsidRPr="00BB46BB">
              <w:rPr>
                <w:bCs/>
                <w:color w:val="000000" w:themeColor="text1"/>
              </w:rPr>
              <w:t xml:space="preserve">- </w:t>
            </w:r>
            <w:r w:rsidR="005F1EC9" w:rsidRPr="00BB46BB">
              <w:rPr>
                <w:bCs/>
                <w:color w:val="000000" w:themeColor="text1"/>
              </w:rPr>
              <w:t xml:space="preserve">iekļauti </w:t>
            </w:r>
            <w:r w:rsidRPr="00BB46BB">
              <w:rPr>
                <w:bCs/>
                <w:color w:val="000000" w:themeColor="text1"/>
              </w:rPr>
              <w:t>jaun</w:t>
            </w:r>
            <w:r w:rsidR="005F1EC9" w:rsidRPr="00BB46BB">
              <w:rPr>
                <w:bCs/>
                <w:color w:val="000000" w:themeColor="text1"/>
              </w:rPr>
              <w:t>i</w:t>
            </w:r>
            <w:r w:rsidRPr="00BB46BB">
              <w:rPr>
                <w:bCs/>
                <w:color w:val="000000" w:themeColor="text1"/>
              </w:rPr>
              <w:t xml:space="preserve"> </w:t>
            </w:r>
            <w:r w:rsidR="00272716" w:rsidRPr="00BB46BB">
              <w:rPr>
                <w:bCs/>
                <w:color w:val="000000" w:themeColor="text1"/>
              </w:rPr>
              <w:t>punkt</w:t>
            </w:r>
            <w:r w:rsidR="005F1EC9" w:rsidRPr="00BB46BB">
              <w:rPr>
                <w:bCs/>
                <w:color w:val="000000" w:themeColor="text1"/>
              </w:rPr>
              <w:t>i, kas</w:t>
            </w:r>
            <w:r w:rsidRPr="00BB46BB">
              <w:rPr>
                <w:bCs/>
                <w:color w:val="000000" w:themeColor="text1"/>
              </w:rPr>
              <w:t xml:space="preserve"> </w:t>
            </w:r>
            <w:r w:rsidR="000D2BDA" w:rsidRPr="00BB46BB">
              <w:rPr>
                <w:bCs/>
                <w:color w:val="000000" w:themeColor="text1"/>
              </w:rPr>
              <w:t xml:space="preserve">nepieciešams </w:t>
            </w:r>
            <w:r w:rsidR="00785200" w:rsidRPr="00BB46BB">
              <w:rPr>
                <w:bCs/>
                <w:color w:val="000000" w:themeColor="text1"/>
              </w:rPr>
              <w:t xml:space="preserve">finansējuma un līguma apjoma plānošanai </w:t>
            </w:r>
            <w:r w:rsidR="005F1EC9" w:rsidRPr="00BB46BB">
              <w:rPr>
                <w:bCs/>
                <w:color w:val="000000" w:themeColor="text1"/>
              </w:rPr>
              <w:t xml:space="preserve">un nosaka </w:t>
            </w:r>
            <w:r w:rsidR="00785200" w:rsidRPr="00BB46BB">
              <w:rPr>
                <w:bCs/>
                <w:color w:val="000000" w:themeColor="text1"/>
              </w:rPr>
              <w:t>jauna</w:t>
            </w:r>
            <w:r w:rsidR="000D2BDA" w:rsidRPr="00BB46BB">
              <w:rPr>
                <w:bCs/>
                <w:color w:val="000000" w:themeColor="text1"/>
              </w:rPr>
              <w:t>s</w:t>
            </w:r>
            <w:r w:rsidR="00785200" w:rsidRPr="00BB46BB">
              <w:rPr>
                <w:bCs/>
                <w:color w:val="000000" w:themeColor="text1"/>
              </w:rPr>
              <w:t xml:space="preserve"> uzskaites manipulācija</w:t>
            </w:r>
            <w:r w:rsidR="005F1EC9" w:rsidRPr="00BB46BB">
              <w:rPr>
                <w:bCs/>
                <w:color w:val="000000" w:themeColor="text1"/>
              </w:rPr>
              <w:t>s</w:t>
            </w:r>
            <w:r w:rsidR="00785200" w:rsidRPr="00BB46BB">
              <w:rPr>
                <w:bCs/>
                <w:color w:val="000000" w:themeColor="text1"/>
              </w:rPr>
              <w:t xml:space="preserve"> par pacientu apmeklējumiem metadona terapijas </w:t>
            </w:r>
            <w:r w:rsidR="005F1EC9" w:rsidRPr="00BB46BB">
              <w:rPr>
                <w:bCs/>
                <w:color w:val="000000" w:themeColor="text1"/>
              </w:rPr>
              <w:t xml:space="preserve">vai dietologa </w:t>
            </w:r>
            <w:r w:rsidR="00785200" w:rsidRPr="00BB46BB">
              <w:rPr>
                <w:bCs/>
                <w:color w:val="000000" w:themeColor="text1"/>
              </w:rPr>
              <w:t>kabinetā;</w:t>
            </w:r>
            <w:r w:rsidRPr="00BB46BB">
              <w:rPr>
                <w:bCs/>
                <w:color w:val="000000" w:themeColor="text1"/>
              </w:rPr>
              <w:t xml:space="preserve"> </w:t>
            </w:r>
          </w:p>
          <w:p w:rsidR="00272716" w:rsidRPr="00BB46BB" w:rsidRDefault="00272716" w:rsidP="00272716">
            <w:pPr>
              <w:ind w:firstLine="252"/>
              <w:jc w:val="both"/>
              <w:rPr>
                <w:bCs/>
                <w:color w:val="000000" w:themeColor="text1"/>
              </w:rPr>
            </w:pPr>
            <w:r w:rsidRPr="00BB46BB">
              <w:rPr>
                <w:bCs/>
                <w:color w:val="000000" w:themeColor="text1"/>
              </w:rPr>
              <w:t>- izsakot 3717. un 3718.punktu jaunā redakcijā</w:t>
            </w:r>
            <w:r w:rsidRPr="00BB46BB">
              <w:rPr>
                <w:color w:val="000000" w:themeColor="text1"/>
              </w:rPr>
              <w:t xml:space="preserve"> p</w:t>
            </w:r>
            <w:r w:rsidRPr="00BB46BB">
              <w:rPr>
                <w:bCs/>
                <w:color w:val="000000" w:themeColor="text1"/>
              </w:rPr>
              <w:t xml:space="preserve">recizēts mobilā zobārstniecības kabineta manipulāciju pielietojums. </w:t>
            </w:r>
          </w:p>
          <w:p w:rsidR="00696E92" w:rsidRPr="00BB46BB" w:rsidRDefault="00696E92" w:rsidP="00272716">
            <w:pPr>
              <w:ind w:firstLine="252"/>
              <w:jc w:val="both"/>
              <w:rPr>
                <w:bCs/>
                <w:color w:val="000000" w:themeColor="text1"/>
              </w:rPr>
            </w:pPr>
            <w:r w:rsidRPr="00BB46BB">
              <w:rPr>
                <w:bCs/>
                <w:color w:val="000000" w:themeColor="text1"/>
              </w:rPr>
              <w:t>Grozījumi 17.pielikumā:</w:t>
            </w:r>
          </w:p>
          <w:p w:rsidR="00696E92" w:rsidRPr="00BB46BB" w:rsidRDefault="00696E92" w:rsidP="00696E92">
            <w:pPr>
              <w:ind w:firstLine="252"/>
              <w:jc w:val="both"/>
              <w:rPr>
                <w:color w:val="000000" w:themeColor="text1"/>
              </w:rPr>
            </w:pPr>
            <w:r w:rsidRPr="00BB46BB">
              <w:rPr>
                <w:bCs/>
                <w:color w:val="000000" w:themeColor="text1"/>
              </w:rPr>
              <w:t>-</w:t>
            </w:r>
            <w:r w:rsidR="00DE7247" w:rsidRPr="00BB46BB">
              <w:rPr>
                <w:bCs/>
                <w:color w:val="000000" w:themeColor="text1"/>
              </w:rPr>
              <w:t xml:space="preserve"> </w:t>
            </w:r>
            <w:r w:rsidRPr="00BB46BB">
              <w:rPr>
                <w:bCs/>
                <w:color w:val="000000" w:themeColor="text1"/>
              </w:rPr>
              <w:t>2.4.apakšpunkts izteikts jaunā redakcijā, jo</w:t>
            </w:r>
            <w:r w:rsidRPr="00BB46BB">
              <w:rPr>
                <w:color w:val="000000" w:themeColor="text1"/>
              </w:rPr>
              <w:t xml:space="preserve"> sabiedrība ar ierobežotu atbildību „Ludzas rajona slimnīca” mainījusi nosaukumu uz sabiedrība ar ierobežotu atbildību „Ludzas medicīnas centrs”;</w:t>
            </w:r>
          </w:p>
          <w:p w:rsidR="00696E92" w:rsidRPr="00BB46BB" w:rsidRDefault="00696E92" w:rsidP="00696E92">
            <w:pPr>
              <w:ind w:firstLine="252"/>
              <w:jc w:val="both"/>
              <w:rPr>
                <w:color w:val="000000" w:themeColor="text1"/>
              </w:rPr>
            </w:pPr>
            <w:r w:rsidRPr="00BB46BB">
              <w:rPr>
                <w:color w:val="000000" w:themeColor="text1"/>
              </w:rPr>
              <w:t>-</w:t>
            </w:r>
            <w:r w:rsidR="00DE7247" w:rsidRPr="00BB46BB">
              <w:rPr>
                <w:color w:val="000000" w:themeColor="text1"/>
              </w:rPr>
              <w:t xml:space="preserve"> </w:t>
            </w:r>
            <w:r w:rsidRPr="00BB46BB">
              <w:rPr>
                <w:color w:val="000000" w:themeColor="text1"/>
              </w:rPr>
              <w:t xml:space="preserve">svītrots 2.9.apakšpunkts, jo </w:t>
            </w:r>
            <w:r w:rsidR="00564AA6" w:rsidRPr="00BB46BB">
              <w:rPr>
                <w:color w:val="000000" w:themeColor="text1"/>
              </w:rPr>
              <w:t xml:space="preserve">NVD ir izbeidzis līgumu ar </w:t>
            </w:r>
            <w:r w:rsidRPr="00BB46BB">
              <w:rPr>
                <w:color w:val="000000" w:themeColor="text1"/>
              </w:rPr>
              <w:t>Limbažu slimnīcu par stacionārās veselības aprūpes pak</w:t>
            </w:r>
            <w:r w:rsidR="00436A29" w:rsidRPr="00BB46BB">
              <w:rPr>
                <w:color w:val="000000" w:themeColor="text1"/>
              </w:rPr>
              <w:t>a</w:t>
            </w:r>
            <w:r w:rsidRPr="00BB46BB">
              <w:rPr>
                <w:color w:val="000000" w:themeColor="text1"/>
              </w:rPr>
              <w:t>lpojumu sniegšanu.</w:t>
            </w:r>
          </w:p>
          <w:p w:rsidR="00436A29" w:rsidRPr="00BB46BB" w:rsidRDefault="00436A29" w:rsidP="00436A29">
            <w:pPr>
              <w:ind w:firstLine="252"/>
              <w:jc w:val="both"/>
              <w:rPr>
                <w:bCs/>
                <w:color w:val="000000" w:themeColor="text1"/>
              </w:rPr>
            </w:pPr>
            <w:r w:rsidRPr="00BB46BB">
              <w:rPr>
                <w:bCs/>
                <w:color w:val="000000" w:themeColor="text1"/>
              </w:rPr>
              <w:t>19.pielikuma 3.punkts papildināts ar dienas stacionārā veicamām manipulācijām</w:t>
            </w:r>
            <w:r w:rsidR="00254BA4" w:rsidRPr="00BB46BB">
              <w:rPr>
                <w:bCs/>
                <w:color w:val="000000" w:themeColor="text1"/>
              </w:rPr>
              <w:t xml:space="preserve"> un 10.punkts izteikts jaunā redakcijā.</w:t>
            </w:r>
          </w:p>
          <w:p w:rsidR="005F1EC9" w:rsidRPr="00BB46BB" w:rsidRDefault="00436A29" w:rsidP="001873B2">
            <w:pPr>
              <w:ind w:firstLine="252"/>
              <w:jc w:val="both"/>
              <w:rPr>
                <w:bCs/>
                <w:color w:val="000000" w:themeColor="text1"/>
              </w:rPr>
            </w:pPr>
            <w:r w:rsidRPr="00BB46BB">
              <w:rPr>
                <w:bCs/>
                <w:color w:val="000000" w:themeColor="text1"/>
              </w:rPr>
              <w:t>Grozījums 21.pielikuma 1.8.apakšpunktā saistīt</w:t>
            </w:r>
            <w:r w:rsidR="00C17960" w:rsidRPr="00BB46BB">
              <w:rPr>
                <w:bCs/>
                <w:color w:val="000000" w:themeColor="text1"/>
              </w:rPr>
              <w:t>s</w:t>
            </w:r>
            <w:r w:rsidRPr="00BB46BB">
              <w:rPr>
                <w:bCs/>
                <w:color w:val="000000" w:themeColor="text1"/>
              </w:rPr>
              <w:t xml:space="preserve"> ar </w:t>
            </w:r>
            <w:r w:rsidR="00564AA6" w:rsidRPr="00BB46BB">
              <w:rPr>
                <w:bCs/>
                <w:color w:val="000000" w:themeColor="text1"/>
              </w:rPr>
              <w:t xml:space="preserve">veiktā darba </w:t>
            </w:r>
            <w:r w:rsidRPr="00BB46BB">
              <w:rPr>
                <w:bCs/>
                <w:color w:val="000000" w:themeColor="text1"/>
              </w:rPr>
              <w:t xml:space="preserve">uzskaites precizēšanu, līdz šim </w:t>
            </w:r>
            <w:r w:rsidR="00C17960" w:rsidRPr="00BB46BB">
              <w:rPr>
                <w:bCs/>
                <w:color w:val="000000" w:themeColor="text1"/>
              </w:rPr>
              <w:t xml:space="preserve">Rentgenogrāfijas </w:t>
            </w:r>
            <w:r w:rsidRPr="00BB46BB">
              <w:rPr>
                <w:bCs/>
                <w:color w:val="000000" w:themeColor="text1"/>
              </w:rPr>
              <w:t xml:space="preserve">bija „izmeklējumi 5-6 projekcijas”, </w:t>
            </w:r>
            <w:r w:rsidR="007D645E" w:rsidRPr="00BB46BB">
              <w:rPr>
                <w:bCs/>
                <w:color w:val="000000" w:themeColor="text1"/>
              </w:rPr>
              <w:t>kas ir maksimālais projekciju skaits, bet ir situācijas, ka vienam izmeklējumam var aprakstīt vairāk kā sešas projekcijas;</w:t>
            </w:r>
          </w:p>
          <w:p w:rsidR="005F1EC9" w:rsidRPr="00BB46BB" w:rsidRDefault="00BB46BB" w:rsidP="00A57D3D">
            <w:pPr>
              <w:ind w:firstLine="252"/>
              <w:jc w:val="both"/>
              <w:rPr>
                <w:bCs/>
                <w:color w:val="000000" w:themeColor="text1"/>
              </w:rPr>
            </w:pPr>
            <w:r>
              <w:rPr>
                <w:bCs/>
                <w:color w:val="000000" w:themeColor="text1"/>
              </w:rPr>
              <w:t>Izsakot 22.pielikumu jaunā redakcijā tiek veikti tehniski grozījumi</w:t>
            </w:r>
            <w:r w:rsidR="005111F3">
              <w:rPr>
                <w:bCs/>
                <w:color w:val="000000" w:themeColor="text1"/>
              </w:rPr>
              <w:t xml:space="preserve"> un</w:t>
            </w:r>
            <w:r>
              <w:rPr>
                <w:bCs/>
                <w:color w:val="000000" w:themeColor="text1"/>
              </w:rPr>
              <w:t xml:space="preserve"> </w:t>
            </w:r>
            <w:r w:rsidR="005111F3">
              <w:rPr>
                <w:bCs/>
                <w:color w:val="000000" w:themeColor="text1"/>
              </w:rPr>
              <w:t xml:space="preserve">vienlaikus papildina </w:t>
            </w:r>
            <w:r>
              <w:rPr>
                <w:bCs/>
                <w:color w:val="000000" w:themeColor="text1"/>
              </w:rPr>
              <w:t>pielikum</w:t>
            </w:r>
            <w:r w:rsidR="005111F3">
              <w:rPr>
                <w:bCs/>
                <w:color w:val="000000" w:themeColor="text1"/>
              </w:rPr>
              <w:t>u</w:t>
            </w:r>
            <w:r>
              <w:rPr>
                <w:bCs/>
                <w:color w:val="000000" w:themeColor="text1"/>
              </w:rPr>
              <w:t xml:space="preserve"> a</w:t>
            </w:r>
            <w:r w:rsidR="003E5684" w:rsidRPr="00BB46BB">
              <w:rPr>
                <w:bCs/>
                <w:color w:val="000000" w:themeColor="text1"/>
              </w:rPr>
              <w:t xml:space="preserve">tbilstoši </w:t>
            </w:r>
            <w:proofErr w:type="spellStart"/>
            <w:r w:rsidR="003E5684" w:rsidRPr="00BB46BB">
              <w:rPr>
                <w:bCs/>
                <w:color w:val="000000" w:themeColor="text1"/>
              </w:rPr>
              <w:t>Neonatalogu</w:t>
            </w:r>
            <w:proofErr w:type="spellEnd"/>
            <w:r w:rsidR="003E5684" w:rsidRPr="00BB46BB">
              <w:rPr>
                <w:bCs/>
                <w:color w:val="000000" w:themeColor="text1"/>
              </w:rPr>
              <w:t xml:space="preserve"> biedrīb</w:t>
            </w:r>
            <w:r w:rsidR="009E2506" w:rsidRPr="00BB46BB">
              <w:rPr>
                <w:bCs/>
                <w:color w:val="000000" w:themeColor="text1"/>
              </w:rPr>
              <w:t>a</w:t>
            </w:r>
            <w:r w:rsidR="003E5684" w:rsidRPr="00BB46BB">
              <w:rPr>
                <w:bCs/>
                <w:color w:val="000000" w:themeColor="text1"/>
              </w:rPr>
              <w:t xml:space="preserve">s priekšlikumiem, lai </w:t>
            </w:r>
            <w:r w:rsidR="00564AA6" w:rsidRPr="00BB46BB">
              <w:rPr>
                <w:bCs/>
                <w:color w:val="000000" w:themeColor="text1"/>
              </w:rPr>
              <w:t xml:space="preserve">īpašos veselības stāvokļa </w:t>
            </w:r>
            <w:r w:rsidR="009E2506" w:rsidRPr="00BB46BB">
              <w:rPr>
                <w:bCs/>
                <w:color w:val="000000" w:themeColor="text1"/>
              </w:rPr>
              <w:t xml:space="preserve">gadījumos </w:t>
            </w:r>
            <w:r w:rsidR="003E5684" w:rsidRPr="00BB46BB">
              <w:rPr>
                <w:bCs/>
                <w:color w:val="000000" w:themeColor="text1"/>
              </w:rPr>
              <w:t>uzsāktu savlaicīg</w:t>
            </w:r>
            <w:r w:rsidR="009E2506" w:rsidRPr="00BB46BB">
              <w:rPr>
                <w:bCs/>
                <w:color w:val="000000" w:themeColor="text1"/>
              </w:rPr>
              <w:t>u</w:t>
            </w:r>
            <w:r w:rsidR="003E5684" w:rsidRPr="00BB46BB">
              <w:rPr>
                <w:bCs/>
                <w:color w:val="000000" w:themeColor="text1"/>
              </w:rPr>
              <w:t xml:space="preserve"> profilaksi bērnam</w:t>
            </w:r>
            <w:r w:rsidR="009E2506" w:rsidRPr="00BB46BB">
              <w:rPr>
                <w:bCs/>
                <w:color w:val="000000" w:themeColor="text1"/>
              </w:rPr>
              <w:t xml:space="preserve"> </w:t>
            </w:r>
            <w:r w:rsidR="003E5684" w:rsidRPr="00BB46BB">
              <w:rPr>
                <w:bCs/>
                <w:color w:val="000000" w:themeColor="text1"/>
              </w:rPr>
              <w:t>esot jau slimnīcā</w:t>
            </w:r>
            <w:r w:rsidR="005F1EC9" w:rsidRPr="00BB46BB">
              <w:rPr>
                <w:bCs/>
                <w:color w:val="000000" w:themeColor="text1"/>
              </w:rPr>
              <w:t>, kā arī, lai</w:t>
            </w:r>
            <w:r w:rsidR="009E2506" w:rsidRPr="00BB46BB">
              <w:rPr>
                <w:bCs/>
                <w:color w:val="000000" w:themeColor="text1"/>
              </w:rPr>
              <w:t xml:space="preserve"> </w:t>
            </w:r>
            <w:r w:rsidR="003E5684" w:rsidRPr="00BB46BB">
              <w:rPr>
                <w:bCs/>
                <w:color w:val="000000" w:themeColor="text1"/>
              </w:rPr>
              <w:t>paredzēt</w:t>
            </w:r>
            <w:r w:rsidR="009E2506" w:rsidRPr="00BB46BB">
              <w:rPr>
                <w:bCs/>
                <w:color w:val="000000" w:themeColor="text1"/>
              </w:rPr>
              <w:t>u</w:t>
            </w:r>
            <w:r w:rsidR="003E5684" w:rsidRPr="00BB46BB">
              <w:rPr>
                <w:bCs/>
                <w:color w:val="000000" w:themeColor="text1"/>
              </w:rPr>
              <w:t xml:space="preserve"> dārgo zāļu apmaksu</w:t>
            </w:r>
            <w:r w:rsidR="005F1EC9" w:rsidRPr="00BB46BB">
              <w:rPr>
                <w:bCs/>
                <w:color w:val="000000" w:themeColor="text1"/>
              </w:rPr>
              <w:t xml:space="preserve"> un</w:t>
            </w:r>
            <w:r w:rsidR="003E5684" w:rsidRPr="00BB46BB">
              <w:rPr>
                <w:bCs/>
                <w:color w:val="000000" w:themeColor="text1"/>
              </w:rPr>
              <w:t xml:space="preserve"> novērstu situāciju, kad zāļu lietošana rada zaudējum</w:t>
            </w:r>
            <w:r w:rsidR="00EF36F3" w:rsidRPr="00BB46BB">
              <w:rPr>
                <w:bCs/>
                <w:color w:val="000000" w:themeColor="text1"/>
              </w:rPr>
              <w:t>us ārstniecības iestādēm</w:t>
            </w:r>
            <w:r>
              <w:rPr>
                <w:bCs/>
                <w:color w:val="000000" w:themeColor="text1"/>
              </w:rPr>
              <w:t>.</w:t>
            </w:r>
            <w:r w:rsidR="00EF36F3" w:rsidRPr="00BB46BB">
              <w:rPr>
                <w:bCs/>
                <w:color w:val="000000" w:themeColor="text1"/>
              </w:rPr>
              <w:t xml:space="preserve"> </w:t>
            </w:r>
          </w:p>
          <w:p w:rsidR="001873B2" w:rsidRPr="00BB46BB" w:rsidRDefault="005F1EC9" w:rsidP="009E2506">
            <w:pPr>
              <w:ind w:firstLine="252"/>
              <w:jc w:val="both"/>
              <w:rPr>
                <w:color w:val="000000" w:themeColor="text1"/>
              </w:rPr>
            </w:pPr>
            <w:r w:rsidRPr="00BB46BB">
              <w:rPr>
                <w:bCs/>
                <w:color w:val="000000" w:themeColor="text1"/>
              </w:rPr>
              <w:t>Lai turpmāk laboratoriskie izmeklējumi tuberkulozes noteikšanai tiktu veikti un apmaksāti nacionālās mikrobioloģijas references un 3.bioloģiskās drošības līmeņa laboratorijai</w:t>
            </w:r>
            <w:r w:rsidR="001873B2" w:rsidRPr="00BB46BB">
              <w:rPr>
                <w:bCs/>
                <w:color w:val="000000" w:themeColor="text1"/>
              </w:rPr>
              <w:t>, veikti grozījumi 24.pielikumā.</w:t>
            </w:r>
          </w:p>
          <w:p w:rsidR="009E2506" w:rsidRPr="00BB46BB" w:rsidRDefault="00EF74EA" w:rsidP="009E2506">
            <w:pPr>
              <w:ind w:firstLine="252"/>
              <w:jc w:val="both"/>
              <w:rPr>
                <w:color w:val="000000" w:themeColor="text1"/>
              </w:rPr>
            </w:pPr>
            <w:r w:rsidRPr="00BB46BB">
              <w:rPr>
                <w:color w:val="000000" w:themeColor="text1"/>
              </w:rPr>
              <w:t xml:space="preserve">Grozījumi </w:t>
            </w:r>
            <w:r w:rsidR="009E2506" w:rsidRPr="00BB46BB">
              <w:rPr>
                <w:color w:val="000000" w:themeColor="text1"/>
              </w:rPr>
              <w:t>25.pieli</w:t>
            </w:r>
            <w:r w:rsidR="00785200" w:rsidRPr="00BB46BB">
              <w:rPr>
                <w:color w:val="000000" w:themeColor="text1"/>
              </w:rPr>
              <w:t>kuma 2.2.1. un 2.2.3.apakšpunkt</w:t>
            </w:r>
            <w:r w:rsidRPr="00BB46BB">
              <w:rPr>
                <w:color w:val="000000" w:themeColor="text1"/>
              </w:rPr>
              <w:t>ā</w:t>
            </w:r>
            <w:r w:rsidR="00785200" w:rsidRPr="00BB46BB">
              <w:rPr>
                <w:color w:val="000000" w:themeColor="text1"/>
              </w:rPr>
              <w:t xml:space="preserve"> veikt</w:t>
            </w:r>
            <w:r w:rsidRPr="00BB46BB">
              <w:rPr>
                <w:color w:val="000000" w:themeColor="text1"/>
              </w:rPr>
              <w:t>i</w:t>
            </w:r>
            <w:r w:rsidR="00785200" w:rsidRPr="00BB46BB">
              <w:rPr>
                <w:color w:val="000000" w:themeColor="text1"/>
              </w:rPr>
              <w:t xml:space="preserve">, jo </w:t>
            </w:r>
            <w:r w:rsidR="003E682F" w:rsidRPr="00BB46BB">
              <w:rPr>
                <w:color w:val="000000" w:themeColor="text1"/>
              </w:rPr>
              <w:t xml:space="preserve">atsevišķas </w:t>
            </w:r>
            <w:r w:rsidR="00785200" w:rsidRPr="00BB46BB">
              <w:rPr>
                <w:color w:val="000000" w:themeColor="text1"/>
              </w:rPr>
              <w:t xml:space="preserve">manipulācijas, kas bija minētos šajos punktos ir svītrotas no noteikumu 16.pielikuma.  </w:t>
            </w:r>
          </w:p>
          <w:p w:rsidR="009E2506" w:rsidRPr="00BB46BB" w:rsidRDefault="009E2506" w:rsidP="009E2506">
            <w:pPr>
              <w:ind w:firstLine="252"/>
              <w:jc w:val="both"/>
              <w:rPr>
                <w:color w:val="000000" w:themeColor="text1"/>
              </w:rPr>
            </w:pPr>
            <w:r w:rsidRPr="00BB46BB">
              <w:rPr>
                <w:color w:val="000000" w:themeColor="text1"/>
              </w:rPr>
              <w:t>Grozījumi 28.pielikumā</w:t>
            </w:r>
            <w:r w:rsidR="00EF74EA" w:rsidRPr="00BB46BB">
              <w:rPr>
                <w:color w:val="000000" w:themeColor="text1"/>
              </w:rPr>
              <w:t xml:space="preserve"> -</w:t>
            </w:r>
            <w:r w:rsidRPr="00BB46BB">
              <w:rPr>
                <w:color w:val="000000" w:themeColor="text1"/>
              </w:rPr>
              <w:t xml:space="preserve"> precizēt</w:t>
            </w:r>
            <w:r w:rsidR="00372DFE" w:rsidRPr="00BB46BB">
              <w:rPr>
                <w:color w:val="000000" w:themeColor="text1"/>
              </w:rPr>
              <w:t>a</w:t>
            </w:r>
            <w:r w:rsidRPr="00BB46BB">
              <w:rPr>
                <w:color w:val="000000" w:themeColor="text1"/>
              </w:rPr>
              <w:t xml:space="preserve"> informācij</w:t>
            </w:r>
            <w:r w:rsidR="00372DFE" w:rsidRPr="00BB46BB">
              <w:rPr>
                <w:color w:val="000000" w:themeColor="text1"/>
              </w:rPr>
              <w:t>a</w:t>
            </w:r>
            <w:r w:rsidRPr="00BB46BB">
              <w:rPr>
                <w:color w:val="000000" w:themeColor="text1"/>
              </w:rPr>
              <w:t>, kas jāsniedz ārstniecības iestādēm par savu darbību, tāpēc 28.pielikuma tabulas pirmās rindas trešo aili izsaka šādā redakcijā: „Slodžu skaits</w:t>
            </w:r>
            <w:r w:rsidRPr="00BB46BB">
              <w:rPr>
                <w:color w:val="000000" w:themeColor="text1"/>
                <w:vertAlign w:val="superscript"/>
              </w:rPr>
              <w:t>5</w:t>
            </w:r>
            <w:r w:rsidRPr="00BB46BB">
              <w:rPr>
                <w:color w:val="000000" w:themeColor="text1"/>
              </w:rPr>
              <w:t>” un pielikums</w:t>
            </w:r>
            <w:r w:rsidR="00372DFE" w:rsidRPr="00BB46BB">
              <w:rPr>
                <w:color w:val="000000" w:themeColor="text1"/>
              </w:rPr>
              <w:t xml:space="preserve"> tiek </w:t>
            </w:r>
            <w:r w:rsidRPr="00BB46BB">
              <w:rPr>
                <w:color w:val="000000" w:themeColor="text1"/>
              </w:rPr>
              <w:t xml:space="preserve">papildināts </w:t>
            </w:r>
            <w:r w:rsidR="00372DFE" w:rsidRPr="00BB46BB">
              <w:rPr>
                <w:color w:val="000000" w:themeColor="text1"/>
              </w:rPr>
              <w:t xml:space="preserve">ar </w:t>
            </w:r>
            <w:r w:rsidRPr="00BB46BB">
              <w:rPr>
                <w:color w:val="000000" w:themeColor="text1"/>
              </w:rPr>
              <w:t>piezīmi</w:t>
            </w:r>
            <w:r w:rsidR="00372DFE" w:rsidRPr="00BB46BB">
              <w:rPr>
                <w:color w:val="000000" w:themeColor="text1"/>
              </w:rPr>
              <w:t>, kurā skaidrots slodžu skaita skaidrojums šo noteikumu kontekstā.</w:t>
            </w:r>
          </w:p>
          <w:p w:rsidR="00436A29" w:rsidRPr="00BB46BB" w:rsidRDefault="003D0A97" w:rsidP="00EF74EA">
            <w:pPr>
              <w:ind w:firstLine="252"/>
              <w:jc w:val="both"/>
              <w:rPr>
                <w:bCs/>
                <w:color w:val="000000" w:themeColor="text1"/>
              </w:rPr>
            </w:pPr>
            <w:r w:rsidRPr="00BB46BB">
              <w:rPr>
                <w:color w:val="000000" w:themeColor="text1"/>
              </w:rPr>
              <w:t xml:space="preserve">Saskaņā ar Tieslietu ministrijas norādi, noteikumu projektā iekļauta trešā atsauce uz Eiropas Parlamenta un Padomes direktīvu 2011/93/ES par seksuālās vardarbības pret bērniem, </w:t>
            </w:r>
            <w:r w:rsidRPr="00BB46BB">
              <w:rPr>
                <w:color w:val="000000" w:themeColor="text1"/>
              </w:rPr>
              <w:lastRenderedPageBreak/>
              <w:t xml:space="preserve">bērnu seksuālās izmantošanas un bērnu pornogrāfijas apkarošanu, un ar kuru aizstāj Padomes Pamatlēmumu 2004/68/TI, jo šīs direktīvas normas veselības aprūpes jomā ir pārņemtas.  </w:t>
            </w:r>
          </w:p>
        </w:tc>
      </w:tr>
      <w:tr w:rsidR="00E571FE" w:rsidRPr="00BB46BB" w:rsidTr="001374C1">
        <w:tc>
          <w:tcPr>
            <w:tcW w:w="250" w:type="pct"/>
          </w:tcPr>
          <w:p w:rsidR="00E571FE" w:rsidRPr="00BB46BB" w:rsidRDefault="00E571FE" w:rsidP="00BF6E4D">
            <w:pPr>
              <w:jc w:val="center"/>
              <w:rPr>
                <w:color w:val="000000" w:themeColor="text1"/>
                <w:lang w:eastAsia="lv-LV"/>
              </w:rPr>
            </w:pPr>
            <w:r w:rsidRPr="00BB46BB">
              <w:rPr>
                <w:color w:val="000000" w:themeColor="text1"/>
                <w:lang w:eastAsia="lv-LV"/>
              </w:rPr>
              <w:lastRenderedPageBreak/>
              <w:t>3.</w:t>
            </w:r>
          </w:p>
        </w:tc>
        <w:tc>
          <w:tcPr>
            <w:tcW w:w="1242" w:type="pct"/>
          </w:tcPr>
          <w:p w:rsidR="00E571FE" w:rsidRPr="00BB46BB" w:rsidRDefault="00E571FE" w:rsidP="00BF6E4D">
            <w:pPr>
              <w:jc w:val="both"/>
              <w:rPr>
                <w:color w:val="000000" w:themeColor="text1"/>
                <w:lang w:eastAsia="lv-LV"/>
              </w:rPr>
            </w:pPr>
            <w:r w:rsidRPr="00BB46BB">
              <w:rPr>
                <w:color w:val="000000" w:themeColor="text1"/>
                <w:lang w:eastAsia="lv-LV"/>
              </w:rPr>
              <w:t>Projekta izstrādē iesaistītās institūcijas</w:t>
            </w:r>
          </w:p>
        </w:tc>
        <w:tc>
          <w:tcPr>
            <w:tcW w:w="3508" w:type="pct"/>
          </w:tcPr>
          <w:p w:rsidR="002C0406" w:rsidRPr="00BB46BB" w:rsidRDefault="00696E92" w:rsidP="00DE7247">
            <w:pPr>
              <w:jc w:val="both"/>
              <w:rPr>
                <w:color w:val="000000" w:themeColor="text1"/>
                <w:lang w:eastAsia="lv-LV"/>
              </w:rPr>
            </w:pPr>
            <w:r w:rsidRPr="00BB46BB">
              <w:rPr>
                <w:color w:val="000000" w:themeColor="text1"/>
                <w:lang w:eastAsia="lv-LV"/>
              </w:rPr>
              <w:t xml:space="preserve"> </w:t>
            </w:r>
            <w:r w:rsidR="00C95C3F" w:rsidRPr="00BB46BB">
              <w:rPr>
                <w:color w:val="000000" w:themeColor="text1"/>
                <w:lang w:eastAsia="lv-LV"/>
              </w:rPr>
              <w:t>NVD</w:t>
            </w:r>
          </w:p>
        </w:tc>
      </w:tr>
      <w:tr w:rsidR="00E571FE" w:rsidRPr="00BB46BB" w:rsidTr="001374C1">
        <w:tc>
          <w:tcPr>
            <w:tcW w:w="250" w:type="pct"/>
          </w:tcPr>
          <w:p w:rsidR="00E571FE" w:rsidRPr="00BB46BB" w:rsidRDefault="00E571FE" w:rsidP="00BF6E4D">
            <w:pPr>
              <w:jc w:val="center"/>
              <w:rPr>
                <w:color w:val="000000" w:themeColor="text1"/>
                <w:lang w:eastAsia="lv-LV"/>
              </w:rPr>
            </w:pPr>
            <w:r w:rsidRPr="00BB46BB">
              <w:rPr>
                <w:color w:val="000000" w:themeColor="text1"/>
                <w:lang w:eastAsia="lv-LV"/>
              </w:rPr>
              <w:t>4.</w:t>
            </w:r>
          </w:p>
        </w:tc>
        <w:tc>
          <w:tcPr>
            <w:tcW w:w="1242" w:type="pct"/>
          </w:tcPr>
          <w:p w:rsidR="00E571FE" w:rsidRPr="00BB46BB" w:rsidRDefault="00E571FE" w:rsidP="00BF6E4D">
            <w:pPr>
              <w:jc w:val="both"/>
              <w:rPr>
                <w:color w:val="000000" w:themeColor="text1"/>
                <w:lang w:eastAsia="lv-LV"/>
              </w:rPr>
            </w:pPr>
            <w:r w:rsidRPr="00BB46BB">
              <w:rPr>
                <w:color w:val="000000" w:themeColor="text1"/>
                <w:lang w:eastAsia="lv-LV"/>
              </w:rPr>
              <w:t>Cita informācija</w:t>
            </w:r>
          </w:p>
        </w:tc>
        <w:tc>
          <w:tcPr>
            <w:tcW w:w="3508" w:type="pct"/>
          </w:tcPr>
          <w:p w:rsidR="00E571FE" w:rsidRPr="00BB46BB" w:rsidRDefault="003705D7" w:rsidP="00BF6E4D">
            <w:pPr>
              <w:jc w:val="both"/>
              <w:rPr>
                <w:color w:val="000000" w:themeColor="text1"/>
              </w:rPr>
            </w:pPr>
            <w:r w:rsidRPr="00BB46BB">
              <w:rPr>
                <w:color w:val="000000" w:themeColor="text1"/>
              </w:rPr>
              <w:t xml:space="preserve"> </w:t>
            </w:r>
            <w:r w:rsidR="00E571FE" w:rsidRPr="00BB46BB">
              <w:rPr>
                <w:color w:val="000000" w:themeColor="text1"/>
              </w:rPr>
              <w:t>Nav</w:t>
            </w:r>
          </w:p>
        </w:tc>
      </w:tr>
    </w:tbl>
    <w:p w:rsidR="00E571FE" w:rsidRPr="00BB46BB" w:rsidRDefault="00E571FE" w:rsidP="00BF6E4D">
      <w:pPr>
        <w:rPr>
          <w:color w:val="000000" w:themeColor="text1"/>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56"/>
        <w:gridCol w:w="2269"/>
        <w:gridCol w:w="6408"/>
      </w:tblGrid>
      <w:tr w:rsidR="00E571FE" w:rsidRPr="00BB46BB" w:rsidTr="00890432">
        <w:tc>
          <w:tcPr>
            <w:tcW w:w="0" w:type="auto"/>
            <w:gridSpan w:val="3"/>
            <w:tcBorders>
              <w:top w:val="outset" w:sz="6" w:space="0" w:color="auto"/>
              <w:bottom w:val="outset" w:sz="6" w:space="0" w:color="auto"/>
            </w:tcBorders>
          </w:tcPr>
          <w:p w:rsidR="00E571FE" w:rsidRPr="00BB46BB" w:rsidRDefault="00E571FE" w:rsidP="00BF6E4D">
            <w:pPr>
              <w:jc w:val="center"/>
              <w:rPr>
                <w:b/>
                <w:color w:val="000000" w:themeColor="text1"/>
              </w:rPr>
            </w:pPr>
            <w:r w:rsidRPr="00BB46BB">
              <w:rPr>
                <w:b/>
                <w:color w:val="000000" w:themeColor="text1"/>
              </w:rPr>
              <w:t>II. Tiesību akta projekta ietekme uz sabiedrību,</w:t>
            </w:r>
            <w:r w:rsidRPr="00BB46BB">
              <w:rPr>
                <w:b/>
                <w:bCs/>
                <w:color w:val="000000" w:themeColor="text1"/>
              </w:rPr>
              <w:t xml:space="preserve"> tautsaimniecības attīstību un administratīvo slogu</w:t>
            </w:r>
          </w:p>
        </w:tc>
      </w:tr>
      <w:tr w:rsidR="00E571FE" w:rsidRPr="00BB46BB" w:rsidTr="004B3E3A">
        <w:tc>
          <w:tcPr>
            <w:tcW w:w="250" w:type="pct"/>
            <w:tcBorders>
              <w:top w:val="outset" w:sz="6" w:space="0" w:color="auto"/>
              <w:right w:val="outset" w:sz="6" w:space="0" w:color="auto"/>
            </w:tcBorders>
          </w:tcPr>
          <w:p w:rsidR="00E571FE" w:rsidRPr="00BB46BB" w:rsidRDefault="00E571FE" w:rsidP="00BF6E4D">
            <w:pPr>
              <w:jc w:val="center"/>
              <w:rPr>
                <w:color w:val="000000" w:themeColor="text1"/>
              </w:rPr>
            </w:pPr>
            <w:r w:rsidRPr="00BB46BB">
              <w:rPr>
                <w:color w:val="000000" w:themeColor="text1"/>
              </w:rPr>
              <w:t>1.</w:t>
            </w:r>
          </w:p>
        </w:tc>
        <w:tc>
          <w:tcPr>
            <w:tcW w:w="1242" w:type="pct"/>
            <w:tcBorders>
              <w:top w:val="outset" w:sz="6" w:space="0" w:color="auto"/>
              <w:left w:val="outset" w:sz="6" w:space="0" w:color="auto"/>
              <w:right w:val="outset" w:sz="6" w:space="0" w:color="auto"/>
            </w:tcBorders>
          </w:tcPr>
          <w:p w:rsidR="00E571FE" w:rsidRPr="00BB46BB" w:rsidRDefault="00E571FE" w:rsidP="00BF6E4D">
            <w:pPr>
              <w:jc w:val="both"/>
              <w:rPr>
                <w:color w:val="000000" w:themeColor="text1"/>
              </w:rPr>
            </w:pPr>
            <w:r w:rsidRPr="00BB46BB">
              <w:rPr>
                <w:color w:val="000000" w:themeColor="text1"/>
              </w:rPr>
              <w:t>Sabiedrības mērķgrupas, kuras tiesiskais regulējums ietekmē vai varētu ietekmēt</w:t>
            </w:r>
          </w:p>
        </w:tc>
        <w:tc>
          <w:tcPr>
            <w:tcW w:w="3508" w:type="pct"/>
            <w:tcBorders>
              <w:top w:val="outset" w:sz="6" w:space="0" w:color="auto"/>
              <w:left w:val="outset" w:sz="6" w:space="0" w:color="auto"/>
            </w:tcBorders>
          </w:tcPr>
          <w:p w:rsidR="00E571FE" w:rsidRPr="00BB46BB" w:rsidRDefault="00902B9B" w:rsidP="00B96377">
            <w:pPr>
              <w:ind w:left="57" w:right="57"/>
              <w:jc w:val="both"/>
              <w:rPr>
                <w:color w:val="000000" w:themeColor="text1"/>
              </w:rPr>
            </w:pPr>
            <w:r w:rsidRPr="00BB46BB">
              <w:rPr>
                <w:color w:val="000000" w:themeColor="text1"/>
              </w:rPr>
              <w:t xml:space="preserve">Noteikumu projekta </w:t>
            </w:r>
            <w:r w:rsidR="008A1662" w:rsidRPr="00BB46BB">
              <w:rPr>
                <w:color w:val="000000" w:themeColor="text1"/>
              </w:rPr>
              <w:t xml:space="preserve">tiesiskais regulējums </w:t>
            </w:r>
            <w:r w:rsidR="00B96377" w:rsidRPr="00BB46BB">
              <w:rPr>
                <w:color w:val="000000" w:themeColor="text1"/>
              </w:rPr>
              <w:t xml:space="preserve">attiecināms uz </w:t>
            </w:r>
            <w:r w:rsidR="000B7D93" w:rsidRPr="00BB46BB">
              <w:rPr>
                <w:color w:val="000000" w:themeColor="text1"/>
              </w:rPr>
              <w:t>ārstniecības person</w:t>
            </w:r>
            <w:r w:rsidR="00B96377" w:rsidRPr="00BB46BB">
              <w:rPr>
                <w:color w:val="000000" w:themeColor="text1"/>
              </w:rPr>
              <w:t>ām</w:t>
            </w:r>
            <w:r w:rsidR="000B7D93" w:rsidRPr="00BB46BB">
              <w:rPr>
                <w:color w:val="000000" w:themeColor="text1"/>
              </w:rPr>
              <w:t>,</w:t>
            </w:r>
            <w:r w:rsidR="00B96377" w:rsidRPr="00BB46BB">
              <w:rPr>
                <w:color w:val="000000" w:themeColor="text1"/>
              </w:rPr>
              <w:t xml:space="preserve"> ārstniecības iestādēm,</w:t>
            </w:r>
            <w:r w:rsidR="000B7D93" w:rsidRPr="00BB46BB">
              <w:rPr>
                <w:color w:val="000000" w:themeColor="text1"/>
              </w:rPr>
              <w:t xml:space="preserve"> kuras sniedz valsts apmaksātos veselības aprūpes pakalpojumus</w:t>
            </w:r>
            <w:r w:rsidR="00B96377" w:rsidRPr="00BB46BB">
              <w:rPr>
                <w:color w:val="000000" w:themeColor="text1"/>
              </w:rPr>
              <w:t>, kā arī uz Latvijas valsts iedzīvotājiem.</w:t>
            </w:r>
            <w:r w:rsidR="000B7D93" w:rsidRPr="00BB46BB">
              <w:rPr>
                <w:color w:val="000000" w:themeColor="text1"/>
              </w:rPr>
              <w:t xml:space="preserve"> </w:t>
            </w:r>
          </w:p>
        </w:tc>
      </w:tr>
      <w:tr w:rsidR="004B3E3A" w:rsidRPr="00BB46BB" w:rsidTr="004B3E3A">
        <w:tc>
          <w:tcPr>
            <w:tcW w:w="250" w:type="pct"/>
            <w:tcBorders>
              <w:top w:val="outset" w:sz="6" w:space="0" w:color="auto"/>
              <w:right w:val="outset" w:sz="6" w:space="0" w:color="auto"/>
            </w:tcBorders>
          </w:tcPr>
          <w:p w:rsidR="004B3E3A" w:rsidRPr="00BB46BB" w:rsidRDefault="004B3E3A" w:rsidP="00BF6E4D">
            <w:pPr>
              <w:jc w:val="center"/>
              <w:rPr>
                <w:color w:val="000000" w:themeColor="text1"/>
              </w:rPr>
            </w:pPr>
            <w:r w:rsidRPr="00BB46BB">
              <w:rPr>
                <w:color w:val="000000" w:themeColor="text1"/>
              </w:rPr>
              <w:t>2.</w:t>
            </w:r>
          </w:p>
        </w:tc>
        <w:tc>
          <w:tcPr>
            <w:tcW w:w="1242" w:type="pct"/>
            <w:tcBorders>
              <w:top w:val="outset" w:sz="6" w:space="0" w:color="auto"/>
              <w:left w:val="outset" w:sz="6" w:space="0" w:color="auto"/>
              <w:right w:val="outset" w:sz="6" w:space="0" w:color="auto"/>
            </w:tcBorders>
          </w:tcPr>
          <w:p w:rsidR="004B3E3A" w:rsidRPr="00BB46BB" w:rsidRDefault="004B3E3A" w:rsidP="00BF6E4D">
            <w:pPr>
              <w:widowControl w:val="0"/>
              <w:jc w:val="both"/>
              <w:rPr>
                <w:color w:val="000000" w:themeColor="text1"/>
              </w:rPr>
            </w:pPr>
            <w:r w:rsidRPr="00BB46BB">
              <w:rPr>
                <w:color w:val="000000" w:themeColor="text1"/>
              </w:rPr>
              <w:t>Tiesiskā regulējuma ietekme uz tautsaimniecību un administratīvo slogu</w:t>
            </w:r>
          </w:p>
        </w:tc>
        <w:tc>
          <w:tcPr>
            <w:tcW w:w="3508" w:type="pct"/>
            <w:tcBorders>
              <w:top w:val="outset" w:sz="6" w:space="0" w:color="auto"/>
              <w:left w:val="outset" w:sz="6" w:space="0" w:color="auto"/>
            </w:tcBorders>
          </w:tcPr>
          <w:p w:rsidR="004D7BE3" w:rsidRPr="00BB46BB" w:rsidRDefault="00B96377" w:rsidP="00B96377">
            <w:pPr>
              <w:pStyle w:val="naiskr"/>
              <w:spacing w:before="0" w:beforeAutospacing="0" w:after="0" w:afterAutospacing="0"/>
              <w:jc w:val="both"/>
              <w:rPr>
                <w:color w:val="000000" w:themeColor="text1"/>
              </w:rPr>
            </w:pPr>
            <w:r w:rsidRPr="00BB46BB">
              <w:rPr>
                <w:color w:val="000000" w:themeColor="text1"/>
              </w:rPr>
              <w:t xml:space="preserve">Sabiedrības grupām un institūcijām projekta tiesiskais regulējums </w:t>
            </w:r>
            <w:r w:rsidR="00322243" w:rsidRPr="00BB46BB">
              <w:rPr>
                <w:color w:val="000000" w:themeColor="text1"/>
              </w:rPr>
              <w:t xml:space="preserve">pēc būtības </w:t>
            </w:r>
            <w:r w:rsidRPr="00BB46BB">
              <w:rPr>
                <w:color w:val="000000" w:themeColor="text1"/>
              </w:rPr>
              <w:t>nemaina tiesības un pienākumus.</w:t>
            </w:r>
          </w:p>
        </w:tc>
      </w:tr>
      <w:tr w:rsidR="004B3E3A" w:rsidRPr="00BB46BB" w:rsidTr="004B3E3A">
        <w:tc>
          <w:tcPr>
            <w:tcW w:w="250" w:type="pct"/>
            <w:tcBorders>
              <w:top w:val="outset" w:sz="6" w:space="0" w:color="auto"/>
              <w:right w:val="outset" w:sz="6" w:space="0" w:color="auto"/>
            </w:tcBorders>
          </w:tcPr>
          <w:p w:rsidR="004B3E3A" w:rsidRPr="00BB46BB" w:rsidRDefault="004B3E3A" w:rsidP="00BF6E4D">
            <w:pPr>
              <w:pStyle w:val="NormalWeb"/>
              <w:spacing w:before="0" w:beforeAutospacing="0" w:after="0" w:afterAutospacing="0"/>
              <w:rPr>
                <w:color w:val="000000" w:themeColor="text1"/>
              </w:rPr>
            </w:pPr>
            <w:r w:rsidRPr="00BB46BB">
              <w:rPr>
                <w:color w:val="000000" w:themeColor="text1"/>
              </w:rPr>
              <w:t>3.</w:t>
            </w:r>
          </w:p>
        </w:tc>
        <w:tc>
          <w:tcPr>
            <w:tcW w:w="1242" w:type="pct"/>
            <w:tcBorders>
              <w:top w:val="outset" w:sz="6" w:space="0" w:color="auto"/>
              <w:left w:val="outset" w:sz="6" w:space="0" w:color="auto"/>
              <w:right w:val="outset" w:sz="6" w:space="0" w:color="auto"/>
            </w:tcBorders>
          </w:tcPr>
          <w:p w:rsidR="004B3E3A" w:rsidRPr="00BB46BB" w:rsidRDefault="004B3E3A" w:rsidP="005D3CAC">
            <w:pPr>
              <w:pStyle w:val="NormalWeb"/>
              <w:spacing w:before="0" w:beforeAutospacing="0" w:after="0" w:afterAutospacing="0"/>
              <w:jc w:val="both"/>
              <w:rPr>
                <w:color w:val="000000" w:themeColor="text1"/>
              </w:rPr>
            </w:pPr>
            <w:r w:rsidRPr="00BB46BB">
              <w:rPr>
                <w:color w:val="000000" w:themeColor="text1"/>
              </w:rPr>
              <w:t>Administratīvo izmaksu monetārs novērtējums</w:t>
            </w:r>
          </w:p>
        </w:tc>
        <w:tc>
          <w:tcPr>
            <w:tcW w:w="3508" w:type="pct"/>
            <w:tcBorders>
              <w:top w:val="outset" w:sz="6" w:space="0" w:color="auto"/>
              <w:left w:val="outset" w:sz="6" w:space="0" w:color="auto"/>
            </w:tcBorders>
          </w:tcPr>
          <w:p w:rsidR="004B3E3A" w:rsidRPr="00BB46BB" w:rsidRDefault="004C0B74" w:rsidP="003705D7">
            <w:pPr>
              <w:jc w:val="both"/>
              <w:rPr>
                <w:color w:val="000000" w:themeColor="text1"/>
              </w:rPr>
            </w:pPr>
            <w:r w:rsidRPr="00BB46BB">
              <w:rPr>
                <w:color w:val="000000" w:themeColor="text1"/>
              </w:rPr>
              <w:t>Projekts šo jomu neskar</w:t>
            </w:r>
            <w:r w:rsidR="004B3E3A" w:rsidRPr="00BB46BB">
              <w:rPr>
                <w:color w:val="000000" w:themeColor="text1"/>
              </w:rPr>
              <w:t xml:space="preserve"> </w:t>
            </w:r>
          </w:p>
        </w:tc>
      </w:tr>
      <w:tr w:rsidR="004B3E3A" w:rsidRPr="00BB46BB" w:rsidTr="004B3E3A">
        <w:tc>
          <w:tcPr>
            <w:tcW w:w="250" w:type="pct"/>
            <w:tcBorders>
              <w:top w:val="outset" w:sz="6" w:space="0" w:color="auto"/>
              <w:bottom w:val="outset" w:sz="6" w:space="0" w:color="auto"/>
              <w:right w:val="outset" w:sz="6" w:space="0" w:color="auto"/>
            </w:tcBorders>
          </w:tcPr>
          <w:p w:rsidR="004B3E3A" w:rsidRPr="00BB46BB" w:rsidRDefault="004B3E3A" w:rsidP="00BF6E4D">
            <w:pPr>
              <w:pStyle w:val="NormalWeb"/>
              <w:spacing w:before="0" w:beforeAutospacing="0" w:after="0" w:afterAutospacing="0"/>
              <w:rPr>
                <w:color w:val="000000" w:themeColor="text1"/>
              </w:rPr>
            </w:pPr>
            <w:r w:rsidRPr="00BB46BB">
              <w:rPr>
                <w:color w:val="000000" w:themeColor="text1"/>
              </w:rPr>
              <w:t>4.</w:t>
            </w:r>
          </w:p>
        </w:tc>
        <w:tc>
          <w:tcPr>
            <w:tcW w:w="1242" w:type="pct"/>
            <w:tcBorders>
              <w:top w:val="outset" w:sz="6" w:space="0" w:color="auto"/>
              <w:left w:val="outset" w:sz="6" w:space="0" w:color="auto"/>
              <w:bottom w:val="outset" w:sz="6" w:space="0" w:color="auto"/>
              <w:right w:val="outset" w:sz="6" w:space="0" w:color="auto"/>
            </w:tcBorders>
          </w:tcPr>
          <w:p w:rsidR="004B3E3A" w:rsidRPr="00BB46BB" w:rsidRDefault="004B3E3A" w:rsidP="00BF6E4D">
            <w:pPr>
              <w:jc w:val="both"/>
              <w:rPr>
                <w:color w:val="000000" w:themeColor="text1"/>
              </w:rPr>
            </w:pPr>
            <w:r w:rsidRPr="00BB46BB">
              <w:rPr>
                <w:color w:val="000000" w:themeColor="text1"/>
              </w:rPr>
              <w:t>Cita informācija</w:t>
            </w:r>
          </w:p>
        </w:tc>
        <w:tc>
          <w:tcPr>
            <w:tcW w:w="3508" w:type="pct"/>
            <w:tcBorders>
              <w:top w:val="outset" w:sz="6" w:space="0" w:color="auto"/>
              <w:left w:val="outset" w:sz="6" w:space="0" w:color="auto"/>
              <w:bottom w:val="outset" w:sz="6" w:space="0" w:color="auto"/>
            </w:tcBorders>
          </w:tcPr>
          <w:p w:rsidR="004B3E3A" w:rsidRPr="00BB46BB" w:rsidRDefault="004B3E3A" w:rsidP="00BF6E4D">
            <w:pPr>
              <w:widowControl w:val="0"/>
              <w:jc w:val="both"/>
              <w:rPr>
                <w:color w:val="000000" w:themeColor="text1"/>
              </w:rPr>
            </w:pPr>
            <w:r w:rsidRPr="00BB46BB">
              <w:rPr>
                <w:color w:val="000000" w:themeColor="text1"/>
              </w:rPr>
              <w:t>Nav</w:t>
            </w:r>
          </w:p>
        </w:tc>
      </w:tr>
    </w:tbl>
    <w:p w:rsidR="00E24687" w:rsidRPr="00BB46BB" w:rsidRDefault="00E24687" w:rsidP="00BF6E4D">
      <w:pPr>
        <w:jc w:val="both"/>
        <w:rPr>
          <w:color w:val="000000" w:themeColor="text1"/>
          <w:lang w:eastAsia="lv-LV"/>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9"/>
        <w:gridCol w:w="1228"/>
        <w:gridCol w:w="1238"/>
        <w:gridCol w:w="1240"/>
        <w:gridCol w:w="1240"/>
        <w:gridCol w:w="1518"/>
      </w:tblGrid>
      <w:tr w:rsidR="00E3541D" w:rsidRPr="00BB46BB" w:rsidTr="00630D48">
        <w:trPr>
          <w:trHeight w:val="551"/>
        </w:trPr>
        <w:tc>
          <w:tcPr>
            <w:tcW w:w="5000" w:type="pct"/>
            <w:gridSpan w:val="6"/>
            <w:vAlign w:val="center"/>
          </w:tcPr>
          <w:p w:rsidR="00E3541D" w:rsidRPr="00BB46BB" w:rsidRDefault="00E3541D" w:rsidP="00630D48">
            <w:pPr>
              <w:autoSpaceDE w:val="0"/>
              <w:autoSpaceDN w:val="0"/>
              <w:adjustRightInd w:val="0"/>
              <w:jc w:val="center"/>
              <w:rPr>
                <w:b/>
                <w:noProof/>
                <w:color w:val="000000" w:themeColor="text1"/>
              </w:rPr>
            </w:pPr>
            <w:r w:rsidRPr="00BB46BB">
              <w:rPr>
                <w:b/>
                <w:color w:val="000000" w:themeColor="text1"/>
                <w:lang w:eastAsia="lv-LV" w:bidi="lo-LA"/>
              </w:rPr>
              <w:t>III. Tiesību akta projekta ietekme uz valsts budžetu un pašvaldību budžetiem</w:t>
            </w:r>
          </w:p>
        </w:tc>
      </w:tr>
      <w:tr w:rsidR="00E3541D" w:rsidRPr="00BB46BB" w:rsidTr="00630D48">
        <w:tc>
          <w:tcPr>
            <w:tcW w:w="1585" w:type="pct"/>
            <w:vMerge w:val="restart"/>
            <w:vAlign w:val="center"/>
          </w:tcPr>
          <w:p w:rsidR="00E3541D" w:rsidRPr="00BB46BB" w:rsidRDefault="00E3541D" w:rsidP="00630D48">
            <w:pPr>
              <w:autoSpaceDE w:val="0"/>
              <w:autoSpaceDN w:val="0"/>
              <w:adjustRightInd w:val="0"/>
              <w:jc w:val="center"/>
              <w:rPr>
                <w:noProof/>
                <w:color w:val="000000" w:themeColor="text1"/>
              </w:rPr>
            </w:pPr>
            <w:r w:rsidRPr="00BB46BB">
              <w:rPr>
                <w:bCs/>
                <w:color w:val="000000" w:themeColor="text1"/>
                <w:lang w:eastAsia="lv-LV" w:bidi="lo-LA"/>
              </w:rPr>
              <w:t>Rādītāji</w:t>
            </w:r>
          </w:p>
        </w:tc>
        <w:tc>
          <w:tcPr>
            <w:tcW w:w="1303" w:type="pct"/>
            <w:gridSpan w:val="2"/>
            <w:vMerge w:val="restart"/>
            <w:vAlign w:val="center"/>
          </w:tcPr>
          <w:p w:rsidR="00E3541D" w:rsidRPr="00BB46BB" w:rsidRDefault="00E3541D" w:rsidP="00630D48">
            <w:pPr>
              <w:autoSpaceDE w:val="0"/>
              <w:autoSpaceDN w:val="0"/>
              <w:adjustRightInd w:val="0"/>
              <w:jc w:val="center"/>
              <w:rPr>
                <w:b/>
                <w:noProof/>
                <w:color w:val="000000" w:themeColor="text1"/>
              </w:rPr>
            </w:pPr>
            <w:r w:rsidRPr="00BB46BB">
              <w:rPr>
                <w:b/>
                <w:bCs/>
                <w:color w:val="000000" w:themeColor="text1"/>
                <w:lang w:eastAsia="lv-LV" w:bidi="lo-LA"/>
              </w:rPr>
              <w:t>2014.gads</w:t>
            </w:r>
          </w:p>
        </w:tc>
        <w:tc>
          <w:tcPr>
            <w:tcW w:w="2112" w:type="pct"/>
            <w:gridSpan w:val="3"/>
            <w:vAlign w:val="center"/>
          </w:tcPr>
          <w:p w:rsidR="00E3541D" w:rsidRPr="00BB46BB" w:rsidRDefault="00E3541D" w:rsidP="00630D48">
            <w:pPr>
              <w:autoSpaceDE w:val="0"/>
              <w:autoSpaceDN w:val="0"/>
              <w:adjustRightInd w:val="0"/>
              <w:jc w:val="center"/>
              <w:rPr>
                <w:noProof/>
                <w:color w:val="000000" w:themeColor="text1"/>
              </w:rPr>
            </w:pPr>
            <w:r w:rsidRPr="00BB46BB">
              <w:rPr>
                <w:color w:val="000000" w:themeColor="text1"/>
                <w:lang w:eastAsia="lv-LV" w:bidi="lo-LA"/>
              </w:rPr>
              <w:t>Turpmākie trīs gadi (EUR)</w:t>
            </w:r>
          </w:p>
        </w:tc>
      </w:tr>
      <w:tr w:rsidR="00E3541D" w:rsidRPr="00BB46BB" w:rsidTr="00630D48">
        <w:tc>
          <w:tcPr>
            <w:tcW w:w="1585" w:type="pct"/>
            <w:vMerge/>
          </w:tcPr>
          <w:p w:rsidR="00E3541D" w:rsidRPr="00BB46BB" w:rsidRDefault="00E3541D" w:rsidP="00630D48">
            <w:pPr>
              <w:autoSpaceDE w:val="0"/>
              <w:autoSpaceDN w:val="0"/>
              <w:adjustRightInd w:val="0"/>
              <w:jc w:val="center"/>
              <w:rPr>
                <w:noProof/>
                <w:color w:val="000000" w:themeColor="text1"/>
              </w:rPr>
            </w:pPr>
          </w:p>
        </w:tc>
        <w:tc>
          <w:tcPr>
            <w:tcW w:w="1303" w:type="pct"/>
            <w:gridSpan w:val="2"/>
            <w:vMerge/>
            <w:vAlign w:val="center"/>
          </w:tcPr>
          <w:p w:rsidR="00E3541D" w:rsidRPr="00BB46BB" w:rsidRDefault="00E3541D" w:rsidP="00630D48">
            <w:pPr>
              <w:autoSpaceDE w:val="0"/>
              <w:autoSpaceDN w:val="0"/>
              <w:adjustRightInd w:val="0"/>
              <w:jc w:val="center"/>
              <w:rPr>
                <w:noProof/>
                <w:color w:val="000000" w:themeColor="text1"/>
              </w:rPr>
            </w:pPr>
          </w:p>
        </w:tc>
        <w:tc>
          <w:tcPr>
            <w:tcW w:w="655" w:type="pct"/>
            <w:vAlign w:val="center"/>
          </w:tcPr>
          <w:p w:rsidR="00E3541D" w:rsidRPr="00BB46BB" w:rsidRDefault="00E3541D" w:rsidP="00630D48">
            <w:pPr>
              <w:spacing w:before="100" w:beforeAutospacing="1" w:after="100" w:afterAutospacing="1"/>
              <w:jc w:val="center"/>
              <w:rPr>
                <w:b/>
                <w:color w:val="000000" w:themeColor="text1"/>
                <w:lang w:eastAsia="lv-LV" w:bidi="lo-LA"/>
              </w:rPr>
            </w:pPr>
            <w:r w:rsidRPr="00BB46BB">
              <w:rPr>
                <w:b/>
                <w:color w:val="000000" w:themeColor="text1"/>
                <w:lang w:eastAsia="lv-LV" w:bidi="lo-LA"/>
              </w:rPr>
              <w:t>2015.gads</w:t>
            </w:r>
          </w:p>
        </w:tc>
        <w:tc>
          <w:tcPr>
            <w:tcW w:w="655" w:type="pct"/>
            <w:vAlign w:val="center"/>
          </w:tcPr>
          <w:p w:rsidR="00E3541D" w:rsidRPr="00BB46BB" w:rsidRDefault="00E3541D" w:rsidP="00630D48">
            <w:pPr>
              <w:spacing w:before="100" w:beforeAutospacing="1" w:after="100" w:afterAutospacing="1"/>
              <w:jc w:val="center"/>
              <w:rPr>
                <w:b/>
                <w:color w:val="000000" w:themeColor="text1"/>
                <w:lang w:eastAsia="lv-LV" w:bidi="lo-LA"/>
              </w:rPr>
            </w:pPr>
            <w:r w:rsidRPr="00BB46BB">
              <w:rPr>
                <w:b/>
                <w:color w:val="000000" w:themeColor="text1"/>
                <w:lang w:eastAsia="lv-LV" w:bidi="lo-LA"/>
              </w:rPr>
              <w:t>2016.gads</w:t>
            </w:r>
          </w:p>
        </w:tc>
        <w:tc>
          <w:tcPr>
            <w:tcW w:w="802" w:type="pct"/>
            <w:vAlign w:val="center"/>
          </w:tcPr>
          <w:p w:rsidR="00E3541D" w:rsidRPr="00BB46BB" w:rsidRDefault="00E3541D" w:rsidP="00630D48">
            <w:pPr>
              <w:spacing w:before="100" w:beforeAutospacing="1" w:after="100" w:afterAutospacing="1"/>
              <w:jc w:val="center"/>
              <w:rPr>
                <w:b/>
                <w:color w:val="000000" w:themeColor="text1"/>
                <w:lang w:eastAsia="lv-LV" w:bidi="lo-LA"/>
              </w:rPr>
            </w:pPr>
            <w:r w:rsidRPr="00BB46BB">
              <w:rPr>
                <w:b/>
                <w:color w:val="000000" w:themeColor="text1"/>
                <w:lang w:eastAsia="lv-LV" w:bidi="lo-LA"/>
              </w:rPr>
              <w:t>2017.gads</w:t>
            </w:r>
          </w:p>
        </w:tc>
      </w:tr>
      <w:tr w:rsidR="00E3541D" w:rsidRPr="00BB46BB" w:rsidTr="00630D48">
        <w:trPr>
          <w:trHeight w:val="1992"/>
        </w:trPr>
        <w:tc>
          <w:tcPr>
            <w:tcW w:w="1585" w:type="pct"/>
            <w:vMerge/>
          </w:tcPr>
          <w:p w:rsidR="00E3541D" w:rsidRPr="00BB46BB" w:rsidRDefault="00E3541D" w:rsidP="00630D48">
            <w:pPr>
              <w:autoSpaceDE w:val="0"/>
              <w:autoSpaceDN w:val="0"/>
              <w:adjustRightInd w:val="0"/>
              <w:jc w:val="center"/>
              <w:rPr>
                <w:noProof/>
                <w:color w:val="000000" w:themeColor="text1"/>
              </w:rPr>
            </w:pPr>
          </w:p>
        </w:tc>
        <w:tc>
          <w:tcPr>
            <w:tcW w:w="649" w:type="pct"/>
            <w:vAlign w:val="center"/>
          </w:tcPr>
          <w:p w:rsidR="00E3541D" w:rsidRPr="00BB46BB" w:rsidRDefault="00E3541D" w:rsidP="00630D48">
            <w:pPr>
              <w:spacing w:before="100" w:beforeAutospacing="1" w:after="100" w:afterAutospacing="1"/>
              <w:jc w:val="center"/>
              <w:rPr>
                <w:color w:val="000000" w:themeColor="text1"/>
                <w:lang w:eastAsia="lv-LV" w:bidi="lo-LA"/>
              </w:rPr>
            </w:pPr>
            <w:r w:rsidRPr="00BB46BB">
              <w:rPr>
                <w:color w:val="000000" w:themeColor="text1"/>
                <w:lang w:eastAsia="lv-LV" w:bidi="lo-LA"/>
              </w:rPr>
              <w:t>Saskaņā ar valsts budžetu kārtējam gadam</w:t>
            </w:r>
          </w:p>
        </w:tc>
        <w:tc>
          <w:tcPr>
            <w:tcW w:w="654" w:type="pct"/>
            <w:vAlign w:val="center"/>
          </w:tcPr>
          <w:p w:rsidR="00E3541D" w:rsidRPr="00BB46BB" w:rsidRDefault="00E3541D" w:rsidP="00630D48">
            <w:pPr>
              <w:spacing w:before="100" w:beforeAutospacing="1" w:after="100" w:afterAutospacing="1"/>
              <w:ind w:left="-108"/>
              <w:jc w:val="center"/>
              <w:rPr>
                <w:color w:val="000000" w:themeColor="text1"/>
                <w:lang w:eastAsia="lv-LV" w:bidi="lo-LA"/>
              </w:rPr>
            </w:pPr>
            <w:r w:rsidRPr="00BB46BB">
              <w:rPr>
                <w:color w:val="000000" w:themeColor="text1"/>
                <w:lang w:eastAsia="lv-LV" w:bidi="lo-LA"/>
              </w:rPr>
              <w:t>Izmaiņas kārtējā gadā, salīdzinot ar budžetu kārtējam gadam*</w:t>
            </w:r>
          </w:p>
        </w:tc>
        <w:tc>
          <w:tcPr>
            <w:tcW w:w="655" w:type="pct"/>
            <w:vAlign w:val="center"/>
          </w:tcPr>
          <w:p w:rsidR="00E3541D" w:rsidRPr="00BB46BB" w:rsidRDefault="00E3541D" w:rsidP="00630D48">
            <w:pPr>
              <w:spacing w:before="75" w:after="75"/>
              <w:jc w:val="center"/>
              <w:rPr>
                <w:color w:val="000000" w:themeColor="text1"/>
              </w:rPr>
            </w:pPr>
            <w:r w:rsidRPr="00BB46BB">
              <w:rPr>
                <w:color w:val="000000" w:themeColor="text1"/>
              </w:rPr>
              <w:t> Izmaiņas, salīdzinot ar kārtējo (n) gadu</w:t>
            </w:r>
          </w:p>
        </w:tc>
        <w:tc>
          <w:tcPr>
            <w:tcW w:w="655" w:type="pct"/>
            <w:vAlign w:val="center"/>
          </w:tcPr>
          <w:p w:rsidR="00E3541D" w:rsidRPr="00BB46BB" w:rsidRDefault="00E3541D" w:rsidP="00630D48">
            <w:pPr>
              <w:spacing w:before="75" w:after="75"/>
              <w:jc w:val="center"/>
              <w:rPr>
                <w:color w:val="000000" w:themeColor="text1"/>
              </w:rPr>
            </w:pPr>
            <w:r w:rsidRPr="00BB46BB">
              <w:rPr>
                <w:color w:val="000000" w:themeColor="text1"/>
              </w:rPr>
              <w:t> Izmaiņas, salīdzinot ar kārtējo (n) gadu</w:t>
            </w:r>
          </w:p>
        </w:tc>
        <w:tc>
          <w:tcPr>
            <w:tcW w:w="802" w:type="pct"/>
            <w:vAlign w:val="center"/>
          </w:tcPr>
          <w:p w:rsidR="00E3541D" w:rsidRPr="00BB46BB" w:rsidRDefault="00E3541D" w:rsidP="00630D48">
            <w:pPr>
              <w:spacing w:before="75" w:after="75"/>
              <w:jc w:val="center"/>
              <w:rPr>
                <w:color w:val="000000" w:themeColor="text1"/>
              </w:rPr>
            </w:pPr>
            <w:r w:rsidRPr="00BB46BB">
              <w:rPr>
                <w:color w:val="000000" w:themeColor="text1"/>
              </w:rPr>
              <w:t> Izmaiņas, salīdzinot ar kārtējo (n) gadu</w:t>
            </w:r>
          </w:p>
        </w:tc>
      </w:tr>
      <w:tr w:rsidR="00E3541D" w:rsidRPr="00BB46BB" w:rsidTr="00630D48">
        <w:tc>
          <w:tcPr>
            <w:tcW w:w="1585" w:type="pct"/>
          </w:tcPr>
          <w:p w:rsidR="00E3541D" w:rsidRPr="00BB46BB" w:rsidRDefault="00E3541D" w:rsidP="00630D48">
            <w:pPr>
              <w:spacing w:before="100" w:beforeAutospacing="1" w:after="100" w:afterAutospacing="1"/>
              <w:rPr>
                <w:b/>
                <w:color w:val="000000" w:themeColor="text1"/>
                <w:lang w:eastAsia="lv-LV" w:bidi="lo-LA"/>
              </w:rPr>
            </w:pPr>
            <w:r w:rsidRPr="00BB46BB">
              <w:rPr>
                <w:b/>
                <w:color w:val="000000" w:themeColor="text1"/>
                <w:lang w:eastAsia="lv-LV" w:bidi="lo-LA"/>
              </w:rPr>
              <w:t> 1. Budžeta ieņēmumi:</w:t>
            </w:r>
          </w:p>
        </w:tc>
        <w:tc>
          <w:tcPr>
            <w:tcW w:w="649" w:type="pct"/>
            <w:vAlign w:val="center"/>
          </w:tcPr>
          <w:p w:rsidR="00E3541D" w:rsidRPr="00BB46BB" w:rsidRDefault="00E3541D" w:rsidP="00630D48">
            <w:pPr>
              <w:jc w:val="right"/>
              <w:rPr>
                <w:b/>
                <w:bCs/>
                <w:color w:val="000000" w:themeColor="text1"/>
                <w:sz w:val="20"/>
                <w:szCs w:val="20"/>
              </w:rPr>
            </w:pPr>
            <w:r w:rsidRPr="00BB46BB">
              <w:rPr>
                <w:b/>
                <w:bCs/>
                <w:color w:val="000000" w:themeColor="text1"/>
                <w:sz w:val="20"/>
                <w:szCs w:val="20"/>
              </w:rPr>
              <w:t>481 016 531</w:t>
            </w:r>
          </w:p>
        </w:tc>
        <w:tc>
          <w:tcPr>
            <w:tcW w:w="654" w:type="pct"/>
            <w:vAlign w:val="center"/>
          </w:tcPr>
          <w:p w:rsidR="00E3541D" w:rsidRPr="00BB46BB" w:rsidRDefault="00E3541D" w:rsidP="00630D48">
            <w:pPr>
              <w:jc w:val="right"/>
              <w:rPr>
                <w:b/>
                <w:bCs/>
                <w:color w:val="000000" w:themeColor="text1"/>
                <w:sz w:val="20"/>
                <w:szCs w:val="20"/>
              </w:rPr>
            </w:pPr>
            <w:r w:rsidRPr="00BB46BB">
              <w:rPr>
                <w:b/>
                <w:bCs/>
                <w:color w:val="000000" w:themeColor="text1"/>
                <w:sz w:val="20"/>
                <w:szCs w:val="20"/>
              </w:rPr>
              <w:t>5 669 649</w:t>
            </w:r>
          </w:p>
        </w:tc>
        <w:tc>
          <w:tcPr>
            <w:tcW w:w="655" w:type="pct"/>
            <w:vAlign w:val="center"/>
          </w:tcPr>
          <w:p w:rsidR="00E3541D" w:rsidRPr="00BB46BB" w:rsidRDefault="00E3541D" w:rsidP="00630D48">
            <w:pPr>
              <w:jc w:val="right"/>
              <w:rPr>
                <w:b/>
                <w:bCs/>
                <w:color w:val="000000" w:themeColor="text1"/>
                <w:sz w:val="20"/>
                <w:szCs w:val="20"/>
              </w:rPr>
            </w:pPr>
            <w:r w:rsidRPr="00BB46BB">
              <w:rPr>
                <w:b/>
                <w:bCs/>
                <w:color w:val="000000" w:themeColor="text1"/>
                <w:sz w:val="20"/>
                <w:szCs w:val="20"/>
              </w:rPr>
              <w:t>25 785 883</w:t>
            </w:r>
          </w:p>
        </w:tc>
        <w:tc>
          <w:tcPr>
            <w:tcW w:w="655" w:type="pct"/>
          </w:tcPr>
          <w:p w:rsidR="00E3541D" w:rsidRPr="00BB46BB" w:rsidRDefault="00E3541D" w:rsidP="00630D48">
            <w:pPr>
              <w:jc w:val="right"/>
              <w:rPr>
                <w:b/>
                <w:color w:val="000000" w:themeColor="text1"/>
                <w:sz w:val="20"/>
                <w:szCs w:val="20"/>
              </w:rPr>
            </w:pPr>
            <w:r w:rsidRPr="00BB46BB">
              <w:rPr>
                <w:b/>
                <w:bCs/>
                <w:color w:val="000000" w:themeColor="text1"/>
                <w:sz w:val="20"/>
                <w:szCs w:val="20"/>
              </w:rPr>
              <w:t>25 790 979</w:t>
            </w:r>
          </w:p>
        </w:tc>
        <w:tc>
          <w:tcPr>
            <w:tcW w:w="802" w:type="pct"/>
          </w:tcPr>
          <w:p w:rsidR="00E3541D" w:rsidRPr="00BB46BB" w:rsidRDefault="00E3541D" w:rsidP="00630D48">
            <w:pPr>
              <w:jc w:val="right"/>
              <w:rPr>
                <w:b/>
                <w:color w:val="000000" w:themeColor="text1"/>
                <w:sz w:val="20"/>
                <w:szCs w:val="20"/>
              </w:rPr>
            </w:pPr>
            <w:r w:rsidRPr="00BB46BB">
              <w:rPr>
                <w:b/>
                <w:bCs/>
                <w:color w:val="000000" w:themeColor="text1"/>
                <w:sz w:val="20"/>
                <w:szCs w:val="20"/>
              </w:rPr>
              <w:t>25 790 979</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1.1. valsts pamatbudžets, tai skaitā ieņēmumi no maksas pakalpojumiem un citi pašu ieņēmumi</w:t>
            </w:r>
          </w:p>
        </w:tc>
        <w:tc>
          <w:tcPr>
            <w:tcW w:w="649" w:type="pct"/>
            <w:vAlign w:val="center"/>
          </w:tcPr>
          <w:p w:rsidR="00B162B4" w:rsidRPr="00BB46BB" w:rsidRDefault="00B162B4" w:rsidP="00B162B4">
            <w:pPr>
              <w:jc w:val="right"/>
              <w:rPr>
                <w:color w:val="000000" w:themeColor="text1"/>
                <w:sz w:val="20"/>
                <w:szCs w:val="20"/>
              </w:rPr>
            </w:pPr>
            <w:r w:rsidRPr="00BB46BB">
              <w:rPr>
                <w:color w:val="000000" w:themeColor="text1"/>
                <w:sz w:val="20"/>
                <w:szCs w:val="20"/>
              </w:rPr>
              <w:t>479 929 457</w:t>
            </w: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1 087 074</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5 669 649</w:t>
            </w: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tcPr>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25 785 883</w:t>
            </w: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0,0</w:t>
            </w: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p>
        </w:tc>
        <w:tc>
          <w:tcPr>
            <w:tcW w:w="655" w:type="pct"/>
          </w:tcPr>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25 790 979</w:t>
            </w: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tcPr>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25 790 979</w:t>
            </w:r>
          </w:p>
          <w:p w:rsidR="00E3541D" w:rsidRPr="00BB46BB" w:rsidRDefault="00E3541D" w:rsidP="00630D48">
            <w:pPr>
              <w:jc w:val="right"/>
              <w:rPr>
                <w:color w:val="000000" w:themeColor="text1"/>
                <w:sz w:val="20"/>
                <w:szCs w:val="20"/>
              </w:rPr>
            </w:pPr>
          </w:p>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40" w:after="40"/>
              <w:rPr>
                <w:color w:val="000000" w:themeColor="text1"/>
              </w:rPr>
            </w:pPr>
            <w:r w:rsidRPr="00BB46BB">
              <w:rPr>
                <w:color w:val="000000" w:themeColor="text1"/>
              </w:rPr>
              <w:t xml:space="preserve"> Ieņēmumi no maksas pakalpojumiem un citi pašu ieņēmumi</w:t>
            </w:r>
          </w:p>
        </w:tc>
        <w:tc>
          <w:tcPr>
            <w:tcW w:w="649"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1 087 074</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40" w:after="40"/>
              <w:rPr>
                <w:color w:val="000000" w:themeColor="text1"/>
              </w:rPr>
            </w:pPr>
            <w:r w:rsidRPr="00BB46BB">
              <w:rPr>
                <w:color w:val="000000" w:themeColor="text1"/>
              </w:rPr>
              <w:t xml:space="preserve">Dotācija no vispārējiem </w:t>
            </w:r>
            <w:r w:rsidRPr="00BB46BB">
              <w:rPr>
                <w:color w:val="000000" w:themeColor="text1"/>
              </w:rPr>
              <w:lastRenderedPageBreak/>
              <w:t>ieņēmumiem</w:t>
            </w:r>
          </w:p>
        </w:tc>
        <w:tc>
          <w:tcPr>
            <w:tcW w:w="649" w:type="pct"/>
            <w:vAlign w:val="center"/>
          </w:tcPr>
          <w:p w:rsidR="00E3541D" w:rsidRPr="00BB46BB" w:rsidRDefault="00B162B4" w:rsidP="00B162B4">
            <w:pPr>
              <w:jc w:val="right"/>
              <w:rPr>
                <w:color w:val="000000" w:themeColor="text1"/>
                <w:sz w:val="20"/>
                <w:szCs w:val="20"/>
              </w:rPr>
            </w:pPr>
            <w:r w:rsidRPr="00BB46BB">
              <w:rPr>
                <w:color w:val="000000" w:themeColor="text1"/>
                <w:sz w:val="20"/>
                <w:szCs w:val="20"/>
              </w:rPr>
              <w:lastRenderedPageBreak/>
              <w:t>479 929 457</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5 422 249</w:t>
            </w:r>
          </w:p>
        </w:tc>
        <w:tc>
          <w:tcPr>
            <w:tcW w:w="655" w:type="pct"/>
            <w:vAlign w:val="center"/>
          </w:tcPr>
          <w:p w:rsidR="00E3541D" w:rsidRPr="00BB46BB" w:rsidRDefault="00E3541D" w:rsidP="00630D48">
            <w:pPr>
              <w:jc w:val="right"/>
              <w:rPr>
                <w:bCs/>
                <w:color w:val="000000" w:themeColor="text1"/>
                <w:sz w:val="20"/>
                <w:szCs w:val="20"/>
              </w:rPr>
            </w:pPr>
            <w:r w:rsidRPr="00BB46BB">
              <w:rPr>
                <w:bCs/>
                <w:color w:val="000000" w:themeColor="text1"/>
                <w:sz w:val="20"/>
                <w:szCs w:val="20"/>
              </w:rPr>
              <w:t>25 785 883</w:t>
            </w:r>
          </w:p>
        </w:tc>
        <w:tc>
          <w:tcPr>
            <w:tcW w:w="655" w:type="pct"/>
          </w:tcPr>
          <w:p w:rsidR="00E3541D" w:rsidRPr="00BB46BB" w:rsidRDefault="00E3541D" w:rsidP="00630D48">
            <w:pPr>
              <w:jc w:val="right"/>
              <w:rPr>
                <w:bCs/>
                <w:color w:val="000000" w:themeColor="text1"/>
                <w:sz w:val="20"/>
                <w:szCs w:val="20"/>
              </w:rPr>
            </w:pPr>
          </w:p>
          <w:p w:rsidR="00E3541D" w:rsidRPr="00BB46BB" w:rsidRDefault="00E3541D" w:rsidP="00630D48">
            <w:pPr>
              <w:jc w:val="right"/>
              <w:rPr>
                <w:color w:val="000000" w:themeColor="text1"/>
                <w:sz w:val="20"/>
                <w:szCs w:val="20"/>
              </w:rPr>
            </w:pPr>
            <w:r w:rsidRPr="00BB46BB">
              <w:rPr>
                <w:bCs/>
                <w:color w:val="000000" w:themeColor="text1"/>
                <w:sz w:val="20"/>
                <w:szCs w:val="20"/>
              </w:rPr>
              <w:lastRenderedPageBreak/>
              <w:t>25 790 979</w:t>
            </w:r>
          </w:p>
        </w:tc>
        <w:tc>
          <w:tcPr>
            <w:tcW w:w="802" w:type="pct"/>
          </w:tcPr>
          <w:p w:rsidR="00E3541D" w:rsidRPr="00BB46BB" w:rsidRDefault="00E3541D" w:rsidP="00630D48">
            <w:pPr>
              <w:jc w:val="right"/>
              <w:rPr>
                <w:bCs/>
                <w:color w:val="000000" w:themeColor="text1"/>
                <w:sz w:val="20"/>
                <w:szCs w:val="20"/>
              </w:rPr>
            </w:pPr>
          </w:p>
          <w:p w:rsidR="00E3541D" w:rsidRPr="00BB46BB" w:rsidRDefault="00E3541D" w:rsidP="00630D48">
            <w:pPr>
              <w:jc w:val="right"/>
              <w:rPr>
                <w:color w:val="000000" w:themeColor="text1"/>
                <w:sz w:val="20"/>
                <w:szCs w:val="20"/>
              </w:rPr>
            </w:pPr>
            <w:r w:rsidRPr="00BB46BB">
              <w:rPr>
                <w:bCs/>
                <w:color w:val="000000" w:themeColor="text1"/>
                <w:sz w:val="20"/>
                <w:szCs w:val="20"/>
              </w:rPr>
              <w:lastRenderedPageBreak/>
              <w:t>25 790 979</w:t>
            </w:r>
          </w:p>
        </w:tc>
      </w:tr>
      <w:tr w:rsidR="00E3541D" w:rsidRPr="00BB46BB" w:rsidTr="00630D48">
        <w:tc>
          <w:tcPr>
            <w:tcW w:w="1585" w:type="pct"/>
          </w:tcPr>
          <w:p w:rsidR="00E3541D" w:rsidRPr="00BB46BB" w:rsidRDefault="00E3541D" w:rsidP="00630D48">
            <w:pPr>
              <w:spacing w:before="40" w:after="40"/>
              <w:rPr>
                <w:color w:val="000000" w:themeColor="text1"/>
              </w:rPr>
            </w:pPr>
            <w:r w:rsidRPr="00BB46BB">
              <w:rPr>
                <w:noProof/>
                <w:color w:val="000000" w:themeColor="text1"/>
              </w:rPr>
              <w:lastRenderedPageBreak/>
              <w:t>Valsts budžeta iestāžu saņemtie transferti no savas ministrijas padotībā esošām valsts budžeta daļēji finansētām atvasinātām publiskām personām un budžeta nefinansētām iestādēm</w:t>
            </w:r>
          </w:p>
        </w:tc>
        <w:tc>
          <w:tcPr>
            <w:tcW w:w="649"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247 400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1.2. valsts speciālais budžets</w:t>
            </w:r>
          </w:p>
        </w:tc>
        <w:tc>
          <w:tcPr>
            <w:tcW w:w="649"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1.3. pašvaldību budžets</w:t>
            </w:r>
          </w:p>
        </w:tc>
        <w:tc>
          <w:tcPr>
            <w:tcW w:w="649"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rPr>
                <w:b/>
                <w:color w:val="000000" w:themeColor="text1"/>
                <w:lang w:eastAsia="lv-LV" w:bidi="lo-LA"/>
              </w:rPr>
            </w:pPr>
            <w:r w:rsidRPr="00BB46BB">
              <w:rPr>
                <w:b/>
                <w:color w:val="000000" w:themeColor="text1"/>
                <w:lang w:eastAsia="lv-LV" w:bidi="lo-LA"/>
              </w:rPr>
              <w:t> 2. Budžeta izdevumi:</w:t>
            </w:r>
          </w:p>
        </w:tc>
        <w:tc>
          <w:tcPr>
            <w:tcW w:w="649" w:type="pct"/>
            <w:vAlign w:val="center"/>
          </w:tcPr>
          <w:p w:rsidR="00E3541D" w:rsidRPr="00BB46BB" w:rsidRDefault="00E3541D" w:rsidP="00630D48">
            <w:pPr>
              <w:jc w:val="right"/>
              <w:rPr>
                <w:b/>
                <w:bCs/>
                <w:color w:val="000000" w:themeColor="text1"/>
                <w:sz w:val="20"/>
                <w:szCs w:val="20"/>
              </w:rPr>
            </w:pPr>
            <w:r w:rsidRPr="00BB46BB">
              <w:rPr>
                <w:b/>
                <w:bCs/>
                <w:color w:val="000000" w:themeColor="text1"/>
                <w:sz w:val="20"/>
                <w:szCs w:val="20"/>
              </w:rPr>
              <w:t>481 016 531</w:t>
            </w:r>
          </w:p>
        </w:tc>
        <w:tc>
          <w:tcPr>
            <w:tcW w:w="654" w:type="pct"/>
            <w:vAlign w:val="center"/>
          </w:tcPr>
          <w:p w:rsidR="00E3541D" w:rsidRPr="00BB46BB" w:rsidRDefault="00E3541D" w:rsidP="00630D48">
            <w:pPr>
              <w:jc w:val="right"/>
              <w:rPr>
                <w:b/>
                <w:bCs/>
                <w:color w:val="000000" w:themeColor="text1"/>
                <w:sz w:val="20"/>
                <w:szCs w:val="20"/>
              </w:rPr>
            </w:pPr>
            <w:r w:rsidRPr="00BB46BB">
              <w:rPr>
                <w:b/>
                <w:bCs/>
                <w:color w:val="000000" w:themeColor="text1"/>
                <w:sz w:val="20"/>
                <w:szCs w:val="20"/>
              </w:rPr>
              <w:t>5 825 713</w:t>
            </w:r>
          </w:p>
        </w:tc>
        <w:tc>
          <w:tcPr>
            <w:tcW w:w="655" w:type="pct"/>
            <w:vAlign w:val="center"/>
          </w:tcPr>
          <w:p w:rsidR="00E3541D" w:rsidRPr="00BB46BB" w:rsidRDefault="00E3541D" w:rsidP="00630D48">
            <w:pPr>
              <w:jc w:val="right"/>
              <w:rPr>
                <w:b/>
                <w:bCs/>
                <w:color w:val="000000" w:themeColor="text1"/>
                <w:sz w:val="20"/>
                <w:szCs w:val="20"/>
              </w:rPr>
            </w:pPr>
            <w:r w:rsidRPr="00BB46BB">
              <w:rPr>
                <w:b/>
                <w:bCs/>
                <w:color w:val="000000" w:themeColor="text1"/>
                <w:sz w:val="20"/>
                <w:szCs w:val="20"/>
              </w:rPr>
              <w:t>25 785 883</w:t>
            </w:r>
          </w:p>
        </w:tc>
        <w:tc>
          <w:tcPr>
            <w:tcW w:w="655" w:type="pct"/>
          </w:tcPr>
          <w:p w:rsidR="00E3541D" w:rsidRPr="00BB46BB" w:rsidRDefault="00E3541D" w:rsidP="00630D48">
            <w:pPr>
              <w:jc w:val="right"/>
              <w:rPr>
                <w:b/>
                <w:color w:val="000000" w:themeColor="text1"/>
                <w:sz w:val="20"/>
                <w:szCs w:val="20"/>
              </w:rPr>
            </w:pPr>
            <w:r w:rsidRPr="00BB46BB">
              <w:rPr>
                <w:b/>
                <w:bCs/>
                <w:color w:val="000000" w:themeColor="text1"/>
                <w:sz w:val="20"/>
                <w:szCs w:val="20"/>
              </w:rPr>
              <w:t>25 790 979</w:t>
            </w:r>
          </w:p>
        </w:tc>
        <w:tc>
          <w:tcPr>
            <w:tcW w:w="802" w:type="pct"/>
          </w:tcPr>
          <w:p w:rsidR="00E3541D" w:rsidRPr="00BB46BB" w:rsidRDefault="00E3541D" w:rsidP="00630D48">
            <w:pPr>
              <w:jc w:val="right"/>
              <w:rPr>
                <w:b/>
                <w:color w:val="000000" w:themeColor="text1"/>
                <w:sz w:val="20"/>
                <w:szCs w:val="20"/>
              </w:rPr>
            </w:pPr>
            <w:r w:rsidRPr="00BB46BB">
              <w:rPr>
                <w:b/>
                <w:bCs/>
                <w:color w:val="000000" w:themeColor="text1"/>
                <w:sz w:val="20"/>
                <w:szCs w:val="20"/>
              </w:rPr>
              <w:t>25 790 979</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2.1. valsts pamatbudžets</w:t>
            </w:r>
          </w:p>
        </w:tc>
        <w:tc>
          <w:tcPr>
            <w:tcW w:w="649" w:type="pct"/>
            <w:vAlign w:val="center"/>
          </w:tcPr>
          <w:p w:rsidR="00E3541D" w:rsidRPr="00BB46BB" w:rsidRDefault="00E3541D" w:rsidP="00630D48">
            <w:pPr>
              <w:jc w:val="right"/>
              <w:rPr>
                <w:bCs/>
                <w:color w:val="000000" w:themeColor="text1"/>
                <w:sz w:val="20"/>
                <w:szCs w:val="20"/>
              </w:rPr>
            </w:pPr>
            <w:r w:rsidRPr="00BB46BB">
              <w:rPr>
                <w:bCs/>
                <w:color w:val="000000" w:themeColor="text1"/>
                <w:sz w:val="20"/>
                <w:szCs w:val="20"/>
              </w:rPr>
              <w:t>481 016 531</w:t>
            </w:r>
          </w:p>
        </w:tc>
        <w:tc>
          <w:tcPr>
            <w:tcW w:w="654" w:type="pct"/>
            <w:vAlign w:val="center"/>
          </w:tcPr>
          <w:p w:rsidR="00E3541D" w:rsidRPr="00BB46BB" w:rsidRDefault="00E3541D" w:rsidP="00630D48">
            <w:pPr>
              <w:jc w:val="right"/>
              <w:rPr>
                <w:bCs/>
                <w:color w:val="000000" w:themeColor="text1"/>
                <w:sz w:val="20"/>
                <w:szCs w:val="20"/>
              </w:rPr>
            </w:pPr>
            <w:r w:rsidRPr="00BB46BB">
              <w:rPr>
                <w:bCs/>
                <w:color w:val="000000" w:themeColor="text1"/>
                <w:sz w:val="20"/>
                <w:szCs w:val="20"/>
              </w:rPr>
              <w:t>5 825 713</w:t>
            </w:r>
          </w:p>
        </w:tc>
        <w:tc>
          <w:tcPr>
            <w:tcW w:w="655" w:type="pct"/>
            <w:vAlign w:val="center"/>
          </w:tcPr>
          <w:p w:rsidR="00E3541D" w:rsidRPr="00BB46BB" w:rsidRDefault="00E3541D" w:rsidP="00630D48">
            <w:pPr>
              <w:jc w:val="right"/>
              <w:rPr>
                <w:bCs/>
                <w:color w:val="000000" w:themeColor="text1"/>
                <w:sz w:val="20"/>
                <w:szCs w:val="20"/>
              </w:rPr>
            </w:pPr>
            <w:r w:rsidRPr="00BB46BB">
              <w:rPr>
                <w:bCs/>
                <w:color w:val="000000" w:themeColor="text1"/>
                <w:sz w:val="20"/>
                <w:szCs w:val="20"/>
              </w:rPr>
              <w:t>25 785 883</w:t>
            </w:r>
          </w:p>
        </w:tc>
        <w:tc>
          <w:tcPr>
            <w:tcW w:w="655" w:type="pct"/>
          </w:tcPr>
          <w:p w:rsidR="00E3541D" w:rsidRPr="00BB46BB" w:rsidRDefault="00E3541D" w:rsidP="00630D48">
            <w:pPr>
              <w:jc w:val="right"/>
              <w:rPr>
                <w:color w:val="000000" w:themeColor="text1"/>
                <w:sz w:val="20"/>
                <w:szCs w:val="20"/>
              </w:rPr>
            </w:pPr>
            <w:r w:rsidRPr="00BB46BB">
              <w:rPr>
                <w:bCs/>
                <w:color w:val="000000" w:themeColor="text1"/>
                <w:sz w:val="20"/>
                <w:szCs w:val="20"/>
              </w:rPr>
              <w:t>25 790 979</w:t>
            </w:r>
          </w:p>
        </w:tc>
        <w:tc>
          <w:tcPr>
            <w:tcW w:w="802" w:type="pct"/>
          </w:tcPr>
          <w:p w:rsidR="00E3541D" w:rsidRPr="00BB46BB" w:rsidRDefault="00E3541D" w:rsidP="00630D48">
            <w:pPr>
              <w:jc w:val="right"/>
              <w:rPr>
                <w:color w:val="000000" w:themeColor="text1"/>
                <w:sz w:val="20"/>
                <w:szCs w:val="20"/>
              </w:rPr>
            </w:pPr>
            <w:r w:rsidRPr="00BB46BB">
              <w:rPr>
                <w:bCs/>
                <w:color w:val="000000" w:themeColor="text1"/>
                <w:sz w:val="20"/>
                <w:szCs w:val="20"/>
              </w:rPr>
              <w:t>25 790 979</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2.2. valsts speciālais budžets</w:t>
            </w:r>
          </w:p>
        </w:tc>
        <w:tc>
          <w:tcPr>
            <w:tcW w:w="649"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2.3. pašvaldību budžets</w:t>
            </w:r>
          </w:p>
        </w:tc>
        <w:tc>
          <w:tcPr>
            <w:tcW w:w="649"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rPr>
                <w:b/>
                <w:color w:val="000000" w:themeColor="text1"/>
                <w:lang w:eastAsia="lv-LV" w:bidi="lo-LA"/>
              </w:rPr>
            </w:pPr>
            <w:r w:rsidRPr="00BB46BB">
              <w:rPr>
                <w:b/>
                <w:color w:val="000000" w:themeColor="text1"/>
                <w:lang w:eastAsia="lv-LV" w:bidi="lo-LA"/>
              </w:rPr>
              <w:t> 3. Finansiālā ietekme:</w:t>
            </w:r>
          </w:p>
        </w:tc>
        <w:tc>
          <w:tcPr>
            <w:tcW w:w="649" w:type="pct"/>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tcPr>
          <w:p w:rsidR="00E3541D" w:rsidRPr="00BB46BB" w:rsidRDefault="00E3541D" w:rsidP="00630D48">
            <w:pPr>
              <w:jc w:val="right"/>
              <w:rPr>
                <w:b/>
                <w:color w:val="000000" w:themeColor="text1"/>
                <w:sz w:val="20"/>
                <w:szCs w:val="20"/>
              </w:rPr>
            </w:pPr>
            <w:r w:rsidRPr="00BB46BB">
              <w:rPr>
                <w:b/>
                <w:color w:val="000000" w:themeColor="text1"/>
                <w:sz w:val="20"/>
                <w:szCs w:val="20"/>
              </w:rPr>
              <w:t>- 156 064</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3.1. valsts pamatbudžets</w:t>
            </w:r>
          </w:p>
        </w:tc>
        <w:tc>
          <w:tcPr>
            <w:tcW w:w="649" w:type="pct"/>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tcPr>
          <w:p w:rsidR="00E3541D" w:rsidRPr="00BB46BB" w:rsidRDefault="00E3541D" w:rsidP="00630D48">
            <w:pPr>
              <w:jc w:val="right"/>
              <w:rPr>
                <w:color w:val="000000" w:themeColor="text1"/>
                <w:sz w:val="20"/>
                <w:szCs w:val="20"/>
              </w:rPr>
            </w:pPr>
            <w:r w:rsidRPr="00BB46BB">
              <w:rPr>
                <w:color w:val="000000" w:themeColor="text1"/>
                <w:sz w:val="20"/>
                <w:szCs w:val="20"/>
              </w:rPr>
              <w:t>- 156 064</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3.2. speciālais budžets</w:t>
            </w:r>
          </w:p>
        </w:tc>
        <w:tc>
          <w:tcPr>
            <w:tcW w:w="649"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Borders>
              <w:bottom w:val="single" w:sz="4" w:space="0" w:color="auto"/>
            </w:tcBorders>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3.3. pašvaldību budžets</w:t>
            </w:r>
          </w:p>
        </w:tc>
        <w:tc>
          <w:tcPr>
            <w:tcW w:w="649" w:type="pct"/>
            <w:tcBorders>
              <w:bottom w:val="single" w:sz="4" w:space="0" w:color="auto"/>
            </w:tcBorders>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4" w:type="pct"/>
            <w:tcBorders>
              <w:bottom w:val="single" w:sz="4" w:space="0" w:color="auto"/>
            </w:tcBorders>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rPr>
          <w:trHeight w:val="125"/>
        </w:trPr>
        <w:tc>
          <w:tcPr>
            <w:tcW w:w="1585" w:type="pct"/>
            <w:vMerge w:val="restart"/>
            <w:tcBorders>
              <w:top w:val="single" w:sz="4" w:space="0" w:color="auto"/>
              <w:left w:val="single" w:sz="4" w:space="0" w:color="auto"/>
              <w:bottom w:val="single" w:sz="4" w:space="0" w:color="auto"/>
              <w:right w:val="single" w:sz="4" w:space="0" w:color="auto"/>
            </w:tcBorders>
          </w:tcPr>
          <w:p w:rsidR="00E3541D" w:rsidRPr="00BB46BB" w:rsidRDefault="00E3541D" w:rsidP="00630D48">
            <w:pPr>
              <w:spacing w:before="100" w:beforeAutospacing="1" w:after="100" w:afterAutospacing="1"/>
              <w:rPr>
                <w:color w:val="000000" w:themeColor="text1"/>
                <w:lang w:eastAsia="lv-LV" w:bidi="lo-LA"/>
              </w:rPr>
            </w:pPr>
            <w:r w:rsidRPr="00BB46BB">
              <w:rPr>
                <w:color w:val="000000" w:themeColor="text1"/>
                <w:lang w:eastAsia="lv-LV" w:bidi="lo-LA"/>
              </w:rPr>
              <w:t> 4. Finanšu līdzekļi papildu izde</w:t>
            </w:r>
            <w:r w:rsidRPr="00BB46BB">
              <w:rPr>
                <w:color w:val="000000" w:themeColor="text1"/>
                <w:lang w:eastAsia="lv-LV" w:bidi="lo-LA"/>
              </w:rPr>
              <w:softHyphen/>
              <w:t>vumu finansēšanai (kompensējošu izdevumu samazinājumu norāda ar "+" zīmi)</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E3541D" w:rsidRPr="00BB46BB" w:rsidRDefault="00E3541D" w:rsidP="00630D48">
            <w:pPr>
              <w:autoSpaceDE w:val="0"/>
              <w:autoSpaceDN w:val="0"/>
              <w:adjustRightInd w:val="0"/>
              <w:jc w:val="right"/>
              <w:rPr>
                <w:noProof/>
                <w:color w:val="000000" w:themeColor="text1"/>
                <w:sz w:val="20"/>
                <w:szCs w:val="20"/>
              </w:rPr>
            </w:pPr>
            <w:r w:rsidRPr="00BB46BB">
              <w:rPr>
                <w:noProof/>
                <w:color w:val="000000" w:themeColor="text1"/>
                <w:sz w:val="20"/>
                <w:szCs w:val="20"/>
              </w:rPr>
              <w:t>X</w:t>
            </w:r>
          </w:p>
        </w:tc>
        <w:tc>
          <w:tcPr>
            <w:tcW w:w="654" w:type="pct"/>
            <w:tcBorders>
              <w:top w:val="single" w:sz="4" w:space="0" w:color="auto"/>
              <w:left w:val="single" w:sz="4" w:space="0" w:color="auto"/>
              <w:bottom w:val="single" w:sz="4" w:space="0" w:color="auto"/>
              <w:right w:val="single" w:sz="4" w:space="0" w:color="auto"/>
            </w:tcBorders>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tcBorders>
              <w:left w:val="single" w:sz="4" w:space="0" w:color="auto"/>
            </w:tcBorders>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rPr>
          <w:trHeight w:val="293"/>
        </w:trPr>
        <w:tc>
          <w:tcPr>
            <w:tcW w:w="1585" w:type="pct"/>
            <w:vMerge/>
            <w:tcBorders>
              <w:top w:val="single" w:sz="4" w:space="0" w:color="auto"/>
              <w:left w:val="single" w:sz="4" w:space="0" w:color="auto"/>
              <w:bottom w:val="single" w:sz="4" w:space="0" w:color="auto"/>
              <w:right w:val="single" w:sz="4" w:space="0" w:color="auto"/>
            </w:tcBorders>
            <w:vAlign w:val="center"/>
          </w:tcPr>
          <w:p w:rsidR="00E3541D" w:rsidRPr="00BB46BB" w:rsidRDefault="00E3541D" w:rsidP="00630D48">
            <w:pPr>
              <w:rPr>
                <w:color w:val="000000" w:themeColor="text1"/>
                <w:lang w:eastAsia="lv-LV" w:bidi="lo-LA"/>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E3541D" w:rsidRPr="00BB46BB" w:rsidRDefault="00E3541D" w:rsidP="00630D48">
            <w:pPr>
              <w:autoSpaceDE w:val="0"/>
              <w:autoSpaceDN w:val="0"/>
              <w:adjustRightInd w:val="0"/>
              <w:jc w:val="right"/>
              <w:rPr>
                <w:noProof/>
                <w:color w:val="000000" w:themeColor="text1"/>
                <w:sz w:val="20"/>
                <w:szCs w:val="20"/>
              </w:rPr>
            </w:pPr>
          </w:p>
        </w:tc>
        <w:tc>
          <w:tcPr>
            <w:tcW w:w="654" w:type="pct"/>
            <w:tcBorders>
              <w:top w:val="single" w:sz="4" w:space="0" w:color="auto"/>
              <w:left w:val="single" w:sz="4" w:space="0" w:color="auto"/>
              <w:bottom w:val="single" w:sz="4" w:space="0" w:color="auto"/>
              <w:right w:val="single" w:sz="4" w:space="0" w:color="auto"/>
            </w:tcBorders>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tcBorders>
              <w:left w:val="single" w:sz="4" w:space="0" w:color="auto"/>
            </w:tcBorders>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rPr>
          <w:trHeight w:val="70"/>
        </w:trPr>
        <w:tc>
          <w:tcPr>
            <w:tcW w:w="1585" w:type="pct"/>
            <w:vMerge/>
            <w:tcBorders>
              <w:top w:val="single" w:sz="4" w:space="0" w:color="auto"/>
              <w:left w:val="single" w:sz="4" w:space="0" w:color="auto"/>
              <w:bottom w:val="single" w:sz="4" w:space="0" w:color="auto"/>
              <w:right w:val="single" w:sz="4" w:space="0" w:color="auto"/>
            </w:tcBorders>
            <w:vAlign w:val="center"/>
          </w:tcPr>
          <w:p w:rsidR="00E3541D" w:rsidRPr="00BB46BB" w:rsidRDefault="00E3541D" w:rsidP="00630D48">
            <w:pPr>
              <w:rPr>
                <w:color w:val="000000" w:themeColor="text1"/>
                <w:lang w:eastAsia="lv-LV" w:bidi="lo-LA"/>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E3541D" w:rsidRPr="00BB46BB" w:rsidRDefault="00E3541D" w:rsidP="00630D48">
            <w:pPr>
              <w:autoSpaceDE w:val="0"/>
              <w:autoSpaceDN w:val="0"/>
              <w:adjustRightInd w:val="0"/>
              <w:jc w:val="right"/>
              <w:rPr>
                <w:noProof/>
                <w:color w:val="000000" w:themeColor="text1"/>
                <w:sz w:val="20"/>
                <w:szCs w:val="20"/>
              </w:rPr>
            </w:pPr>
          </w:p>
        </w:tc>
        <w:tc>
          <w:tcPr>
            <w:tcW w:w="654" w:type="pct"/>
            <w:tcBorders>
              <w:top w:val="single" w:sz="4" w:space="0" w:color="auto"/>
              <w:left w:val="single" w:sz="4" w:space="0" w:color="auto"/>
              <w:bottom w:val="single" w:sz="4" w:space="0" w:color="auto"/>
              <w:right w:val="single" w:sz="4" w:space="0" w:color="auto"/>
            </w:tcBorders>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tcBorders>
              <w:left w:val="single" w:sz="4" w:space="0" w:color="auto"/>
            </w:tcBorders>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Borders>
              <w:top w:val="single" w:sz="4" w:space="0" w:color="auto"/>
            </w:tcBorders>
          </w:tcPr>
          <w:p w:rsidR="00E3541D" w:rsidRPr="00BB46BB" w:rsidRDefault="00E3541D" w:rsidP="00630D48">
            <w:pPr>
              <w:spacing w:before="100" w:beforeAutospacing="1" w:after="100" w:afterAutospacing="1"/>
              <w:rPr>
                <w:color w:val="000000" w:themeColor="text1"/>
                <w:lang w:eastAsia="lv-LV" w:bidi="lo-LA"/>
              </w:rPr>
            </w:pPr>
            <w:r w:rsidRPr="00BB46BB">
              <w:rPr>
                <w:color w:val="000000" w:themeColor="text1"/>
                <w:lang w:eastAsia="lv-LV" w:bidi="lo-LA"/>
              </w:rPr>
              <w:t> 5. Precizēta finansiālā ietekme:</w:t>
            </w:r>
          </w:p>
        </w:tc>
        <w:tc>
          <w:tcPr>
            <w:tcW w:w="649" w:type="pct"/>
            <w:vMerge w:val="restart"/>
            <w:tcBorders>
              <w:top w:val="single" w:sz="4" w:space="0" w:color="auto"/>
            </w:tcBorders>
            <w:vAlign w:val="center"/>
          </w:tcPr>
          <w:p w:rsidR="00E3541D" w:rsidRPr="00BB46BB" w:rsidRDefault="00E3541D" w:rsidP="00630D48">
            <w:pPr>
              <w:autoSpaceDE w:val="0"/>
              <w:autoSpaceDN w:val="0"/>
              <w:adjustRightInd w:val="0"/>
              <w:jc w:val="right"/>
              <w:rPr>
                <w:noProof/>
                <w:color w:val="000000" w:themeColor="text1"/>
                <w:sz w:val="20"/>
                <w:szCs w:val="20"/>
              </w:rPr>
            </w:pPr>
            <w:r w:rsidRPr="00BB46BB">
              <w:rPr>
                <w:noProof/>
                <w:color w:val="000000" w:themeColor="text1"/>
                <w:sz w:val="20"/>
                <w:szCs w:val="20"/>
              </w:rPr>
              <w:t>X</w:t>
            </w:r>
          </w:p>
        </w:tc>
        <w:tc>
          <w:tcPr>
            <w:tcW w:w="654" w:type="pct"/>
            <w:tcBorders>
              <w:top w:val="single" w:sz="4" w:space="0" w:color="auto"/>
            </w:tcBorders>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5.1. valsts pamatbudžets</w:t>
            </w:r>
          </w:p>
        </w:tc>
        <w:tc>
          <w:tcPr>
            <w:tcW w:w="649" w:type="pct"/>
            <w:vMerge/>
            <w:vAlign w:val="center"/>
          </w:tcPr>
          <w:p w:rsidR="00E3541D" w:rsidRPr="00BB46BB" w:rsidRDefault="00E3541D" w:rsidP="00630D48">
            <w:pPr>
              <w:autoSpaceDE w:val="0"/>
              <w:autoSpaceDN w:val="0"/>
              <w:adjustRightInd w:val="0"/>
              <w:jc w:val="right"/>
              <w:rPr>
                <w:noProof/>
                <w:color w:val="000000" w:themeColor="text1"/>
                <w:sz w:val="20"/>
                <w:szCs w:val="20"/>
              </w:rPr>
            </w:pPr>
          </w:p>
        </w:tc>
        <w:tc>
          <w:tcPr>
            <w:tcW w:w="654" w:type="pct"/>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5.2. speciālais budžets</w:t>
            </w:r>
          </w:p>
        </w:tc>
        <w:tc>
          <w:tcPr>
            <w:tcW w:w="649" w:type="pct"/>
            <w:vMerge/>
            <w:vAlign w:val="center"/>
          </w:tcPr>
          <w:p w:rsidR="00E3541D" w:rsidRPr="00BB46BB" w:rsidRDefault="00E3541D" w:rsidP="00630D48">
            <w:pPr>
              <w:autoSpaceDE w:val="0"/>
              <w:autoSpaceDN w:val="0"/>
              <w:adjustRightInd w:val="0"/>
              <w:jc w:val="right"/>
              <w:rPr>
                <w:noProof/>
                <w:color w:val="000000" w:themeColor="text1"/>
                <w:sz w:val="20"/>
                <w:szCs w:val="20"/>
              </w:rPr>
            </w:pP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5.3. pašvaldību budžets</w:t>
            </w:r>
          </w:p>
        </w:tc>
        <w:tc>
          <w:tcPr>
            <w:tcW w:w="649" w:type="pct"/>
            <w:vMerge/>
            <w:vAlign w:val="center"/>
          </w:tcPr>
          <w:p w:rsidR="00E3541D" w:rsidRPr="00BB46BB" w:rsidRDefault="00E3541D" w:rsidP="00630D48">
            <w:pPr>
              <w:autoSpaceDE w:val="0"/>
              <w:autoSpaceDN w:val="0"/>
              <w:adjustRightInd w:val="0"/>
              <w:jc w:val="right"/>
              <w:rPr>
                <w:noProof/>
                <w:color w:val="000000" w:themeColor="text1"/>
                <w:sz w:val="20"/>
                <w:szCs w:val="20"/>
              </w:rPr>
            </w:pPr>
          </w:p>
        </w:tc>
        <w:tc>
          <w:tcPr>
            <w:tcW w:w="654"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655"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c>
          <w:tcPr>
            <w:tcW w:w="802" w:type="pct"/>
            <w:vAlign w:val="center"/>
          </w:tcPr>
          <w:p w:rsidR="00E3541D" w:rsidRPr="00BB46BB" w:rsidRDefault="00E3541D" w:rsidP="00630D48">
            <w:pPr>
              <w:jc w:val="right"/>
              <w:rPr>
                <w:color w:val="000000" w:themeColor="text1"/>
                <w:sz w:val="20"/>
                <w:szCs w:val="20"/>
              </w:rPr>
            </w:pPr>
            <w:r w:rsidRPr="00BB46BB">
              <w:rPr>
                <w:color w:val="000000" w:themeColor="text1"/>
                <w:sz w:val="20"/>
                <w:szCs w:val="20"/>
              </w:rPr>
              <w:t>0,0</w:t>
            </w:r>
          </w:p>
        </w:tc>
      </w:tr>
      <w:tr w:rsidR="00E3541D" w:rsidRPr="00BB46BB" w:rsidTr="00630D48">
        <w:tc>
          <w:tcPr>
            <w:tcW w:w="1585" w:type="pct"/>
          </w:tcPr>
          <w:p w:rsidR="00E3541D" w:rsidRPr="00BB46BB" w:rsidRDefault="00E3541D" w:rsidP="00630D48">
            <w:pPr>
              <w:spacing w:before="100" w:beforeAutospacing="1" w:after="100" w:afterAutospacing="1"/>
              <w:rPr>
                <w:color w:val="000000" w:themeColor="text1"/>
                <w:lang w:eastAsia="lv-LV" w:bidi="lo-LA"/>
              </w:rPr>
            </w:pPr>
            <w:r w:rsidRPr="00BB46BB">
              <w:rPr>
                <w:color w:val="000000" w:themeColor="text1"/>
                <w:lang w:eastAsia="lv-LV" w:bidi="lo-LA"/>
              </w:rPr>
              <w:t> 6. Detalizēts ieņēmumu un izdevu</w:t>
            </w:r>
            <w:r w:rsidRPr="00BB46BB">
              <w:rPr>
                <w:color w:val="000000" w:themeColor="text1"/>
                <w:lang w:eastAsia="lv-LV" w:bidi="lo-LA"/>
              </w:rPr>
              <w:softHyphen/>
              <w:t>mu aprēķins (ja nepieciešams, detalizētu ieņēmumu un izdevumu aprēķinu var pievienot anotācijas pielikumā):</w:t>
            </w:r>
          </w:p>
        </w:tc>
        <w:tc>
          <w:tcPr>
            <w:tcW w:w="3415" w:type="pct"/>
            <w:gridSpan w:val="5"/>
            <w:vMerge w:val="restart"/>
          </w:tcPr>
          <w:p w:rsidR="00B8317A" w:rsidRPr="00B8317A" w:rsidRDefault="00B8317A" w:rsidP="00B8317A">
            <w:pPr>
              <w:tabs>
                <w:tab w:val="left" w:pos="119"/>
              </w:tabs>
              <w:spacing w:after="120"/>
              <w:jc w:val="both"/>
              <w:rPr>
                <w:sz w:val="20"/>
                <w:szCs w:val="20"/>
              </w:rPr>
            </w:pPr>
            <w:r w:rsidRPr="00B8317A">
              <w:rPr>
                <w:sz w:val="20"/>
                <w:szCs w:val="20"/>
                <w:lang w:eastAsia="lv-LV"/>
              </w:rPr>
              <w:t>*</w:t>
            </w:r>
            <w:r w:rsidRPr="00B8317A">
              <w:rPr>
                <w:sz w:val="20"/>
                <w:szCs w:val="20"/>
              </w:rPr>
              <w:t xml:space="preserve"> „Izmaiņas kārtējā gadā, salīdzinot ar budžetu kārtējam gadam” norādītas ieņēmumu un izdevumu izmaiņas budžeta apakšprogrammā 33.01.00 „Ārstniecība” atbilstoši finansējumam, kas piešķirts ar Finanšu ministrijas rīkojumiem līdz 2014.gada 1.decembrim</w:t>
            </w:r>
          </w:p>
          <w:p w:rsidR="00E3541D" w:rsidRPr="00BB46BB" w:rsidRDefault="00E3541D" w:rsidP="006C2FC0">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u w:val="single"/>
              </w:rPr>
              <w:t>Atbilstoši likumam „Par valsts budžetu 2014.gadam”</w:t>
            </w:r>
            <w:r w:rsidRPr="00BB46BB">
              <w:rPr>
                <w:rFonts w:ascii="Times New Roman" w:hAnsi="Times New Roman"/>
                <w:noProof/>
                <w:color w:val="000000" w:themeColor="text1"/>
                <w:sz w:val="24"/>
                <w:szCs w:val="24"/>
              </w:rPr>
              <w:t xml:space="preserve"> (izsludināts 2013.gada 26.novembrī) līdzekļi ārstniecībai programmas 33.00.00 „Veselības aprūpes nodrošināšana” apakšprogrammā 33.01.00 „Ārstniecība” ir:</w:t>
            </w:r>
          </w:p>
          <w:p w:rsidR="00E3541D" w:rsidRPr="00BB46BB" w:rsidRDefault="00E3541D" w:rsidP="006C2FC0">
            <w:pPr>
              <w:rPr>
                <w:color w:val="000000" w:themeColor="text1"/>
              </w:rPr>
            </w:pPr>
            <w:r w:rsidRPr="00BB46BB">
              <w:rPr>
                <w:b/>
                <w:color w:val="000000" w:themeColor="text1"/>
              </w:rPr>
              <w:t>Ieņēmumos:  481 016 531 EUR</w:t>
            </w:r>
            <w:r w:rsidRPr="00BB46BB">
              <w:rPr>
                <w:color w:val="000000" w:themeColor="text1"/>
              </w:rPr>
              <w:t>, tai skaitā:</w:t>
            </w:r>
          </w:p>
          <w:p w:rsidR="00E3541D" w:rsidRPr="00BB46BB" w:rsidRDefault="00E3541D" w:rsidP="006C2FC0">
            <w:pPr>
              <w:ind w:firstLine="339"/>
              <w:rPr>
                <w:noProof/>
                <w:color w:val="000000" w:themeColor="text1"/>
              </w:rPr>
            </w:pPr>
            <w:r w:rsidRPr="00BB46BB">
              <w:rPr>
                <w:noProof/>
                <w:color w:val="000000" w:themeColor="text1"/>
              </w:rPr>
              <w:t>Dotācija no vispārējiem ieņēmumiem – 479 929 457 EUR,</w:t>
            </w:r>
          </w:p>
          <w:p w:rsidR="00E3541D" w:rsidRPr="00BB46BB" w:rsidRDefault="00E3541D" w:rsidP="006C2FC0">
            <w:pPr>
              <w:pStyle w:val="NoSpacing"/>
              <w:ind w:left="56" w:firstLine="283"/>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 xml:space="preserve"> Ieņēmumi no maksas pakalpojumiem un citi pašu ieņēmumi – 1 087 074 EUR.</w:t>
            </w:r>
          </w:p>
          <w:p w:rsidR="00E3541D" w:rsidRPr="00BB46BB" w:rsidRDefault="00E3541D" w:rsidP="006C2FC0">
            <w:pPr>
              <w:pStyle w:val="NoSpacing"/>
              <w:jc w:val="both"/>
              <w:rPr>
                <w:rFonts w:ascii="Times New Roman" w:hAnsi="Times New Roman"/>
                <w:noProof/>
                <w:color w:val="000000" w:themeColor="text1"/>
                <w:sz w:val="24"/>
                <w:szCs w:val="24"/>
              </w:rPr>
            </w:pPr>
            <w:r w:rsidRPr="00BB46BB">
              <w:rPr>
                <w:rFonts w:ascii="Times New Roman" w:hAnsi="Times New Roman"/>
                <w:b/>
                <w:color w:val="000000" w:themeColor="text1"/>
                <w:sz w:val="24"/>
                <w:szCs w:val="24"/>
                <w:lang w:eastAsia="lv-LV"/>
              </w:rPr>
              <w:t>Izdevumos:</w:t>
            </w:r>
            <w:r w:rsidRPr="00BB46BB">
              <w:rPr>
                <w:b/>
                <w:color w:val="000000" w:themeColor="text1"/>
                <w:sz w:val="24"/>
                <w:szCs w:val="24"/>
              </w:rPr>
              <w:t xml:space="preserve">  </w:t>
            </w:r>
            <w:r w:rsidRPr="00BB46BB">
              <w:rPr>
                <w:rFonts w:ascii="Times New Roman" w:hAnsi="Times New Roman"/>
                <w:b/>
                <w:color w:val="000000" w:themeColor="text1"/>
                <w:sz w:val="24"/>
                <w:szCs w:val="24"/>
              </w:rPr>
              <w:t>481 016 531 EUR</w:t>
            </w:r>
            <w:r w:rsidRPr="00BB46BB">
              <w:rPr>
                <w:rFonts w:ascii="Times New Roman" w:hAnsi="Times New Roman"/>
                <w:color w:val="000000" w:themeColor="text1"/>
                <w:sz w:val="24"/>
                <w:szCs w:val="24"/>
              </w:rPr>
              <w:t>, tai skaitā:</w:t>
            </w:r>
          </w:p>
          <w:p w:rsidR="00E3541D" w:rsidRPr="00BB46BB" w:rsidRDefault="00E3541D" w:rsidP="006C2FC0">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3000 - Subsīdijas un dotācijas – 479 939 313 EUR,</w:t>
            </w:r>
          </w:p>
          <w:p w:rsidR="00E3541D" w:rsidRPr="00BB46BB" w:rsidRDefault="00E3541D" w:rsidP="006C2FC0">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7310 - Valsts budžeta uzturēšanas izdevumu transferti pašvaldībām noteiktam mērķim – 1 077 218 EUR.</w:t>
            </w:r>
          </w:p>
          <w:p w:rsidR="00E3541D" w:rsidRPr="00BB46BB" w:rsidRDefault="00E3541D" w:rsidP="00630D48">
            <w:pPr>
              <w:jc w:val="both"/>
              <w:rPr>
                <w:color w:val="000000" w:themeColor="text1"/>
              </w:rPr>
            </w:pPr>
          </w:p>
          <w:p w:rsidR="00E3541D" w:rsidRPr="00BB46BB" w:rsidRDefault="00E3541D" w:rsidP="006C2FC0">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u w:val="single"/>
              </w:rPr>
              <w:t xml:space="preserve">Atbilstoši likumam „Par valsts budžetu 2014.gadam”, Ministru kabineta rīkojumiem un Finanšu ministrijas </w:t>
            </w:r>
            <w:r w:rsidRPr="00BB46BB">
              <w:rPr>
                <w:rFonts w:ascii="Times New Roman" w:hAnsi="Times New Roman"/>
                <w:noProof/>
                <w:color w:val="000000" w:themeColor="text1"/>
                <w:sz w:val="24"/>
                <w:szCs w:val="24"/>
                <w:u w:val="single"/>
              </w:rPr>
              <w:lastRenderedPageBreak/>
              <w:t>rīkojumiem uz 2014.gada novembri</w:t>
            </w:r>
            <w:r w:rsidRPr="00BB46BB">
              <w:rPr>
                <w:rFonts w:ascii="Times New Roman" w:hAnsi="Times New Roman"/>
                <w:noProof/>
                <w:color w:val="000000" w:themeColor="text1"/>
                <w:sz w:val="24"/>
                <w:szCs w:val="24"/>
              </w:rPr>
              <w:t xml:space="preserve"> līdzekļi ārstniecībai programmas 33.00.00 „Veselības aprūpes nodrošināšana” apakšprogrammā 33.01.00 „Ārstniecība” ir:</w:t>
            </w:r>
          </w:p>
          <w:p w:rsidR="00E3541D" w:rsidRPr="00BB46BB" w:rsidRDefault="00E3541D" w:rsidP="006C2FC0">
            <w:pPr>
              <w:rPr>
                <w:color w:val="000000" w:themeColor="text1"/>
              </w:rPr>
            </w:pPr>
            <w:r w:rsidRPr="00BB46BB">
              <w:rPr>
                <w:b/>
                <w:color w:val="000000" w:themeColor="text1"/>
              </w:rPr>
              <w:t>Ieņēmumos: 486 686 180 EUR</w:t>
            </w:r>
            <w:r w:rsidRPr="00BB46BB">
              <w:rPr>
                <w:color w:val="000000" w:themeColor="text1"/>
              </w:rPr>
              <w:t>, tai skaitā:</w:t>
            </w:r>
          </w:p>
          <w:p w:rsidR="00E3541D" w:rsidRPr="00BB46BB" w:rsidRDefault="00E3541D" w:rsidP="006C2FC0">
            <w:pPr>
              <w:ind w:firstLine="339"/>
              <w:rPr>
                <w:noProof/>
                <w:color w:val="000000" w:themeColor="text1"/>
              </w:rPr>
            </w:pPr>
            <w:r w:rsidRPr="00BB46BB">
              <w:rPr>
                <w:noProof/>
                <w:color w:val="000000" w:themeColor="text1"/>
              </w:rPr>
              <w:t>Dotācija no vispārējiem ieņēmumiem – 485 351 706 EUR,</w:t>
            </w:r>
          </w:p>
          <w:p w:rsidR="00E3541D" w:rsidRPr="00BB46BB" w:rsidRDefault="00E3541D" w:rsidP="006C2FC0">
            <w:pPr>
              <w:pStyle w:val="NoSpacing"/>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 xml:space="preserve">      Ieņēmumi no maksas pakalpojumiem un citi pašu ieņēmumi – 1 087 074 EUR,</w:t>
            </w:r>
          </w:p>
          <w:p w:rsidR="00E3541D" w:rsidRPr="00BB46BB" w:rsidRDefault="00E3541D" w:rsidP="006C2FC0">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 xml:space="preserve">Valsts budžeta iestāžu saņemtie transferti no savas ministrijas padotībā esošām valsts budžeta daļēji finansētām atvasinātām publiskām personām un budžeta nefinansētām iestādēm – 247 400 EUR. </w:t>
            </w:r>
          </w:p>
          <w:p w:rsidR="00E3541D" w:rsidRPr="00BB46BB" w:rsidRDefault="00E3541D" w:rsidP="00630D48">
            <w:pPr>
              <w:pStyle w:val="NoSpacing"/>
              <w:jc w:val="both"/>
              <w:rPr>
                <w:rFonts w:ascii="Times New Roman" w:hAnsi="Times New Roman"/>
                <w:noProof/>
                <w:color w:val="000000" w:themeColor="text1"/>
                <w:sz w:val="24"/>
                <w:szCs w:val="24"/>
              </w:rPr>
            </w:pPr>
            <w:r w:rsidRPr="00BB46BB">
              <w:rPr>
                <w:rFonts w:ascii="Times New Roman" w:hAnsi="Times New Roman"/>
                <w:b/>
                <w:color w:val="000000" w:themeColor="text1"/>
                <w:sz w:val="24"/>
                <w:szCs w:val="24"/>
                <w:lang w:eastAsia="lv-LV"/>
              </w:rPr>
              <w:t>Izdevumos:</w:t>
            </w:r>
            <w:r w:rsidRPr="00BB46BB">
              <w:rPr>
                <w:b/>
                <w:color w:val="000000" w:themeColor="text1"/>
                <w:sz w:val="24"/>
                <w:szCs w:val="24"/>
              </w:rPr>
              <w:t xml:space="preserve"> </w:t>
            </w:r>
            <w:r w:rsidRPr="00BB46BB">
              <w:rPr>
                <w:rFonts w:ascii="Times New Roman" w:hAnsi="Times New Roman"/>
                <w:b/>
                <w:color w:val="000000" w:themeColor="text1"/>
                <w:sz w:val="24"/>
                <w:szCs w:val="24"/>
              </w:rPr>
              <w:t>486 842 244 EUR</w:t>
            </w:r>
            <w:r w:rsidRPr="00BB46BB">
              <w:rPr>
                <w:rFonts w:ascii="Times New Roman" w:hAnsi="Times New Roman"/>
                <w:color w:val="000000" w:themeColor="text1"/>
                <w:sz w:val="24"/>
                <w:szCs w:val="24"/>
              </w:rPr>
              <w:t>, tai skaitā:</w:t>
            </w:r>
          </w:p>
          <w:p w:rsidR="00E3541D" w:rsidRPr="00BB46BB" w:rsidRDefault="00E3541D" w:rsidP="00630D48">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3000 - Subsīdijas un dotācijas – 485 177 978 EUR,</w:t>
            </w:r>
          </w:p>
          <w:p w:rsidR="00E3541D" w:rsidRPr="00BB46BB" w:rsidRDefault="00E3541D" w:rsidP="00630D48">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7310 - Valsts budžeta uzturēšanas izdevumu transferti pašvaldībām noteiktam mērķim – 1 664 266 EUR.</w:t>
            </w:r>
          </w:p>
          <w:p w:rsidR="00E3541D" w:rsidRPr="00BB46BB" w:rsidRDefault="00E3541D" w:rsidP="00630D48">
            <w:pPr>
              <w:jc w:val="both"/>
              <w:rPr>
                <w:color w:val="000000" w:themeColor="text1"/>
              </w:rPr>
            </w:pPr>
            <w:r w:rsidRPr="00BB46BB">
              <w:rPr>
                <w:b/>
                <w:color w:val="000000" w:themeColor="text1"/>
              </w:rPr>
              <w:t>Finansiālā bilance: 156 064 EUR</w:t>
            </w:r>
            <w:r w:rsidRPr="00BB46BB">
              <w:rPr>
                <w:color w:val="000000" w:themeColor="text1"/>
              </w:rPr>
              <w:t>:</w:t>
            </w:r>
          </w:p>
          <w:p w:rsidR="00E3541D" w:rsidRPr="00BB46BB" w:rsidRDefault="00E3541D" w:rsidP="00630D48">
            <w:pPr>
              <w:ind w:firstLine="339"/>
              <w:jc w:val="both"/>
              <w:rPr>
                <w:color w:val="000000" w:themeColor="text1"/>
              </w:rPr>
            </w:pPr>
            <w:r w:rsidRPr="00BB46BB">
              <w:rPr>
                <w:color w:val="000000" w:themeColor="text1"/>
              </w:rPr>
              <w:t>Finansēšana: 156 064 EUR no maksas pakalpojumu un citu pašu ieņēmumu naudas līdzekļu atlikumiem.</w:t>
            </w:r>
          </w:p>
          <w:p w:rsidR="00FE275A" w:rsidRDefault="00FE275A" w:rsidP="00630D48">
            <w:pPr>
              <w:pStyle w:val="NoSpacing"/>
              <w:jc w:val="both"/>
              <w:rPr>
                <w:rFonts w:ascii="Times New Roman" w:hAnsi="Times New Roman"/>
                <w:b/>
                <w:noProof/>
                <w:color w:val="000000" w:themeColor="text1"/>
                <w:sz w:val="24"/>
                <w:szCs w:val="24"/>
              </w:rPr>
            </w:pPr>
          </w:p>
          <w:p w:rsidR="00B8317A" w:rsidRPr="00B8317A" w:rsidRDefault="00B8317A" w:rsidP="00B8317A">
            <w:pPr>
              <w:pStyle w:val="NoSpacing"/>
              <w:ind w:firstLine="339"/>
              <w:jc w:val="both"/>
              <w:rPr>
                <w:rFonts w:ascii="Times New Roman" w:hAnsi="Times New Roman"/>
                <w:noProof/>
                <w:sz w:val="24"/>
                <w:szCs w:val="24"/>
              </w:rPr>
            </w:pPr>
            <w:r w:rsidRPr="00B8317A">
              <w:rPr>
                <w:rFonts w:ascii="Times New Roman" w:hAnsi="Times New Roman"/>
                <w:noProof/>
                <w:sz w:val="24"/>
                <w:szCs w:val="24"/>
              </w:rPr>
              <w:t>Atbilstoši Saeimā 2014.gada 11.decembrī pieņemtajam likumprojektam „Par valsts budžetu 2015.gadam” līdzekļi ārstniecībai programmas 33.00.00 „Veselības aprūpes nodrošināšana” apakšprogrammā 33.01.00 „Ārstniecība”</w:t>
            </w:r>
            <w:r w:rsidRPr="00B8317A">
              <w:rPr>
                <w:rFonts w:ascii="Times New Roman" w:hAnsi="Times New Roman"/>
              </w:rPr>
              <w:t xml:space="preserve"> </w:t>
            </w:r>
            <w:r w:rsidRPr="00B8317A">
              <w:rPr>
                <w:rFonts w:ascii="Times New Roman" w:hAnsi="Times New Roman"/>
                <w:b/>
                <w:noProof/>
                <w:sz w:val="24"/>
                <w:szCs w:val="24"/>
              </w:rPr>
              <w:t>2015.gadā</w:t>
            </w:r>
            <w:r w:rsidRPr="00B8317A">
              <w:rPr>
                <w:rFonts w:ascii="Times New Roman" w:hAnsi="Times New Roman"/>
                <w:noProof/>
                <w:sz w:val="24"/>
                <w:szCs w:val="24"/>
              </w:rPr>
              <w:t xml:space="preserve"> ir:</w:t>
            </w:r>
          </w:p>
          <w:p w:rsidR="00E3541D" w:rsidRPr="00BB46BB" w:rsidRDefault="00E3541D" w:rsidP="00630D48">
            <w:pPr>
              <w:spacing w:before="60" w:after="60"/>
              <w:rPr>
                <w:color w:val="000000" w:themeColor="text1"/>
              </w:rPr>
            </w:pPr>
            <w:r w:rsidRPr="00BB46BB">
              <w:rPr>
                <w:b/>
                <w:color w:val="000000" w:themeColor="text1"/>
              </w:rPr>
              <w:t>Ieņēmumos: 506 802 414 EUR</w:t>
            </w:r>
            <w:r w:rsidRPr="00BB46BB">
              <w:rPr>
                <w:color w:val="000000" w:themeColor="text1"/>
              </w:rPr>
              <w:t>, tai skaitā:</w:t>
            </w:r>
          </w:p>
          <w:p w:rsidR="00E3541D" w:rsidRPr="00BB46BB" w:rsidRDefault="00E3541D" w:rsidP="00630D48">
            <w:pPr>
              <w:spacing w:before="60" w:after="60"/>
              <w:ind w:firstLine="339"/>
              <w:rPr>
                <w:noProof/>
                <w:color w:val="000000" w:themeColor="text1"/>
              </w:rPr>
            </w:pPr>
            <w:r w:rsidRPr="00BB46BB">
              <w:rPr>
                <w:noProof/>
                <w:color w:val="000000" w:themeColor="text1"/>
              </w:rPr>
              <w:t>Dotācija no vispārējiem ieņēmumiem – 505 715 340 EUR,</w:t>
            </w:r>
          </w:p>
          <w:p w:rsidR="00E3541D" w:rsidRPr="00BB46BB" w:rsidRDefault="00E3541D" w:rsidP="00630D48">
            <w:pPr>
              <w:pStyle w:val="NoSpacing"/>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 xml:space="preserve">     Ieņēmumi no maksas pakalpojumiem un citi pašu ieņēmumi – 1 087 074 EUR.</w:t>
            </w:r>
          </w:p>
          <w:p w:rsidR="00E3541D" w:rsidRPr="00BB46BB" w:rsidRDefault="00E3541D" w:rsidP="00630D48">
            <w:pPr>
              <w:pStyle w:val="NoSpacing"/>
              <w:jc w:val="both"/>
              <w:rPr>
                <w:rFonts w:ascii="Times New Roman" w:hAnsi="Times New Roman"/>
                <w:noProof/>
                <w:color w:val="000000" w:themeColor="text1"/>
                <w:sz w:val="24"/>
                <w:szCs w:val="24"/>
              </w:rPr>
            </w:pPr>
            <w:r w:rsidRPr="00BB46BB">
              <w:rPr>
                <w:rFonts w:ascii="Times New Roman" w:hAnsi="Times New Roman"/>
                <w:b/>
                <w:color w:val="000000" w:themeColor="text1"/>
                <w:sz w:val="24"/>
                <w:szCs w:val="24"/>
                <w:lang w:eastAsia="lv-LV"/>
              </w:rPr>
              <w:t>Izdevumos:</w:t>
            </w:r>
            <w:r w:rsidRPr="00BB46BB">
              <w:rPr>
                <w:b/>
                <w:color w:val="000000" w:themeColor="text1"/>
                <w:sz w:val="24"/>
                <w:szCs w:val="24"/>
              </w:rPr>
              <w:t xml:space="preserve">  </w:t>
            </w:r>
            <w:r w:rsidRPr="00BB46BB">
              <w:rPr>
                <w:rFonts w:ascii="Times New Roman" w:hAnsi="Times New Roman"/>
                <w:b/>
                <w:color w:val="000000" w:themeColor="text1"/>
                <w:sz w:val="24"/>
                <w:szCs w:val="24"/>
              </w:rPr>
              <w:t>506 802 414 EUR</w:t>
            </w:r>
            <w:r w:rsidRPr="00BB46BB">
              <w:rPr>
                <w:rFonts w:ascii="Times New Roman" w:hAnsi="Times New Roman"/>
                <w:color w:val="000000" w:themeColor="text1"/>
                <w:sz w:val="24"/>
                <w:szCs w:val="24"/>
              </w:rPr>
              <w:t>, tai skaitā:</w:t>
            </w:r>
          </w:p>
          <w:p w:rsidR="00E3541D" w:rsidRPr="00BB46BB" w:rsidRDefault="00E3541D" w:rsidP="00630D48">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3000 - Subsīdijas un dotācijas – 505 725 196 EUR,</w:t>
            </w:r>
          </w:p>
          <w:p w:rsidR="00E3541D" w:rsidRPr="00BB46BB" w:rsidRDefault="00E3541D" w:rsidP="00630D48">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7310 - Valsts budžeta uzturēšanas izdevumu transferti pašvaldībām noteiktam mērķim – 1 077 218 EUR.</w:t>
            </w:r>
          </w:p>
          <w:p w:rsidR="00E3541D" w:rsidRPr="00BB46BB" w:rsidRDefault="00E3541D" w:rsidP="00630D48">
            <w:pPr>
              <w:pStyle w:val="NoSpacing"/>
              <w:jc w:val="both"/>
              <w:rPr>
                <w:rFonts w:ascii="Times New Roman" w:hAnsi="Times New Roman"/>
                <w:b/>
                <w:noProof/>
                <w:color w:val="000000" w:themeColor="text1"/>
                <w:sz w:val="24"/>
                <w:szCs w:val="24"/>
              </w:rPr>
            </w:pPr>
          </w:p>
          <w:p w:rsidR="00FE275A" w:rsidRPr="00D91DA5" w:rsidRDefault="00FE275A" w:rsidP="00B8317A">
            <w:pPr>
              <w:pStyle w:val="NoSpacing"/>
              <w:ind w:firstLine="403"/>
              <w:jc w:val="both"/>
              <w:rPr>
                <w:rFonts w:ascii="Times New Roman" w:hAnsi="Times New Roman"/>
                <w:noProof/>
                <w:sz w:val="24"/>
                <w:szCs w:val="24"/>
              </w:rPr>
            </w:pPr>
            <w:r w:rsidRPr="00BB46BB">
              <w:rPr>
                <w:rFonts w:ascii="Times New Roman" w:hAnsi="Times New Roman"/>
                <w:b/>
                <w:noProof/>
                <w:color w:val="000000" w:themeColor="text1"/>
                <w:sz w:val="24"/>
                <w:szCs w:val="24"/>
              </w:rPr>
              <w:t xml:space="preserve"> </w:t>
            </w:r>
            <w:r w:rsidR="00B8317A" w:rsidRPr="00D91DA5">
              <w:rPr>
                <w:rFonts w:ascii="Times New Roman" w:hAnsi="Times New Roman"/>
                <w:noProof/>
                <w:sz w:val="24"/>
                <w:szCs w:val="24"/>
              </w:rPr>
              <w:t xml:space="preserve">Atbilstoši Saeimā 2014.gada 11.decembrī pieņemtajam likumprojektam „Par vidēja termiņa budžeta ietvaru 2015., 2016. un 2017.gadam” līdzekļi ārstniecībai programmas 33.00.00 „Veselības aprūpes nodrošināšana” apakšprogrammā 33.01.00 „Ārstniecība” </w:t>
            </w:r>
            <w:r w:rsidR="00B8317A" w:rsidRPr="00D91DA5">
              <w:rPr>
                <w:rFonts w:ascii="Times New Roman" w:hAnsi="Times New Roman"/>
                <w:b/>
                <w:noProof/>
                <w:sz w:val="24"/>
                <w:szCs w:val="24"/>
              </w:rPr>
              <w:t>2016.-2017.gadā ik gadu</w:t>
            </w:r>
            <w:r w:rsidR="00B8317A" w:rsidRPr="00D91DA5">
              <w:rPr>
                <w:rFonts w:ascii="Times New Roman" w:hAnsi="Times New Roman"/>
                <w:noProof/>
                <w:sz w:val="24"/>
                <w:szCs w:val="24"/>
              </w:rPr>
              <w:t xml:space="preserve"> ir:</w:t>
            </w:r>
          </w:p>
          <w:p w:rsidR="00E3541D" w:rsidRPr="00BB46BB" w:rsidRDefault="00E3541D" w:rsidP="00630D48">
            <w:pPr>
              <w:spacing w:before="60" w:after="60"/>
              <w:rPr>
                <w:color w:val="000000" w:themeColor="text1"/>
              </w:rPr>
            </w:pPr>
            <w:r w:rsidRPr="00BB46BB">
              <w:rPr>
                <w:b/>
                <w:color w:val="000000" w:themeColor="text1"/>
              </w:rPr>
              <w:t>Ieņēmumos:  506 807 510 EUR</w:t>
            </w:r>
            <w:r w:rsidRPr="00BB46BB">
              <w:rPr>
                <w:color w:val="000000" w:themeColor="text1"/>
              </w:rPr>
              <w:t>, tai skaitā:</w:t>
            </w:r>
          </w:p>
          <w:p w:rsidR="00E3541D" w:rsidRPr="00BB46BB" w:rsidRDefault="00E3541D" w:rsidP="00630D48">
            <w:pPr>
              <w:spacing w:before="60" w:after="60"/>
              <w:ind w:firstLine="339"/>
              <w:rPr>
                <w:noProof/>
                <w:color w:val="000000" w:themeColor="text1"/>
              </w:rPr>
            </w:pPr>
            <w:r w:rsidRPr="00BB46BB">
              <w:rPr>
                <w:noProof/>
                <w:color w:val="000000" w:themeColor="text1"/>
              </w:rPr>
              <w:t>Dotācija no vispārējiem ieņēmumiem – 505 720 436 EUR,</w:t>
            </w:r>
          </w:p>
          <w:p w:rsidR="00E3541D" w:rsidRPr="00BB46BB" w:rsidRDefault="00E3541D" w:rsidP="00630D48">
            <w:pPr>
              <w:pStyle w:val="NoSpacing"/>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 xml:space="preserve">      Ieņēmumi no maksas pakalpojumiem un citi pašu ieņēmumi – 1 087 074 EUR.</w:t>
            </w:r>
          </w:p>
          <w:p w:rsidR="00E3541D" w:rsidRPr="00BB46BB" w:rsidRDefault="00E3541D" w:rsidP="00630D48">
            <w:pPr>
              <w:pStyle w:val="NoSpacing"/>
              <w:jc w:val="both"/>
              <w:rPr>
                <w:rFonts w:ascii="Times New Roman" w:hAnsi="Times New Roman"/>
                <w:noProof/>
                <w:color w:val="000000" w:themeColor="text1"/>
                <w:sz w:val="24"/>
                <w:szCs w:val="24"/>
              </w:rPr>
            </w:pPr>
            <w:r w:rsidRPr="00BB46BB">
              <w:rPr>
                <w:rFonts w:ascii="Times New Roman" w:hAnsi="Times New Roman"/>
                <w:b/>
                <w:color w:val="000000" w:themeColor="text1"/>
                <w:sz w:val="24"/>
                <w:szCs w:val="24"/>
                <w:lang w:eastAsia="lv-LV"/>
              </w:rPr>
              <w:t>Izdevumos:</w:t>
            </w:r>
            <w:r w:rsidRPr="00BB46BB">
              <w:rPr>
                <w:b/>
                <w:color w:val="000000" w:themeColor="text1"/>
                <w:sz w:val="24"/>
                <w:szCs w:val="24"/>
              </w:rPr>
              <w:t xml:space="preserve">  </w:t>
            </w:r>
            <w:r w:rsidRPr="00BB46BB">
              <w:rPr>
                <w:rFonts w:ascii="Times New Roman" w:hAnsi="Times New Roman"/>
                <w:b/>
                <w:color w:val="000000" w:themeColor="text1"/>
                <w:sz w:val="24"/>
                <w:szCs w:val="24"/>
              </w:rPr>
              <w:t>506 807 510 EUR</w:t>
            </w:r>
            <w:r w:rsidRPr="00BB46BB">
              <w:rPr>
                <w:rFonts w:ascii="Times New Roman" w:hAnsi="Times New Roman"/>
                <w:color w:val="000000" w:themeColor="text1"/>
                <w:sz w:val="24"/>
                <w:szCs w:val="24"/>
              </w:rPr>
              <w:t>, tai skaitā:</w:t>
            </w:r>
          </w:p>
          <w:p w:rsidR="00E3541D" w:rsidRPr="00BB46BB" w:rsidRDefault="00E3541D" w:rsidP="00630D48">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3000 - Subsīdijas un dotācijas – 505 730 292 EUR,</w:t>
            </w:r>
          </w:p>
          <w:p w:rsidR="00E3541D" w:rsidRPr="00BB46BB" w:rsidRDefault="00E3541D" w:rsidP="00630D48">
            <w:pPr>
              <w:pStyle w:val="NoSpacing"/>
              <w:ind w:firstLine="339"/>
              <w:jc w:val="both"/>
              <w:rPr>
                <w:rFonts w:ascii="Times New Roman" w:hAnsi="Times New Roman"/>
                <w:noProof/>
                <w:color w:val="000000" w:themeColor="text1"/>
                <w:sz w:val="24"/>
                <w:szCs w:val="24"/>
              </w:rPr>
            </w:pPr>
            <w:r w:rsidRPr="00BB46BB">
              <w:rPr>
                <w:rFonts w:ascii="Times New Roman" w:hAnsi="Times New Roman"/>
                <w:noProof/>
                <w:color w:val="000000" w:themeColor="text1"/>
                <w:sz w:val="24"/>
                <w:szCs w:val="24"/>
              </w:rPr>
              <w:t>EKK 7310 - Valsts budžeta uzturēšanas izdevumu transferti pašvaldībām noteiktam mērķim – 1 077 218 EUR.</w:t>
            </w:r>
          </w:p>
          <w:p w:rsidR="00E3541D" w:rsidRPr="00BB46BB" w:rsidRDefault="00E3541D" w:rsidP="00630D48">
            <w:pPr>
              <w:pStyle w:val="NoSpacing"/>
              <w:jc w:val="both"/>
              <w:rPr>
                <w:rFonts w:ascii="Times New Roman" w:hAnsi="Times New Roman"/>
                <w:b/>
                <w:noProof/>
                <w:color w:val="000000" w:themeColor="text1"/>
                <w:sz w:val="24"/>
                <w:szCs w:val="24"/>
              </w:rPr>
            </w:pPr>
          </w:p>
          <w:p w:rsidR="00E3541D" w:rsidRPr="00BB46BB" w:rsidRDefault="00E3541D" w:rsidP="00630D48">
            <w:pPr>
              <w:ind w:firstLine="317"/>
              <w:jc w:val="both"/>
              <w:rPr>
                <w:b/>
                <w:color w:val="000000" w:themeColor="text1"/>
              </w:rPr>
            </w:pPr>
            <w:r w:rsidRPr="00BB46BB">
              <w:rPr>
                <w:color w:val="000000" w:themeColor="text1"/>
              </w:rPr>
              <w:t xml:space="preserve">Papildus Ministru kabinetā 2014.gada 10.novembra sēdē (protokols Nr.61, 27.paragrāfs) apstiprinātajai Veselības </w:t>
            </w:r>
            <w:r w:rsidRPr="00BB46BB">
              <w:rPr>
                <w:color w:val="000000" w:themeColor="text1"/>
              </w:rPr>
              <w:lastRenderedPageBreak/>
              <w:t xml:space="preserve">ministrijas aktualizētajai valsts pamatbudžeta bāzei 2015., 2016. un 2017.gadam  Ministru kabinetā 2014.gada 10.novembra sēdē (protokols Nr.61, 28.paragrāfs) un Ministru kabinetā 2014.gada 12.novembra sēdē (protokols Nr.62, 2.paragrāfs) tika atbalstīta valsts budžetu līdzekļu novirzīšana jaunajām politikas iniciatīvām 2015., 2016. un 2017.gadā t.sk. programmas 33.00.00 „Veselības aprūpes nodrošināšana” apakšprogrammā 33.01.00 „Ārstniecība”: </w:t>
            </w:r>
            <w:r w:rsidRPr="00BB46BB">
              <w:rPr>
                <w:b/>
                <w:color w:val="000000" w:themeColor="text1"/>
              </w:rPr>
              <w:t>2015.gadā 24 708  760 EUR:</w:t>
            </w:r>
          </w:p>
          <w:p w:rsidR="00E3541D" w:rsidRPr="00BB46BB" w:rsidRDefault="00E3541D" w:rsidP="00A61A26">
            <w:pPr>
              <w:pStyle w:val="ListParagraph"/>
              <w:numPr>
                <w:ilvl w:val="0"/>
                <w:numId w:val="1"/>
              </w:numPr>
              <w:ind w:left="714" w:hanging="357"/>
              <w:jc w:val="both"/>
              <w:rPr>
                <w:color w:val="000000" w:themeColor="text1"/>
              </w:rPr>
            </w:pPr>
            <w:r w:rsidRPr="00BB46BB">
              <w:rPr>
                <w:color w:val="000000" w:themeColor="text1"/>
              </w:rPr>
              <w:t xml:space="preserve">Minimālās algas kompensācija veselības aprūpes pakalpojumu tarifos – 7 700 753 EUR; </w:t>
            </w:r>
          </w:p>
          <w:p w:rsidR="00E3541D" w:rsidRPr="00BB46BB" w:rsidRDefault="00E3541D" w:rsidP="00A61A26">
            <w:pPr>
              <w:pStyle w:val="ListParagraph"/>
              <w:numPr>
                <w:ilvl w:val="0"/>
                <w:numId w:val="1"/>
              </w:numPr>
              <w:ind w:left="714" w:hanging="357"/>
              <w:jc w:val="both"/>
              <w:rPr>
                <w:color w:val="000000" w:themeColor="text1"/>
              </w:rPr>
            </w:pPr>
            <w:r w:rsidRPr="00BB46BB">
              <w:rPr>
                <w:color w:val="000000" w:themeColor="text1"/>
              </w:rPr>
              <w:t>Ambulatoro veselības aprūpes pakalpojumu gaidīšanas rindu samazināšana un reģionālās pieejamības uzlabošana – 9 859 002 EUR;</w:t>
            </w:r>
          </w:p>
          <w:p w:rsidR="00E3541D" w:rsidRPr="00BB46BB" w:rsidRDefault="00E3541D" w:rsidP="00A61A26">
            <w:pPr>
              <w:pStyle w:val="ListParagraph"/>
              <w:numPr>
                <w:ilvl w:val="0"/>
                <w:numId w:val="1"/>
              </w:numPr>
              <w:ind w:left="714" w:hanging="357"/>
              <w:jc w:val="both"/>
              <w:rPr>
                <w:color w:val="000000" w:themeColor="text1"/>
              </w:rPr>
            </w:pPr>
            <w:r w:rsidRPr="00BB46BB">
              <w:rPr>
                <w:color w:val="000000" w:themeColor="text1"/>
              </w:rPr>
              <w:t>Stacionāro pakalpojumu apjoma palielināšana, palielinot plānveida hospitalizāciju apjomu – 4 405 203 EUR;</w:t>
            </w:r>
          </w:p>
          <w:p w:rsidR="00A75F41" w:rsidRPr="00BB46BB" w:rsidRDefault="00E3541D" w:rsidP="00A75F41">
            <w:pPr>
              <w:pStyle w:val="ListParagraph"/>
              <w:numPr>
                <w:ilvl w:val="0"/>
                <w:numId w:val="1"/>
              </w:numPr>
              <w:ind w:left="714" w:hanging="357"/>
              <w:jc w:val="both"/>
              <w:rPr>
                <w:color w:val="000000" w:themeColor="text1"/>
              </w:rPr>
            </w:pPr>
            <w:r w:rsidRPr="00BB46BB">
              <w:rPr>
                <w:color w:val="000000" w:themeColor="text1"/>
              </w:rPr>
              <w:t>Pacientu iemaksu un līdzmaksājumu samazinājums – 2 743 802 EUR.</w:t>
            </w:r>
            <w:r w:rsidR="00A75F41" w:rsidRPr="00BB46BB">
              <w:rPr>
                <w:color w:val="000000" w:themeColor="text1"/>
              </w:rPr>
              <w:t xml:space="preserve"> (Ar 2015.gadu tiks samazināta pacientu iemaksa par ārstēšanos diennakts stacionārā – slimnīcā, sākot ar otro dienu no 13,52 EUR uz 10 EUR, kā arī tiks samazināts pacienta </w:t>
            </w:r>
            <w:proofErr w:type="spellStart"/>
            <w:r w:rsidR="00A75F41" w:rsidRPr="00BB46BB">
              <w:rPr>
                <w:color w:val="000000" w:themeColor="text1"/>
              </w:rPr>
              <w:t>līdzmaksājums</w:t>
            </w:r>
            <w:proofErr w:type="spellEnd"/>
            <w:r w:rsidR="00A75F41" w:rsidRPr="00BB46BB">
              <w:rPr>
                <w:color w:val="000000" w:themeColor="text1"/>
              </w:rPr>
              <w:t xml:space="preserve">, kuru, sniedzot stacionāros veselības aprūpes pakalpojumus, ārstniecības iestāde papildus pacientu iemaksai līdz šim var iekasēt ne vairāk kā 42,69 EUR par vienā </w:t>
            </w:r>
            <w:proofErr w:type="spellStart"/>
            <w:r w:rsidR="00A75F41" w:rsidRPr="00BB46BB">
              <w:rPr>
                <w:color w:val="000000" w:themeColor="text1"/>
              </w:rPr>
              <w:t>stacionēšanas</w:t>
            </w:r>
            <w:proofErr w:type="spellEnd"/>
            <w:r w:rsidR="00A75F41" w:rsidRPr="00BB46BB">
              <w:rPr>
                <w:color w:val="000000" w:themeColor="text1"/>
              </w:rPr>
              <w:t xml:space="preserve"> reizē operāciju zālē veiktajām ķirurģiskajām operācijām, turpmāk paredzēts, ka varēs iekasēt ne vairāk kā 31 EUR. Lai Veselības ministrija varētu nodrošināt iepriekš minēto pacientu iemaksu un </w:t>
            </w:r>
            <w:proofErr w:type="spellStart"/>
            <w:r w:rsidR="00A75F41" w:rsidRPr="00BB46BB">
              <w:rPr>
                <w:color w:val="000000" w:themeColor="text1"/>
              </w:rPr>
              <w:t>līdzmaksājumu</w:t>
            </w:r>
            <w:proofErr w:type="spellEnd"/>
            <w:r w:rsidR="00A75F41" w:rsidRPr="00BB46BB">
              <w:rPr>
                <w:color w:val="000000" w:themeColor="text1"/>
              </w:rPr>
              <w:t xml:space="preserve"> samazinājumu, 2014.gada 12.novembra Ministru kabineta sēdē (prot. Nr.62, 2.§) tika atbalstīta papildus finansējuma piešķiršana Veselības ministrijai 2 743 802 EUR, kas nodrošinātu pacientu </w:t>
            </w:r>
            <w:proofErr w:type="spellStart"/>
            <w:r w:rsidR="00A75F41" w:rsidRPr="00BB46BB">
              <w:rPr>
                <w:color w:val="000000" w:themeColor="text1"/>
              </w:rPr>
              <w:t>līdzmaksājuma</w:t>
            </w:r>
            <w:proofErr w:type="spellEnd"/>
            <w:r w:rsidR="00A75F41" w:rsidRPr="00BB46BB">
              <w:rPr>
                <w:color w:val="000000" w:themeColor="text1"/>
              </w:rPr>
              <w:t xml:space="preserve"> par veiktajām ķirurģiskajām operācijām samazinājumu līdz 31 EUR un pacientu iemaksas par ārstēšanos slimnīcā samazinājumu līdz 11,50 EUR. Savukārt veicot iekšējo finanšu līdzekļu pārdali 1 635 964 EUR veselības nozarei piešķirtā finansējuma ietvaros, pacientu iemaksa par ārstēšanos slimnīcā tiks samazināta līdz 10 EUR.).</w:t>
            </w:r>
          </w:p>
          <w:p w:rsidR="00E3541D" w:rsidRPr="00BB46BB" w:rsidRDefault="00E3541D" w:rsidP="00A75F41">
            <w:pPr>
              <w:ind w:left="357"/>
              <w:jc w:val="both"/>
              <w:rPr>
                <w:color w:val="000000" w:themeColor="text1"/>
              </w:rPr>
            </w:pPr>
          </w:p>
          <w:p w:rsidR="00E3541D" w:rsidRPr="00BB46BB" w:rsidRDefault="00E3541D" w:rsidP="0085110E">
            <w:pPr>
              <w:jc w:val="both"/>
              <w:rPr>
                <w:b/>
                <w:color w:val="000000" w:themeColor="text1"/>
              </w:rPr>
            </w:pPr>
            <w:r w:rsidRPr="00BB46BB">
              <w:rPr>
                <w:b/>
                <w:color w:val="000000" w:themeColor="text1"/>
              </w:rPr>
              <w:t>2016.-2017.gadā  ik gadu 24 713 856 EUR:</w:t>
            </w:r>
          </w:p>
          <w:p w:rsidR="00E3541D" w:rsidRPr="00BB46BB" w:rsidRDefault="00E3541D" w:rsidP="00A61A26">
            <w:pPr>
              <w:pStyle w:val="ListParagraph"/>
              <w:numPr>
                <w:ilvl w:val="0"/>
                <w:numId w:val="1"/>
              </w:numPr>
              <w:jc w:val="both"/>
              <w:rPr>
                <w:color w:val="000000" w:themeColor="text1"/>
              </w:rPr>
            </w:pPr>
            <w:r w:rsidRPr="00BB46BB">
              <w:rPr>
                <w:color w:val="000000" w:themeColor="text1"/>
              </w:rPr>
              <w:t xml:space="preserve">Minimālās algas kompensācija veselības aprūpes pakalpojumu tarifos – 7 700 753 EUR; </w:t>
            </w:r>
          </w:p>
          <w:p w:rsidR="00E3541D" w:rsidRPr="00BB46BB" w:rsidRDefault="00E3541D" w:rsidP="00A61A26">
            <w:pPr>
              <w:pStyle w:val="ListParagraph"/>
              <w:numPr>
                <w:ilvl w:val="0"/>
                <w:numId w:val="1"/>
              </w:numPr>
              <w:jc w:val="both"/>
              <w:rPr>
                <w:color w:val="000000" w:themeColor="text1"/>
              </w:rPr>
            </w:pPr>
            <w:r w:rsidRPr="00BB46BB">
              <w:rPr>
                <w:color w:val="000000" w:themeColor="text1"/>
              </w:rPr>
              <w:t>Ambulatoro veselības aprūpes pakalpojumu gaidīšanas rindu samazināšana un reģionālās pieejamības uzlabošana – 9 864 098 EUR;</w:t>
            </w:r>
          </w:p>
          <w:p w:rsidR="00E3541D" w:rsidRPr="00BB46BB" w:rsidRDefault="00E3541D" w:rsidP="00A61A26">
            <w:pPr>
              <w:pStyle w:val="ListParagraph"/>
              <w:numPr>
                <w:ilvl w:val="0"/>
                <w:numId w:val="1"/>
              </w:numPr>
              <w:jc w:val="both"/>
              <w:rPr>
                <w:color w:val="000000" w:themeColor="text1"/>
              </w:rPr>
            </w:pPr>
            <w:r w:rsidRPr="00BB46BB">
              <w:rPr>
                <w:color w:val="000000" w:themeColor="text1"/>
              </w:rPr>
              <w:t>Stacionāro pakalpojumu apjoma palielināšana, palielinot plānveida hospitalizāciju apjomu – 4 405 203 EUR;</w:t>
            </w:r>
          </w:p>
          <w:p w:rsidR="00A75F41" w:rsidRPr="00BB46BB" w:rsidRDefault="00E3541D" w:rsidP="00A75F41">
            <w:pPr>
              <w:pStyle w:val="ListParagraph"/>
              <w:numPr>
                <w:ilvl w:val="0"/>
                <w:numId w:val="1"/>
              </w:numPr>
              <w:ind w:left="714" w:hanging="357"/>
              <w:jc w:val="both"/>
              <w:rPr>
                <w:color w:val="000000" w:themeColor="text1"/>
              </w:rPr>
            </w:pPr>
            <w:r w:rsidRPr="00BB46BB">
              <w:rPr>
                <w:color w:val="000000" w:themeColor="text1"/>
              </w:rPr>
              <w:t>Pacientu iemaksu un līdzmaksājumu samazinājums – 2 743 802 EUR.</w:t>
            </w:r>
            <w:r w:rsidR="00A75F41" w:rsidRPr="00BB46BB">
              <w:rPr>
                <w:color w:val="000000" w:themeColor="text1"/>
              </w:rPr>
              <w:t xml:space="preserve"> (Ar 2015.gadu tiks samazināta pacientu iemaksa par ārstēšanos diennakts stacionārā – slimnīcā, sākot ar otro dienu no 13,52 EUR uz 10 EUR, kā arī tiks samazināts pacienta </w:t>
            </w:r>
            <w:proofErr w:type="spellStart"/>
            <w:r w:rsidR="00A75F41" w:rsidRPr="00BB46BB">
              <w:rPr>
                <w:color w:val="000000" w:themeColor="text1"/>
              </w:rPr>
              <w:t>līdzmaksājums</w:t>
            </w:r>
            <w:proofErr w:type="spellEnd"/>
            <w:r w:rsidR="00A75F41" w:rsidRPr="00BB46BB">
              <w:rPr>
                <w:color w:val="000000" w:themeColor="text1"/>
              </w:rPr>
              <w:t xml:space="preserve">, kuru, sniedzot </w:t>
            </w:r>
            <w:r w:rsidR="00A75F41" w:rsidRPr="00BB46BB">
              <w:rPr>
                <w:color w:val="000000" w:themeColor="text1"/>
              </w:rPr>
              <w:lastRenderedPageBreak/>
              <w:t xml:space="preserve">stacionāros veselības aprūpes pakalpojumus, ārstniecības iestāde papildus pacientu iemaksai līdz šim var iekasēt ne vairāk kā 42,69 EUR par vienā </w:t>
            </w:r>
            <w:proofErr w:type="spellStart"/>
            <w:r w:rsidR="00A75F41" w:rsidRPr="00BB46BB">
              <w:rPr>
                <w:color w:val="000000" w:themeColor="text1"/>
              </w:rPr>
              <w:t>stacionēšanas</w:t>
            </w:r>
            <w:proofErr w:type="spellEnd"/>
            <w:r w:rsidR="00A75F41" w:rsidRPr="00BB46BB">
              <w:rPr>
                <w:color w:val="000000" w:themeColor="text1"/>
              </w:rPr>
              <w:t xml:space="preserve"> reizē operāciju zālē veiktajām ķirurģiskajām operācijām, turpmāk paredzēts, ka varēs iekasēt ne vairāk kā 31 EUR. Lai Veselības ministrija varētu nodrošināt iepriekš minēto pacientu iemaksu un </w:t>
            </w:r>
            <w:proofErr w:type="spellStart"/>
            <w:r w:rsidR="00A75F41" w:rsidRPr="00BB46BB">
              <w:rPr>
                <w:color w:val="000000" w:themeColor="text1"/>
              </w:rPr>
              <w:t>līdzmaksājumu</w:t>
            </w:r>
            <w:proofErr w:type="spellEnd"/>
            <w:r w:rsidR="00A75F41" w:rsidRPr="00BB46BB">
              <w:rPr>
                <w:color w:val="000000" w:themeColor="text1"/>
              </w:rPr>
              <w:t xml:space="preserve"> samazinājumu, 2014.gada 12.novembra Ministru kabineta sēdē (prot. Nr.62, 2.§) tika atbalstīta papildus finansējuma piešķiršana Veselības ministrijai 2 743 802 EUR, kas nodrošinātu pacientu </w:t>
            </w:r>
            <w:proofErr w:type="spellStart"/>
            <w:r w:rsidR="00A75F41" w:rsidRPr="00BB46BB">
              <w:rPr>
                <w:color w:val="000000" w:themeColor="text1"/>
              </w:rPr>
              <w:t>līdzmaksājuma</w:t>
            </w:r>
            <w:proofErr w:type="spellEnd"/>
            <w:r w:rsidR="00A75F41" w:rsidRPr="00BB46BB">
              <w:rPr>
                <w:color w:val="000000" w:themeColor="text1"/>
              </w:rPr>
              <w:t xml:space="preserve"> par veiktajām ķirurģiskajām operācijām samazinājumu līdz 31 EUR un pacientu iemaksas par ārstēšanos slimnīcā samazinājumu līdz 11,50 EUR. Savukārt veicot iekšējo finanšu līdzekļu pārdali 1 635 964 EUR veselības nozarei piešķirtā finansējuma ietvaros, pacientu iemaksa par ārstēšanos slimnīcā tiks samazināta līdz 10 EUR.).</w:t>
            </w:r>
          </w:p>
          <w:p w:rsidR="00B8317A" w:rsidRDefault="00B8317A" w:rsidP="00B8317A">
            <w:pPr>
              <w:ind w:firstLine="403"/>
              <w:jc w:val="both"/>
              <w:rPr>
                <w:color w:val="FF0000"/>
              </w:rPr>
            </w:pPr>
          </w:p>
          <w:p w:rsidR="00B8317A" w:rsidRPr="00D91DA5" w:rsidRDefault="00B8317A" w:rsidP="00B8317A">
            <w:pPr>
              <w:ind w:firstLine="403"/>
              <w:jc w:val="both"/>
            </w:pPr>
            <w:r w:rsidRPr="00D91DA5">
              <w:t>Izmaiņas (starpība) 25 785 883 EUR apmērā 2015.gadā ir ieņēmumu un izdevumu izmaiņas apakšprogrammā 33.01.00 „Ārstniecība” salīdzinājumā ar likumā „Par valsts budžetu 2014.gadam” plānoto, tai skaitā jaunajām politikas iniciatīvām 2015.-2017.gadam tika piešķirts papildus finansējums 2015.gadam 24 708 760</w:t>
            </w:r>
            <w:r w:rsidRPr="00D91DA5">
              <w:rPr>
                <w:b/>
              </w:rPr>
              <w:t xml:space="preserve"> </w:t>
            </w:r>
            <w:r w:rsidR="00D91DA5" w:rsidRPr="00D91DA5">
              <w:t>EUR</w:t>
            </w:r>
            <w:r w:rsidR="00D91DA5">
              <w:rPr>
                <w:b/>
              </w:rPr>
              <w:t xml:space="preserve"> </w:t>
            </w:r>
            <w:r w:rsidRPr="00D91DA5">
              <w:t xml:space="preserve">apmērā. </w:t>
            </w:r>
          </w:p>
          <w:p w:rsidR="00E3541D" w:rsidRPr="00BB46BB" w:rsidRDefault="00B8317A" w:rsidP="00D91DA5">
            <w:pPr>
              <w:ind w:firstLine="403"/>
              <w:jc w:val="both"/>
              <w:rPr>
                <w:color w:val="000000" w:themeColor="text1"/>
              </w:rPr>
            </w:pPr>
            <w:r w:rsidRPr="00D91DA5">
              <w:t>Izmaiņas (starpība) 25 790 979 EUR apmērā 2016. un 2017.gadā ir ieņēmumu un izdevumu izmaiņas apakšprogrammā 33.01.00 „Ārstniecība” salīdzinājumā ar likumā „Par valsts budžetu 2014.gadam” plānoto, tai skaitā jaunajām politikas iniciatīvās  2015.-2017.gadam tika piešķirts papildus finansējums 2016. un 2017.gadam ik gadu 24 713 856</w:t>
            </w:r>
            <w:r w:rsidRPr="00D91DA5">
              <w:rPr>
                <w:b/>
              </w:rPr>
              <w:t xml:space="preserve"> </w:t>
            </w:r>
            <w:r w:rsidR="00D91DA5" w:rsidRPr="00D91DA5">
              <w:t>EUR</w:t>
            </w:r>
            <w:r w:rsidRPr="00D91DA5">
              <w:t xml:space="preserve"> apmērā.</w:t>
            </w: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6.1. detalizēts ieņēmumu aprēķins</w:t>
            </w:r>
          </w:p>
        </w:tc>
        <w:tc>
          <w:tcPr>
            <w:tcW w:w="3415" w:type="pct"/>
            <w:gridSpan w:val="5"/>
            <w:vMerge/>
          </w:tcPr>
          <w:p w:rsidR="00E3541D" w:rsidRPr="00BB46BB" w:rsidRDefault="00E3541D" w:rsidP="00630D48">
            <w:pPr>
              <w:autoSpaceDE w:val="0"/>
              <w:autoSpaceDN w:val="0"/>
              <w:adjustRightInd w:val="0"/>
              <w:rPr>
                <w:noProof/>
                <w:color w:val="000000" w:themeColor="text1"/>
              </w:rPr>
            </w:pPr>
          </w:p>
        </w:tc>
      </w:tr>
      <w:tr w:rsidR="00E3541D" w:rsidRPr="00BB46BB" w:rsidTr="00630D48">
        <w:tc>
          <w:tcPr>
            <w:tcW w:w="1585" w:type="pct"/>
          </w:tcPr>
          <w:p w:rsidR="00E3541D" w:rsidRPr="00BB46BB" w:rsidRDefault="00E3541D" w:rsidP="00630D48">
            <w:pPr>
              <w:spacing w:before="100" w:beforeAutospacing="1" w:after="100" w:afterAutospacing="1"/>
              <w:ind w:left="284"/>
              <w:rPr>
                <w:color w:val="000000" w:themeColor="text1"/>
                <w:lang w:eastAsia="lv-LV" w:bidi="lo-LA"/>
              </w:rPr>
            </w:pPr>
            <w:r w:rsidRPr="00BB46BB">
              <w:rPr>
                <w:color w:val="000000" w:themeColor="text1"/>
                <w:lang w:eastAsia="lv-LV" w:bidi="lo-LA"/>
              </w:rPr>
              <w:t> 6.2. detalizēts izdevumu aprēķins</w:t>
            </w:r>
          </w:p>
        </w:tc>
        <w:tc>
          <w:tcPr>
            <w:tcW w:w="3415" w:type="pct"/>
            <w:gridSpan w:val="5"/>
            <w:vMerge/>
          </w:tcPr>
          <w:p w:rsidR="00E3541D" w:rsidRPr="00BB46BB" w:rsidRDefault="00E3541D" w:rsidP="00630D48">
            <w:pPr>
              <w:autoSpaceDE w:val="0"/>
              <w:autoSpaceDN w:val="0"/>
              <w:adjustRightInd w:val="0"/>
              <w:rPr>
                <w:noProof/>
                <w:color w:val="000000" w:themeColor="text1"/>
              </w:rPr>
            </w:pPr>
          </w:p>
        </w:tc>
      </w:tr>
      <w:tr w:rsidR="00E3541D" w:rsidRPr="00BB46BB" w:rsidTr="00630D48">
        <w:tc>
          <w:tcPr>
            <w:tcW w:w="1585" w:type="pct"/>
          </w:tcPr>
          <w:p w:rsidR="00E3541D" w:rsidRPr="00BB46BB" w:rsidRDefault="00E3541D" w:rsidP="00630D48">
            <w:pPr>
              <w:spacing w:before="100" w:beforeAutospacing="1" w:after="100" w:afterAutospacing="1"/>
              <w:rPr>
                <w:color w:val="000000" w:themeColor="text1"/>
                <w:lang w:eastAsia="lv-LV" w:bidi="lo-LA"/>
              </w:rPr>
            </w:pPr>
            <w:r w:rsidRPr="00BB46BB">
              <w:rPr>
                <w:color w:val="000000" w:themeColor="text1"/>
                <w:lang w:eastAsia="lv-LV" w:bidi="lo-LA"/>
              </w:rPr>
              <w:lastRenderedPageBreak/>
              <w:t> 7. Cita informācija</w:t>
            </w:r>
          </w:p>
        </w:tc>
        <w:tc>
          <w:tcPr>
            <w:tcW w:w="3415" w:type="pct"/>
            <w:gridSpan w:val="5"/>
          </w:tcPr>
          <w:p w:rsidR="00E3541D" w:rsidRPr="00BB46BB" w:rsidRDefault="00E3541D" w:rsidP="00630D48">
            <w:pPr>
              <w:tabs>
                <w:tab w:val="left" w:pos="709"/>
              </w:tabs>
              <w:spacing w:after="120"/>
              <w:ind w:firstLine="402"/>
              <w:jc w:val="both"/>
              <w:rPr>
                <w:color w:val="000000" w:themeColor="text1"/>
              </w:rPr>
            </w:pPr>
            <w:r w:rsidRPr="00BB46BB">
              <w:rPr>
                <w:color w:val="000000" w:themeColor="text1"/>
              </w:rPr>
              <w:t>Noteikumu projektā paredzēto veselības jomas pasākumu īstenošana tiks nodrošināta Veselības ministrijai piešķirto valsts budžeta līdzekļu ietvaros.</w:t>
            </w:r>
          </w:p>
        </w:tc>
      </w:tr>
    </w:tbl>
    <w:p w:rsidR="002C0406" w:rsidRPr="00BB46BB" w:rsidRDefault="002C0406" w:rsidP="00BF6E4D">
      <w:pPr>
        <w:jc w:val="center"/>
        <w:rPr>
          <w:b/>
          <w:color w:val="000000" w:themeColor="text1"/>
        </w:rPr>
      </w:pPr>
    </w:p>
    <w:p w:rsidR="006218C3" w:rsidRPr="00BB46BB" w:rsidRDefault="006218C3" w:rsidP="00BF6E4D">
      <w:pPr>
        <w:jc w:val="center"/>
        <w:rPr>
          <w:b/>
          <w:iCs/>
          <w:color w:val="000000" w:themeColor="text1"/>
        </w:rPr>
      </w:pPr>
      <w:r w:rsidRPr="00BB46BB">
        <w:rPr>
          <w:b/>
          <w:bCs/>
          <w:color w:val="000000" w:themeColor="text1"/>
        </w:rPr>
        <w:t>IV</w:t>
      </w:r>
      <w:r w:rsidR="00D35494" w:rsidRPr="00BB46BB">
        <w:rPr>
          <w:b/>
          <w:bCs/>
          <w:color w:val="000000" w:themeColor="text1"/>
        </w:rPr>
        <w:t>. sadaļa</w:t>
      </w:r>
      <w:r w:rsidRPr="00BB46BB">
        <w:rPr>
          <w:b/>
          <w:bCs/>
          <w:color w:val="000000" w:themeColor="text1"/>
        </w:rPr>
        <w:t xml:space="preserve"> -</w:t>
      </w:r>
      <w:r w:rsidRPr="00BB46BB">
        <w:rPr>
          <w:b/>
          <w:iCs/>
          <w:color w:val="000000" w:themeColor="text1"/>
        </w:rPr>
        <w:t xml:space="preserve"> </w:t>
      </w:r>
      <w:r w:rsidR="0039112A" w:rsidRPr="00BB46BB">
        <w:rPr>
          <w:b/>
          <w:iCs/>
          <w:color w:val="000000" w:themeColor="text1"/>
        </w:rPr>
        <w:t>p</w:t>
      </w:r>
      <w:r w:rsidRPr="00BB46BB">
        <w:rPr>
          <w:b/>
          <w:iCs/>
          <w:color w:val="000000" w:themeColor="text1"/>
        </w:rPr>
        <w:t>rojekts šo jomu neskar</w:t>
      </w:r>
    </w:p>
    <w:p w:rsidR="002238F5" w:rsidRPr="00BB46BB" w:rsidRDefault="002238F5" w:rsidP="00BF6E4D">
      <w:pPr>
        <w:jc w:val="center"/>
        <w:rPr>
          <w:b/>
          <w:iCs/>
          <w:color w:val="000000" w:themeColor="text1"/>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1"/>
        <w:gridCol w:w="2372"/>
        <w:gridCol w:w="462"/>
        <w:gridCol w:w="1808"/>
        <w:gridCol w:w="2080"/>
        <w:gridCol w:w="2066"/>
      </w:tblGrid>
      <w:tr w:rsidR="002238F5" w:rsidRPr="00BB46BB" w:rsidTr="0090011E">
        <w:trPr>
          <w:cantSplit/>
          <w:trHeight w:val="523"/>
        </w:trPr>
        <w:tc>
          <w:tcPr>
            <w:tcW w:w="5000" w:type="pct"/>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2238F5" w:rsidRPr="00BB46BB" w:rsidRDefault="002238F5" w:rsidP="002238F5">
            <w:pPr>
              <w:ind w:left="398" w:hanging="341"/>
              <w:jc w:val="center"/>
              <w:rPr>
                <w:b/>
                <w:color w:val="000000" w:themeColor="text1"/>
              </w:rPr>
            </w:pPr>
            <w:r w:rsidRPr="00BB46BB">
              <w:rPr>
                <w:b/>
                <w:color w:val="000000" w:themeColor="text1"/>
              </w:rPr>
              <w:t>V. Tiesību akta projekta atbilstība Latvijas Republikas starptautiskajām saistībām</w:t>
            </w:r>
          </w:p>
        </w:tc>
      </w:tr>
      <w:tr w:rsidR="002238F5" w:rsidRPr="00BB46BB" w:rsidTr="0090011E">
        <w:tc>
          <w:tcPr>
            <w:tcW w:w="30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1.</w:t>
            </w:r>
          </w:p>
        </w:tc>
        <w:tc>
          <w:tcPr>
            <w:tcW w:w="1514"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Saistības pret Eiropas Savienību</w:t>
            </w:r>
          </w:p>
        </w:tc>
        <w:tc>
          <w:tcPr>
            <w:tcW w:w="3181"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pStyle w:val="naisf"/>
              <w:rPr>
                <w:rStyle w:val="Emphasis"/>
                <w:color w:val="000000" w:themeColor="text1"/>
              </w:rPr>
            </w:pPr>
            <w:r w:rsidRPr="00BB46BB">
              <w:rPr>
                <w:color w:val="000000" w:themeColor="text1"/>
              </w:rPr>
              <w:t xml:space="preserve">Eiropas Parlamenta un Padomes 2011.gada 9.marta Direktīvas </w:t>
            </w:r>
            <w:hyperlink r:id="rId8" w:tgtFrame="_blank" w:tooltip="DIREKTĪVA" w:history="1">
              <w:r w:rsidRPr="00BB46BB">
                <w:rPr>
                  <w:rStyle w:val="Hyperlink"/>
                  <w:color w:val="000000" w:themeColor="text1"/>
                  <w:u w:val="none"/>
                </w:rPr>
                <w:t>2011/24/E</w:t>
              </w:r>
            </w:hyperlink>
            <w:r w:rsidRPr="00BB46BB">
              <w:rPr>
                <w:color w:val="000000" w:themeColor="text1"/>
              </w:rPr>
              <w:t xml:space="preserve">S </w:t>
            </w:r>
            <w:r w:rsidRPr="00BB46BB">
              <w:rPr>
                <w:bCs/>
                <w:color w:val="000000" w:themeColor="text1"/>
              </w:rPr>
              <w:t>par pacientu tiesību piemērošanu pārrobežu veselības aprūpē</w:t>
            </w:r>
            <w:r w:rsidRPr="00BB46BB">
              <w:rPr>
                <w:color w:val="000000" w:themeColor="text1"/>
              </w:rPr>
              <w:t xml:space="preserve"> (</w:t>
            </w:r>
            <w:proofErr w:type="spellStart"/>
            <w:r w:rsidRPr="00BB46BB">
              <w:rPr>
                <w:i/>
                <w:color w:val="000000" w:themeColor="text1"/>
              </w:rPr>
              <w:t>Official</w:t>
            </w:r>
            <w:proofErr w:type="spellEnd"/>
            <w:r w:rsidRPr="00BB46BB">
              <w:rPr>
                <w:i/>
                <w:color w:val="000000" w:themeColor="text1"/>
              </w:rPr>
              <w:t xml:space="preserve"> </w:t>
            </w:r>
            <w:proofErr w:type="spellStart"/>
            <w:r w:rsidRPr="00BB46BB">
              <w:rPr>
                <w:i/>
                <w:color w:val="000000" w:themeColor="text1"/>
              </w:rPr>
              <w:t>Jurnal</w:t>
            </w:r>
            <w:proofErr w:type="spellEnd"/>
            <w:r w:rsidRPr="00BB46BB">
              <w:rPr>
                <w:i/>
                <w:color w:val="000000" w:themeColor="text1"/>
              </w:rPr>
              <w:t xml:space="preserve"> L</w:t>
            </w:r>
            <w:r w:rsidRPr="00BB46BB">
              <w:rPr>
                <w:rStyle w:val="Heading6Char"/>
                <w:color w:val="000000" w:themeColor="text1"/>
              </w:rPr>
              <w:t xml:space="preserve"> </w:t>
            </w:r>
            <w:r w:rsidRPr="00BB46BB">
              <w:rPr>
                <w:rStyle w:val="Heading6Char"/>
                <w:b/>
                <w:color w:val="000000" w:themeColor="text1"/>
              </w:rPr>
              <w:t>88/45</w:t>
            </w:r>
            <w:r w:rsidRPr="00BB46BB">
              <w:rPr>
                <w:rStyle w:val="Emphasis"/>
                <w:color w:val="000000" w:themeColor="text1"/>
              </w:rPr>
              <w:t>, 04/04/2011)</w:t>
            </w:r>
          </w:p>
          <w:p w:rsidR="004A09D2" w:rsidRPr="00BB46BB" w:rsidRDefault="004A09D2" w:rsidP="00DB2159">
            <w:pPr>
              <w:pStyle w:val="naisf"/>
              <w:rPr>
                <w:color w:val="000000" w:themeColor="text1"/>
              </w:rPr>
            </w:pPr>
            <w:r w:rsidRPr="00BB46BB">
              <w:rPr>
                <w:color w:val="000000" w:themeColor="text1"/>
              </w:rPr>
              <w:t xml:space="preserve">Eiropas Parlamenta un Padomes </w:t>
            </w:r>
            <w:r w:rsidR="00B25352" w:rsidRPr="00BB46BB">
              <w:rPr>
                <w:color w:val="000000" w:themeColor="text1"/>
              </w:rPr>
              <w:t xml:space="preserve">2011.gada 13.decembra </w:t>
            </w:r>
            <w:r w:rsidRPr="00BB46BB">
              <w:rPr>
                <w:color w:val="000000" w:themeColor="text1"/>
              </w:rPr>
              <w:t>direktīv</w:t>
            </w:r>
            <w:r w:rsidR="00837A8E" w:rsidRPr="00BB46BB">
              <w:rPr>
                <w:color w:val="000000" w:themeColor="text1"/>
              </w:rPr>
              <w:t>a</w:t>
            </w:r>
            <w:r w:rsidRPr="00BB46BB">
              <w:rPr>
                <w:color w:val="000000" w:themeColor="text1"/>
              </w:rPr>
              <w:t xml:space="preserve"> 2011/93/ES par seksuālās vardarbības pret bērniem, bērnu seksuālās izmantošanas un bērnu pornogrāfijas apkarošanu, un ar kuru aizstāj Padomes Pamatlēmumu 2004/68/TI</w:t>
            </w:r>
          </w:p>
        </w:tc>
      </w:tr>
      <w:tr w:rsidR="002238F5" w:rsidRPr="00BB46BB" w:rsidTr="0090011E">
        <w:tc>
          <w:tcPr>
            <w:tcW w:w="30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lastRenderedPageBreak/>
              <w:t>2.</w:t>
            </w:r>
          </w:p>
        </w:tc>
        <w:tc>
          <w:tcPr>
            <w:tcW w:w="1514"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Citas starptautiskās saistības</w:t>
            </w:r>
          </w:p>
        </w:tc>
        <w:tc>
          <w:tcPr>
            <w:tcW w:w="3181"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Nav</w:t>
            </w:r>
          </w:p>
        </w:tc>
      </w:tr>
      <w:tr w:rsidR="002238F5" w:rsidRPr="00BB46BB" w:rsidTr="0090011E">
        <w:tc>
          <w:tcPr>
            <w:tcW w:w="30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3.</w:t>
            </w:r>
          </w:p>
        </w:tc>
        <w:tc>
          <w:tcPr>
            <w:tcW w:w="1514"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Cita informācija</w:t>
            </w:r>
          </w:p>
        </w:tc>
        <w:tc>
          <w:tcPr>
            <w:tcW w:w="3181"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Nav.</w:t>
            </w:r>
          </w:p>
        </w:tc>
      </w:tr>
      <w:tr w:rsidR="002238F5" w:rsidRPr="00BB46BB" w:rsidTr="0090011E">
        <w:trPr>
          <w:cantSplit/>
          <w:trHeight w:val="523"/>
        </w:trPr>
        <w:tc>
          <w:tcPr>
            <w:tcW w:w="5000" w:type="pct"/>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2238F5" w:rsidRPr="00BB46BB" w:rsidRDefault="002238F5" w:rsidP="002238F5">
            <w:pPr>
              <w:ind w:left="398" w:hanging="341"/>
              <w:jc w:val="center"/>
              <w:rPr>
                <w:b/>
                <w:color w:val="000000" w:themeColor="text1"/>
              </w:rPr>
            </w:pPr>
            <w:r w:rsidRPr="00BB46BB">
              <w:rPr>
                <w:b/>
                <w:color w:val="000000" w:themeColor="text1"/>
              </w:rPr>
              <w:t>1.tabula</w:t>
            </w:r>
          </w:p>
          <w:p w:rsidR="002238F5" w:rsidRPr="00BB46BB" w:rsidRDefault="002238F5" w:rsidP="002238F5">
            <w:pPr>
              <w:ind w:left="57"/>
              <w:jc w:val="center"/>
              <w:rPr>
                <w:b/>
                <w:color w:val="000000" w:themeColor="text1"/>
              </w:rPr>
            </w:pPr>
            <w:r w:rsidRPr="00BB46BB">
              <w:rPr>
                <w:b/>
                <w:color w:val="000000" w:themeColor="text1"/>
              </w:rPr>
              <w:t>Tiesību akta projekta atbilstība ES tiesību aktiem</w:t>
            </w:r>
          </w:p>
        </w:tc>
      </w:tr>
      <w:tr w:rsidR="002238F5" w:rsidRPr="00BB46BB" w:rsidTr="0090011E">
        <w:trPr>
          <w:cantSplit/>
          <w:trHeight w:val="653"/>
        </w:trPr>
        <w:tc>
          <w:tcPr>
            <w:tcW w:w="278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ind w:left="57"/>
              <w:rPr>
                <w:color w:val="000000" w:themeColor="text1"/>
              </w:rPr>
            </w:pPr>
            <w:r w:rsidRPr="00BB46BB">
              <w:rPr>
                <w:color w:val="000000" w:themeColor="text1"/>
              </w:rPr>
              <w:t>Attiecīgā ES tiesību akta datums, numurs un nosaukums</w:t>
            </w:r>
          </w:p>
        </w:tc>
        <w:tc>
          <w:tcPr>
            <w:tcW w:w="222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jc w:val="both"/>
              <w:rPr>
                <w:color w:val="000000" w:themeColor="text1"/>
              </w:rPr>
            </w:pPr>
            <w:r w:rsidRPr="00BB46BB">
              <w:rPr>
                <w:color w:val="000000" w:themeColor="text1"/>
              </w:rPr>
              <w:t>Direktīva Nr.2011/24/ES</w:t>
            </w:r>
          </w:p>
          <w:p w:rsidR="00AB2D3D" w:rsidRPr="00BB46BB" w:rsidRDefault="00AB2D3D" w:rsidP="002238F5">
            <w:pPr>
              <w:jc w:val="both"/>
              <w:rPr>
                <w:color w:val="000000" w:themeColor="text1"/>
              </w:rPr>
            </w:pPr>
            <w:r w:rsidRPr="00BB46BB">
              <w:rPr>
                <w:color w:val="000000" w:themeColor="text1"/>
              </w:rPr>
              <w:t>Direktīva 2011/93/ES</w:t>
            </w:r>
          </w:p>
        </w:tc>
      </w:tr>
      <w:tr w:rsidR="002238F5" w:rsidRPr="00BB46BB" w:rsidTr="0090011E">
        <w:trPr>
          <w:cantSplit/>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2238F5" w:rsidRPr="00BB46BB" w:rsidRDefault="002238F5" w:rsidP="002238F5">
            <w:pPr>
              <w:ind w:left="57"/>
              <w:jc w:val="center"/>
              <w:rPr>
                <w:color w:val="000000" w:themeColor="text1"/>
              </w:rPr>
            </w:pPr>
            <w:r w:rsidRPr="00BB46BB">
              <w:rPr>
                <w:color w:val="000000" w:themeColor="text1"/>
              </w:rPr>
              <w:t>A</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2238F5" w:rsidRPr="00BB46BB" w:rsidRDefault="002238F5" w:rsidP="002238F5">
            <w:pPr>
              <w:ind w:left="57"/>
              <w:jc w:val="center"/>
              <w:rPr>
                <w:color w:val="000000" w:themeColor="text1"/>
              </w:rPr>
            </w:pPr>
            <w:r w:rsidRPr="00BB46BB">
              <w:rPr>
                <w:color w:val="000000" w:themeColor="text1"/>
              </w:rPr>
              <w:t>B</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2238F5" w:rsidRPr="00BB46BB" w:rsidRDefault="002238F5" w:rsidP="002238F5">
            <w:pPr>
              <w:ind w:left="57"/>
              <w:jc w:val="both"/>
              <w:rPr>
                <w:color w:val="000000" w:themeColor="text1"/>
              </w:rPr>
            </w:pPr>
            <w:r w:rsidRPr="00BB46BB">
              <w:rPr>
                <w:color w:val="000000" w:themeColor="text1"/>
              </w:rPr>
              <w:t>C</w:t>
            </w: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2238F5" w:rsidRPr="00BB46BB" w:rsidRDefault="002238F5" w:rsidP="002238F5">
            <w:pPr>
              <w:ind w:left="57"/>
              <w:jc w:val="center"/>
              <w:rPr>
                <w:color w:val="000000" w:themeColor="text1"/>
              </w:rPr>
            </w:pPr>
            <w:r w:rsidRPr="00BB46BB">
              <w:rPr>
                <w:color w:val="000000" w:themeColor="text1"/>
              </w:rPr>
              <w:t>D</w:t>
            </w:r>
          </w:p>
        </w:tc>
      </w:tr>
      <w:tr w:rsidR="002238F5" w:rsidRPr="00BB46BB" w:rsidTr="0090011E">
        <w:trPr>
          <w:trHeight w:val="2237"/>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spacing w:after="120"/>
              <w:ind w:left="57"/>
              <w:jc w:val="both"/>
              <w:rPr>
                <w:color w:val="000000" w:themeColor="text1"/>
                <w:spacing w:val="-3"/>
              </w:rPr>
            </w:pPr>
            <w:r w:rsidRPr="00BB46BB">
              <w:rPr>
                <w:color w:val="000000" w:themeColor="text1"/>
                <w:spacing w:val="-3"/>
              </w:rPr>
              <w:t>Attiecīgā ES tiesību akta panta numurs (uzskaitot katru tiesību akta vienību – pantu, daļu, punktu, apakšpunktu)</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spacing w:after="120"/>
              <w:ind w:left="57"/>
              <w:jc w:val="both"/>
              <w:rPr>
                <w:color w:val="000000" w:themeColor="text1"/>
                <w:spacing w:val="-3"/>
              </w:rPr>
            </w:pPr>
            <w:r w:rsidRPr="00BB46BB">
              <w:rPr>
                <w:color w:val="000000" w:themeColor="text1"/>
                <w:spacing w:val="-3"/>
              </w:rPr>
              <w:t>Projekta vienība, kas pārņem vai ievieš katru šīs tabulas A ailē minēto ES tiesību akta vienību, vai tiesību akts, kur attiecīgā ES tiesību akta vienība pārņemta vai ieviesta.</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jc w:val="both"/>
              <w:rPr>
                <w:color w:val="000000" w:themeColor="text1"/>
              </w:rPr>
            </w:pPr>
            <w:r w:rsidRPr="00BB46BB">
              <w:rPr>
                <w:color w:val="000000" w:themeColor="text1"/>
              </w:rPr>
              <w:t>Informācija par to, vai šīs tabulas A ailē minētās ES tiesību akta vienības tiek pārņemtas vai ieviestas pilnībā vai daļēji.</w:t>
            </w:r>
          </w:p>
          <w:p w:rsidR="002238F5" w:rsidRPr="00BB46BB" w:rsidRDefault="002238F5" w:rsidP="002238F5">
            <w:pPr>
              <w:jc w:val="both"/>
              <w:rPr>
                <w:color w:val="000000" w:themeColor="text1"/>
              </w:rPr>
            </w:pPr>
            <w:r w:rsidRPr="00BB46BB">
              <w:rPr>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2238F5" w:rsidRPr="00BB46BB" w:rsidRDefault="002238F5" w:rsidP="002238F5">
            <w:pPr>
              <w:spacing w:after="120"/>
              <w:ind w:left="57"/>
              <w:jc w:val="both"/>
              <w:rPr>
                <w:color w:val="000000" w:themeColor="text1"/>
                <w:spacing w:val="-3"/>
              </w:rPr>
            </w:pPr>
            <w:r w:rsidRPr="00BB46BB">
              <w:rPr>
                <w:color w:val="000000" w:themeColor="text1"/>
              </w:rPr>
              <w:t>Norāda institūciju, kas ir atbildīga par šo saistību izpildi pilnībā</w:t>
            </w: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8F5" w:rsidRPr="00BB46BB" w:rsidRDefault="002238F5" w:rsidP="002238F5">
            <w:pPr>
              <w:jc w:val="both"/>
              <w:rPr>
                <w:color w:val="000000" w:themeColor="text1"/>
              </w:rPr>
            </w:pPr>
            <w:r w:rsidRPr="00BB46BB">
              <w:rPr>
                <w:color w:val="000000" w:themeColor="text1"/>
              </w:rPr>
              <w:t>Informācija par to, vai šīs tabulas B ailē minētās projekta vienības paredz stingrākas prasības nekā šīs tabulas A ailē minētās ES tiesību akta vienības.</w:t>
            </w:r>
          </w:p>
          <w:p w:rsidR="002238F5" w:rsidRPr="00BB46BB" w:rsidRDefault="002238F5" w:rsidP="002238F5">
            <w:pPr>
              <w:jc w:val="both"/>
              <w:rPr>
                <w:color w:val="000000" w:themeColor="text1"/>
              </w:rPr>
            </w:pPr>
            <w:r w:rsidRPr="00BB46BB">
              <w:rPr>
                <w:color w:val="000000" w:themeColor="text1"/>
              </w:rPr>
              <w:t>Ja projekts satur stingrākas prasības nekā attiecīgais ES tiesību akts, norāda pamatojumu un samērīgumu.</w:t>
            </w:r>
          </w:p>
          <w:p w:rsidR="002238F5" w:rsidRPr="00BB46BB" w:rsidRDefault="002238F5" w:rsidP="002238F5">
            <w:pPr>
              <w:jc w:val="both"/>
              <w:rPr>
                <w:color w:val="000000" w:themeColor="text1"/>
              </w:rPr>
            </w:pPr>
            <w:r w:rsidRPr="00BB46BB">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111830" w:rsidRPr="00BB46BB" w:rsidTr="0090011E">
        <w:trPr>
          <w:cantSplit/>
          <w:trHeight w:val="1089"/>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111830">
            <w:pPr>
              <w:spacing w:after="120"/>
              <w:jc w:val="both"/>
              <w:rPr>
                <w:color w:val="000000" w:themeColor="text1"/>
                <w:spacing w:val="-3"/>
              </w:rPr>
            </w:pPr>
            <w:r w:rsidRPr="00BB46BB">
              <w:rPr>
                <w:color w:val="000000" w:themeColor="text1"/>
                <w:spacing w:val="-3"/>
              </w:rPr>
              <w:lastRenderedPageBreak/>
              <w:t>2011/24/ES</w:t>
            </w:r>
          </w:p>
          <w:p w:rsidR="00111830" w:rsidRPr="00BB46BB" w:rsidRDefault="00111830" w:rsidP="00111830">
            <w:pPr>
              <w:spacing w:after="120"/>
              <w:ind w:left="57"/>
              <w:rPr>
                <w:color w:val="000000" w:themeColor="text1"/>
                <w:spacing w:val="-3"/>
              </w:rPr>
            </w:pPr>
            <w:r w:rsidRPr="00BB46BB">
              <w:rPr>
                <w:color w:val="000000" w:themeColor="text1"/>
                <w:spacing w:val="-3"/>
              </w:rPr>
              <w:t>5.panta  b) apakšpunkts</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105E6" w:rsidRPr="00BB46BB" w:rsidRDefault="00111830" w:rsidP="00111830">
            <w:pPr>
              <w:spacing w:after="120"/>
              <w:rPr>
                <w:color w:val="000000" w:themeColor="text1"/>
                <w:spacing w:val="-3"/>
              </w:rPr>
            </w:pPr>
            <w:r w:rsidRPr="00BB46BB">
              <w:rPr>
                <w:color w:val="000000" w:themeColor="text1"/>
                <w:spacing w:val="-3"/>
              </w:rPr>
              <w:t xml:space="preserve">Direktīvas norma </w:t>
            </w:r>
            <w:r w:rsidR="00FD643F" w:rsidRPr="00BB46BB">
              <w:rPr>
                <w:color w:val="000000" w:themeColor="text1"/>
                <w:spacing w:val="-3"/>
              </w:rPr>
              <w:t xml:space="preserve">ir pārņemta un </w:t>
            </w:r>
            <w:r w:rsidRPr="00BB46BB">
              <w:rPr>
                <w:color w:val="000000" w:themeColor="text1"/>
                <w:spacing w:val="-3"/>
              </w:rPr>
              <w:t>tiek precizēta ar grozījumiem Ministru kabineta 2013.gada 17</w:t>
            </w:r>
            <w:r w:rsidR="00FD643F" w:rsidRPr="00BB46BB">
              <w:rPr>
                <w:color w:val="000000" w:themeColor="text1"/>
                <w:spacing w:val="-3"/>
              </w:rPr>
              <w:t xml:space="preserve">.decembra </w:t>
            </w:r>
            <w:r w:rsidRPr="00BB46BB">
              <w:rPr>
                <w:color w:val="000000" w:themeColor="text1"/>
                <w:spacing w:val="-3"/>
              </w:rPr>
              <w:t xml:space="preserve"> noteikumos Nr.1529 „Veselības aprūpes organizēšanas un finansēšanas kārtība”</w:t>
            </w:r>
            <w:r w:rsidR="00A105E6" w:rsidRPr="00BB46BB">
              <w:rPr>
                <w:color w:val="000000" w:themeColor="text1"/>
                <w:spacing w:val="-3"/>
              </w:rPr>
              <w:t xml:space="preserve"> 1.3. un 1.4.apakšpunkts</w:t>
            </w:r>
          </w:p>
          <w:p w:rsidR="00111830" w:rsidRPr="00BB46BB" w:rsidRDefault="00111830" w:rsidP="00111830">
            <w:pPr>
              <w:spacing w:after="120"/>
              <w:rPr>
                <w:color w:val="000000" w:themeColor="text1"/>
                <w:spacing w:val="-3"/>
              </w:rPr>
            </w:pPr>
            <w:r w:rsidRPr="00BB46BB">
              <w:rPr>
                <w:color w:val="000000" w:themeColor="text1"/>
                <w:spacing w:val="-3"/>
              </w:rPr>
              <w:t>(Noteikumu 10.punkta ievaddaļa un 10.3.apakšpunkts)</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111830">
            <w:pPr>
              <w:pStyle w:val="naisf"/>
              <w:spacing w:before="0" w:beforeAutospacing="0" w:after="0" w:afterAutospacing="0"/>
              <w:rPr>
                <w:color w:val="000000" w:themeColor="text1"/>
              </w:rPr>
            </w:pPr>
            <w:r w:rsidRPr="00BB46BB">
              <w:rPr>
                <w:color w:val="000000" w:themeColor="text1"/>
              </w:rPr>
              <w:t>Direktīvas norma pārņemta pilnībā</w:t>
            </w: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111830">
            <w:pPr>
              <w:rPr>
                <w:color w:val="000000" w:themeColor="text1"/>
              </w:rPr>
            </w:pPr>
            <w:r w:rsidRPr="00BB46BB">
              <w:rPr>
                <w:color w:val="000000" w:themeColor="text1"/>
                <w:spacing w:val="-3"/>
              </w:rPr>
              <w:t>Stingrākas prasības neparedz</w:t>
            </w:r>
          </w:p>
        </w:tc>
      </w:tr>
      <w:tr w:rsidR="00111830" w:rsidRPr="00BB46BB" w:rsidTr="0090011E">
        <w:trPr>
          <w:cantSplit/>
          <w:trHeight w:val="545"/>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spacing w:after="120"/>
              <w:ind w:left="57"/>
              <w:rPr>
                <w:color w:val="000000" w:themeColor="text1"/>
                <w:spacing w:val="-3"/>
              </w:rPr>
            </w:pPr>
            <w:r w:rsidRPr="00BB46BB">
              <w:rPr>
                <w:color w:val="000000" w:themeColor="text1"/>
                <w:spacing w:val="-3"/>
              </w:rPr>
              <w:t>2011/24/ES</w:t>
            </w:r>
          </w:p>
          <w:p w:rsidR="00111830" w:rsidRPr="00BB46BB" w:rsidRDefault="00111830" w:rsidP="00111830">
            <w:pPr>
              <w:ind w:left="57"/>
              <w:rPr>
                <w:color w:val="000000" w:themeColor="text1"/>
                <w:spacing w:val="-3"/>
              </w:rPr>
            </w:pPr>
            <w:r w:rsidRPr="00BB46BB">
              <w:rPr>
                <w:color w:val="000000" w:themeColor="text1"/>
                <w:spacing w:val="-3"/>
              </w:rPr>
              <w:t xml:space="preserve">6.panta 2.punkts </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D643F" w:rsidRPr="00BB46BB" w:rsidRDefault="00FD643F" w:rsidP="00FD643F">
            <w:pPr>
              <w:spacing w:after="120"/>
              <w:rPr>
                <w:color w:val="000000" w:themeColor="text1"/>
                <w:spacing w:val="-3"/>
              </w:rPr>
            </w:pPr>
            <w:r w:rsidRPr="00BB46BB">
              <w:rPr>
                <w:color w:val="000000" w:themeColor="text1"/>
                <w:spacing w:val="-3"/>
              </w:rPr>
              <w:t>Direktīvas norma ir pārņemta un tiek precizēta ar grozījumiem Ministru kabineta 2013.gada 17.decembra noteikumos Nr.1529 „Veselības aprūpes organizēšanas un finansēšanas kārtība”</w:t>
            </w:r>
            <w:r w:rsidR="00A105E6" w:rsidRPr="00BB46BB">
              <w:rPr>
                <w:color w:val="000000" w:themeColor="text1"/>
                <w:spacing w:val="-3"/>
              </w:rPr>
              <w:t xml:space="preserve"> 1.5.apakšpunkts</w:t>
            </w:r>
          </w:p>
          <w:p w:rsidR="00111830" w:rsidRPr="00BB46BB" w:rsidRDefault="00FD643F" w:rsidP="00FD643F">
            <w:pPr>
              <w:pStyle w:val="NoSpacing"/>
              <w:rPr>
                <w:rFonts w:ascii="Times New Roman" w:hAnsi="Times New Roman"/>
                <w:color w:val="000000" w:themeColor="text1"/>
              </w:rPr>
            </w:pPr>
            <w:r w:rsidRPr="00BB46BB">
              <w:rPr>
                <w:rFonts w:ascii="Times New Roman" w:hAnsi="Times New Roman"/>
                <w:color w:val="000000" w:themeColor="text1"/>
                <w:spacing w:val="-3"/>
              </w:rPr>
              <w:t>(Noteikumu 10.</w:t>
            </w:r>
            <w:r w:rsidRPr="00BB46BB">
              <w:rPr>
                <w:rFonts w:ascii="Times New Roman" w:hAnsi="Times New Roman"/>
                <w:color w:val="000000" w:themeColor="text1"/>
                <w:spacing w:val="-3"/>
                <w:vertAlign w:val="superscript"/>
              </w:rPr>
              <w:t>1</w:t>
            </w:r>
            <w:r w:rsidRPr="00BB46BB">
              <w:rPr>
                <w:rFonts w:ascii="Times New Roman" w:hAnsi="Times New Roman"/>
                <w:color w:val="000000" w:themeColor="text1"/>
                <w:spacing w:val="-3"/>
              </w:rPr>
              <w:t xml:space="preserve">punkts) </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pStyle w:val="naisf"/>
              <w:spacing w:before="0" w:beforeAutospacing="0" w:after="0" w:afterAutospacing="0"/>
              <w:jc w:val="left"/>
              <w:rPr>
                <w:color w:val="000000" w:themeColor="text1"/>
              </w:rPr>
            </w:pPr>
            <w:r w:rsidRPr="00BB46BB">
              <w:rPr>
                <w:color w:val="000000" w:themeColor="text1"/>
              </w:rPr>
              <w:t>Direktīvas norma pilnībā ieviesta</w:t>
            </w: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rPr>
                <w:color w:val="000000" w:themeColor="text1"/>
              </w:rPr>
            </w:pPr>
            <w:r w:rsidRPr="00BB46BB">
              <w:rPr>
                <w:color w:val="000000" w:themeColor="text1"/>
                <w:spacing w:val="-3"/>
              </w:rPr>
              <w:t>Stingrākas prasības neparedz</w:t>
            </w:r>
          </w:p>
        </w:tc>
      </w:tr>
      <w:tr w:rsidR="00111830" w:rsidRPr="00BB46BB" w:rsidTr="0090011E">
        <w:trPr>
          <w:cantSplit/>
          <w:trHeight w:val="545"/>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spacing w:after="120"/>
              <w:ind w:left="57"/>
              <w:rPr>
                <w:color w:val="000000" w:themeColor="text1"/>
                <w:spacing w:val="-3"/>
              </w:rPr>
            </w:pPr>
            <w:r w:rsidRPr="00BB46BB">
              <w:rPr>
                <w:color w:val="000000" w:themeColor="text1"/>
                <w:spacing w:val="-3"/>
              </w:rPr>
              <w:t>2011/24/ES</w:t>
            </w:r>
          </w:p>
          <w:p w:rsidR="00111830" w:rsidRPr="00BB46BB" w:rsidRDefault="00111830" w:rsidP="002238F5">
            <w:pPr>
              <w:spacing w:after="120"/>
              <w:ind w:left="57"/>
              <w:rPr>
                <w:color w:val="000000" w:themeColor="text1"/>
                <w:spacing w:val="-3"/>
              </w:rPr>
            </w:pPr>
            <w:r w:rsidRPr="00BB46BB">
              <w:rPr>
                <w:color w:val="000000" w:themeColor="text1"/>
                <w:spacing w:val="-3"/>
              </w:rPr>
              <w:t xml:space="preserve">8.panta 3.punkts </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D643F" w:rsidRPr="00BB46BB" w:rsidRDefault="00FD643F" w:rsidP="00FD643F">
            <w:pPr>
              <w:spacing w:after="120"/>
              <w:rPr>
                <w:color w:val="000000" w:themeColor="text1"/>
                <w:spacing w:val="-3"/>
              </w:rPr>
            </w:pPr>
            <w:r w:rsidRPr="00BB46BB">
              <w:rPr>
                <w:color w:val="000000" w:themeColor="text1"/>
                <w:spacing w:val="-3"/>
              </w:rPr>
              <w:t>Direktīvas norma ir pārņemta un tiek precizēta ar grozījumiem Ministru kabineta 2013.gada 17.decembra noteikumos Nr.1529 „Veselības aprūpes organizēšanas un finansēšanas kārtība”</w:t>
            </w:r>
            <w:r w:rsidR="0098317B" w:rsidRPr="00BB46BB">
              <w:rPr>
                <w:color w:val="000000" w:themeColor="text1"/>
                <w:spacing w:val="-3"/>
              </w:rPr>
              <w:t xml:space="preserve"> 1.92.apakšpunkts</w:t>
            </w:r>
          </w:p>
          <w:p w:rsidR="00111830" w:rsidRPr="00BB46BB" w:rsidRDefault="00FD643F" w:rsidP="0098317B">
            <w:pPr>
              <w:pStyle w:val="NoSpacing"/>
              <w:rPr>
                <w:color w:val="000000" w:themeColor="text1"/>
                <w:spacing w:val="-3"/>
              </w:rPr>
            </w:pPr>
            <w:r w:rsidRPr="00BB46BB">
              <w:rPr>
                <w:rFonts w:ascii="Times New Roman" w:hAnsi="Times New Roman"/>
                <w:color w:val="000000" w:themeColor="text1"/>
                <w:spacing w:val="-3"/>
              </w:rPr>
              <w:t>(Noteikumu  3</w:t>
            </w:r>
            <w:r w:rsidR="0098317B" w:rsidRPr="00BB46BB">
              <w:rPr>
                <w:rFonts w:ascii="Times New Roman" w:hAnsi="Times New Roman"/>
                <w:color w:val="000000" w:themeColor="text1"/>
                <w:spacing w:val="-3"/>
              </w:rPr>
              <w:t>2</w:t>
            </w:r>
            <w:r w:rsidRPr="00BB46BB">
              <w:rPr>
                <w:rFonts w:ascii="Times New Roman" w:hAnsi="Times New Roman"/>
                <w:color w:val="000000" w:themeColor="text1"/>
                <w:spacing w:val="-3"/>
              </w:rPr>
              <w:t>5.</w:t>
            </w:r>
            <w:r w:rsidRPr="00BB46BB">
              <w:rPr>
                <w:rFonts w:ascii="Times New Roman" w:hAnsi="Times New Roman"/>
                <w:color w:val="000000" w:themeColor="text1"/>
                <w:spacing w:val="-3"/>
                <w:vertAlign w:val="superscript"/>
              </w:rPr>
              <w:t>1</w:t>
            </w:r>
            <w:r w:rsidRPr="00BB46BB">
              <w:rPr>
                <w:rFonts w:ascii="Times New Roman" w:hAnsi="Times New Roman"/>
                <w:color w:val="000000" w:themeColor="text1"/>
                <w:spacing w:val="-3"/>
              </w:rPr>
              <w:t xml:space="preserve">punkts) </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FD643F" w:rsidP="002238F5">
            <w:pPr>
              <w:rPr>
                <w:color w:val="000000" w:themeColor="text1"/>
              </w:rPr>
            </w:pPr>
            <w:r w:rsidRPr="00BB46BB">
              <w:rPr>
                <w:color w:val="000000" w:themeColor="text1"/>
              </w:rPr>
              <w:t>Direktīvas norma pilnībā ieviesta</w:t>
            </w: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spacing w:after="120"/>
              <w:ind w:left="57"/>
              <w:rPr>
                <w:color w:val="000000" w:themeColor="text1"/>
              </w:rPr>
            </w:pPr>
            <w:r w:rsidRPr="00BB46BB">
              <w:rPr>
                <w:color w:val="000000" w:themeColor="text1"/>
                <w:spacing w:val="-3"/>
              </w:rPr>
              <w:t>Stingrākas prasības neparedz</w:t>
            </w:r>
          </w:p>
        </w:tc>
      </w:tr>
      <w:tr w:rsidR="00111830" w:rsidRPr="00BB46BB" w:rsidTr="0090011E">
        <w:trPr>
          <w:cantSplit/>
          <w:trHeight w:val="545"/>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spacing w:after="120"/>
              <w:ind w:left="57"/>
              <w:rPr>
                <w:color w:val="000000" w:themeColor="text1"/>
                <w:spacing w:val="-3"/>
              </w:rPr>
            </w:pPr>
            <w:r w:rsidRPr="00BB46BB">
              <w:rPr>
                <w:color w:val="000000" w:themeColor="text1"/>
                <w:spacing w:val="-3"/>
              </w:rPr>
              <w:lastRenderedPageBreak/>
              <w:t>2011/24/ES</w:t>
            </w:r>
          </w:p>
          <w:p w:rsidR="00111830" w:rsidRPr="00BB46BB" w:rsidRDefault="00FD643F" w:rsidP="00A309CC">
            <w:pPr>
              <w:spacing w:after="120"/>
              <w:ind w:left="57"/>
              <w:rPr>
                <w:color w:val="000000" w:themeColor="text1"/>
                <w:spacing w:val="-3"/>
              </w:rPr>
            </w:pPr>
            <w:r w:rsidRPr="00BB46BB">
              <w:rPr>
                <w:color w:val="000000" w:themeColor="text1"/>
                <w:spacing w:val="-3"/>
              </w:rPr>
              <w:t>9</w:t>
            </w:r>
            <w:r w:rsidR="00111830" w:rsidRPr="00BB46BB">
              <w:rPr>
                <w:color w:val="000000" w:themeColor="text1"/>
                <w:spacing w:val="-3"/>
              </w:rPr>
              <w:t xml:space="preserve">.panta </w:t>
            </w:r>
            <w:r w:rsidR="00A309CC" w:rsidRPr="00BB46BB">
              <w:rPr>
                <w:color w:val="000000" w:themeColor="text1"/>
                <w:spacing w:val="-3"/>
              </w:rPr>
              <w:t>3</w:t>
            </w:r>
            <w:r w:rsidR="00111830" w:rsidRPr="00BB46BB">
              <w:rPr>
                <w:color w:val="000000" w:themeColor="text1"/>
                <w:spacing w:val="-3"/>
              </w:rPr>
              <w:t xml:space="preserve">.punkts </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D643F" w:rsidRPr="00BB46BB" w:rsidRDefault="00FD643F" w:rsidP="00FD643F">
            <w:pPr>
              <w:spacing w:after="120"/>
              <w:rPr>
                <w:color w:val="000000" w:themeColor="text1"/>
                <w:spacing w:val="-3"/>
              </w:rPr>
            </w:pPr>
            <w:r w:rsidRPr="00BB46BB">
              <w:rPr>
                <w:color w:val="000000" w:themeColor="text1"/>
                <w:spacing w:val="-3"/>
              </w:rPr>
              <w:t>Direktīvas norma ir pārņemta un tiek precizēta ar grozījumiem Ministru kabineta 2013.gada 17.decembra noteikumos Nr.1529 „Veselības aprūpes organizēšanas un finansēšanas kārtība”</w:t>
            </w:r>
            <w:r w:rsidR="00BC53DD" w:rsidRPr="00BB46BB">
              <w:rPr>
                <w:color w:val="000000" w:themeColor="text1"/>
                <w:spacing w:val="-3"/>
              </w:rPr>
              <w:t xml:space="preserve"> 1.93.apakšpunkts</w:t>
            </w:r>
          </w:p>
          <w:p w:rsidR="00111830" w:rsidRPr="00BB46BB" w:rsidRDefault="00FD643F" w:rsidP="00FD643F">
            <w:pPr>
              <w:spacing w:after="120"/>
              <w:rPr>
                <w:color w:val="000000" w:themeColor="text1"/>
                <w:spacing w:val="-3"/>
              </w:rPr>
            </w:pPr>
            <w:r w:rsidRPr="00BB46BB">
              <w:rPr>
                <w:color w:val="000000" w:themeColor="text1"/>
                <w:spacing w:val="-3"/>
              </w:rPr>
              <w:t>(Noteikumu  327.</w:t>
            </w:r>
            <w:r w:rsidRPr="00BB46BB">
              <w:rPr>
                <w:color w:val="000000" w:themeColor="text1"/>
                <w:spacing w:val="-3"/>
                <w:vertAlign w:val="superscript"/>
              </w:rPr>
              <w:t xml:space="preserve">1 </w:t>
            </w:r>
            <w:r w:rsidRPr="00BB46BB">
              <w:rPr>
                <w:color w:val="000000" w:themeColor="text1"/>
                <w:spacing w:val="-3"/>
              </w:rPr>
              <w:t>327.</w:t>
            </w:r>
            <w:r w:rsidRPr="00BB46BB">
              <w:rPr>
                <w:color w:val="000000" w:themeColor="text1"/>
                <w:spacing w:val="-3"/>
                <w:vertAlign w:val="superscript"/>
              </w:rPr>
              <w:t xml:space="preserve">2 </w:t>
            </w:r>
            <w:r w:rsidRPr="00BB46BB">
              <w:rPr>
                <w:color w:val="000000" w:themeColor="text1"/>
                <w:spacing w:val="-3"/>
              </w:rPr>
              <w:t>punkts)</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FD643F" w:rsidP="002238F5">
            <w:pPr>
              <w:rPr>
                <w:color w:val="000000" w:themeColor="text1"/>
              </w:rPr>
            </w:pPr>
            <w:r w:rsidRPr="00BB46BB">
              <w:rPr>
                <w:color w:val="000000" w:themeColor="text1"/>
              </w:rPr>
              <w:t>Direktīvas norma pilnībā ieviesta</w:t>
            </w: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spacing w:after="120"/>
              <w:ind w:left="57"/>
              <w:rPr>
                <w:color w:val="000000" w:themeColor="text1"/>
              </w:rPr>
            </w:pPr>
            <w:r w:rsidRPr="00BB46BB">
              <w:rPr>
                <w:color w:val="000000" w:themeColor="text1"/>
                <w:spacing w:val="-3"/>
              </w:rPr>
              <w:t>Stingrākas prasības neparedz</w:t>
            </w:r>
          </w:p>
        </w:tc>
      </w:tr>
      <w:tr w:rsidR="00111830" w:rsidRPr="00BB46BB" w:rsidTr="0090011E">
        <w:trPr>
          <w:cantSplit/>
          <w:trHeight w:val="545"/>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spacing w:after="120"/>
              <w:ind w:left="57"/>
              <w:rPr>
                <w:color w:val="000000" w:themeColor="text1"/>
                <w:spacing w:val="-3"/>
              </w:rPr>
            </w:pPr>
            <w:r w:rsidRPr="00BB46BB">
              <w:rPr>
                <w:color w:val="000000" w:themeColor="text1"/>
                <w:spacing w:val="-3"/>
              </w:rPr>
              <w:t>2011/24/ES</w:t>
            </w:r>
          </w:p>
          <w:p w:rsidR="00111830" w:rsidRPr="00BB46BB" w:rsidRDefault="00111830" w:rsidP="002238F5">
            <w:pPr>
              <w:spacing w:after="120"/>
              <w:ind w:left="57"/>
              <w:rPr>
                <w:color w:val="000000" w:themeColor="text1"/>
                <w:spacing w:val="-3"/>
              </w:rPr>
            </w:pPr>
            <w:r w:rsidRPr="00BB46BB">
              <w:rPr>
                <w:color w:val="000000" w:themeColor="text1"/>
                <w:spacing w:val="-3"/>
              </w:rPr>
              <w:t xml:space="preserve">9.panta 4.punkts </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309CC" w:rsidRPr="00BB46BB" w:rsidRDefault="00A309CC" w:rsidP="00A309CC">
            <w:pPr>
              <w:spacing w:after="120"/>
              <w:rPr>
                <w:color w:val="000000" w:themeColor="text1"/>
                <w:spacing w:val="-3"/>
              </w:rPr>
            </w:pPr>
            <w:r w:rsidRPr="00BB46BB">
              <w:rPr>
                <w:color w:val="000000" w:themeColor="text1"/>
                <w:spacing w:val="-3"/>
              </w:rPr>
              <w:t>Direktīvas norma ir pārņemta un tiek precizēta ar grozījumiem Ministru kabineta 2013.gada 17.decembra noteikumos Nr.1529 „Veselības aprūpes organizēšanas un finansēšanas kārtība”</w:t>
            </w:r>
            <w:r w:rsidR="0085341E" w:rsidRPr="00BB46BB">
              <w:rPr>
                <w:color w:val="000000" w:themeColor="text1"/>
                <w:spacing w:val="-3"/>
              </w:rPr>
              <w:t xml:space="preserve"> 1.93. un 1.96.apakšpunkts</w:t>
            </w:r>
          </w:p>
          <w:p w:rsidR="00111830" w:rsidRPr="00BB46BB" w:rsidRDefault="00A309CC" w:rsidP="00A309CC">
            <w:pPr>
              <w:rPr>
                <w:color w:val="000000" w:themeColor="text1"/>
                <w:spacing w:val="-2"/>
              </w:rPr>
            </w:pPr>
            <w:r w:rsidRPr="00BB46BB">
              <w:rPr>
                <w:color w:val="000000" w:themeColor="text1"/>
                <w:spacing w:val="-3"/>
              </w:rPr>
              <w:t>(Noteikumu 327.</w:t>
            </w:r>
            <w:r w:rsidRPr="00BB46BB">
              <w:rPr>
                <w:color w:val="000000" w:themeColor="text1"/>
                <w:spacing w:val="-3"/>
                <w:vertAlign w:val="superscript"/>
              </w:rPr>
              <w:t>1</w:t>
            </w:r>
            <w:r w:rsidRPr="00BB46BB">
              <w:rPr>
                <w:color w:val="000000" w:themeColor="text1"/>
                <w:spacing w:val="-3"/>
              </w:rPr>
              <w:t>;</w:t>
            </w:r>
            <w:r w:rsidRPr="00BB46BB">
              <w:rPr>
                <w:color w:val="000000" w:themeColor="text1"/>
                <w:spacing w:val="-3"/>
                <w:vertAlign w:val="superscript"/>
              </w:rPr>
              <w:t xml:space="preserve"> </w:t>
            </w:r>
            <w:r w:rsidRPr="00BB46BB">
              <w:rPr>
                <w:color w:val="000000" w:themeColor="text1"/>
                <w:spacing w:val="-3"/>
              </w:rPr>
              <w:t>327.</w:t>
            </w:r>
            <w:r w:rsidRPr="00BB46BB">
              <w:rPr>
                <w:color w:val="000000" w:themeColor="text1"/>
                <w:spacing w:val="-3"/>
                <w:vertAlign w:val="superscript"/>
              </w:rPr>
              <w:t>2</w:t>
            </w:r>
            <w:r w:rsidRPr="00BB46BB">
              <w:rPr>
                <w:color w:val="000000" w:themeColor="text1"/>
                <w:spacing w:val="-3"/>
              </w:rPr>
              <w:t xml:space="preserve"> ; 330.</w:t>
            </w:r>
            <w:r w:rsidRPr="00BB46BB">
              <w:rPr>
                <w:color w:val="000000" w:themeColor="text1"/>
                <w:spacing w:val="-3"/>
                <w:vertAlign w:val="superscript"/>
              </w:rPr>
              <w:t>1</w:t>
            </w:r>
            <w:r w:rsidRPr="00BB46BB">
              <w:rPr>
                <w:color w:val="000000" w:themeColor="text1"/>
                <w:spacing w:val="-3"/>
              </w:rPr>
              <w:t xml:space="preserve"> un 330.</w:t>
            </w:r>
            <w:r w:rsidRPr="00BB46BB">
              <w:rPr>
                <w:color w:val="000000" w:themeColor="text1"/>
                <w:spacing w:val="-3"/>
                <w:vertAlign w:val="superscript"/>
              </w:rPr>
              <w:t>2</w:t>
            </w:r>
            <w:r w:rsidRPr="00BB46BB">
              <w:rPr>
                <w:color w:val="000000" w:themeColor="text1"/>
                <w:spacing w:val="-3"/>
              </w:rPr>
              <w:t xml:space="preserve"> punkts)</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111830" w:rsidRPr="00BB46BB" w:rsidRDefault="00111830" w:rsidP="002238F5">
            <w:pPr>
              <w:rPr>
                <w:color w:val="000000" w:themeColor="text1"/>
                <w:spacing w:val="-2"/>
              </w:rPr>
            </w:pPr>
            <w:r w:rsidRPr="00BB46BB">
              <w:rPr>
                <w:color w:val="000000" w:themeColor="text1"/>
                <w:spacing w:val="-2"/>
              </w:rPr>
              <w:t>Direktīvas norma pārņemta pilnībā</w:t>
            </w:r>
          </w:p>
          <w:p w:rsidR="00111830" w:rsidRPr="00BB46BB" w:rsidRDefault="00111830" w:rsidP="002238F5">
            <w:pPr>
              <w:rPr>
                <w:color w:val="000000" w:themeColor="text1"/>
                <w:spacing w:val="-2"/>
              </w:rPr>
            </w:pP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ind w:left="57"/>
              <w:rPr>
                <w:color w:val="000000" w:themeColor="text1"/>
                <w:spacing w:val="-3"/>
              </w:rPr>
            </w:pPr>
            <w:r w:rsidRPr="00BB46BB">
              <w:rPr>
                <w:color w:val="000000" w:themeColor="text1"/>
                <w:spacing w:val="-3"/>
              </w:rPr>
              <w:t>Stingrākas prasības neparedz</w:t>
            </w:r>
          </w:p>
        </w:tc>
      </w:tr>
      <w:tr w:rsidR="00111830" w:rsidRPr="00BB46BB" w:rsidTr="0090011E">
        <w:trPr>
          <w:cantSplit/>
          <w:trHeight w:val="545"/>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spacing w:after="120"/>
              <w:ind w:left="57"/>
              <w:rPr>
                <w:color w:val="000000" w:themeColor="text1"/>
                <w:spacing w:val="-3"/>
              </w:rPr>
            </w:pPr>
            <w:r w:rsidRPr="00BB46BB">
              <w:rPr>
                <w:color w:val="000000" w:themeColor="text1"/>
                <w:spacing w:val="-3"/>
              </w:rPr>
              <w:t>2011/24/ES</w:t>
            </w:r>
          </w:p>
          <w:p w:rsidR="00111830" w:rsidRPr="00BB46BB" w:rsidRDefault="00111830" w:rsidP="002238F5">
            <w:pPr>
              <w:spacing w:after="120"/>
              <w:ind w:left="57"/>
              <w:rPr>
                <w:color w:val="000000" w:themeColor="text1"/>
                <w:spacing w:val="-3"/>
              </w:rPr>
            </w:pPr>
            <w:r w:rsidRPr="00BB46BB">
              <w:rPr>
                <w:color w:val="000000" w:themeColor="text1"/>
                <w:spacing w:val="-3"/>
              </w:rPr>
              <w:t xml:space="preserve">9.panta 5.punkts </w:t>
            </w:r>
          </w:p>
        </w:tc>
        <w:tc>
          <w:tcPr>
            <w:tcW w:w="1208"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309CC" w:rsidRPr="00BB46BB" w:rsidRDefault="00A309CC" w:rsidP="00A309CC">
            <w:pPr>
              <w:spacing w:after="120"/>
              <w:rPr>
                <w:color w:val="000000" w:themeColor="text1"/>
                <w:spacing w:val="-3"/>
              </w:rPr>
            </w:pPr>
            <w:r w:rsidRPr="00BB46BB">
              <w:rPr>
                <w:color w:val="000000" w:themeColor="text1"/>
                <w:spacing w:val="-3"/>
              </w:rPr>
              <w:t>Direktīvas norma ir pārņemta un tiek precizēta ar grozījumiem Ministru kabineta 2013.gada 17.decembra noteikumos Nr.1529 „Veselības aprūpes organizēšanas un finansēšanas kārtība”</w:t>
            </w:r>
            <w:r w:rsidR="007E5ACD" w:rsidRPr="00BB46BB">
              <w:rPr>
                <w:color w:val="000000" w:themeColor="text1"/>
                <w:spacing w:val="-3"/>
              </w:rPr>
              <w:t xml:space="preserve"> 1.96.apakšpunkts</w:t>
            </w:r>
          </w:p>
          <w:p w:rsidR="00111830" w:rsidRPr="00BB46BB" w:rsidRDefault="00A309CC" w:rsidP="00A309CC">
            <w:pPr>
              <w:pStyle w:val="tv2131"/>
              <w:spacing w:before="0" w:line="240" w:lineRule="auto"/>
              <w:ind w:firstLine="0"/>
              <w:jc w:val="left"/>
              <w:rPr>
                <w:rFonts w:ascii="Times New Roman" w:hAnsi="Times New Roman"/>
                <w:color w:val="000000" w:themeColor="text1"/>
                <w:sz w:val="24"/>
                <w:szCs w:val="24"/>
              </w:rPr>
            </w:pPr>
            <w:r w:rsidRPr="00BB46BB">
              <w:rPr>
                <w:rFonts w:ascii="Times New Roman" w:hAnsi="Times New Roman"/>
                <w:color w:val="000000" w:themeColor="text1"/>
                <w:spacing w:val="-3"/>
                <w:sz w:val="24"/>
                <w:szCs w:val="24"/>
              </w:rPr>
              <w:t>(Noteikumu 330.</w:t>
            </w:r>
            <w:r w:rsidRPr="00BB46BB">
              <w:rPr>
                <w:rFonts w:ascii="Times New Roman" w:hAnsi="Times New Roman"/>
                <w:color w:val="000000" w:themeColor="text1"/>
                <w:spacing w:val="-3"/>
                <w:sz w:val="24"/>
                <w:szCs w:val="24"/>
                <w:vertAlign w:val="superscript"/>
              </w:rPr>
              <w:t>1</w:t>
            </w:r>
            <w:r w:rsidRPr="00BB46BB">
              <w:rPr>
                <w:rFonts w:ascii="Times New Roman" w:hAnsi="Times New Roman"/>
                <w:color w:val="000000" w:themeColor="text1"/>
                <w:spacing w:val="-3"/>
                <w:sz w:val="24"/>
                <w:szCs w:val="24"/>
              </w:rPr>
              <w:t xml:space="preserve"> un 330.</w:t>
            </w:r>
            <w:r w:rsidRPr="00BB46BB">
              <w:rPr>
                <w:rFonts w:ascii="Times New Roman" w:hAnsi="Times New Roman"/>
                <w:color w:val="000000" w:themeColor="text1"/>
                <w:spacing w:val="-3"/>
                <w:sz w:val="24"/>
                <w:szCs w:val="24"/>
                <w:vertAlign w:val="superscript"/>
              </w:rPr>
              <w:t>2</w:t>
            </w:r>
            <w:r w:rsidRPr="00BB46BB">
              <w:rPr>
                <w:rFonts w:ascii="Times New Roman" w:hAnsi="Times New Roman"/>
                <w:color w:val="000000" w:themeColor="text1"/>
                <w:spacing w:val="-3"/>
                <w:sz w:val="24"/>
                <w:szCs w:val="24"/>
              </w:rPr>
              <w:t xml:space="preserve"> punkts)</w:t>
            </w:r>
          </w:p>
        </w:tc>
        <w:tc>
          <w:tcPr>
            <w:tcW w:w="111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A09D2" w:rsidRPr="00BB46BB" w:rsidRDefault="004A09D2" w:rsidP="004A09D2">
            <w:pPr>
              <w:rPr>
                <w:color w:val="000000" w:themeColor="text1"/>
                <w:spacing w:val="-2"/>
              </w:rPr>
            </w:pPr>
            <w:r w:rsidRPr="00BB46BB">
              <w:rPr>
                <w:color w:val="000000" w:themeColor="text1"/>
                <w:spacing w:val="-2"/>
              </w:rPr>
              <w:t>Direktīvas norma pārņemta pilnībā</w:t>
            </w:r>
          </w:p>
          <w:p w:rsidR="00111830" w:rsidRPr="00BB46BB" w:rsidRDefault="00111830" w:rsidP="002238F5">
            <w:pPr>
              <w:rPr>
                <w:color w:val="000000" w:themeColor="text1"/>
              </w:rPr>
            </w:pP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111830" w:rsidP="002238F5">
            <w:pPr>
              <w:rPr>
                <w:color w:val="000000" w:themeColor="text1"/>
                <w:spacing w:val="-3"/>
              </w:rPr>
            </w:pPr>
            <w:r w:rsidRPr="00BB46BB">
              <w:rPr>
                <w:color w:val="000000" w:themeColor="text1"/>
                <w:spacing w:val="-3"/>
              </w:rPr>
              <w:t>Stingrākas prasības neparedz</w:t>
            </w:r>
          </w:p>
        </w:tc>
      </w:tr>
      <w:tr w:rsidR="00111830" w:rsidRPr="00BB46BB" w:rsidTr="0090011E">
        <w:trPr>
          <w:cantSplit/>
          <w:trHeight w:val="545"/>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4A09D2" w:rsidP="002238F5">
            <w:pPr>
              <w:rPr>
                <w:color w:val="000000" w:themeColor="text1"/>
              </w:rPr>
            </w:pPr>
            <w:r w:rsidRPr="00BB46BB">
              <w:rPr>
                <w:color w:val="000000" w:themeColor="text1"/>
              </w:rPr>
              <w:lastRenderedPageBreak/>
              <w:t>2011/93/ES</w:t>
            </w:r>
          </w:p>
          <w:p w:rsidR="00DB2159" w:rsidRPr="00BB46BB" w:rsidRDefault="00DB2159" w:rsidP="002238F5">
            <w:pPr>
              <w:rPr>
                <w:color w:val="000000" w:themeColor="text1"/>
              </w:rPr>
            </w:pPr>
            <w:r w:rsidRPr="00BB46BB">
              <w:rPr>
                <w:color w:val="000000" w:themeColor="text1"/>
              </w:rPr>
              <w:t>19.panta 1.punkts</w:t>
            </w:r>
          </w:p>
          <w:p w:rsidR="00DB2159" w:rsidRPr="00BB46BB" w:rsidRDefault="00DB2159" w:rsidP="002238F5">
            <w:pPr>
              <w:rPr>
                <w:color w:val="000000" w:themeColor="text1"/>
              </w:rPr>
            </w:pPr>
          </w:p>
        </w:tc>
        <w:tc>
          <w:tcPr>
            <w:tcW w:w="121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830" w:rsidRPr="00BB46BB" w:rsidRDefault="009C0C4A" w:rsidP="00720F1A">
            <w:pPr>
              <w:rPr>
                <w:color w:val="000000" w:themeColor="text1"/>
                <w:spacing w:val="-3"/>
              </w:rPr>
            </w:pPr>
            <w:r w:rsidRPr="00BB46BB">
              <w:rPr>
                <w:color w:val="000000" w:themeColor="text1"/>
                <w:spacing w:val="-3"/>
              </w:rPr>
              <w:t>Direktīvas norma ir pārņemta</w:t>
            </w:r>
            <w:r w:rsidR="00322243" w:rsidRPr="00BB46BB">
              <w:rPr>
                <w:color w:val="000000" w:themeColor="text1"/>
                <w:spacing w:val="-3"/>
              </w:rPr>
              <w:t xml:space="preserve"> ar</w:t>
            </w:r>
            <w:r w:rsidR="00A105E6" w:rsidRPr="00BB46BB">
              <w:rPr>
                <w:color w:val="000000" w:themeColor="text1"/>
                <w:spacing w:val="-3"/>
              </w:rPr>
              <w:t xml:space="preserve"> </w:t>
            </w:r>
            <w:r w:rsidRPr="00BB46BB">
              <w:rPr>
                <w:color w:val="000000" w:themeColor="text1"/>
                <w:spacing w:val="-3"/>
              </w:rPr>
              <w:t>Ministru kabineta 2013.gada 17.decembra noteikum</w:t>
            </w:r>
            <w:r w:rsidR="00720F1A" w:rsidRPr="00BB46BB">
              <w:rPr>
                <w:color w:val="000000" w:themeColor="text1"/>
                <w:spacing w:val="-3"/>
              </w:rPr>
              <w:t>u</w:t>
            </w:r>
            <w:r w:rsidRPr="00BB46BB">
              <w:rPr>
                <w:color w:val="000000" w:themeColor="text1"/>
                <w:spacing w:val="-3"/>
              </w:rPr>
              <w:t xml:space="preserve"> Nr.1529 „Veselības aprūpes organizēšanas un finansēšanas kārtība”</w:t>
            </w:r>
            <w:r w:rsidR="007E5ACD" w:rsidRPr="00BB46BB">
              <w:rPr>
                <w:color w:val="000000" w:themeColor="text1"/>
                <w:spacing w:val="-3"/>
              </w:rPr>
              <w:t xml:space="preserve"> </w:t>
            </w:r>
          </w:p>
          <w:p w:rsidR="00720F1A" w:rsidRPr="00BB46BB" w:rsidRDefault="00720F1A" w:rsidP="00322243">
            <w:pPr>
              <w:rPr>
                <w:color w:val="000000" w:themeColor="text1"/>
                <w:spacing w:val="-3"/>
              </w:rPr>
            </w:pPr>
            <w:r w:rsidRPr="00BB46BB">
              <w:rPr>
                <w:color w:val="000000" w:themeColor="text1"/>
                <w:spacing w:val="-3"/>
              </w:rPr>
              <w:t>11.13.2. un 11.13.3. apakšpunkt</w:t>
            </w:r>
            <w:r w:rsidR="00322243" w:rsidRPr="00BB46BB">
              <w:rPr>
                <w:color w:val="000000" w:themeColor="text1"/>
                <w:spacing w:val="-3"/>
              </w:rPr>
              <w:t>u</w:t>
            </w:r>
          </w:p>
        </w:tc>
        <w:tc>
          <w:tcPr>
            <w:tcW w:w="11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105E6" w:rsidRPr="00BB46BB" w:rsidRDefault="00A105E6" w:rsidP="00A105E6">
            <w:pPr>
              <w:rPr>
                <w:color w:val="000000" w:themeColor="text1"/>
                <w:spacing w:val="-2"/>
              </w:rPr>
            </w:pPr>
            <w:r w:rsidRPr="00BB46BB">
              <w:rPr>
                <w:color w:val="000000" w:themeColor="text1"/>
                <w:spacing w:val="-2"/>
              </w:rPr>
              <w:t>Direktīvas norma pārņemta pilnībā</w:t>
            </w:r>
          </w:p>
          <w:p w:rsidR="00111830" w:rsidRPr="00BB46BB" w:rsidRDefault="00111830" w:rsidP="002238F5">
            <w:pPr>
              <w:spacing w:after="120"/>
              <w:rPr>
                <w:color w:val="000000" w:themeColor="text1"/>
                <w:spacing w:val="-2"/>
              </w:rPr>
            </w:pP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111830" w:rsidRPr="00BB46BB" w:rsidRDefault="00A105E6" w:rsidP="002238F5">
            <w:pPr>
              <w:rPr>
                <w:color w:val="000000" w:themeColor="text1"/>
                <w:spacing w:val="-3"/>
              </w:rPr>
            </w:pPr>
            <w:r w:rsidRPr="00BB46BB">
              <w:rPr>
                <w:color w:val="000000" w:themeColor="text1"/>
                <w:spacing w:val="-3"/>
              </w:rPr>
              <w:t>Stingrākas prasības neparedz</w:t>
            </w:r>
          </w:p>
        </w:tc>
      </w:tr>
      <w:tr w:rsidR="00AB2D3D" w:rsidRPr="00BB46BB" w:rsidTr="0090011E">
        <w:trPr>
          <w:cantSplit/>
          <w:trHeight w:val="545"/>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20F1A" w:rsidRPr="00BB46BB" w:rsidRDefault="00720F1A" w:rsidP="00720F1A">
            <w:pPr>
              <w:rPr>
                <w:color w:val="000000" w:themeColor="text1"/>
              </w:rPr>
            </w:pPr>
            <w:r w:rsidRPr="00BB46BB">
              <w:rPr>
                <w:color w:val="000000" w:themeColor="text1"/>
              </w:rPr>
              <w:t>2011/93/ES</w:t>
            </w:r>
          </w:p>
          <w:p w:rsidR="00720F1A" w:rsidRPr="00BB46BB" w:rsidRDefault="00720F1A" w:rsidP="00720F1A">
            <w:pPr>
              <w:rPr>
                <w:color w:val="000000" w:themeColor="text1"/>
              </w:rPr>
            </w:pPr>
            <w:r w:rsidRPr="00BB46BB">
              <w:rPr>
                <w:color w:val="000000" w:themeColor="text1"/>
              </w:rPr>
              <w:t xml:space="preserve">22.pants </w:t>
            </w:r>
          </w:p>
          <w:p w:rsidR="00AB2D3D" w:rsidRPr="00BB46BB" w:rsidRDefault="00AB2D3D" w:rsidP="002238F5">
            <w:pPr>
              <w:rPr>
                <w:color w:val="000000" w:themeColor="text1"/>
              </w:rPr>
            </w:pPr>
          </w:p>
        </w:tc>
        <w:tc>
          <w:tcPr>
            <w:tcW w:w="121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20F1A" w:rsidRPr="00BB46BB" w:rsidRDefault="00720F1A" w:rsidP="00720F1A">
            <w:pPr>
              <w:rPr>
                <w:color w:val="000000" w:themeColor="text1"/>
                <w:spacing w:val="-3"/>
              </w:rPr>
            </w:pPr>
            <w:r w:rsidRPr="00BB46BB">
              <w:rPr>
                <w:color w:val="000000" w:themeColor="text1"/>
                <w:spacing w:val="-3"/>
              </w:rPr>
              <w:t>Direktīvas norma ir pārņemta</w:t>
            </w:r>
            <w:r w:rsidR="00322243" w:rsidRPr="00BB46BB">
              <w:rPr>
                <w:color w:val="000000" w:themeColor="text1"/>
                <w:spacing w:val="-3"/>
              </w:rPr>
              <w:t xml:space="preserve"> ar</w:t>
            </w:r>
            <w:r w:rsidRPr="00BB46BB">
              <w:rPr>
                <w:color w:val="000000" w:themeColor="text1"/>
                <w:spacing w:val="-3"/>
              </w:rPr>
              <w:t xml:space="preserve"> Ministru kabineta 2013.gada 17.decembra noteikumu Nr.1529 „Veselības aprūpes organizēšanas un finansēšanas kārtība” </w:t>
            </w:r>
          </w:p>
          <w:p w:rsidR="00AB2D3D" w:rsidRPr="00BB46BB" w:rsidRDefault="00720F1A" w:rsidP="00322243">
            <w:pPr>
              <w:spacing w:after="120"/>
              <w:rPr>
                <w:color w:val="000000" w:themeColor="text1"/>
                <w:spacing w:val="-3"/>
              </w:rPr>
            </w:pPr>
            <w:r w:rsidRPr="00BB46BB">
              <w:rPr>
                <w:color w:val="000000" w:themeColor="text1"/>
                <w:spacing w:val="-3"/>
              </w:rPr>
              <w:t>11.13.5. apakšpunkt</w:t>
            </w:r>
            <w:r w:rsidR="00322243" w:rsidRPr="00BB46BB">
              <w:rPr>
                <w:color w:val="000000" w:themeColor="text1"/>
                <w:spacing w:val="-3"/>
              </w:rPr>
              <w:t>u</w:t>
            </w:r>
          </w:p>
        </w:tc>
        <w:tc>
          <w:tcPr>
            <w:tcW w:w="1106"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B2D3D" w:rsidRPr="00BB46BB" w:rsidRDefault="00AB2D3D" w:rsidP="00A105E6">
            <w:pPr>
              <w:rPr>
                <w:color w:val="000000" w:themeColor="text1"/>
                <w:spacing w:val="-2"/>
              </w:rPr>
            </w:pPr>
          </w:p>
        </w:tc>
        <w:tc>
          <w:tcPr>
            <w:tcW w:w="1109"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AB2D3D" w:rsidRPr="00BB46BB" w:rsidRDefault="00AB2D3D" w:rsidP="002238F5">
            <w:pPr>
              <w:rPr>
                <w:color w:val="000000" w:themeColor="text1"/>
                <w:spacing w:val="-3"/>
              </w:rPr>
            </w:pPr>
          </w:p>
        </w:tc>
      </w:tr>
      <w:tr w:rsidR="009C0C4A" w:rsidRPr="00BB46BB" w:rsidTr="0090011E">
        <w:trPr>
          <w:cantSplit/>
          <w:trHeight w:val="545"/>
        </w:trPr>
        <w:tc>
          <w:tcPr>
            <w:tcW w:w="5000" w:type="pct"/>
            <w:gridSpan w:val="6"/>
            <w:tcBorders>
              <w:top w:val="single" w:sz="4" w:space="0" w:color="auto"/>
              <w:left w:val="single" w:sz="4" w:space="0" w:color="auto"/>
              <w:bottom w:val="single" w:sz="4" w:space="0" w:color="auto"/>
              <w:right w:val="outset" w:sz="6" w:space="0" w:color="auto"/>
            </w:tcBorders>
            <w:tcMar>
              <w:top w:w="28" w:type="dxa"/>
              <w:left w:w="28" w:type="dxa"/>
              <w:bottom w:w="28" w:type="dxa"/>
              <w:right w:w="28" w:type="dxa"/>
            </w:tcMar>
            <w:hideMark/>
          </w:tcPr>
          <w:p w:rsidR="009C0C4A" w:rsidRPr="00BB46BB" w:rsidRDefault="009C0C4A" w:rsidP="009C0C4A">
            <w:pPr>
              <w:pStyle w:val="naisf"/>
              <w:jc w:val="center"/>
              <w:rPr>
                <w:b/>
                <w:color w:val="000000" w:themeColor="text1"/>
              </w:rPr>
            </w:pPr>
            <w:r w:rsidRPr="00BB46BB">
              <w:rPr>
                <w:b/>
                <w:color w:val="000000" w:themeColor="text1"/>
              </w:rPr>
              <w:t>2.tabula</w:t>
            </w:r>
          </w:p>
          <w:p w:rsidR="009C0C4A" w:rsidRPr="00BB46BB" w:rsidRDefault="009C0C4A" w:rsidP="009C0C4A">
            <w:pPr>
              <w:pStyle w:val="naisf"/>
              <w:jc w:val="center"/>
              <w:rPr>
                <w:b/>
                <w:color w:val="000000" w:themeColor="text1"/>
              </w:rPr>
            </w:pPr>
            <w:r w:rsidRPr="00BB46BB">
              <w:rPr>
                <w:b/>
                <w:color w:val="000000" w:themeColor="text1"/>
              </w:rPr>
              <w:t>Ar tiesību akta projektu izpildītās vai uzņemtās saistības, kas izriet no starptautiskajiem tiesību aktiem vai starptautiskas institūcijas vai organizācijas dokumentiem.</w:t>
            </w:r>
          </w:p>
          <w:p w:rsidR="009C0C4A" w:rsidRPr="00BB46BB" w:rsidRDefault="009C0C4A" w:rsidP="009C0C4A">
            <w:pPr>
              <w:jc w:val="center"/>
              <w:rPr>
                <w:color w:val="000000" w:themeColor="text1"/>
              </w:rPr>
            </w:pPr>
            <w:r w:rsidRPr="00BB46BB">
              <w:rPr>
                <w:b/>
                <w:color w:val="000000" w:themeColor="text1"/>
              </w:rPr>
              <w:t>Pasākumi šo saistību izpildei</w:t>
            </w:r>
          </w:p>
        </w:tc>
      </w:tr>
      <w:tr w:rsidR="009C0C4A" w:rsidRPr="00BB46BB" w:rsidTr="0090011E">
        <w:trPr>
          <w:cantSplit/>
          <w:trHeight w:val="545"/>
        </w:trPr>
        <w:tc>
          <w:tcPr>
            <w:tcW w:w="1572" w:type="pct"/>
            <w:gridSpan w:val="2"/>
            <w:tcBorders>
              <w:top w:val="single" w:sz="4" w:space="0" w:color="auto"/>
              <w:left w:val="single" w:sz="4" w:space="0" w:color="auto"/>
              <w:bottom w:val="outset" w:sz="6" w:space="0" w:color="auto"/>
              <w:right w:val="outset" w:sz="6" w:space="0" w:color="auto"/>
            </w:tcBorders>
            <w:tcMar>
              <w:top w:w="28" w:type="dxa"/>
              <w:left w:w="28" w:type="dxa"/>
              <w:bottom w:w="28" w:type="dxa"/>
              <w:right w:w="28" w:type="dxa"/>
            </w:tcMar>
            <w:vAlign w:val="center"/>
            <w:hideMark/>
          </w:tcPr>
          <w:p w:rsidR="009C0C4A" w:rsidRPr="00BB46BB" w:rsidRDefault="009C0C4A" w:rsidP="002238F5">
            <w:pPr>
              <w:pStyle w:val="naisf"/>
              <w:jc w:val="left"/>
              <w:rPr>
                <w:color w:val="000000" w:themeColor="text1"/>
                <w:spacing w:val="-6"/>
              </w:rPr>
            </w:pPr>
            <w:r w:rsidRPr="00BB46BB">
              <w:rPr>
                <w:color w:val="000000" w:themeColor="text1"/>
                <w:spacing w:val="-6"/>
              </w:rPr>
              <w:t>Attiecīgā starptautiskā tiesību akta vai starptautiskas institūcijas vai organizācijas dokumenta (turpmāk – starptautiskais dokuments) datums, numurs un nosaukums</w:t>
            </w:r>
          </w:p>
        </w:tc>
        <w:tc>
          <w:tcPr>
            <w:tcW w:w="3428" w:type="pct"/>
            <w:gridSpan w:val="4"/>
            <w:tcBorders>
              <w:top w:val="single" w:sz="4" w:space="0" w:color="auto"/>
              <w:left w:val="outset" w:sz="6" w:space="0" w:color="auto"/>
              <w:bottom w:val="outset" w:sz="6" w:space="0" w:color="auto"/>
              <w:right w:val="outset" w:sz="6" w:space="0" w:color="auto"/>
            </w:tcBorders>
            <w:tcMar>
              <w:top w:w="28" w:type="dxa"/>
              <w:left w:w="28" w:type="dxa"/>
              <w:bottom w:w="28" w:type="dxa"/>
              <w:right w:w="28" w:type="dxa"/>
            </w:tcMar>
          </w:tcPr>
          <w:p w:rsidR="009C0C4A" w:rsidRPr="00BB46BB" w:rsidRDefault="009C0C4A" w:rsidP="002238F5">
            <w:pPr>
              <w:rPr>
                <w:color w:val="000000" w:themeColor="text1"/>
              </w:rPr>
            </w:pPr>
            <w:r w:rsidRPr="00BB46BB">
              <w:rPr>
                <w:color w:val="000000" w:themeColor="text1"/>
              </w:rPr>
              <w:t>Projekts šo jomu neskar</w:t>
            </w:r>
          </w:p>
        </w:tc>
      </w:tr>
      <w:tr w:rsidR="009C0C4A" w:rsidRPr="00BB46BB" w:rsidTr="0090011E">
        <w:trPr>
          <w:cantSplit/>
          <w:trHeight w:val="545"/>
        </w:trPr>
        <w:tc>
          <w:tcPr>
            <w:tcW w:w="1572" w:type="pct"/>
            <w:gridSpan w:val="2"/>
            <w:tcBorders>
              <w:top w:val="outset" w:sz="6" w:space="0" w:color="auto"/>
              <w:left w:val="single" w:sz="4" w:space="0" w:color="auto"/>
              <w:bottom w:val="outset" w:sz="6" w:space="0" w:color="auto"/>
              <w:right w:val="outset" w:sz="6" w:space="0" w:color="auto"/>
            </w:tcBorders>
            <w:tcMar>
              <w:top w:w="28" w:type="dxa"/>
              <w:left w:w="28" w:type="dxa"/>
              <w:bottom w:w="28" w:type="dxa"/>
              <w:right w:w="28" w:type="dxa"/>
            </w:tcMar>
            <w:vAlign w:val="center"/>
            <w:hideMark/>
          </w:tcPr>
          <w:p w:rsidR="009C0C4A" w:rsidRPr="00BB46BB" w:rsidRDefault="009C0C4A" w:rsidP="002238F5">
            <w:pPr>
              <w:pStyle w:val="naisf"/>
              <w:ind w:firstLine="115"/>
              <w:jc w:val="left"/>
              <w:rPr>
                <w:color w:val="000000" w:themeColor="text1"/>
              </w:rPr>
            </w:pPr>
            <w:r w:rsidRPr="00BB46BB">
              <w:rPr>
                <w:color w:val="000000" w:themeColor="text1"/>
              </w:rPr>
              <w:t>A</w:t>
            </w:r>
          </w:p>
        </w:tc>
        <w:tc>
          <w:tcPr>
            <w:tcW w:w="121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9C0C4A" w:rsidRPr="00BB46BB" w:rsidRDefault="009C0C4A" w:rsidP="002238F5">
            <w:pPr>
              <w:pStyle w:val="naisf"/>
              <w:ind w:firstLine="127"/>
              <w:jc w:val="left"/>
              <w:rPr>
                <w:color w:val="000000" w:themeColor="text1"/>
              </w:rPr>
            </w:pPr>
            <w:r w:rsidRPr="00BB46BB">
              <w:rPr>
                <w:color w:val="000000" w:themeColor="text1"/>
              </w:rPr>
              <w:t>B</w:t>
            </w:r>
          </w:p>
        </w:tc>
        <w:tc>
          <w:tcPr>
            <w:tcW w:w="2215" w:type="pct"/>
            <w:gridSpan w:val="2"/>
            <w:tcBorders>
              <w:top w:val="outset" w:sz="6" w:space="0" w:color="auto"/>
              <w:left w:val="outset" w:sz="6" w:space="0" w:color="auto"/>
              <w:bottom w:val="outset" w:sz="6" w:space="0" w:color="auto"/>
            </w:tcBorders>
            <w:tcMar>
              <w:top w:w="28" w:type="dxa"/>
              <w:left w:w="28" w:type="dxa"/>
              <w:bottom w:w="28" w:type="dxa"/>
              <w:right w:w="28" w:type="dxa"/>
            </w:tcMar>
            <w:vAlign w:val="center"/>
            <w:hideMark/>
          </w:tcPr>
          <w:p w:rsidR="009C0C4A" w:rsidRPr="00BB46BB" w:rsidRDefault="009C0C4A" w:rsidP="002238F5">
            <w:pPr>
              <w:ind w:left="57"/>
              <w:rPr>
                <w:color w:val="000000" w:themeColor="text1"/>
                <w:spacing w:val="-3"/>
              </w:rPr>
            </w:pPr>
            <w:r w:rsidRPr="00BB46BB">
              <w:rPr>
                <w:color w:val="000000" w:themeColor="text1"/>
              </w:rPr>
              <w:t>C</w:t>
            </w:r>
          </w:p>
        </w:tc>
      </w:tr>
      <w:tr w:rsidR="009C0C4A" w:rsidRPr="00BB46BB" w:rsidTr="0090011E">
        <w:trPr>
          <w:cantSplit/>
          <w:trHeight w:val="545"/>
        </w:trPr>
        <w:tc>
          <w:tcPr>
            <w:tcW w:w="1572" w:type="pct"/>
            <w:gridSpan w:val="2"/>
            <w:tcBorders>
              <w:top w:val="outset" w:sz="6" w:space="0" w:color="auto"/>
              <w:left w:val="single" w:sz="4" w:space="0" w:color="auto"/>
              <w:bottom w:val="single" w:sz="4" w:space="0" w:color="auto"/>
              <w:right w:val="outset" w:sz="6" w:space="0" w:color="auto"/>
            </w:tcBorders>
            <w:tcMar>
              <w:top w:w="28" w:type="dxa"/>
              <w:left w:w="28" w:type="dxa"/>
              <w:bottom w:w="28" w:type="dxa"/>
              <w:right w:w="28" w:type="dxa"/>
            </w:tcMar>
            <w:hideMark/>
          </w:tcPr>
          <w:p w:rsidR="009C0C4A" w:rsidRPr="00BB46BB" w:rsidRDefault="009C0C4A" w:rsidP="002238F5">
            <w:pPr>
              <w:pStyle w:val="naisf"/>
              <w:jc w:val="left"/>
              <w:rPr>
                <w:color w:val="000000" w:themeColor="text1"/>
                <w:spacing w:val="-6"/>
              </w:rPr>
            </w:pPr>
            <w:r w:rsidRPr="00BB46BB">
              <w:rPr>
                <w:color w:val="000000" w:themeColor="text1"/>
                <w:spacing w:val="-6"/>
              </w:rPr>
              <w:t>Starptautiskās saistības (pēc būtības), kas izriet no norādītā starptautiskā dokumenta.</w:t>
            </w:r>
          </w:p>
          <w:p w:rsidR="009C0C4A" w:rsidRPr="00BB46BB" w:rsidRDefault="009C0C4A" w:rsidP="002238F5">
            <w:pPr>
              <w:pStyle w:val="naisf"/>
              <w:jc w:val="left"/>
              <w:rPr>
                <w:color w:val="000000" w:themeColor="text1"/>
                <w:spacing w:val="-6"/>
              </w:rPr>
            </w:pPr>
            <w:r w:rsidRPr="00BB46BB">
              <w:rPr>
                <w:color w:val="000000" w:themeColor="text1"/>
                <w:spacing w:val="-6"/>
              </w:rPr>
              <w:t>Konkrēti veicamie pasākumi vai uzdevumi, kas nepieciešami šo starptautisko saistību izpildei</w:t>
            </w:r>
          </w:p>
        </w:tc>
        <w:tc>
          <w:tcPr>
            <w:tcW w:w="1213" w:type="pct"/>
            <w:gridSpan w:val="2"/>
            <w:tcBorders>
              <w:top w:val="outset" w:sz="6" w:space="0" w:color="auto"/>
              <w:left w:val="outset" w:sz="6" w:space="0" w:color="auto"/>
              <w:bottom w:val="single" w:sz="4" w:space="0" w:color="auto"/>
              <w:right w:val="outset" w:sz="6" w:space="0" w:color="auto"/>
            </w:tcBorders>
            <w:tcMar>
              <w:top w:w="28" w:type="dxa"/>
              <w:left w:w="28" w:type="dxa"/>
              <w:bottom w:w="28" w:type="dxa"/>
              <w:right w:w="28" w:type="dxa"/>
            </w:tcMar>
            <w:hideMark/>
          </w:tcPr>
          <w:p w:rsidR="009C0C4A" w:rsidRPr="00BB46BB" w:rsidRDefault="009C0C4A" w:rsidP="002238F5">
            <w:pPr>
              <w:pStyle w:val="naisf"/>
              <w:jc w:val="left"/>
              <w:rPr>
                <w:color w:val="000000" w:themeColor="text1"/>
                <w:spacing w:val="-6"/>
              </w:rPr>
            </w:pPr>
            <w:r w:rsidRPr="00BB46BB">
              <w:rPr>
                <w:color w:val="000000" w:themeColor="text1"/>
                <w:spacing w:val="-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215" w:type="pct"/>
            <w:gridSpan w:val="2"/>
            <w:tcBorders>
              <w:top w:val="outset" w:sz="6" w:space="0" w:color="auto"/>
              <w:left w:val="outset" w:sz="6" w:space="0" w:color="auto"/>
              <w:bottom w:val="single" w:sz="4" w:space="0" w:color="auto"/>
            </w:tcBorders>
            <w:tcMar>
              <w:top w:w="28" w:type="dxa"/>
              <w:left w:w="28" w:type="dxa"/>
              <w:bottom w:w="28" w:type="dxa"/>
              <w:right w:w="28" w:type="dxa"/>
            </w:tcMar>
            <w:hideMark/>
          </w:tcPr>
          <w:p w:rsidR="009C0C4A" w:rsidRPr="00BB46BB" w:rsidRDefault="009C0C4A" w:rsidP="002238F5">
            <w:pPr>
              <w:pStyle w:val="naisf"/>
              <w:jc w:val="left"/>
              <w:rPr>
                <w:color w:val="000000" w:themeColor="text1"/>
                <w:spacing w:val="-6"/>
              </w:rPr>
            </w:pPr>
            <w:r w:rsidRPr="00BB46BB">
              <w:rPr>
                <w:color w:val="000000" w:themeColor="text1"/>
                <w:spacing w:val="-6"/>
              </w:rPr>
              <w:t>Informācija par to, vai starptautiskās saistības, kas minētas šīs tabulas A ailē, tiek izpildītas pilnībā vai daļēji.</w:t>
            </w:r>
          </w:p>
          <w:p w:rsidR="009C0C4A" w:rsidRPr="00BB46BB" w:rsidRDefault="009C0C4A" w:rsidP="002238F5">
            <w:pPr>
              <w:pStyle w:val="naisf"/>
              <w:jc w:val="left"/>
              <w:rPr>
                <w:color w:val="000000" w:themeColor="text1"/>
                <w:spacing w:val="-6"/>
              </w:rPr>
            </w:pPr>
            <w:r w:rsidRPr="00BB46BB">
              <w:rPr>
                <w:color w:val="000000" w:themeColor="text1"/>
                <w:spacing w:val="-6"/>
              </w:rPr>
              <w:t>Ja attiecīgās starptautiskās saistības tiek izpildītas daļēji, sniedz attiecīgu skaidrojumu, kā arī precīzi norāda, kad un kādā veidā starptautiskās saistības tiks izpildītas pilnībā.</w:t>
            </w:r>
          </w:p>
          <w:p w:rsidR="009C0C4A" w:rsidRPr="00BB46BB" w:rsidRDefault="009C0C4A" w:rsidP="002238F5">
            <w:pPr>
              <w:ind w:left="57"/>
              <w:rPr>
                <w:color w:val="000000" w:themeColor="text1"/>
                <w:spacing w:val="-3"/>
              </w:rPr>
            </w:pPr>
            <w:r w:rsidRPr="00BB46BB">
              <w:rPr>
                <w:color w:val="000000" w:themeColor="text1"/>
                <w:spacing w:val="-6"/>
              </w:rPr>
              <w:t>Norāda institūciju, kas ir atbildīga par šo saistību izpildi pilnībā</w:t>
            </w:r>
          </w:p>
        </w:tc>
      </w:tr>
      <w:tr w:rsidR="0090011E" w:rsidRPr="00BB46BB" w:rsidTr="0090011E">
        <w:trPr>
          <w:cantSplit/>
          <w:trHeight w:val="545"/>
        </w:trPr>
        <w:tc>
          <w:tcPr>
            <w:tcW w:w="1572" w:type="pct"/>
            <w:gridSpan w:val="2"/>
            <w:tcBorders>
              <w:top w:val="outset" w:sz="6" w:space="0" w:color="auto"/>
              <w:left w:val="single" w:sz="4" w:space="0" w:color="auto"/>
              <w:bottom w:val="single" w:sz="4" w:space="0" w:color="auto"/>
              <w:right w:val="outset" w:sz="6" w:space="0" w:color="auto"/>
            </w:tcBorders>
            <w:tcMar>
              <w:top w:w="28" w:type="dxa"/>
              <w:left w:w="28" w:type="dxa"/>
              <w:bottom w:w="28" w:type="dxa"/>
              <w:right w:w="28" w:type="dxa"/>
            </w:tcMar>
            <w:hideMark/>
          </w:tcPr>
          <w:p w:rsidR="0090011E" w:rsidRPr="00BB46BB" w:rsidRDefault="0090011E" w:rsidP="002238F5">
            <w:pPr>
              <w:pStyle w:val="naisf"/>
              <w:jc w:val="left"/>
              <w:rPr>
                <w:color w:val="000000" w:themeColor="text1"/>
                <w:spacing w:val="-6"/>
              </w:rPr>
            </w:pPr>
            <w:r w:rsidRPr="00BB46BB">
              <w:rPr>
                <w:color w:val="000000" w:themeColor="text1"/>
              </w:rPr>
              <w:t>Nav</w:t>
            </w:r>
          </w:p>
        </w:tc>
        <w:tc>
          <w:tcPr>
            <w:tcW w:w="1213" w:type="pct"/>
            <w:gridSpan w:val="2"/>
            <w:tcBorders>
              <w:top w:val="outset" w:sz="6" w:space="0" w:color="auto"/>
              <w:left w:val="outset" w:sz="6" w:space="0" w:color="auto"/>
              <w:bottom w:val="single" w:sz="4" w:space="0" w:color="auto"/>
              <w:right w:val="outset" w:sz="6" w:space="0" w:color="auto"/>
            </w:tcBorders>
            <w:tcMar>
              <w:top w:w="28" w:type="dxa"/>
              <w:left w:w="28" w:type="dxa"/>
              <w:bottom w:w="28" w:type="dxa"/>
              <w:right w:w="28" w:type="dxa"/>
            </w:tcMar>
            <w:hideMark/>
          </w:tcPr>
          <w:p w:rsidR="0090011E" w:rsidRPr="00BB46BB" w:rsidRDefault="0090011E" w:rsidP="002238F5">
            <w:pPr>
              <w:pStyle w:val="naisf"/>
              <w:jc w:val="left"/>
              <w:rPr>
                <w:color w:val="000000" w:themeColor="text1"/>
                <w:spacing w:val="-6"/>
              </w:rPr>
            </w:pPr>
            <w:r w:rsidRPr="00BB46BB">
              <w:rPr>
                <w:color w:val="000000" w:themeColor="text1"/>
              </w:rPr>
              <w:t>Nav</w:t>
            </w:r>
          </w:p>
        </w:tc>
        <w:tc>
          <w:tcPr>
            <w:tcW w:w="2215" w:type="pct"/>
            <w:gridSpan w:val="2"/>
            <w:tcBorders>
              <w:top w:val="outset" w:sz="6" w:space="0" w:color="auto"/>
              <w:left w:val="outset" w:sz="6" w:space="0" w:color="auto"/>
              <w:bottom w:val="single" w:sz="4" w:space="0" w:color="auto"/>
            </w:tcBorders>
            <w:tcMar>
              <w:top w:w="28" w:type="dxa"/>
              <w:left w:w="28" w:type="dxa"/>
              <w:bottom w:w="28" w:type="dxa"/>
              <w:right w:w="28" w:type="dxa"/>
            </w:tcMar>
            <w:hideMark/>
          </w:tcPr>
          <w:p w:rsidR="0090011E" w:rsidRPr="00BB46BB" w:rsidRDefault="0090011E" w:rsidP="002238F5">
            <w:pPr>
              <w:pStyle w:val="naisf"/>
              <w:jc w:val="left"/>
              <w:rPr>
                <w:color w:val="000000" w:themeColor="text1"/>
                <w:spacing w:val="-6"/>
              </w:rPr>
            </w:pPr>
            <w:r w:rsidRPr="00BB46BB">
              <w:rPr>
                <w:color w:val="000000" w:themeColor="text1"/>
              </w:rPr>
              <w:t>Nav</w:t>
            </w:r>
          </w:p>
        </w:tc>
      </w:tr>
      <w:tr w:rsidR="009C0C4A" w:rsidRPr="00BB46BB" w:rsidTr="0090011E">
        <w:trPr>
          <w:cantSplit/>
          <w:trHeight w:val="913"/>
        </w:trPr>
        <w:tc>
          <w:tcPr>
            <w:tcW w:w="157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C0C4A" w:rsidRPr="00BB46BB" w:rsidRDefault="009C0C4A" w:rsidP="002238F5">
            <w:pPr>
              <w:pStyle w:val="naisf"/>
              <w:jc w:val="left"/>
              <w:rPr>
                <w:color w:val="000000" w:themeColor="text1"/>
                <w:spacing w:val="6"/>
              </w:rPr>
            </w:pPr>
            <w:r w:rsidRPr="00BB46BB">
              <w:rPr>
                <w:color w:val="000000" w:themeColor="text1"/>
                <w:spacing w:val="6"/>
              </w:rPr>
              <w:lastRenderedPageBreak/>
              <w:t>Vai starptautiskajā dokumentā paredzētās saistības nav pretrunā ar jau esošajām Latvijas Republikas starptautiskajām saistībām</w:t>
            </w:r>
          </w:p>
        </w:tc>
        <w:tc>
          <w:tcPr>
            <w:tcW w:w="342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C0C4A" w:rsidRPr="00BB46BB" w:rsidRDefault="009C0C4A" w:rsidP="002238F5">
            <w:pPr>
              <w:pStyle w:val="naisf"/>
              <w:jc w:val="left"/>
              <w:rPr>
                <w:color w:val="000000" w:themeColor="text1"/>
              </w:rPr>
            </w:pPr>
            <w:r w:rsidRPr="00BB46BB">
              <w:rPr>
                <w:color w:val="000000" w:themeColor="text1"/>
              </w:rPr>
              <w:t>Projekts šo jomu neskar</w:t>
            </w:r>
          </w:p>
        </w:tc>
      </w:tr>
      <w:tr w:rsidR="009C0C4A" w:rsidRPr="00BB46BB" w:rsidTr="0090011E">
        <w:trPr>
          <w:cantSplit/>
          <w:trHeight w:val="579"/>
        </w:trPr>
        <w:tc>
          <w:tcPr>
            <w:tcW w:w="1572" w:type="pct"/>
            <w:gridSpan w:val="2"/>
            <w:tcBorders>
              <w:top w:val="outset" w:sz="6" w:space="0" w:color="auto"/>
              <w:left w:val="outset" w:sz="6" w:space="0" w:color="auto"/>
              <w:bottom w:val="single" w:sz="4" w:space="0" w:color="auto"/>
              <w:right w:val="outset" w:sz="6" w:space="0" w:color="auto"/>
            </w:tcBorders>
            <w:tcMar>
              <w:top w:w="28" w:type="dxa"/>
              <w:left w:w="28" w:type="dxa"/>
              <w:bottom w:w="28" w:type="dxa"/>
              <w:right w:w="28" w:type="dxa"/>
            </w:tcMar>
            <w:hideMark/>
          </w:tcPr>
          <w:p w:rsidR="009C0C4A" w:rsidRPr="00BB46BB" w:rsidRDefault="009C0C4A" w:rsidP="002238F5">
            <w:pPr>
              <w:pStyle w:val="naisf"/>
              <w:jc w:val="left"/>
              <w:rPr>
                <w:color w:val="000000" w:themeColor="text1"/>
              </w:rPr>
            </w:pPr>
            <w:r w:rsidRPr="00BB46BB">
              <w:rPr>
                <w:color w:val="000000" w:themeColor="text1"/>
              </w:rPr>
              <w:t>Cita informācija</w:t>
            </w:r>
          </w:p>
        </w:tc>
        <w:tc>
          <w:tcPr>
            <w:tcW w:w="3428" w:type="pct"/>
            <w:gridSpan w:val="4"/>
            <w:tcBorders>
              <w:top w:val="outset" w:sz="6" w:space="0" w:color="auto"/>
              <w:left w:val="outset" w:sz="6" w:space="0" w:color="auto"/>
              <w:bottom w:val="single" w:sz="4" w:space="0" w:color="auto"/>
              <w:right w:val="outset" w:sz="6" w:space="0" w:color="auto"/>
            </w:tcBorders>
            <w:tcMar>
              <w:top w:w="28" w:type="dxa"/>
              <w:left w:w="28" w:type="dxa"/>
              <w:bottom w:w="28" w:type="dxa"/>
              <w:right w:w="28" w:type="dxa"/>
            </w:tcMar>
            <w:hideMark/>
          </w:tcPr>
          <w:p w:rsidR="009C0C4A" w:rsidRPr="00BB46BB" w:rsidRDefault="009C0C4A" w:rsidP="002238F5">
            <w:pPr>
              <w:pStyle w:val="naisf"/>
              <w:jc w:val="left"/>
              <w:rPr>
                <w:color w:val="000000" w:themeColor="text1"/>
              </w:rPr>
            </w:pPr>
            <w:r w:rsidRPr="00BB46BB">
              <w:rPr>
                <w:color w:val="000000" w:themeColor="text1"/>
              </w:rPr>
              <w:t>Nav</w:t>
            </w:r>
          </w:p>
        </w:tc>
      </w:tr>
      <w:tr w:rsidR="009C0C4A" w:rsidRPr="00BB46BB" w:rsidTr="0090011E">
        <w:tc>
          <w:tcPr>
            <w:tcW w:w="5000" w:type="pct"/>
            <w:gridSpan w:val="6"/>
            <w:tcBorders>
              <w:top w:val="single" w:sz="4" w:space="0" w:color="auto"/>
              <w:left w:val="single" w:sz="4" w:space="0" w:color="auto"/>
              <w:bottom w:val="single" w:sz="4" w:space="0" w:color="auto"/>
              <w:right w:val="single" w:sz="4" w:space="0" w:color="auto"/>
            </w:tcBorders>
            <w:hideMark/>
          </w:tcPr>
          <w:p w:rsidR="009C0C4A" w:rsidRPr="00BB46BB" w:rsidRDefault="009C0C4A" w:rsidP="002238F5">
            <w:pPr>
              <w:pStyle w:val="naisc"/>
              <w:jc w:val="left"/>
              <w:rPr>
                <w:b/>
                <w:bCs/>
                <w:color w:val="000000" w:themeColor="text1"/>
              </w:rPr>
            </w:pPr>
          </w:p>
        </w:tc>
      </w:tr>
    </w:tbl>
    <w:p w:rsidR="002238F5" w:rsidRPr="00BB46BB" w:rsidRDefault="002238F5" w:rsidP="00BF6E4D">
      <w:pPr>
        <w:jc w:val="center"/>
        <w:rPr>
          <w:b/>
          <w:iCs/>
          <w:color w:val="000000" w:themeColor="text1"/>
        </w:rPr>
      </w:pPr>
    </w:p>
    <w:p w:rsidR="00E571FE" w:rsidRPr="00BB46BB" w:rsidRDefault="00E571FE" w:rsidP="00BF6E4D">
      <w:pPr>
        <w:rPr>
          <w:color w:val="000000" w:themeColor="text1"/>
          <w:u w:val="single"/>
          <w:lang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2559"/>
        <w:gridCol w:w="5982"/>
      </w:tblGrid>
      <w:tr w:rsidR="00E571FE" w:rsidRPr="00BB46BB" w:rsidTr="00890432">
        <w:trPr>
          <w:trHeight w:val="222"/>
        </w:trPr>
        <w:tc>
          <w:tcPr>
            <w:tcW w:w="5000" w:type="pct"/>
            <w:gridSpan w:val="3"/>
            <w:tcBorders>
              <w:top w:val="outset" w:sz="6" w:space="0" w:color="000000"/>
              <w:bottom w:val="outset" w:sz="6" w:space="0" w:color="000000"/>
            </w:tcBorders>
          </w:tcPr>
          <w:p w:rsidR="00E571FE" w:rsidRPr="00BB46BB" w:rsidRDefault="00E571FE" w:rsidP="00BF6E4D">
            <w:pPr>
              <w:jc w:val="center"/>
              <w:rPr>
                <w:b/>
                <w:bCs/>
                <w:color w:val="000000" w:themeColor="text1"/>
                <w:lang w:eastAsia="lv-LV"/>
              </w:rPr>
            </w:pPr>
            <w:r w:rsidRPr="00BB46BB">
              <w:rPr>
                <w:b/>
                <w:bCs/>
                <w:color w:val="000000" w:themeColor="text1"/>
                <w:lang w:eastAsia="lv-LV"/>
              </w:rPr>
              <w:t xml:space="preserve">VI. Sabiedrības līdzdalība </w:t>
            </w:r>
            <w:r w:rsidRPr="00BB46BB">
              <w:rPr>
                <w:b/>
                <w:bCs/>
                <w:color w:val="000000" w:themeColor="text1"/>
              </w:rPr>
              <w:t>un komunikācijas aktivitātes</w:t>
            </w:r>
          </w:p>
        </w:tc>
      </w:tr>
      <w:tr w:rsidR="008A1662" w:rsidRPr="00BB46BB"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BB46BB" w:rsidRDefault="008A1662" w:rsidP="00BF6E4D">
            <w:pPr>
              <w:pStyle w:val="naiskr"/>
              <w:spacing w:before="0" w:beforeAutospacing="0" w:after="0" w:afterAutospacing="0"/>
              <w:rPr>
                <w:color w:val="000000" w:themeColor="text1"/>
              </w:rPr>
            </w:pPr>
            <w:r w:rsidRPr="00BB46BB">
              <w:rPr>
                <w:color w:val="000000" w:themeColor="text1"/>
              </w:rPr>
              <w:t>1.</w:t>
            </w:r>
          </w:p>
        </w:tc>
        <w:tc>
          <w:tcPr>
            <w:tcW w:w="1406" w:type="pct"/>
          </w:tcPr>
          <w:p w:rsidR="008A1662" w:rsidRPr="00BB46BB" w:rsidRDefault="008A1662" w:rsidP="00BF6E4D">
            <w:pPr>
              <w:pStyle w:val="naiskr"/>
              <w:spacing w:before="0" w:beforeAutospacing="0" w:after="0" w:afterAutospacing="0"/>
              <w:jc w:val="both"/>
              <w:rPr>
                <w:color w:val="000000" w:themeColor="text1"/>
              </w:rPr>
            </w:pPr>
            <w:r w:rsidRPr="00BB46BB">
              <w:rPr>
                <w:color w:val="000000" w:themeColor="text1"/>
              </w:rPr>
              <w:t>Plānotās sabiedrības līdzdalības un komunikācijas aktivitātes saistībā ar projektu</w:t>
            </w:r>
          </w:p>
        </w:tc>
        <w:tc>
          <w:tcPr>
            <w:tcW w:w="3286" w:type="pct"/>
          </w:tcPr>
          <w:p w:rsidR="005D3CAC" w:rsidRPr="00BB46BB" w:rsidRDefault="00B3442F" w:rsidP="005D3CAC">
            <w:pPr>
              <w:ind w:left="57" w:right="57"/>
              <w:jc w:val="both"/>
              <w:rPr>
                <w:iCs/>
                <w:color w:val="000000" w:themeColor="text1"/>
              </w:rPr>
            </w:pPr>
            <w:r w:rsidRPr="00BB46BB">
              <w:rPr>
                <w:iCs/>
                <w:color w:val="000000" w:themeColor="text1"/>
              </w:rPr>
              <w:t>Noteikumu projekts</w:t>
            </w:r>
            <w:r w:rsidR="00C95C3F" w:rsidRPr="00BB46BB">
              <w:rPr>
                <w:iCs/>
                <w:color w:val="000000" w:themeColor="text1"/>
              </w:rPr>
              <w:t xml:space="preserve"> 2014.gada 3.novembrī</w:t>
            </w:r>
            <w:r w:rsidRPr="00BB46BB">
              <w:rPr>
                <w:iCs/>
                <w:color w:val="000000" w:themeColor="text1"/>
              </w:rPr>
              <w:t xml:space="preserve"> ievietots </w:t>
            </w:r>
            <w:r w:rsidR="008A1662" w:rsidRPr="00BB46BB">
              <w:rPr>
                <w:iCs/>
                <w:color w:val="000000" w:themeColor="text1"/>
              </w:rPr>
              <w:t xml:space="preserve">Veselības ministrijas </w:t>
            </w:r>
            <w:r w:rsidR="00C95C3F" w:rsidRPr="00BB46BB">
              <w:rPr>
                <w:iCs/>
                <w:color w:val="000000" w:themeColor="text1"/>
              </w:rPr>
              <w:t xml:space="preserve">tīmekļa vietnē </w:t>
            </w:r>
            <w:r w:rsidR="005D3CAC" w:rsidRPr="00BB46BB">
              <w:rPr>
                <w:iCs/>
                <w:color w:val="000000" w:themeColor="text1"/>
              </w:rPr>
              <w:t>sabiedriskai</w:t>
            </w:r>
            <w:r w:rsidR="008A1662" w:rsidRPr="00BB46BB">
              <w:rPr>
                <w:iCs/>
                <w:color w:val="000000" w:themeColor="text1"/>
              </w:rPr>
              <w:t xml:space="preserve"> apsprie</w:t>
            </w:r>
            <w:r w:rsidR="005D3CAC" w:rsidRPr="00BB46BB">
              <w:rPr>
                <w:iCs/>
                <w:color w:val="000000" w:themeColor="text1"/>
              </w:rPr>
              <w:t>dei.</w:t>
            </w:r>
            <w:r w:rsidRPr="00BB46BB">
              <w:rPr>
                <w:iCs/>
                <w:color w:val="000000" w:themeColor="text1"/>
              </w:rPr>
              <w:t xml:space="preserve"> </w:t>
            </w:r>
          </w:p>
          <w:p w:rsidR="008A1662" w:rsidRPr="00BB46BB" w:rsidRDefault="008A1662" w:rsidP="005D3CAC">
            <w:pPr>
              <w:ind w:left="57" w:right="57"/>
              <w:jc w:val="both"/>
              <w:rPr>
                <w:iCs/>
                <w:color w:val="000000" w:themeColor="text1"/>
              </w:rPr>
            </w:pPr>
          </w:p>
        </w:tc>
      </w:tr>
      <w:tr w:rsidR="008A1662" w:rsidRPr="00BB46BB"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BB46BB" w:rsidRDefault="008A1662" w:rsidP="00BF6E4D">
            <w:pPr>
              <w:pStyle w:val="naiskr"/>
              <w:spacing w:before="0" w:beforeAutospacing="0" w:after="0" w:afterAutospacing="0"/>
              <w:rPr>
                <w:color w:val="000000" w:themeColor="text1"/>
              </w:rPr>
            </w:pPr>
            <w:r w:rsidRPr="00BB46BB">
              <w:rPr>
                <w:color w:val="000000" w:themeColor="text1"/>
              </w:rPr>
              <w:t>2.</w:t>
            </w:r>
          </w:p>
        </w:tc>
        <w:tc>
          <w:tcPr>
            <w:tcW w:w="1406" w:type="pct"/>
          </w:tcPr>
          <w:p w:rsidR="008A1662" w:rsidRPr="00BB46BB" w:rsidRDefault="008A1662" w:rsidP="00BF6E4D">
            <w:pPr>
              <w:pStyle w:val="naiskr"/>
              <w:spacing w:before="0" w:beforeAutospacing="0" w:after="0" w:afterAutospacing="0"/>
              <w:jc w:val="both"/>
              <w:rPr>
                <w:color w:val="000000" w:themeColor="text1"/>
              </w:rPr>
            </w:pPr>
            <w:r w:rsidRPr="00BB46BB">
              <w:rPr>
                <w:color w:val="000000" w:themeColor="text1"/>
              </w:rPr>
              <w:t>Sabiedrības līdzdalība projekta izstrādē</w:t>
            </w:r>
          </w:p>
        </w:tc>
        <w:tc>
          <w:tcPr>
            <w:tcW w:w="3286" w:type="pct"/>
          </w:tcPr>
          <w:p w:rsidR="002C0406" w:rsidRPr="00BB46BB" w:rsidRDefault="000B7D93" w:rsidP="00630D48">
            <w:pPr>
              <w:jc w:val="both"/>
              <w:rPr>
                <w:color w:val="000000" w:themeColor="text1"/>
              </w:rPr>
            </w:pPr>
            <w:r w:rsidRPr="00BB46BB">
              <w:rPr>
                <w:color w:val="000000" w:themeColor="text1"/>
              </w:rPr>
              <w:t>Sabiedriskā apspriede notik</w:t>
            </w:r>
            <w:r w:rsidR="00630D48" w:rsidRPr="00BB46BB">
              <w:rPr>
                <w:color w:val="000000" w:themeColor="text1"/>
              </w:rPr>
              <w:t>a</w:t>
            </w:r>
            <w:r w:rsidRPr="00BB46BB">
              <w:rPr>
                <w:color w:val="000000" w:themeColor="text1"/>
              </w:rPr>
              <w:t xml:space="preserve"> </w:t>
            </w:r>
            <w:r w:rsidR="00630D48" w:rsidRPr="00BB46BB">
              <w:rPr>
                <w:color w:val="000000" w:themeColor="text1"/>
              </w:rPr>
              <w:t xml:space="preserve">Veselības ministrijā </w:t>
            </w:r>
            <w:r w:rsidRPr="00BB46BB">
              <w:rPr>
                <w:color w:val="000000" w:themeColor="text1"/>
              </w:rPr>
              <w:t>2014.gada 22.novembrī.</w:t>
            </w:r>
          </w:p>
          <w:p w:rsidR="003A0CE9" w:rsidRPr="00BB46BB" w:rsidRDefault="003A0CE9" w:rsidP="00961E88">
            <w:pPr>
              <w:jc w:val="both"/>
              <w:rPr>
                <w:color w:val="000000" w:themeColor="text1"/>
              </w:rPr>
            </w:pPr>
            <w:r w:rsidRPr="00BB46BB">
              <w:rPr>
                <w:color w:val="000000" w:themeColor="text1"/>
              </w:rPr>
              <w:t xml:space="preserve">Sabiedriskajā apspriedē piedalījās pārstāvji no Veselības aprūpes darba devēju asociācijas, Latvijas ārstu biedrības, </w:t>
            </w:r>
            <w:r w:rsidR="00961E88" w:rsidRPr="00BB46BB">
              <w:rPr>
                <w:color w:val="000000" w:themeColor="text1"/>
              </w:rPr>
              <w:t xml:space="preserve">Latvijas </w:t>
            </w:r>
            <w:r w:rsidRPr="00BB46BB">
              <w:rPr>
                <w:color w:val="000000" w:themeColor="text1"/>
              </w:rPr>
              <w:t>Slimnīcu biedrības, Medicīnas iestāžu biedrības,</w:t>
            </w:r>
            <w:r w:rsidR="00961E88" w:rsidRPr="00BB46BB">
              <w:rPr>
                <w:color w:val="000000" w:themeColor="text1"/>
              </w:rPr>
              <w:t xml:space="preserve"> Latvijas Ultrasonogrāfijas asociācijas, Latvijas Rehabilitācijas profesionālo organizāciju apvienības, Latvijas gastroenterologu asociācijas. </w:t>
            </w:r>
          </w:p>
          <w:p w:rsidR="00562687" w:rsidRPr="00BB46BB" w:rsidRDefault="00562687" w:rsidP="00562687">
            <w:pPr>
              <w:jc w:val="both"/>
              <w:rPr>
                <w:bCs/>
                <w:color w:val="000000" w:themeColor="text1"/>
              </w:rPr>
            </w:pPr>
            <w:r w:rsidRPr="00BB46BB">
              <w:rPr>
                <w:bCs/>
                <w:color w:val="000000" w:themeColor="text1"/>
              </w:rPr>
              <w:t>Diskusijas notika:</w:t>
            </w:r>
          </w:p>
          <w:p w:rsidR="00562687" w:rsidRPr="00BB46BB" w:rsidRDefault="00562687" w:rsidP="00562687">
            <w:pPr>
              <w:jc w:val="both"/>
              <w:rPr>
                <w:bCs/>
                <w:color w:val="000000" w:themeColor="text1"/>
              </w:rPr>
            </w:pPr>
            <w:r w:rsidRPr="00BB46BB">
              <w:rPr>
                <w:bCs/>
                <w:color w:val="000000" w:themeColor="text1"/>
              </w:rPr>
              <w:t>- par jaunu kārtību, kura paredz uzsākt pielietot stacionārajā veselības aprūpē ar diagnozēm saistīto grupu (Diagnosis related groups – DRG) apmaksas modeli,” kā arī par kārtību, kādā tiks uzskaitīta un apmaksāta daļa no stacionārā ārstniecības iestādē sniegtajiem veselības aprūpes pakalpojumiem;</w:t>
            </w:r>
          </w:p>
          <w:p w:rsidR="002F79EA" w:rsidRDefault="00562687" w:rsidP="00322243">
            <w:pPr>
              <w:ind w:firstLine="34"/>
              <w:jc w:val="both"/>
              <w:rPr>
                <w:bCs/>
                <w:color w:val="000000" w:themeColor="text1"/>
              </w:rPr>
            </w:pPr>
            <w:r w:rsidRPr="00BB46BB">
              <w:rPr>
                <w:bCs/>
                <w:color w:val="000000" w:themeColor="text1"/>
              </w:rPr>
              <w:t>- Latvijas Laboratorijas speciālistu biedrība neatbalst</w:t>
            </w:r>
            <w:r w:rsidR="00354715" w:rsidRPr="00BB46BB">
              <w:rPr>
                <w:bCs/>
                <w:color w:val="000000" w:themeColor="text1"/>
              </w:rPr>
              <w:t>īja</w:t>
            </w:r>
            <w:r w:rsidR="002F79EA" w:rsidRPr="00BB46BB">
              <w:rPr>
                <w:bCs/>
                <w:color w:val="000000" w:themeColor="text1"/>
              </w:rPr>
              <w:t xml:space="preserve"> noteikumu projektā iekļautās normas saskaņā ar kurām NVD veic samaksu par ambulatorajiem laboratoriskajiem pakalpojumiem, piemērojot samazinošo koeficientu iestādēm ar lielāku veiktā darba apjomu.</w:t>
            </w:r>
          </w:p>
          <w:p w:rsidR="00D8460E" w:rsidRPr="00BB46BB" w:rsidRDefault="00D8460E" w:rsidP="00D8460E">
            <w:pPr>
              <w:ind w:firstLine="317"/>
              <w:jc w:val="both"/>
              <w:rPr>
                <w:bCs/>
                <w:color w:val="000000" w:themeColor="text1"/>
              </w:rPr>
            </w:pPr>
            <w:r>
              <w:rPr>
                <w:bCs/>
                <w:color w:val="000000" w:themeColor="text1"/>
              </w:rPr>
              <w:t xml:space="preserve">Noteikumu projektā šī norma svītrota. </w:t>
            </w:r>
          </w:p>
          <w:p w:rsidR="00354715" w:rsidRPr="00BB46BB" w:rsidRDefault="0071185E" w:rsidP="00322243">
            <w:pPr>
              <w:jc w:val="both"/>
              <w:rPr>
                <w:bCs/>
                <w:color w:val="000000" w:themeColor="text1"/>
              </w:rPr>
            </w:pPr>
            <w:r w:rsidRPr="00BB46BB">
              <w:rPr>
                <w:bCs/>
                <w:color w:val="000000" w:themeColor="text1"/>
              </w:rPr>
              <w:t>- sanāksmes dalībnieki aicināja pārrēķināt visus no valsts budžeta apmaksājamo veselības aprūpes pakalpojumu tarifus</w:t>
            </w:r>
            <w:r w:rsidR="00322243" w:rsidRPr="00BB46BB">
              <w:rPr>
                <w:bCs/>
                <w:color w:val="000000" w:themeColor="text1"/>
              </w:rPr>
              <w:t>.</w:t>
            </w:r>
            <w:r w:rsidRPr="00BB46BB">
              <w:rPr>
                <w:bCs/>
                <w:color w:val="000000" w:themeColor="text1"/>
              </w:rPr>
              <w:t xml:space="preserve"> </w:t>
            </w:r>
          </w:p>
          <w:p w:rsidR="00562687" w:rsidRPr="00BB46BB" w:rsidRDefault="00354715" w:rsidP="00354715">
            <w:pPr>
              <w:ind w:firstLine="252"/>
              <w:jc w:val="both"/>
              <w:rPr>
                <w:color w:val="000000" w:themeColor="text1"/>
              </w:rPr>
            </w:pPr>
            <w:r w:rsidRPr="00BB46BB">
              <w:rPr>
                <w:bCs/>
                <w:color w:val="000000" w:themeColor="text1"/>
              </w:rPr>
              <w:t xml:space="preserve">Noteikumu projektā ir iekļauti pārrēķinātie tarifi atbilstoši </w:t>
            </w:r>
            <w:r w:rsidRPr="00BB46BB">
              <w:rPr>
                <w:color w:val="000000" w:themeColor="text1"/>
              </w:rPr>
              <w:t xml:space="preserve">Ministru kabinetā 2014.gada 12.novembra sēdē apstiprinātajam maksimāli pieļaujamam valsts budžeta izdevumu kopējam apjomam </w:t>
            </w:r>
            <w:r w:rsidRPr="00BB46BB">
              <w:rPr>
                <w:bCs/>
                <w:color w:val="000000" w:themeColor="text1"/>
              </w:rPr>
              <w:t xml:space="preserve">veselības aprūpes nozarei. </w:t>
            </w:r>
          </w:p>
        </w:tc>
      </w:tr>
      <w:tr w:rsidR="008A1662" w:rsidRPr="00BB46BB"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8A1662" w:rsidRPr="00BB46BB" w:rsidRDefault="008A1662" w:rsidP="00BF6E4D">
            <w:pPr>
              <w:pStyle w:val="naiskr"/>
              <w:spacing w:before="0" w:beforeAutospacing="0" w:after="0" w:afterAutospacing="0"/>
              <w:rPr>
                <w:color w:val="000000" w:themeColor="text1"/>
              </w:rPr>
            </w:pPr>
            <w:r w:rsidRPr="00BB46BB">
              <w:rPr>
                <w:color w:val="000000" w:themeColor="text1"/>
              </w:rPr>
              <w:t>3.</w:t>
            </w:r>
          </w:p>
        </w:tc>
        <w:tc>
          <w:tcPr>
            <w:tcW w:w="1406" w:type="pct"/>
          </w:tcPr>
          <w:p w:rsidR="008A1662" w:rsidRPr="00BB46BB" w:rsidRDefault="008A1662" w:rsidP="00BF6E4D">
            <w:pPr>
              <w:pStyle w:val="naiskr"/>
              <w:spacing w:before="0" w:beforeAutospacing="0" w:after="0" w:afterAutospacing="0"/>
              <w:jc w:val="both"/>
              <w:rPr>
                <w:color w:val="000000" w:themeColor="text1"/>
              </w:rPr>
            </w:pPr>
            <w:r w:rsidRPr="00BB46BB">
              <w:rPr>
                <w:color w:val="000000" w:themeColor="text1"/>
              </w:rPr>
              <w:t>Sabiedrības līdzdalības rezultāti</w:t>
            </w:r>
          </w:p>
        </w:tc>
        <w:tc>
          <w:tcPr>
            <w:tcW w:w="3286" w:type="pct"/>
          </w:tcPr>
          <w:p w:rsidR="006862EB" w:rsidRPr="00BB46BB" w:rsidRDefault="005D3CAC" w:rsidP="00961E88">
            <w:pPr>
              <w:jc w:val="both"/>
              <w:rPr>
                <w:rFonts w:eastAsia="Arial Unicode MS"/>
                <w:color w:val="000000" w:themeColor="text1"/>
              </w:rPr>
            </w:pPr>
            <w:r w:rsidRPr="00BB46BB">
              <w:rPr>
                <w:iCs/>
                <w:color w:val="000000" w:themeColor="text1"/>
              </w:rPr>
              <w:t xml:space="preserve">Sabiedriskās </w:t>
            </w:r>
            <w:r w:rsidR="00D35494" w:rsidRPr="00BB46BB">
              <w:rPr>
                <w:iCs/>
                <w:color w:val="000000" w:themeColor="text1"/>
              </w:rPr>
              <w:t>a</w:t>
            </w:r>
            <w:r w:rsidRPr="00BB46BB">
              <w:rPr>
                <w:iCs/>
                <w:color w:val="000000" w:themeColor="text1"/>
              </w:rPr>
              <w:t xml:space="preserve">priešanas rezultāti pieejami </w:t>
            </w:r>
            <w:r w:rsidRPr="00BB46BB">
              <w:rPr>
                <w:color w:val="000000" w:themeColor="text1"/>
              </w:rPr>
              <w:t>Veselības ministrijas tīmekļa vietnē</w:t>
            </w:r>
            <w:r w:rsidR="000B7D93" w:rsidRPr="00BB46BB">
              <w:rPr>
                <w:color w:val="000000" w:themeColor="text1"/>
              </w:rPr>
              <w:t>.</w:t>
            </w:r>
          </w:p>
        </w:tc>
      </w:tr>
      <w:tr w:rsidR="00E571FE" w:rsidRPr="00BB46BB" w:rsidTr="00890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E571FE" w:rsidRPr="00BB46BB" w:rsidRDefault="00E571FE" w:rsidP="00BF6E4D">
            <w:pPr>
              <w:pStyle w:val="naiskr"/>
              <w:spacing w:before="0" w:beforeAutospacing="0" w:after="0" w:afterAutospacing="0"/>
              <w:rPr>
                <w:color w:val="000000" w:themeColor="text1"/>
              </w:rPr>
            </w:pPr>
            <w:r w:rsidRPr="00BB46BB">
              <w:rPr>
                <w:color w:val="000000" w:themeColor="text1"/>
              </w:rPr>
              <w:t>4.</w:t>
            </w:r>
          </w:p>
        </w:tc>
        <w:tc>
          <w:tcPr>
            <w:tcW w:w="1406" w:type="pct"/>
          </w:tcPr>
          <w:p w:rsidR="00E571FE" w:rsidRPr="00BB46BB" w:rsidRDefault="00E571FE" w:rsidP="00BF6E4D">
            <w:pPr>
              <w:pStyle w:val="naiskr"/>
              <w:spacing w:before="0" w:beforeAutospacing="0" w:after="0" w:afterAutospacing="0"/>
              <w:jc w:val="both"/>
              <w:rPr>
                <w:color w:val="000000" w:themeColor="text1"/>
              </w:rPr>
            </w:pPr>
            <w:r w:rsidRPr="00BB46BB">
              <w:rPr>
                <w:color w:val="000000" w:themeColor="text1"/>
              </w:rPr>
              <w:t>Cita informācija</w:t>
            </w:r>
          </w:p>
        </w:tc>
        <w:tc>
          <w:tcPr>
            <w:tcW w:w="3286" w:type="pct"/>
          </w:tcPr>
          <w:p w:rsidR="00E571FE" w:rsidRPr="00BB46BB" w:rsidRDefault="00E571FE" w:rsidP="00BF6E4D">
            <w:pPr>
              <w:pStyle w:val="naisc"/>
              <w:spacing w:before="0" w:beforeAutospacing="0" w:after="0" w:afterAutospacing="0"/>
              <w:jc w:val="left"/>
              <w:rPr>
                <w:color w:val="000000" w:themeColor="text1"/>
                <w:sz w:val="24"/>
                <w:szCs w:val="24"/>
              </w:rPr>
            </w:pPr>
            <w:r w:rsidRPr="00BB46BB">
              <w:rPr>
                <w:color w:val="000000" w:themeColor="text1"/>
                <w:sz w:val="24"/>
                <w:szCs w:val="24"/>
              </w:rPr>
              <w:t>Nav</w:t>
            </w:r>
          </w:p>
        </w:tc>
      </w:tr>
      <w:tr w:rsidR="00E571FE" w:rsidRPr="00BB46BB" w:rsidTr="00890432">
        <w:trPr>
          <w:trHeight w:val="222"/>
        </w:trPr>
        <w:tc>
          <w:tcPr>
            <w:tcW w:w="5000" w:type="pct"/>
            <w:gridSpan w:val="3"/>
            <w:tcBorders>
              <w:top w:val="outset" w:sz="6" w:space="0" w:color="000000"/>
              <w:bottom w:val="outset" w:sz="6" w:space="0" w:color="000000"/>
            </w:tcBorders>
          </w:tcPr>
          <w:p w:rsidR="00E571FE" w:rsidRPr="00BB46BB" w:rsidRDefault="00E571FE" w:rsidP="00BF6E4D">
            <w:pPr>
              <w:jc w:val="center"/>
              <w:rPr>
                <w:b/>
                <w:bCs/>
                <w:color w:val="000000" w:themeColor="text1"/>
                <w:lang w:eastAsia="lv-LV"/>
              </w:rPr>
            </w:pPr>
            <w:r w:rsidRPr="00BB46BB">
              <w:rPr>
                <w:b/>
                <w:bCs/>
                <w:color w:val="000000" w:themeColor="text1"/>
                <w:lang w:eastAsia="lv-LV"/>
              </w:rPr>
              <w:t>VII. Tiesību akta projekta izpildes nodrošināšana un tās ietekme uz institūcijām</w:t>
            </w:r>
          </w:p>
        </w:tc>
      </w:tr>
      <w:tr w:rsidR="00E571FE" w:rsidRPr="00BB46BB" w:rsidTr="00890432">
        <w:tc>
          <w:tcPr>
            <w:tcW w:w="0" w:type="auto"/>
            <w:tcBorders>
              <w:top w:val="outset" w:sz="6" w:space="0" w:color="000000"/>
              <w:bottom w:val="outset" w:sz="6" w:space="0" w:color="000000"/>
              <w:right w:val="outset" w:sz="6" w:space="0" w:color="000000"/>
            </w:tcBorders>
          </w:tcPr>
          <w:p w:rsidR="00E571FE" w:rsidRPr="00BB46BB" w:rsidRDefault="00E571FE" w:rsidP="00BF6E4D">
            <w:pPr>
              <w:rPr>
                <w:color w:val="000000" w:themeColor="text1"/>
                <w:lang w:eastAsia="lv-LV"/>
              </w:rPr>
            </w:pPr>
            <w:r w:rsidRPr="00BB46BB">
              <w:rPr>
                <w:color w:val="000000" w:themeColor="text1"/>
                <w:lang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E571FE" w:rsidRPr="00BB46BB" w:rsidRDefault="00E571FE" w:rsidP="005D3CAC">
            <w:pPr>
              <w:ind w:left="119"/>
              <w:rPr>
                <w:color w:val="000000" w:themeColor="text1"/>
                <w:lang w:eastAsia="lv-LV"/>
              </w:rPr>
            </w:pPr>
            <w:r w:rsidRPr="00BB46BB">
              <w:rPr>
                <w:color w:val="000000" w:themeColor="text1"/>
                <w:lang w:eastAsia="lv-LV"/>
              </w:rPr>
              <w:t xml:space="preserve">Projekta izpildē </w:t>
            </w:r>
            <w:r w:rsidRPr="00BB46BB">
              <w:rPr>
                <w:color w:val="000000" w:themeColor="text1"/>
                <w:lang w:eastAsia="lv-LV"/>
              </w:rPr>
              <w:lastRenderedPageBreak/>
              <w:t>iesaistītās institūcijas</w:t>
            </w:r>
          </w:p>
        </w:tc>
        <w:tc>
          <w:tcPr>
            <w:tcW w:w="3286" w:type="pct"/>
            <w:tcBorders>
              <w:top w:val="outset" w:sz="6" w:space="0" w:color="000000"/>
              <w:left w:val="outset" w:sz="6" w:space="0" w:color="000000"/>
              <w:bottom w:val="outset" w:sz="6" w:space="0" w:color="000000"/>
            </w:tcBorders>
          </w:tcPr>
          <w:p w:rsidR="002C0406" w:rsidRPr="00BB46BB" w:rsidRDefault="004574E5" w:rsidP="005D3CAC">
            <w:pPr>
              <w:ind w:left="57" w:right="57"/>
              <w:jc w:val="both"/>
              <w:rPr>
                <w:color w:val="000000" w:themeColor="text1"/>
              </w:rPr>
            </w:pPr>
            <w:r w:rsidRPr="00BB46BB">
              <w:rPr>
                <w:color w:val="000000" w:themeColor="text1"/>
              </w:rPr>
              <w:lastRenderedPageBreak/>
              <w:t>NVD</w:t>
            </w:r>
            <w:r w:rsidR="005D3CAC" w:rsidRPr="00BB46BB">
              <w:rPr>
                <w:color w:val="000000" w:themeColor="text1"/>
              </w:rPr>
              <w:t>, ārstniecības iestādes un ārstniecības personas</w:t>
            </w:r>
            <w:r w:rsidR="000B7D93" w:rsidRPr="00BB46BB">
              <w:rPr>
                <w:color w:val="000000" w:themeColor="text1"/>
              </w:rPr>
              <w:t>.</w:t>
            </w:r>
          </w:p>
        </w:tc>
      </w:tr>
      <w:tr w:rsidR="00E571FE" w:rsidRPr="00BB46BB" w:rsidTr="00890432">
        <w:tc>
          <w:tcPr>
            <w:tcW w:w="0" w:type="auto"/>
            <w:tcBorders>
              <w:top w:val="outset" w:sz="6" w:space="0" w:color="000000"/>
              <w:bottom w:val="outset" w:sz="6" w:space="0" w:color="000000"/>
              <w:right w:val="outset" w:sz="6" w:space="0" w:color="000000"/>
            </w:tcBorders>
          </w:tcPr>
          <w:p w:rsidR="00E571FE" w:rsidRPr="00BB46BB" w:rsidRDefault="00E571FE" w:rsidP="00BF6E4D">
            <w:pPr>
              <w:rPr>
                <w:color w:val="000000" w:themeColor="text1"/>
                <w:lang w:eastAsia="lv-LV"/>
              </w:rPr>
            </w:pPr>
            <w:r w:rsidRPr="00BB46BB">
              <w:rPr>
                <w:color w:val="000000" w:themeColor="text1"/>
                <w:lang w:eastAsia="lv-LV"/>
              </w:rPr>
              <w:lastRenderedPageBreak/>
              <w:t>2.</w:t>
            </w:r>
          </w:p>
        </w:tc>
        <w:tc>
          <w:tcPr>
            <w:tcW w:w="1406" w:type="pct"/>
            <w:tcBorders>
              <w:top w:val="outset" w:sz="6" w:space="0" w:color="000000"/>
              <w:left w:val="outset" w:sz="6" w:space="0" w:color="000000"/>
              <w:bottom w:val="outset" w:sz="6" w:space="0" w:color="000000"/>
              <w:right w:val="outset" w:sz="6" w:space="0" w:color="000000"/>
            </w:tcBorders>
          </w:tcPr>
          <w:p w:rsidR="00E571FE" w:rsidRPr="00BB46BB" w:rsidRDefault="00E571FE" w:rsidP="000B7D93">
            <w:pPr>
              <w:ind w:left="119" w:right="112"/>
              <w:jc w:val="both"/>
              <w:rPr>
                <w:color w:val="000000" w:themeColor="text1"/>
              </w:rPr>
            </w:pPr>
            <w:r w:rsidRPr="00BB46BB">
              <w:rPr>
                <w:color w:val="000000" w:themeColor="text1"/>
              </w:rPr>
              <w:t>Projekta izpildes ietekme uz pārvaldes funkcijām un institucionālo struktūru. 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tcBorders>
          </w:tcPr>
          <w:p w:rsidR="00E571FE" w:rsidRPr="00BB46BB" w:rsidRDefault="005D3CAC" w:rsidP="003705D7">
            <w:pPr>
              <w:pStyle w:val="tv2131"/>
              <w:spacing w:before="0" w:line="240" w:lineRule="auto"/>
              <w:ind w:left="57" w:right="57" w:firstLine="0"/>
              <w:rPr>
                <w:rFonts w:ascii="Times New Roman" w:hAnsi="Times New Roman"/>
                <w:bCs/>
                <w:color w:val="000000" w:themeColor="text1"/>
                <w:sz w:val="24"/>
                <w:szCs w:val="24"/>
              </w:rPr>
            </w:pPr>
            <w:r w:rsidRPr="00BB46BB">
              <w:rPr>
                <w:rFonts w:ascii="Times New Roman" w:hAnsi="Times New Roman"/>
                <w:color w:val="000000" w:themeColor="text1"/>
                <w:sz w:val="24"/>
                <w:szCs w:val="24"/>
              </w:rPr>
              <w:t>Projekts šo jomu neskar</w:t>
            </w:r>
          </w:p>
        </w:tc>
      </w:tr>
      <w:tr w:rsidR="00E571FE" w:rsidRPr="00BB46BB" w:rsidTr="00890432">
        <w:tc>
          <w:tcPr>
            <w:tcW w:w="0" w:type="auto"/>
            <w:tcBorders>
              <w:top w:val="outset" w:sz="6" w:space="0" w:color="000000"/>
              <w:bottom w:val="outset" w:sz="6" w:space="0" w:color="000000"/>
              <w:right w:val="outset" w:sz="6" w:space="0" w:color="000000"/>
            </w:tcBorders>
          </w:tcPr>
          <w:p w:rsidR="00E571FE" w:rsidRPr="00BB46BB" w:rsidRDefault="00E571FE" w:rsidP="00BF6E4D">
            <w:pPr>
              <w:rPr>
                <w:color w:val="000000" w:themeColor="text1"/>
                <w:lang w:eastAsia="lv-LV"/>
              </w:rPr>
            </w:pPr>
            <w:r w:rsidRPr="00BB46BB">
              <w:rPr>
                <w:color w:val="000000" w:themeColor="text1"/>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E571FE" w:rsidRPr="00BB46BB" w:rsidRDefault="00E571FE" w:rsidP="00E0658E">
            <w:pPr>
              <w:rPr>
                <w:color w:val="000000" w:themeColor="text1"/>
                <w:lang w:eastAsia="lv-LV"/>
              </w:rPr>
            </w:pPr>
            <w:r w:rsidRPr="00BB46BB">
              <w:rPr>
                <w:color w:val="000000" w:themeColor="text1"/>
                <w:lang w:eastAsia="lv-LV"/>
              </w:rPr>
              <w:t>Cita informācija</w:t>
            </w:r>
          </w:p>
        </w:tc>
        <w:tc>
          <w:tcPr>
            <w:tcW w:w="3286" w:type="pct"/>
            <w:tcBorders>
              <w:top w:val="outset" w:sz="6" w:space="0" w:color="000000"/>
              <w:left w:val="outset" w:sz="6" w:space="0" w:color="000000"/>
              <w:bottom w:val="outset" w:sz="6" w:space="0" w:color="000000"/>
            </w:tcBorders>
          </w:tcPr>
          <w:p w:rsidR="00E571FE" w:rsidRPr="00BB46BB" w:rsidRDefault="00E571FE" w:rsidP="00BF6E4D">
            <w:pPr>
              <w:pStyle w:val="Footer"/>
              <w:tabs>
                <w:tab w:val="clear" w:pos="4153"/>
                <w:tab w:val="clear" w:pos="8306"/>
              </w:tabs>
              <w:snapToGrid/>
              <w:jc w:val="both"/>
              <w:rPr>
                <w:rFonts w:ascii="Times New Roman" w:hAnsi="Times New Roman"/>
                <w:color w:val="000000" w:themeColor="text1"/>
                <w:sz w:val="24"/>
                <w:szCs w:val="24"/>
              </w:rPr>
            </w:pPr>
            <w:r w:rsidRPr="00BB46BB">
              <w:rPr>
                <w:rFonts w:ascii="Times New Roman" w:hAnsi="Times New Roman"/>
                <w:color w:val="000000" w:themeColor="text1"/>
                <w:sz w:val="24"/>
                <w:szCs w:val="24"/>
              </w:rPr>
              <w:t>Nav</w:t>
            </w:r>
          </w:p>
        </w:tc>
      </w:tr>
    </w:tbl>
    <w:p w:rsidR="00E571FE" w:rsidRPr="00BB46BB" w:rsidRDefault="00E571FE" w:rsidP="00BF6E4D">
      <w:pPr>
        <w:jc w:val="both"/>
        <w:rPr>
          <w:color w:val="000000" w:themeColor="text1"/>
        </w:rPr>
      </w:pPr>
    </w:p>
    <w:p w:rsidR="009C792E" w:rsidRPr="00BB46BB" w:rsidRDefault="009C792E" w:rsidP="00BF6E4D">
      <w:pPr>
        <w:jc w:val="both"/>
        <w:rPr>
          <w:color w:val="000000" w:themeColor="text1"/>
        </w:rPr>
      </w:pPr>
    </w:p>
    <w:p w:rsidR="001C551A" w:rsidRPr="00BB46BB" w:rsidRDefault="001C551A" w:rsidP="00BF6E4D">
      <w:pPr>
        <w:jc w:val="both"/>
        <w:rPr>
          <w:color w:val="000000" w:themeColor="text1"/>
        </w:rPr>
      </w:pPr>
    </w:p>
    <w:p w:rsidR="000229C0" w:rsidRPr="00BB46BB" w:rsidRDefault="000229C0" w:rsidP="000229C0">
      <w:pPr>
        <w:jc w:val="both"/>
        <w:rPr>
          <w:color w:val="000000" w:themeColor="text1"/>
        </w:rPr>
      </w:pPr>
      <w:r w:rsidRPr="00BB46BB">
        <w:rPr>
          <w:bCs/>
          <w:color w:val="000000" w:themeColor="text1"/>
        </w:rPr>
        <w:t>Veselības ministr</w:t>
      </w:r>
      <w:r w:rsidR="005D3CAC" w:rsidRPr="00BB46BB">
        <w:rPr>
          <w:bCs/>
          <w:color w:val="000000" w:themeColor="text1"/>
        </w:rPr>
        <w:t>s</w:t>
      </w:r>
      <w:r w:rsidRPr="00BB46BB">
        <w:rPr>
          <w:bCs/>
          <w:color w:val="000000" w:themeColor="text1"/>
        </w:rPr>
        <w:tab/>
      </w:r>
      <w:r w:rsidR="00226D55" w:rsidRPr="00BB46BB">
        <w:rPr>
          <w:bCs/>
          <w:color w:val="000000" w:themeColor="text1"/>
        </w:rPr>
        <w:tab/>
      </w:r>
      <w:r w:rsidR="00226D55" w:rsidRPr="00BB46BB">
        <w:rPr>
          <w:bCs/>
          <w:color w:val="000000" w:themeColor="text1"/>
        </w:rPr>
        <w:tab/>
      </w:r>
      <w:r w:rsidR="00226D55" w:rsidRPr="00BB46BB">
        <w:rPr>
          <w:bCs/>
          <w:color w:val="000000" w:themeColor="text1"/>
        </w:rPr>
        <w:tab/>
      </w:r>
      <w:r w:rsidR="00226D55" w:rsidRPr="00BB46BB">
        <w:rPr>
          <w:bCs/>
          <w:color w:val="000000" w:themeColor="text1"/>
        </w:rPr>
        <w:tab/>
      </w:r>
      <w:r w:rsidR="00226D55" w:rsidRPr="00BB46BB">
        <w:rPr>
          <w:bCs/>
          <w:color w:val="000000" w:themeColor="text1"/>
        </w:rPr>
        <w:tab/>
      </w:r>
      <w:r w:rsidR="00226D55" w:rsidRPr="00BB46BB">
        <w:rPr>
          <w:bCs/>
          <w:color w:val="000000" w:themeColor="text1"/>
        </w:rPr>
        <w:tab/>
      </w:r>
      <w:proofErr w:type="spellStart"/>
      <w:r w:rsidR="00226D55" w:rsidRPr="00BB46BB">
        <w:rPr>
          <w:bCs/>
          <w:color w:val="000000" w:themeColor="text1"/>
        </w:rPr>
        <w:t>G.Belēvičs</w:t>
      </w:r>
      <w:proofErr w:type="spellEnd"/>
    </w:p>
    <w:p w:rsidR="00D34686" w:rsidRPr="00BB46BB" w:rsidRDefault="00D34686" w:rsidP="00BF6E4D">
      <w:pPr>
        <w:jc w:val="both"/>
        <w:rPr>
          <w:color w:val="000000" w:themeColor="text1"/>
        </w:rPr>
      </w:pPr>
    </w:p>
    <w:p w:rsidR="00D34686" w:rsidRPr="00BB46BB" w:rsidRDefault="00D34686" w:rsidP="00BF6E4D">
      <w:pPr>
        <w:jc w:val="both"/>
        <w:rPr>
          <w:color w:val="000000" w:themeColor="text1"/>
        </w:rPr>
      </w:pPr>
    </w:p>
    <w:p w:rsidR="00EA597E" w:rsidRPr="00BB46BB" w:rsidRDefault="00EA597E" w:rsidP="00BF6E4D">
      <w:pPr>
        <w:jc w:val="both"/>
        <w:rPr>
          <w:color w:val="000000" w:themeColor="text1"/>
        </w:rPr>
      </w:pPr>
    </w:p>
    <w:p w:rsidR="00F770BA" w:rsidRPr="00BB46BB" w:rsidRDefault="00F770BA" w:rsidP="00BF6E4D">
      <w:pPr>
        <w:jc w:val="both"/>
        <w:rPr>
          <w:color w:val="000000" w:themeColor="text1"/>
        </w:rPr>
      </w:pPr>
    </w:p>
    <w:p w:rsidR="00F770BA" w:rsidRPr="00BB46BB" w:rsidRDefault="00F770BA" w:rsidP="00BF6E4D">
      <w:pPr>
        <w:jc w:val="both"/>
        <w:rPr>
          <w:color w:val="000000" w:themeColor="text1"/>
        </w:rPr>
      </w:pPr>
    </w:p>
    <w:p w:rsidR="00F770BA" w:rsidRDefault="00F770BA" w:rsidP="00BF6E4D">
      <w:pPr>
        <w:jc w:val="both"/>
        <w:rPr>
          <w:color w:val="000000" w:themeColor="text1"/>
        </w:rPr>
      </w:pPr>
    </w:p>
    <w:p w:rsidR="00D8460E" w:rsidRDefault="00D8460E" w:rsidP="00BF6E4D">
      <w:pPr>
        <w:jc w:val="both"/>
        <w:rPr>
          <w:color w:val="000000" w:themeColor="text1"/>
        </w:rPr>
      </w:pPr>
    </w:p>
    <w:p w:rsidR="00D8460E" w:rsidRDefault="00D8460E" w:rsidP="00BF6E4D">
      <w:pPr>
        <w:jc w:val="both"/>
        <w:rPr>
          <w:color w:val="000000" w:themeColor="text1"/>
        </w:rPr>
      </w:pPr>
    </w:p>
    <w:p w:rsidR="00D8460E" w:rsidRPr="00BB46BB" w:rsidRDefault="00D8460E" w:rsidP="00BF6E4D">
      <w:pPr>
        <w:jc w:val="both"/>
        <w:rPr>
          <w:color w:val="000000" w:themeColor="text1"/>
        </w:rPr>
      </w:pPr>
    </w:p>
    <w:p w:rsidR="00F770BA" w:rsidRPr="00BB46BB" w:rsidRDefault="00F770BA" w:rsidP="00BF6E4D">
      <w:pPr>
        <w:jc w:val="both"/>
        <w:rPr>
          <w:color w:val="000000" w:themeColor="text1"/>
        </w:rPr>
      </w:pPr>
    </w:p>
    <w:p w:rsidR="00F770BA" w:rsidRPr="00BB46BB" w:rsidRDefault="00F770BA" w:rsidP="00BF6E4D">
      <w:pPr>
        <w:jc w:val="both"/>
        <w:rPr>
          <w:color w:val="000000" w:themeColor="text1"/>
        </w:rPr>
      </w:pPr>
    </w:p>
    <w:p w:rsidR="000229C0" w:rsidRPr="00BB46BB" w:rsidRDefault="00E85429" w:rsidP="000229C0">
      <w:pPr>
        <w:jc w:val="both"/>
        <w:rPr>
          <w:color w:val="000000" w:themeColor="text1"/>
        </w:rPr>
      </w:pPr>
      <w:r w:rsidRPr="00BB46BB">
        <w:rPr>
          <w:color w:val="000000" w:themeColor="text1"/>
        </w:rPr>
        <w:t>1</w:t>
      </w:r>
      <w:r w:rsidR="003B2515">
        <w:rPr>
          <w:color w:val="000000" w:themeColor="text1"/>
        </w:rPr>
        <w:t>8</w:t>
      </w:r>
      <w:r w:rsidR="00EA597E" w:rsidRPr="00BB46BB">
        <w:rPr>
          <w:color w:val="000000" w:themeColor="text1"/>
        </w:rPr>
        <w:t>.1</w:t>
      </w:r>
      <w:r w:rsidR="005945E2" w:rsidRPr="00BB46BB">
        <w:rPr>
          <w:color w:val="000000" w:themeColor="text1"/>
        </w:rPr>
        <w:t>2</w:t>
      </w:r>
      <w:r w:rsidR="00EA597E" w:rsidRPr="00BB46BB">
        <w:rPr>
          <w:color w:val="000000" w:themeColor="text1"/>
        </w:rPr>
        <w:t>.2014. 1</w:t>
      </w:r>
      <w:r w:rsidR="003B2515">
        <w:rPr>
          <w:color w:val="000000" w:themeColor="text1"/>
        </w:rPr>
        <w:t>1</w:t>
      </w:r>
      <w:r w:rsidR="00215D13" w:rsidRPr="00BB46BB">
        <w:rPr>
          <w:color w:val="000000" w:themeColor="text1"/>
        </w:rPr>
        <w:t>:</w:t>
      </w:r>
      <w:r w:rsidR="003B2515">
        <w:rPr>
          <w:color w:val="000000" w:themeColor="text1"/>
        </w:rPr>
        <w:t>32</w:t>
      </w:r>
    </w:p>
    <w:p w:rsidR="00EA597E" w:rsidRPr="00BB46BB" w:rsidRDefault="00A75F41" w:rsidP="000229C0">
      <w:pPr>
        <w:jc w:val="both"/>
        <w:rPr>
          <w:color w:val="000000" w:themeColor="text1"/>
        </w:rPr>
      </w:pPr>
      <w:r w:rsidRPr="00BB46BB">
        <w:rPr>
          <w:color w:val="000000" w:themeColor="text1"/>
        </w:rPr>
        <w:t>7</w:t>
      </w:r>
      <w:r w:rsidR="005111F3">
        <w:rPr>
          <w:color w:val="000000" w:themeColor="text1"/>
        </w:rPr>
        <w:t>3</w:t>
      </w:r>
      <w:r w:rsidR="00D8460E">
        <w:rPr>
          <w:color w:val="000000" w:themeColor="text1"/>
        </w:rPr>
        <w:t>9</w:t>
      </w:r>
      <w:r w:rsidR="003B2515">
        <w:rPr>
          <w:color w:val="000000" w:themeColor="text1"/>
        </w:rPr>
        <w:t>4</w:t>
      </w:r>
    </w:p>
    <w:p w:rsidR="000229C0" w:rsidRPr="00BB46BB" w:rsidRDefault="005D3CAC" w:rsidP="000229C0">
      <w:pPr>
        <w:jc w:val="both"/>
        <w:rPr>
          <w:color w:val="000000" w:themeColor="text1"/>
        </w:rPr>
      </w:pPr>
      <w:bookmarkStart w:id="5" w:name="OLE_LINK1"/>
      <w:bookmarkStart w:id="6" w:name="OLE_LINK2"/>
      <w:bookmarkStart w:id="7" w:name="OLE_LINK3"/>
      <w:r w:rsidRPr="00BB46BB">
        <w:rPr>
          <w:color w:val="000000" w:themeColor="text1"/>
        </w:rPr>
        <w:t>L. Eglīte</w:t>
      </w:r>
      <w:r w:rsidR="000229C0" w:rsidRPr="00BB46BB">
        <w:rPr>
          <w:color w:val="000000" w:themeColor="text1"/>
        </w:rPr>
        <w:t>,</w:t>
      </w:r>
    </w:p>
    <w:p w:rsidR="005D3CAC" w:rsidRPr="00BB46BB" w:rsidRDefault="00A56C35" w:rsidP="000229C0">
      <w:pPr>
        <w:jc w:val="both"/>
        <w:rPr>
          <w:rFonts w:eastAsia="Calibri"/>
          <w:color w:val="000000" w:themeColor="text1"/>
        </w:rPr>
      </w:pPr>
      <w:hyperlink r:id="rId9" w:history="1">
        <w:r w:rsidR="005D3CAC" w:rsidRPr="00BB46BB">
          <w:rPr>
            <w:rStyle w:val="Hyperlink"/>
            <w:rFonts w:eastAsia="Calibri"/>
            <w:color w:val="000000" w:themeColor="text1"/>
          </w:rPr>
          <w:t>Leonora.Eglite@vm.gov.lv</w:t>
        </w:r>
      </w:hyperlink>
    </w:p>
    <w:p w:rsidR="00F24D04" w:rsidRPr="00BB46BB" w:rsidRDefault="000229C0" w:rsidP="000229C0">
      <w:pPr>
        <w:jc w:val="both"/>
        <w:rPr>
          <w:rFonts w:eastAsia="Calibri"/>
          <w:color w:val="000000" w:themeColor="text1"/>
        </w:rPr>
      </w:pPr>
      <w:r w:rsidRPr="00BB46BB">
        <w:rPr>
          <w:rFonts w:eastAsia="Calibri"/>
          <w:color w:val="000000" w:themeColor="text1"/>
        </w:rPr>
        <w:t>678760</w:t>
      </w:r>
      <w:bookmarkEnd w:id="5"/>
      <w:bookmarkEnd w:id="6"/>
      <w:bookmarkEnd w:id="7"/>
      <w:r w:rsidR="00D8460E">
        <w:rPr>
          <w:rFonts w:eastAsia="Calibri"/>
          <w:color w:val="000000" w:themeColor="text1"/>
        </w:rPr>
        <w:t>91</w:t>
      </w:r>
    </w:p>
    <w:p w:rsidR="001B065E" w:rsidRPr="00BB46BB" w:rsidRDefault="001B065E" w:rsidP="000229C0">
      <w:pPr>
        <w:jc w:val="both"/>
        <w:rPr>
          <w:rFonts w:eastAsia="Calibri"/>
          <w:color w:val="000000" w:themeColor="text1"/>
        </w:rPr>
      </w:pPr>
      <w:r w:rsidRPr="00BB46BB">
        <w:rPr>
          <w:rFonts w:eastAsia="Calibri"/>
          <w:color w:val="000000" w:themeColor="text1"/>
        </w:rPr>
        <w:t>A.Reinika</w:t>
      </w:r>
      <w:r w:rsidRPr="00BB46BB">
        <w:rPr>
          <w:color w:val="000000" w:themeColor="text1"/>
        </w:rPr>
        <w:t xml:space="preserve"> </w:t>
      </w:r>
      <w:r w:rsidRPr="00BB46BB">
        <w:rPr>
          <w:rFonts w:eastAsia="Calibri"/>
          <w:color w:val="000000" w:themeColor="text1"/>
        </w:rPr>
        <w:t>67043780</w:t>
      </w:r>
    </w:p>
    <w:p w:rsidR="001B065E" w:rsidRPr="00BB46BB" w:rsidRDefault="00A56C35" w:rsidP="000229C0">
      <w:pPr>
        <w:jc w:val="both"/>
        <w:rPr>
          <w:color w:val="000000" w:themeColor="text1"/>
        </w:rPr>
      </w:pPr>
      <w:hyperlink r:id="rId10" w:history="1">
        <w:r w:rsidR="001B065E" w:rsidRPr="00BB46BB">
          <w:rPr>
            <w:rStyle w:val="Hyperlink"/>
            <w:rFonts w:eastAsia="Calibri"/>
            <w:color w:val="000000" w:themeColor="text1"/>
          </w:rPr>
          <w:t>Alda.Reinika@vmnvd.gov.lv</w:t>
        </w:r>
      </w:hyperlink>
    </w:p>
    <w:p w:rsidR="00E3541D" w:rsidRPr="00BB46BB" w:rsidRDefault="00E3541D" w:rsidP="000229C0">
      <w:pPr>
        <w:jc w:val="both"/>
        <w:rPr>
          <w:color w:val="000000" w:themeColor="text1"/>
        </w:rPr>
      </w:pPr>
      <w:r w:rsidRPr="00BB46BB">
        <w:rPr>
          <w:color w:val="000000" w:themeColor="text1"/>
        </w:rPr>
        <w:t>S.Kasparenko 67876147</w:t>
      </w:r>
    </w:p>
    <w:p w:rsidR="00E3541D" w:rsidRPr="00BB46BB" w:rsidRDefault="00A56C35" w:rsidP="000229C0">
      <w:pPr>
        <w:jc w:val="both"/>
        <w:rPr>
          <w:rFonts w:eastAsia="Calibri"/>
          <w:color w:val="000000" w:themeColor="text1"/>
        </w:rPr>
      </w:pPr>
      <w:hyperlink r:id="rId11" w:history="1">
        <w:r w:rsidR="00E3541D" w:rsidRPr="00BB46BB">
          <w:rPr>
            <w:rStyle w:val="Hyperlink"/>
            <w:rFonts w:eastAsia="Calibri"/>
            <w:color w:val="000000" w:themeColor="text1"/>
          </w:rPr>
          <w:t>Sandra.Kasparenko@vm.gov.lv</w:t>
        </w:r>
      </w:hyperlink>
    </w:p>
    <w:p w:rsidR="00E3541D" w:rsidRPr="00BB46BB" w:rsidRDefault="00E3541D" w:rsidP="000229C0">
      <w:pPr>
        <w:jc w:val="both"/>
        <w:rPr>
          <w:rFonts w:eastAsia="Calibri"/>
          <w:color w:val="000000" w:themeColor="text1"/>
        </w:rPr>
      </w:pPr>
    </w:p>
    <w:p w:rsidR="001B065E" w:rsidRPr="00BB46BB" w:rsidRDefault="001B065E" w:rsidP="000229C0">
      <w:pPr>
        <w:jc w:val="both"/>
        <w:rPr>
          <w:color w:val="000000" w:themeColor="text1"/>
        </w:rPr>
      </w:pPr>
    </w:p>
    <w:sectPr w:rsidR="001B065E" w:rsidRPr="00BB46BB" w:rsidSect="009B5B30">
      <w:headerReference w:type="even" r:id="rId12"/>
      <w:headerReference w:type="default" r:id="rId13"/>
      <w:footerReference w:type="default" r:id="rId14"/>
      <w:footerReference w:type="first" r:id="rId15"/>
      <w:pgSz w:w="11906" w:h="16838" w:code="9"/>
      <w:pgMar w:top="709"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2E" w:rsidRDefault="00881C2E" w:rsidP="009759E7">
      <w:r>
        <w:separator/>
      </w:r>
    </w:p>
  </w:endnote>
  <w:endnote w:type="continuationSeparator" w:id="0">
    <w:p w:rsidR="00881C2E" w:rsidRDefault="00881C2E" w:rsidP="0097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8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2E" w:rsidRPr="009C792E" w:rsidRDefault="00881C2E" w:rsidP="005A3A31">
    <w:pPr>
      <w:pStyle w:val="Footer"/>
      <w:jc w:val="both"/>
      <w:rPr>
        <w:rFonts w:ascii="Times New Roman" w:hAnsi="Times New Roman"/>
      </w:rPr>
    </w:pPr>
    <w:r>
      <w:rPr>
        <w:rFonts w:ascii="Times New Roman" w:hAnsi="Times New Roman"/>
        <w:sz w:val="20"/>
      </w:rPr>
      <w:t>VManot_1</w:t>
    </w:r>
    <w:r w:rsidR="003B2515">
      <w:rPr>
        <w:rFonts w:ascii="Times New Roman" w:hAnsi="Times New Roman"/>
        <w:sz w:val="20"/>
      </w:rPr>
      <w:t>8</w:t>
    </w:r>
    <w:r>
      <w:rPr>
        <w:rFonts w:ascii="Times New Roman" w:hAnsi="Times New Roman"/>
        <w:sz w:val="20"/>
      </w:rPr>
      <w:t>12</w:t>
    </w:r>
    <w:r w:rsidRPr="009C792E">
      <w:rPr>
        <w:rFonts w:ascii="Times New Roman" w:hAnsi="Times New Roman"/>
        <w:sz w:val="20"/>
      </w:rPr>
      <w:t>14</w:t>
    </w:r>
    <w:r>
      <w:rPr>
        <w:rFonts w:ascii="Times New Roman" w:hAnsi="Times New Roman"/>
        <w:sz w:val="20"/>
      </w:rPr>
      <w:t>_not1529</w:t>
    </w:r>
    <w:r w:rsidRPr="009C792E">
      <w:rPr>
        <w:rFonts w:ascii="Times New Roman" w:hAnsi="Times New Roman"/>
        <w:sz w:val="20"/>
      </w:rPr>
      <w:t xml:space="preserve">; </w:t>
    </w:r>
    <w:r w:rsidRPr="003D4185">
      <w:rPr>
        <w:rFonts w:ascii="Times New Roman" w:hAnsi="Times New Roman"/>
        <w:sz w:val="20"/>
      </w:rPr>
      <w:t>Ministru kabineta noteikumu projekta „Grozījumi Ministru kabineta 2013.gada 17.decembra noteikumos Nr.1529 „Veselības aprūpes organizēšanas un finansēšanas kārtība”</w:t>
    </w:r>
    <w:r>
      <w:rPr>
        <w:rFonts w:ascii="Times New Roman" w:hAnsi="Times New Roman"/>
        <w:sz w:val="20"/>
      </w:rPr>
      <w:t xml:space="preserve"> </w:t>
    </w:r>
    <w:r w:rsidRPr="003D4185">
      <w:rPr>
        <w:rFonts w:ascii="Times New Roman" w:hAnsi="Times New Roman"/>
        <w:sz w:val="20"/>
      </w:rPr>
      <w:t>sākotnējās ietekmes novērtējuma ziņojums (anotācija)</w:t>
    </w:r>
  </w:p>
  <w:p w:rsidR="00881C2E" w:rsidRPr="000229C0" w:rsidRDefault="00881C2E" w:rsidP="000229C0">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2E" w:rsidRPr="009C792E" w:rsidRDefault="00881C2E" w:rsidP="005A3A31">
    <w:pPr>
      <w:pStyle w:val="Footer"/>
      <w:jc w:val="both"/>
      <w:rPr>
        <w:rFonts w:ascii="Times New Roman" w:hAnsi="Times New Roman"/>
      </w:rPr>
    </w:pPr>
    <w:r>
      <w:rPr>
        <w:rFonts w:ascii="Times New Roman" w:hAnsi="Times New Roman"/>
        <w:sz w:val="20"/>
      </w:rPr>
      <w:t>VManot_1</w:t>
    </w:r>
    <w:r w:rsidR="003B2515">
      <w:rPr>
        <w:rFonts w:ascii="Times New Roman" w:hAnsi="Times New Roman"/>
        <w:sz w:val="20"/>
      </w:rPr>
      <w:t>8</w:t>
    </w:r>
    <w:r>
      <w:rPr>
        <w:rFonts w:ascii="Times New Roman" w:hAnsi="Times New Roman"/>
        <w:sz w:val="20"/>
      </w:rPr>
      <w:t>12</w:t>
    </w:r>
    <w:r w:rsidRPr="009C792E">
      <w:rPr>
        <w:rFonts w:ascii="Times New Roman" w:hAnsi="Times New Roman"/>
        <w:sz w:val="20"/>
      </w:rPr>
      <w:t>14</w:t>
    </w:r>
    <w:r>
      <w:rPr>
        <w:rFonts w:ascii="Times New Roman" w:hAnsi="Times New Roman"/>
        <w:sz w:val="20"/>
      </w:rPr>
      <w:t>_not1529</w:t>
    </w:r>
    <w:r w:rsidRPr="009C792E">
      <w:rPr>
        <w:rFonts w:ascii="Times New Roman" w:hAnsi="Times New Roman"/>
        <w:sz w:val="20"/>
      </w:rPr>
      <w:t xml:space="preserve">; </w:t>
    </w:r>
    <w:r w:rsidRPr="003D4185">
      <w:rPr>
        <w:rFonts w:ascii="Times New Roman" w:hAnsi="Times New Roman"/>
        <w:sz w:val="20"/>
      </w:rPr>
      <w:t>Ministru kabineta noteikumu projekta „Grozījumi Ministru kabineta 2013.gada 17.decembra noteikumos Nr.1529 „Veselības aprūpes organizēšanas un finansēšanas kārtība”</w:t>
    </w:r>
    <w:r>
      <w:rPr>
        <w:rFonts w:ascii="Times New Roman" w:hAnsi="Times New Roman"/>
        <w:sz w:val="20"/>
      </w:rPr>
      <w:t xml:space="preserve"> </w:t>
    </w:r>
    <w:r w:rsidRPr="003D4185">
      <w:rPr>
        <w:rFonts w:ascii="Times New Roman" w:hAnsi="Times New Roman"/>
        <w:sz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2E" w:rsidRDefault="00881C2E" w:rsidP="009759E7">
      <w:r>
        <w:separator/>
      </w:r>
    </w:p>
  </w:footnote>
  <w:footnote w:type="continuationSeparator" w:id="0">
    <w:p w:rsidR="00881C2E" w:rsidRDefault="00881C2E" w:rsidP="0097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2E" w:rsidRDefault="00A56C35">
    <w:pPr>
      <w:pStyle w:val="Header"/>
      <w:framePr w:wrap="around" w:vAnchor="text" w:hAnchor="margin" w:xAlign="center" w:y="1"/>
      <w:rPr>
        <w:rStyle w:val="PageNumber"/>
      </w:rPr>
    </w:pPr>
    <w:r>
      <w:rPr>
        <w:rStyle w:val="PageNumber"/>
      </w:rPr>
      <w:fldChar w:fldCharType="begin"/>
    </w:r>
    <w:r w:rsidR="00881C2E">
      <w:rPr>
        <w:rStyle w:val="PageNumber"/>
      </w:rPr>
      <w:instrText xml:space="preserve">PAGE  </w:instrText>
    </w:r>
    <w:r>
      <w:rPr>
        <w:rStyle w:val="PageNumber"/>
      </w:rPr>
      <w:fldChar w:fldCharType="end"/>
    </w:r>
  </w:p>
  <w:p w:rsidR="00881C2E" w:rsidRDefault="00881C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2E" w:rsidRDefault="00A56C35">
    <w:pPr>
      <w:pStyle w:val="Header"/>
      <w:framePr w:wrap="around" w:vAnchor="text" w:hAnchor="margin" w:xAlign="center" w:y="1"/>
      <w:rPr>
        <w:rStyle w:val="PageNumber"/>
      </w:rPr>
    </w:pPr>
    <w:r>
      <w:rPr>
        <w:rStyle w:val="PageNumber"/>
      </w:rPr>
      <w:fldChar w:fldCharType="begin"/>
    </w:r>
    <w:r w:rsidR="00881C2E">
      <w:rPr>
        <w:rStyle w:val="PageNumber"/>
      </w:rPr>
      <w:instrText xml:space="preserve">PAGE  </w:instrText>
    </w:r>
    <w:r>
      <w:rPr>
        <w:rStyle w:val="PageNumber"/>
      </w:rPr>
      <w:fldChar w:fldCharType="separate"/>
    </w:r>
    <w:r w:rsidR="003B2515">
      <w:rPr>
        <w:rStyle w:val="PageNumber"/>
        <w:noProof/>
      </w:rPr>
      <w:t>26</w:t>
    </w:r>
    <w:r>
      <w:rPr>
        <w:rStyle w:val="PageNumber"/>
      </w:rPr>
      <w:fldChar w:fldCharType="end"/>
    </w:r>
  </w:p>
  <w:p w:rsidR="00881C2E" w:rsidRDefault="00881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5E2E"/>
    <w:multiLevelType w:val="hybridMultilevel"/>
    <w:tmpl w:val="801AFA46"/>
    <w:lvl w:ilvl="0" w:tplc="CC0EAB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71FE"/>
    <w:rsid w:val="00020C88"/>
    <w:rsid w:val="000229C0"/>
    <w:rsid w:val="00037DBF"/>
    <w:rsid w:val="000400A5"/>
    <w:rsid w:val="00051976"/>
    <w:rsid w:val="000546F4"/>
    <w:rsid w:val="00061D87"/>
    <w:rsid w:val="0006507B"/>
    <w:rsid w:val="00075DC8"/>
    <w:rsid w:val="00076C5A"/>
    <w:rsid w:val="00083F93"/>
    <w:rsid w:val="00086D82"/>
    <w:rsid w:val="00095E48"/>
    <w:rsid w:val="000B32DC"/>
    <w:rsid w:val="000B4B81"/>
    <w:rsid w:val="000B7D93"/>
    <w:rsid w:val="000C7349"/>
    <w:rsid w:val="000D183E"/>
    <w:rsid w:val="000D2BDA"/>
    <w:rsid w:val="000D6FFB"/>
    <w:rsid w:val="000E1F94"/>
    <w:rsid w:val="000F22BF"/>
    <w:rsid w:val="000F264E"/>
    <w:rsid w:val="000F4F8B"/>
    <w:rsid w:val="00102A1C"/>
    <w:rsid w:val="0010608B"/>
    <w:rsid w:val="001075CE"/>
    <w:rsid w:val="0011068C"/>
    <w:rsid w:val="00111830"/>
    <w:rsid w:val="00117B13"/>
    <w:rsid w:val="00123BAC"/>
    <w:rsid w:val="00125D3E"/>
    <w:rsid w:val="0013531C"/>
    <w:rsid w:val="001374C1"/>
    <w:rsid w:val="001418B7"/>
    <w:rsid w:val="00143117"/>
    <w:rsid w:val="00147B44"/>
    <w:rsid w:val="001536CC"/>
    <w:rsid w:val="00160354"/>
    <w:rsid w:val="001626E2"/>
    <w:rsid w:val="00163781"/>
    <w:rsid w:val="00171D75"/>
    <w:rsid w:val="00173B8E"/>
    <w:rsid w:val="00175D0B"/>
    <w:rsid w:val="00176CBF"/>
    <w:rsid w:val="00180982"/>
    <w:rsid w:val="00186F7E"/>
    <w:rsid w:val="001873B2"/>
    <w:rsid w:val="0019380D"/>
    <w:rsid w:val="001B0656"/>
    <w:rsid w:val="001B065E"/>
    <w:rsid w:val="001B2735"/>
    <w:rsid w:val="001B2DBE"/>
    <w:rsid w:val="001B7FB2"/>
    <w:rsid w:val="001C551A"/>
    <w:rsid w:val="001D5071"/>
    <w:rsid w:val="001E228B"/>
    <w:rsid w:val="001E4304"/>
    <w:rsid w:val="001F09EB"/>
    <w:rsid w:val="002043CE"/>
    <w:rsid w:val="002154CE"/>
    <w:rsid w:val="00215D13"/>
    <w:rsid w:val="00221D60"/>
    <w:rsid w:val="00222F5E"/>
    <w:rsid w:val="002238F5"/>
    <w:rsid w:val="00226D55"/>
    <w:rsid w:val="00234FB3"/>
    <w:rsid w:val="002454FA"/>
    <w:rsid w:val="00254BA4"/>
    <w:rsid w:val="00260308"/>
    <w:rsid w:val="00272716"/>
    <w:rsid w:val="00277E80"/>
    <w:rsid w:val="00277F86"/>
    <w:rsid w:val="00280C8D"/>
    <w:rsid w:val="0028776D"/>
    <w:rsid w:val="002A1BD7"/>
    <w:rsid w:val="002B0D6D"/>
    <w:rsid w:val="002B694A"/>
    <w:rsid w:val="002C0406"/>
    <w:rsid w:val="002C2078"/>
    <w:rsid w:val="002C2DFF"/>
    <w:rsid w:val="002C636F"/>
    <w:rsid w:val="002D0339"/>
    <w:rsid w:val="002D5779"/>
    <w:rsid w:val="002E5E78"/>
    <w:rsid w:val="002E684D"/>
    <w:rsid w:val="002F130C"/>
    <w:rsid w:val="002F3E4D"/>
    <w:rsid w:val="002F79EA"/>
    <w:rsid w:val="003118C1"/>
    <w:rsid w:val="0031438E"/>
    <w:rsid w:val="0031597F"/>
    <w:rsid w:val="00322243"/>
    <w:rsid w:val="00323D47"/>
    <w:rsid w:val="00325C8A"/>
    <w:rsid w:val="0033118C"/>
    <w:rsid w:val="00333FB6"/>
    <w:rsid w:val="00334E0B"/>
    <w:rsid w:val="00336E8F"/>
    <w:rsid w:val="00343A70"/>
    <w:rsid w:val="00343D83"/>
    <w:rsid w:val="003441B1"/>
    <w:rsid w:val="00345E88"/>
    <w:rsid w:val="003470E8"/>
    <w:rsid w:val="00350BDD"/>
    <w:rsid w:val="00352A06"/>
    <w:rsid w:val="00354715"/>
    <w:rsid w:val="003650ED"/>
    <w:rsid w:val="0036524D"/>
    <w:rsid w:val="003705D7"/>
    <w:rsid w:val="00372DFE"/>
    <w:rsid w:val="0038041A"/>
    <w:rsid w:val="0039112A"/>
    <w:rsid w:val="003A0CE9"/>
    <w:rsid w:val="003B2515"/>
    <w:rsid w:val="003B3DED"/>
    <w:rsid w:val="003D0A97"/>
    <w:rsid w:val="003D4185"/>
    <w:rsid w:val="003E3D12"/>
    <w:rsid w:val="003E5684"/>
    <w:rsid w:val="003E682F"/>
    <w:rsid w:val="003F29EA"/>
    <w:rsid w:val="003F7173"/>
    <w:rsid w:val="003F7388"/>
    <w:rsid w:val="00402460"/>
    <w:rsid w:val="00404496"/>
    <w:rsid w:val="004062C1"/>
    <w:rsid w:val="00413CEC"/>
    <w:rsid w:val="00424854"/>
    <w:rsid w:val="00436713"/>
    <w:rsid w:val="00436A29"/>
    <w:rsid w:val="004421A0"/>
    <w:rsid w:val="00454754"/>
    <w:rsid w:val="004574E5"/>
    <w:rsid w:val="004604D2"/>
    <w:rsid w:val="004609AF"/>
    <w:rsid w:val="004641D4"/>
    <w:rsid w:val="004665D5"/>
    <w:rsid w:val="00471BEF"/>
    <w:rsid w:val="00474164"/>
    <w:rsid w:val="00474C8E"/>
    <w:rsid w:val="00482E58"/>
    <w:rsid w:val="00485FAA"/>
    <w:rsid w:val="00486D79"/>
    <w:rsid w:val="0049293A"/>
    <w:rsid w:val="004A09D2"/>
    <w:rsid w:val="004B2B18"/>
    <w:rsid w:val="004B3E3A"/>
    <w:rsid w:val="004C0B74"/>
    <w:rsid w:val="004C6188"/>
    <w:rsid w:val="004D7BE3"/>
    <w:rsid w:val="00503FAB"/>
    <w:rsid w:val="00507456"/>
    <w:rsid w:val="005111F3"/>
    <w:rsid w:val="005166D5"/>
    <w:rsid w:val="00520161"/>
    <w:rsid w:val="005400EA"/>
    <w:rsid w:val="00547CAB"/>
    <w:rsid w:val="0055073F"/>
    <w:rsid w:val="00551F1B"/>
    <w:rsid w:val="00562687"/>
    <w:rsid w:val="00564AA6"/>
    <w:rsid w:val="00572DD5"/>
    <w:rsid w:val="0057532A"/>
    <w:rsid w:val="00586745"/>
    <w:rsid w:val="005912E9"/>
    <w:rsid w:val="005945E2"/>
    <w:rsid w:val="0059491A"/>
    <w:rsid w:val="005A002D"/>
    <w:rsid w:val="005A3A31"/>
    <w:rsid w:val="005A496D"/>
    <w:rsid w:val="005A4CBD"/>
    <w:rsid w:val="005B3738"/>
    <w:rsid w:val="005C72BC"/>
    <w:rsid w:val="005D3CAC"/>
    <w:rsid w:val="005E0165"/>
    <w:rsid w:val="005E4FCE"/>
    <w:rsid w:val="005F1EC9"/>
    <w:rsid w:val="005F6175"/>
    <w:rsid w:val="005F6633"/>
    <w:rsid w:val="006026E8"/>
    <w:rsid w:val="00603054"/>
    <w:rsid w:val="00606E42"/>
    <w:rsid w:val="00607A09"/>
    <w:rsid w:val="00612C5B"/>
    <w:rsid w:val="00620C6D"/>
    <w:rsid w:val="006216C7"/>
    <w:rsid w:val="006218C3"/>
    <w:rsid w:val="00622A7B"/>
    <w:rsid w:val="006263F0"/>
    <w:rsid w:val="006279C4"/>
    <w:rsid w:val="00630D48"/>
    <w:rsid w:val="00637225"/>
    <w:rsid w:val="0065662C"/>
    <w:rsid w:val="00662CBA"/>
    <w:rsid w:val="006716BE"/>
    <w:rsid w:val="0067450B"/>
    <w:rsid w:val="00681FEF"/>
    <w:rsid w:val="006822AC"/>
    <w:rsid w:val="00684D15"/>
    <w:rsid w:val="006862EB"/>
    <w:rsid w:val="006872A0"/>
    <w:rsid w:val="006957BF"/>
    <w:rsid w:val="00696E92"/>
    <w:rsid w:val="006A388B"/>
    <w:rsid w:val="006A7596"/>
    <w:rsid w:val="006C2FC0"/>
    <w:rsid w:val="006C43BD"/>
    <w:rsid w:val="006C6E32"/>
    <w:rsid w:val="006C6EBB"/>
    <w:rsid w:val="006D6DFB"/>
    <w:rsid w:val="006E026F"/>
    <w:rsid w:val="006E1563"/>
    <w:rsid w:val="006F7426"/>
    <w:rsid w:val="007030A4"/>
    <w:rsid w:val="0071185E"/>
    <w:rsid w:val="00720F1A"/>
    <w:rsid w:val="00722E79"/>
    <w:rsid w:val="00724DA9"/>
    <w:rsid w:val="0072553F"/>
    <w:rsid w:val="0072674C"/>
    <w:rsid w:val="007310EF"/>
    <w:rsid w:val="0077049B"/>
    <w:rsid w:val="0077210D"/>
    <w:rsid w:val="007775E7"/>
    <w:rsid w:val="00782AFB"/>
    <w:rsid w:val="00785200"/>
    <w:rsid w:val="00785845"/>
    <w:rsid w:val="00786D2C"/>
    <w:rsid w:val="0079377D"/>
    <w:rsid w:val="007A578F"/>
    <w:rsid w:val="007A5A8E"/>
    <w:rsid w:val="007B080D"/>
    <w:rsid w:val="007B5537"/>
    <w:rsid w:val="007C1C57"/>
    <w:rsid w:val="007C3F4F"/>
    <w:rsid w:val="007C6D23"/>
    <w:rsid w:val="007D017D"/>
    <w:rsid w:val="007D643B"/>
    <w:rsid w:val="007D645E"/>
    <w:rsid w:val="007E5ACD"/>
    <w:rsid w:val="007E7390"/>
    <w:rsid w:val="007F3534"/>
    <w:rsid w:val="007F5C53"/>
    <w:rsid w:val="00805A8A"/>
    <w:rsid w:val="008135D5"/>
    <w:rsid w:val="00813C94"/>
    <w:rsid w:val="008243E4"/>
    <w:rsid w:val="00826410"/>
    <w:rsid w:val="008279E5"/>
    <w:rsid w:val="008368D9"/>
    <w:rsid w:val="00837A8E"/>
    <w:rsid w:val="0084187C"/>
    <w:rsid w:val="00842433"/>
    <w:rsid w:val="00845915"/>
    <w:rsid w:val="0085007B"/>
    <w:rsid w:val="0085110E"/>
    <w:rsid w:val="00853316"/>
    <w:rsid w:val="0085341E"/>
    <w:rsid w:val="00854986"/>
    <w:rsid w:val="008558ED"/>
    <w:rsid w:val="00877F68"/>
    <w:rsid w:val="008814B2"/>
    <w:rsid w:val="00881C2E"/>
    <w:rsid w:val="00886C0A"/>
    <w:rsid w:val="00890432"/>
    <w:rsid w:val="00890700"/>
    <w:rsid w:val="008A1662"/>
    <w:rsid w:val="008B60C6"/>
    <w:rsid w:val="008C3CA0"/>
    <w:rsid w:val="008D64C9"/>
    <w:rsid w:val="008E4370"/>
    <w:rsid w:val="008F2914"/>
    <w:rsid w:val="008F2B89"/>
    <w:rsid w:val="008F36ED"/>
    <w:rsid w:val="0090011E"/>
    <w:rsid w:val="00902647"/>
    <w:rsid w:val="00902B9B"/>
    <w:rsid w:val="00904477"/>
    <w:rsid w:val="0090637F"/>
    <w:rsid w:val="00911B3F"/>
    <w:rsid w:val="00914AD9"/>
    <w:rsid w:val="00914C58"/>
    <w:rsid w:val="0091655D"/>
    <w:rsid w:val="00927FB4"/>
    <w:rsid w:val="00942D6D"/>
    <w:rsid w:val="00961A33"/>
    <w:rsid w:val="00961E88"/>
    <w:rsid w:val="00967CF3"/>
    <w:rsid w:val="00974888"/>
    <w:rsid w:val="009757C6"/>
    <w:rsid w:val="009759E7"/>
    <w:rsid w:val="00981802"/>
    <w:rsid w:val="0098317B"/>
    <w:rsid w:val="009A2A1C"/>
    <w:rsid w:val="009A4F8F"/>
    <w:rsid w:val="009A5585"/>
    <w:rsid w:val="009B2491"/>
    <w:rsid w:val="009B5B30"/>
    <w:rsid w:val="009C0C4A"/>
    <w:rsid w:val="009C792E"/>
    <w:rsid w:val="009D3549"/>
    <w:rsid w:val="009E2506"/>
    <w:rsid w:val="009E6A06"/>
    <w:rsid w:val="009F4C2B"/>
    <w:rsid w:val="00A0647C"/>
    <w:rsid w:val="00A07B81"/>
    <w:rsid w:val="00A105E6"/>
    <w:rsid w:val="00A17BE5"/>
    <w:rsid w:val="00A20DEB"/>
    <w:rsid w:val="00A217B1"/>
    <w:rsid w:val="00A22ABC"/>
    <w:rsid w:val="00A309CC"/>
    <w:rsid w:val="00A35DC2"/>
    <w:rsid w:val="00A3610C"/>
    <w:rsid w:val="00A365D0"/>
    <w:rsid w:val="00A3700E"/>
    <w:rsid w:val="00A4272E"/>
    <w:rsid w:val="00A46AAE"/>
    <w:rsid w:val="00A539C5"/>
    <w:rsid w:val="00A56C35"/>
    <w:rsid w:val="00A57D3D"/>
    <w:rsid w:val="00A61A26"/>
    <w:rsid w:val="00A75F41"/>
    <w:rsid w:val="00AA048F"/>
    <w:rsid w:val="00AA16EE"/>
    <w:rsid w:val="00AA250D"/>
    <w:rsid w:val="00AB03F5"/>
    <w:rsid w:val="00AB2D3D"/>
    <w:rsid w:val="00AB3051"/>
    <w:rsid w:val="00AC0E0D"/>
    <w:rsid w:val="00AC107B"/>
    <w:rsid w:val="00AC70D9"/>
    <w:rsid w:val="00AD49F1"/>
    <w:rsid w:val="00AE09F1"/>
    <w:rsid w:val="00AE157D"/>
    <w:rsid w:val="00AE1E8A"/>
    <w:rsid w:val="00AF26F8"/>
    <w:rsid w:val="00B06E93"/>
    <w:rsid w:val="00B14C3A"/>
    <w:rsid w:val="00B15BC6"/>
    <w:rsid w:val="00B162B4"/>
    <w:rsid w:val="00B24918"/>
    <w:rsid w:val="00B24990"/>
    <w:rsid w:val="00B25352"/>
    <w:rsid w:val="00B3442F"/>
    <w:rsid w:val="00B46E86"/>
    <w:rsid w:val="00B67529"/>
    <w:rsid w:val="00B81BBC"/>
    <w:rsid w:val="00B8317A"/>
    <w:rsid w:val="00B85D2A"/>
    <w:rsid w:val="00B86353"/>
    <w:rsid w:val="00B86846"/>
    <w:rsid w:val="00B87681"/>
    <w:rsid w:val="00B96377"/>
    <w:rsid w:val="00BA6864"/>
    <w:rsid w:val="00BB46BB"/>
    <w:rsid w:val="00BC3899"/>
    <w:rsid w:val="00BC53DD"/>
    <w:rsid w:val="00BD3836"/>
    <w:rsid w:val="00BD58EA"/>
    <w:rsid w:val="00BE2308"/>
    <w:rsid w:val="00BE4240"/>
    <w:rsid w:val="00BE5592"/>
    <w:rsid w:val="00BE7B9A"/>
    <w:rsid w:val="00BF6E4D"/>
    <w:rsid w:val="00C0020A"/>
    <w:rsid w:val="00C006E0"/>
    <w:rsid w:val="00C00BDC"/>
    <w:rsid w:val="00C071D5"/>
    <w:rsid w:val="00C17960"/>
    <w:rsid w:val="00C25C6E"/>
    <w:rsid w:val="00C27A58"/>
    <w:rsid w:val="00C30470"/>
    <w:rsid w:val="00C41590"/>
    <w:rsid w:val="00C542D4"/>
    <w:rsid w:val="00C71014"/>
    <w:rsid w:val="00C7773B"/>
    <w:rsid w:val="00C8617D"/>
    <w:rsid w:val="00C86ED8"/>
    <w:rsid w:val="00C90247"/>
    <w:rsid w:val="00C90667"/>
    <w:rsid w:val="00C919C6"/>
    <w:rsid w:val="00C95C3F"/>
    <w:rsid w:val="00C97941"/>
    <w:rsid w:val="00CB2238"/>
    <w:rsid w:val="00CB2485"/>
    <w:rsid w:val="00CB2A6F"/>
    <w:rsid w:val="00CC02A0"/>
    <w:rsid w:val="00CE5436"/>
    <w:rsid w:val="00CF6FB6"/>
    <w:rsid w:val="00D02FE8"/>
    <w:rsid w:val="00D03076"/>
    <w:rsid w:val="00D146BE"/>
    <w:rsid w:val="00D159BD"/>
    <w:rsid w:val="00D22949"/>
    <w:rsid w:val="00D2535C"/>
    <w:rsid w:val="00D34686"/>
    <w:rsid w:val="00D35494"/>
    <w:rsid w:val="00D35C55"/>
    <w:rsid w:val="00D36FDE"/>
    <w:rsid w:val="00D436DA"/>
    <w:rsid w:val="00D444EA"/>
    <w:rsid w:val="00D4558A"/>
    <w:rsid w:val="00D47429"/>
    <w:rsid w:val="00D52F18"/>
    <w:rsid w:val="00D53695"/>
    <w:rsid w:val="00D67432"/>
    <w:rsid w:val="00D750D4"/>
    <w:rsid w:val="00D77244"/>
    <w:rsid w:val="00D810A5"/>
    <w:rsid w:val="00D840B3"/>
    <w:rsid w:val="00D8460E"/>
    <w:rsid w:val="00D91DA5"/>
    <w:rsid w:val="00DB2159"/>
    <w:rsid w:val="00DC1A90"/>
    <w:rsid w:val="00DC29F6"/>
    <w:rsid w:val="00DE20DA"/>
    <w:rsid w:val="00DE7247"/>
    <w:rsid w:val="00DF4387"/>
    <w:rsid w:val="00E002C3"/>
    <w:rsid w:val="00E02F3D"/>
    <w:rsid w:val="00E05FB3"/>
    <w:rsid w:val="00E0658E"/>
    <w:rsid w:val="00E23E6F"/>
    <w:rsid w:val="00E24687"/>
    <w:rsid w:val="00E313A0"/>
    <w:rsid w:val="00E3541D"/>
    <w:rsid w:val="00E36390"/>
    <w:rsid w:val="00E44EE4"/>
    <w:rsid w:val="00E46AE0"/>
    <w:rsid w:val="00E5507C"/>
    <w:rsid w:val="00E571FE"/>
    <w:rsid w:val="00E63676"/>
    <w:rsid w:val="00E6483D"/>
    <w:rsid w:val="00E64A18"/>
    <w:rsid w:val="00E70D87"/>
    <w:rsid w:val="00E74D39"/>
    <w:rsid w:val="00E83C5C"/>
    <w:rsid w:val="00E85429"/>
    <w:rsid w:val="00E87924"/>
    <w:rsid w:val="00E97FE3"/>
    <w:rsid w:val="00EA553A"/>
    <w:rsid w:val="00EA597E"/>
    <w:rsid w:val="00EB36EB"/>
    <w:rsid w:val="00EC2DD4"/>
    <w:rsid w:val="00EC420E"/>
    <w:rsid w:val="00EF089A"/>
    <w:rsid w:val="00EF36F3"/>
    <w:rsid w:val="00EF524B"/>
    <w:rsid w:val="00EF74EA"/>
    <w:rsid w:val="00F035E0"/>
    <w:rsid w:val="00F1530B"/>
    <w:rsid w:val="00F210A6"/>
    <w:rsid w:val="00F24D04"/>
    <w:rsid w:val="00F27288"/>
    <w:rsid w:val="00F322E1"/>
    <w:rsid w:val="00F33218"/>
    <w:rsid w:val="00F36250"/>
    <w:rsid w:val="00F4308B"/>
    <w:rsid w:val="00F46939"/>
    <w:rsid w:val="00F54890"/>
    <w:rsid w:val="00F62D8C"/>
    <w:rsid w:val="00F64128"/>
    <w:rsid w:val="00F6749D"/>
    <w:rsid w:val="00F71A79"/>
    <w:rsid w:val="00F71BD0"/>
    <w:rsid w:val="00F72FD1"/>
    <w:rsid w:val="00F74BD8"/>
    <w:rsid w:val="00F770BA"/>
    <w:rsid w:val="00F90531"/>
    <w:rsid w:val="00F91905"/>
    <w:rsid w:val="00FB1885"/>
    <w:rsid w:val="00FC0827"/>
    <w:rsid w:val="00FC6177"/>
    <w:rsid w:val="00FD0E3C"/>
    <w:rsid w:val="00FD643F"/>
    <w:rsid w:val="00FE1552"/>
    <w:rsid w:val="00FE27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1FE"/>
    <w:pPr>
      <w:keepNext/>
      <w:jc w:val="center"/>
      <w:outlineLvl w:val="0"/>
    </w:pPr>
    <w:rPr>
      <w:b/>
      <w:bCs/>
      <w:sz w:val="28"/>
    </w:rPr>
  </w:style>
  <w:style w:type="paragraph" w:styleId="Heading2">
    <w:name w:val="heading 2"/>
    <w:basedOn w:val="Normal"/>
    <w:next w:val="Normal"/>
    <w:link w:val="Heading2Char"/>
    <w:uiPriority w:val="9"/>
    <w:qFormat/>
    <w:rsid w:val="00E571FE"/>
    <w:pPr>
      <w:keepNext/>
      <w:outlineLvl w:val="1"/>
    </w:pPr>
    <w:rPr>
      <w:sz w:val="28"/>
    </w:rPr>
  </w:style>
  <w:style w:type="paragraph" w:styleId="Heading3">
    <w:name w:val="heading 3"/>
    <w:basedOn w:val="Normal"/>
    <w:next w:val="Normal"/>
    <w:link w:val="Heading3Char"/>
    <w:uiPriority w:val="9"/>
    <w:qFormat/>
    <w:rsid w:val="00E571FE"/>
    <w:pPr>
      <w:keepNext/>
      <w:jc w:val="center"/>
      <w:outlineLvl w:val="2"/>
    </w:pPr>
    <w:rPr>
      <w:sz w:val="28"/>
    </w:rPr>
  </w:style>
  <w:style w:type="paragraph" w:styleId="Heading4">
    <w:name w:val="heading 4"/>
    <w:basedOn w:val="Normal"/>
    <w:next w:val="Normal"/>
    <w:link w:val="Heading4Char"/>
    <w:uiPriority w:val="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2238F5"/>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E571FE"/>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rsid w:val="002238F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238F5"/>
    <w:rPr>
      <w:rFonts w:ascii="Calibri" w:eastAsia="Times New Roman" w:hAnsi="Calibri" w:cs="Times New Roman"/>
      <w:sz w:val="24"/>
      <w:szCs w:val="24"/>
    </w:rPr>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uiPriority w:val="99"/>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qFormat/>
    <w:rsid w:val="00E571FE"/>
    <w:rPr>
      <w:rFonts w:cs="Times New Roman"/>
      <w:b/>
      <w:bCs/>
    </w:rPr>
  </w:style>
  <w:style w:type="paragraph" w:styleId="ListParagraph">
    <w:name w:val="List Paragraph"/>
    <w:basedOn w:val="Normal"/>
    <w:uiPriority w:val="99"/>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iPriority w:val="99"/>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uiPriority w:val="99"/>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uiPriority w:val="99"/>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apple-converted-space">
    <w:name w:val="apple-converted-space"/>
    <w:basedOn w:val="DefaultParagraphFont"/>
    <w:rsid w:val="00724DA9"/>
  </w:style>
  <w:style w:type="paragraph" w:styleId="EnvelopeAddress">
    <w:name w:val="envelope address"/>
    <w:basedOn w:val="Normal"/>
    <w:uiPriority w:val="99"/>
    <w:rsid w:val="002238F5"/>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2238F5"/>
    <w:rPr>
      <w:rFonts w:ascii="Garamond" w:hAnsi="Garamond" w:cs="Arial"/>
      <w:b/>
    </w:rPr>
  </w:style>
  <w:style w:type="paragraph" w:styleId="BodyText">
    <w:name w:val="Body Text"/>
    <w:basedOn w:val="Normal"/>
    <w:link w:val="BodyTextChar"/>
    <w:uiPriority w:val="99"/>
    <w:rsid w:val="002238F5"/>
    <w:pPr>
      <w:jc w:val="both"/>
    </w:pPr>
  </w:style>
  <w:style w:type="character" w:customStyle="1" w:styleId="BodyTextChar">
    <w:name w:val="Body Text Char"/>
    <w:basedOn w:val="DefaultParagraphFont"/>
    <w:link w:val="BodyText"/>
    <w:uiPriority w:val="99"/>
    <w:rsid w:val="002238F5"/>
    <w:rPr>
      <w:rFonts w:ascii="Times New Roman" w:eastAsia="Times New Roman" w:hAnsi="Times New Roman" w:cs="Times New Roman"/>
      <w:sz w:val="24"/>
      <w:szCs w:val="24"/>
    </w:rPr>
  </w:style>
  <w:style w:type="paragraph" w:customStyle="1" w:styleId="G4">
    <w:name w:val="G4"/>
    <w:basedOn w:val="Normal"/>
    <w:autoRedefine/>
    <w:uiPriority w:val="99"/>
    <w:rsid w:val="002238F5"/>
    <w:pPr>
      <w:jc w:val="both"/>
    </w:pPr>
  </w:style>
  <w:style w:type="paragraph" w:customStyle="1" w:styleId="xl24">
    <w:name w:val="xl24"/>
    <w:basedOn w:val="Normal"/>
    <w:uiPriority w:val="99"/>
    <w:rsid w:val="002238F5"/>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2238F5"/>
    <w:rPr>
      <w:rFonts w:cs="Times New Roman"/>
      <w:color w:val="800080"/>
      <w:u w:val="single"/>
    </w:rPr>
  </w:style>
  <w:style w:type="paragraph" w:customStyle="1" w:styleId="CharChar4Char1">
    <w:name w:val="Char Char4 Char1"/>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2238F5"/>
    <w:pPr>
      <w:spacing w:after="120"/>
      <w:ind w:left="1440" w:right="1440"/>
    </w:pPr>
  </w:style>
  <w:style w:type="paragraph" w:customStyle="1" w:styleId="CharChar4Char">
    <w:name w:val="Char Char4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EE-H3">
    <w:name w:val="EE-H3"/>
    <w:basedOn w:val="Normal"/>
    <w:autoRedefine/>
    <w:uiPriority w:val="99"/>
    <w:rsid w:val="002238F5"/>
    <w:pPr>
      <w:ind w:right="6"/>
      <w:jc w:val="both"/>
    </w:pPr>
    <w:rPr>
      <w:lang w:eastAsia="lv-LV"/>
    </w:rPr>
  </w:style>
  <w:style w:type="paragraph" w:customStyle="1" w:styleId="CharChar4CharCharCharChar">
    <w:name w:val="Char Char4 Char Char Char Char"/>
    <w:basedOn w:val="Normal"/>
    <w:next w:val="BlockText"/>
    <w:uiPriority w:val="99"/>
    <w:rsid w:val="002238F5"/>
    <w:pPr>
      <w:spacing w:before="120" w:after="160" w:line="240" w:lineRule="exact"/>
      <w:ind w:firstLine="720"/>
      <w:jc w:val="both"/>
    </w:pPr>
    <w:rPr>
      <w:rFonts w:ascii="Verdana" w:hAnsi="Verdana"/>
      <w:sz w:val="20"/>
      <w:szCs w:val="20"/>
      <w:lang w:val="en-US"/>
    </w:rPr>
  </w:style>
  <w:style w:type="paragraph" w:customStyle="1" w:styleId="1">
    <w:name w:val="1"/>
    <w:basedOn w:val="Normal"/>
    <w:uiPriority w:val="99"/>
    <w:rsid w:val="002238F5"/>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uiPriority w:val="99"/>
    <w:rsid w:val="002238F5"/>
    <w:pPr>
      <w:spacing w:after="160" w:line="240" w:lineRule="exact"/>
    </w:pPr>
    <w:rPr>
      <w:rFonts w:ascii="Tahoma" w:hAnsi="Tahoma"/>
      <w:sz w:val="20"/>
      <w:szCs w:val="20"/>
      <w:lang w:val="en-US"/>
    </w:rPr>
  </w:style>
  <w:style w:type="character" w:customStyle="1" w:styleId="spelle">
    <w:name w:val="spelle"/>
    <w:basedOn w:val="DefaultParagraphFont"/>
    <w:rsid w:val="002238F5"/>
  </w:style>
  <w:style w:type="paragraph" w:customStyle="1" w:styleId="tvhtml">
    <w:name w:val="tv_html"/>
    <w:basedOn w:val="Normal"/>
    <w:uiPriority w:val="99"/>
    <w:rsid w:val="002238F5"/>
    <w:pPr>
      <w:spacing w:before="100" w:beforeAutospacing="1" w:after="100" w:afterAutospacing="1"/>
    </w:pPr>
    <w:rPr>
      <w:rFonts w:ascii="Verdana" w:hAnsi="Verdana"/>
      <w:sz w:val="18"/>
      <w:szCs w:val="18"/>
      <w:lang w:val="en-US"/>
    </w:rPr>
  </w:style>
  <w:style w:type="paragraph" w:customStyle="1" w:styleId="xl75">
    <w:name w:val="xl75"/>
    <w:basedOn w:val="Normal"/>
    <w:uiPriority w:val="99"/>
    <w:rsid w:val="002238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2238F5"/>
    <w:pPr>
      <w:spacing w:before="100" w:beforeAutospacing="1" w:after="100" w:afterAutospacing="1"/>
    </w:pPr>
    <w:rPr>
      <w:rFonts w:ascii="Verdana" w:hAnsi="Verdana"/>
      <w:sz w:val="16"/>
      <w:szCs w:val="16"/>
      <w:lang w:eastAsia="lv-LV"/>
    </w:rPr>
  </w:style>
  <w:style w:type="paragraph" w:customStyle="1" w:styleId="tv2121">
    <w:name w:val="tv2121"/>
    <w:basedOn w:val="Normal"/>
    <w:uiPriority w:val="99"/>
    <w:rsid w:val="002238F5"/>
    <w:pPr>
      <w:spacing w:before="400" w:line="360" w:lineRule="auto"/>
      <w:jc w:val="center"/>
    </w:pPr>
    <w:rPr>
      <w:rFonts w:ascii="Verdana" w:hAnsi="Verdana"/>
      <w:b/>
      <w:bCs/>
      <w:sz w:val="20"/>
      <w:szCs w:val="20"/>
      <w:lang w:eastAsia="lv-LV"/>
    </w:rPr>
  </w:style>
  <w:style w:type="character" w:styleId="Emphasis">
    <w:name w:val="Emphasis"/>
    <w:basedOn w:val="DefaultParagraphFont"/>
    <w:uiPriority w:val="20"/>
    <w:qFormat/>
    <w:rsid w:val="002238F5"/>
    <w:rPr>
      <w:i/>
      <w:iCs/>
    </w:rPr>
  </w:style>
  <w:style w:type="paragraph" w:customStyle="1" w:styleId="CM4">
    <w:name w:val="CM4"/>
    <w:basedOn w:val="Normal"/>
    <w:next w:val="Normal"/>
    <w:uiPriority w:val="99"/>
    <w:rsid w:val="002238F5"/>
    <w:pPr>
      <w:autoSpaceDE w:val="0"/>
      <w:autoSpaceDN w:val="0"/>
      <w:adjustRightInd w:val="0"/>
    </w:pPr>
    <w:rPr>
      <w:rFonts w:eastAsia="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571FE"/>
    <w:pPr>
      <w:keepNext/>
      <w:jc w:val="center"/>
      <w:outlineLvl w:val="0"/>
    </w:pPr>
    <w:rPr>
      <w:b/>
      <w:bCs/>
      <w:sz w:val="28"/>
    </w:rPr>
  </w:style>
  <w:style w:type="paragraph" w:styleId="Heading2">
    <w:name w:val="heading 2"/>
    <w:basedOn w:val="Normal"/>
    <w:next w:val="Normal"/>
    <w:link w:val="Heading2Char"/>
    <w:uiPriority w:val="99"/>
    <w:qFormat/>
    <w:rsid w:val="00E571FE"/>
    <w:pPr>
      <w:keepNext/>
      <w:outlineLvl w:val="1"/>
    </w:pPr>
    <w:rPr>
      <w:sz w:val="28"/>
    </w:rPr>
  </w:style>
  <w:style w:type="paragraph" w:styleId="Heading3">
    <w:name w:val="heading 3"/>
    <w:basedOn w:val="Normal"/>
    <w:next w:val="Normal"/>
    <w:link w:val="Heading3Char"/>
    <w:uiPriority w:val="99"/>
    <w:qFormat/>
    <w:rsid w:val="00E571FE"/>
    <w:pPr>
      <w:keepNext/>
      <w:jc w:val="center"/>
      <w:outlineLvl w:val="2"/>
    </w:pPr>
    <w:rPr>
      <w:sz w:val="28"/>
    </w:rPr>
  </w:style>
  <w:style w:type="paragraph" w:styleId="Heading4">
    <w:name w:val="heading 4"/>
    <w:basedOn w:val="Normal"/>
    <w:next w:val="Normal"/>
    <w:link w:val="Heading4Char"/>
    <w:uiPriority w:val="99"/>
    <w:qFormat/>
    <w:rsid w:val="00E571FE"/>
    <w:pPr>
      <w:keepNext/>
      <w:tabs>
        <w:tab w:val="center" w:pos="586"/>
      </w:tabs>
      <w:ind w:left="-348" w:hanging="600"/>
      <w:outlineLvl w:val="3"/>
    </w:pPr>
    <w:rPr>
      <w:sz w:val="28"/>
    </w:rPr>
  </w:style>
  <w:style w:type="paragraph" w:styleId="Heading5">
    <w:name w:val="heading 5"/>
    <w:basedOn w:val="Normal"/>
    <w:next w:val="Normal"/>
    <w:link w:val="Heading5Char"/>
    <w:uiPriority w:val="9"/>
    <w:semiHidden/>
    <w:unhideWhenUsed/>
    <w:qFormat/>
    <w:rsid w:val="009C79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1FE"/>
    <w:pPr>
      <w:spacing w:before="45" w:line="360" w:lineRule="auto"/>
      <w:ind w:firstLine="300"/>
    </w:pPr>
    <w:rPr>
      <w:i/>
      <w:iCs/>
      <w:color w:val="414142"/>
      <w:sz w:val="20"/>
      <w:szCs w:val="20"/>
      <w:lang w:eastAsia="lv-LV"/>
    </w:rPr>
  </w:style>
  <w:style w:type="character" w:customStyle="1" w:styleId="Heading1Char">
    <w:name w:val="Heading 1 Char"/>
    <w:basedOn w:val="DefaultParagraphFont"/>
    <w:link w:val="Heading1"/>
    <w:uiPriority w:val="9"/>
    <w:rsid w:val="00E571F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9"/>
    <w:rsid w:val="00E571F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9"/>
    <w:rsid w:val="00E571FE"/>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E571FE"/>
    <w:rPr>
      <w:rFonts w:ascii="Times New Roman" w:eastAsia="Times New Roman" w:hAnsi="Times New Roman" w:cs="Times New Roman"/>
      <w:sz w:val="28"/>
      <w:szCs w:val="24"/>
    </w:rPr>
  </w:style>
  <w:style w:type="paragraph" w:styleId="BodyTextIndent">
    <w:name w:val="Body Text Indent"/>
    <w:basedOn w:val="Normal"/>
    <w:link w:val="BodyTextIndentChar"/>
    <w:uiPriority w:val="99"/>
    <w:rsid w:val="00E571FE"/>
    <w:pPr>
      <w:ind w:left="7"/>
    </w:pPr>
    <w:rPr>
      <w:sz w:val="28"/>
    </w:rPr>
  </w:style>
  <w:style w:type="character" w:customStyle="1" w:styleId="BodyTextIndentChar">
    <w:name w:val="Body Text Indent Char"/>
    <w:basedOn w:val="DefaultParagraphFont"/>
    <w:link w:val="BodyTextIndent"/>
    <w:uiPriority w:val="99"/>
    <w:rsid w:val="00E571FE"/>
    <w:rPr>
      <w:rFonts w:ascii="Times New Roman" w:eastAsia="Times New Roman" w:hAnsi="Times New Roman" w:cs="Times New Roman"/>
      <w:sz w:val="28"/>
      <w:szCs w:val="24"/>
    </w:rPr>
  </w:style>
  <w:style w:type="paragraph" w:customStyle="1" w:styleId="naisc">
    <w:name w:val="naisc"/>
    <w:basedOn w:val="Normal"/>
    <w:uiPriority w:val="99"/>
    <w:rsid w:val="00E571FE"/>
    <w:pPr>
      <w:spacing w:before="100" w:beforeAutospacing="1" w:after="100" w:afterAutospacing="1"/>
      <w:jc w:val="center"/>
    </w:pPr>
    <w:rPr>
      <w:rFonts w:eastAsia="Arial Unicode MS"/>
      <w:sz w:val="26"/>
      <w:szCs w:val="26"/>
    </w:rPr>
  </w:style>
  <w:style w:type="paragraph" w:customStyle="1" w:styleId="naisf">
    <w:name w:val="naisf"/>
    <w:basedOn w:val="Normal"/>
    <w:uiPriority w:val="99"/>
    <w:rsid w:val="00E571FE"/>
    <w:pPr>
      <w:spacing w:before="100" w:beforeAutospacing="1" w:after="100" w:afterAutospacing="1"/>
      <w:jc w:val="both"/>
    </w:pPr>
    <w:rPr>
      <w:rFonts w:eastAsia="Arial Unicode MS"/>
    </w:rPr>
  </w:style>
  <w:style w:type="paragraph" w:styleId="NormalWeb">
    <w:name w:val="Normal (Web)"/>
    <w:basedOn w:val="Normal"/>
    <w:uiPriority w:val="99"/>
    <w:rsid w:val="00E571FE"/>
    <w:pPr>
      <w:spacing w:before="100" w:beforeAutospacing="1" w:after="100" w:afterAutospacing="1"/>
    </w:pPr>
    <w:rPr>
      <w:rFonts w:eastAsia="Arial Unicode MS"/>
    </w:rPr>
  </w:style>
  <w:style w:type="paragraph" w:styleId="Footer">
    <w:name w:val="footer"/>
    <w:basedOn w:val="Normal"/>
    <w:link w:val="FooterChar"/>
    <w:uiPriority w:val="99"/>
    <w:rsid w:val="00E571FE"/>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uiPriority w:val="99"/>
    <w:rsid w:val="00E571FE"/>
    <w:rPr>
      <w:rFonts w:ascii="RimTimes" w:eastAsia="Times New Roman" w:hAnsi="RimTimes" w:cs="Times New Roman"/>
      <w:sz w:val="28"/>
      <w:szCs w:val="20"/>
    </w:rPr>
  </w:style>
  <w:style w:type="character" w:styleId="CommentReference">
    <w:name w:val="annotation reference"/>
    <w:uiPriority w:val="99"/>
    <w:semiHidden/>
    <w:rsid w:val="00E571FE"/>
    <w:rPr>
      <w:rFonts w:cs="Times New Roman"/>
      <w:sz w:val="16"/>
      <w:szCs w:val="16"/>
    </w:rPr>
  </w:style>
  <w:style w:type="paragraph" w:customStyle="1" w:styleId="naislab">
    <w:name w:val="naislab"/>
    <w:basedOn w:val="Normal"/>
    <w:uiPriority w:val="99"/>
    <w:rsid w:val="00E571FE"/>
    <w:pPr>
      <w:spacing w:before="100" w:beforeAutospacing="1" w:after="100" w:afterAutospacing="1"/>
      <w:jc w:val="right"/>
    </w:pPr>
    <w:rPr>
      <w:rFonts w:eastAsia="Arial Unicode MS"/>
    </w:rPr>
  </w:style>
  <w:style w:type="paragraph" w:styleId="Header">
    <w:name w:val="header"/>
    <w:basedOn w:val="Normal"/>
    <w:link w:val="HeaderChar"/>
    <w:uiPriority w:val="99"/>
    <w:rsid w:val="00E571FE"/>
    <w:pPr>
      <w:tabs>
        <w:tab w:val="center" w:pos="4153"/>
        <w:tab w:val="right" w:pos="8306"/>
      </w:tabs>
    </w:pPr>
  </w:style>
  <w:style w:type="character" w:customStyle="1" w:styleId="HeaderChar">
    <w:name w:val="Header Char"/>
    <w:basedOn w:val="DefaultParagraphFont"/>
    <w:link w:val="Header"/>
    <w:uiPriority w:val="99"/>
    <w:rsid w:val="00E571FE"/>
    <w:rPr>
      <w:rFonts w:ascii="Times New Roman" w:eastAsia="Times New Roman" w:hAnsi="Times New Roman" w:cs="Times New Roman"/>
      <w:sz w:val="24"/>
      <w:szCs w:val="24"/>
      <w:lang w:val="en-GB"/>
    </w:rPr>
  </w:style>
  <w:style w:type="character" w:styleId="PageNumber">
    <w:name w:val="page number"/>
    <w:uiPriority w:val="99"/>
    <w:rsid w:val="00E571FE"/>
    <w:rPr>
      <w:rFonts w:cs="Times New Roman"/>
    </w:rPr>
  </w:style>
  <w:style w:type="paragraph" w:styleId="CommentText">
    <w:name w:val="annotation text"/>
    <w:basedOn w:val="Normal"/>
    <w:link w:val="CommentTextChar"/>
    <w:uiPriority w:val="99"/>
    <w:rsid w:val="00E571FE"/>
    <w:rPr>
      <w:sz w:val="20"/>
      <w:szCs w:val="20"/>
    </w:rPr>
  </w:style>
  <w:style w:type="character" w:customStyle="1" w:styleId="CommentTextChar">
    <w:name w:val="Comment Text Char"/>
    <w:basedOn w:val="DefaultParagraphFont"/>
    <w:link w:val="CommentText"/>
    <w:uiPriority w:val="99"/>
    <w:rsid w:val="00E571FE"/>
    <w:rPr>
      <w:rFonts w:ascii="Times New Roman" w:eastAsia="Times New Roman" w:hAnsi="Times New Roman" w:cs="Times New Roman"/>
      <w:sz w:val="20"/>
      <w:szCs w:val="20"/>
      <w:lang w:val="en-GB"/>
    </w:rPr>
  </w:style>
  <w:style w:type="paragraph" w:customStyle="1" w:styleId="naiskr">
    <w:name w:val="naiskr"/>
    <w:basedOn w:val="Normal"/>
    <w:rsid w:val="00E571FE"/>
    <w:pPr>
      <w:spacing w:before="100" w:beforeAutospacing="1" w:after="100" w:afterAutospacing="1"/>
    </w:pPr>
    <w:rPr>
      <w:lang w:eastAsia="lv-LV"/>
    </w:rPr>
  </w:style>
  <w:style w:type="paragraph" w:styleId="BalloonText">
    <w:name w:val="Balloon Text"/>
    <w:basedOn w:val="Normal"/>
    <w:link w:val="BalloonTextChar"/>
    <w:uiPriority w:val="99"/>
    <w:semiHidden/>
    <w:rsid w:val="00E571FE"/>
    <w:rPr>
      <w:rFonts w:ascii="Tahoma" w:hAnsi="Tahoma"/>
      <w:sz w:val="16"/>
      <w:szCs w:val="16"/>
    </w:rPr>
  </w:style>
  <w:style w:type="character" w:customStyle="1" w:styleId="BalloonTextChar">
    <w:name w:val="Balloon Text Char"/>
    <w:basedOn w:val="DefaultParagraphFont"/>
    <w:link w:val="BalloonText"/>
    <w:uiPriority w:val="99"/>
    <w:semiHidden/>
    <w:rsid w:val="00E571FE"/>
    <w:rPr>
      <w:rFonts w:ascii="Tahoma" w:eastAsia="Times New Roman" w:hAnsi="Tahoma" w:cs="Times New Roman"/>
      <w:sz w:val="16"/>
      <w:szCs w:val="16"/>
      <w:lang w:val="en-GB"/>
    </w:rPr>
  </w:style>
  <w:style w:type="paragraph" w:customStyle="1" w:styleId="CharChar">
    <w:name w:val="Char Char"/>
    <w:basedOn w:val="Normal"/>
    <w:uiPriority w:val="99"/>
    <w:rsid w:val="00E571FE"/>
    <w:rPr>
      <w:lang w:val="pl-PL" w:eastAsia="pl-PL"/>
    </w:rPr>
  </w:style>
  <w:style w:type="paragraph" w:customStyle="1" w:styleId="RakstzRakstzRakstzCharCharRakstzRakstzCharChar">
    <w:name w:val="Rakstz. Rakstz. Rakstz. Char Char Rakstz. Rakstz. Char Char"/>
    <w:basedOn w:val="Normal"/>
    <w:uiPriority w:val="99"/>
    <w:rsid w:val="00E571FE"/>
    <w:pPr>
      <w:spacing w:before="40"/>
    </w:pPr>
    <w:rPr>
      <w:lang w:val="pl-PL" w:eastAsia="pl-PL"/>
    </w:rPr>
  </w:style>
  <w:style w:type="paragraph" w:styleId="BodyText2">
    <w:name w:val="Body Text 2"/>
    <w:basedOn w:val="Normal"/>
    <w:link w:val="BodyText2Char"/>
    <w:uiPriority w:val="99"/>
    <w:rsid w:val="00E571FE"/>
    <w:pPr>
      <w:spacing w:after="120" w:line="480" w:lineRule="auto"/>
    </w:pPr>
    <w:rPr>
      <w:sz w:val="28"/>
      <w:szCs w:val="20"/>
      <w:lang w:eastAsia="lv-LV"/>
    </w:rPr>
  </w:style>
  <w:style w:type="character" w:customStyle="1" w:styleId="BodyText2Char">
    <w:name w:val="Body Text 2 Char"/>
    <w:basedOn w:val="DefaultParagraphFont"/>
    <w:link w:val="BodyText2"/>
    <w:uiPriority w:val="99"/>
    <w:rsid w:val="00E571FE"/>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rsid w:val="00E571FE"/>
    <w:rPr>
      <w:b/>
      <w:bCs/>
    </w:rPr>
  </w:style>
  <w:style w:type="character" w:customStyle="1" w:styleId="CommentSubjectChar">
    <w:name w:val="Comment Subject Char"/>
    <w:basedOn w:val="CommentTextChar"/>
    <w:link w:val="CommentSubject"/>
    <w:uiPriority w:val="99"/>
    <w:semiHidden/>
    <w:rsid w:val="00E571FE"/>
    <w:rPr>
      <w:rFonts w:ascii="Times New Roman" w:eastAsia="Times New Roman" w:hAnsi="Times New Roman" w:cs="Times New Roman"/>
      <w:b/>
      <w:bCs/>
      <w:sz w:val="20"/>
      <w:szCs w:val="20"/>
      <w:lang w:val="en-GB"/>
    </w:rPr>
  </w:style>
  <w:style w:type="character" w:styleId="Hyperlink">
    <w:name w:val="Hyperlink"/>
    <w:uiPriority w:val="99"/>
    <w:rsid w:val="00E571FE"/>
    <w:rPr>
      <w:rFonts w:cs="Times New Roman"/>
      <w:color w:val="0000FF"/>
      <w:u w:val="single"/>
    </w:rPr>
  </w:style>
  <w:style w:type="paragraph" w:styleId="Title">
    <w:name w:val="Title"/>
    <w:basedOn w:val="Normal"/>
    <w:link w:val="TitleChar"/>
    <w:uiPriority w:val="99"/>
    <w:qFormat/>
    <w:rsid w:val="00E571FE"/>
    <w:pPr>
      <w:jc w:val="center"/>
    </w:pPr>
    <w:rPr>
      <w:b/>
      <w:sz w:val="28"/>
      <w:szCs w:val="20"/>
    </w:rPr>
  </w:style>
  <w:style w:type="character" w:customStyle="1" w:styleId="TitleChar">
    <w:name w:val="Title Char"/>
    <w:basedOn w:val="DefaultParagraphFont"/>
    <w:link w:val="Title"/>
    <w:uiPriority w:val="99"/>
    <w:rsid w:val="00E571FE"/>
    <w:rPr>
      <w:rFonts w:ascii="Times New Roman" w:eastAsia="Times New Roman" w:hAnsi="Times New Roman" w:cs="Times New Roman"/>
      <w:b/>
      <w:sz w:val="28"/>
      <w:szCs w:val="20"/>
    </w:rPr>
  </w:style>
  <w:style w:type="paragraph" w:styleId="NoSpacing">
    <w:name w:val="No Spacing"/>
    <w:link w:val="NoSpacingChar"/>
    <w:uiPriority w:val="1"/>
    <w:qFormat/>
    <w:rsid w:val="00E571FE"/>
    <w:pPr>
      <w:spacing w:after="0" w:line="240" w:lineRule="auto"/>
    </w:pPr>
    <w:rPr>
      <w:rFonts w:ascii="Calibri" w:eastAsia="Times New Roman" w:hAnsi="Calibri" w:cs="Times New Roman"/>
    </w:rPr>
  </w:style>
  <w:style w:type="paragraph" w:customStyle="1" w:styleId="naisnod">
    <w:name w:val="naisnod"/>
    <w:basedOn w:val="Normal"/>
    <w:uiPriority w:val="99"/>
    <w:rsid w:val="00E571FE"/>
    <w:pPr>
      <w:spacing w:before="150" w:after="150"/>
      <w:jc w:val="center"/>
    </w:pPr>
    <w:rPr>
      <w:b/>
      <w:bCs/>
      <w:lang w:eastAsia="lv-LV"/>
    </w:rPr>
  </w:style>
  <w:style w:type="character" w:styleId="Strong">
    <w:name w:val="Strong"/>
    <w:uiPriority w:val="22"/>
    <w:qFormat/>
    <w:rsid w:val="00E571FE"/>
    <w:rPr>
      <w:rFonts w:cs="Times New Roman"/>
      <w:b/>
      <w:bCs/>
    </w:rPr>
  </w:style>
  <w:style w:type="paragraph" w:styleId="ListParagraph">
    <w:name w:val="List Paragraph"/>
    <w:basedOn w:val="Normal"/>
    <w:uiPriority w:val="34"/>
    <w:qFormat/>
    <w:rsid w:val="00E571FE"/>
    <w:pPr>
      <w:ind w:left="720"/>
      <w:contextualSpacing/>
    </w:pPr>
  </w:style>
  <w:style w:type="paragraph" w:customStyle="1" w:styleId="basetext">
    <w:name w:val="base text"/>
    <w:uiPriority w:val="99"/>
    <w:rsid w:val="00E571FE"/>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E571FE"/>
    <w:pPr>
      <w:spacing w:after="120" w:line="480" w:lineRule="auto"/>
      <w:ind w:left="283"/>
    </w:pPr>
  </w:style>
  <w:style w:type="character" w:customStyle="1" w:styleId="BodyTextIndent2Char">
    <w:name w:val="Body Text Indent 2 Char"/>
    <w:basedOn w:val="DefaultParagraphFont"/>
    <w:link w:val="BodyTextIndent2"/>
    <w:uiPriority w:val="99"/>
    <w:rsid w:val="00E571FE"/>
    <w:rPr>
      <w:rFonts w:ascii="Times New Roman" w:eastAsia="Times New Roman" w:hAnsi="Times New Roman" w:cs="Times New Roman"/>
      <w:sz w:val="24"/>
      <w:szCs w:val="24"/>
      <w:lang w:val="en-GB"/>
    </w:rPr>
  </w:style>
  <w:style w:type="paragraph" w:customStyle="1" w:styleId="Parasts1">
    <w:name w:val="Parasts1"/>
    <w:uiPriority w:val="99"/>
    <w:rsid w:val="00E571FE"/>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E571FE"/>
    <w:pPr>
      <w:spacing w:before="240" w:line="360" w:lineRule="auto"/>
      <w:ind w:firstLine="300"/>
      <w:jc w:val="both"/>
    </w:pPr>
    <w:rPr>
      <w:rFonts w:ascii="Verdana" w:hAnsi="Verdana"/>
      <w:sz w:val="18"/>
      <w:szCs w:val="18"/>
      <w:lang w:eastAsia="lv-LV"/>
    </w:rPr>
  </w:style>
  <w:style w:type="paragraph" w:customStyle="1" w:styleId="tv20687921">
    <w:name w:val="tv206_87_921"/>
    <w:basedOn w:val="Normal"/>
    <w:uiPriority w:val="99"/>
    <w:rsid w:val="00E571FE"/>
    <w:pPr>
      <w:spacing w:before="480" w:after="240" w:line="360" w:lineRule="auto"/>
      <w:ind w:firstLine="300"/>
      <w:jc w:val="right"/>
    </w:pPr>
    <w:rPr>
      <w:rFonts w:ascii="Verdana" w:hAnsi="Verdana"/>
      <w:sz w:val="18"/>
      <w:szCs w:val="18"/>
      <w:lang w:eastAsia="lv-LV"/>
    </w:rPr>
  </w:style>
  <w:style w:type="character" w:customStyle="1" w:styleId="googqs-tidbitgoogqs-tidbit-0">
    <w:name w:val="goog_qs-tidbit goog_qs-tidbit-0"/>
    <w:uiPriority w:val="99"/>
    <w:rsid w:val="00E571FE"/>
    <w:rPr>
      <w:rFonts w:cs="Times New Roman"/>
    </w:rPr>
  </w:style>
  <w:style w:type="character" w:customStyle="1" w:styleId="st">
    <w:name w:val="st"/>
    <w:uiPriority w:val="99"/>
    <w:rsid w:val="00E571FE"/>
    <w:rPr>
      <w:rFonts w:cs="Times New Roman"/>
    </w:rPr>
  </w:style>
  <w:style w:type="character" w:customStyle="1" w:styleId="in">
    <w:name w:val="in"/>
    <w:uiPriority w:val="99"/>
    <w:rsid w:val="00E571FE"/>
    <w:rPr>
      <w:rFonts w:cs="Times New Roman"/>
    </w:rPr>
  </w:style>
  <w:style w:type="character" w:styleId="FootnoteReference">
    <w:name w:val="footnote reference"/>
    <w:aliases w:val="Footnote Reference Number,ftref,Footnote symbol"/>
    <w:basedOn w:val="DefaultParagraphFont"/>
    <w:uiPriority w:val="99"/>
    <w:unhideWhenUsed/>
    <w:rsid w:val="008A1662"/>
    <w:rPr>
      <w:vertAlign w:val="superscript"/>
    </w:rPr>
  </w:style>
  <w:style w:type="paragraph" w:styleId="FootnoteText">
    <w:name w:val="footnote text"/>
    <w:aliases w:val="Footnote,Fußnote,single space,ft Rakstz. Rakstz.,ft Rakstz.,ft,-E Fußnotentext,footnote text,Fußnotentext Ursprung,Footnote Text qer,Vēres teksts Char Char Char Char Char,Char Char Char Char Char Char Char Char Char Char Char Char"/>
    <w:basedOn w:val="Normal"/>
    <w:link w:val="FootnoteTextChar"/>
    <w:unhideWhenUsed/>
    <w:rsid w:val="008A1662"/>
    <w:rPr>
      <w:rFonts w:ascii="Calibri" w:eastAsia="Calibri" w:hAnsi="Calibri"/>
      <w:sz w:val="20"/>
      <w:szCs w:val="20"/>
    </w:rPr>
  </w:style>
  <w:style w:type="character" w:customStyle="1" w:styleId="FootnoteTextChar">
    <w:name w:val="Footnote Text Char"/>
    <w:aliases w:val="Footnote Char,Fußnote Char,single space Char,ft Rakstz. Rakstz. Char,ft Rakstz. Char,ft Char,-E Fußnotentext Char,footnote text Char,Fußnotentext Ursprung Char,Footnote Text qer Char,Vēres teksts Char Char Char Char Char Char"/>
    <w:basedOn w:val="DefaultParagraphFont"/>
    <w:link w:val="FootnoteText"/>
    <w:rsid w:val="008A1662"/>
    <w:rPr>
      <w:rFonts w:ascii="Calibri" w:eastAsia="Calibri" w:hAnsi="Calibri" w:cs="Times New Roman"/>
      <w:sz w:val="20"/>
      <w:szCs w:val="20"/>
      <w:lang w:val="en-GB"/>
    </w:rPr>
  </w:style>
  <w:style w:type="character" w:customStyle="1" w:styleId="hps">
    <w:name w:val="hps"/>
    <w:basedOn w:val="DefaultParagraphFont"/>
    <w:rsid w:val="008A1662"/>
  </w:style>
  <w:style w:type="character" w:customStyle="1" w:styleId="citation">
    <w:name w:val="citation"/>
    <w:basedOn w:val="DefaultParagraphFont"/>
    <w:rsid w:val="008A1662"/>
  </w:style>
  <w:style w:type="character" w:customStyle="1" w:styleId="nlmsource">
    <w:name w:val="nlm_source"/>
    <w:basedOn w:val="DefaultParagraphFont"/>
    <w:rsid w:val="008A1662"/>
  </w:style>
  <w:style w:type="character" w:customStyle="1" w:styleId="st1">
    <w:name w:val="st1"/>
    <w:basedOn w:val="DefaultParagraphFont"/>
    <w:rsid w:val="008A1662"/>
  </w:style>
  <w:style w:type="paragraph" w:customStyle="1" w:styleId="CM1">
    <w:name w:val="CM1"/>
    <w:basedOn w:val="Normal"/>
    <w:next w:val="Normal"/>
    <w:uiPriority w:val="99"/>
    <w:rsid w:val="00902B9B"/>
    <w:pPr>
      <w:autoSpaceDE w:val="0"/>
      <w:autoSpaceDN w:val="0"/>
      <w:adjustRightInd w:val="0"/>
    </w:pPr>
    <w:rPr>
      <w:rFonts w:ascii="EUAlbertina" w:eastAsiaTheme="minorHAnsi" w:hAnsi="EUAlbertina" w:cstheme="minorBidi"/>
    </w:rPr>
  </w:style>
  <w:style w:type="paragraph" w:customStyle="1" w:styleId="Default">
    <w:name w:val="Default"/>
    <w:rsid w:val="00B81B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semiHidden/>
    <w:rsid w:val="009C792E"/>
    <w:rPr>
      <w:rFonts w:asciiTheme="majorHAnsi" w:eastAsiaTheme="majorEastAsia" w:hAnsiTheme="majorHAnsi" w:cstheme="majorBidi"/>
      <w:color w:val="243F60" w:themeColor="accent1" w:themeShade="7F"/>
      <w:sz w:val="24"/>
      <w:szCs w:val="24"/>
      <w:lang w:val="en-GB"/>
    </w:rPr>
  </w:style>
  <w:style w:type="paragraph" w:styleId="BodyText3">
    <w:name w:val="Body Text 3"/>
    <w:basedOn w:val="Normal"/>
    <w:link w:val="BodyText3Char"/>
    <w:uiPriority w:val="99"/>
    <w:semiHidden/>
    <w:unhideWhenUsed/>
    <w:rsid w:val="00F210A6"/>
    <w:pPr>
      <w:spacing w:after="120"/>
    </w:pPr>
    <w:rPr>
      <w:sz w:val="16"/>
      <w:szCs w:val="16"/>
    </w:rPr>
  </w:style>
  <w:style w:type="character" w:customStyle="1" w:styleId="BodyText3Char">
    <w:name w:val="Body Text 3 Char"/>
    <w:basedOn w:val="DefaultParagraphFont"/>
    <w:link w:val="BodyText3"/>
    <w:uiPriority w:val="99"/>
    <w:semiHidden/>
    <w:rsid w:val="00F210A6"/>
    <w:rPr>
      <w:rFonts w:ascii="Times New Roman" w:eastAsia="Times New Roman" w:hAnsi="Times New Roman" w:cs="Times New Roman"/>
      <w:sz w:val="16"/>
      <w:szCs w:val="16"/>
    </w:rPr>
  </w:style>
  <w:style w:type="character" w:customStyle="1" w:styleId="NoSpacingChar">
    <w:name w:val="No Spacing Char"/>
    <w:basedOn w:val="DefaultParagraphFont"/>
    <w:link w:val="NoSpacing"/>
    <w:uiPriority w:val="1"/>
    <w:rsid w:val="00E3541D"/>
    <w:rPr>
      <w:rFonts w:ascii="Calibri" w:eastAsia="Times New Roman" w:hAnsi="Calibri" w:cs="Times New Roman"/>
    </w:rPr>
  </w:style>
  <w:style w:type="character" w:customStyle="1" w:styleId="apple-converted-space">
    <w:name w:val="apple-converted-space"/>
    <w:basedOn w:val="DefaultParagraphFont"/>
    <w:rsid w:val="00724DA9"/>
  </w:style>
</w:styles>
</file>

<file path=word/webSettings.xml><?xml version="1.0" encoding="utf-8"?>
<w:webSettings xmlns:r="http://schemas.openxmlformats.org/officeDocument/2006/relationships" xmlns:w="http://schemas.openxmlformats.org/wordprocessingml/2006/main">
  <w:divs>
    <w:div w:id="102385749">
      <w:bodyDiv w:val="1"/>
      <w:marLeft w:val="0"/>
      <w:marRight w:val="0"/>
      <w:marTop w:val="0"/>
      <w:marBottom w:val="0"/>
      <w:divBdr>
        <w:top w:val="none" w:sz="0" w:space="0" w:color="auto"/>
        <w:left w:val="none" w:sz="0" w:space="0" w:color="auto"/>
        <w:bottom w:val="none" w:sz="0" w:space="0" w:color="auto"/>
        <w:right w:val="none" w:sz="0" w:space="0" w:color="auto"/>
      </w:divBdr>
      <w:divsChild>
        <w:div w:id="1442382780">
          <w:marLeft w:val="547"/>
          <w:marRight w:val="0"/>
          <w:marTop w:val="115"/>
          <w:marBottom w:val="0"/>
          <w:divBdr>
            <w:top w:val="none" w:sz="0" w:space="0" w:color="auto"/>
            <w:left w:val="none" w:sz="0" w:space="0" w:color="auto"/>
            <w:bottom w:val="none" w:sz="0" w:space="0" w:color="auto"/>
            <w:right w:val="none" w:sz="0" w:space="0" w:color="auto"/>
          </w:divBdr>
        </w:div>
        <w:div w:id="1010911023">
          <w:marLeft w:val="547"/>
          <w:marRight w:val="0"/>
          <w:marTop w:val="115"/>
          <w:marBottom w:val="0"/>
          <w:divBdr>
            <w:top w:val="none" w:sz="0" w:space="0" w:color="auto"/>
            <w:left w:val="none" w:sz="0" w:space="0" w:color="auto"/>
            <w:bottom w:val="none" w:sz="0" w:space="0" w:color="auto"/>
            <w:right w:val="none" w:sz="0" w:space="0" w:color="auto"/>
          </w:divBdr>
        </w:div>
      </w:divsChild>
    </w:div>
    <w:div w:id="666251380">
      <w:bodyDiv w:val="1"/>
      <w:marLeft w:val="0"/>
      <w:marRight w:val="0"/>
      <w:marTop w:val="0"/>
      <w:marBottom w:val="0"/>
      <w:divBdr>
        <w:top w:val="none" w:sz="0" w:space="0" w:color="auto"/>
        <w:left w:val="none" w:sz="0" w:space="0" w:color="auto"/>
        <w:bottom w:val="none" w:sz="0" w:space="0" w:color="auto"/>
        <w:right w:val="none" w:sz="0" w:space="0" w:color="auto"/>
      </w:divBdr>
      <w:divsChild>
        <w:div w:id="2024479600">
          <w:marLeft w:val="0"/>
          <w:marRight w:val="0"/>
          <w:marTop w:val="0"/>
          <w:marBottom w:val="0"/>
          <w:divBdr>
            <w:top w:val="none" w:sz="0" w:space="0" w:color="auto"/>
            <w:left w:val="none" w:sz="0" w:space="0" w:color="auto"/>
            <w:bottom w:val="none" w:sz="0" w:space="0" w:color="auto"/>
            <w:right w:val="none" w:sz="0" w:space="0" w:color="auto"/>
          </w:divBdr>
          <w:divsChild>
            <w:div w:id="391730842">
              <w:marLeft w:val="0"/>
              <w:marRight w:val="0"/>
              <w:marTop w:val="0"/>
              <w:marBottom w:val="0"/>
              <w:divBdr>
                <w:top w:val="none" w:sz="0" w:space="0" w:color="auto"/>
                <w:left w:val="none" w:sz="0" w:space="0" w:color="auto"/>
                <w:bottom w:val="none" w:sz="0" w:space="0" w:color="auto"/>
                <w:right w:val="none" w:sz="0" w:space="0" w:color="auto"/>
              </w:divBdr>
              <w:divsChild>
                <w:div w:id="1200242933">
                  <w:marLeft w:val="0"/>
                  <w:marRight w:val="0"/>
                  <w:marTop w:val="0"/>
                  <w:marBottom w:val="0"/>
                  <w:divBdr>
                    <w:top w:val="none" w:sz="0" w:space="0" w:color="auto"/>
                    <w:left w:val="none" w:sz="0" w:space="0" w:color="auto"/>
                    <w:bottom w:val="none" w:sz="0" w:space="0" w:color="auto"/>
                    <w:right w:val="none" w:sz="0" w:space="0" w:color="auto"/>
                  </w:divBdr>
                  <w:divsChild>
                    <w:div w:id="465048289">
                      <w:marLeft w:val="0"/>
                      <w:marRight w:val="0"/>
                      <w:marTop w:val="0"/>
                      <w:marBottom w:val="0"/>
                      <w:divBdr>
                        <w:top w:val="none" w:sz="0" w:space="0" w:color="auto"/>
                        <w:left w:val="none" w:sz="0" w:space="0" w:color="auto"/>
                        <w:bottom w:val="none" w:sz="0" w:space="0" w:color="auto"/>
                        <w:right w:val="none" w:sz="0" w:space="0" w:color="auto"/>
                      </w:divBdr>
                      <w:divsChild>
                        <w:div w:id="1520654099">
                          <w:marLeft w:val="0"/>
                          <w:marRight w:val="0"/>
                          <w:marTop w:val="0"/>
                          <w:marBottom w:val="0"/>
                          <w:divBdr>
                            <w:top w:val="none" w:sz="0" w:space="0" w:color="auto"/>
                            <w:left w:val="none" w:sz="0" w:space="0" w:color="auto"/>
                            <w:bottom w:val="none" w:sz="0" w:space="0" w:color="auto"/>
                            <w:right w:val="none" w:sz="0" w:space="0" w:color="auto"/>
                          </w:divBdr>
                          <w:divsChild>
                            <w:div w:id="574171788">
                              <w:marLeft w:val="150"/>
                              <w:marRight w:val="150"/>
                              <w:marTop w:val="480"/>
                              <w:marBottom w:val="0"/>
                              <w:divBdr>
                                <w:top w:val="single" w:sz="6" w:space="28" w:color="D4D4D4"/>
                                <w:left w:val="none" w:sz="0" w:space="0" w:color="auto"/>
                                <w:bottom w:val="none" w:sz="0" w:space="0" w:color="auto"/>
                                <w:right w:val="none" w:sz="0" w:space="0" w:color="auto"/>
                              </w:divBdr>
                            </w:div>
                            <w:div w:id="1620720599">
                              <w:marLeft w:val="0"/>
                              <w:marRight w:val="0"/>
                              <w:marTop w:val="400"/>
                              <w:marBottom w:val="0"/>
                              <w:divBdr>
                                <w:top w:val="none" w:sz="0" w:space="0" w:color="auto"/>
                                <w:left w:val="none" w:sz="0" w:space="0" w:color="auto"/>
                                <w:bottom w:val="none" w:sz="0" w:space="0" w:color="auto"/>
                                <w:right w:val="none" w:sz="0" w:space="0" w:color="auto"/>
                              </w:divBdr>
                            </w:div>
                            <w:div w:id="1354914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38994">
      <w:bodyDiv w:val="1"/>
      <w:marLeft w:val="0"/>
      <w:marRight w:val="0"/>
      <w:marTop w:val="0"/>
      <w:marBottom w:val="0"/>
      <w:divBdr>
        <w:top w:val="none" w:sz="0" w:space="0" w:color="auto"/>
        <w:left w:val="none" w:sz="0" w:space="0" w:color="auto"/>
        <w:bottom w:val="none" w:sz="0" w:space="0" w:color="auto"/>
        <w:right w:val="none" w:sz="0" w:space="0" w:color="auto"/>
      </w:divBdr>
      <w:divsChild>
        <w:div w:id="657148949">
          <w:marLeft w:val="547"/>
          <w:marRight w:val="0"/>
          <w:marTop w:val="134"/>
          <w:marBottom w:val="0"/>
          <w:divBdr>
            <w:top w:val="none" w:sz="0" w:space="0" w:color="auto"/>
            <w:left w:val="none" w:sz="0" w:space="0" w:color="auto"/>
            <w:bottom w:val="none" w:sz="0" w:space="0" w:color="auto"/>
            <w:right w:val="none" w:sz="0" w:space="0" w:color="auto"/>
          </w:divBdr>
        </w:div>
      </w:divsChild>
    </w:div>
    <w:div w:id="1867522193">
      <w:bodyDiv w:val="1"/>
      <w:marLeft w:val="0"/>
      <w:marRight w:val="0"/>
      <w:marTop w:val="0"/>
      <w:marBottom w:val="0"/>
      <w:divBdr>
        <w:top w:val="none" w:sz="0" w:space="0" w:color="auto"/>
        <w:left w:val="none" w:sz="0" w:space="0" w:color="auto"/>
        <w:bottom w:val="none" w:sz="0" w:space="0" w:color="auto"/>
        <w:right w:val="none" w:sz="0" w:space="0" w:color="auto"/>
      </w:divBdr>
    </w:div>
    <w:div w:id="1954287985">
      <w:bodyDiv w:val="1"/>
      <w:marLeft w:val="0"/>
      <w:marRight w:val="0"/>
      <w:marTop w:val="0"/>
      <w:marBottom w:val="0"/>
      <w:divBdr>
        <w:top w:val="none" w:sz="0" w:space="0" w:color="auto"/>
        <w:left w:val="none" w:sz="0" w:space="0" w:color="auto"/>
        <w:bottom w:val="none" w:sz="0" w:space="0" w:color="auto"/>
        <w:right w:val="none" w:sz="0" w:space="0" w:color="auto"/>
      </w:divBdr>
      <w:divsChild>
        <w:div w:id="55129668">
          <w:marLeft w:val="0"/>
          <w:marRight w:val="0"/>
          <w:marTop w:val="0"/>
          <w:marBottom w:val="0"/>
          <w:divBdr>
            <w:top w:val="none" w:sz="0" w:space="0" w:color="auto"/>
            <w:left w:val="none" w:sz="0" w:space="0" w:color="auto"/>
            <w:bottom w:val="none" w:sz="0" w:space="0" w:color="auto"/>
            <w:right w:val="none" w:sz="0" w:space="0" w:color="auto"/>
          </w:divBdr>
          <w:divsChild>
            <w:div w:id="774055982">
              <w:marLeft w:val="0"/>
              <w:marRight w:val="0"/>
              <w:marTop w:val="0"/>
              <w:marBottom w:val="0"/>
              <w:divBdr>
                <w:top w:val="none" w:sz="0" w:space="0" w:color="auto"/>
                <w:left w:val="none" w:sz="0" w:space="0" w:color="auto"/>
                <w:bottom w:val="none" w:sz="0" w:space="0" w:color="auto"/>
                <w:right w:val="none" w:sz="0" w:space="0" w:color="auto"/>
              </w:divBdr>
              <w:divsChild>
                <w:div w:id="755564802">
                  <w:marLeft w:val="0"/>
                  <w:marRight w:val="0"/>
                  <w:marTop w:val="0"/>
                  <w:marBottom w:val="0"/>
                  <w:divBdr>
                    <w:top w:val="none" w:sz="0" w:space="0" w:color="auto"/>
                    <w:left w:val="none" w:sz="0" w:space="0" w:color="auto"/>
                    <w:bottom w:val="none" w:sz="0" w:space="0" w:color="auto"/>
                    <w:right w:val="none" w:sz="0" w:space="0" w:color="auto"/>
                  </w:divBdr>
                  <w:divsChild>
                    <w:div w:id="320693326">
                      <w:marLeft w:val="0"/>
                      <w:marRight w:val="0"/>
                      <w:marTop w:val="0"/>
                      <w:marBottom w:val="0"/>
                      <w:divBdr>
                        <w:top w:val="none" w:sz="0" w:space="0" w:color="auto"/>
                        <w:left w:val="none" w:sz="0" w:space="0" w:color="auto"/>
                        <w:bottom w:val="none" w:sz="0" w:space="0" w:color="auto"/>
                        <w:right w:val="none" w:sz="0" w:space="0" w:color="auto"/>
                      </w:divBdr>
                      <w:divsChild>
                        <w:div w:id="836578631">
                          <w:marLeft w:val="0"/>
                          <w:marRight w:val="0"/>
                          <w:marTop w:val="0"/>
                          <w:marBottom w:val="0"/>
                          <w:divBdr>
                            <w:top w:val="none" w:sz="0" w:space="0" w:color="auto"/>
                            <w:left w:val="none" w:sz="0" w:space="0" w:color="auto"/>
                            <w:bottom w:val="none" w:sz="0" w:space="0" w:color="auto"/>
                            <w:right w:val="none" w:sz="0" w:space="0" w:color="auto"/>
                          </w:divBdr>
                          <w:divsChild>
                            <w:div w:id="1881356101">
                              <w:marLeft w:val="0"/>
                              <w:marRight w:val="0"/>
                              <w:marTop w:val="480"/>
                              <w:marBottom w:val="240"/>
                              <w:divBdr>
                                <w:top w:val="none" w:sz="0" w:space="0" w:color="auto"/>
                                <w:left w:val="none" w:sz="0" w:space="0" w:color="auto"/>
                                <w:bottom w:val="none" w:sz="0" w:space="0" w:color="auto"/>
                                <w:right w:val="none" w:sz="0" w:space="0" w:color="auto"/>
                              </w:divBdr>
                            </w:div>
                            <w:div w:id="16922169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8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Kasparenko@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da.Reinika@vmnvd.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EBD87-CFE7-4248-8AA4-C268B354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26</Pages>
  <Words>39140</Words>
  <Characters>22310</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kārtība”sākotnējās ietekmes novērtējuma ziņojums (anotācija)</vt:lpstr>
    </vt:vector>
  </TitlesOfParts>
  <Company>Veselības ministrija</Company>
  <LinksUpToDate>false</LinksUpToDate>
  <CharactersWithSpaces>61328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kārtība”sākotnējās ietekmes novērtējuma ziņojums (anotācija)</dc:title>
  <dc:subject>Anotācija</dc:subject>
  <dc:creator>L.Eglīte</dc:creator>
  <dc:description>Leonora Eglīte
tel.67876091
Leonora.Eglite@vm.gov.lv
Leonora.Eglite@vm.gov.lv</dc:description>
  <cp:lastModifiedBy>leglite</cp:lastModifiedBy>
  <cp:revision>12</cp:revision>
  <cp:lastPrinted>2014-11-11T09:58:00Z</cp:lastPrinted>
  <dcterms:created xsi:type="dcterms:W3CDTF">2014-12-17T11:17:00Z</dcterms:created>
  <dcterms:modified xsi:type="dcterms:W3CDTF">2014-12-18T09:32:00Z</dcterms:modified>
</cp:coreProperties>
</file>