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41" w:rsidRPr="00F67057" w:rsidRDefault="00BE09F3" w:rsidP="00B63149">
      <w:pPr>
        <w:jc w:val="center"/>
        <w:rPr>
          <w:b/>
          <w:sz w:val="28"/>
          <w:szCs w:val="28"/>
        </w:rPr>
      </w:pPr>
      <w:bookmarkStart w:id="0" w:name="OLE_LINK1"/>
      <w:bookmarkStart w:id="1" w:name="OLE_LINK2"/>
      <w:bookmarkStart w:id="2" w:name="OLE_LINK9"/>
      <w:bookmarkStart w:id="3" w:name="OLE_LINK3"/>
      <w:bookmarkStart w:id="4" w:name="OLE_LINK4"/>
      <w:bookmarkStart w:id="5" w:name="OLE_LINK7"/>
      <w:r w:rsidRPr="00F67057">
        <w:rPr>
          <w:b/>
          <w:bCs/>
          <w:sz w:val="28"/>
          <w:szCs w:val="28"/>
        </w:rPr>
        <w:t xml:space="preserve">Ministru kabineta noteikumu projekta </w:t>
      </w:r>
      <w:r w:rsidR="004F6013" w:rsidRPr="00F67057">
        <w:rPr>
          <w:b/>
          <w:bCs/>
          <w:sz w:val="28"/>
          <w:szCs w:val="28"/>
        </w:rPr>
        <w:t>„</w:t>
      </w:r>
      <w:bookmarkStart w:id="6" w:name="OLE_LINK27"/>
      <w:bookmarkStart w:id="7" w:name="OLE_LINK26"/>
      <w:r w:rsidR="00B63149" w:rsidRPr="00F67057">
        <w:rPr>
          <w:b/>
          <w:bCs/>
          <w:sz w:val="28"/>
          <w:szCs w:val="28"/>
        </w:rPr>
        <w:t xml:space="preserve">Grozījumi Ministru kabineta </w:t>
      </w:r>
      <w:bookmarkEnd w:id="6"/>
      <w:bookmarkEnd w:id="7"/>
      <w:r w:rsidR="00B63149" w:rsidRPr="00F67057">
        <w:rPr>
          <w:b/>
          <w:bCs/>
          <w:iCs/>
          <w:sz w:val="28"/>
          <w:szCs w:val="28"/>
        </w:rPr>
        <w:t>2009.gada 13.janvāra noteikumos Nr.44 „Noteikumi par darbības programmas „Infrastruktūra un pakalpojumi” papildinājuma 3.1.5.3.1.apakšaktivitāti „Stacionārās veselības aprūpes attīstība”””</w:t>
      </w:r>
      <w:r w:rsidRPr="00F67057">
        <w:rPr>
          <w:b/>
          <w:sz w:val="28"/>
          <w:szCs w:val="28"/>
        </w:rPr>
        <w:t xml:space="preserve"> </w:t>
      </w:r>
      <w:r w:rsidR="000746DD" w:rsidRPr="00F67057">
        <w:rPr>
          <w:b/>
          <w:sz w:val="28"/>
          <w:szCs w:val="28"/>
        </w:rPr>
        <w:t>sākotnējās ietekmes novērtējuma ziņojums (anotācija)</w:t>
      </w:r>
      <w:bookmarkEnd w:id="0"/>
      <w:bookmarkEnd w:id="1"/>
      <w:bookmarkEnd w:id="2"/>
    </w:p>
    <w:bookmarkEnd w:id="3"/>
    <w:bookmarkEnd w:id="4"/>
    <w:bookmarkEnd w:id="5"/>
    <w:p w:rsidR="001A52A1" w:rsidRPr="00F67057" w:rsidRDefault="001A52A1" w:rsidP="00B9292C">
      <w:pPr>
        <w:rPr>
          <w:i/>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23"/>
        <w:gridCol w:w="1629"/>
        <w:gridCol w:w="6939"/>
      </w:tblGrid>
      <w:tr w:rsidR="00283496" w:rsidRPr="00F67057" w:rsidTr="00283496">
        <w:tc>
          <w:tcPr>
            <w:tcW w:w="5000" w:type="pct"/>
            <w:gridSpan w:val="3"/>
            <w:tcBorders>
              <w:top w:val="single" w:sz="6" w:space="0" w:color="auto"/>
              <w:left w:val="single" w:sz="6" w:space="0" w:color="auto"/>
              <w:bottom w:val="outset" w:sz="6" w:space="0" w:color="000000"/>
              <w:right w:val="single" w:sz="6" w:space="0" w:color="auto"/>
            </w:tcBorders>
            <w:vAlign w:val="center"/>
          </w:tcPr>
          <w:p w:rsidR="00283496" w:rsidRPr="00CD063B" w:rsidRDefault="00283496" w:rsidP="00283496">
            <w:pPr>
              <w:jc w:val="center"/>
              <w:rPr>
                <w:b/>
                <w:bCs/>
                <w:sz w:val="28"/>
                <w:szCs w:val="28"/>
              </w:rPr>
            </w:pPr>
            <w:r w:rsidRPr="00CD063B">
              <w:rPr>
                <w:b/>
                <w:bCs/>
                <w:sz w:val="28"/>
                <w:szCs w:val="28"/>
              </w:rPr>
              <w:t>I. Tiesību akta projekta izstrādes nepieciešamība</w:t>
            </w:r>
          </w:p>
        </w:tc>
      </w:tr>
      <w:tr w:rsidR="00283496" w:rsidRPr="00F67057" w:rsidTr="00283496">
        <w:trPr>
          <w:trHeight w:val="2017"/>
        </w:trPr>
        <w:tc>
          <w:tcPr>
            <w:tcW w:w="235" w:type="pct"/>
            <w:tcBorders>
              <w:top w:val="outset" w:sz="6" w:space="0" w:color="000000"/>
              <w:left w:val="outset" w:sz="6" w:space="0" w:color="000000"/>
              <w:bottom w:val="outset" w:sz="6" w:space="0" w:color="000000"/>
              <w:right w:val="outset" w:sz="6" w:space="0" w:color="000000"/>
            </w:tcBorders>
          </w:tcPr>
          <w:p w:rsidR="00283496" w:rsidRPr="00F67057" w:rsidRDefault="00283496" w:rsidP="00283496">
            <w:r w:rsidRPr="00F67057">
              <w:t>1.</w:t>
            </w:r>
          </w:p>
        </w:tc>
        <w:tc>
          <w:tcPr>
            <w:tcW w:w="906" w:type="pct"/>
            <w:tcBorders>
              <w:top w:val="outset" w:sz="6" w:space="0" w:color="000000"/>
              <w:left w:val="outset" w:sz="6" w:space="0" w:color="000000"/>
              <w:bottom w:val="outset" w:sz="6" w:space="0" w:color="000000"/>
              <w:right w:val="outset" w:sz="6" w:space="0" w:color="000000"/>
            </w:tcBorders>
          </w:tcPr>
          <w:p w:rsidR="00283496" w:rsidRPr="00F67057" w:rsidRDefault="00283496" w:rsidP="00283496">
            <w:r w:rsidRPr="00F67057">
              <w:t>Pamatojums</w:t>
            </w:r>
          </w:p>
          <w:p w:rsidR="00283496" w:rsidRPr="00F67057" w:rsidRDefault="00283496" w:rsidP="00283496"/>
          <w:p w:rsidR="00283496" w:rsidRPr="00F67057" w:rsidRDefault="00283496" w:rsidP="00283496"/>
          <w:p w:rsidR="00283496" w:rsidRPr="00F67057" w:rsidRDefault="00283496" w:rsidP="00283496"/>
          <w:p w:rsidR="00283496" w:rsidRPr="00F67057" w:rsidRDefault="00283496" w:rsidP="00283496"/>
          <w:p w:rsidR="00283496" w:rsidRPr="00F67057" w:rsidRDefault="00283496" w:rsidP="00283496"/>
          <w:p w:rsidR="00283496" w:rsidRPr="00F67057" w:rsidRDefault="00283496" w:rsidP="00283496"/>
        </w:tc>
        <w:tc>
          <w:tcPr>
            <w:tcW w:w="3859" w:type="pct"/>
            <w:tcBorders>
              <w:top w:val="outset" w:sz="6" w:space="0" w:color="000000"/>
              <w:left w:val="outset" w:sz="6" w:space="0" w:color="000000"/>
              <w:bottom w:val="outset" w:sz="6" w:space="0" w:color="000000"/>
              <w:right w:val="outset" w:sz="6" w:space="0" w:color="000000"/>
            </w:tcBorders>
          </w:tcPr>
          <w:p w:rsidR="00283496" w:rsidRPr="00F67057" w:rsidRDefault="00283496" w:rsidP="00693223">
            <w:pPr>
              <w:ind w:left="136" w:right="142"/>
              <w:jc w:val="both"/>
            </w:pPr>
            <w:r w:rsidRPr="00F67057">
              <w:t xml:space="preserve">Ministru kabineta noteikumu projekts „Grozījumi Ministru kabineta 2009.gada 13.janvāra noteikumos Nr.44 „Noteikumi par darbības programmas „Infrastruktūra un pakalpojumi” papildinājuma 3.1.5.3.1.apakšaktivitāti „Stacionārās veselības aprūpes attīstība””” (turpmāk – noteikumu projekts) ir izstrādāts pamatojoties </w:t>
            </w:r>
            <w:r w:rsidR="00A90124" w:rsidRPr="00F67057">
              <w:t>uz Eiropas Savienības struktūrfondu un Kohēzijas fonda vadības likuma 18.panta 10.punktu</w:t>
            </w:r>
            <w:r w:rsidR="009E025B" w:rsidRPr="00F67057">
              <w:t xml:space="preserve"> un </w:t>
            </w:r>
            <w:proofErr w:type="spellStart"/>
            <w:r w:rsidR="00CD2DAE" w:rsidRPr="00F67057">
              <w:rPr>
                <w:i/>
              </w:rPr>
              <w:t>Euro</w:t>
            </w:r>
            <w:proofErr w:type="spellEnd"/>
            <w:r w:rsidRPr="00F67057">
              <w:t xml:space="preserve"> ieviešanas kārtības likuma 30.panta pirm</w:t>
            </w:r>
            <w:r w:rsidR="00693223" w:rsidRPr="00F67057">
              <w:t>o</w:t>
            </w:r>
            <w:r w:rsidRPr="00F67057">
              <w:t xml:space="preserve"> un ceturt</w:t>
            </w:r>
            <w:r w:rsidR="00693223" w:rsidRPr="00F67057">
              <w:t>o</w:t>
            </w:r>
            <w:r w:rsidRPr="00F67057">
              <w:t xml:space="preserve"> daļ</w:t>
            </w:r>
            <w:r w:rsidR="00693223" w:rsidRPr="00F67057">
              <w:t>u</w:t>
            </w:r>
            <w:r w:rsidRPr="00F67057">
              <w:t xml:space="preserve"> un 32.pant</w:t>
            </w:r>
            <w:r w:rsidR="00693223" w:rsidRPr="00F67057">
              <w:t>u, kā arī</w:t>
            </w:r>
            <w:r w:rsidRPr="00F67057">
              <w:t xml:space="preserve"> saskaņā ar Ministru kabineta 2012.gada 27.jūnija rīkojuma Nr.282 „Par „Koncepciju par normatīvo aktu sakārtošanu saistībā ar eiro ieviešanu Latvijā”” (turpmāk – eiro ieviešanas koncepcija) 7.2.apakšpunktā</w:t>
            </w:r>
            <w:r w:rsidR="00693223" w:rsidRPr="00F67057">
              <w:t>,</w:t>
            </w:r>
            <w:r w:rsidRPr="00F67057">
              <w:t xml:space="preserve">  Latvijas Nacionālā</w:t>
            </w:r>
            <w:r w:rsidRPr="00F67057">
              <w:rPr>
                <w:i/>
              </w:rPr>
              <w:t xml:space="preserve"> </w:t>
            </w:r>
            <w:proofErr w:type="spellStart"/>
            <w:r w:rsidR="00CD2DAE" w:rsidRPr="00F67057">
              <w:rPr>
                <w:i/>
              </w:rPr>
              <w:t>euro</w:t>
            </w:r>
            <w:proofErr w:type="spellEnd"/>
            <w:r w:rsidRPr="00F67057">
              <w:t xml:space="preserve"> ieviešanas plāna (apstiprināts ar Ministru kabineta 2013.gada 4.aprīļa rīkojumu Nr.136) 1.pielikuma J2.2.3 apakšpunktā </w:t>
            </w:r>
            <w:r w:rsidR="00693223" w:rsidRPr="00F67057">
              <w:t>un</w:t>
            </w:r>
            <w:r w:rsidRPr="00F67057">
              <w:t xml:space="preserve"> 2013.gada 29.maija Ministru kabineta rīkojum</w:t>
            </w:r>
            <w:r w:rsidR="00693223" w:rsidRPr="00F67057">
              <w:t>a</w:t>
            </w:r>
            <w:r w:rsidR="00C00BB6" w:rsidRPr="00F67057">
              <w:t xml:space="preserve"> Nr.</w:t>
            </w:r>
            <w:r w:rsidRPr="00F67057">
              <w:t>212 „Par tiesību akt</w:t>
            </w:r>
            <w:r w:rsidR="009E025B" w:rsidRPr="00F67057">
              <w:t xml:space="preserve">u grozījumu virzību saistībā ar </w:t>
            </w:r>
            <w:proofErr w:type="spellStart"/>
            <w:r w:rsidR="00CD2DAE" w:rsidRPr="00F67057">
              <w:rPr>
                <w:i/>
              </w:rPr>
              <w:t>euro</w:t>
            </w:r>
            <w:proofErr w:type="spellEnd"/>
            <w:r w:rsidRPr="00F67057">
              <w:t xml:space="preserve"> ieviešanu Latvijā”</w:t>
            </w:r>
            <w:r w:rsidR="00693223" w:rsidRPr="00F67057">
              <w:t xml:space="preserve"> 1.8.apakšpunktā noteikto</w:t>
            </w:r>
            <w:r w:rsidRPr="00F67057">
              <w:t>.</w:t>
            </w:r>
            <w:r w:rsidRPr="00F67057">
              <w:tab/>
            </w:r>
          </w:p>
        </w:tc>
      </w:tr>
      <w:tr w:rsidR="00283496" w:rsidRPr="00F67057" w:rsidTr="00283496">
        <w:trPr>
          <w:trHeight w:val="664"/>
        </w:trPr>
        <w:tc>
          <w:tcPr>
            <w:tcW w:w="235" w:type="pct"/>
            <w:tcBorders>
              <w:top w:val="outset" w:sz="6" w:space="0" w:color="000000"/>
              <w:left w:val="outset" w:sz="6" w:space="0" w:color="000000"/>
              <w:bottom w:val="outset" w:sz="6" w:space="0" w:color="000000"/>
              <w:right w:val="outset" w:sz="6" w:space="0" w:color="000000"/>
            </w:tcBorders>
          </w:tcPr>
          <w:p w:rsidR="00283496" w:rsidRPr="00F67057" w:rsidRDefault="00283496" w:rsidP="00283496">
            <w:r w:rsidRPr="00F67057">
              <w:t>2.</w:t>
            </w:r>
          </w:p>
        </w:tc>
        <w:tc>
          <w:tcPr>
            <w:tcW w:w="906" w:type="pct"/>
            <w:tcBorders>
              <w:top w:val="outset" w:sz="6" w:space="0" w:color="000000"/>
              <w:left w:val="outset" w:sz="6" w:space="0" w:color="000000"/>
              <w:bottom w:val="outset" w:sz="6" w:space="0" w:color="000000"/>
              <w:right w:val="outset" w:sz="6" w:space="0" w:color="000000"/>
            </w:tcBorders>
          </w:tcPr>
          <w:p w:rsidR="00283496" w:rsidRPr="00F67057" w:rsidRDefault="00283496" w:rsidP="00283496">
            <w:r w:rsidRPr="00F67057">
              <w:t>Pašreizējā situācija un problēmas, kuru risināšanai tiesību akta projekts izstrādāts, tiesiskā regulējuma mērķis un būtība</w:t>
            </w:r>
          </w:p>
        </w:tc>
        <w:tc>
          <w:tcPr>
            <w:tcW w:w="3859" w:type="pct"/>
            <w:tcBorders>
              <w:top w:val="outset" w:sz="6" w:space="0" w:color="000000"/>
              <w:left w:val="outset" w:sz="6" w:space="0" w:color="000000"/>
              <w:bottom w:val="outset" w:sz="6" w:space="0" w:color="000000"/>
              <w:right w:val="outset" w:sz="6" w:space="0" w:color="000000"/>
            </w:tcBorders>
            <w:vAlign w:val="center"/>
          </w:tcPr>
          <w:p w:rsidR="009C4B63" w:rsidRPr="00F67057" w:rsidRDefault="009C4B63" w:rsidP="009C4B63">
            <w:pPr>
              <w:pStyle w:val="tv2131"/>
              <w:spacing w:line="240" w:lineRule="auto"/>
              <w:ind w:left="75" w:right="142" w:firstLine="0"/>
              <w:jc w:val="both"/>
              <w:rPr>
                <w:color w:val="auto"/>
                <w:sz w:val="24"/>
                <w:szCs w:val="24"/>
                <w:lang w:val="lv-LV"/>
              </w:rPr>
            </w:pPr>
            <w:r w:rsidRPr="00F67057">
              <w:rPr>
                <w:color w:val="auto"/>
                <w:sz w:val="24"/>
                <w:szCs w:val="24"/>
                <w:lang w:val="lv-LV"/>
              </w:rPr>
              <w:t>Saskaņā ar 2009.gada 13.janvāra Ministru kabineta noteikumu Nr.44 „Noteikumi par darbības programmas „Infrastruktūra un pakalpojumi” papildinājuma 3.1.5.3.1.apakšaktivitāti „Stacionārās veselības aprūpes attīstība””” (turpmāk – MK noteikumi Nr.44)</w:t>
            </w:r>
            <w:r w:rsidRPr="00F67057">
              <w:rPr>
                <w:color w:val="auto"/>
                <w:lang w:val="lv-LV"/>
              </w:rPr>
              <w:t xml:space="preserve"> </w:t>
            </w:r>
            <w:r w:rsidRPr="00F67057">
              <w:rPr>
                <w:color w:val="auto"/>
                <w:sz w:val="24"/>
                <w:szCs w:val="24"/>
                <w:lang w:val="lv-LV"/>
              </w:rPr>
              <w:t>29.</w:t>
            </w:r>
            <w:r w:rsidRPr="00F67057">
              <w:rPr>
                <w:color w:val="auto"/>
                <w:sz w:val="24"/>
                <w:szCs w:val="24"/>
                <w:vertAlign w:val="superscript"/>
                <w:lang w:val="lv-LV"/>
              </w:rPr>
              <w:t xml:space="preserve">2 </w:t>
            </w:r>
            <w:r w:rsidRPr="00F67057">
              <w:rPr>
                <w:color w:val="auto"/>
                <w:sz w:val="24"/>
                <w:szCs w:val="24"/>
                <w:lang w:val="lv-LV"/>
              </w:rPr>
              <w:t>punktu finansējuma saņēmējs aprēķina infrastruktūras izmantošanas proporciju atbalstāmajām darbībām un piemēro to projekta kopējam finansējumam, nosakot publiskā un privātā finansējuma apmēru. Atbilstoši MK noteikumu Nr.44 29.</w:t>
            </w:r>
            <w:r w:rsidRPr="00F67057">
              <w:rPr>
                <w:color w:val="auto"/>
                <w:sz w:val="24"/>
                <w:szCs w:val="24"/>
                <w:vertAlign w:val="superscript"/>
                <w:lang w:val="lv-LV"/>
              </w:rPr>
              <w:t xml:space="preserve">6 </w:t>
            </w:r>
            <w:r w:rsidRPr="00F67057">
              <w:rPr>
                <w:color w:val="auto"/>
                <w:sz w:val="24"/>
                <w:szCs w:val="24"/>
                <w:lang w:val="lv-LV"/>
              </w:rPr>
              <w:t xml:space="preserve">punktam finansējuma saņēmējam jānodrošina pārmērīgas kompensācijas novēršanu gadījumā, ja infrastruktūras izmantošanas proporcijas aprēķina rezultātā tiek konstatēts, ka aprēķinātais projekta kopējais publisko izmaksu maksimālais apmērs ir mazāks par piešķirto kopējo publisko izmaksu maksimālo apmēru. </w:t>
            </w:r>
          </w:p>
          <w:p w:rsidR="009C4B63" w:rsidRPr="00F67057" w:rsidRDefault="009C4B63" w:rsidP="009C4B63">
            <w:pPr>
              <w:pStyle w:val="tv2131"/>
              <w:spacing w:line="240" w:lineRule="auto"/>
              <w:ind w:left="75" w:right="142" w:firstLine="0"/>
              <w:jc w:val="both"/>
              <w:rPr>
                <w:color w:val="auto"/>
                <w:sz w:val="24"/>
                <w:szCs w:val="24"/>
                <w:lang w:val="lv-LV"/>
              </w:rPr>
            </w:pPr>
            <w:r w:rsidRPr="00F67057">
              <w:rPr>
                <w:color w:val="auto"/>
                <w:sz w:val="24"/>
                <w:szCs w:val="24"/>
                <w:lang w:val="lv-LV"/>
              </w:rPr>
              <w:t xml:space="preserve">Lai novērstu pārmērīgo kompensāciju finansējuma saņēmējs atbilstoši Veselības ministrijas apstiprinātai metodikai </w:t>
            </w:r>
            <w:r w:rsidRPr="00F67057">
              <w:rPr>
                <w:i/>
                <w:color w:val="auto"/>
                <w:sz w:val="24"/>
                <w:szCs w:val="24"/>
                <w:lang w:val="lv-LV"/>
              </w:rPr>
              <w:t>„Infrastruktūras izmantošanas valsts apmaksāto pakalpojumu sniegšanai un citu darbību veikšanai proporcijas aprēķināšanas un aprēķina iekļaušanas projekta iesnieguma veidlapā metodika”</w:t>
            </w:r>
            <w:r w:rsidRPr="00F67057">
              <w:rPr>
                <w:color w:val="auto"/>
                <w:sz w:val="24"/>
                <w:szCs w:val="24"/>
                <w:lang w:val="lv-LV"/>
              </w:rPr>
              <w:t xml:space="preserve"> var iekļaut darbības, kas atbilst MK noteikumu Nr.44 40.punktā noteiktajām infrastruktūras attīstības darbībām un kas projekta īstenošanas laikā tika finansētas no finansējuma saņēmēja privātiem līdzekļiem (pašu investīcijas, kas tika veiktas laika periodā no 2006.gada 24.oktobra līdz projekta īstenošanas termiņa beigām un kas netiek finansētas no publiskā finansējuma), bet netika iekļautas projekta iesniegumā. Attiecīgo finansējumu finansējuma saņēmējs </w:t>
            </w:r>
            <w:r w:rsidRPr="00F67057">
              <w:rPr>
                <w:color w:val="auto"/>
                <w:sz w:val="24"/>
                <w:szCs w:val="24"/>
                <w:lang w:val="lv-LV"/>
              </w:rPr>
              <w:lastRenderedPageBreak/>
              <w:t>norāda kā projekta neattiecināmās izmaksas. Palielinot projekta neattiecināmās izmaksas finansējuma saņēmējam jāievēro MK noteikumu Nr.44 52.</w:t>
            </w:r>
            <w:r w:rsidRPr="00F67057">
              <w:rPr>
                <w:color w:val="auto"/>
                <w:sz w:val="24"/>
                <w:szCs w:val="24"/>
                <w:vertAlign w:val="superscript"/>
                <w:lang w:val="lv-LV"/>
              </w:rPr>
              <w:t xml:space="preserve">1 </w:t>
            </w:r>
            <w:r w:rsidRPr="00F67057">
              <w:rPr>
                <w:color w:val="auto"/>
                <w:sz w:val="24"/>
                <w:szCs w:val="24"/>
                <w:lang w:val="lv-LV"/>
              </w:rPr>
              <w:t>punkta prasības.</w:t>
            </w:r>
          </w:p>
          <w:p w:rsidR="009C4B63" w:rsidRPr="00F67057" w:rsidRDefault="009C4B63" w:rsidP="009C4B63">
            <w:pPr>
              <w:pStyle w:val="Default"/>
              <w:ind w:left="75" w:right="142"/>
              <w:jc w:val="both"/>
              <w:rPr>
                <w:color w:val="auto"/>
              </w:rPr>
            </w:pPr>
            <w:r w:rsidRPr="00F67057">
              <w:rPr>
                <w:color w:val="auto"/>
              </w:rPr>
              <w:t xml:space="preserve">Pēc Veselības ministrijas rīcībā esošās informācijas pašu ieguldījumi tika veikti ārstniecības iestāžu remontdarbos (t.sk. inženiertīkli, komunikāciju tīkli), medicīnisko ierīču, mēbeļu un informācijas tehnoloģiju iegādē (kas nepieciešamas ārstniecības procesu nodrošināšanai un uzlabošanai), kurus šobrīd nevar iekļaut projekta neattiecināmajās izmaksās, ņemot vērā, ka neattiecināmajām izmaksām ir jābūt saistītām ar atbalstāmajām darbībām. Līdz ar to nepieciešams paplašināt MK noteikumu 40.punkta redakciju, papildinot to ar jaunu 40.13.apakšpunktu </w:t>
            </w:r>
            <w:r w:rsidRPr="00F67057">
              <w:rPr>
                <w:i/>
                <w:color w:val="auto"/>
              </w:rPr>
              <w:t>(„citas ar infrastruktūras attīstību saistītas darbības, kas nepieciešamas ārstniecības procesa nodrošināšanai un ir vērstas uz projekta mērķa sasniegšanu”</w:t>
            </w:r>
            <w:r w:rsidRPr="00F67057">
              <w:rPr>
                <w:color w:val="auto"/>
              </w:rPr>
              <w:t>), (attiecīgi noteikumu projekta 7.punkts), kas ļautu finansējuma saņēmējiem nepieciešamības gadījumā, lai novērstu pārmērīgo kompensāciju, palielināt neattiecināmās izmaksas ar pašu ieguldījumiem, ko finansējuma saņēmējs ir veicis no pašu līdzekļiem valsts pakalpojumu attīstībai, un kas ir nepieciešamas ārstniecības procesa nodrošināšanai, un ir vērstas uz projekta mērķa sasniegšanu. Finansējuma saņēmējam, ierosinot grozījumus projekta iesniegumā, individuāli tiks izvērtēta projektā iekļaujamo  neattiecināmo izmaksu atbilstība - tiks ņemts vērā vai attiecīgās izmaksas atbilst atbalstāmajām darbībām un katra konkrētā projekta mērķim (vai tās ir nepieciešamas mērķa sasniegšanai) un vai ir nepieciešamas ārstniecības procesa nodrošināšanai, tādējādi izvairoties no situācijām, kad projektā varētu tikt iekļautas izmaksas, kas nav sasaistāmas ar projekta ietvaros attīstīto infrastruktūru un atbalstāmajām darbībām.</w:t>
            </w:r>
          </w:p>
          <w:p w:rsidR="00AE415C" w:rsidRDefault="009E025B" w:rsidP="009C4B63">
            <w:pPr>
              <w:pStyle w:val="Default"/>
              <w:ind w:left="75" w:right="142"/>
              <w:jc w:val="both"/>
              <w:rPr>
                <w:color w:val="FF0000"/>
                <w:lang w:bidi="lo-LA"/>
              </w:rPr>
            </w:pPr>
            <w:r w:rsidRPr="00F67057">
              <w:rPr>
                <w:color w:val="auto"/>
              </w:rPr>
              <w:t>L</w:t>
            </w:r>
            <w:r w:rsidR="00006A21" w:rsidRPr="00F67057">
              <w:rPr>
                <w:color w:val="auto"/>
              </w:rPr>
              <w:t>ai precizētu, ka jauna</w:t>
            </w:r>
            <w:r w:rsidRPr="00F67057">
              <w:rPr>
                <w:color w:val="auto"/>
              </w:rPr>
              <w:t>s</w:t>
            </w:r>
            <w:r w:rsidR="00006A21" w:rsidRPr="00F67057">
              <w:rPr>
                <w:color w:val="auto"/>
              </w:rPr>
              <w:t xml:space="preserve"> 40.13.apakšpunktā minēt</w:t>
            </w:r>
            <w:r w:rsidRPr="00F67057">
              <w:rPr>
                <w:color w:val="auto"/>
              </w:rPr>
              <w:t>ās</w:t>
            </w:r>
            <w:r w:rsidR="00006A21" w:rsidRPr="00F67057">
              <w:rPr>
                <w:color w:val="auto"/>
              </w:rPr>
              <w:t xml:space="preserve"> atbalstāmā</w:t>
            </w:r>
            <w:r w:rsidRPr="00F67057">
              <w:rPr>
                <w:color w:val="auto"/>
              </w:rPr>
              <w:t>s</w:t>
            </w:r>
            <w:r w:rsidR="00006A21" w:rsidRPr="00F67057">
              <w:rPr>
                <w:color w:val="auto"/>
              </w:rPr>
              <w:t xml:space="preserve"> darbība</w:t>
            </w:r>
            <w:r w:rsidRPr="00F67057">
              <w:rPr>
                <w:color w:val="auto"/>
              </w:rPr>
              <w:t>s</w:t>
            </w:r>
            <w:r w:rsidR="00006A21" w:rsidRPr="00F67057">
              <w:rPr>
                <w:color w:val="auto"/>
              </w:rPr>
              <w:t xml:space="preserve"> tiek segtas tikai no finansējuma saņēmēja privātajiem līdzekļiem </w:t>
            </w:r>
            <w:r w:rsidR="00006A21" w:rsidRPr="00F67057">
              <w:rPr>
                <w:color w:val="auto"/>
                <w:lang w:bidi="lo-LA"/>
              </w:rPr>
              <w:t>(t.i., netiek finansēta no publiskā finansējuma</w:t>
            </w:r>
            <w:r w:rsidRPr="00F67057">
              <w:rPr>
                <w:color w:val="auto"/>
                <w:lang w:bidi="lo-LA"/>
              </w:rPr>
              <w:t xml:space="preserve"> līdzekļiem</w:t>
            </w:r>
            <w:r w:rsidR="00006A21" w:rsidRPr="00F67057">
              <w:rPr>
                <w:color w:val="auto"/>
                <w:lang w:bidi="lo-LA"/>
              </w:rPr>
              <w:t>)</w:t>
            </w:r>
            <w:r w:rsidR="00006A21" w:rsidRPr="00F67057">
              <w:rPr>
                <w:color w:val="auto"/>
              </w:rPr>
              <w:t xml:space="preserve"> un veido tikai neattiecināmo izmaksu summu, noteikumu projekts </w:t>
            </w:r>
            <w:r w:rsidRPr="00F67057">
              <w:rPr>
                <w:color w:val="auto"/>
                <w:lang w:bidi="lo-LA"/>
              </w:rPr>
              <w:t xml:space="preserve">papildināts ar </w:t>
            </w:r>
            <w:r w:rsidR="00C304A8" w:rsidRPr="00F67057">
              <w:rPr>
                <w:color w:val="auto"/>
                <w:lang w:bidi="lo-LA"/>
              </w:rPr>
              <w:t>50</w:t>
            </w:r>
            <w:r w:rsidR="00006A21" w:rsidRPr="00F67057">
              <w:rPr>
                <w:color w:val="auto"/>
                <w:vertAlign w:val="superscript"/>
                <w:lang w:bidi="lo-LA"/>
              </w:rPr>
              <w:t>1</w:t>
            </w:r>
            <w:r w:rsidR="00006A21" w:rsidRPr="00F67057">
              <w:rPr>
                <w:color w:val="auto"/>
                <w:lang w:bidi="lo-LA"/>
              </w:rPr>
              <w:t xml:space="preserve">.punktu, kas </w:t>
            </w:r>
            <w:r w:rsidRPr="00F67057">
              <w:rPr>
                <w:color w:val="auto"/>
                <w:lang w:bidi="lo-LA"/>
              </w:rPr>
              <w:t>konkretizē</w:t>
            </w:r>
            <w:r w:rsidR="00006A21" w:rsidRPr="00F67057">
              <w:rPr>
                <w:color w:val="auto"/>
                <w:lang w:bidi="lo-LA"/>
              </w:rPr>
              <w:t xml:space="preserve">, ka 40.13.apakšpunktā noteiktās atbalstāmās darbības tiek finansētas tikai no </w:t>
            </w:r>
            <w:r w:rsidR="00006A21" w:rsidRPr="006E0628">
              <w:rPr>
                <w:color w:val="auto"/>
                <w:lang w:bidi="lo-LA"/>
              </w:rPr>
              <w:t>neattiecināmajām izmaksām</w:t>
            </w:r>
            <w:r w:rsidRPr="006E0628">
              <w:rPr>
                <w:color w:val="auto"/>
                <w:lang w:bidi="lo-LA"/>
              </w:rPr>
              <w:t xml:space="preserve"> (attie</w:t>
            </w:r>
            <w:r w:rsidR="00C304A8" w:rsidRPr="006E0628">
              <w:rPr>
                <w:color w:val="auto"/>
                <w:lang w:bidi="lo-LA"/>
              </w:rPr>
              <w:t>cīgi noteikumu projekta 9</w:t>
            </w:r>
            <w:r w:rsidRPr="006E0628">
              <w:rPr>
                <w:color w:val="auto"/>
                <w:lang w:bidi="lo-LA"/>
              </w:rPr>
              <w:t>.punkts)</w:t>
            </w:r>
            <w:r w:rsidR="00006A21" w:rsidRPr="006E0628">
              <w:rPr>
                <w:color w:val="auto"/>
                <w:lang w:bidi="lo-LA"/>
              </w:rPr>
              <w:t>.</w:t>
            </w:r>
            <w:r w:rsidR="00276190" w:rsidRPr="006E0628">
              <w:rPr>
                <w:color w:val="auto"/>
                <w:lang w:bidi="lo-LA"/>
              </w:rPr>
              <w:t xml:space="preserve"> </w:t>
            </w:r>
            <w:r w:rsidR="007A441C" w:rsidRPr="006E0628">
              <w:rPr>
                <w:color w:val="auto"/>
              </w:rPr>
              <w:t xml:space="preserve">Paskaidrojam, ka ierosinātiem grozījumiem nav nelabvēlīgākas ietekmes uz finansējuma saņēmējiem, jo grozījumi finansējuma saņēmējam paplašina iespējas nevis nosaka pienākumus. Grozījumi būs attiecināmi no to spēkā stāšanās uz laika periodu no 2006.gada 24.oktobra (darbības programmas "Infrastruktūra un pakalpojumi" </w:t>
            </w:r>
            <w:proofErr w:type="spellStart"/>
            <w:r w:rsidR="007A441C" w:rsidRPr="006E0628">
              <w:rPr>
                <w:color w:val="auto"/>
              </w:rPr>
              <w:t>attiecināmības</w:t>
            </w:r>
            <w:proofErr w:type="spellEnd"/>
            <w:r w:rsidR="007A441C" w:rsidRPr="006E0628">
              <w:rPr>
                <w:color w:val="auto"/>
              </w:rPr>
              <w:t xml:space="preserve"> sākuma datums) un tie būs attiecināmi uz visiem projektiem, kuriem noslēgts līgums par projekta īstenošanu.</w:t>
            </w:r>
          </w:p>
          <w:p w:rsidR="009C4B63" w:rsidRPr="00F67057" w:rsidRDefault="009C4B63" w:rsidP="009C4B63">
            <w:pPr>
              <w:pStyle w:val="Default"/>
              <w:ind w:right="142"/>
              <w:jc w:val="both"/>
              <w:rPr>
                <w:color w:val="auto"/>
                <w:lang w:eastAsia="en-US"/>
              </w:rPr>
            </w:pPr>
          </w:p>
          <w:p w:rsidR="00283496" w:rsidRPr="00F67057" w:rsidRDefault="009C4B63" w:rsidP="00CF5EE5">
            <w:pPr>
              <w:pStyle w:val="Default"/>
              <w:ind w:left="75" w:right="142"/>
              <w:jc w:val="both"/>
              <w:rPr>
                <w:color w:val="auto"/>
                <w:lang w:eastAsia="en-US"/>
              </w:rPr>
            </w:pPr>
            <w:r w:rsidRPr="00F67057">
              <w:rPr>
                <w:color w:val="auto"/>
                <w:lang w:eastAsia="en-US"/>
              </w:rPr>
              <w:t xml:space="preserve">Papildus noteikumu projekta mērķis ir </w:t>
            </w:r>
            <w:r w:rsidR="00283496" w:rsidRPr="00F67057">
              <w:rPr>
                <w:color w:val="auto"/>
                <w:lang w:eastAsia="en-US"/>
              </w:rPr>
              <w:t xml:space="preserve">pielāgot </w:t>
            </w:r>
            <w:r w:rsidR="007C0F62" w:rsidRPr="00F67057">
              <w:rPr>
                <w:color w:val="auto"/>
                <w:lang w:eastAsia="en-US"/>
              </w:rPr>
              <w:t>darbības programmas „Infrastruktūra un pakalpojumi” papildinājuma 3.1.5.3.1.apakšaktivitātes „Stacionār</w:t>
            </w:r>
            <w:r w:rsidR="00F94666" w:rsidRPr="00F67057">
              <w:rPr>
                <w:color w:val="auto"/>
                <w:lang w:eastAsia="en-US"/>
              </w:rPr>
              <w:t xml:space="preserve">ās veselības aprūpes attīstība” </w:t>
            </w:r>
            <w:r w:rsidR="00FC5807" w:rsidRPr="00F67057">
              <w:rPr>
                <w:color w:val="auto"/>
                <w:lang w:eastAsia="en-US"/>
              </w:rPr>
              <w:t>(turpmāk – 3.1.5.3.1.apakšaktivitāte</w:t>
            </w:r>
            <w:r w:rsidR="00F94666" w:rsidRPr="00F67057">
              <w:rPr>
                <w:color w:val="auto"/>
                <w:lang w:eastAsia="en-US"/>
              </w:rPr>
              <w:t>)</w:t>
            </w:r>
            <w:r w:rsidR="00B13048" w:rsidRPr="00F67057">
              <w:rPr>
                <w:color w:val="auto"/>
                <w:lang w:eastAsia="en-US"/>
              </w:rPr>
              <w:t xml:space="preserve"> MK </w:t>
            </w:r>
            <w:r w:rsidRPr="00F67057">
              <w:rPr>
                <w:color w:val="auto"/>
                <w:lang w:eastAsia="en-US"/>
              </w:rPr>
              <w:t>noteikumu Nr.44 normatīvo regulējumu</w:t>
            </w:r>
            <w:r w:rsidR="007C0F62" w:rsidRPr="00F67057">
              <w:rPr>
                <w:color w:val="auto"/>
                <w:lang w:eastAsia="en-US"/>
              </w:rPr>
              <w:t xml:space="preserve"> </w:t>
            </w:r>
            <w:proofErr w:type="spellStart"/>
            <w:r w:rsidR="00CD2DAE" w:rsidRPr="00F67057">
              <w:rPr>
                <w:i/>
                <w:color w:val="auto"/>
                <w:lang w:eastAsia="en-US"/>
              </w:rPr>
              <w:t>euro</w:t>
            </w:r>
            <w:proofErr w:type="spellEnd"/>
            <w:r w:rsidR="00283496" w:rsidRPr="00F67057">
              <w:rPr>
                <w:color w:val="auto"/>
                <w:lang w:eastAsia="en-US"/>
              </w:rPr>
              <w:t xml:space="preserve"> ieviešanai, aizstājot tajā latus ar </w:t>
            </w:r>
            <w:proofErr w:type="spellStart"/>
            <w:r w:rsidR="00CD2DAE" w:rsidRPr="00F67057">
              <w:rPr>
                <w:i/>
                <w:color w:val="auto"/>
                <w:lang w:eastAsia="en-US"/>
              </w:rPr>
              <w:t>euro</w:t>
            </w:r>
            <w:proofErr w:type="spellEnd"/>
            <w:r w:rsidR="00283496" w:rsidRPr="00F67057">
              <w:rPr>
                <w:color w:val="auto"/>
                <w:lang w:eastAsia="en-US"/>
              </w:rPr>
              <w:t>.</w:t>
            </w:r>
          </w:p>
          <w:p w:rsidR="006D3A6C" w:rsidRPr="00F67057" w:rsidRDefault="00E84264" w:rsidP="00302E22">
            <w:pPr>
              <w:spacing w:before="240"/>
              <w:ind w:left="75" w:right="142"/>
              <w:jc w:val="both"/>
            </w:pPr>
            <w:r w:rsidRPr="00F67057">
              <w:lastRenderedPageBreak/>
              <w:t>MK noteikumu Nr.44</w:t>
            </w:r>
            <w:r w:rsidR="00FC5807" w:rsidRPr="00F67057">
              <w:t xml:space="preserve"> pielāgošan</w:t>
            </w:r>
            <w:r w:rsidR="00241E1A" w:rsidRPr="00F67057">
              <w:t>a</w:t>
            </w:r>
            <w:r w:rsidRPr="00F67057">
              <w:t xml:space="preserve"> </w:t>
            </w:r>
            <w:proofErr w:type="spellStart"/>
            <w:r w:rsidR="00CD2DAE" w:rsidRPr="00F67057">
              <w:rPr>
                <w:i/>
              </w:rPr>
              <w:t>euro</w:t>
            </w:r>
            <w:proofErr w:type="spellEnd"/>
            <w:r w:rsidRPr="00F67057">
              <w:t xml:space="preserve"> ieviešanai pamatojama atbilstoši Finanšu ministrijas 2013.gada 30.janvāra vēstulē Nr.11-3-01/577 „Par normatīvo aktu sakārtošanu saistībā ar eiro ieviešanu” sniegtajam viedoklim, ka attiecībā uz Eiropas Savienības fondu  aktivitāšu noteikumiem, kuri attiecas uz ES fondu projektiem, kuru īstenošana šobrīd vēl nav uzsākta vai turpinās, grozījumu nepieciešamība ir jāvērtē. Saskaņā ar </w:t>
            </w:r>
            <w:proofErr w:type="spellStart"/>
            <w:r w:rsidR="00CD2DAE" w:rsidRPr="00F67057">
              <w:rPr>
                <w:i/>
              </w:rPr>
              <w:t>euro</w:t>
            </w:r>
            <w:proofErr w:type="spellEnd"/>
            <w:r w:rsidRPr="00F67057">
              <w:t xml:space="preserve"> ieviešanas koncepcijas 7.2.apakšpunkt</w:t>
            </w:r>
            <w:r w:rsidR="00241E1A" w:rsidRPr="00F67057">
              <w:t>ā</w:t>
            </w:r>
            <w:r w:rsidRPr="00F67057">
              <w:t xml:space="preserve"> un 3.pielikuma „Latvijas Republikas Ministru kabineta noteikumi, kuros būs nepieciešami grozījumi saistībā ar eiro ieviešanu Latvijā” </w:t>
            </w:r>
            <w:r w:rsidR="00463F25" w:rsidRPr="00F67057">
              <w:t>302</w:t>
            </w:r>
            <w:r w:rsidRPr="00F67057">
              <w:t>.punktā noteikto</w:t>
            </w:r>
            <w:r w:rsidR="00FC5807" w:rsidRPr="00F67057">
              <w:t>,</w:t>
            </w:r>
            <w:r w:rsidRPr="00F67057">
              <w:t xml:space="preserve"> grozījumi MK noteikumos Nr.</w:t>
            </w:r>
            <w:r w:rsidR="00463F25" w:rsidRPr="00F67057">
              <w:t>44</w:t>
            </w:r>
            <w:r w:rsidRPr="00F67057">
              <w:t xml:space="preserve"> ir norādīti kā grozījumi, kas nav būtiski tiesiskās noteiktības nodrošināšanai,</w:t>
            </w:r>
            <w:r w:rsidR="00241E1A" w:rsidRPr="00F67057">
              <w:t xml:space="preserve"> līdz ar to</w:t>
            </w:r>
            <w:r w:rsidRPr="00F67057">
              <w:t xml:space="preserve"> </w:t>
            </w:r>
            <w:r w:rsidR="00241E1A" w:rsidRPr="00F67057">
              <w:t xml:space="preserve">minētos noteikumus </w:t>
            </w:r>
            <w:r w:rsidRPr="00F67057">
              <w:t xml:space="preserve">nepieciešams </w:t>
            </w:r>
            <w:r w:rsidR="00241E1A" w:rsidRPr="00F67057">
              <w:t xml:space="preserve">noteiktā kārtībā iesniegt Ministru kabinetā </w:t>
            </w:r>
            <w:r w:rsidRPr="00F67057">
              <w:t xml:space="preserve">līdz 2016.gada 1.jūlijam. </w:t>
            </w:r>
          </w:p>
          <w:p w:rsidR="00E00A8F" w:rsidRPr="00F67057" w:rsidRDefault="006D3A6C" w:rsidP="00302E22">
            <w:pPr>
              <w:spacing w:before="240"/>
              <w:ind w:left="75" w:right="142"/>
              <w:jc w:val="both"/>
            </w:pPr>
            <w:r w:rsidRPr="00F67057">
              <w:t xml:space="preserve">Noteikumu projekts paredz konvertēt MK noteikumos Nr.44 norādītās summas no latiem uz </w:t>
            </w:r>
            <w:proofErr w:type="spellStart"/>
            <w:r w:rsidR="00CD2DAE" w:rsidRPr="00F67057">
              <w:rPr>
                <w:i/>
              </w:rPr>
              <w:t>euro</w:t>
            </w:r>
            <w:proofErr w:type="spellEnd"/>
            <w:r w:rsidRPr="00F67057">
              <w:t xml:space="preserve"> atbilstoši </w:t>
            </w:r>
            <w:proofErr w:type="spellStart"/>
            <w:r w:rsidR="00CD2DAE" w:rsidRPr="00F67057">
              <w:rPr>
                <w:i/>
              </w:rPr>
              <w:t>Euro</w:t>
            </w:r>
            <w:proofErr w:type="spellEnd"/>
            <w:r w:rsidRPr="00F67057">
              <w:t xml:space="preserve"> ieviešanas kārtības likumam un Eiropas Savienības Padomes noteiktajam valūtas maiņas kursam, t.i., 1 </w:t>
            </w:r>
            <w:proofErr w:type="spellStart"/>
            <w:r w:rsidR="00CD2DAE" w:rsidRPr="00F67057">
              <w:rPr>
                <w:i/>
              </w:rPr>
              <w:t>euro</w:t>
            </w:r>
            <w:proofErr w:type="spellEnd"/>
            <w:r w:rsidRPr="00F67057">
              <w:t xml:space="preserve"> ir 0,702804 lati,  ievērojot, ka pārrēķins veikts privātpersonai par labu.</w:t>
            </w:r>
          </w:p>
          <w:p w:rsidR="006D3A6C" w:rsidRPr="00F67057" w:rsidRDefault="00356F91" w:rsidP="00E857FC">
            <w:pPr>
              <w:spacing w:before="240"/>
              <w:ind w:left="75" w:right="142"/>
              <w:jc w:val="both"/>
            </w:pPr>
            <w:r w:rsidRPr="00F67057">
              <w:t xml:space="preserve">MK noteikumu Nr.44 5.1., 5.2. 5.3.apakšpunktos un 1.pielikumā norādītās naudas summas ir konvertētas uz </w:t>
            </w:r>
            <w:proofErr w:type="spellStart"/>
            <w:r w:rsidR="00CD2DAE" w:rsidRPr="00F67057">
              <w:rPr>
                <w:i/>
              </w:rPr>
              <w:t>euro</w:t>
            </w:r>
            <w:proofErr w:type="spellEnd"/>
            <w:r w:rsidRPr="00F67057">
              <w:t xml:space="preserve"> atbilstoši </w:t>
            </w:r>
            <w:proofErr w:type="spellStart"/>
            <w:r w:rsidR="00CD2DAE" w:rsidRPr="00F67057">
              <w:rPr>
                <w:i/>
              </w:rPr>
              <w:t>Euro</w:t>
            </w:r>
            <w:proofErr w:type="spellEnd"/>
            <w:r w:rsidRPr="00F67057">
              <w:t xml:space="preserve"> ieviešanas kārtības likuma 6.pantam</w:t>
            </w:r>
            <w:r w:rsidR="003B5B47" w:rsidRPr="00F67057">
              <w:t>, kā arī</w:t>
            </w:r>
            <w:r w:rsidRPr="00F67057">
              <w:t xml:space="preserve"> (noteikumu projekta </w:t>
            </w:r>
            <w:r w:rsidR="00BB5AD0" w:rsidRPr="00F67057">
              <w:t>1. un 10</w:t>
            </w:r>
            <w:r w:rsidRPr="00F67057">
              <w:t>.punkts).</w:t>
            </w:r>
            <w:r w:rsidR="003B5B47" w:rsidRPr="00F67057">
              <w:t xml:space="preserve"> 1.pielikuma konvertēto skaitļu kopsumma tiek iegūta summējot jau konvertētās starpsummas.</w:t>
            </w:r>
          </w:p>
          <w:p w:rsidR="00356F91" w:rsidRPr="00F67057" w:rsidRDefault="00356F91" w:rsidP="00E857FC">
            <w:pPr>
              <w:spacing w:before="240" w:after="120"/>
              <w:ind w:left="75" w:right="142"/>
              <w:jc w:val="both"/>
            </w:pPr>
            <w:r w:rsidRPr="00F67057">
              <w:t xml:space="preserve">MK noteikumu Nr.44 1.pielikumā noteikto latu summu konvertācija tika salīdzināta ar šo summu izteiksmēm </w:t>
            </w:r>
            <w:proofErr w:type="spellStart"/>
            <w:r w:rsidR="00CD2DAE" w:rsidRPr="00F67057">
              <w:rPr>
                <w:i/>
              </w:rPr>
              <w:t>euro</w:t>
            </w:r>
            <w:proofErr w:type="spellEnd"/>
            <w:r w:rsidRPr="00F67057">
              <w:t xml:space="preserve"> atbilstoši ES fondu Vienotās informācijas sistēmā (turpmāk – VIS) Centrālās finanšu un līgumu aģentūras ievadītajiem datiem, un skaidrojam, ka MK noteikumu Nr.44 1.pielikumā norādītās projektu, kuriem identificētas neatbilstības, summas vietām nesakrīt ar VIS norādītajām summām, jo neatbilstību apjomi regulāri mainās – neatbilstības tiek anulētas vai finanšu korekciju procentuālie apjomi tiek samazināti</w:t>
            </w:r>
            <w:r w:rsidR="00066554" w:rsidRPr="00F67057">
              <w:t xml:space="preserve">, </w:t>
            </w:r>
            <w:r w:rsidR="00AC5356" w:rsidRPr="00F67057">
              <w:t xml:space="preserve">kā arī </w:t>
            </w:r>
            <w:r w:rsidR="00066554" w:rsidRPr="00F67057">
              <w:rPr>
                <w:lang w:eastAsia="lv-LV"/>
              </w:rPr>
              <w:t>sākot ar 2012.gada 8.maiju projektu ietvaros neatbilstoši veiktie izdevumi netiek novirzīti citu ES fonda projektu īstenošanai</w:t>
            </w:r>
            <w:r w:rsidR="00AC5356" w:rsidRPr="00F67057">
              <w:t xml:space="preserve">. Papildus </w:t>
            </w:r>
            <w:r w:rsidR="00066554" w:rsidRPr="00F67057">
              <w:t>skaidrojam, ka MK noteikumu Nr.44 1.pielikums nosaka iestādei</w:t>
            </w:r>
            <w:r w:rsidR="00AC5356" w:rsidRPr="00F67057">
              <w:t xml:space="preserve"> maksimāli</w:t>
            </w:r>
            <w:r w:rsidR="00066554" w:rsidRPr="00F67057">
              <w:t xml:space="preserve"> pieejamo finansējum</w:t>
            </w:r>
            <w:r w:rsidR="00AC5356" w:rsidRPr="00F67057">
              <w:t>u, līdz ar to</w:t>
            </w:r>
            <w:r w:rsidR="00066554" w:rsidRPr="00F67057">
              <w:t xml:space="preserve"> faktiskais projekta finansējums, kas norādīts VIS</w:t>
            </w:r>
            <w:r w:rsidR="00AC5356" w:rsidRPr="00F67057">
              <w:t>,</w:t>
            </w:r>
            <w:r w:rsidR="00066554" w:rsidRPr="00F67057">
              <w:t xml:space="preserve"> var </w:t>
            </w:r>
            <w:r w:rsidR="00AC5356" w:rsidRPr="00F67057">
              <w:t>būt atšķirīgs</w:t>
            </w:r>
            <w:r w:rsidR="00066554" w:rsidRPr="00F67057">
              <w:t>.</w:t>
            </w:r>
            <w:r w:rsidR="003B5B47" w:rsidRPr="00F67057">
              <w:t xml:space="preserve"> </w:t>
            </w:r>
          </w:p>
          <w:p w:rsidR="006D3A6C" w:rsidRPr="00F67057" w:rsidRDefault="007D1DEB" w:rsidP="00E857FC">
            <w:pPr>
              <w:spacing w:before="240"/>
              <w:ind w:left="75" w:right="142"/>
              <w:jc w:val="both"/>
            </w:pPr>
            <w:r w:rsidRPr="00F67057">
              <w:t>MK noteikumu Nr.44 23.1., 23.2., 23.2.</w:t>
            </w:r>
            <w:r w:rsidRPr="00F67057">
              <w:rPr>
                <w:vertAlign w:val="superscript"/>
              </w:rPr>
              <w:t>1</w:t>
            </w:r>
            <w:r w:rsidR="00302E22" w:rsidRPr="00F67057">
              <w:t xml:space="preserve">., </w:t>
            </w:r>
            <w:r w:rsidRPr="00F67057">
              <w:t>46.2. un 46.</w:t>
            </w:r>
            <w:r w:rsidRPr="00F67057">
              <w:rPr>
                <w:vertAlign w:val="superscript"/>
              </w:rPr>
              <w:t>1</w:t>
            </w:r>
            <w:r w:rsidRPr="00F67057">
              <w:t xml:space="preserve">2. apakšpunktos norādītās summas konvertētas </w:t>
            </w:r>
            <w:proofErr w:type="spellStart"/>
            <w:r w:rsidR="00CD2DAE" w:rsidRPr="00F67057">
              <w:rPr>
                <w:i/>
              </w:rPr>
              <w:t>euro</w:t>
            </w:r>
            <w:proofErr w:type="spellEnd"/>
            <w:r w:rsidRPr="00F67057">
              <w:t xml:space="preserve"> atbilstoši </w:t>
            </w:r>
            <w:proofErr w:type="spellStart"/>
            <w:r w:rsidR="00CD2DAE" w:rsidRPr="00F67057">
              <w:rPr>
                <w:i/>
              </w:rPr>
              <w:t>Euro</w:t>
            </w:r>
            <w:proofErr w:type="spellEnd"/>
            <w:r w:rsidRPr="00F67057">
              <w:t xml:space="preserve"> ieviešanas kārtības likuma 32.panta</w:t>
            </w:r>
            <w:r w:rsidR="005C68D5" w:rsidRPr="00F67057">
              <w:t xml:space="preserve"> </w:t>
            </w:r>
            <w:r w:rsidR="009E7D7D" w:rsidRPr="00F67057">
              <w:t xml:space="preserve">otrās daļas 2.punkta </w:t>
            </w:r>
            <w:r w:rsidR="005C68D5" w:rsidRPr="00F67057">
              <w:t xml:space="preserve">principiem, ievērojot, ka pārrēķins veikts līdz veselam </w:t>
            </w:r>
            <w:proofErr w:type="spellStart"/>
            <w:r w:rsidR="00CD2DAE" w:rsidRPr="00F67057">
              <w:rPr>
                <w:i/>
              </w:rPr>
              <w:t>euro</w:t>
            </w:r>
            <w:proofErr w:type="spellEnd"/>
            <w:r w:rsidR="005C68D5" w:rsidRPr="00F67057">
              <w:t xml:space="preserve"> privātpersonai par labu un netiek radīta vērā ņemama negatīva ietekme uz valsts budžetu (noteikum</w:t>
            </w:r>
            <w:r w:rsidR="00C304A8" w:rsidRPr="00F67057">
              <w:t>u projekta 2., 3., 4. un 8</w:t>
            </w:r>
            <w:r w:rsidR="005C68D5" w:rsidRPr="00F67057">
              <w:t xml:space="preserve">.punkts). </w:t>
            </w:r>
          </w:p>
          <w:p w:rsidR="00F94666" w:rsidRPr="00F67057" w:rsidRDefault="00E00A8F" w:rsidP="00E857FC">
            <w:pPr>
              <w:spacing w:before="240" w:after="120"/>
              <w:ind w:left="75" w:right="142"/>
              <w:jc w:val="both"/>
            </w:pPr>
            <w:r w:rsidRPr="00F67057">
              <w:t>MK noteikumu Nr.44 2.pielikuma 2.13.</w:t>
            </w:r>
            <w:r w:rsidR="00883CA7" w:rsidRPr="00F67057">
              <w:t xml:space="preserve">, </w:t>
            </w:r>
            <w:r w:rsidRPr="00F67057">
              <w:t>2.14.</w:t>
            </w:r>
            <w:r w:rsidR="00883CA7" w:rsidRPr="00F67057">
              <w:t xml:space="preserve"> un 3.9.apakšpunkt</w:t>
            </w:r>
            <w:r w:rsidR="009E7D7D" w:rsidRPr="00F67057">
              <w:t>os</w:t>
            </w:r>
            <w:r w:rsidR="00883CA7" w:rsidRPr="00F67057">
              <w:t xml:space="preserve"> </w:t>
            </w:r>
            <w:r w:rsidR="009E7D7D" w:rsidRPr="00F67057">
              <w:lastRenderedPageBreak/>
              <w:t xml:space="preserve">norādītās summas konvertētas </w:t>
            </w:r>
            <w:proofErr w:type="spellStart"/>
            <w:r w:rsidR="00CD2DAE" w:rsidRPr="00F67057">
              <w:rPr>
                <w:i/>
              </w:rPr>
              <w:t>euro</w:t>
            </w:r>
            <w:proofErr w:type="spellEnd"/>
            <w:r w:rsidR="009E7D7D" w:rsidRPr="00F67057">
              <w:rPr>
                <w:i/>
              </w:rPr>
              <w:t xml:space="preserve"> </w:t>
            </w:r>
            <w:r w:rsidR="009E7D7D" w:rsidRPr="00F67057">
              <w:t xml:space="preserve">atbilstoši </w:t>
            </w:r>
            <w:proofErr w:type="spellStart"/>
            <w:r w:rsidR="00CD2DAE" w:rsidRPr="00F67057">
              <w:rPr>
                <w:i/>
              </w:rPr>
              <w:t>Euro</w:t>
            </w:r>
            <w:proofErr w:type="spellEnd"/>
            <w:r w:rsidR="009E7D7D" w:rsidRPr="00F67057">
              <w:rPr>
                <w:i/>
              </w:rPr>
              <w:t xml:space="preserve"> </w:t>
            </w:r>
            <w:r w:rsidR="009E7D7D" w:rsidRPr="00F67057">
              <w:t xml:space="preserve">ieviešanas kārtības likuma 32.panta principiem, ievērojot minēta panta ceturtajā daļā noteikto prasību attiecībā uz intervāla nepārtrauktību, kā arī ievērojot, ka pārrēķins veikts līdz veselam </w:t>
            </w:r>
            <w:proofErr w:type="spellStart"/>
            <w:r w:rsidR="00CD2DAE" w:rsidRPr="00F67057">
              <w:rPr>
                <w:i/>
              </w:rPr>
              <w:t>euro</w:t>
            </w:r>
            <w:proofErr w:type="spellEnd"/>
            <w:r w:rsidR="009E7D7D" w:rsidRPr="00F67057">
              <w:rPr>
                <w:i/>
              </w:rPr>
              <w:t xml:space="preserve"> </w:t>
            </w:r>
            <w:r w:rsidR="009E7D7D" w:rsidRPr="00F67057">
              <w:t>privātpersonai par labu un netiek radīta vērā ņemama negatīva ietekme uz valst</w:t>
            </w:r>
            <w:r w:rsidR="00730693" w:rsidRPr="00F67057">
              <w:t>s budžetu (noteikumu projekta 13. un 14</w:t>
            </w:r>
            <w:r w:rsidR="009E7D7D" w:rsidRPr="00F67057">
              <w:t xml:space="preserve">.punkts). </w:t>
            </w:r>
            <w:bookmarkStart w:id="8" w:name="_GoBack"/>
            <w:bookmarkEnd w:id="8"/>
          </w:p>
          <w:p w:rsidR="00F94666" w:rsidRPr="00F67057" w:rsidRDefault="00FC5807" w:rsidP="00EF66BB">
            <w:pPr>
              <w:spacing w:after="120"/>
              <w:ind w:left="75" w:right="142"/>
              <w:jc w:val="both"/>
            </w:pPr>
            <w:r w:rsidRPr="00F67057">
              <w:t>P</w:t>
            </w:r>
            <w:r w:rsidR="00F94666" w:rsidRPr="00F67057">
              <w:t>ašreiz spēkā esoš</w:t>
            </w:r>
            <w:r w:rsidR="009E7D7D" w:rsidRPr="00F67057">
              <w:t>o</w:t>
            </w:r>
            <w:r w:rsidR="00F94666" w:rsidRPr="00F67057">
              <w:t xml:space="preserve"> MK noteikumu Nr.44 5.punkt</w:t>
            </w:r>
            <w:r w:rsidR="009E7D7D" w:rsidRPr="00F67057">
              <w:t>s</w:t>
            </w:r>
            <w:r w:rsidR="00F94666" w:rsidRPr="00F67057">
              <w:t xml:space="preserve"> nosaka Eiropas Savienības struktūrfondu plānošanas dokumentā darbības programmas „Infrastruktūra un pakalpojumi” papildinājumā (turpmāk – DPP) noteikto 3.1.5.3.1.</w:t>
            </w:r>
            <w:r w:rsidR="001D4857" w:rsidRPr="00F67057">
              <w:t>apakš</w:t>
            </w:r>
            <w:r w:rsidR="00F94666" w:rsidRPr="00F67057">
              <w:t>aktivitāt</w:t>
            </w:r>
            <w:r w:rsidR="003040AC" w:rsidRPr="00F67057">
              <w:t>ei</w:t>
            </w:r>
            <w:r w:rsidR="00F94666" w:rsidRPr="00F67057">
              <w:t xml:space="preserve"> pieejamo finansējumu latos. DPP šī</w:t>
            </w:r>
            <w:r w:rsidRPr="00F67057">
              <w:t>s</w:t>
            </w:r>
            <w:r w:rsidR="00F94666" w:rsidRPr="00F67057">
              <w:t xml:space="preserve"> summa</w:t>
            </w:r>
            <w:r w:rsidRPr="00F67057">
              <w:t>s</w:t>
            </w:r>
            <w:r w:rsidR="00F94666" w:rsidRPr="00F67057">
              <w:t xml:space="preserve"> ir noteiktas </w:t>
            </w:r>
            <w:proofErr w:type="spellStart"/>
            <w:r w:rsidR="00CD2DAE" w:rsidRPr="00F67057">
              <w:rPr>
                <w:i/>
              </w:rPr>
              <w:t>euro</w:t>
            </w:r>
            <w:proofErr w:type="spellEnd"/>
            <w:r w:rsidR="00F94666" w:rsidRPr="00F67057">
              <w:t>, tād</w:t>
            </w:r>
            <w:r w:rsidR="009E7D7D" w:rsidRPr="00F67057">
              <w:t>ē</w:t>
            </w:r>
            <w:r w:rsidR="00F94666" w:rsidRPr="00F67057">
              <w:t>jādi ar šo noteikumu projektu nepieciešams pārņemt DPP noteikto 3.1.5.3.1.</w:t>
            </w:r>
            <w:r w:rsidRPr="00F67057">
              <w:t>apakš</w:t>
            </w:r>
            <w:r w:rsidR="00A237C6" w:rsidRPr="00F67057">
              <w:t xml:space="preserve">aktivitātes finansējumu </w:t>
            </w:r>
            <w:proofErr w:type="spellStart"/>
            <w:r w:rsidR="00CD2DAE" w:rsidRPr="00F67057">
              <w:rPr>
                <w:i/>
              </w:rPr>
              <w:t>euro</w:t>
            </w:r>
            <w:proofErr w:type="spellEnd"/>
            <w:r w:rsidR="00A237C6" w:rsidRPr="00F67057">
              <w:t xml:space="preserve"> </w:t>
            </w:r>
            <w:r w:rsidRPr="00F67057">
              <w:t>(</w:t>
            </w:r>
            <w:r w:rsidR="00F94666" w:rsidRPr="00F67057">
              <w:t>noteikumu projekta 1.punktu</w:t>
            </w:r>
            <w:r w:rsidRPr="00F67057">
              <w:t>)</w:t>
            </w:r>
            <w:r w:rsidR="00F94666" w:rsidRPr="00F67057">
              <w:t xml:space="preserve">. </w:t>
            </w:r>
            <w:r w:rsidR="00F84DDB" w:rsidRPr="00F67057">
              <w:t>T</w:t>
            </w:r>
            <w:r w:rsidR="00F94666" w:rsidRPr="00F67057">
              <w:t xml:space="preserve">āpat </w:t>
            </w:r>
            <w:r w:rsidR="00F84DDB" w:rsidRPr="00F67057">
              <w:t>MK noteikumu Nr.44 24.punkts un 2.pielikuma 2.</w:t>
            </w:r>
            <w:r w:rsidR="00B44327" w:rsidRPr="00F67057">
              <w:t>7</w:t>
            </w:r>
            <w:r w:rsidR="00F84DDB" w:rsidRPr="00F67057">
              <w:t>.apakšpunkts nosaka DPP minētās</w:t>
            </w:r>
            <w:r w:rsidRPr="00F67057">
              <w:t xml:space="preserve"> 3.1.5.3.1.apakšaktivitātes</w:t>
            </w:r>
            <w:r w:rsidR="00F84DDB" w:rsidRPr="00F67057">
              <w:t xml:space="preserve"> projektu minimālās un maksimālās attiecināmo izmaksu kopsummas robežas </w:t>
            </w:r>
            <w:r w:rsidR="009E7D7D" w:rsidRPr="00F67057">
              <w:t>latos</w:t>
            </w:r>
            <w:r w:rsidR="00F84DDB" w:rsidRPr="00F67057">
              <w:t>.</w:t>
            </w:r>
            <w:r w:rsidR="009E7D7D" w:rsidRPr="00F67057">
              <w:t xml:space="preserve"> Tā kā DPP </w:t>
            </w:r>
            <w:r w:rsidR="00B717AB" w:rsidRPr="00F67057">
              <w:t xml:space="preserve">minimālas un maksimālās attiecināmo izmaksu kopsummas robežas ir noteiktas </w:t>
            </w:r>
            <w:proofErr w:type="spellStart"/>
            <w:r w:rsidR="00CD2DAE" w:rsidRPr="00F67057">
              <w:rPr>
                <w:i/>
              </w:rPr>
              <w:t>euro</w:t>
            </w:r>
            <w:proofErr w:type="spellEnd"/>
            <w:r w:rsidR="00B717AB" w:rsidRPr="00F67057">
              <w:rPr>
                <w:i/>
              </w:rPr>
              <w:t>,</w:t>
            </w:r>
            <w:r w:rsidR="00F84DDB" w:rsidRPr="00F67057">
              <w:t xml:space="preserve"> noteiku</w:t>
            </w:r>
            <w:r w:rsidR="001D4857" w:rsidRPr="00F67057">
              <w:t>mu projekts pārņem DPP noteikto</w:t>
            </w:r>
            <w:r w:rsidR="00F84DDB" w:rsidRPr="00F67057">
              <w:t xml:space="preserve"> </w:t>
            </w:r>
            <w:r w:rsidR="001D4857" w:rsidRPr="00F67057">
              <w:t>(</w:t>
            </w:r>
            <w:r w:rsidR="00F84DDB" w:rsidRPr="00F67057">
              <w:t xml:space="preserve">noteikumu projekta </w:t>
            </w:r>
            <w:r w:rsidR="00B44327" w:rsidRPr="00F67057">
              <w:t xml:space="preserve"> </w:t>
            </w:r>
            <w:r w:rsidR="00F84DDB" w:rsidRPr="00F67057">
              <w:t xml:space="preserve">5. </w:t>
            </w:r>
            <w:r w:rsidR="0034510E" w:rsidRPr="00F67057">
              <w:t>u</w:t>
            </w:r>
            <w:r w:rsidR="00CE4034" w:rsidRPr="00F67057">
              <w:t>n 12</w:t>
            </w:r>
            <w:r w:rsidR="00826CA8" w:rsidRPr="00F67057">
              <w:t>.punkts</w:t>
            </w:r>
            <w:r w:rsidR="001D4857" w:rsidRPr="00F67057">
              <w:t>)</w:t>
            </w:r>
            <w:r w:rsidR="00F84DDB" w:rsidRPr="00F67057">
              <w:t xml:space="preserve">. </w:t>
            </w:r>
          </w:p>
          <w:p w:rsidR="00F94666" w:rsidRPr="00F67057" w:rsidRDefault="00D84449" w:rsidP="00EF66BB">
            <w:pPr>
              <w:ind w:left="75" w:right="142"/>
              <w:jc w:val="both"/>
            </w:pPr>
            <w:r w:rsidRPr="00F67057">
              <w:t>P</w:t>
            </w:r>
            <w:r w:rsidR="00F94666" w:rsidRPr="00F67057">
              <w:t>ašreiz spēkā esoš</w:t>
            </w:r>
            <w:r w:rsidR="00B717AB" w:rsidRPr="00F67057">
              <w:t>o</w:t>
            </w:r>
            <w:r w:rsidR="00F94666" w:rsidRPr="00F67057">
              <w:t xml:space="preserve"> MK noteikumu </w:t>
            </w:r>
            <w:r w:rsidR="00F84DDB" w:rsidRPr="00F67057">
              <w:t xml:space="preserve">Nr.44 </w:t>
            </w:r>
            <w:r w:rsidR="0007350E" w:rsidRPr="00F67057">
              <w:t>29.</w:t>
            </w:r>
            <w:r w:rsidR="0007350E" w:rsidRPr="00F67057">
              <w:rPr>
                <w:vertAlign w:val="superscript"/>
              </w:rPr>
              <w:t>2</w:t>
            </w:r>
            <w:r w:rsidR="0007350E" w:rsidRPr="00F67057">
              <w:t xml:space="preserve"> 1.,  29.</w:t>
            </w:r>
            <w:r w:rsidR="0007350E" w:rsidRPr="00F67057">
              <w:rPr>
                <w:vertAlign w:val="superscript"/>
              </w:rPr>
              <w:t>2</w:t>
            </w:r>
            <w:r w:rsidR="0007350E" w:rsidRPr="00F67057">
              <w:t xml:space="preserve"> 2. un  29.</w:t>
            </w:r>
            <w:r w:rsidR="0007350E" w:rsidRPr="00F67057">
              <w:rPr>
                <w:vertAlign w:val="superscript"/>
              </w:rPr>
              <w:t>7</w:t>
            </w:r>
            <w:r w:rsidR="0007350E" w:rsidRPr="00F67057">
              <w:t xml:space="preserve"> 2.3.apakšpunktos, </w:t>
            </w:r>
            <w:r w:rsidR="00F84DDB" w:rsidRPr="00F67057">
              <w:t>2.pielikuma</w:t>
            </w:r>
            <w:r w:rsidR="0007350E" w:rsidRPr="00F67057">
              <w:t xml:space="preserve"> 1.5.</w:t>
            </w:r>
            <w:r w:rsidR="00F94666" w:rsidRPr="00F67057">
              <w:t>apakšpunktā tekstā</w:t>
            </w:r>
            <w:r w:rsidR="0007350E" w:rsidRPr="00F67057">
              <w:t xml:space="preserve"> tiek lietots vārds </w:t>
            </w:r>
            <w:r w:rsidRPr="00F67057">
              <w:t>„</w:t>
            </w:r>
            <w:r w:rsidR="0007350E" w:rsidRPr="00F67057">
              <w:t>latos</w:t>
            </w:r>
            <w:r w:rsidRPr="00F67057">
              <w:t>”</w:t>
            </w:r>
            <w:r w:rsidR="00F94666" w:rsidRPr="00F67057">
              <w:t>,</w:t>
            </w:r>
            <w:r w:rsidR="0007350E" w:rsidRPr="00F67057">
              <w:t xml:space="preserve"> kurš tiek aizstāts ar vārdu </w:t>
            </w:r>
            <w:r w:rsidRPr="00F67057">
              <w:t>„</w:t>
            </w:r>
            <w:proofErr w:type="spellStart"/>
            <w:r w:rsidR="00CD2DAE" w:rsidRPr="00F67057">
              <w:rPr>
                <w:i/>
              </w:rPr>
              <w:t>euro</w:t>
            </w:r>
            <w:proofErr w:type="spellEnd"/>
            <w:r w:rsidRPr="00F67057">
              <w:t>”</w:t>
            </w:r>
            <w:r w:rsidR="0030406D" w:rsidRPr="00F67057">
              <w:t xml:space="preserve"> (</w:t>
            </w:r>
            <w:r w:rsidR="0007350E" w:rsidRPr="00F67057">
              <w:t>attiecīgi no</w:t>
            </w:r>
            <w:r w:rsidR="00826CA8" w:rsidRPr="00F67057">
              <w:t>teikumu projekta  6. un 11</w:t>
            </w:r>
            <w:r w:rsidR="0007350E" w:rsidRPr="00F67057">
              <w:t>.punkts</w:t>
            </w:r>
            <w:r w:rsidR="0030406D" w:rsidRPr="00F67057">
              <w:t>)</w:t>
            </w:r>
            <w:r w:rsidR="0007350E" w:rsidRPr="00F67057">
              <w:t>. Papildus 3. un 6.pielikuma visā tekstā apzīmējums „</w:t>
            </w:r>
            <w:r w:rsidR="00C30337" w:rsidRPr="00F67057">
              <w:t>LVL</w:t>
            </w:r>
            <w:r w:rsidR="0007350E" w:rsidRPr="00F67057">
              <w:t>” ti</w:t>
            </w:r>
            <w:r w:rsidR="0030406D" w:rsidRPr="00F67057">
              <w:t>ek aizstāts ar apzīmējumu „EUR”</w:t>
            </w:r>
            <w:r w:rsidR="0007350E" w:rsidRPr="00F67057">
              <w:t xml:space="preserve"> </w:t>
            </w:r>
            <w:r w:rsidR="0030406D" w:rsidRPr="00F67057">
              <w:t>(</w:t>
            </w:r>
            <w:r w:rsidR="00650C8D" w:rsidRPr="00F67057">
              <w:t>attiecīgi</w:t>
            </w:r>
            <w:r w:rsidR="00826CA8" w:rsidRPr="00F67057">
              <w:t xml:space="preserve"> noteikumu projekta 15</w:t>
            </w:r>
            <w:r w:rsidR="0007350E" w:rsidRPr="00F67057">
              <w:t>.punkts</w:t>
            </w:r>
            <w:r w:rsidR="00826CA8" w:rsidRPr="00F67057">
              <w:t xml:space="preserve"> un 17</w:t>
            </w:r>
            <w:r w:rsidR="006A53EF" w:rsidRPr="00F67057">
              <w:t>.punkts</w:t>
            </w:r>
            <w:r w:rsidR="0030406D" w:rsidRPr="00F67057">
              <w:t>)</w:t>
            </w:r>
            <w:r w:rsidR="00027C89" w:rsidRPr="00F67057">
              <w:t xml:space="preserve">, kā arī 3.pielikuma 2.9.2. un 2.9.3.apakšpunkta 8.kolonnā tiek veikts tehniska </w:t>
            </w:r>
            <w:r w:rsidR="00826CA8" w:rsidRPr="00F67057">
              <w:t>rakstura</w:t>
            </w:r>
            <w:r w:rsidR="00027C89" w:rsidRPr="00F67057">
              <w:t xml:space="preserve"> precizējums formulai, </w:t>
            </w:r>
            <w:r w:rsidR="00992136" w:rsidRPr="00F67057">
              <w:rPr>
                <w:lang w:eastAsia="lv-LV"/>
              </w:rPr>
              <w:t xml:space="preserve">lai novērstu vēsturiski izveidojušos drukas </w:t>
            </w:r>
            <w:r w:rsidR="00826CA8" w:rsidRPr="00F67057">
              <w:rPr>
                <w:lang w:eastAsia="lv-LV"/>
              </w:rPr>
              <w:t>kļūdu</w:t>
            </w:r>
            <w:r w:rsidR="00027C89" w:rsidRPr="00F67057">
              <w:t xml:space="preserve"> </w:t>
            </w:r>
            <w:r w:rsidR="00826CA8" w:rsidRPr="00F67057">
              <w:t>(attiecīgi noteikumu projekta 16</w:t>
            </w:r>
            <w:r w:rsidR="00027C89" w:rsidRPr="00F67057">
              <w:t>.punkts).</w:t>
            </w:r>
            <w:r w:rsidR="00EE1BE7" w:rsidRPr="00F67057">
              <w:t xml:space="preserve"> </w:t>
            </w:r>
            <w:r w:rsidR="00EE1BE7" w:rsidRPr="00F67057">
              <w:rPr>
                <w:lang w:bidi="lo-LA"/>
              </w:rPr>
              <w:t>G</w:t>
            </w:r>
            <w:r w:rsidR="007B5F28" w:rsidRPr="00F67057">
              <w:rPr>
                <w:lang w:bidi="lo-LA"/>
              </w:rPr>
              <w:t>rozījumu</w:t>
            </w:r>
            <w:r w:rsidR="00EE1BE7" w:rsidRPr="00F67057">
              <w:rPr>
                <w:lang w:bidi="lo-LA"/>
              </w:rPr>
              <w:t xml:space="preserve"> drukas </w:t>
            </w:r>
            <w:r w:rsidR="00EE1BE7" w:rsidRPr="006E0628">
              <w:rPr>
                <w:lang w:bidi="lo-LA"/>
              </w:rPr>
              <w:t xml:space="preserve">kļūdas novēršanai netiek plānots piemērot </w:t>
            </w:r>
            <w:proofErr w:type="spellStart"/>
            <w:r w:rsidR="00EE1BE7" w:rsidRPr="006E0628">
              <w:rPr>
                <w:lang w:bidi="lo-LA"/>
              </w:rPr>
              <w:t>retroaktīvi</w:t>
            </w:r>
            <w:proofErr w:type="spellEnd"/>
            <w:r w:rsidR="00EE1BE7" w:rsidRPr="006E0628">
              <w:rPr>
                <w:lang w:bidi="lo-LA"/>
              </w:rPr>
              <w:t>.</w:t>
            </w:r>
            <w:r w:rsidR="007A441C" w:rsidRPr="006E0628">
              <w:rPr>
                <w:lang w:bidi="lo-LA"/>
              </w:rPr>
              <w:t xml:space="preserve"> </w:t>
            </w:r>
            <w:r w:rsidR="007A441C" w:rsidRPr="006E0628">
              <w:t>Ierosinātais grozījums nodrošinās precizitāti un vienotu pieeju no tehniskā aspekta. Grozījums atbilst aprēķiniem, kas iepriekš tika piemēroti projektu iesniegumos, tajā skaitā jau pabeigtiem projektiem. Vērtējot projekta iesniegumus vērtēšanas komisijās, tika izmantota MS Excel datne ar precīzām formulām, kas iepriekš tika nodrošināta finansējuma saņēmējiem.</w:t>
            </w:r>
          </w:p>
          <w:p w:rsidR="00797791" w:rsidRPr="00F67057" w:rsidRDefault="00797791" w:rsidP="00EF66BB">
            <w:pPr>
              <w:ind w:left="75" w:right="142"/>
              <w:jc w:val="both"/>
            </w:pPr>
          </w:p>
          <w:p w:rsidR="00326D94" w:rsidRPr="00F67057" w:rsidRDefault="00797791" w:rsidP="00C45516">
            <w:pPr>
              <w:spacing w:after="120"/>
              <w:ind w:left="75" w:right="142"/>
              <w:jc w:val="both"/>
            </w:pPr>
            <w:r w:rsidRPr="00F67057">
              <w:t xml:space="preserve">Grozītās tiesību normas </w:t>
            </w:r>
            <w:proofErr w:type="spellStart"/>
            <w:r w:rsidR="00CD2DAE" w:rsidRPr="00F67057">
              <w:rPr>
                <w:i/>
              </w:rPr>
              <w:t>euro</w:t>
            </w:r>
            <w:proofErr w:type="spellEnd"/>
            <w:r w:rsidRPr="00F67057">
              <w:t xml:space="preserve"> valūtā nav personām nelabvēlīgākas par sākotnējo tiesību normu latos un nerada negatīvu ietekmi uz valsts budžetu.</w:t>
            </w:r>
          </w:p>
        </w:tc>
      </w:tr>
      <w:tr w:rsidR="00283496" w:rsidRPr="00F67057" w:rsidTr="00283496">
        <w:tc>
          <w:tcPr>
            <w:tcW w:w="235" w:type="pct"/>
            <w:tcBorders>
              <w:top w:val="outset" w:sz="6" w:space="0" w:color="000000"/>
              <w:left w:val="outset" w:sz="6" w:space="0" w:color="000000"/>
              <w:bottom w:val="outset" w:sz="6" w:space="0" w:color="000000"/>
              <w:right w:val="outset" w:sz="6" w:space="0" w:color="000000"/>
            </w:tcBorders>
          </w:tcPr>
          <w:p w:rsidR="00283496" w:rsidRPr="00F67057" w:rsidRDefault="00283496" w:rsidP="00283496">
            <w:r w:rsidRPr="00F67057">
              <w:lastRenderedPageBreak/>
              <w:t>3.</w:t>
            </w:r>
          </w:p>
        </w:tc>
        <w:tc>
          <w:tcPr>
            <w:tcW w:w="906" w:type="pct"/>
            <w:tcBorders>
              <w:top w:val="outset" w:sz="6" w:space="0" w:color="000000"/>
              <w:left w:val="outset" w:sz="6" w:space="0" w:color="000000"/>
              <w:bottom w:val="outset" w:sz="6" w:space="0" w:color="000000"/>
              <w:right w:val="outset" w:sz="6" w:space="0" w:color="000000"/>
            </w:tcBorders>
          </w:tcPr>
          <w:p w:rsidR="00283496" w:rsidRPr="00F67057" w:rsidRDefault="00283496" w:rsidP="00283496">
            <w:r w:rsidRPr="00F67057">
              <w:t>Projekta izstrādē iesaistītās institūcijas</w:t>
            </w:r>
          </w:p>
        </w:tc>
        <w:tc>
          <w:tcPr>
            <w:tcW w:w="3859" w:type="pct"/>
            <w:tcBorders>
              <w:top w:val="outset" w:sz="6" w:space="0" w:color="000000"/>
              <w:left w:val="outset" w:sz="6" w:space="0" w:color="000000"/>
              <w:bottom w:val="outset" w:sz="6" w:space="0" w:color="000000"/>
              <w:right w:val="outset" w:sz="6" w:space="0" w:color="000000"/>
            </w:tcBorders>
            <w:vAlign w:val="center"/>
          </w:tcPr>
          <w:p w:rsidR="00283496" w:rsidRPr="00F67057" w:rsidRDefault="00E27BA5" w:rsidP="00710358">
            <w:pPr>
              <w:spacing w:before="120" w:after="120"/>
              <w:ind w:right="244"/>
              <w:jc w:val="both"/>
              <w:rPr>
                <w:iCs/>
                <w:sz w:val="22"/>
                <w:szCs w:val="22"/>
              </w:rPr>
            </w:pPr>
            <w:r w:rsidRPr="00F67057">
              <w:t xml:space="preserve">Projekta izstrādē attiecībā par 3.1.5.3.1.apakšaktivitātes papildināšanu ar jaunu atbalstāmo darbību neattiecināmo izmaksu segšanai tika iesaistīti 3.1.5.3.1.apakšaktivitātes finansējuma saņēmēji un sadarbības iestāde. 3.1.5.3.1.apakšaktivitātes finansējuma saņēmēju ierosinājumi un vajadzības tika identificētas un izstrādātās </w:t>
            </w:r>
            <w:r w:rsidR="00951F80" w:rsidRPr="00F67057">
              <w:t>konsult</w:t>
            </w:r>
            <w:r w:rsidR="00825B27" w:rsidRPr="00F67057">
              <w:t>āciju</w:t>
            </w:r>
            <w:r w:rsidR="0029406B" w:rsidRPr="00F67057">
              <w:t xml:space="preserve"> laikā par</w:t>
            </w:r>
            <w:r w:rsidR="00825B27" w:rsidRPr="00F67057">
              <w:t xml:space="preserve"> i</w:t>
            </w:r>
            <w:r w:rsidR="00A40C22" w:rsidRPr="00F67057">
              <w:t xml:space="preserve">nfrastruktūras izmantošanas valsts </w:t>
            </w:r>
            <w:r w:rsidR="00027C89" w:rsidRPr="00F67057">
              <w:t>apmaksāto pakalpojumu sniegšana</w:t>
            </w:r>
            <w:r w:rsidR="0029406B" w:rsidRPr="00F67057">
              <w:t>i</w:t>
            </w:r>
            <w:r w:rsidR="00A40C22" w:rsidRPr="00F67057">
              <w:t xml:space="preserve"> un citu darbību vei</w:t>
            </w:r>
            <w:r w:rsidR="0029406B" w:rsidRPr="00F67057">
              <w:t>kšanai nepieciešamās proporcijas aprēķināšanu. Konsultācijas</w:t>
            </w:r>
            <w:r w:rsidR="00710358" w:rsidRPr="00F67057">
              <w:t xml:space="preserve"> </w:t>
            </w:r>
            <w:r w:rsidR="00951F80" w:rsidRPr="00F67057">
              <w:t xml:space="preserve">nodrošināja </w:t>
            </w:r>
            <w:r w:rsidR="00951F80" w:rsidRPr="00F67057">
              <w:lastRenderedPageBreak/>
              <w:t>Veselības ministrija kā atbildīgā iestāde.</w:t>
            </w:r>
          </w:p>
        </w:tc>
      </w:tr>
      <w:tr w:rsidR="00283496" w:rsidRPr="00F67057" w:rsidTr="00283496">
        <w:tc>
          <w:tcPr>
            <w:tcW w:w="235" w:type="pct"/>
            <w:tcBorders>
              <w:top w:val="outset" w:sz="6" w:space="0" w:color="000000"/>
              <w:left w:val="outset" w:sz="6" w:space="0" w:color="000000"/>
              <w:bottom w:val="outset" w:sz="6" w:space="0" w:color="000000"/>
              <w:right w:val="outset" w:sz="6" w:space="0" w:color="000000"/>
            </w:tcBorders>
          </w:tcPr>
          <w:p w:rsidR="00283496" w:rsidRPr="00F67057" w:rsidRDefault="00283496" w:rsidP="00283496">
            <w:r w:rsidRPr="00F67057">
              <w:lastRenderedPageBreak/>
              <w:t>4.</w:t>
            </w:r>
          </w:p>
        </w:tc>
        <w:tc>
          <w:tcPr>
            <w:tcW w:w="906" w:type="pct"/>
            <w:tcBorders>
              <w:top w:val="outset" w:sz="6" w:space="0" w:color="000000"/>
              <w:left w:val="outset" w:sz="6" w:space="0" w:color="000000"/>
              <w:bottom w:val="outset" w:sz="6" w:space="0" w:color="000000"/>
              <w:right w:val="outset" w:sz="6" w:space="0" w:color="000000"/>
            </w:tcBorders>
          </w:tcPr>
          <w:p w:rsidR="00283496" w:rsidRPr="00F67057" w:rsidRDefault="00283496" w:rsidP="00283496">
            <w:r w:rsidRPr="00F67057">
              <w:t>Cita informācija</w:t>
            </w:r>
          </w:p>
        </w:tc>
        <w:tc>
          <w:tcPr>
            <w:tcW w:w="3859" w:type="pct"/>
            <w:tcBorders>
              <w:top w:val="outset" w:sz="6" w:space="0" w:color="000000"/>
              <w:left w:val="outset" w:sz="6" w:space="0" w:color="000000"/>
              <w:bottom w:val="outset" w:sz="6" w:space="0" w:color="000000"/>
              <w:right w:val="outset" w:sz="6" w:space="0" w:color="000000"/>
            </w:tcBorders>
          </w:tcPr>
          <w:p w:rsidR="00283496" w:rsidRPr="00F67057" w:rsidRDefault="00E827D9" w:rsidP="00283496">
            <w:pPr>
              <w:ind w:left="55" w:right="141"/>
              <w:jc w:val="both"/>
            </w:pPr>
            <w:r w:rsidRPr="00F67057">
              <w:t>Nav</w:t>
            </w:r>
          </w:p>
        </w:tc>
      </w:tr>
    </w:tbl>
    <w:p w:rsidR="00283496" w:rsidRPr="00F67057" w:rsidRDefault="00283496" w:rsidP="00B9292C">
      <w:pPr>
        <w:autoSpaceDE w:val="0"/>
        <w:autoSpaceDN w:val="0"/>
        <w:adjustRightInd w:val="0"/>
        <w:rPr>
          <w:sz w:val="23"/>
          <w:szCs w:val="23"/>
        </w:rPr>
      </w:pPr>
    </w:p>
    <w:p w:rsidR="00E06749" w:rsidRPr="00F67057" w:rsidRDefault="00E06749" w:rsidP="00B9292C">
      <w:pPr>
        <w:autoSpaceDE w:val="0"/>
        <w:autoSpaceDN w:val="0"/>
        <w:adjustRightInd w:val="0"/>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9"/>
        <w:gridCol w:w="2689"/>
        <w:gridCol w:w="5809"/>
      </w:tblGrid>
      <w:tr w:rsidR="00E06749" w:rsidRPr="00F67057" w:rsidTr="00BC2B59">
        <w:trPr>
          <w:trHeight w:val="503"/>
        </w:trPr>
        <w:tc>
          <w:tcPr>
            <w:tcW w:w="9147" w:type="dxa"/>
            <w:gridSpan w:val="3"/>
            <w:vAlign w:val="center"/>
          </w:tcPr>
          <w:p w:rsidR="00E06749" w:rsidRPr="00CD063B" w:rsidRDefault="00E06749" w:rsidP="00CD063B">
            <w:pPr>
              <w:jc w:val="center"/>
              <w:rPr>
                <w:b/>
                <w:bCs/>
                <w:sz w:val="28"/>
                <w:szCs w:val="28"/>
              </w:rPr>
            </w:pPr>
            <w:r w:rsidRPr="00CD063B">
              <w:rPr>
                <w:b/>
                <w:bCs/>
                <w:sz w:val="28"/>
                <w:szCs w:val="28"/>
              </w:rPr>
              <w:t>II. Tiesību akta projekta ietekme uz sabiedrību, tautsaimniecības attīstību un administratīvo slogu</w:t>
            </w:r>
          </w:p>
        </w:tc>
      </w:tr>
      <w:tr w:rsidR="00E06749" w:rsidRPr="00F67057" w:rsidTr="00BC2B59">
        <w:tc>
          <w:tcPr>
            <w:tcW w:w="649" w:type="dxa"/>
          </w:tcPr>
          <w:p w:rsidR="00E06749" w:rsidRPr="00F67057" w:rsidRDefault="00E06749" w:rsidP="00E06749">
            <w:pPr>
              <w:spacing w:before="100" w:beforeAutospacing="1" w:after="100" w:afterAutospacing="1"/>
              <w:rPr>
                <w:lang w:eastAsia="lv-LV" w:bidi="lo-LA"/>
              </w:rPr>
            </w:pPr>
            <w:r w:rsidRPr="00F67057">
              <w:rPr>
                <w:lang w:eastAsia="lv-LV" w:bidi="lo-LA"/>
              </w:rPr>
              <w:t> 1.</w:t>
            </w:r>
          </w:p>
        </w:tc>
        <w:tc>
          <w:tcPr>
            <w:tcW w:w="2689" w:type="dxa"/>
          </w:tcPr>
          <w:p w:rsidR="00E06749" w:rsidRPr="00F67057" w:rsidRDefault="00E06749" w:rsidP="00E06749">
            <w:pPr>
              <w:spacing w:before="100" w:beforeAutospacing="1" w:after="100" w:afterAutospacing="1"/>
              <w:rPr>
                <w:lang w:eastAsia="lv-LV" w:bidi="lo-LA"/>
              </w:rPr>
            </w:pPr>
            <w:r w:rsidRPr="00F67057">
              <w:rPr>
                <w:lang w:eastAsia="lv-LV"/>
              </w:rPr>
              <w:t>Sabiedrības mērķgrupas, kuras tiesiskais regulējums ietekmē vai varētu ietekmēt</w:t>
            </w:r>
          </w:p>
        </w:tc>
        <w:tc>
          <w:tcPr>
            <w:tcW w:w="5809" w:type="dxa"/>
            <w:vAlign w:val="center"/>
          </w:tcPr>
          <w:p w:rsidR="00E06749" w:rsidRPr="00F67057" w:rsidRDefault="00E06749" w:rsidP="00FF19C9">
            <w:pPr>
              <w:jc w:val="both"/>
            </w:pPr>
            <w:r w:rsidRPr="00F67057">
              <w:t xml:space="preserve">Stacionārās veselības aprūpes pakalpojumu sniedzēji un stacionārās veselības aprūpes pakalpojumu saņēmēji. </w:t>
            </w:r>
          </w:p>
        </w:tc>
      </w:tr>
      <w:tr w:rsidR="00E06749" w:rsidRPr="00F67057" w:rsidTr="00BC2B59">
        <w:tc>
          <w:tcPr>
            <w:tcW w:w="649" w:type="dxa"/>
          </w:tcPr>
          <w:p w:rsidR="00E06749" w:rsidRPr="00F67057" w:rsidRDefault="00E06749" w:rsidP="00E06749">
            <w:pPr>
              <w:spacing w:before="100" w:beforeAutospacing="1" w:after="100" w:afterAutospacing="1"/>
              <w:rPr>
                <w:lang w:eastAsia="lv-LV" w:bidi="lo-LA"/>
              </w:rPr>
            </w:pPr>
            <w:r w:rsidRPr="00F67057">
              <w:rPr>
                <w:lang w:eastAsia="lv-LV" w:bidi="lo-LA"/>
              </w:rPr>
              <w:t> 2.</w:t>
            </w:r>
          </w:p>
        </w:tc>
        <w:tc>
          <w:tcPr>
            <w:tcW w:w="2689" w:type="dxa"/>
          </w:tcPr>
          <w:p w:rsidR="00E06749" w:rsidRPr="00F67057" w:rsidRDefault="00E06749" w:rsidP="00E06749">
            <w:pPr>
              <w:spacing w:before="100" w:beforeAutospacing="1" w:after="100" w:afterAutospacing="1"/>
              <w:rPr>
                <w:lang w:eastAsia="lv-LV" w:bidi="lo-LA"/>
              </w:rPr>
            </w:pPr>
            <w:r w:rsidRPr="00F67057">
              <w:rPr>
                <w:lang w:eastAsia="lv-LV"/>
              </w:rPr>
              <w:t>Tiesiskā regulējuma ietekme uz tautsaimniecību un administratīvo slogu</w:t>
            </w:r>
          </w:p>
        </w:tc>
        <w:tc>
          <w:tcPr>
            <w:tcW w:w="5809" w:type="dxa"/>
            <w:vAlign w:val="center"/>
          </w:tcPr>
          <w:p w:rsidR="00E06749" w:rsidRPr="00F67057" w:rsidRDefault="00FF19C9" w:rsidP="00BC2B59">
            <w:pPr>
              <w:pStyle w:val="naiskr"/>
              <w:jc w:val="both"/>
            </w:pPr>
            <w:r w:rsidRPr="00F67057">
              <w:t xml:space="preserve">Projekts šo jomu neskar </w:t>
            </w:r>
          </w:p>
        </w:tc>
      </w:tr>
      <w:tr w:rsidR="00E06749" w:rsidRPr="00F67057" w:rsidTr="00BC2B59">
        <w:tc>
          <w:tcPr>
            <w:tcW w:w="649" w:type="dxa"/>
          </w:tcPr>
          <w:p w:rsidR="00E06749" w:rsidRPr="00F67057" w:rsidRDefault="00E06749" w:rsidP="00E06749">
            <w:pPr>
              <w:spacing w:before="100" w:beforeAutospacing="1" w:after="100" w:afterAutospacing="1"/>
              <w:rPr>
                <w:lang w:eastAsia="lv-LV" w:bidi="lo-LA"/>
              </w:rPr>
            </w:pPr>
            <w:r w:rsidRPr="00F67057">
              <w:rPr>
                <w:lang w:eastAsia="lv-LV" w:bidi="lo-LA"/>
              </w:rPr>
              <w:t> 3.</w:t>
            </w:r>
          </w:p>
        </w:tc>
        <w:tc>
          <w:tcPr>
            <w:tcW w:w="2689" w:type="dxa"/>
          </w:tcPr>
          <w:p w:rsidR="00E06749" w:rsidRPr="00F67057" w:rsidRDefault="00BC2B59" w:rsidP="00E06749">
            <w:pPr>
              <w:spacing w:before="100" w:beforeAutospacing="1" w:after="100" w:afterAutospacing="1"/>
              <w:rPr>
                <w:lang w:eastAsia="lv-LV" w:bidi="lo-LA"/>
              </w:rPr>
            </w:pPr>
            <w:r w:rsidRPr="00F67057">
              <w:rPr>
                <w:lang w:eastAsia="lv-LV"/>
              </w:rPr>
              <w:t>Administratīvo izmaksu monetārs novērtējums</w:t>
            </w:r>
          </w:p>
        </w:tc>
        <w:tc>
          <w:tcPr>
            <w:tcW w:w="5809" w:type="dxa"/>
            <w:vAlign w:val="center"/>
          </w:tcPr>
          <w:p w:rsidR="009C4B63" w:rsidRPr="00F67057" w:rsidRDefault="00FF19C9">
            <w:pPr>
              <w:pStyle w:val="naiskr"/>
              <w:spacing w:before="0" w:beforeAutospacing="0" w:after="0" w:afterAutospacing="0"/>
              <w:jc w:val="both"/>
            </w:pPr>
            <w:r w:rsidRPr="00F67057">
              <w:t xml:space="preserve">Projekts šo jomu neskar </w:t>
            </w:r>
          </w:p>
        </w:tc>
      </w:tr>
      <w:tr w:rsidR="00E06749" w:rsidRPr="00F67057" w:rsidTr="00BC2B59">
        <w:trPr>
          <w:trHeight w:val="174"/>
        </w:trPr>
        <w:tc>
          <w:tcPr>
            <w:tcW w:w="649" w:type="dxa"/>
            <w:vAlign w:val="center"/>
          </w:tcPr>
          <w:p w:rsidR="00E06749" w:rsidRPr="00F67057" w:rsidRDefault="00BC2B59" w:rsidP="00E06749">
            <w:pPr>
              <w:spacing w:before="100" w:beforeAutospacing="1" w:after="100" w:afterAutospacing="1"/>
              <w:rPr>
                <w:lang w:eastAsia="lv-LV" w:bidi="lo-LA"/>
              </w:rPr>
            </w:pPr>
            <w:r w:rsidRPr="00F67057">
              <w:rPr>
                <w:lang w:eastAsia="lv-LV" w:bidi="lo-LA"/>
              </w:rPr>
              <w:t>4</w:t>
            </w:r>
            <w:r w:rsidR="00E06749" w:rsidRPr="00F67057">
              <w:rPr>
                <w:lang w:eastAsia="lv-LV" w:bidi="lo-LA"/>
              </w:rPr>
              <w:t>.</w:t>
            </w:r>
          </w:p>
        </w:tc>
        <w:tc>
          <w:tcPr>
            <w:tcW w:w="2689" w:type="dxa"/>
            <w:vAlign w:val="center"/>
          </w:tcPr>
          <w:p w:rsidR="00E06749" w:rsidRPr="00F67057" w:rsidRDefault="00E06749" w:rsidP="00E06749">
            <w:pPr>
              <w:spacing w:before="100" w:beforeAutospacing="1" w:after="100" w:afterAutospacing="1"/>
              <w:rPr>
                <w:lang w:eastAsia="lv-LV" w:bidi="lo-LA"/>
              </w:rPr>
            </w:pPr>
            <w:r w:rsidRPr="00F67057">
              <w:rPr>
                <w:lang w:eastAsia="lv-LV" w:bidi="lo-LA"/>
              </w:rPr>
              <w:t>Cita informācija</w:t>
            </w:r>
          </w:p>
        </w:tc>
        <w:tc>
          <w:tcPr>
            <w:tcW w:w="5809" w:type="dxa"/>
            <w:vAlign w:val="center"/>
          </w:tcPr>
          <w:p w:rsidR="00E06749" w:rsidRPr="00F67057" w:rsidRDefault="00BC2B59" w:rsidP="00BC2B59">
            <w:pPr>
              <w:pStyle w:val="naiskr"/>
            </w:pPr>
            <w:r w:rsidRPr="00F67057">
              <w:t>Nav</w:t>
            </w:r>
          </w:p>
        </w:tc>
      </w:tr>
    </w:tbl>
    <w:p w:rsidR="00E06749" w:rsidRPr="00F67057" w:rsidRDefault="00E06749" w:rsidP="00B9292C">
      <w:pPr>
        <w:autoSpaceDE w:val="0"/>
        <w:autoSpaceDN w:val="0"/>
        <w:adjustRightInd w:val="0"/>
        <w:rPr>
          <w:sz w:val="23"/>
          <w:szCs w:val="23"/>
        </w:rPr>
      </w:pPr>
    </w:p>
    <w:p w:rsidR="00302E22" w:rsidRPr="00F67057" w:rsidRDefault="00302E22" w:rsidP="00B9292C">
      <w:pPr>
        <w:autoSpaceDE w:val="0"/>
        <w:autoSpaceDN w:val="0"/>
        <w:adjustRightInd w:val="0"/>
        <w:rPr>
          <w:sz w:val="23"/>
          <w:szCs w:val="23"/>
        </w:rPr>
      </w:pPr>
    </w:p>
    <w:tbl>
      <w:tblPr>
        <w:tblW w:w="99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1330"/>
        <w:gridCol w:w="1354"/>
        <w:gridCol w:w="1354"/>
        <w:gridCol w:w="1355"/>
        <w:gridCol w:w="1748"/>
      </w:tblGrid>
      <w:tr w:rsidR="00855289" w:rsidRPr="00F67057" w:rsidTr="009045B4">
        <w:trPr>
          <w:trHeight w:val="652"/>
          <w:jc w:val="center"/>
        </w:trPr>
        <w:tc>
          <w:tcPr>
            <w:tcW w:w="9953" w:type="dxa"/>
            <w:gridSpan w:val="6"/>
            <w:tcBorders>
              <w:top w:val="single" w:sz="4" w:space="0" w:color="auto"/>
              <w:left w:val="single" w:sz="4" w:space="0" w:color="auto"/>
              <w:bottom w:val="single" w:sz="4" w:space="0" w:color="auto"/>
              <w:right w:val="single" w:sz="4" w:space="0" w:color="auto"/>
            </w:tcBorders>
          </w:tcPr>
          <w:p w:rsidR="00855289" w:rsidRPr="00CD063B" w:rsidRDefault="00855289" w:rsidP="00CD063B">
            <w:pPr>
              <w:jc w:val="center"/>
              <w:rPr>
                <w:b/>
                <w:bCs/>
                <w:sz w:val="28"/>
                <w:szCs w:val="28"/>
              </w:rPr>
            </w:pPr>
            <w:r w:rsidRPr="00CD063B">
              <w:rPr>
                <w:b/>
                <w:bCs/>
                <w:sz w:val="28"/>
                <w:szCs w:val="28"/>
              </w:rPr>
              <w:br w:type="page"/>
              <w:t>III. Tiesību akta projekta ietekme uz valsts budžetu un pašvaldību budžetiem</w:t>
            </w:r>
          </w:p>
        </w:tc>
      </w:tr>
      <w:tr w:rsidR="00855289" w:rsidRPr="00F67057" w:rsidTr="009045B4">
        <w:trPr>
          <w:jc w:val="center"/>
        </w:trPr>
        <w:tc>
          <w:tcPr>
            <w:tcW w:w="2812" w:type="dxa"/>
            <w:vMerge w:val="restart"/>
            <w:tcBorders>
              <w:top w:val="single" w:sz="4" w:space="0" w:color="auto"/>
              <w:left w:val="single" w:sz="4" w:space="0" w:color="auto"/>
              <w:bottom w:val="single" w:sz="4" w:space="0" w:color="auto"/>
              <w:right w:val="single" w:sz="4" w:space="0" w:color="auto"/>
            </w:tcBorders>
            <w:vAlign w:val="center"/>
          </w:tcPr>
          <w:p w:rsidR="00855289" w:rsidRPr="00F67057" w:rsidRDefault="00855289" w:rsidP="009045B4">
            <w:pPr>
              <w:pStyle w:val="naisf"/>
              <w:spacing w:before="0" w:after="0"/>
              <w:jc w:val="center"/>
              <w:rPr>
                <w:b/>
                <w:bCs/>
                <w:lang w:val="lv-LV"/>
              </w:rPr>
            </w:pPr>
            <w:r w:rsidRPr="00F67057">
              <w:rPr>
                <w:b/>
                <w:bCs/>
                <w:lang w:val="lv-LV"/>
              </w:rPr>
              <w:t>Rādītāji</w:t>
            </w:r>
          </w:p>
        </w:tc>
        <w:tc>
          <w:tcPr>
            <w:tcW w:w="2684" w:type="dxa"/>
            <w:gridSpan w:val="2"/>
            <w:vMerge w:val="restart"/>
            <w:tcBorders>
              <w:top w:val="single" w:sz="4" w:space="0" w:color="auto"/>
              <w:left w:val="single" w:sz="4" w:space="0" w:color="auto"/>
              <w:bottom w:val="single" w:sz="4" w:space="0" w:color="auto"/>
              <w:right w:val="single" w:sz="4" w:space="0" w:color="auto"/>
            </w:tcBorders>
            <w:vAlign w:val="center"/>
          </w:tcPr>
          <w:p w:rsidR="00855289" w:rsidRPr="00F67057" w:rsidRDefault="00855289" w:rsidP="00BC0F3D">
            <w:pPr>
              <w:pStyle w:val="naisf"/>
              <w:spacing w:before="0" w:after="0"/>
              <w:jc w:val="center"/>
              <w:rPr>
                <w:b/>
                <w:bCs/>
                <w:lang w:val="lv-LV"/>
              </w:rPr>
            </w:pPr>
            <w:r w:rsidRPr="00F67057">
              <w:rPr>
                <w:b/>
                <w:bCs/>
                <w:lang w:val="lv-LV"/>
              </w:rPr>
              <w:t>201</w:t>
            </w:r>
            <w:r w:rsidR="00BC0F3D" w:rsidRPr="00F67057">
              <w:rPr>
                <w:b/>
                <w:bCs/>
                <w:lang w:val="lv-LV"/>
              </w:rPr>
              <w:t>4</w:t>
            </w:r>
            <w:r w:rsidRPr="00F67057">
              <w:rPr>
                <w:b/>
                <w:bCs/>
                <w:lang w:val="lv-LV"/>
              </w:rPr>
              <w:t>. gads</w:t>
            </w:r>
          </w:p>
        </w:tc>
        <w:tc>
          <w:tcPr>
            <w:tcW w:w="4457" w:type="dxa"/>
            <w:gridSpan w:val="3"/>
            <w:tcBorders>
              <w:top w:val="single" w:sz="4" w:space="0" w:color="auto"/>
              <w:left w:val="single" w:sz="4" w:space="0" w:color="auto"/>
              <w:bottom w:val="single" w:sz="4" w:space="0" w:color="auto"/>
              <w:right w:val="single" w:sz="4" w:space="0" w:color="auto"/>
            </w:tcBorders>
            <w:vAlign w:val="center"/>
          </w:tcPr>
          <w:p w:rsidR="00855289" w:rsidRPr="00F67057" w:rsidRDefault="00855289" w:rsidP="009045B4">
            <w:pPr>
              <w:pStyle w:val="naisf"/>
              <w:spacing w:before="0" w:after="0"/>
              <w:jc w:val="center"/>
              <w:rPr>
                <w:b/>
                <w:bCs/>
                <w:i/>
                <w:iCs/>
                <w:lang w:val="lv-LV"/>
              </w:rPr>
            </w:pPr>
            <w:r w:rsidRPr="00F67057">
              <w:rPr>
                <w:lang w:val="lv-LV"/>
              </w:rPr>
              <w:t xml:space="preserve">Turpmākie trīs gadi (tūkst. </w:t>
            </w:r>
            <w:proofErr w:type="spellStart"/>
            <w:r w:rsidR="00CD2DAE" w:rsidRPr="00F67057">
              <w:rPr>
                <w:i/>
                <w:iCs/>
                <w:lang w:val="lv-LV"/>
              </w:rPr>
              <w:t>euro</w:t>
            </w:r>
            <w:proofErr w:type="spellEnd"/>
            <w:r w:rsidRPr="00F67057">
              <w:rPr>
                <w:lang w:val="lv-LV"/>
              </w:rPr>
              <w:t>)</w:t>
            </w:r>
          </w:p>
        </w:tc>
      </w:tr>
      <w:tr w:rsidR="00855289" w:rsidRPr="00F67057" w:rsidTr="009045B4">
        <w:trPr>
          <w:jc w:val="center"/>
        </w:trPr>
        <w:tc>
          <w:tcPr>
            <w:tcW w:w="2812" w:type="dxa"/>
            <w:vMerge/>
            <w:tcBorders>
              <w:top w:val="single" w:sz="4" w:space="0" w:color="auto"/>
              <w:left w:val="single" w:sz="4" w:space="0" w:color="auto"/>
              <w:bottom w:val="single" w:sz="4" w:space="0" w:color="auto"/>
              <w:right w:val="single" w:sz="4" w:space="0" w:color="auto"/>
            </w:tcBorders>
            <w:vAlign w:val="center"/>
          </w:tcPr>
          <w:p w:rsidR="00855289" w:rsidRPr="00F67057" w:rsidRDefault="00855289" w:rsidP="009045B4">
            <w:pPr>
              <w:pStyle w:val="naisf"/>
              <w:spacing w:before="0" w:after="0"/>
              <w:jc w:val="center"/>
              <w:rPr>
                <w:b/>
                <w:bCs/>
                <w:i/>
                <w:iCs/>
                <w:lang w:val="lv-LV"/>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tcPr>
          <w:p w:rsidR="00855289" w:rsidRPr="00F67057" w:rsidRDefault="00855289" w:rsidP="009045B4">
            <w:pPr>
              <w:pStyle w:val="naisf"/>
              <w:spacing w:before="0" w:after="0"/>
              <w:jc w:val="center"/>
              <w:rPr>
                <w:b/>
                <w:bCs/>
                <w:i/>
                <w:iCs/>
                <w:lang w:val="lv-LV"/>
              </w:rPr>
            </w:pPr>
          </w:p>
        </w:tc>
        <w:tc>
          <w:tcPr>
            <w:tcW w:w="1354" w:type="dxa"/>
            <w:tcBorders>
              <w:top w:val="single" w:sz="4" w:space="0" w:color="auto"/>
              <w:left w:val="single" w:sz="4" w:space="0" w:color="auto"/>
              <w:bottom w:val="single" w:sz="4" w:space="0" w:color="auto"/>
              <w:right w:val="single" w:sz="4" w:space="0" w:color="auto"/>
            </w:tcBorders>
            <w:vAlign w:val="center"/>
          </w:tcPr>
          <w:p w:rsidR="00855289" w:rsidRPr="00F67057" w:rsidRDefault="00855289" w:rsidP="00BC0F3D">
            <w:pPr>
              <w:pStyle w:val="naisf"/>
              <w:spacing w:before="0" w:after="0"/>
              <w:jc w:val="center"/>
              <w:rPr>
                <w:b/>
                <w:bCs/>
                <w:i/>
                <w:iCs/>
                <w:lang w:val="lv-LV"/>
              </w:rPr>
            </w:pPr>
            <w:r w:rsidRPr="00F67057">
              <w:rPr>
                <w:b/>
                <w:bCs/>
                <w:lang w:val="lv-LV"/>
              </w:rPr>
              <w:t>201</w:t>
            </w:r>
            <w:r w:rsidR="00BC0F3D" w:rsidRPr="00F67057">
              <w:rPr>
                <w:b/>
                <w:bCs/>
                <w:lang w:val="lv-LV"/>
              </w:rPr>
              <w:t>5</w:t>
            </w:r>
            <w:r w:rsidRPr="00F67057">
              <w:rPr>
                <w:b/>
                <w:bCs/>
                <w:lang w:val="lv-LV"/>
              </w:rPr>
              <w:t>. gads</w:t>
            </w:r>
          </w:p>
        </w:tc>
        <w:tc>
          <w:tcPr>
            <w:tcW w:w="1355" w:type="dxa"/>
            <w:tcBorders>
              <w:top w:val="single" w:sz="4" w:space="0" w:color="auto"/>
              <w:left w:val="single" w:sz="4" w:space="0" w:color="auto"/>
              <w:bottom w:val="single" w:sz="4" w:space="0" w:color="auto"/>
              <w:right w:val="single" w:sz="4" w:space="0" w:color="auto"/>
            </w:tcBorders>
            <w:vAlign w:val="center"/>
          </w:tcPr>
          <w:p w:rsidR="00855289" w:rsidRPr="00F67057" w:rsidRDefault="00855289" w:rsidP="00BC0F3D">
            <w:pPr>
              <w:pStyle w:val="naisf"/>
              <w:spacing w:before="0" w:after="0"/>
              <w:jc w:val="center"/>
              <w:rPr>
                <w:b/>
                <w:bCs/>
                <w:i/>
                <w:iCs/>
                <w:lang w:val="lv-LV"/>
              </w:rPr>
            </w:pPr>
            <w:r w:rsidRPr="00F67057">
              <w:rPr>
                <w:b/>
                <w:bCs/>
                <w:lang w:val="lv-LV"/>
              </w:rPr>
              <w:t>201</w:t>
            </w:r>
            <w:r w:rsidR="00BC0F3D" w:rsidRPr="00F67057">
              <w:rPr>
                <w:b/>
                <w:bCs/>
                <w:lang w:val="lv-LV"/>
              </w:rPr>
              <w:t>6</w:t>
            </w:r>
            <w:r w:rsidRPr="00F67057">
              <w:rPr>
                <w:b/>
                <w:bCs/>
                <w:lang w:val="lv-LV"/>
              </w:rPr>
              <w:t>. gads</w:t>
            </w:r>
          </w:p>
        </w:tc>
        <w:tc>
          <w:tcPr>
            <w:tcW w:w="1748" w:type="dxa"/>
            <w:tcBorders>
              <w:top w:val="single" w:sz="4" w:space="0" w:color="auto"/>
              <w:left w:val="single" w:sz="4" w:space="0" w:color="auto"/>
              <w:bottom w:val="single" w:sz="4" w:space="0" w:color="auto"/>
              <w:right w:val="single" w:sz="4" w:space="0" w:color="auto"/>
            </w:tcBorders>
            <w:vAlign w:val="center"/>
          </w:tcPr>
          <w:p w:rsidR="00855289" w:rsidRPr="00F67057" w:rsidRDefault="00855289" w:rsidP="00BC0F3D">
            <w:pPr>
              <w:pStyle w:val="naisf"/>
              <w:spacing w:before="0" w:after="0"/>
              <w:jc w:val="center"/>
              <w:rPr>
                <w:b/>
                <w:bCs/>
                <w:i/>
                <w:iCs/>
                <w:lang w:val="lv-LV"/>
              </w:rPr>
            </w:pPr>
            <w:r w:rsidRPr="00F67057">
              <w:rPr>
                <w:b/>
                <w:bCs/>
                <w:lang w:val="lv-LV"/>
              </w:rPr>
              <w:t>201</w:t>
            </w:r>
            <w:r w:rsidR="00BC0F3D" w:rsidRPr="00F67057">
              <w:rPr>
                <w:b/>
                <w:bCs/>
                <w:lang w:val="lv-LV"/>
              </w:rPr>
              <w:t>7</w:t>
            </w:r>
            <w:r w:rsidRPr="00F67057">
              <w:rPr>
                <w:b/>
                <w:bCs/>
                <w:lang w:val="lv-LV"/>
              </w:rPr>
              <w:t>. gads</w:t>
            </w:r>
          </w:p>
        </w:tc>
      </w:tr>
      <w:tr w:rsidR="00855289" w:rsidRPr="00F67057" w:rsidTr="009045B4">
        <w:trPr>
          <w:jc w:val="center"/>
        </w:trPr>
        <w:tc>
          <w:tcPr>
            <w:tcW w:w="2812" w:type="dxa"/>
            <w:vMerge/>
            <w:tcBorders>
              <w:top w:val="single" w:sz="4" w:space="0" w:color="auto"/>
              <w:left w:val="single" w:sz="4" w:space="0" w:color="auto"/>
              <w:bottom w:val="single" w:sz="4" w:space="0" w:color="auto"/>
              <w:right w:val="single" w:sz="4" w:space="0" w:color="auto"/>
            </w:tcBorders>
            <w:vAlign w:val="center"/>
          </w:tcPr>
          <w:p w:rsidR="00855289" w:rsidRPr="00F67057" w:rsidRDefault="00855289" w:rsidP="009045B4">
            <w:pPr>
              <w:pStyle w:val="naisf"/>
              <w:spacing w:before="0" w:after="0"/>
              <w:jc w:val="center"/>
              <w:rPr>
                <w:b/>
                <w:bCs/>
                <w:i/>
                <w:iCs/>
                <w:lang w:val="lv-LV"/>
              </w:rPr>
            </w:pPr>
          </w:p>
        </w:tc>
        <w:tc>
          <w:tcPr>
            <w:tcW w:w="1330" w:type="dxa"/>
            <w:tcBorders>
              <w:top w:val="single" w:sz="4" w:space="0" w:color="auto"/>
              <w:left w:val="single" w:sz="4" w:space="0" w:color="auto"/>
              <w:bottom w:val="single" w:sz="4" w:space="0" w:color="auto"/>
              <w:right w:val="single" w:sz="4" w:space="0" w:color="auto"/>
            </w:tcBorders>
            <w:vAlign w:val="center"/>
          </w:tcPr>
          <w:p w:rsidR="00855289" w:rsidRPr="00F67057" w:rsidRDefault="00855289" w:rsidP="009045B4">
            <w:pPr>
              <w:pStyle w:val="naisf"/>
              <w:spacing w:before="0" w:after="0"/>
              <w:jc w:val="center"/>
              <w:rPr>
                <w:b/>
                <w:bCs/>
                <w:i/>
                <w:iCs/>
                <w:lang w:val="lv-LV"/>
              </w:rPr>
            </w:pPr>
            <w:r w:rsidRPr="00F67057">
              <w:rPr>
                <w:lang w:val="lv-LV"/>
              </w:rPr>
              <w:t>Saskaņā ar valsts budžetu kārtējam gadam</w:t>
            </w:r>
          </w:p>
        </w:tc>
        <w:tc>
          <w:tcPr>
            <w:tcW w:w="1354" w:type="dxa"/>
            <w:tcBorders>
              <w:top w:val="single" w:sz="4" w:space="0" w:color="auto"/>
              <w:left w:val="single" w:sz="4" w:space="0" w:color="auto"/>
              <w:bottom w:val="single" w:sz="4" w:space="0" w:color="auto"/>
              <w:right w:val="single" w:sz="4" w:space="0" w:color="auto"/>
            </w:tcBorders>
            <w:vAlign w:val="center"/>
          </w:tcPr>
          <w:p w:rsidR="00855289" w:rsidRPr="00F67057" w:rsidRDefault="00855289" w:rsidP="009045B4">
            <w:pPr>
              <w:pStyle w:val="naisf"/>
              <w:spacing w:before="0" w:after="0"/>
              <w:jc w:val="center"/>
              <w:rPr>
                <w:b/>
                <w:bCs/>
                <w:i/>
                <w:iCs/>
                <w:lang w:val="lv-LV"/>
              </w:rPr>
            </w:pPr>
            <w:r w:rsidRPr="00F67057">
              <w:rPr>
                <w:lang w:val="lv-LV"/>
              </w:rPr>
              <w:t>Izmaiņas kārtējā gadā, salīdzinot ar budžetu kārtējam gadam</w:t>
            </w:r>
          </w:p>
        </w:tc>
        <w:tc>
          <w:tcPr>
            <w:tcW w:w="1354" w:type="dxa"/>
            <w:tcBorders>
              <w:top w:val="single" w:sz="4" w:space="0" w:color="auto"/>
              <w:left w:val="single" w:sz="4" w:space="0" w:color="auto"/>
              <w:bottom w:val="single" w:sz="4" w:space="0" w:color="auto"/>
              <w:right w:val="single" w:sz="4" w:space="0" w:color="auto"/>
            </w:tcBorders>
            <w:vAlign w:val="center"/>
          </w:tcPr>
          <w:p w:rsidR="00855289" w:rsidRPr="00F67057" w:rsidRDefault="00855289" w:rsidP="00063FD8">
            <w:pPr>
              <w:pStyle w:val="naisf"/>
              <w:spacing w:before="0" w:after="0"/>
              <w:jc w:val="center"/>
              <w:rPr>
                <w:b/>
                <w:bCs/>
                <w:i/>
                <w:iCs/>
                <w:lang w:val="lv-LV"/>
              </w:rPr>
            </w:pPr>
            <w:r w:rsidRPr="00F67057">
              <w:rPr>
                <w:lang w:val="lv-LV"/>
              </w:rPr>
              <w:t>Izmaiņas, salīdzinot ar kārtējo 201</w:t>
            </w:r>
            <w:r w:rsidR="00063FD8" w:rsidRPr="00F67057">
              <w:rPr>
                <w:lang w:val="lv-LV"/>
              </w:rPr>
              <w:t>4</w:t>
            </w:r>
            <w:r w:rsidRPr="00F67057">
              <w:rPr>
                <w:lang w:val="lv-LV"/>
              </w:rPr>
              <w:t>. gadu</w:t>
            </w:r>
          </w:p>
        </w:tc>
        <w:tc>
          <w:tcPr>
            <w:tcW w:w="1355" w:type="dxa"/>
            <w:tcBorders>
              <w:top w:val="single" w:sz="4" w:space="0" w:color="auto"/>
              <w:left w:val="single" w:sz="4" w:space="0" w:color="auto"/>
              <w:bottom w:val="single" w:sz="4" w:space="0" w:color="auto"/>
              <w:right w:val="single" w:sz="4" w:space="0" w:color="auto"/>
            </w:tcBorders>
            <w:vAlign w:val="center"/>
          </w:tcPr>
          <w:p w:rsidR="00855289" w:rsidRPr="00F67057" w:rsidRDefault="00855289" w:rsidP="00063FD8">
            <w:pPr>
              <w:pStyle w:val="naisf"/>
              <w:spacing w:before="0" w:after="0"/>
              <w:jc w:val="center"/>
              <w:rPr>
                <w:b/>
                <w:bCs/>
                <w:i/>
                <w:iCs/>
                <w:lang w:val="lv-LV"/>
              </w:rPr>
            </w:pPr>
            <w:r w:rsidRPr="00F67057">
              <w:rPr>
                <w:lang w:val="lv-LV"/>
              </w:rPr>
              <w:t>Izmaiņas, salīdzinot ar kārtējo 201</w:t>
            </w:r>
            <w:r w:rsidR="00063FD8" w:rsidRPr="00F67057">
              <w:rPr>
                <w:lang w:val="lv-LV"/>
              </w:rPr>
              <w:t>4</w:t>
            </w:r>
            <w:r w:rsidRPr="00F67057">
              <w:rPr>
                <w:lang w:val="lv-LV"/>
              </w:rPr>
              <w:t>. gadu</w:t>
            </w:r>
          </w:p>
        </w:tc>
        <w:tc>
          <w:tcPr>
            <w:tcW w:w="1748" w:type="dxa"/>
            <w:tcBorders>
              <w:top w:val="single" w:sz="4" w:space="0" w:color="auto"/>
              <w:left w:val="single" w:sz="4" w:space="0" w:color="auto"/>
              <w:bottom w:val="single" w:sz="4" w:space="0" w:color="auto"/>
              <w:right w:val="single" w:sz="4" w:space="0" w:color="auto"/>
            </w:tcBorders>
            <w:vAlign w:val="center"/>
          </w:tcPr>
          <w:p w:rsidR="00855289" w:rsidRPr="00F67057" w:rsidRDefault="00855289" w:rsidP="00063FD8">
            <w:pPr>
              <w:pStyle w:val="naisf"/>
              <w:spacing w:before="0" w:after="0"/>
              <w:jc w:val="center"/>
              <w:rPr>
                <w:b/>
                <w:bCs/>
                <w:i/>
                <w:iCs/>
                <w:lang w:val="lv-LV"/>
              </w:rPr>
            </w:pPr>
            <w:r w:rsidRPr="00F67057">
              <w:rPr>
                <w:lang w:val="lv-LV"/>
              </w:rPr>
              <w:t>Izmaiņas, salīdzinot ar kārtējo 201</w:t>
            </w:r>
            <w:r w:rsidR="00063FD8" w:rsidRPr="00F67057">
              <w:rPr>
                <w:lang w:val="lv-LV"/>
              </w:rPr>
              <w:t>4</w:t>
            </w:r>
            <w:r w:rsidRPr="00F67057">
              <w:rPr>
                <w:lang w:val="lv-LV"/>
              </w:rPr>
              <w:t>. gadu</w:t>
            </w:r>
          </w:p>
        </w:tc>
      </w:tr>
      <w:tr w:rsidR="00855289" w:rsidRPr="00F67057" w:rsidTr="009045B4">
        <w:trPr>
          <w:jc w:val="center"/>
        </w:trPr>
        <w:tc>
          <w:tcPr>
            <w:tcW w:w="2812" w:type="dxa"/>
            <w:tcBorders>
              <w:top w:val="single" w:sz="4" w:space="0" w:color="auto"/>
              <w:left w:val="single" w:sz="4" w:space="0" w:color="auto"/>
              <w:bottom w:val="single" w:sz="4" w:space="0" w:color="auto"/>
              <w:right w:val="single" w:sz="4" w:space="0" w:color="auto"/>
            </w:tcBorders>
            <w:vAlign w:val="center"/>
          </w:tcPr>
          <w:p w:rsidR="00855289" w:rsidRPr="00F67057" w:rsidRDefault="00855289" w:rsidP="009045B4">
            <w:pPr>
              <w:pStyle w:val="naisf"/>
              <w:spacing w:before="0" w:after="0"/>
              <w:jc w:val="center"/>
              <w:rPr>
                <w:lang w:val="lv-LV"/>
              </w:rPr>
            </w:pPr>
            <w:r w:rsidRPr="00F67057">
              <w:rPr>
                <w:lang w:val="lv-LV"/>
              </w:rPr>
              <w:t>1</w:t>
            </w:r>
          </w:p>
        </w:tc>
        <w:tc>
          <w:tcPr>
            <w:tcW w:w="1330" w:type="dxa"/>
            <w:tcBorders>
              <w:top w:val="single" w:sz="4" w:space="0" w:color="auto"/>
              <w:left w:val="single" w:sz="4" w:space="0" w:color="auto"/>
              <w:bottom w:val="single" w:sz="4" w:space="0" w:color="auto"/>
              <w:right w:val="single" w:sz="4" w:space="0" w:color="auto"/>
            </w:tcBorders>
            <w:vAlign w:val="center"/>
          </w:tcPr>
          <w:p w:rsidR="00855289" w:rsidRPr="00F67057" w:rsidRDefault="00855289" w:rsidP="009045B4">
            <w:pPr>
              <w:pStyle w:val="naisf"/>
              <w:spacing w:before="0" w:after="0"/>
              <w:jc w:val="center"/>
              <w:rPr>
                <w:lang w:val="lv-LV"/>
              </w:rPr>
            </w:pPr>
            <w:r w:rsidRPr="00F67057">
              <w:rPr>
                <w:lang w:val="lv-LV"/>
              </w:rPr>
              <w:t>2</w:t>
            </w:r>
          </w:p>
        </w:tc>
        <w:tc>
          <w:tcPr>
            <w:tcW w:w="1354" w:type="dxa"/>
            <w:tcBorders>
              <w:top w:val="single" w:sz="4" w:space="0" w:color="auto"/>
              <w:left w:val="single" w:sz="4" w:space="0" w:color="auto"/>
              <w:bottom w:val="single" w:sz="4" w:space="0" w:color="auto"/>
              <w:right w:val="single" w:sz="4" w:space="0" w:color="auto"/>
            </w:tcBorders>
            <w:vAlign w:val="center"/>
          </w:tcPr>
          <w:p w:rsidR="00855289" w:rsidRPr="00F67057" w:rsidRDefault="00855289" w:rsidP="009045B4">
            <w:pPr>
              <w:pStyle w:val="naisf"/>
              <w:spacing w:before="0" w:after="0"/>
              <w:jc w:val="center"/>
              <w:rPr>
                <w:lang w:val="lv-LV"/>
              </w:rPr>
            </w:pPr>
            <w:r w:rsidRPr="00F67057">
              <w:rPr>
                <w:lang w:val="lv-LV"/>
              </w:rPr>
              <w:t>3</w:t>
            </w:r>
          </w:p>
        </w:tc>
        <w:tc>
          <w:tcPr>
            <w:tcW w:w="1354" w:type="dxa"/>
            <w:tcBorders>
              <w:top w:val="single" w:sz="4" w:space="0" w:color="auto"/>
              <w:left w:val="single" w:sz="4" w:space="0" w:color="auto"/>
              <w:bottom w:val="single" w:sz="4" w:space="0" w:color="auto"/>
              <w:right w:val="single" w:sz="4" w:space="0" w:color="auto"/>
            </w:tcBorders>
            <w:vAlign w:val="center"/>
          </w:tcPr>
          <w:p w:rsidR="00855289" w:rsidRPr="00F67057" w:rsidRDefault="00855289" w:rsidP="009045B4">
            <w:pPr>
              <w:pStyle w:val="naisf"/>
              <w:spacing w:before="0" w:after="0"/>
              <w:jc w:val="center"/>
              <w:rPr>
                <w:lang w:val="lv-LV"/>
              </w:rPr>
            </w:pPr>
            <w:r w:rsidRPr="00F67057">
              <w:rPr>
                <w:lang w:val="lv-LV"/>
              </w:rPr>
              <w:t>4</w:t>
            </w:r>
          </w:p>
        </w:tc>
        <w:tc>
          <w:tcPr>
            <w:tcW w:w="1355" w:type="dxa"/>
            <w:tcBorders>
              <w:top w:val="single" w:sz="4" w:space="0" w:color="auto"/>
              <w:left w:val="single" w:sz="4" w:space="0" w:color="auto"/>
              <w:bottom w:val="single" w:sz="4" w:space="0" w:color="auto"/>
              <w:right w:val="single" w:sz="4" w:space="0" w:color="auto"/>
            </w:tcBorders>
            <w:vAlign w:val="center"/>
          </w:tcPr>
          <w:p w:rsidR="00855289" w:rsidRPr="00F67057" w:rsidRDefault="00855289" w:rsidP="009045B4">
            <w:pPr>
              <w:pStyle w:val="naisf"/>
              <w:spacing w:before="0" w:after="0"/>
              <w:jc w:val="center"/>
              <w:rPr>
                <w:lang w:val="lv-LV"/>
              </w:rPr>
            </w:pPr>
            <w:r w:rsidRPr="00F67057">
              <w:rPr>
                <w:lang w:val="lv-LV"/>
              </w:rPr>
              <w:t>5</w:t>
            </w:r>
          </w:p>
        </w:tc>
        <w:tc>
          <w:tcPr>
            <w:tcW w:w="1748" w:type="dxa"/>
            <w:tcBorders>
              <w:top w:val="single" w:sz="4" w:space="0" w:color="auto"/>
              <w:left w:val="single" w:sz="4" w:space="0" w:color="auto"/>
              <w:bottom w:val="single" w:sz="4" w:space="0" w:color="auto"/>
              <w:right w:val="single" w:sz="4" w:space="0" w:color="auto"/>
            </w:tcBorders>
            <w:vAlign w:val="center"/>
          </w:tcPr>
          <w:p w:rsidR="00855289" w:rsidRPr="00F67057" w:rsidRDefault="00855289" w:rsidP="009045B4">
            <w:pPr>
              <w:pStyle w:val="naisf"/>
              <w:spacing w:before="0" w:after="0"/>
              <w:jc w:val="center"/>
              <w:rPr>
                <w:lang w:val="lv-LV"/>
              </w:rPr>
            </w:pPr>
            <w:r w:rsidRPr="00F67057">
              <w:rPr>
                <w:lang w:val="lv-LV"/>
              </w:rPr>
              <w:t>6</w:t>
            </w:r>
          </w:p>
        </w:tc>
      </w:tr>
      <w:tr w:rsidR="00804872" w:rsidRPr="00F67057" w:rsidTr="001228BD">
        <w:trPr>
          <w:jc w:val="center"/>
        </w:trPr>
        <w:tc>
          <w:tcPr>
            <w:tcW w:w="2812" w:type="dxa"/>
            <w:tcBorders>
              <w:top w:val="single" w:sz="4" w:space="0" w:color="auto"/>
              <w:left w:val="single" w:sz="4" w:space="0" w:color="auto"/>
              <w:bottom w:val="single" w:sz="4" w:space="0" w:color="auto"/>
              <w:right w:val="single" w:sz="4" w:space="0" w:color="auto"/>
            </w:tcBorders>
          </w:tcPr>
          <w:p w:rsidR="00804872" w:rsidRPr="00F67057" w:rsidRDefault="00804872" w:rsidP="009045B4">
            <w:pPr>
              <w:pStyle w:val="naisf"/>
              <w:spacing w:before="0" w:after="0"/>
              <w:rPr>
                <w:i/>
                <w:iCs/>
                <w:lang w:val="lv-LV"/>
              </w:rPr>
            </w:pPr>
            <w:r w:rsidRPr="00F67057">
              <w:rPr>
                <w:lang w:val="lv-LV"/>
              </w:rPr>
              <w:t>1. Budžeta ieņēmumi:</w:t>
            </w:r>
          </w:p>
        </w:tc>
        <w:tc>
          <w:tcPr>
            <w:tcW w:w="1330" w:type="dxa"/>
            <w:tcBorders>
              <w:top w:val="single" w:sz="4" w:space="0" w:color="auto"/>
              <w:left w:val="single" w:sz="4" w:space="0" w:color="auto"/>
              <w:bottom w:val="single" w:sz="4" w:space="0" w:color="auto"/>
              <w:right w:val="single" w:sz="4" w:space="0" w:color="auto"/>
            </w:tcBorders>
            <w:vAlign w:val="center"/>
          </w:tcPr>
          <w:p w:rsidR="00804872" w:rsidRPr="00F67057" w:rsidRDefault="00804872" w:rsidP="00804872">
            <w:pPr>
              <w:pStyle w:val="naisf"/>
              <w:spacing w:before="0" w:after="0"/>
              <w:rPr>
                <w:b/>
                <w:bCs/>
                <w:i/>
                <w:iCs/>
                <w:lang w:val="lv-LV"/>
              </w:rPr>
            </w:pPr>
            <w:r w:rsidRPr="00F67057">
              <w:rPr>
                <w:b/>
                <w:bCs/>
                <w:i/>
                <w:iCs/>
                <w:lang w:val="lv-LV"/>
              </w:rPr>
              <w:t>21 263</w:t>
            </w:r>
          </w:p>
        </w:tc>
        <w:tc>
          <w:tcPr>
            <w:tcW w:w="1354" w:type="dxa"/>
            <w:tcBorders>
              <w:top w:val="single" w:sz="4" w:space="0" w:color="auto"/>
              <w:left w:val="single" w:sz="4" w:space="0" w:color="auto"/>
              <w:bottom w:val="single" w:sz="4" w:space="0" w:color="auto"/>
              <w:right w:val="single" w:sz="4" w:space="0" w:color="auto"/>
            </w:tcBorders>
            <w:vAlign w:val="center"/>
          </w:tcPr>
          <w:p w:rsidR="00804872" w:rsidRPr="00F67057" w:rsidRDefault="00804872" w:rsidP="00804872">
            <w:pPr>
              <w:pStyle w:val="naisf"/>
              <w:spacing w:before="0" w:after="0"/>
              <w:rPr>
                <w:b/>
                <w:bCs/>
                <w:i/>
                <w:iCs/>
                <w:lang w:val="lv-LV"/>
              </w:rPr>
            </w:pPr>
            <w:r w:rsidRPr="00F67057">
              <w:rPr>
                <w:b/>
                <w:bCs/>
                <w:i/>
                <w:iCs/>
                <w:lang w:val="lv-LV"/>
              </w:rPr>
              <w:t>0</w:t>
            </w:r>
          </w:p>
        </w:tc>
        <w:tc>
          <w:tcPr>
            <w:tcW w:w="1354" w:type="dxa"/>
            <w:tcBorders>
              <w:top w:val="single" w:sz="4" w:space="0" w:color="auto"/>
              <w:left w:val="single" w:sz="4" w:space="0" w:color="auto"/>
              <w:bottom w:val="single" w:sz="4" w:space="0" w:color="auto"/>
              <w:right w:val="single" w:sz="4" w:space="0" w:color="auto"/>
            </w:tcBorders>
            <w:vAlign w:val="center"/>
          </w:tcPr>
          <w:p w:rsidR="00804872" w:rsidRPr="00F67057" w:rsidRDefault="00D30468" w:rsidP="00804872">
            <w:pPr>
              <w:pStyle w:val="naisf"/>
              <w:spacing w:before="0" w:after="0"/>
              <w:rPr>
                <w:b/>
                <w:bCs/>
                <w:i/>
                <w:iCs/>
                <w:lang w:val="lv-LV"/>
              </w:rPr>
            </w:pPr>
            <w:r w:rsidRPr="00F67057">
              <w:rPr>
                <w:b/>
                <w:bCs/>
                <w:i/>
                <w:iCs/>
                <w:lang w:val="lv-LV"/>
              </w:rPr>
              <w:t>-477</w:t>
            </w:r>
          </w:p>
        </w:tc>
        <w:tc>
          <w:tcPr>
            <w:tcW w:w="1355" w:type="dxa"/>
            <w:tcBorders>
              <w:top w:val="single" w:sz="4" w:space="0" w:color="auto"/>
              <w:left w:val="single" w:sz="4" w:space="0" w:color="auto"/>
              <w:bottom w:val="single" w:sz="4" w:space="0" w:color="auto"/>
              <w:right w:val="single" w:sz="4" w:space="0" w:color="auto"/>
            </w:tcBorders>
            <w:vAlign w:val="center"/>
          </w:tcPr>
          <w:p w:rsidR="00804872" w:rsidRPr="00F67057" w:rsidRDefault="00804872" w:rsidP="00804872">
            <w:pPr>
              <w:pStyle w:val="naisf"/>
              <w:spacing w:before="0" w:after="0"/>
              <w:rPr>
                <w:b/>
                <w:bCs/>
                <w:i/>
                <w:iCs/>
                <w:lang w:val="lv-LV"/>
              </w:rPr>
            </w:pPr>
            <w:r w:rsidRPr="00F67057">
              <w:rPr>
                <w:b/>
                <w:bCs/>
                <w:i/>
                <w:iCs/>
                <w:lang w:val="lv-LV"/>
              </w:rPr>
              <w:t>-21 263</w:t>
            </w:r>
          </w:p>
        </w:tc>
        <w:tc>
          <w:tcPr>
            <w:tcW w:w="1748" w:type="dxa"/>
            <w:tcBorders>
              <w:top w:val="single" w:sz="4" w:space="0" w:color="auto"/>
              <w:left w:val="single" w:sz="4" w:space="0" w:color="auto"/>
              <w:bottom w:val="single" w:sz="4" w:space="0" w:color="auto"/>
              <w:right w:val="single" w:sz="4" w:space="0" w:color="auto"/>
            </w:tcBorders>
            <w:vAlign w:val="center"/>
          </w:tcPr>
          <w:p w:rsidR="00804872" w:rsidRPr="00F67057" w:rsidRDefault="00804872" w:rsidP="00804872">
            <w:pPr>
              <w:pStyle w:val="naisf"/>
              <w:spacing w:before="0" w:after="0"/>
              <w:rPr>
                <w:b/>
                <w:bCs/>
                <w:i/>
                <w:iCs/>
                <w:lang w:val="lv-LV"/>
              </w:rPr>
            </w:pPr>
            <w:r w:rsidRPr="00F67057">
              <w:rPr>
                <w:b/>
                <w:bCs/>
                <w:i/>
                <w:iCs/>
                <w:lang w:val="lv-LV"/>
              </w:rPr>
              <w:t>-21 263</w:t>
            </w:r>
          </w:p>
        </w:tc>
      </w:tr>
      <w:tr w:rsidR="00804872" w:rsidRPr="00F67057" w:rsidTr="001228BD">
        <w:trPr>
          <w:jc w:val="center"/>
        </w:trPr>
        <w:tc>
          <w:tcPr>
            <w:tcW w:w="2812" w:type="dxa"/>
            <w:tcBorders>
              <w:top w:val="single" w:sz="4" w:space="0" w:color="auto"/>
              <w:left w:val="single" w:sz="4" w:space="0" w:color="auto"/>
              <w:bottom w:val="single" w:sz="4" w:space="0" w:color="auto"/>
              <w:right w:val="single" w:sz="4" w:space="0" w:color="auto"/>
            </w:tcBorders>
          </w:tcPr>
          <w:p w:rsidR="00804872" w:rsidRPr="00F67057" w:rsidRDefault="00804872" w:rsidP="009045B4">
            <w:pPr>
              <w:pStyle w:val="naisf"/>
              <w:spacing w:before="0" w:after="0"/>
              <w:rPr>
                <w:i/>
                <w:iCs/>
                <w:lang w:val="lv-LV"/>
              </w:rPr>
            </w:pPr>
            <w:r w:rsidRPr="00F67057">
              <w:rPr>
                <w:lang w:val="lv-LV"/>
              </w:rPr>
              <w:t>1.1. valsts pamatbudžets, tai skaitā ieņēmumi no maksas pakalpojumiem un citi pašu ieņēmumi</w:t>
            </w:r>
          </w:p>
        </w:tc>
        <w:tc>
          <w:tcPr>
            <w:tcW w:w="1330" w:type="dxa"/>
            <w:tcBorders>
              <w:top w:val="single" w:sz="4" w:space="0" w:color="auto"/>
              <w:left w:val="single" w:sz="4" w:space="0" w:color="auto"/>
              <w:bottom w:val="single" w:sz="4" w:space="0" w:color="auto"/>
              <w:right w:val="single" w:sz="4" w:space="0" w:color="auto"/>
            </w:tcBorders>
            <w:vAlign w:val="center"/>
          </w:tcPr>
          <w:p w:rsidR="00804872" w:rsidRPr="00F67057" w:rsidRDefault="00804872" w:rsidP="001228BD">
            <w:pPr>
              <w:pStyle w:val="naisf"/>
              <w:spacing w:before="0" w:after="0"/>
              <w:rPr>
                <w:bCs/>
                <w:iCs/>
                <w:lang w:val="lv-LV"/>
              </w:rPr>
            </w:pPr>
            <w:r w:rsidRPr="00F67057">
              <w:rPr>
                <w:bCs/>
                <w:iCs/>
                <w:lang w:val="lv-LV"/>
              </w:rPr>
              <w:t>21 263</w:t>
            </w:r>
          </w:p>
        </w:tc>
        <w:tc>
          <w:tcPr>
            <w:tcW w:w="1354" w:type="dxa"/>
            <w:tcBorders>
              <w:top w:val="single" w:sz="4" w:space="0" w:color="auto"/>
              <w:left w:val="single" w:sz="4" w:space="0" w:color="auto"/>
              <w:bottom w:val="single" w:sz="4" w:space="0" w:color="auto"/>
              <w:right w:val="single" w:sz="4" w:space="0" w:color="auto"/>
            </w:tcBorders>
            <w:vAlign w:val="center"/>
          </w:tcPr>
          <w:p w:rsidR="00804872" w:rsidRPr="00F67057" w:rsidRDefault="00804872" w:rsidP="001228BD">
            <w:pPr>
              <w:pStyle w:val="naisf"/>
              <w:spacing w:before="0" w:after="0"/>
              <w:rPr>
                <w:bCs/>
                <w:iCs/>
                <w:lang w:val="lv-LV"/>
              </w:rPr>
            </w:pPr>
            <w:r w:rsidRPr="00F67057">
              <w:rPr>
                <w:bCs/>
                <w:iCs/>
                <w:lang w:val="lv-LV"/>
              </w:rPr>
              <w:t>0</w:t>
            </w:r>
          </w:p>
        </w:tc>
        <w:tc>
          <w:tcPr>
            <w:tcW w:w="1354" w:type="dxa"/>
            <w:tcBorders>
              <w:top w:val="single" w:sz="4" w:space="0" w:color="auto"/>
              <w:left w:val="single" w:sz="4" w:space="0" w:color="auto"/>
              <w:bottom w:val="single" w:sz="4" w:space="0" w:color="auto"/>
              <w:right w:val="single" w:sz="4" w:space="0" w:color="auto"/>
            </w:tcBorders>
            <w:vAlign w:val="center"/>
          </w:tcPr>
          <w:p w:rsidR="00804872" w:rsidRPr="00F67057" w:rsidRDefault="00D30468" w:rsidP="001228BD">
            <w:pPr>
              <w:pStyle w:val="naisf"/>
              <w:spacing w:before="0" w:after="0"/>
              <w:rPr>
                <w:bCs/>
                <w:iCs/>
                <w:lang w:val="lv-LV"/>
              </w:rPr>
            </w:pPr>
            <w:r w:rsidRPr="00F67057">
              <w:rPr>
                <w:bCs/>
                <w:iCs/>
                <w:lang w:val="lv-LV"/>
              </w:rPr>
              <w:t>-477</w:t>
            </w:r>
          </w:p>
        </w:tc>
        <w:tc>
          <w:tcPr>
            <w:tcW w:w="1355" w:type="dxa"/>
            <w:tcBorders>
              <w:top w:val="single" w:sz="4" w:space="0" w:color="auto"/>
              <w:left w:val="single" w:sz="4" w:space="0" w:color="auto"/>
              <w:bottom w:val="single" w:sz="4" w:space="0" w:color="auto"/>
              <w:right w:val="single" w:sz="4" w:space="0" w:color="auto"/>
            </w:tcBorders>
            <w:vAlign w:val="center"/>
          </w:tcPr>
          <w:p w:rsidR="00804872" w:rsidRPr="00F67057" w:rsidRDefault="00804872" w:rsidP="001228BD">
            <w:pPr>
              <w:pStyle w:val="naisf"/>
              <w:spacing w:before="0" w:after="0"/>
              <w:rPr>
                <w:bCs/>
                <w:iCs/>
                <w:lang w:val="lv-LV"/>
              </w:rPr>
            </w:pPr>
            <w:r w:rsidRPr="00F67057">
              <w:rPr>
                <w:bCs/>
                <w:iCs/>
                <w:lang w:val="lv-LV"/>
              </w:rPr>
              <w:t>-21 263</w:t>
            </w:r>
          </w:p>
        </w:tc>
        <w:tc>
          <w:tcPr>
            <w:tcW w:w="1748" w:type="dxa"/>
            <w:tcBorders>
              <w:top w:val="single" w:sz="4" w:space="0" w:color="auto"/>
              <w:left w:val="single" w:sz="4" w:space="0" w:color="auto"/>
              <w:bottom w:val="single" w:sz="4" w:space="0" w:color="auto"/>
              <w:right w:val="single" w:sz="4" w:space="0" w:color="auto"/>
            </w:tcBorders>
            <w:vAlign w:val="center"/>
          </w:tcPr>
          <w:p w:rsidR="00804872" w:rsidRPr="00F67057" w:rsidRDefault="00804872" w:rsidP="001228BD">
            <w:pPr>
              <w:pStyle w:val="naisf"/>
              <w:spacing w:before="0" w:after="0"/>
              <w:rPr>
                <w:bCs/>
                <w:iCs/>
                <w:lang w:val="lv-LV"/>
              </w:rPr>
            </w:pPr>
            <w:r w:rsidRPr="00F67057">
              <w:rPr>
                <w:bCs/>
                <w:iCs/>
                <w:lang w:val="lv-LV"/>
              </w:rPr>
              <w:t>-21 263</w:t>
            </w:r>
          </w:p>
        </w:tc>
      </w:tr>
      <w:tr w:rsidR="00855289" w:rsidRPr="00F67057" w:rsidTr="009045B4">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i/>
                <w:iCs/>
                <w:lang w:val="lv-LV"/>
              </w:rPr>
            </w:pPr>
            <w:r w:rsidRPr="00F67057">
              <w:rPr>
                <w:lang w:val="lv-LV"/>
              </w:rPr>
              <w:t>1.2. valsts speciālais budžets</w:t>
            </w:r>
          </w:p>
        </w:tc>
        <w:tc>
          <w:tcPr>
            <w:tcW w:w="1330"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5"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748"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r>
      <w:tr w:rsidR="00855289" w:rsidRPr="00F67057" w:rsidTr="009045B4">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i/>
                <w:iCs/>
                <w:lang w:val="lv-LV"/>
              </w:rPr>
            </w:pPr>
            <w:r w:rsidRPr="00F67057">
              <w:rPr>
                <w:lang w:val="lv-LV"/>
              </w:rPr>
              <w:t>1.3. pašvaldību budžets</w:t>
            </w:r>
          </w:p>
        </w:tc>
        <w:tc>
          <w:tcPr>
            <w:tcW w:w="1330"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5"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748"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r>
      <w:tr w:rsidR="000C075A" w:rsidRPr="00F67057" w:rsidTr="001228BD">
        <w:trPr>
          <w:jc w:val="center"/>
        </w:trPr>
        <w:tc>
          <w:tcPr>
            <w:tcW w:w="2812" w:type="dxa"/>
            <w:tcBorders>
              <w:top w:val="single" w:sz="4" w:space="0" w:color="auto"/>
              <w:left w:val="single" w:sz="4" w:space="0" w:color="auto"/>
              <w:bottom w:val="single" w:sz="4" w:space="0" w:color="auto"/>
              <w:right w:val="single" w:sz="4" w:space="0" w:color="auto"/>
            </w:tcBorders>
          </w:tcPr>
          <w:p w:rsidR="000C075A" w:rsidRPr="00F67057" w:rsidRDefault="000C075A" w:rsidP="009045B4">
            <w:pPr>
              <w:jc w:val="both"/>
            </w:pPr>
            <w:r w:rsidRPr="00F67057">
              <w:t>2. Budžeta izdevumi:</w:t>
            </w:r>
          </w:p>
        </w:tc>
        <w:tc>
          <w:tcPr>
            <w:tcW w:w="1330" w:type="dxa"/>
            <w:tcBorders>
              <w:top w:val="single" w:sz="4" w:space="0" w:color="auto"/>
              <w:left w:val="single" w:sz="4" w:space="0" w:color="auto"/>
              <w:bottom w:val="single" w:sz="4" w:space="0" w:color="auto"/>
              <w:right w:val="single" w:sz="4" w:space="0" w:color="auto"/>
            </w:tcBorders>
            <w:vAlign w:val="center"/>
          </w:tcPr>
          <w:p w:rsidR="000C075A" w:rsidRPr="00F67057" w:rsidRDefault="000C075A" w:rsidP="000C075A">
            <w:pPr>
              <w:pStyle w:val="naisf"/>
              <w:spacing w:before="0" w:after="0"/>
              <w:rPr>
                <w:b/>
                <w:bCs/>
                <w:i/>
                <w:iCs/>
                <w:lang w:val="lv-LV"/>
              </w:rPr>
            </w:pPr>
            <w:r w:rsidRPr="00F67057">
              <w:rPr>
                <w:b/>
                <w:bCs/>
                <w:i/>
                <w:iCs/>
                <w:lang w:val="lv-LV"/>
              </w:rPr>
              <w:t>23 532</w:t>
            </w:r>
          </w:p>
        </w:tc>
        <w:tc>
          <w:tcPr>
            <w:tcW w:w="1354" w:type="dxa"/>
            <w:tcBorders>
              <w:top w:val="single" w:sz="4" w:space="0" w:color="auto"/>
              <w:left w:val="single" w:sz="4" w:space="0" w:color="auto"/>
              <w:bottom w:val="single" w:sz="4" w:space="0" w:color="auto"/>
              <w:right w:val="single" w:sz="4" w:space="0" w:color="auto"/>
            </w:tcBorders>
            <w:vAlign w:val="center"/>
          </w:tcPr>
          <w:p w:rsidR="000C075A" w:rsidRPr="00F67057" w:rsidRDefault="000C075A" w:rsidP="000C075A">
            <w:pPr>
              <w:pStyle w:val="naisf"/>
              <w:spacing w:before="0" w:after="0"/>
              <w:rPr>
                <w:b/>
                <w:bCs/>
                <w:i/>
                <w:iCs/>
                <w:lang w:val="lv-LV"/>
              </w:rPr>
            </w:pPr>
            <w:r w:rsidRPr="00F67057">
              <w:rPr>
                <w:b/>
                <w:bCs/>
                <w:i/>
                <w:iCs/>
                <w:lang w:val="lv-LV"/>
              </w:rPr>
              <w:t>0</w:t>
            </w:r>
          </w:p>
        </w:tc>
        <w:tc>
          <w:tcPr>
            <w:tcW w:w="1354" w:type="dxa"/>
            <w:tcBorders>
              <w:top w:val="single" w:sz="4" w:space="0" w:color="auto"/>
              <w:left w:val="single" w:sz="4" w:space="0" w:color="auto"/>
              <w:bottom w:val="single" w:sz="4" w:space="0" w:color="auto"/>
              <w:right w:val="single" w:sz="4" w:space="0" w:color="auto"/>
            </w:tcBorders>
            <w:vAlign w:val="center"/>
          </w:tcPr>
          <w:p w:rsidR="000C075A" w:rsidRPr="00F67057" w:rsidRDefault="00D30468" w:rsidP="000C075A">
            <w:pPr>
              <w:pStyle w:val="naisf"/>
              <w:spacing w:before="0" w:after="0"/>
              <w:rPr>
                <w:b/>
                <w:bCs/>
                <w:i/>
                <w:iCs/>
                <w:lang w:val="lv-LV"/>
              </w:rPr>
            </w:pPr>
            <w:r w:rsidRPr="00F67057">
              <w:rPr>
                <w:b/>
                <w:bCs/>
                <w:i/>
                <w:iCs/>
                <w:lang w:val="lv-LV"/>
              </w:rPr>
              <w:t>-2 451</w:t>
            </w:r>
          </w:p>
        </w:tc>
        <w:tc>
          <w:tcPr>
            <w:tcW w:w="1355" w:type="dxa"/>
            <w:tcBorders>
              <w:top w:val="single" w:sz="4" w:space="0" w:color="auto"/>
              <w:left w:val="single" w:sz="4" w:space="0" w:color="auto"/>
              <w:bottom w:val="single" w:sz="4" w:space="0" w:color="auto"/>
              <w:right w:val="single" w:sz="4" w:space="0" w:color="auto"/>
            </w:tcBorders>
            <w:vAlign w:val="center"/>
          </w:tcPr>
          <w:p w:rsidR="000C075A" w:rsidRPr="00F67057" w:rsidRDefault="000C075A" w:rsidP="000C075A">
            <w:pPr>
              <w:pStyle w:val="naisf"/>
              <w:spacing w:before="0" w:after="0"/>
              <w:rPr>
                <w:b/>
                <w:bCs/>
                <w:i/>
                <w:iCs/>
                <w:lang w:val="lv-LV"/>
              </w:rPr>
            </w:pPr>
            <w:r w:rsidRPr="00F67057">
              <w:rPr>
                <w:b/>
                <w:bCs/>
                <w:i/>
                <w:iCs/>
                <w:lang w:val="lv-LV"/>
              </w:rPr>
              <w:t>-23 532</w:t>
            </w:r>
          </w:p>
        </w:tc>
        <w:tc>
          <w:tcPr>
            <w:tcW w:w="1748" w:type="dxa"/>
            <w:tcBorders>
              <w:top w:val="single" w:sz="4" w:space="0" w:color="auto"/>
              <w:left w:val="single" w:sz="4" w:space="0" w:color="auto"/>
              <w:bottom w:val="single" w:sz="4" w:space="0" w:color="auto"/>
              <w:right w:val="single" w:sz="4" w:space="0" w:color="auto"/>
            </w:tcBorders>
            <w:vAlign w:val="center"/>
          </w:tcPr>
          <w:p w:rsidR="000C075A" w:rsidRPr="00F67057" w:rsidRDefault="000C075A" w:rsidP="000C075A">
            <w:pPr>
              <w:pStyle w:val="naisf"/>
              <w:spacing w:before="0" w:after="0"/>
              <w:rPr>
                <w:b/>
                <w:bCs/>
                <w:i/>
                <w:iCs/>
                <w:lang w:val="lv-LV"/>
              </w:rPr>
            </w:pPr>
            <w:r w:rsidRPr="00F67057">
              <w:rPr>
                <w:b/>
                <w:bCs/>
                <w:i/>
                <w:iCs/>
                <w:lang w:val="lv-LV"/>
              </w:rPr>
              <w:t>-23 532</w:t>
            </w:r>
          </w:p>
        </w:tc>
      </w:tr>
      <w:tr w:rsidR="000C075A" w:rsidRPr="00F67057" w:rsidTr="001228BD">
        <w:trPr>
          <w:jc w:val="center"/>
        </w:trPr>
        <w:tc>
          <w:tcPr>
            <w:tcW w:w="2812" w:type="dxa"/>
            <w:tcBorders>
              <w:top w:val="single" w:sz="4" w:space="0" w:color="auto"/>
              <w:left w:val="single" w:sz="4" w:space="0" w:color="auto"/>
              <w:bottom w:val="single" w:sz="4" w:space="0" w:color="auto"/>
              <w:right w:val="single" w:sz="4" w:space="0" w:color="auto"/>
            </w:tcBorders>
          </w:tcPr>
          <w:p w:rsidR="000C075A" w:rsidRPr="00F67057" w:rsidRDefault="000C075A" w:rsidP="009045B4">
            <w:pPr>
              <w:jc w:val="both"/>
            </w:pPr>
            <w:r w:rsidRPr="00F67057">
              <w:t>2.1. valsts pamatbudžets</w:t>
            </w:r>
          </w:p>
        </w:tc>
        <w:tc>
          <w:tcPr>
            <w:tcW w:w="1330" w:type="dxa"/>
            <w:tcBorders>
              <w:top w:val="single" w:sz="4" w:space="0" w:color="auto"/>
              <w:left w:val="single" w:sz="4" w:space="0" w:color="auto"/>
              <w:bottom w:val="single" w:sz="4" w:space="0" w:color="auto"/>
              <w:right w:val="single" w:sz="4" w:space="0" w:color="auto"/>
            </w:tcBorders>
            <w:vAlign w:val="center"/>
          </w:tcPr>
          <w:p w:rsidR="000C075A" w:rsidRPr="00F67057" w:rsidRDefault="000C075A" w:rsidP="000C075A">
            <w:pPr>
              <w:pStyle w:val="naisf"/>
              <w:spacing w:before="0" w:after="0"/>
              <w:rPr>
                <w:lang w:val="lv-LV"/>
              </w:rPr>
            </w:pPr>
            <w:r w:rsidRPr="00F67057">
              <w:rPr>
                <w:lang w:val="lv-LV"/>
              </w:rPr>
              <w:t>23 532</w:t>
            </w:r>
          </w:p>
        </w:tc>
        <w:tc>
          <w:tcPr>
            <w:tcW w:w="1354" w:type="dxa"/>
            <w:tcBorders>
              <w:top w:val="single" w:sz="4" w:space="0" w:color="auto"/>
              <w:left w:val="single" w:sz="4" w:space="0" w:color="auto"/>
              <w:bottom w:val="single" w:sz="4" w:space="0" w:color="auto"/>
              <w:right w:val="single" w:sz="4" w:space="0" w:color="auto"/>
            </w:tcBorders>
            <w:vAlign w:val="center"/>
          </w:tcPr>
          <w:p w:rsidR="000C075A" w:rsidRPr="00F67057" w:rsidRDefault="000C075A" w:rsidP="000C075A">
            <w:pPr>
              <w:pStyle w:val="naisf"/>
              <w:spacing w:before="0" w:after="0"/>
              <w:rPr>
                <w:lang w:val="lv-LV"/>
              </w:rPr>
            </w:pPr>
            <w:r w:rsidRPr="00F67057">
              <w:rPr>
                <w:lang w:val="lv-LV"/>
              </w:rPr>
              <w:t>0</w:t>
            </w:r>
          </w:p>
        </w:tc>
        <w:tc>
          <w:tcPr>
            <w:tcW w:w="1354" w:type="dxa"/>
            <w:tcBorders>
              <w:top w:val="single" w:sz="4" w:space="0" w:color="auto"/>
              <w:left w:val="single" w:sz="4" w:space="0" w:color="auto"/>
              <w:bottom w:val="single" w:sz="4" w:space="0" w:color="auto"/>
              <w:right w:val="single" w:sz="4" w:space="0" w:color="auto"/>
            </w:tcBorders>
            <w:vAlign w:val="center"/>
          </w:tcPr>
          <w:p w:rsidR="000C075A" w:rsidRPr="00F67057" w:rsidRDefault="00D30468" w:rsidP="000C075A">
            <w:pPr>
              <w:pStyle w:val="naisf"/>
              <w:spacing w:before="0" w:after="0"/>
              <w:rPr>
                <w:lang w:val="lv-LV"/>
              </w:rPr>
            </w:pPr>
            <w:r w:rsidRPr="00F67057">
              <w:rPr>
                <w:lang w:val="lv-LV"/>
              </w:rPr>
              <w:t>-2 451</w:t>
            </w:r>
          </w:p>
        </w:tc>
        <w:tc>
          <w:tcPr>
            <w:tcW w:w="1355" w:type="dxa"/>
            <w:tcBorders>
              <w:top w:val="single" w:sz="4" w:space="0" w:color="auto"/>
              <w:left w:val="single" w:sz="4" w:space="0" w:color="auto"/>
              <w:bottom w:val="single" w:sz="4" w:space="0" w:color="auto"/>
              <w:right w:val="single" w:sz="4" w:space="0" w:color="auto"/>
            </w:tcBorders>
            <w:vAlign w:val="center"/>
          </w:tcPr>
          <w:p w:rsidR="000C075A" w:rsidRPr="00F67057" w:rsidRDefault="000C075A" w:rsidP="000C075A">
            <w:pPr>
              <w:pStyle w:val="naisf"/>
              <w:spacing w:before="0" w:after="0"/>
              <w:rPr>
                <w:lang w:val="lv-LV"/>
              </w:rPr>
            </w:pPr>
            <w:r w:rsidRPr="00F67057">
              <w:rPr>
                <w:lang w:val="lv-LV"/>
              </w:rPr>
              <w:t>-23 532</w:t>
            </w:r>
          </w:p>
        </w:tc>
        <w:tc>
          <w:tcPr>
            <w:tcW w:w="1748" w:type="dxa"/>
            <w:tcBorders>
              <w:top w:val="single" w:sz="4" w:space="0" w:color="auto"/>
              <w:left w:val="single" w:sz="4" w:space="0" w:color="auto"/>
              <w:bottom w:val="single" w:sz="4" w:space="0" w:color="auto"/>
              <w:right w:val="single" w:sz="4" w:space="0" w:color="auto"/>
            </w:tcBorders>
            <w:vAlign w:val="center"/>
          </w:tcPr>
          <w:p w:rsidR="000C075A" w:rsidRPr="00F67057" w:rsidRDefault="000C075A" w:rsidP="000C075A">
            <w:pPr>
              <w:pStyle w:val="naisf"/>
              <w:spacing w:before="0" w:after="0"/>
              <w:rPr>
                <w:lang w:val="lv-LV"/>
              </w:rPr>
            </w:pPr>
            <w:r w:rsidRPr="00F67057">
              <w:rPr>
                <w:lang w:val="lv-LV"/>
              </w:rPr>
              <w:t>-23 532</w:t>
            </w:r>
          </w:p>
        </w:tc>
      </w:tr>
      <w:tr w:rsidR="00855289" w:rsidRPr="00F67057" w:rsidTr="009045B4">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jc w:val="both"/>
            </w:pPr>
            <w:r w:rsidRPr="00F67057">
              <w:t>2.2. valsts speciālais budžets</w:t>
            </w:r>
          </w:p>
        </w:tc>
        <w:tc>
          <w:tcPr>
            <w:tcW w:w="1330"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5"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748"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r>
      <w:tr w:rsidR="00855289" w:rsidRPr="00F67057" w:rsidTr="009045B4">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jc w:val="both"/>
            </w:pPr>
            <w:r w:rsidRPr="00F67057">
              <w:t xml:space="preserve">2.3. pašvaldību budžets </w:t>
            </w:r>
          </w:p>
        </w:tc>
        <w:tc>
          <w:tcPr>
            <w:tcW w:w="1330"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5"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748"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r>
      <w:tr w:rsidR="00277830" w:rsidRPr="00F67057" w:rsidTr="001228BD">
        <w:trPr>
          <w:jc w:val="center"/>
        </w:trPr>
        <w:tc>
          <w:tcPr>
            <w:tcW w:w="2812" w:type="dxa"/>
            <w:tcBorders>
              <w:top w:val="single" w:sz="4" w:space="0" w:color="auto"/>
              <w:left w:val="single" w:sz="4" w:space="0" w:color="auto"/>
              <w:bottom w:val="single" w:sz="4" w:space="0" w:color="auto"/>
              <w:right w:val="single" w:sz="4" w:space="0" w:color="auto"/>
            </w:tcBorders>
          </w:tcPr>
          <w:p w:rsidR="00277830" w:rsidRPr="00F67057" w:rsidRDefault="00277830" w:rsidP="009045B4">
            <w:pPr>
              <w:jc w:val="both"/>
            </w:pPr>
            <w:r w:rsidRPr="00F67057">
              <w:t>3. Finansiālā ietekme:</w:t>
            </w:r>
          </w:p>
        </w:tc>
        <w:tc>
          <w:tcPr>
            <w:tcW w:w="1330" w:type="dxa"/>
            <w:tcBorders>
              <w:top w:val="single" w:sz="4" w:space="0" w:color="auto"/>
              <w:left w:val="single" w:sz="4" w:space="0" w:color="auto"/>
              <w:bottom w:val="single" w:sz="4" w:space="0" w:color="auto"/>
              <w:right w:val="single" w:sz="4" w:space="0" w:color="auto"/>
            </w:tcBorders>
            <w:vAlign w:val="center"/>
          </w:tcPr>
          <w:p w:rsidR="00277830" w:rsidRPr="00F67057" w:rsidRDefault="00277830" w:rsidP="00277830">
            <w:pPr>
              <w:pStyle w:val="naisf"/>
              <w:spacing w:before="0" w:after="0"/>
              <w:rPr>
                <w:b/>
                <w:bCs/>
                <w:i/>
                <w:iCs/>
                <w:lang w:val="lv-LV"/>
              </w:rPr>
            </w:pPr>
            <w:r w:rsidRPr="00F67057">
              <w:rPr>
                <w:b/>
                <w:bCs/>
                <w:i/>
                <w:iCs/>
                <w:lang w:val="lv-LV"/>
              </w:rPr>
              <w:t>-2 270</w:t>
            </w:r>
          </w:p>
        </w:tc>
        <w:tc>
          <w:tcPr>
            <w:tcW w:w="1354" w:type="dxa"/>
            <w:tcBorders>
              <w:top w:val="single" w:sz="4" w:space="0" w:color="auto"/>
              <w:left w:val="single" w:sz="4" w:space="0" w:color="auto"/>
              <w:bottom w:val="single" w:sz="4" w:space="0" w:color="auto"/>
              <w:right w:val="single" w:sz="4" w:space="0" w:color="auto"/>
            </w:tcBorders>
            <w:vAlign w:val="center"/>
          </w:tcPr>
          <w:p w:rsidR="00277830" w:rsidRPr="00F67057" w:rsidRDefault="00277830" w:rsidP="00277830">
            <w:pPr>
              <w:pStyle w:val="naisf"/>
              <w:spacing w:before="0" w:after="0"/>
              <w:rPr>
                <w:b/>
                <w:bCs/>
                <w:i/>
                <w:iCs/>
                <w:lang w:val="lv-LV"/>
              </w:rPr>
            </w:pPr>
            <w:r w:rsidRPr="00F67057">
              <w:rPr>
                <w:b/>
                <w:bCs/>
                <w:i/>
                <w:iCs/>
                <w:lang w:val="lv-LV"/>
              </w:rPr>
              <w:t>0</w:t>
            </w:r>
          </w:p>
        </w:tc>
        <w:tc>
          <w:tcPr>
            <w:tcW w:w="1354" w:type="dxa"/>
            <w:tcBorders>
              <w:top w:val="single" w:sz="4" w:space="0" w:color="auto"/>
              <w:left w:val="single" w:sz="4" w:space="0" w:color="auto"/>
              <w:bottom w:val="single" w:sz="4" w:space="0" w:color="auto"/>
              <w:right w:val="single" w:sz="4" w:space="0" w:color="auto"/>
            </w:tcBorders>
            <w:vAlign w:val="center"/>
          </w:tcPr>
          <w:p w:rsidR="00277830" w:rsidRPr="00F67057" w:rsidRDefault="00D30468" w:rsidP="00277830">
            <w:pPr>
              <w:pStyle w:val="naisf"/>
              <w:spacing w:before="0" w:after="0"/>
              <w:rPr>
                <w:b/>
                <w:bCs/>
                <w:i/>
                <w:iCs/>
                <w:lang w:val="lv-LV"/>
              </w:rPr>
            </w:pPr>
            <w:r w:rsidRPr="00F67057">
              <w:rPr>
                <w:b/>
                <w:bCs/>
                <w:i/>
                <w:iCs/>
                <w:lang w:val="lv-LV"/>
              </w:rPr>
              <w:t>1 974</w:t>
            </w:r>
          </w:p>
        </w:tc>
        <w:tc>
          <w:tcPr>
            <w:tcW w:w="1355" w:type="dxa"/>
            <w:tcBorders>
              <w:top w:val="single" w:sz="4" w:space="0" w:color="auto"/>
              <w:left w:val="single" w:sz="4" w:space="0" w:color="auto"/>
              <w:bottom w:val="single" w:sz="4" w:space="0" w:color="auto"/>
              <w:right w:val="single" w:sz="4" w:space="0" w:color="auto"/>
            </w:tcBorders>
            <w:vAlign w:val="center"/>
          </w:tcPr>
          <w:p w:rsidR="00277830" w:rsidRPr="00F67057" w:rsidRDefault="00277830" w:rsidP="00277830">
            <w:pPr>
              <w:pStyle w:val="naisf"/>
              <w:spacing w:before="0" w:after="0"/>
              <w:rPr>
                <w:b/>
                <w:bCs/>
                <w:i/>
                <w:iCs/>
                <w:lang w:val="lv-LV"/>
              </w:rPr>
            </w:pPr>
            <w:r w:rsidRPr="00F67057">
              <w:rPr>
                <w:b/>
                <w:bCs/>
                <w:i/>
                <w:iCs/>
                <w:lang w:val="lv-LV"/>
              </w:rPr>
              <w:t>2 270</w:t>
            </w:r>
          </w:p>
        </w:tc>
        <w:tc>
          <w:tcPr>
            <w:tcW w:w="1748" w:type="dxa"/>
            <w:tcBorders>
              <w:top w:val="single" w:sz="4" w:space="0" w:color="auto"/>
              <w:left w:val="single" w:sz="4" w:space="0" w:color="auto"/>
              <w:bottom w:val="single" w:sz="4" w:space="0" w:color="auto"/>
              <w:right w:val="single" w:sz="4" w:space="0" w:color="auto"/>
            </w:tcBorders>
            <w:vAlign w:val="center"/>
          </w:tcPr>
          <w:p w:rsidR="00277830" w:rsidRPr="00F67057" w:rsidRDefault="00277830" w:rsidP="00277830">
            <w:pPr>
              <w:pStyle w:val="naisf"/>
              <w:spacing w:before="0" w:after="0"/>
              <w:rPr>
                <w:b/>
                <w:bCs/>
                <w:i/>
                <w:iCs/>
                <w:lang w:val="lv-LV"/>
              </w:rPr>
            </w:pPr>
            <w:r w:rsidRPr="00F67057">
              <w:rPr>
                <w:b/>
                <w:bCs/>
                <w:i/>
                <w:iCs/>
                <w:lang w:val="lv-LV"/>
              </w:rPr>
              <w:t>2 270</w:t>
            </w:r>
          </w:p>
        </w:tc>
      </w:tr>
      <w:tr w:rsidR="00277830" w:rsidRPr="00F67057" w:rsidTr="001228BD">
        <w:trPr>
          <w:jc w:val="center"/>
        </w:trPr>
        <w:tc>
          <w:tcPr>
            <w:tcW w:w="2812" w:type="dxa"/>
            <w:tcBorders>
              <w:top w:val="single" w:sz="4" w:space="0" w:color="auto"/>
              <w:left w:val="single" w:sz="4" w:space="0" w:color="auto"/>
              <w:bottom w:val="single" w:sz="4" w:space="0" w:color="auto"/>
              <w:right w:val="single" w:sz="4" w:space="0" w:color="auto"/>
            </w:tcBorders>
          </w:tcPr>
          <w:p w:rsidR="00277830" w:rsidRPr="00F67057" w:rsidRDefault="00277830" w:rsidP="009045B4">
            <w:pPr>
              <w:jc w:val="both"/>
            </w:pPr>
            <w:r w:rsidRPr="00F67057">
              <w:t>3.1. valsts pamatbudžets</w:t>
            </w:r>
          </w:p>
        </w:tc>
        <w:tc>
          <w:tcPr>
            <w:tcW w:w="1330" w:type="dxa"/>
            <w:tcBorders>
              <w:top w:val="single" w:sz="4" w:space="0" w:color="auto"/>
              <w:left w:val="single" w:sz="4" w:space="0" w:color="auto"/>
              <w:bottom w:val="single" w:sz="4" w:space="0" w:color="auto"/>
              <w:right w:val="single" w:sz="4" w:space="0" w:color="auto"/>
            </w:tcBorders>
            <w:vAlign w:val="center"/>
          </w:tcPr>
          <w:p w:rsidR="00277830" w:rsidRPr="00F67057" w:rsidRDefault="00277830" w:rsidP="00277830">
            <w:pPr>
              <w:pStyle w:val="naisf"/>
              <w:spacing w:before="0" w:after="0"/>
              <w:rPr>
                <w:lang w:val="lv-LV"/>
              </w:rPr>
            </w:pPr>
            <w:r w:rsidRPr="00F67057">
              <w:rPr>
                <w:lang w:val="lv-LV"/>
              </w:rPr>
              <w:t>-2 270</w:t>
            </w:r>
          </w:p>
        </w:tc>
        <w:tc>
          <w:tcPr>
            <w:tcW w:w="1354" w:type="dxa"/>
            <w:tcBorders>
              <w:top w:val="single" w:sz="4" w:space="0" w:color="auto"/>
              <w:left w:val="single" w:sz="4" w:space="0" w:color="auto"/>
              <w:bottom w:val="single" w:sz="4" w:space="0" w:color="auto"/>
              <w:right w:val="single" w:sz="4" w:space="0" w:color="auto"/>
            </w:tcBorders>
            <w:vAlign w:val="center"/>
          </w:tcPr>
          <w:p w:rsidR="00277830" w:rsidRPr="00F67057" w:rsidRDefault="00277830" w:rsidP="00277830">
            <w:pPr>
              <w:pStyle w:val="naisf"/>
              <w:spacing w:before="0" w:after="0"/>
              <w:rPr>
                <w:lang w:val="lv-LV"/>
              </w:rPr>
            </w:pPr>
            <w:r w:rsidRPr="00F67057">
              <w:rPr>
                <w:lang w:val="lv-LV"/>
              </w:rPr>
              <w:t>0</w:t>
            </w:r>
          </w:p>
        </w:tc>
        <w:tc>
          <w:tcPr>
            <w:tcW w:w="1354" w:type="dxa"/>
            <w:tcBorders>
              <w:top w:val="single" w:sz="4" w:space="0" w:color="auto"/>
              <w:left w:val="single" w:sz="4" w:space="0" w:color="auto"/>
              <w:bottom w:val="single" w:sz="4" w:space="0" w:color="auto"/>
              <w:right w:val="single" w:sz="4" w:space="0" w:color="auto"/>
            </w:tcBorders>
            <w:vAlign w:val="center"/>
          </w:tcPr>
          <w:p w:rsidR="00277830" w:rsidRPr="00F67057" w:rsidRDefault="00D30468" w:rsidP="00277830">
            <w:pPr>
              <w:pStyle w:val="naisf"/>
              <w:spacing w:before="0" w:after="0"/>
              <w:rPr>
                <w:lang w:val="lv-LV"/>
              </w:rPr>
            </w:pPr>
            <w:r w:rsidRPr="00F67057">
              <w:rPr>
                <w:lang w:val="lv-LV"/>
              </w:rPr>
              <w:t>1 974</w:t>
            </w:r>
          </w:p>
        </w:tc>
        <w:tc>
          <w:tcPr>
            <w:tcW w:w="1355" w:type="dxa"/>
            <w:tcBorders>
              <w:top w:val="single" w:sz="4" w:space="0" w:color="auto"/>
              <w:left w:val="single" w:sz="4" w:space="0" w:color="auto"/>
              <w:bottom w:val="single" w:sz="4" w:space="0" w:color="auto"/>
              <w:right w:val="single" w:sz="4" w:space="0" w:color="auto"/>
            </w:tcBorders>
            <w:vAlign w:val="center"/>
          </w:tcPr>
          <w:p w:rsidR="00277830" w:rsidRPr="00F67057" w:rsidRDefault="00277830" w:rsidP="00277830">
            <w:pPr>
              <w:pStyle w:val="naisf"/>
              <w:spacing w:before="0" w:after="0"/>
              <w:rPr>
                <w:lang w:val="lv-LV"/>
              </w:rPr>
            </w:pPr>
            <w:r w:rsidRPr="00F67057">
              <w:rPr>
                <w:lang w:val="lv-LV"/>
              </w:rPr>
              <w:t>2 270</w:t>
            </w:r>
          </w:p>
        </w:tc>
        <w:tc>
          <w:tcPr>
            <w:tcW w:w="1748" w:type="dxa"/>
            <w:tcBorders>
              <w:top w:val="single" w:sz="4" w:space="0" w:color="auto"/>
              <w:left w:val="single" w:sz="4" w:space="0" w:color="auto"/>
              <w:bottom w:val="single" w:sz="4" w:space="0" w:color="auto"/>
              <w:right w:val="single" w:sz="4" w:space="0" w:color="auto"/>
            </w:tcBorders>
            <w:vAlign w:val="center"/>
          </w:tcPr>
          <w:p w:rsidR="00277830" w:rsidRPr="00F67057" w:rsidRDefault="00277830" w:rsidP="00277830">
            <w:pPr>
              <w:pStyle w:val="naisf"/>
              <w:spacing w:before="0" w:after="0"/>
              <w:rPr>
                <w:lang w:val="lv-LV"/>
              </w:rPr>
            </w:pPr>
            <w:r w:rsidRPr="00F67057">
              <w:rPr>
                <w:lang w:val="lv-LV"/>
              </w:rPr>
              <w:t>2 270</w:t>
            </w:r>
          </w:p>
        </w:tc>
      </w:tr>
      <w:tr w:rsidR="00855289" w:rsidRPr="00F67057" w:rsidTr="009045B4">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jc w:val="both"/>
            </w:pPr>
            <w:r w:rsidRPr="00F67057">
              <w:t>3.2. speciālais budžets</w:t>
            </w:r>
          </w:p>
        </w:tc>
        <w:tc>
          <w:tcPr>
            <w:tcW w:w="1330"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5"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748"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r>
      <w:tr w:rsidR="00855289" w:rsidRPr="00F67057" w:rsidTr="009045B4">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jc w:val="both"/>
            </w:pPr>
            <w:r w:rsidRPr="00F67057">
              <w:lastRenderedPageBreak/>
              <w:t xml:space="preserve">3.3. pašvaldību budžets </w:t>
            </w:r>
          </w:p>
        </w:tc>
        <w:tc>
          <w:tcPr>
            <w:tcW w:w="1330"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5"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748"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r>
      <w:tr w:rsidR="00855289" w:rsidRPr="00F67057" w:rsidTr="009045B4">
        <w:trPr>
          <w:jc w:val="center"/>
        </w:trPr>
        <w:tc>
          <w:tcPr>
            <w:tcW w:w="2812" w:type="dxa"/>
            <w:vMerge w:val="restart"/>
            <w:tcBorders>
              <w:top w:val="single" w:sz="4" w:space="0" w:color="auto"/>
              <w:left w:val="single" w:sz="4" w:space="0" w:color="auto"/>
              <w:bottom w:val="single" w:sz="4" w:space="0" w:color="auto"/>
              <w:right w:val="single" w:sz="4" w:space="0" w:color="auto"/>
            </w:tcBorders>
          </w:tcPr>
          <w:p w:rsidR="00855289" w:rsidRPr="00F67057" w:rsidRDefault="00855289" w:rsidP="009045B4">
            <w:pPr>
              <w:jc w:val="both"/>
            </w:pPr>
            <w:r w:rsidRPr="00F67057">
              <w:t>4. Finanšu līdzekļi papildu izde</w:t>
            </w:r>
            <w:r w:rsidRPr="00F67057">
              <w:softHyphen/>
              <w:t>vumu finansēšanai (kompensējošu izdevumu samazinājumu norāda ar "+" zīmi)</w:t>
            </w:r>
          </w:p>
        </w:tc>
        <w:tc>
          <w:tcPr>
            <w:tcW w:w="1330" w:type="dxa"/>
            <w:vMerge w:val="restart"/>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jc w:val="center"/>
              <w:rPr>
                <w:i/>
                <w:iCs/>
                <w:lang w:val="lv-LV"/>
              </w:rPr>
            </w:pPr>
            <w:r w:rsidRPr="00F67057">
              <w:rPr>
                <w:lang w:val="lv-LV"/>
              </w:rPr>
              <w:t>X</w:t>
            </w:r>
          </w:p>
        </w:tc>
        <w:tc>
          <w:tcPr>
            <w:tcW w:w="1354"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b/>
                <w:bCs/>
                <w:i/>
                <w:iCs/>
                <w:lang w:val="lv-LV"/>
              </w:rPr>
            </w:pPr>
            <w:r w:rsidRPr="00F67057">
              <w:rPr>
                <w:b/>
                <w:bCs/>
                <w:i/>
                <w:iCs/>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b/>
                <w:bCs/>
                <w:i/>
                <w:iCs/>
                <w:lang w:val="lv-LV"/>
              </w:rPr>
            </w:pPr>
            <w:r w:rsidRPr="00F67057">
              <w:rPr>
                <w:b/>
                <w:bCs/>
                <w:i/>
                <w:iCs/>
                <w:lang w:val="lv-LV"/>
              </w:rPr>
              <w:t>0</w:t>
            </w:r>
          </w:p>
        </w:tc>
        <w:tc>
          <w:tcPr>
            <w:tcW w:w="1355"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b/>
                <w:bCs/>
                <w:i/>
                <w:iCs/>
                <w:lang w:val="lv-LV"/>
              </w:rPr>
            </w:pPr>
            <w:r w:rsidRPr="00F67057">
              <w:rPr>
                <w:b/>
                <w:bCs/>
                <w:i/>
                <w:iCs/>
                <w:lang w:val="lv-LV"/>
              </w:rPr>
              <w:t>0</w:t>
            </w:r>
          </w:p>
        </w:tc>
        <w:tc>
          <w:tcPr>
            <w:tcW w:w="1748"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b/>
                <w:bCs/>
                <w:i/>
                <w:iCs/>
                <w:lang w:val="lv-LV"/>
              </w:rPr>
            </w:pPr>
            <w:r w:rsidRPr="00F67057">
              <w:rPr>
                <w:b/>
                <w:bCs/>
                <w:i/>
                <w:iCs/>
                <w:lang w:val="lv-LV"/>
              </w:rPr>
              <w:t>0</w:t>
            </w:r>
          </w:p>
        </w:tc>
      </w:tr>
      <w:tr w:rsidR="00855289" w:rsidRPr="00F67057" w:rsidTr="009045B4">
        <w:trPr>
          <w:jc w:val="center"/>
        </w:trPr>
        <w:tc>
          <w:tcPr>
            <w:tcW w:w="2812" w:type="dxa"/>
            <w:vMerge/>
            <w:tcBorders>
              <w:top w:val="single" w:sz="4" w:space="0" w:color="auto"/>
              <w:left w:val="single" w:sz="4" w:space="0" w:color="auto"/>
              <w:bottom w:val="single" w:sz="4" w:space="0" w:color="auto"/>
              <w:right w:val="single" w:sz="4" w:space="0" w:color="auto"/>
            </w:tcBorders>
          </w:tcPr>
          <w:p w:rsidR="00855289" w:rsidRPr="00F67057" w:rsidRDefault="00855289" w:rsidP="009045B4">
            <w:pPr>
              <w:jc w:val="both"/>
            </w:pPr>
          </w:p>
        </w:tc>
        <w:tc>
          <w:tcPr>
            <w:tcW w:w="1330" w:type="dxa"/>
            <w:vMerge/>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jc w:val="center"/>
              <w:rPr>
                <w:i/>
                <w:iCs/>
                <w:lang w:val="lv-LV"/>
              </w:rPr>
            </w:pPr>
          </w:p>
        </w:tc>
        <w:tc>
          <w:tcPr>
            <w:tcW w:w="1354"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5"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748"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r>
      <w:tr w:rsidR="00855289" w:rsidRPr="00F67057" w:rsidTr="009045B4">
        <w:trPr>
          <w:jc w:val="center"/>
        </w:trPr>
        <w:tc>
          <w:tcPr>
            <w:tcW w:w="2812" w:type="dxa"/>
            <w:vMerge/>
            <w:tcBorders>
              <w:top w:val="single" w:sz="4" w:space="0" w:color="auto"/>
              <w:left w:val="single" w:sz="4" w:space="0" w:color="auto"/>
              <w:bottom w:val="single" w:sz="4" w:space="0" w:color="auto"/>
              <w:right w:val="single" w:sz="4" w:space="0" w:color="auto"/>
            </w:tcBorders>
          </w:tcPr>
          <w:p w:rsidR="00855289" w:rsidRPr="00F67057" w:rsidRDefault="00855289" w:rsidP="009045B4">
            <w:pPr>
              <w:jc w:val="both"/>
            </w:pPr>
          </w:p>
        </w:tc>
        <w:tc>
          <w:tcPr>
            <w:tcW w:w="1330" w:type="dxa"/>
            <w:vMerge/>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jc w:val="center"/>
              <w:rPr>
                <w:i/>
                <w:iCs/>
                <w:lang w:val="lv-LV"/>
              </w:rPr>
            </w:pPr>
          </w:p>
        </w:tc>
        <w:tc>
          <w:tcPr>
            <w:tcW w:w="1354"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5"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748"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r>
      <w:tr w:rsidR="00277830" w:rsidRPr="00F67057" w:rsidTr="001228BD">
        <w:trPr>
          <w:jc w:val="center"/>
        </w:trPr>
        <w:tc>
          <w:tcPr>
            <w:tcW w:w="2812" w:type="dxa"/>
            <w:tcBorders>
              <w:top w:val="single" w:sz="4" w:space="0" w:color="auto"/>
              <w:left w:val="single" w:sz="4" w:space="0" w:color="auto"/>
              <w:bottom w:val="single" w:sz="4" w:space="0" w:color="auto"/>
              <w:right w:val="single" w:sz="4" w:space="0" w:color="auto"/>
            </w:tcBorders>
          </w:tcPr>
          <w:p w:rsidR="00277830" w:rsidRPr="00F67057" w:rsidRDefault="00277830" w:rsidP="009045B4">
            <w:pPr>
              <w:jc w:val="both"/>
            </w:pPr>
            <w:r w:rsidRPr="00F67057">
              <w:t>5. Precizēta finansiālā ietekme:</w:t>
            </w:r>
          </w:p>
        </w:tc>
        <w:tc>
          <w:tcPr>
            <w:tcW w:w="1330" w:type="dxa"/>
            <w:vMerge w:val="restart"/>
            <w:tcBorders>
              <w:top w:val="single" w:sz="4" w:space="0" w:color="auto"/>
              <w:left w:val="single" w:sz="4" w:space="0" w:color="auto"/>
              <w:bottom w:val="single" w:sz="4" w:space="0" w:color="auto"/>
              <w:right w:val="single" w:sz="4" w:space="0" w:color="auto"/>
            </w:tcBorders>
          </w:tcPr>
          <w:p w:rsidR="00277830" w:rsidRPr="00F67057" w:rsidRDefault="00277830" w:rsidP="009045B4">
            <w:pPr>
              <w:pStyle w:val="naisf"/>
              <w:spacing w:before="0" w:after="0"/>
              <w:jc w:val="center"/>
              <w:rPr>
                <w:i/>
                <w:iCs/>
                <w:lang w:val="lv-LV"/>
              </w:rPr>
            </w:pPr>
            <w:r w:rsidRPr="00F67057">
              <w:rPr>
                <w:lang w:val="lv-LV"/>
              </w:rPr>
              <w:t>X</w:t>
            </w:r>
          </w:p>
        </w:tc>
        <w:tc>
          <w:tcPr>
            <w:tcW w:w="1354" w:type="dxa"/>
            <w:tcBorders>
              <w:top w:val="single" w:sz="4" w:space="0" w:color="auto"/>
              <w:left w:val="single" w:sz="4" w:space="0" w:color="auto"/>
              <w:bottom w:val="single" w:sz="4" w:space="0" w:color="auto"/>
              <w:right w:val="single" w:sz="4" w:space="0" w:color="auto"/>
            </w:tcBorders>
          </w:tcPr>
          <w:p w:rsidR="00277830" w:rsidRPr="00F67057" w:rsidRDefault="00277830" w:rsidP="009045B4">
            <w:pPr>
              <w:pStyle w:val="naisf"/>
              <w:spacing w:before="0" w:after="0"/>
              <w:rPr>
                <w:b/>
                <w:bCs/>
                <w:i/>
                <w:iCs/>
                <w:lang w:val="lv-LV"/>
              </w:rPr>
            </w:pPr>
            <w:r w:rsidRPr="00F67057">
              <w:rPr>
                <w:b/>
                <w:bCs/>
                <w:i/>
                <w:iCs/>
                <w:lang w:val="lv-LV"/>
              </w:rPr>
              <w:t>0</w:t>
            </w:r>
          </w:p>
        </w:tc>
        <w:tc>
          <w:tcPr>
            <w:tcW w:w="1354" w:type="dxa"/>
            <w:tcBorders>
              <w:top w:val="single" w:sz="4" w:space="0" w:color="auto"/>
              <w:left w:val="single" w:sz="4" w:space="0" w:color="auto"/>
              <w:bottom w:val="single" w:sz="4" w:space="0" w:color="auto"/>
              <w:right w:val="single" w:sz="4" w:space="0" w:color="auto"/>
            </w:tcBorders>
            <w:vAlign w:val="center"/>
          </w:tcPr>
          <w:p w:rsidR="00277830" w:rsidRPr="00F67057" w:rsidRDefault="00D30468" w:rsidP="00277830">
            <w:pPr>
              <w:pStyle w:val="naisf"/>
              <w:spacing w:before="0" w:after="0"/>
              <w:rPr>
                <w:b/>
                <w:bCs/>
                <w:i/>
                <w:iCs/>
                <w:lang w:val="lv-LV"/>
              </w:rPr>
            </w:pPr>
            <w:r w:rsidRPr="00F67057">
              <w:rPr>
                <w:b/>
                <w:bCs/>
                <w:i/>
                <w:iCs/>
                <w:lang w:val="lv-LV"/>
              </w:rPr>
              <w:t>1 974</w:t>
            </w:r>
          </w:p>
        </w:tc>
        <w:tc>
          <w:tcPr>
            <w:tcW w:w="1355" w:type="dxa"/>
            <w:tcBorders>
              <w:top w:val="single" w:sz="4" w:space="0" w:color="auto"/>
              <w:left w:val="single" w:sz="4" w:space="0" w:color="auto"/>
              <w:bottom w:val="single" w:sz="4" w:space="0" w:color="auto"/>
              <w:right w:val="single" w:sz="4" w:space="0" w:color="auto"/>
            </w:tcBorders>
            <w:vAlign w:val="center"/>
          </w:tcPr>
          <w:p w:rsidR="00277830" w:rsidRPr="00F67057" w:rsidRDefault="00277830" w:rsidP="00277830">
            <w:pPr>
              <w:pStyle w:val="naisf"/>
              <w:spacing w:before="0" w:after="0"/>
              <w:rPr>
                <w:b/>
                <w:bCs/>
                <w:i/>
                <w:iCs/>
                <w:lang w:val="lv-LV"/>
              </w:rPr>
            </w:pPr>
            <w:r w:rsidRPr="00F67057">
              <w:rPr>
                <w:b/>
                <w:bCs/>
                <w:i/>
                <w:iCs/>
                <w:lang w:val="lv-LV"/>
              </w:rPr>
              <w:t>2 270</w:t>
            </w:r>
          </w:p>
        </w:tc>
        <w:tc>
          <w:tcPr>
            <w:tcW w:w="1748" w:type="dxa"/>
            <w:tcBorders>
              <w:top w:val="single" w:sz="4" w:space="0" w:color="auto"/>
              <w:left w:val="single" w:sz="4" w:space="0" w:color="auto"/>
              <w:bottom w:val="single" w:sz="4" w:space="0" w:color="auto"/>
              <w:right w:val="single" w:sz="4" w:space="0" w:color="auto"/>
            </w:tcBorders>
            <w:vAlign w:val="center"/>
          </w:tcPr>
          <w:p w:rsidR="00277830" w:rsidRPr="00F67057" w:rsidRDefault="00277830" w:rsidP="00277830">
            <w:pPr>
              <w:pStyle w:val="naisf"/>
              <w:spacing w:before="0" w:after="0"/>
              <w:rPr>
                <w:b/>
                <w:bCs/>
                <w:i/>
                <w:iCs/>
                <w:lang w:val="lv-LV"/>
              </w:rPr>
            </w:pPr>
            <w:r w:rsidRPr="00F67057">
              <w:rPr>
                <w:b/>
                <w:bCs/>
                <w:i/>
                <w:iCs/>
                <w:lang w:val="lv-LV"/>
              </w:rPr>
              <w:t>2 270</w:t>
            </w:r>
          </w:p>
        </w:tc>
      </w:tr>
      <w:tr w:rsidR="00277830" w:rsidRPr="00F67057" w:rsidTr="001228BD">
        <w:trPr>
          <w:jc w:val="center"/>
        </w:trPr>
        <w:tc>
          <w:tcPr>
            <w:tcW w:w="2812" w:type="dxa"/>
            <w:tcBorders>
              <w:top w:val="single" w:sz="4" w:space="0" w:color="auto"/>
              <w:left w:val="single" w:sz="4" w:space="0" w:color="auto"/>
              <w:bottom w:val="single" w:sz="4" w:space="0" w:color="auto"/>
              <w:right w:val="single" w:sz="4" w:space="0" w:color="auto"/>
            </w:tcBorders>
          </w:tcPr>
          <w:p w:rsidR="00277830" w:rsidRPr="00F67057" w:rsidRDefault="00277830" w:rsidP="009045B4">
            <w:pPr>
              <w:jc w:val="both"/>
            </w:pPr>
            <w:r w:rsidRPr="00F67057">
              <w:t>5.1. valsts pamatbudžets</w:t>
            </w:r>
          </w:p>
        </w:tc>
        <w:tc>
          <w:tcPr>
            <w:tcW w:w="1330" w:type="dxa"/>
            <w:vMerge/>
            <w:tcBorders>
              <w:top w:val="single" w:sz="4" w:space="0" w:color="auto"/>
              <w:left w:val="single" w:sz="4" w:space="0" w:color="auto"/>
              <w:bottom w:val="single" w:sz="4" w:space="0" w:color="auto"/>
              <w:right w:val="single" w:sz="4" w:space="0" w:color="auto"/>
            </w:tcBorders>
            <w:vAlign w:val="center"/>
          </w:tcPr>
          <w:p w:rsidR="00277830" w:rsidRPr="00F67057" w:rsidRDefault="00277830" w:rsidP="009045B4">
            <w:pPr>
              <w:pStyle w:val="naisf"/>
              <w:spacing w:before="0" w:after="0"/>
              <w:jc w:val="center"/>
              <w:rPr>
                <w:i/>
                <w:iCs/>
                <w:lang w:val="lv-LV"/>
              </w:rPr>
            </w:pPr>
          </w:p>
        </w:tc>
        <w:tc>
          <w:tcPr>
            <w:tcW w:w="1354" w:type="dxa"/>
            <w:tcBorders>
              <w:top w:val="single" w:sz="4" w:space="0" w:color="auto"/>
              <w:left w:val="single" w:sz="4" w:space="0" w:color="auto"/>
              <w:bottom w:val="single" w:sz="4" w:space="0" w:color="auto"/>
              <w:right w:val="single" w:sz="4" w:space="0" w:color="auto"/>
            </w:tcBorders>
          </w:tcPr>
          <w:p w:rsidR="00277830" w:rsidRPr="00F67057" w:rsidRDefault="00277830" w:rsidP="009045B4">
            <w:pPr>
              <w:pStyle w:val="naisf"/>
              <w:spacing w:before="0" w:after="0"/>
              <w:rPr>
                <w:lang w:val="lv-LV"/>
              </w:rPr>
            </w:pPr>
            <w:r w:rsidRPr="00F67057">
              <w:rPr>
                <w:lang w:val="lv-LV"/>
              </w:rPr>
              <w:t>0</w:t>
            </w:r>
          </w:p>
        </w:tc>
        <w:tc>
          <w:tcPr>
            <w:tcW w:w="1354" w:type="dxa"/>
            <w:tcBorders>
              <w:top w:val="single" w:sz="4" w:space="0" w:color="auto"/>
              <w:left w:val="single" w:sz="4" w:space="0" w:color="auto"/>
              <w:bottom w:val="single" w:sz="4" w:space="0" w:color="auto"/>
              <w:right w:val="single" w:sz="4" w:space="0" w:color="auto"/>
            </w:tcBorders>
            <w:vAlign w:val="center"/>
          </w:tcPr>
          <w:p w:rsidR="00277830" w:rsidRPr="00F67057" w:rsidRDefault="00D30468" w:rsidP="00277830">
            <w:pPr>
              <w:pStyle w:val="naisf"/>
              <w:spacing w:before="0" w:after="0"/>
              <w:rPr>
                <w:lang w:val="lv-LV"/>
              </w:rPr>
            </w:pPr>
            <w:r w:rsidRPr="00F67057">
              <w:rPr>
                <w:lang w:val="lv-LV"/>
              </w:rPr>
              <w:t>1 974</w:t>
            </w:r>
          </w:p>
        </w:tc>
        <w:tc>
          <w:tcPr>
            <w:tcW w:w="1355" w:type="dxa"/>
            <w:tcBorders>
              <w:top w:val="single" w:sz="4" w:space="0" w:color="auto"/>
              <w:left w:val="single" w:sz="4" w:space="0" w:color="auto"/>
              <w:bottom w:val="single" w:sz="4" w:space="0" w:color="auto"/>
              <w:right w:val="single" w:sz="4" w:space="0" w:color="auto"/>
            </w:tcBorders>
            <w:vAlign w:val="center"/>
          </w:tcPr>
          <w:p w:rsidR="00277830" w:rsidRPr="00F67057" w:rsidRDefault="00277830" w:rsidP="00277830">
            <w:pPr>
              <w:pStyle w:val="naisf"/>
              <w:spacing w:before="0" w:after="0"/>
              <w:rPr>
                <w:lang w:val="lv-LV"/>
              </w:rPr>
            </w:pPr>
            <w:r w:rsidRPr="00F67057">
              <w:rPr>
                <w:lang w:val="lv-LV"/>
              </w:rPr>
              <w:t>2 270</w:t>
            </w:r>
          </w:p>
        </w:tc>
        <w:tc>
          <w:tcPr>
            <w:tcW w:w="1748" w:type="dxa"/>
            <w:tcBorders>
              <w:top w:val="single" w:sz="4" w:space="0" w:color="auto"/>
              <w:left w:val="single" w:sz="4" w:space="0" w:color="auto"/>
              <w:bottom w:val="single" w:sz="4" w:space="0" w:color="auto"/>
              <w:right w:val="single" w:sz="4" w:space="0" w:color="auto"/>
            </w:tcBorders>
            <w:vAlign w:val="center"/>
          </w:tcPr>
          <w:p w:rsidR="00277830" w:rsidRPr="00F67057" w:rsidRDefault="00277830" w:rsidP="00277830">
            <w:pPr>
              <w:pStyle w:val="naisf"/>
              <w:spacing w:before="0" w:after="0"/>
              <w:rPr>
                <w:lang w:val="lv-LV"/>
              </w:rPr>
            </w:pPr>
            <w:r w:rsidRPr="00F67057">
              <w:rPr>
                <w:lang w:val="lv-LV"/>
              </w:rPr>
              <w:t>2 270</w:t>
            </w:r>
          </w:p>
        </w:tc>
      </w:tr>
      <w:tr w:rsidR="00855289" w:rsidRPr="00F67057" w:rsidTr="009045B4">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jc w:val="both"/>
            </w:pPr>
            <w:r w:rsidRPr="00F67057">
              <w:t>5.2. speciālais budžets</w:t>
            </w:r>
          </w:p>
        </w:tc>
        <w:tc>
          <w:tcPr>
            <w:tcW w:w="1330" w:type="dxa"/>
            <w:vMerge/>
            <w:tcBorders>
              <w:top w:val="single" w:sz="4" w:space="0" w:color="auto"/>
              <w:left w:val="single" w:sz="4" w:space="0" w:color="auto"/>
              <w:bottom w:val="single" w:sz="4" w:space="0" w:color="auto"/>
              <w:right w:val="single" w:sz="4" w:space="0" w:color="auto"/>
            </w:tcBorders>
            <w:vAlign w:val="center"/>
          </w:tcPr>
          <w:p w:rsidR="00855289" w:rsidRPr="00F67057" w:rsidRDefault="00855289" w:rsidP="009045B4">
            <w:pPr>
              <w:pStyle w:val="naisf"/>
              <w:spacing w:before="0" w:after="0"/>
              <w:jc w:val="center"/>
              <w:rPr>
                <w:i/>
                <w:iCs/>
                <w:lang w:val="lv-LV"/>
              </w:rPr>
            </w:pPr>
          </w:p>
        </w:tc>
        <w:tc>
          <w:tcPr>
            <w:tcW w:w="1354"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5"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748"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r>
      <w:tr w:rsidR="00855289" w:rsidRPr="00F67057" w:rsidTr="009045B4">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jc w:val="both"/>
            </w:pPr>
            <w:r w:rsidRPr="00F67057">
              <w:t xml:space="preserve">5.3. pašvaldību budžets </w:t>
            </w:r>
          </w:p>
        </w:tc>
        <w:tc>
          <w:tcPr>
            <w:tcW w:w="1330" w:type="dxa"/>
            <w:vMerge/>
            <w:tcBorders>
              <w:top w:val="single" w:sz="4" w:space="0" w:color="auto"/>
              <w:left w:val="single" w:sz="4" w:space="0" w:color="auto"/>
              <w:bottom w:val="single" w:sz="4" w:space="0" w:color="auto"/>
              <w:right w:val="single" w:sz="4" w:space="0" w:color="auto"/>
            </w:tcBorders>
            <w:vAlign w:val="center"/>
          </w:tcPr>
          <w:p w:rsidR="00855289" w:rsidRPr="00F67057" w:rsidRDefault="00855289" w:rsidP="009045B4">
            <w:pPr>
              <w:pStyle w:val="naisf"/>
              <w:spacing w:before="0" w:after="0"/>
              <w:jc w:val="center"/>
              <w:rPr>
                <w:i/>
                <w:iCs/>
                <w:lang w:val="lv-LV"/>
              </w:rPr>
            </w:pPr>
          </w:p>
        </w:tc>
        <w:tc>
          <w:tcPr>
            <w:tcW w:w="1354"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4"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355"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c>
          <w:tcPr>
            <w:tcW w:w="1748"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lang w:val="lv-LV"/>
              </w:rPr>
            </w:pPr>
            <w:r w:rsidRPr="00F67057">
              <w:rPr>
                <w:lang w:val="lv-LV"/>
              </w:rPr>
              <w:t>0</w:t>
            </w:r>
          </w:p>
        </w:tc>
      </w:tr>
      <w:tr w:rsidR="00855289" w:rsidRPr="00F67057" w:rsidTr="009045B4">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jc w:val="both"/>
            </w:pPr>
            <w:r w:rsidRPr="00F67057">
              <w:t>6. Detalizēts ieņēmumu un izdevu</w:t>
            </w:r>
            <w:r w:rsidRPr="00F67057">
              <w:softHyphen/>
              <w:t>mu aprēķins (ja nepieciešams, detalizētu ieņēmumu un izdevumu aprēķinu var pievienot anotācijas pielikumā):</w:t>
            </w:r>
          </w:p>
        </w:tc>
        <w:tc>
          <w:tcPr>
            <w:tcW w:w="7141" w:type="dxa"/>
            <w:gridSpan w:val="5"/>
            <w:vMerge w:val="restart"/>
            <w:tcBorders>
              <w:top w:val="single" w:sz="4" w:space="0" w:color="auto"/>
              <w:left w:val="single" w:sz="4" w:space="0" w:color="auto"/>
              <w:bottom w:val="single" w:sz="4" w:space="0" w:color="auto"/>
              <w:right w:val="single" w:sz="4" w:space="0" w:color="auto"/>
            </w:tcBorders>
          </w:tcPr>
          <w:p w:rsidR="00CD5770" w:rsidRPr="00F67057" w:rsidRDefault="00855289" w:rsidP="00CD5770">
            <w:pPr>
              <w:pStyle w:val="naisf"/>
              <w:spacing w:before="0" w:after="120"/>
              <w:rPr>
                <w:i/>
                <w:iCs/>
                <w:lang w:val="lv-LV"/>
              </w:rPr>
            </w:pPr>
            <w:r w:rsidRPr="00F67057">
              <w:rPr>
                <w:lang w:val="lv-LV"/>
              </w:rPr>
              <w:t>Noteikumu projekts neparedz ieņēmumu vai izdevumu samazinājumu/palielinājumu. Noteikumu projekts tiks īstenots, nemainot attiecīgā budžeta programmās/apakšprogrammās finansējuma sadalījumu pa ieņēmumu, izdevumu vai finansēšanas klasifikācijas kodiem.</w:t>
            </w:r>
            <w:r w:rsidRPr="00F67057">
              <w:rPr>
                <w:i/>
                <w:iCs/>
                <w:lang w:val="lv-LV"/>
              </w:rPr>
              <w:t xml:space="preserve"> </w:t>
            </w:r>
          </w:p>
          <w:p w:rsidR="00E12FB6" w:rsidRPr="00F67057" w:rsidRDefault="00E12FB6" w:rsidP="00CD5770">
            <w:pPr>
              <w:pStyle w:val="naisf"/>
              <w:spacing w:before="0" w:after="120"/>
              <w:rPr>
                <w:i/>
                <w:iCs/>
                <w:lang w:val="lv-LV"/>
              </w:rPr>
            </w:pPr>
            <w:r w:rsidRPr="00F67057">
              <w:rPr>
                <w:lang w:val="lv-LV" w:eastAsia="lv-LV"/>
              </w:rPr>
              <w:t xml:space="preserve">Ņemot vērā, ka </w:t>
            </w:r>
            <w:r w:rsidRPr="00F67057">
              <w:rPr>
                <w:lang w:val="lv-LV"/>
              </w:rPr>
              <w:t xml:space="preserve">ES fondu Sadarbības iestādes funkcijas pilda Centrālā finanšu un līgumu aģentūra, valsts budžeta finansējumu avansiem un atmaksām ES fondu finansējuma saņēmējiem, kas īsteno </w:t>
            </w:r>
            <w:r w:rsidRPr="00F67057">
              <w:rPr>
                <w:bCs/>
                <w:lang w:val="lv-LV"/>
              </w:rPr>
              <w:t xml:space="preserve">3.1.5.3.1.apakšaktivitātes </w:t>
            </w:r>
            <w:r w:rsidRPr="00F67057">
              <w:rPr>
                <w:lang w:val="lv-LV"/>
              </w:rPr>
              <w:t xml:space="preserve">projektus, plāno Finanšu ministrijas budžeta programmas 62.00.00 „Eiropas Reģionālās attīstības fonda (ERAF) projektu un pasākumu īstenošana” apakšprogrammā 62.06.00 „Eiropas Reģionālās attīstības fonda (ERAF) avansa maksājumi un atmaksas finansējuma saņēmējiem (2007-2013)”. </w:t>
            </w:r>
          </w:p>
          <w:p w:rsidR="00E12FB6" w:rsidRPr="00F67057" w:rsidRDefault="00E12FB6" w:rsidP="008A6795">
            <w:pPr>
              <w:jc w:val="both"/>
              <w:rPr>
                <w:b/>
                <w:u w:val="single"/>
                <w:lang w:eastAsia="lv-LV"/>
              </w:rPr>
            </w:pPr>
            <w:r w:rsidRPr="00F67057">
              <w:rPr>
                <w:bCs/>
              </w:rPr>
              <w:t>Budžeta ieņēmumi ir ERAF daļa un budžeta izdevumi ir kopējie nepieciešamie ERAF un valsts budžeta līdzekļi attiecīgajā gadā.</w:t>
            </w:r>
            <w:r w:rsidR="008A6795" w:rsidRPr="00F67057">
              <w:rPr>
                <w:b/>
                <w:u w:val="single"/>
                <w:lang w:eastAsia="lv-LV"/>
              </w:rPr>
              <w:t xml:space="preserve"> </w:t>
            </w:r>
            <w:r w:rsidRPr="00F67057">
              <w:rPr>
                <w:bCs/>
              </w:rPr>
              <w:t xml:space="preserve">Atbilstoši darbības programmas papildinājumā „Infrastruktūra un pakalpojumi” ietvertajam finanšu plānam 3.1.5.3.1.apakšaktivitātei pieejamais kopējais attiecināmais finansējums ir 202 064 828 EUR, tai skaitā ERAF finansējuma apmērs ir </w:t>
            </w:r>
            <w:r w:rsidR="00BE50E6" w:rsidRPr="00F67057">
              <w:rPr>
                <w:bCs/>
              </w:rPr>
              <w:t xml:space="preserve">171 </w:t>
            </w:r>
            <w:r w:rsidRPr="00F67057">
              <w:rPr>
                <w:bCs/>
              </w:rPr>
              <w:t xml:space="preserve">114 813 EUR un valsts budžets </w:t>
            </w:r>
            <w:r w:rsidR="00BE50E6" w:rsidRPr="00F67057">
              <w:rPr>
                <w:bCs/>
              </w:rPr>
              <w:t>15 225 184 EUR</w:t>
            </w:r>
            <w:r w:rsidRPr="00F67057">
              <w:rPr>
                <w:bCs/>
              </w:rPr>
              <w:t xml:space="preserve">, pārējo </w:t>
            </w:r>
            <w:r w:rsidRPr="00F67057">
              <w:t xml:space="preserve">3.1.5.3.1.apakšaktivitātes </w:t>
            </w:r>
            <w:r w:rsidRPr="00F67057">
              <w:rPr>
                <w:bCs/>
              </w:rPr>
              <w:t xml:space="preserve">līdzfinansējumu veido privātais finansējums, ko nodrošina projekta iesniedzējs, ne mazāk kā </w:t>
            </w:r>
            <w:r w:rsidR="00BE50E6" w:rsidRPr="00F67057">
              <w:t>15 724 831</w:t>
            </w:r>
            <w:r w:rsidR="00BE50E6" w:rsidRPr="00F67057">
              <w:rPr>
                <w:bCs/>
              </w:rPr>
              <w:t xml:space="preserve"> EUR</w:t>
            </w:r>
            <w:r w:rsidRPr="00F67057">
              <w:rPr>
                <w:bCs/>
              </w:rPr>
              <w:t>.</w:t>
            </w:r>
          </w:p>
          <w:p w:rsidR="00E12FB6" w:rsidRPr="00F67057" w:rsidRDefault="00E12FB6" w:rsidP="00E12FB6">
            <w:pPr>
              <w:pStyle w:val="naisf"/>
              <w:tabs>
                <w:tab w:val="num" w:pos="1391"/>
              </w:tabs>
              <w:spacing w:before="0" w:beforeAutospacing="0" w:after="0" w:afterAutospacing="0"/>
              <w:rPr>
                <w:bCs/>
                <w:lang w:val="lv-LV"/>
              </w:rPr>
            </w:pPr>
            <w:r w:rsidRPr="00F67057">
              <w:rPr>
                <w:lang w:val="lv-LV"/>
              </w:rPr>
              <w:t xml:space="preserve">3.1.5.3.1.apakšaktivitātes </w:t>
            </w:r>
            <w:r w:rsidRPr="00F67057">
              <w:rPr>
                <w:bCs/>
                <w:lang w:val="lv-LV"/>
              </w:rPr>
              <w:t>ieviešana tika uzsākta 2009.gadā un tās projektu īstenošanai finansējuma piesaiste nodrošināta šādos apmēros:</w:t>
            </w:r>
          </w:p>
          <w:p w:rsidR="00E12FB6" w:rsidRPr="00F67057" w:rsidRDefault="00E12FB6" w:rsidP="00E12FB6">
            <w:pPr>
              <w:numPr>
                <w:ilvl w:val="0"/>
                <w:numId w:val="11"/>
              </w:numPr>
              <w:jc w:val="both"/>
              <w:rPr>
                <w:bCs/>
              </w:rPr>
            </w:pPr>
            <w:r w:rsidRPr="00F67057">
              <w:t xml:space="preserve">3.1.5.3.1.apakšaktivitātes </w:t>
            </w:r>
            <w:r w:rsidRPr="00F67057">
              <w:rPr>
                <w:bCs/>
              </w:rPr>
              <w:t xml:space="preserve">īstenošanai 2009.gadā tika piesaistīts finansējums </w:t>
            </w:r>
            <w:bookmarkStart w:id="9" w:name="OLE_LINK8"/>
            <w:r w:rsidR="00CD5770" w:rsidRPr="00F67057">
              <w:rPr>
                <w:bCs/>
              </w:rPr>
              <w:t xml:space="preserve">20 720 483 </w:t>
            </w:r>
            <w:bookmarkEnd w:id="9"/>
            <w:r w:rsidR="002B20CA" w:rsidRPr="00F67057">
              <w:rPr>
                <w:bCs/>
              </w:rPr>
              <w:t>EUR</w:t>
            </w:r>
            <w:r w:rsidRPr="00F67057">
              <w:rPr>
                <w:bCs/>
              </w:rPr>
              <w:t xml:space="preserve"> apmērā, t.sk., ERAF finansējums </w:t>
            </w:r>
            <w:r w:rsidR="006364A4" w:rsidRPr="00F67057">
              <w:rPr>
                <w:bCs/>
              </w:rPr>
              <w:t xml:space="preserve">17 824 086 </w:t>
            </w:r>
            <w:r w:rsidR="002B20CA" w:rsidRPr="00F67057">
              <w:rPr>
                <w:bCs/>
              </w:rPr>
              <w:t>EUR</w:t>
            </w:r>
            <w:r w:rsidRPr="00F67057">
              <w:rPr>
                <w:bCs/>
              </w:rPr>
              <w:t xml:space="preserve"> un valsts budžeta finansējums </w:t>
            </w:r>
            <w:r w:rsidR="006364A4" w:rsidRPr="00F67057">
              <w:rPr>
                <w:bCs/>
              </w:rPr>
              <w:t xml:space="preserve">2 896 397 </w:t>
            </w:r>
            <w:r w:rsidR="002B20CA" w:rsidRPr="00F67057">
              <w:rPr>
                <w:bCs/>
              </w:rPr>
              <w:t>EUR</w:t>
            </w:r>
            <w:r w:rsidRPr="00F67057">
              <w:rPr>
                <w:bCs/>
              </w:rPr>
              <w:t>;</w:t>
            </w:r>
          </w:p>
          <w:p w:rsidR="00E12FB6" w:rsidRPr="00F67057" w:rsidRDefault="00E12FB6" w:rsidP="00E12FB6">
            <w:pPr>
              <w:numPr>
                <w:ilvl w:val="0"/>
                <w:numId w:val="11"/>
              </w:numPr>
              <w:jc w:val="both"/>
              <w:rPr>
                <w:bCs/>
              </w:rPr>
            </w:pPr>
            <w:r w:rsidRPr="00F67057">
              <w:t xml:space="preserve">3.1.5.3.1.apakšaktivitātes </w:t>
            </w:r>
            <w:r w:rsidRPr="00F67057">
              <w:rPr>
                <w:bCs/>
              </w:rPr>
              <w:t xml:space="preserve">īstenošanai 2010.gadā tika piesaistīts finansējums </w:t>
            </w:r>
            <w:bookmarkStart w:id="10" w:name="OLE_LINK10"/>
            <w:r w:rsidR="006364A4" w:rsidRPr="00F67057">
              <w:rPr>
                <w:bCs/>
              </w:rPr>
              <w:t xml:space="preserve">27 712 763 </w:t>
            </w:r>
            <w:bookmarkEnd w:id="10"/>
            <w:r w:rsidR="002B20CA" w:rsidRPr="00F67057">
              <w:rPr>
                <w:bCs/>
              </w:rPr>
              <w:t>EUR</w:t>
            </w:r>
            <w:r w:rsidRPr="00F67057">
              <w:rPr>
                <w:bCs/>
              </w:rPr>
              <w:t xml:space="preserve"> apmērā, t.sk., ERAF finansējums </w:t>
            </w:r>
            <w:r w:rsidR="006364A4" w:rsidRPr="00F67057">
              <w:rPr>
                <w:bCs/>
              </w:rPr>
              <w:t>25 017 204 EUR</w:t>
            </w:r>
            <w:r w:rsidRPr="00F67057">
              <w:rPr>
                <w:bCs/>
              </w:rPr>
              <w:t xml:space="preserve"> un valsts budžeta finansējums </w:t>
            </w:r>
            <w:r w:rsidR="006364A4" w:rsidRPr="00F67057">
              <w:rPr>
                <w:bCs/>
              </w:rPr>
              <w:t xml:space="preserve">2 695 560 </w:t>
            </w:r>
            <w:r w:rsidR="002B20CA" w:rsidRPr="00F67057">
              <w:rPr>
                <w:bCs/>
              </w:rPr>
              <w:t>EUR</w:t>
            </w:r>
            <w:r w:rsidRPr="00F67057">
              <w:rPr>
                <w:bCs/>
              </w:rPr>
              <w:t>;</w:t>
            </w:r>
          </w:p>
          <w:p w:rsidR="00E12FB6" w:rsidRPr="00F67057" w:rsidRDefault="00E12FB6" w:rsidP="00E12FB6">
            <w:pPr>
              <w:numPr>
                <w:ilvl w:val="0"/>
                <w:numId w:val="11"/>
              </w:numPr>
              <w:jc w:val="both"/>
            </w:pPr>
            <w:r w:rsidRPr="00F67057">
              <w:t xml:space="preserve">3.1.5.3.1.apakšaktivitātes </w:t>
            </w:r>
            <w:r w:rsidRPr="00F67057">
              <w:rPr>
                <w:bCs/>
              </w:rPr>
              <w:t xml:space="preserve">īstenošanai 2011.gadā tika piesaistīts finansējums </w:t>
            </w:r>
            <w:r w:rsidR="00295AF7" w:rsidRPr="00F67057">
              <w:rPr>
                <w:bCs/>
              </w:rPr>
              <w:t xml:space="preserve">37 842 230 </w:t>
            </w:r>
            <w:r w:rsidR="002B20CA" w:rsidRPr="00F67057">
              <w:rPr>
                <w:bCs/>
              </w:rPr>
              <w:t>EUR</w:t>
            </w:r>
            <w:r w:rsidRPr="00F67057">
              <w:rPr>
                <w:bCs/>
              </w:rPr>
              <w:t xml:space="preserve"> apmērā, t.sk., ERAF finansējums </w:t>
            </w:r>
            <w:r w:rsidR="00295AF7" w:rsidRPr="00F67057">
              <w:t xml:space="preserve">33 898 641 </w:t>
            </w:r>
            <w:r w:rsidR="00295AF7" w:rsidRPr="00F67057">
              <w:rPr>
                <w:bCs/>
              </w:rPr>
              <w:t>EUR</w:t>
            </w:r>
            <w:r w:rsidRPr="00F67057">
              <w:rPr>
                <w:bCs/>
              </w:rPr>
              <w:t xml:space="preserve"> un valsts budžeta finansējums </w:t>
            </w:r>
            <w:r w:rsidR="00295AF7" w:rsidRPr="00F67057">
              <w:t xml:space="preserve">3 943 589 </w:t>
            </w:r>
            <w:r w:rsidR="002B20CA" w:rsidRPr="00F67057">
              <w:rPr>
                <w:bCs/>
              </w:rPr>
              <w:t>EUR</w:t>
            </w:r>
            <w:r w:rsidRPr="00F67057">
              <w:rPr>
                <w:bCs/>
              </w:rPr>
              <w:t>;</w:t>
            </w:r>
          </w:p>
          <w:p w:rsidR="00E12FB6" w:rsidRPr="00F67057" w:rsidRDefault="00E12FB6" w:rsidP="00E12FB6">
            <w:pPr>
              <w:numPr>
                <w:ilvl w:val="0"/>
                <w:numId w:val="11"/>
              </w:numPr>
              <w:jc w:val="both"/>
              <w:rPr>
                <w:bCs/>
              </w:rPr>
            </w:pPr>
            <w:r w:rsidRPr="00F67057">
              <w:t xml:space="preserve">3.1.5.3.1.apakšaktivitātes </w:t>
            </w:r>
            <w:r w:rsidRPr="00F67057">
              <w:rPr>
                <w:bCs/>
              </w:rPr>
              <w:t xml:space="preserve">īstenošanai 2012.gadā tika piesaistīts finansējums </w:t>
            </w:r>
            <w:r w:rsidR="0064167F" w:rsidRPr="00F67057">
              <w:t>26 684 </w:t>
            </w:r>
            <w:r w:rsidR="00C670BC" w:rsidRPr="00F67057">
              <w:t>214</w:t>
            </w:r>
            <w:r w:rsidR="0064167F" w:rsidRPr="00F67057">
              <w:t xml:space="preserve"> </w:t>
            </w:r>
            <w:r w:rsidR="002B20CA" w:rsidRPr="00F67057">
              <w:t>EUR</w:t>
            </w:r>
            <w:r w:rsidRPr="00F67057">
              <w:t xml:space="preserve"> apmērā,</w:t>
            </w:r>
            <w:r w:rsidRPr="00F67057">
              <w:rPr>
                <w:i/>
              </w:rPr>
              <w:t xml:space="preserve"> </w:t>
            </w:r>
            <w:r w:rsidRPr="00F67057">
              <w:rPr>
                <w:bCs/>
              </w:rPr>
              <w:t xml:space="preserve">t.sk., ERAF finansējums </w:t>
            </w:r>
            <w:r w:rsidR="00500D8F" w:rsidRPr="00F67057">
              <w:t>25 083</w:t>
            </w:r>
            <w:r w:rsidR="0064167F" w:rsidRPr="00F67057">
              <w:t> </w:t>
            </w:r>
            <w:r w:rsidR="00500D8F" w:rsidRPr="00F67057">
              <w:t>161</w:t>
            </w:r>
            <w:r w:rsidR="0064167F" w:rsidRPr="00F67057">
              <w:t xml:space="preserve"> </w:t>
            </w:r>
            <w:r w:rsidR="002B20CA" w:rsidRPr="00F67057">
              <w:rPr>
                <w:bCs/>
              </w:rPr>
              <w:t>EUR</w:t>
            </w:r>
            <w:r w:rsidRPr="00F67057">
              <w:rPr>
                <w:bCs/>
              </w:rPr>
              <w:t xml:space="preserve"> un valsts budžeta finansējums </w:t>
            </w:r>
            <w:r w:rsidR="00500D8F" w:rsidRPr="00F67057">
              <w:t>1 601</w:t>
            </w:r>
            <w:r w:rsidR="0064167F" w:rsidRPr="00F67057">
              <w:t> </w:t>
            </w:r>
            <w:r w:rsidR="00500D8F" w:rsidRPr="00F67057">
              <w:t>053</w:t>
            </w:r>
            <w:r w:rsidR="0064167F" w:rsidRPr="00F67057">
              <w:t xml:space="preserve"> </w:t>
            </w:r>
            <w:r w:rsidR="002B20CA" w:rsidRPr="00F67057">
              <w:rPr>
                <w:bCs/>
              </w:rPr>
              <w:t>EUR</w:t>
            </w:r>
            <w:r w:rsidRPr="00F67057">
              <w:rPr>
                <w:bCs/>
              </w:rPr>
              <w:t>;</w:t>
            </w:r>
          </w:p>
          <w:p w:rsidR="00E12FB6" w:rsidRPr="00F67057" w:rsidRDefault="00E12FB6" w:rsidP="00E12FB6">
            <w:pPr>
              <w:numPr>
                <w:ilvl w:val="0"/>
                <w:numId w:val="11"/>
              </w:numPr>
              <w:jc w:val="both"/>
              <w:rPr>
                <w:bCs/>
              </w:rPr>
            </w:pPr>
            <w:r w:rsidRPr="00F67057">
              <w:lastRenderedPageBreak/>
              <w:t xml:space="preserve">3.1.5.3.1.apakšaktivitātes </w:t>
            </w:r>
            <w:r w:rsidR="004464FA" w:rsidRPr="00F67057">
              <w:rPr>
                <w:bCs/>
              </w:rPr>
              <w:t xml:space="preserve">īstenošanai 2013.gadā tika piesaistīts finansējums </w:t>
            </w:r>
            <w:r w:rsidR="00761BCE" w:rsidRPr="00F67057">
              <w:t>26 521 360</w:t>
            </w:r>
            <w:r w:rsidR="004464FA" w:rsidRPr="00F67057">
              <w:t xml:space="preserve"> EUR apmērā,</w:t>
            </w:r>
            <w:r w:rsidR="004464FA" w:rsidRPr="00F67057">
              <w:rPr>
                <w:i/>
              </w:rPr>
              <w:t xml:space="preserve"> </w:t>
            </w:r>
            <w:r w:rsidR="004464FA" w:rsidRPr="00F67057">
              <w:rPr>
                <w:bCs/>
              </w:rPr>
              <w:t xml:space="preserve">t.sk., ERAF finansējums </w:t>
            </w:r>
            <w:r w:rsidR="00761BCE" w:rsidRPr="00F67057">
              <w:t xml:space="preserve">25 177 921 </w:t>
            </w:r>
            <w:r w:rsidR="004464FA" w:rsidRPr="00F67057">
              <w:rPr>
                <w:bCs/>
              </w:rPr>
              <w:t xml:space="preserve">EUR un valsts budžeta finansējums </w:t>
            </w:r>
            <w:r w:rsidR="00761BCE" w:rsidRPr="00F67057">
              <w:t>1 343 439</w:t>
            </w:r>
            <w:r w:rsidR="004464FA" w:rsidRPr="00F67057">
              <w:t xml:space="preserve"> </w:t>
            </w:r>
            <w:r w:rsidR="004464FA" w:rsidRPr="00F67057">
              <w:rPr>
                <w:bCs/>
              </w:rPr>
              <w:t>EUR</w:t>
            </w:r>
            <w:r w:rsidRPr="00F67057">
              <w:rPr>
                <w:bCs/>
              </w:rPr>
              <w:t>;</w:t>
            </w:r>
          </w:p>
          <w:p w:rsidR="00E12FB6" w:rsidRPr="00F67057" w:rsidRDefault="00E12FB6" w:rsidP="004464FA">
            <w:pPr>
              <w:numPr>
                <w:ilvl w:val="0"/>
                <w:numId w:val="11"/>
              </w:numPr>
              <w:jc w:val="both"/>
              <w:rPr>
                <w:bCs/>
              </w:rPr>
            </w:pPr>
            <w:r w:rsidRPr="00F67057">
              <w:t xml:space="preserve">3.1.5.3.1.apakšaktivitātes </w:t>
            </w:r>
            <w:r w:rsidRPr="00F67057">
              <w:rPr>
                <w:bCs/>
              </w:rPr>
              <w:t xml:space="preserve">īstenošanai 2014.gadā </w:t>
            </w:r>
            <w:r w:rsidR="004464FA" w:rsidRPr="00F67057">
              <w:rPr>
                <w:bCs/>
              </w:rPr>
              <w:t xml:space="preserve">atbilstoši likumam „Par valsts budžetu 2014.gadam” tika piesaistīts finansējums </w:t>
            </w:r>
            <w:r w:rsidR="00ED00BD" w:rsidRPr="00F67057">
              <w:t>23 532 422</w:t>
            </w:r>
            <w:r w:rsidR="00BE70F1" w:rsidRPr="00F67057">
              <w:t xml:space="preserve"> </w:t>
            </w:r>
            <w:r w:rsidR="004464FA" w:rsidRPr="00F67057">
              <w:t>EUR apmērā,</w:t>
            </w:r>
            <w:r w:rsidR="004464FA" w:rsidRPr="00F67057">
              <w:rPr>
                <w:i/>
              </w:rPr>
              <w:t xml:space="preserve"> </w:t>
            </w:r>
            <w:r w:rsidR="004464FA" w:rsidRPr="00F67057">
              <w:rPr>
                <w:bCs/>
              </w:rPr>
              <w:t xml:space="preserve">t.sk., ERAF finansējums </w:t>
            </w:r>
            <w:r w:rsidR="00C25CBF" w:rsidRPr="00F67057">
              <w:t>21 262 547</w:t>
            </w:r>
            <w:r w:rsidR="004464FA" w:rsidRPr="00F67057">
              <w:t xml:space="preserve"> </w:t>
            </w:r>
            <w:r w:rsidR="004464FA" w:rsidRPr="00F67057">
              <w:rPr>
                <w:bCs/>
              </w:rPr>
              <w:t xml:space="preserve">EUR un valsts budžeta finansējums </w:t>
            </w:r>
            <w:r w:rsidR="00ED00BD" w:rsidRPr="00F67057">
              <w:t>2 269 875</w:t>
            </w:r>
            <w:r w:rsidR="00BE70F1" w:rsidRPr="00F67057">
              <w:t xml:space="preserve"> </w:t>
            </w:r>
            <w:r w:rsidR="004464FA" w:rsidRPr="00F67057">
              <w:rPr>
                <w:bCs/>
              </w:rPr>
              <w:t>EUR</w:t>
            </w:r>
            <w:r w:rsidRPr="00F67057">
              <w:rPr>
                <w:bCs/>
              </w:rPr>
              <w:t>;</w:t>
            </w:r>
          </w:p>
          <w:p w:rsidR="00E12FB6" w:rsidRPr="00F67057" w:rsidRDefault="00E12FB6" w:rsidP="001647CA">
            <w:pPr>
              <w:numPr>
                <w:ilvl w:val="0"/>
                <w:numId w:val="11"/>
              </w:numPr>
              <w:jc w:val="both"/>
            </w:pPr>
            <w:r w:rsidRPr="00F67057">
              <w:t xml:space="preserve">3.1.5.3.1.apakšaktivitātes </w:t>
            </w:r>
            <w:r w:rsidRPr="00F67057">
              <w:rPr>
                <w:bCs/>
              </w:rPr>
              <w:t xml:space="preserve">īstenošanai 2015.gadā plānots piesaistīt finansējumu </w:t>
            </w:r>
            <w:r w:rsidR="00500D8F" w:rsidRPr="00F67057">
              <w:rPr>
                <w:bCs/>
              </w:rPr>
              <w:t>21 081 012</w:t>
            </w:r>
            <w:r w:rsidR="001647CA" w:rsidRPr="00F67057">
              <w:rPr>
                <w:bCs/>
              </w:rPr>
              <w:t xml:space="preserve"> </w:t>
            </w:r>
            <w:r w:rsidR="002B20CA" w:rsidRPr="00F67057">
              <w:rPr>
                <w:bCs/>
              </w:rPr>
              <w:t>EUR</w:t>
            </w:r>
            <w:r w:rsidRPr="00F67057">
              <w:rPr>
                <w:bCs/>
              </w:rPr>
              <w:t xml:space="preserve"> apmērā, t.sk., ERAF finansējums</w:t>
            </w:r>
            <w:r w:rsidR="001647CA" w:rsidRPr="00F67057">
              <w:rPr>
                <w:bCs/>
              </w:rPr>
              <w:t xml:space="preserve"> </w:t>
            </w:r>
            <w:r w:rsidR="001647CA" w:rsidRPr="00F67057">
              <w:t>20</w:t>
            </w:r>
            <w:r w:rsidR="00500D8F" w:rsidRPr="00F67057">
              <w:t> 785 445</w:t>
            </w:r>
            <w:r w:rsidR="00C25CBF" w:rsidRPr="00F67057">
              <w:t xml:space="preserve"> </w:t>
            </w:r>
            <w:r w:rsidR="002B20CA" w:rsidRPr="00F67057">
              <w:rPr>
                <w:bCs/>
              </w:rPr>
              <w:t>EUR</w:t>
            </w:r>
            <w:r w:rsidRPr="00F67057">
              <w:rPr>
                <w:bCs/>
              </w:rPr>
              <w:t xml:space="preserve"> un valsts budžeta finansējums </w:t>
            </w:r>
            <w:r w:rsidR="00500D8F" w:rsidRPr="00F67057">
              <w:t>295 567</w:t>
            </w:r>
            <w:r w:rsidR="001647CA" w:rsidRPr="00F67057">
              <w:t xml:space="preserve"> </w:t>
            </w:r>
            <w:r w:rsidR="002B20CA" w:rsidRPr="00F67057">
              <w:rPr>
                <w:bCs/>
              </w:rPr>
              <w:t>EUR</w:t>
            </w:r>
            <w:r w:rsidR="00C557BA" w:rsidRPr="00F67057">
              <w:t>;</w:t>
            </w:r>
          </w:p>
          <w:p w:rsidR="00C25CBF" w:rsidRPr="00F67057" w:rsidRDefault="00153C19" w:rsidP="001647CA">
            <w:pPr>
              <w:numPr>
                <w:ilvl w:val="0"/>
                <w:numId w:val="11"/>
              </w:numPr>
              <w:jc w:val="both"/>
            </w:pPr>
            <w:r w:rsidRPr="00F67057">
              <w:rPr>
                <w:lang w:eastAsia="lv-LV"/>
              </w:rPr>
              <w:t xml:space="preserve">Ņemot vērā </w:t>
            </w:r>
            <w:r w:rsidR="00C25CBF" w:rsidRPr="00F67057">
              <w:rPr>
                <w:lang w:eastAsia="lv-LV"/>
              </w:rPr>
              <w:t xml:space="preserve">Ministru kabineta 2012.gada 8.maija sēdes </w:t>
            </w:r>
            <w:proofErr w:type="spellStart"/>
            <w:r w:rsidR="00C25CBF" w:rsidRPr="00F67057">
              <w:rPr>
                <w:lang w:eastAsia="lv-LV"/>
              </w:rPr>
              <w:t>protokollēmumā</w:t>
            </w:r>
            <w:proofErr w:type="spellEnd"/>
            <w:r w:rsidR="00C25CBF" w:rsidRPr="00F67057">
              <w:rPr>
                <w:lang w:eastAsia="lv-LV"/>
              </w:rPr>
              <w:t xml:space="preserve"> Nr.25 26.§ 7.punktā noteikto, ja ES fonda prioritātes ietvaros kādā no aktivitātēm ir uzņemtas </w:t>
            </w:r>
            <w:proofErr w:type="spellStart"/>
            <w:r w:rsidR="00C25CBF" w:rsidRPr="00F67057">
              <w:rPr>
                <w:lang w:eastAsia="lv-LV"/>
              </w:rPr>
              <w:t>virssaistības</w:t>
            </w:r>
            <w:proofErr w:type="spellEnd"/>
            <w:r w:rsidR="00C25CBF" w:rsidRPr="00F67057">
              <w:rPr>
                <w:lang w:eastAsia="lv-LV"/>
              </w:rPr>
              <w:t xml:space="preserve"> un kādā šīs prioritātes projektā ir konstatēta neatbilstība vai tiek lauzts līgums, atbrīvotais finansējums sākot ar 2012.gada 8.maiju neatbilstoši veikto izdevumu apmērā nevar tikt novirzīts citu ES fonda projektu īstenošanai.</w:t>
            </w:r>
            <w:r w:rsidRPr="00F67057">
              <w:rPr>
                <w:lang w:eastAsia="lv-LV"/>
              </w:rPr>
              <w:t xml:space="preserve"> </w:t>
            </w:r>
            <w:r w:rsidRPr="00F67057">
              <w:t xml:space="preserve">3.1.5.3.1.apakšaktivitātes ietvaros konstatēto neatbilstību apjoms pēc </w:t>
            </w:r>
            <w:r w:rsidR="00C557BA" w:rsidRPr="00F67057">
              <w:t xml:space="preserve">2012.gada 8.maija </w:t>
            </w:r>
            <w:r w:rsidRPr="00F67057">
              <w:t xml:space="preserve">ir 2 </w:t>
            </w:r>
            <w:r w:rsidR="00756B2D" w:rsidRPr="00F67057">
              <w:t>245</w:t>
            </w:r>
            <w:r w:rsidRPr="00F67057">
              <w:t> </w:t>
            </w:r>
            <w:r w:rsidR="00756B2D" w:rsidRPr="00F67057">
              <w:t>512</w:t>
            </w:r>
            <w:r w:rsidRPr="00F67057">
              <w:t xml:space="preserve"> EUR, t.sk. ERAF finansējums </w:t>
            </w:r>
            <w:bookmarkStart w:id="11" w:name="OLE_LINK11"/>
            <w:r w:rsidRPr="00F67057">
              <w:t>2</w:t>
            </w:r>
            <w:r w:rsidR="00756B2D" w:rsidRPr="00F67057">
              <w:t> </w:t>
            </w:r>
            <w:bookmarkEnd w:id="11"/>
            <w:r w:rsidR="00756B2D" w:rsidRPr="00F67057">
              <w:t>065 808</w:t>
            </w:r>
            <w:r w:rsidRPr="00F67057">
              <w:t xml:space="preserve"> EUR u</w:t>
            </w:r>
            <w:r w:rsidR="00756B2D" w:rsidRPr="00F67057">
              <w:t>n valsts budžeta finansējums 179 704</w:t>
            </w:r>
            <w:r w:rsidRPr="00F67057">
              <w:t xml:space="preserve"> EUR.</w:t>
            </w:r>
          </w:p>
          <w:p w:rsidR="000C5995" w:rsidRPr="00F67057" w:rsidRDefault="000C5995" w:rsidP="000C5995">
            <w:pPr>
              <w:jc w:val="both"/>
              <w:rPr>
                <w:bCs/>
              </w:rPr>
            </w:pPr>
          </w:p>
          <w:p w:rsidR="000C5995" w:rsidRPr="00F67057" w:rsidRDefault="000C5995" w:rsidP="00C25CBF">
            <w:pPr>
              <w:jc w:val="both"/>
            </w:pPr>
            <w:r w:rsidRPr="00F67057">
              <w:rPr>
                <w:lang w:eastAsia="lv-LV"/>
              </w:rPr>
              <w:t>Noteikumu projekta īstenošana tiks nodrošināta esošo finanšu līdzekļu ietvaros</w:t>
            </w:r>
            <w:r w:rsidR="00C25CBF" w:rsidRPr="00F67057">
              <w:rPr>
                <w:lang w:eastAsia="lv-LV"/>
              </w:rPr>
              <w:t>.</w:t>
            </w:r>
          </w:p>
        </w:tc>
      </w:tr>
      <w:tr w:rsidR="00855289" w:rsidRPr="00F67057" w:rsidTr="009045B4">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jc w:val="both"/>
            </w:pPr>
            <w:r w:rsidRPr="00F67057">
              <w:t>6.1. detalizēts ieņēmumu aprēķins</w:t>
            </w:r>
          </w:p>
        </w:tc>
        <w:tc>
          <w:tcPr>
            <w:tcW w:w="7141" w:type="dxa"/>
            <w:gridSpan w:val="5"/>
            <w:vMerge/>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b/>
                <w:bCs/>
                <w:i/>
                <w:iCs/>
                <w:lang w:val="lv-LV"/>
              </w:rPr>
            </w:pPr>
          </w:p>
        </w:tc>
      </w:tr>
      <w:tr w:rsidR="00855289" w:rsidRPr="00F67057" w:rsidTr="009045B4">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jc w:val="both"/>
            </w:pPr>
            <w:r w:rsidRPr="00F67057">
              <w:t>6.2. detalizēts izdevumu aprēķins</w:t>
            </w:r>
          </w:p>
        </w:tc>
        <w:tc>
          <w:tcPr>
            <w:tcW w:w="7141" w:type="dxa"/>
            <w:gridSpan w:val="5"/>
            <w:vMerge/>
            <w:tcBorders>
              <w:top w:val="single" w:sz="4" w:space="0" w:color="auto"/>
              <w:left w:val="single" w:sz="4" w:space="0" w:color="auto"/>
              <w:bottom w:val="single" w:sz="4" w:space="0" w:color="auto"/>
              <w:right w:val="single" w:sz="4" w:space="0" w:color="auto"/>
            </w:tcBorders>
          </w:tcPr>
          <w:p w:rsidR="00855289" w:rsidRPr="00F67057" w:rsidRDefault="00855289" w:rsidP="009045B4">
            <w:pPr>
              <w:pStyle w:val="naisf"/>
              <w:spacing w:before="0" w:after="0"/>
              <w:rPr>
                <w:b/>
                <w:bCs/>
                <w:i/>
                <w:iCs/>
                <w:lang w:val="lv-LV"/>
              </w:rPr>
            </w:pPr>
          </w:p>
        </w:tc>
      </w:tr>
      <w:tr w:rsidR="00855289" w:rsidRPr="00F67057" w:rsidTr="009045B4">
        <w:trPr>
          <w:jc w:val="center"/>
        </w:trPr>
        <w:tc>
          <w:tcPr>
            <w:tcW w:w="2812" w:type="dxa"/>
            <w:tcBorders>
              <w:top w:val="single" w:sz="4" w:space="0" w:color="auto"/>
              <w:left w:val="single" w:sz="4" w:space="0" w:color="auto"/>
              <w:bottom w:val="single" w:sz="4" w:space="0" w:color="auto"/>
              <w:right w:val="single" w:sz="4" w:space="0" w:color="auto"/>
            </w:tcBorders>
          </w:tcPr>
          <w:p w:rsidR="00855289" w:rsidRPr="00F67057" w:rsidRDefault="00855289" w:rsidP="009045B4">
            <w:pPr>
              <w:jc w:val="both"/>
            </w:pPr>
            <w:r w:rsidRPr="00F67057">
              <w:lastRenderedPageBreak/>
              <w:t>7. Cita informācija</w:t>
            </w:r>
          </w:p>
        </w:tc>
        <w:tc>
          <w:tcPr>
            <w:tcW w:w="7141" w:type="dxa"/>
            <w:gridSpan w:val="5"/>
            <w:tcBorders>
              <w:top w:val="single" w:sz="4" w:space="0" w:color="auto"/>
              <w:left w:val="single" w:sz="4" w:space="0" w:color="auto"/>
              <w:bottom w:val="single" w:sz="4" w:space="0" w:color="auto"/>
              <w:right w:val="single" w:sz="4" w:space="0" w:color="auto"/>
            </w:tcBorders>
          </w:tcPr>
          <w:p w:rsidR="000C5995" w:rsidRPr="00F67057" w:rsidRDefault="002546E8" w:rsidP="002546E8">
            <w:pPr>
              <w:pStyle w:val="naisf"/>
              <w:spacing w:before="0" w:after="0"/>
              <w:rPr>
                <w:lang w:val="lv-LV"/>
              </w:rPr>
            </w:pPr>
            <w:r w:rsidRPr="00F67057">
              <w:rPr>
                <w:lang w:val="lv-LV"/>
              </w:rPr>
              <w:t xml:space="preserve">Šis projekts paredz </w:t>
            </w:r>
            <w:r w:rsidRPr="00F67057">
              <w:rPr>
                <w:lang w:val="lv-LV" w:eastAsia="lv-LV"/>
              </w:rPr>
              <w:t xml:space="preserve">konvertēt </w:t>
            </w:r>
            <w:r w:rsidRPr="00F67057">
              <w:rPr>
                <w:bCs/>
                <w:lang w:val="lv-LV"/>
              </w:rPr>
              <w:t>noteikumos norādītās</w:t>
            </w:r>
            <w:r w:rsidRPr="00F67057">
              <w:rPr>
                <w:lang w:val="lv-LV" w:eastAsia="lv-LV"/>
              </w:rPr>
              <w:t xml:space="preserve"> cenas un summas no latiem uz </w:t>
            </w:r>
            <w:proofErr w:type="spellStart"/>
            <w:r w:rsidR="00CD2DAE" w:rsidRPr="00F67057">
              <w:rPr>
                <w:i/>
                <w:lang w:val="lv-LV" w:eastAsia="lv-LV"/>
              </w:rPr>
              <w:t>euro</w:t>
            </w:r>
            <w:proofErr w:type="spellEnd"/>
            <w:r w:rsidRPr="00F67057">
              <w:rPr>
                <w:lang w:val="lv-LV" w:eastAsia="lv-LV"/>
              </w:rPr>
              <w:t xml:space="preserve"> a</w:t>
            </w:r>
            <w:r w:rsidRPr="00F67057">
              <w:rPr>
                <w:lang w:val="lv-LV"/>
              </w:rPr>
              <w:t xml:space="preserve">tbilstoši </w:t>
            </w:r>
            <w:proofErr w:type="spellStart"/>
            <w:r w:rsidR="00CD2DAE" w:rsidRPr="00F67057">
              <w:rPr>
                <w:i/>
                <w:lang w:val="lv-LV"/>
              </w:rPr>
              <w:t>Euro</w:t>
            </w:r>
            <w:proofErr w:type="spellEnd"/>
            <w:r w:rsidRPr="00F67057">
              <w:rPr>
                <w:i/>
                <w:lang w:val="lv-LV"/>
              </w:rPr>
              <w:t xml:space="preserve"> </w:t>
            </w:r>
            <w:r w:rsidRPr="00F67057">
              <w:rPr>
                <w:lang w:val="lv-LV"/>
              </w:rPr>
              <w:t xml:space="preserve">ieviešanas kārtības likuma </w:t>
            </w:r>
            <w:r w:rsidR="00710358" w:rsidRPr="00F67057">
              <w:rPr>
                <w:lang w:val="lv-LV"/>
              </w:rPr>
              <w:t>6. u</w:t>
            </w:r>
            <w:r w:rsidR="00FF19C9" w:rsidRPr="00F67057">
              <w:rPr>
                <w:lang w:val="lv-LV"/>
              </w:rPr>
              <w:t xml:space="preserve">n </w:t>
            </w:r>
            <w:r w:rsidRPr="00F67057">
              <w:rPr>
                <w:rFonts w:eastAsia="Calibri"/>
                <w:lang w:val="lv-LV" w:eastAsia="lv-LV"/>
              </w:rPr>
              <w:t xml:space="preserve">32.panta </w:t>
            </w:r>
            <w:r w:rsidRPr="00F67057">
              <w:rPr>
                <w:lang w:val="lv-LV"/>
              </w:rPr>
              <w:t>principiem</w:t>
            </w:r>
            <w:r w:rsidR="00712DA1" w:rsidRPr="00F67057">
              <w:rPr>
                <w:lang w:val="lv-LV"/>
              </w:rPr>
              <w:t xml:space="preserve">, kas, lai </w:t>
            </w:r>
            <w:r w:rsidRPr="00F67057">
              <w:rPr>
                <w:lang w:val="lv-LV"/>
              </w:rPr>
              <w:t>nodrošinātu vienkāršāku informācijas uztveršanu, atainotas anotācijas pielikumā.</w:t>
            </w:r>
            <w:r w:rsidR="000C5995" w:rsidRPr="00F67057">
              <w:rPr>
                <w:lang w:val="lv-LV"/>
              </w:rPr>
              <w:t xml:space="preserve"> </w:t>
            </w:r>
          </w:p>
          <w:p w:rsidR="00855289" w:rsidRPr="00F67057" w:rsidRDefault="000C5995" w:rsidP="0026728B">
            <w:pPr>
              <w:pStyle w:val="naisf"/>
              <w:spacing w:before="0" w:after="0"/>
              <w:rPr>
                <w:lang w:val="lv-LV"/>
              </w:rPr>
            </w:pPr>
            <w:r w:rsidRPr="00F67057">
              <w:rPr>
                <w:lang w:val="lv-LV"/>
              </w:rPr>
              <w:t xml:space="preserve">Noteikumu projekta īstenošana </w:t>
            </w:r>
            <w:r w:rsidRPr="00F67057">
              <w:rPr>
                <w:lang w:val="lv-LV" w:eastAsia="lv-LV"/>
              </w:rPr>
              <w:t xml:space="preserve">tiks nodrošināta Finanšu ministrijas budžeta </w:t>
            </w:r>
            <w:r w:rsidRPr="00F67057">
              <w:rPr>
                <w:lang w:val="lv-LV"/>
              </w:rPr>
              <w:t xml:space="preserve">programmas 62.00.00 „Eiropas Reģionālās attīstības fonda (ERAF) projektu un pasākumu īstenošana” apakšprogrammā 62.06.00 „Eiropas Reģionālās attīstības fonda (ERAF) avansa maksājumi un atmaksas finansējuma saņēmējiem (2007-2013)” </w:t>
            </w:r>
            <w:r w:rsidRPr="00F67057">
              <w:rPr>
                <w:lang w:val="lv-LV" w:eastAsia="lv-LV"/>
              </w:rPr>
              <w:t>esošo finanšu līdzekļu ietvaros</w:t>
            </w:r>
            <w:r w:rsidR="0026728B" w:rsidRPr="00F67057">
              <w:rPr>
                <w:lang w:val="lv-LV" w:eastAsia="lv-LV"/>
              </w:rPr>
              <w:t>.</w:t>
            </w:r>
          </w:p>
        </w:tc>
      </w:tr>
    </w:tbl>
    <w:p w:rsidR="00CC7955" w:rsidRPr="00F67057" w:rsidRDefault="00CC7955" w:rsidP="00B9292C">
      <w:pPr>
        <w:autoSpaceDE w:val="0"/>
        <w:autoSpaceDN w:val="0"/>
        <w:adjustRightInd w:val="0"/>
        <w:rPr>
          <w:noProof/>
          <w:sz w:val="28"/>
          <w:szCs w:val="28"/>
        </w:rPr>
      </w:pPr>
    </w:p>
    <w:p w:rsidR="00855289" w:rsidRPr="00F67057" w:rsidRDefault="00855289" w:rsidP="002106BC">
      <w:pPr>
        <w:autoSpaceDE w:val="0"/>
        <w:autoSpaceDN w:val="0"/>
        <w:adjustRightInd w:val="0"/>
        <w:jc w:val="both"/>
        <w:rPr>
          <w:bCs/>
          <w:i/>
          <w:lang w:eastAsia="lv-LV" w:bidi="lo-L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9"/>
        <w:gridCol w:w="2689"/>
        <w:gridCol w:w="5809"/>
      </w:tblGrid>
      <w:tr w:rsidR="00BC0F3D" w:rsidRPr="00F67057" w:rsidTr="00B340B6">
        <w:trPr>
          <w:trHeight w:val="503"/>
        </w:trPr>
        <w:tc>
          <w:tcPr>
            <w:tcW w:w="9147" w:type="dxa"/>
            <w:gridSpan w:val="3"/>
            <w:vAlign w:val="center"/>
          </w:tcPr>
          <w:p w:rsidR="00BC0F3D" w:rsidRPr="00F67057" w:rsidRDefault="00BC0F3D" w:rsidP="00CD063B">
            <w:pPr>
              <w:jc w:val="center"/>
              <w:rPr>
                <w:b/>
                <w:noProof/>
              </w:rPr>
            </w:pPr>
            <w:r w:rsidRPr="00CD063B">
              <w:rPr>
                <w:b/>
                <w:bCs/>
                <w:sz w:val="28"/>
                <w:szCs w:val="28"/>
              </w:rPr>
              <w:t>VI. Sabiedrības līdzdalība un komunikācijas aktivitātes</w:t>
            </w:r>
          </w:p>
        </w:tc>
      </w:tr>
      <w:tr w:rsidR="00BC0F3D" w:rsidRPr="00F67057" w:rsidTr="00B340B6">
        <w:tc>
          <w:tcPr>
            <w:tcW w:w="649" w:type="dxa"/>
          </w:tcPr>
          <w:p w:rsidR="00BC0F3D" w:rsidRPr="00F67057" w:rsidRDefault="00BC0F3D" w:rsidP="00B340B6">
            <w:pPr>
              <w:spacing w:before="100" w:beforeAutospacing="1" w:after="100" w:afterAutospacing="1"/>
              <w:rPr>
                <w:lang w:eastAsia="lv-LV" w:bidi="lo-LA"/>
              </w:rPr>
            </w:pPr>
            <w:r w:rsidRPr="00F67057">
              <w:rPr>
                <w:lang w:eastAsia="lv-LV" w:bidi="lo-LA"/>
              </w:rPr>
              <w:t> 1.</w:t>
            </w:r>
          </w:p>
        </w:tc>
        <w:tc>
          <w:tcPr>
            <w:tcW w:w="2689" w:type="dxa"/>
          </w:tcPr>
          <w:p w:rsidR="00BC0F3D" w:rsidRPr="00F67057" w:rsidRDefault="00BC0F3D" w:rsidP="00B340B6">
            <w:pPr>
              <w:rPr>
                <w:lang w:eastAsia="lv-LV"/>
              </w:rPr>
            </w:pPr>
            <w:r w:rsidRPr="00F67057">
              <w:rPr>
                <w:lang w:eastAsia="lv-LV"/>
              </w:rPr>
              <w:t>Plānotās sabiedrības līdzdalības un komunikācijas aktivitātes saistībā ar projektu</w:t>
            </w:r>
          </w:p>
        </w:tc>
        <w:tc>
          <w:tcPr>
            <w:tcW w:w="5809" w:type="dxa"/>
          </w:tcPr>
          <w:p w:rsidR="00BC0F3D" w:rsidRPr="00F67057" w:rsidRDefault="00BC0F3D" w:rsidP="00104459">
            <w:pPr>
              <w:jc w:val="both"/>
            </w:pPr>
            <w:r w:rsidRPr="00F67057">
              <w:rPr>
                <w:lang w:eastAsia="lv-LV"/>
              </w:rPr>
              <w:t xml:space="preserve">Attiecībā par noteikumu projekta </w:t>
            </w:r>
            <w:proofErr w:type="spellStart"/>
            <w:r w:rsidR="00CD2DAE" w:rsidRPr="00F67057">
              <w:rPr>
                <w:i/>
                <w:lang w:eastAsia="lv-LV"/>
              </w:rPr>
              <w:t>euro</w:t>
            </w:r>
            <w:proofErr w:type="spellEnd"/>
            <w:r w:rsidRPr="00F67057">
              <w:rPr>
                <w:lang w:eastAsia="lv-LV"/>
              </w:rPr>
              <w:t xml:space="preserve"> grozījumu sadaļu sabiedrības līdzdalība netika nodrošināta, jo grozījumi</w:t>
            </w:r>
            <w:r w:rsidR="00FF19C9" w:rsidRPr="00F67057">
              <w:rPr>
                <w:lang w:eastAsia="lv-LV"/>
              </w:rPr>
              <w:t xml:space="preserve"> ir tehniski un</w:t>
            </w:r>
            <w:r w:rsidRPr="00F67057">
              <w:rPr>
                <w:lang w:eastAsia="lv-LV"/>
              </w:rPr>
              <w:t xml:space="preserve"> veikti atbilstoši </w:t>
            </w:r>
            <w:proofErr w:type="spellStart"/>
            <w:r w:rsidR="00CD2DAE" w:rsidRPr="00F67057">
              <w:rPr>
                <w:i/>
              </w:rPr>
              <w:t>Euro</w:t>
            </w:r>
            <w:proofErr w:type="spellEnd"/>
            <w:r w:rsidRPr="00F67057">
              <w:rPr>
                <w:i/>
              </w:rPr>
              <w:t xml:space="preserve"> </w:t>
            </w:r>
            <w:r w:rsidRPr="00F67057">
              <w:t>ieviešanas kārtības likumam.</w:t>
            </w:r>
          </w:p>
        </w:tc>
      </w:tr>
      <w:tr w:rsidR="00BC0F3D" w:rsidRPr="00F67057" w:rsidTr="00B340B6">
        <w:tc>
          <w:tcPr>
            <w:tcW w:w="649" w:type="dxa"/>
          </w:tcPr>
          <w:p w:rsidR="00BC0F3D" w:rsidRPr="00F67057" w:rsidRDefault="00BC0F3D" w:rsidP="00B340B6">
            <w:pPr>
              <w:spacing w:before="100" w:beforeAutospacing="1" w:after="100" w:afterAutospacing="1"/>
              <w:rPr>
                <w:lang w:eastAsia="lv-LV" w:bidi="lo-LA"/>
              </w:rPr>
            </w:pPr>
            <w:r w:rsidRPr="00F67057">
              <w:rPr>
                <w:lang w:eastAsia="lv-LV" w:bidi="lo-LA"/>
              </w:rPr>
              <w:t> 2.</w:t>
            </w:r>
          </w:p>
        </w:tc>
        <w:tc>
          <w:tcPr>
            <w:tcW w:w="2689" w:type="dxa"/>
          </w:tcPr>
          <w:p w:rsidR="00BC0F3D" w:rsidRPr="00F67057" w:rsidRDefault="00BC0F3D" w:rsidP="00B340B6">
            <w:pPr>
              <w:rPr>
                <w:lang w:eastAsia="lv-LV"/>
              </w:rPr>
            </w:pPr>
            <w:r w:rsidRPr="00F67057">
              <w:rPr>
                <w:lang w:eastAsia="lv-LV"/>
              </w:rPr>
              <w:t>Sabiedrības līdzdalība projekta izstrādē</w:t>
            </w:r>
          </w:p>
        </w:tc>
        <w:tc>
          <w:tcPr>
            <w:tcW w:w="5809" w:type="dxa"/>
          </w:tcPr>
          <w:p w:rsidR="00BC0F3D" w:rsidRPr="00F67057" w:rsidRDefault="00BC0F3D" w:rsidP="00BC0F3D">
            <w:pPr>
              <w:rPr>
                <w:lang w:eastAsia="lv-LV"/>
              </w:rPr>
            </w:pPr>
            <w:r w:rsidRPr="00F67057">
              <w:rPr>
                <w:lang w:eastAsia="lv-LV"/>
              </w:rPr>
              <w:t>Nav</w:t>
            </w:r>
          </w:p>
        </w:tc>
      </w:tr>
      <w:tr w:rsidR="00BC0F3D" w:rsidRPr="00F67057" w:rsidTr="00B340B6">
        <w:tc>
          <w:tcPr>
            <w:tcW w:w="649" w:type="dxa"/>
          </w:tcPr>
          <w:p w:rsidR="00BC0F3D" w:rsidRPr="00F67057" w:rsidRDefault="00BC0F3D" w:rsidP="00B340B6">
            <w:pPr>
              <w:spacing w:before="100" w:beforeAutospacing="1" w:after="100" w:afterAutospacing="1"/>
              <w:rPr>
                <w:lang w:eastAsia="lv-LV" w:bidi="lo-LA"/>
              </w:rPr>
            </w:pPr>
            <w:r w:rsidRPr="00F67057">
              <w:rPr>
                <w:lang w:eastAsia="lv-LV" w:bidi="lo-LA"/>
              </w:rPr>
              <w:t> 3.</w:t>
            </w:r>
          </w:p>
        </w:tc>
        <w:tc>
          <w:tcPr>
            <w:tcW w:w="2689" w:type="dxa"/>
          </w:tcPr>
          <w:p w:rsidR="00BC0F3D" w:rsidRPr="00F67057" w:rsidRDefault="00BC0F3D" w:rsidP="00B340B6">
            <w:pPr>
              <w:rPr>
                <w:lang w:eastAsia="lv-LV"/>
              </w:rPr>
            </w:pPr>
            <w:r w:rsidRPr="00F67057">
              <w:rPr>
                <w:lang w:eastAsia="lv-LV"/>
              </w:rPr>
              <w:t>Sabiedrības līdzdalības rezultāti</w:t>
            </w:r>
          </w:p>
        </w:tc>
        <w:tc>
          <w:tcPr>
            <w:tcW w:w="5809" w:type="dxa"/>
          </w:tcPr>
          <w:p w:rsidR="00BC0F3D" w:rsidRPr="00F67057" w:rsidRDefault="00BC0F3D" w:rsidP="00B340B6">
            <w:pPr>
              <w:rPr>
                <w:lang w:eastAsia="lv-LV"/>
              </w:rPr>
            </w:pPr>
            <w:r w:rsidRPr="00F67057">
              <w:rPr>
                <w:lang w:eastAsia="lv-LV"/>
              </w:rPr>
              <w:t>Nav</w:t>
            </w:r>
          </w:p>
        </w:tc>
      </w:tr>
      <w:tr w:rsidR="00BC0F3D" w:rsidRPr="00F67057" w:rsidTr="00B340B6">
        <w:tc>
          <w:tcPr>
            <w:tcW w:w="649" w:type="dxa"/>
          </w:tcPr>
          <w:p w:rsidR="00BC0F3D" w:rsidRPr="00F67057" w:rsidRDefault="00BC0F3D" w:rsidP="00B340B6">
            <w:pPr>
              <w:spacing w:before="100" w:beforeAutospacing="1" w:after="100" w:afterAutospacing="1"/>
              <w:rPr>
                <w:lang w:eastAsia="lv-LV" w:bidi="lo-LA"/>
              </w:rPr>
            </w:pPr>
            <w:r w:rsidRPr="00F67057">
              <w:rPr>
                <w:lang w:eastAsia="lv-LV" w:bidi="lo-LA"/>
              </w:rPr>
              <w:t>4.</w:t>
            </w:r>
          </w:p>
        </w:tc>
        <w:tc>
          <w:tcPr>
            <w:tcW w:w="2689" w:type="dxa"/>
          </w:tcPr>
          <w:p w:rsidR="00BC0F3D" w:rsidRPr="00F67057" w:rsidRDefault="00BC0F3D" w:rsidP="00BC0F3D">
            <w:pPr>
              <w:spacing w:before="100" w:beforeAutospacing="1" w:after="100" w:afterAutospacing="1"/>
              <w:rPr>
                <w:lang w:eastAsia="lv-LV" w:bidi="lo-LA"/>
              </w:rPr>
            </w:pPr>
            <w:r w:rsidRPr="00F67057">
              <w:rPr>
                <w:lang w:eastAsia="lv-LV" w:bidi="lo-LA"/>
              </w:rPr>
              <w:t>Cita informācija</w:t>
            </w:r>
          </w:p>
        </w:tc>
        <w:tc>
          <w:tcPr>
            <w:tcW w:w="5809" w:type="dxa"/>
          </w:tcPr>
          <w:p w:rsidR="00BC0F3D" w:rsidRPr="00F67057" w:rsidRDefault="00BC0F3D" w:rsidP="00BC0F3D">
            <w:pPr>
              <w:spacing w:before="100" w:beforeAutospacing="1" w:after="100" w:afterAutospacing="1"/>
              <w:rPr>
                <w:lang w:eastAsia="lv-LV" w:bidi="lo-LA"/>
              </w:rPr>
            </w:pPr>
            <w:r w:rsidRPr="00F67057">
              <w:rPr>
                <w:lang w:eastAsia="lv-LV" w:bidi="lo-LA"/>
              </w:rPr>
              <w:t>Nav</w:t>
            </w:r>
          </w:p>
        </w:tc>
      </w:tr>
    </w:tbl>
    <w:p w:rsidR="00BC0F3D" w:rsidRPr="00F67057" w:rsidRDefault="00BC0F3D" w:rsidP="002106BC">
      <w:pPr>
        <w:autoSpaceDE w:val="0"/>
        <w:autoSpaceDN w:val="0"/>
        <w:adjustRightInd w:val="0"/>
        <w:jc w:val="both"/>
        <w:rPr>
          <w:bCs/>
          <w:i/>
          <w:lang w:eastAsia="lv-LV" w:bidi="lo-LA"/>
        </w:rPr>
      </w:pPr>
    </w:p>
    <w:p w:rsidR="00BC0F3D" w:rsidRPr="00F67057" w:rsidRDefault="00BC0F3D" w:rsidP="002106BC">
      <w:pPr>
        <w:autoSpaceDE w:val="0"/>
        <w:autoSpaceDN w:val="0"/>
        <w:adjustRightInd w:val="0"/>
        <w:jc w:val="both"/>
        <w:rPr>
          <w:bCs/>
          <w:i/>
          <w:lang w:eastAsia="lv-LV" w:bidi="lo-LA"/>
        </w:rPr>
      </w:pPr>
    </w:p>
    <w:tbl>
      <w:tblPr>
        <w:tblW w:w="498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69"/>
        <w:gridCol w:w="3439"/>
        <w:gridCol w:w="5256"/>
      </w:tblGrid>
      <w:tr w:rsidR="00BD37A4" w:rsidRPr="00CD063B" w:rsidTr="00D97E59">
        <w:tc>
          <w:tcPr>
            <w:tcW w:w="5000" w:type="pct"/>
            <w:gridSpan w:val="3"/>
            <w:tcBorders>
              <w:top w:val="outset" w:sz="6" w:space="0" w:color="000000"/>
              <w:left w:val="outset" w:sz="6" w:space="0" w:color="000000"/>
              <w:bottom w:val="outset" w:sz="6" w:space="0" w:color="000000"/>
              <w:right w:val="outset" w:sz="6" w:space="0" w:color="000000"/>
            </w:tcBorders>
          </w:tcPr>
          <w:p w:rsidR="00BD37A4" w:rsidRPr="00CD063B" w:rsidRDefault="00BD37A4" w:rsidP="00D97E59">
            <w:pPr>
              <w:jc w:val="center"/>
              <w:rPr>
                <w:b/>
                <w:bCs/>
                <w:sz w:val="28"/>
                <w:szCs w:val="28"/>
              </w:rPr>
            </w:pPr>
            <w:r w:rsidRPr="00CD063B">
              <w:rPr>
                <w:b/>
                <w:bCs/>
                <w:sz w:val="28"/>
                <w:szCs w:val="28"/>
              </w:rPr>
              <w:lastRenderedPageBreak/>
              <w:t>VII. Tiesību akta projekta izpildes nodrošināšana un tās ietekme uz institūcijām</w:t>
            </w:r>
          </w:p>
        </w:tc>
      </w:tr>
      <w:tr w:rsidR="00BD37A4" w:rsidRPr="00F67057" w:rsidTr="00D97E59">
        <w:tc>
          <w:tcPr>
            <w:tcW w:w="0" w:type="auto"/>
            <w:tcBorders>
              <w:top w:val="outset" w:sz="6" w:space="0" w:color="000000"/>
              <w:left w:val="outset" w:sz="6" w:space="0" w:color="000000"/>
              <w:bottom w:val="outset" w:sz="6" w:space="0" w:color="000000"/>
              <w:right w:val="outset" w:sz="6" w:space="0" w:color="000000"/>
            </w:tcBorders>
          </w:tcPr>
          <w:p w:rsidR="00BD37A4" w:rsidRPr="00F67057" w:rsidRDefault="00BD37A4" w:rsidP="00D97E59">
            <w:r w:rsidRPr="00F67057">
              <w:t>1.</w:t>
            </w:r>
          </w:p>
        </w:tc>
        <w:tc>
          <w:tcPr>
            <w:tcW w:w="1918" w:type="pct"/>
            <w:tcBorders>
              <w:top w:val="outset" w:sz="6" w:space="0" w:color="000000"/>
              <w:left w:val="outset" w:sz="6" w:space="0" w:color="000000"/>
              <w:bottom w:val="outset" w:sz="6" w:space="0" w:color="000000"/>
              <w:right w:val="outset" w:sz="6" w:space="0" w:color="000000"/>
            </w:tcBorders>
          </w:tcPr>
          <w:p w:rsidR="00BD37A4" w:rsidRPr="00F67057" w:rsidRDefault="00BD37A4" w:rsidP="00D97E59">
            <w:r w:rsidRPr="00F67057">
              <w:t>Projekta izpildē iesaistītās institūcijas</w:t>
            </w:r>
          </w:p>
        </w:tc>
        <w:tc>
          <w:tcPr>
            <w:tcW w:w="2932" w:type="pct"/>
            <w:tcBorders>
              <w:top w:val="outset" w:sz="6" w:space="0" w:color="000000"/>
              <w:left w:val="outset" w:sz="6" w:space="0" w:color="000000"/>
              <w:bottom w:val="outset" w:sz="6" w:space="0" w:color="000000"/>
              <w:right w:val="outset" w:sz="6" w:space="0" w:color="000000"/>
            </w:tcBorders>
          </w:tcPr>
          <w:p w:rsidR="00BD37A4" w:rsidRPr="00F67057" w:rsidRDefault="00BD37A4" w:rsidP="00BD37A4">
            <w:pPr>
              <w:rPr>
                <w:lang w:eastAsia="lv-LV" w:bidi="lo-LA"/>
              </w:rPr>
            </w:pPr>
            <w:r w:rsidRPr="00F67057">
              <w:rPr>
                <w:lang w:eastAsia="lv-LV" w:bidi="lo-LA"/>
              </w:rPr>
              <w:t>Veselības ministrija.</w:t>
            </w:r>
          </w:p>
          <w:p w:rsidR="00BD37A4" w:rsidRPr="00F67057" w:rsidRDefault="00BD37A4" w:rsidP="00556FA6">
            <w:pPr>
              <w:ind w:right="112"/>
            </w:pPr>
            <w:r w:rsidRPr="00F67057">
              <w:rPr>
                <w:lang w:eastAsia="lv-LV" w:bidi="lo-LA"/>
              </w:rPr>
              <w:t>Valsts aģentūra „Centrālā finanšu un līgumu aģentūra”.</w:t>
            </w:r>
          </w:p>
        </w:tc>
      </w:tr>
      <w:tr w:rsidR="00BD37A4" w:rsidRPr="00F67057" w:rsidTr="00D97E59">
        <w:tc>
          <w:tcPr>
            <w:tcW w:w="0" w:type="auto"/>
            <w:tcBorders>
              <w:top w:val="outset" w:sz="6" w:space="0" w:color="000000"/>
              <w:left w:val="outset" w:sz="6" w:space="0" w:color="000000"/>
              <w:bottom w:val="outset" w:sz="6" w:space="0" w:color="000000"/>
              <w:right w:val="outset" w:sz="6" w:space="0" w:color="000000"/>
            </w:tcBorders>
          </w:tcPr>
          <w:p w:rsidR="00BD37A4" w:rsidRPr="00F67057" w:rsidRDefault="00BD37A4" w:rsidP="00D97E59">
            <w:r w:rsidRPr="00F67057">
              <w:t>2.</w:t>
            </w:r>
          </w:p>
        </w:tc>
        <w:tc>
          <w:tcPr>
            <w:tcW w:w="1918" w:type="pct"/>
            <w:tcBorders>
              <w:top w:val="outset" w:sz="6" w:space="0" w:color="000000"/>
              <w:left w:val="outset" w:sz="6" w:space="0" w:color="000000"/>
              <w:bottom w:val="outset" w:sz="6" w:space="0" w:color="000000"/>
              <w:right w:val="outset" w:sz="6" w:space="0" w:color="000000"/>
            </w:tcBorders>
          </w:tcPr>
          <w:p w:rsidR="00BD37A4" w:rsidRPr="00F67057" w:rsidRDefault="00BD37A4" w:rsidP="00D97E59">
            <w:r w:rsidRPr="00F67057">
              <w:t>Projekta izpildes ietekme uz pārvaldes funkcijām</w:t>
            </w:r>
          </w:p>
        </w:tc>
        <w:tc>
          <w:tcPr>
            <w:tcW w:w="2932" w:type="pct"/>
            <w:tcBorders>
              <w:top w:val="outset" w:sz="6" w:space="0" w:color="000000"/>
              <w:left w:val="outset" w:sz="6" w:space="0" w:color="000000"/>
              <w:bottom w:val="outset" w:sz="6" w:space="0" w:color="000000"/>
              <w:right w:val="outset" w:sz="6" w:space="0" w:color="000000"/>
            </w:tcBorders>
          </w:tcPr>
          <w:p w:rsidR="00BD37A4" w:rsidRPr="00F67057" w:rsidRDefault="00BD37A4" w:rsidP="00D97E59">
            <w:pPr>
              <w:ind w:left="105"/>
            </w:pPr>
            <w:r w:rsidRPr="00F67057">
              <w:t xml:space="preserve">Projekts šo jomu neskar.  </w:t>
            </w:r>
          </w:p>
        </w:tc>
      </w:tr>
      <w:tr w:rsidR="00BD37A4" w:rsidRPr="00F67057" w:rsidTr="00D97E59">
        <w:tc>
          <w:tcPr>
            <w:tcW w:w="0" w:type="auto"/>
            <w:tcBorders>
              <w:top w:val="outset" w:sz="6" w:space="0" w:color="000000"/>
              <w:left w:val="outset" w:sz="6" w:space="0" w:color="000000"/>
              <w:bottom w:val="outset" w:sz="6" w:space="0" w:color="000000"/>
              <w:right w:val="outset" w:sz="6" w:space="0" w:color="000000"/>
            </w:tcBorders>
          </w:tcPr>
          <w:p w:rsidR="00BD37A4" w:rsidRPr="00F67057" w:rsidRDefault="00BD37A4" w:rsidP="00D97E59">
            <w:r w:rsidRPr="00F67057">
              <w:t>3.</w:t>
            </w:r>
          </w:p>
        </w:tc>
        <w:tc>
          <w:tcPr>
            <w:tcW w:w="1918" w:type="pct"/>
            <w:tcBorders>
              <w:top w:val="outset" w:sz="6" w:space="0" w:color="000000"/>
              <w:left w:val="outset" w:sz="6" w:space="0" w:color="000000"/>
              <w:bottom w:val="outset" w:sz="6" w:space="0" w:color="000000"/>
              <w:right w:val="outset" w:sz="6" w:space="0" w:color="000000"/>
            </w:tcBorders>
          </w:tcPr>
          <w:p w:rsidR="00BD37A4" w:rsidRPr="00F67057" w:rsidRDefault="00BD37A4" w:rsidP="00D97E59">
            <w:r w:rsidRPr="00F67057">
              <w:t>Projekta izpildes ietekme uz pārvaldes institucionālo struktūru.</w:t>
            </w:r>
          </w:p>
          <w:p w:rsidR="00BD37A4" w:rsidRPr="00F67057" w:rsidRDefault="00BD37A4" w:rsidP="00D97E59"/>
          <w:p w:rsidR="00BD37A4" w:rsidRPr="00F67057" w:rsidRDefault="00BD37A4" w:rsidP="00D97E59">
            <w:r w:rsidRPr="00F67057">
              <w:t>Jaunu institūciju izveide, esošo institūciju likvidācija vai reorganizācija, to ietekme uz institūcijas cilvēkresursiem</w:t>
            </w:r>
          </w:p>
        </w:tc>
        <w:tc>
          <w:tcPr>
            <w:tcW w:w="2932" w:type="pct"/>
            <w:tcBorders>
              <w:top w:val="outset" w:sz="6" w:space="0" w:color="000000"/>
              <w:left w:val="outset" w:sz="6" w:space="0" w:color="000000"/>
              <w:bottom w:val="outset" w:sz="6" w:space="0" w:color="000000"/>
              <w:right w:val="outset" w:sz="6" w:space="0" w:color="000000"/>
            </w:tcBorders>
          </w:tcPr>
          <w:p w:rsidR="00BD37A4" w:rsidRPr="00F67057" w:rsidRDefault="00BD37A4" w:rsidP="00D97E59">
            <w:pPr>
              <w:ind w:left="105"/>
            </w:pPr>
            <w:r w:rsidRPr="00F67057">
              <w:t>Projekts šo jomu neskar.</w:t>
            </w:r>
          </w:p>
        </w:tc>
      </w:tr>
      <w:tr w:rsidR="00BD37A4" w:rsidRPr="00F67057" w:rsidTr="00D97E59">
        <w:tc>
          <w:tcPr>
            <w:tcW w:w="0" w:type="auto"/>
            <w:tcBorders>
              <w:top w:val="outset" w:sz="6" w:space="0" w:color="000000"/>
              <w:left w:val="outset" w:sz="6" w:space="0" w:color="000000"/>
              <w:bottom w:val="outset" w:sz="6" w:space="0" w:color="000000"/>
              <w:right w:val="outset" w:sz="6" w:space="0" w:color="000000"/>
            </w:tcBorders>
          </w:tcPr>
          <w:p w:rsidR="00BD37A4" w:rsidRPr="00F67057" w:rsidRDefault="00BD37A4" w:rsidP="00D97E59">
            <w:r w:rsidRPr="00F67057">
              <w:t>4.</w:t>
            </w:r>
          </w:p>
        </w:tc>
        <w:tc>
          <w:tcPr>
            <w:tcW w:w="1918" w:type="pct"/>
            <w:tcBorders>
              <w:top w:val="outset" w:sz="6" w:space="0" w:color="000000"/>
              <w:left w:val="outset" w:sz="6" w:space="0" w:color="000000"/>
              <w:bottom w:val="outset" w:sz="6" w:space="0" w:color="000000"/>
              <w:right w:val="outset" w:sz="6" w:space="0" w:color="000000"/>
            </w:tcBorders>
          </w:tcPr>
          <w:p w:rsidR="00BD37A4" w:rsidRPr="00F67057" w:rsidRDefault="00BD37A4" w:rsidP="00D97E59">
            <w:r w:rsidRPr="00F67057">
              <w:t>Cita informācija</w:t>
            </w:r>
          </w:p>
        </w:tc>
        <w:tc>
          <w:tcPr>
            <w:tcW w:w="2932" w:type="pct"/>
            <w:tcBorders>
              <w:top w:val="outset" w:sz="6" w:space="0" w:color="000000"/>
              <w:left w:val="outset" w:sz="6" w:space="0" w:color="000000"/>
              <w:bottom w:val="outset" w:sz="6" w:space="0" w:color="000000"/>
              <w:right w:val="outset" w:sz="6" w:space="0" w:color="000000"/>
            </w:tcBorders>
          </w:tcPr>
          <w:p w:rsidR="00BD37A4" w:rsidRPr="00F67057" w:rsidRDefault="00BD37A4" w:rsidP="00D97E59">
            <w:pPr>
              <w:ind w:left="105"/>
            </w:pPr>
            <w:r w:rsidRPr="00F67057">
              <w:t>Nav</w:t>
            </w:r>
          </w:p>
        </w:tc>
      </w:tr>
    </w:tbl>
    <w:p w:rsidR="008B477D" w:rsidRPr="00F67057" w:rsidRDefault="008B477D" w:rsidP="008B477D">
      <w:pPr>
        <w:autoSpaceDE w:val="0"/>
        <w:autoSpaceDN w:val="0"/>
        <w:adjustRightInd w:val="0"/>
        <w:jc w:val="both"/>
        <w:rPr>
          <w:i/>
          <w:lang w:eastAsia="lv-LV" w:bidi="lo-LA"/>
        </w:rPr>
      </w:pPr>
    </w:p>
    <w:p w:rsidR="00FF19C9" w:rsidRPr="00CD063B" w:rsidRDefault="00FF19C9" w:rsidP="00006A21">
      <w:pPr>
        <w:autoSpaceDE w:val="0"/>
        <w:autoSpaceDN w:val="0"/>
        <w:adjustRightInd w:val="0"/>
        <w:jc w:val="both"/>
        <w:outlineLvl w:val="0"/>
        <w:rPr>
          <w:sz w:val="28"/>
          <w:szCs w:val="28"/>
        </w:rPr>
      </w:pPr>
      <w:r w:rsidRPr="00CD063B">
        <w:rPr>
          <w:sz w:val="28"/>
          <w:szCs w:val="28"/>
        </w:rPr>
        <w:t>Anotācijas IV un V sadaļa – projekts šīs jomas neskar.</w:t>
      </w:r>
    </w:p>
    <w:p w:rsidR="00BD37A4" w:rsidRPr="00F67057" w:rsidRDefault="00BD37A4" w:rsidP="008B477D">
      <w:pPr>
        <w:autoSpaceDE w:val="0"/>
        <w:autoSpaceDN w:val="0"/>
        <w:adjustRightInd w:val="0"/>
        <w:jc w:val="both"/>
        <w:rPr>
          <w:i/>
          <w:lang w:eastAsia="lv-LV" w:bidi="lo-LA"/>
        </w:rPr>
      </w:pPr>
    </w:p>
    <w:p w:rsidR="00DD4DE6" w:rsidRPr="00F67057" w:rsidRDefault="00DD4DE6" w:rsidP="008B477D">
      <w:pPr>
        <w:autoSpaceDE w:val="0"/>
        <w:autoSpaceDN w:val="0"/>
        <w:adjustRightInd w:val="0"/>
        <w:jc w:val="both"/>
        <w:rPr>
          <w:i/>
          <w:lang w:eastAsia="lv-LV" w:bidi="lo-LA"/>
        </w:rPr>
      </w:pPr>
    </w:p>
    <w:p w:rsidR="00CD063B" w:rsidRDefault="00CD063B" w:rsidP="00CD063B">
      <w:pPr>
        <w:jc w:val="both"/>
        <w:rPr>
          <w:sz w:val="28"/>
          <w:szCs w:val="28"/>
        </w:rPr>
      </w:pPr>
    </w:p>
    <w:p w:rsidR="00CD063B" w:rsidRPr="00CD063B" w:rsidRDefault="00CD063B" w:rsidP="00CD063B">
      <w:pPr>
        <w:jc w:val="both"/>
        <w:rPr>
          <w:sz w:val="28"/>
          <w:szCs w:val="28"/>
        </w:rPr>
      </w:pPr>
      <w:r w:rsidRPr="00CD063B">
        <w:rPr>
          <w:sz w:val="28"/>
          <w:szCs w:val="28"/>
        </w:rPr>
        <w:t xml:space="preserve">Veselības ministra vietā </w:t>
      </w:r>
    </w:p>
    <w:p w:rsidR="00CD063B" w:rsidRPr="00CD063B" w:rsidRDefault="00CD063B" w:rsidP="00CD063B">
      <w:pPr>
        <w:jc w:val="both"/>
        <w:rPr>
          <w:rStyle w:val="FooterChar"/>
          <w:b/>
          <w:sz w:val="28"/>
          <w:szCs w:val="28"/>
        </w:rPr>
      </w:pPr>
      <w:r w:rsidRPr="00CD063B">
        <w:rPr>
          <w:sz w:val="28"/>
          <w:szCs w:val="28"/>
        </w:rPr>
        <w:t xml:space="preserve">Ministru prezidente </w:t>
      </w:r>
      <w:r w:rsidRPr="00CD063B">
        <w:rPr>
          <w:sz w:val="28"/>
          <w:szCs w:val="28"/>
        </w:rPr>
        <w:tab/>
      </w:r>
      <w:r w:rsidRPr="00CD063B">
        <w:rPr>
          <w:sz w:val="28"/>
          <w:szCs w:val="28"/>
        </w:rPr>
        <w:tab/>
      </w:r>
      <w:r w:rsidRPr="00CD063B">
        <w:rPr>
          <w:sz w:val="28"/>
          <w:szCs w:val="28"/>
        </w:rPr>
        <w:tab/>
      </w:r>
      <w:r w:rsidRPr="00CD063B">
        <w:rPr>
          <w:sz w:val="28"/>
          <w:szCs w:val="28"/>
        </w:rPr>
        <w:tab/>
      </w:r>
      <w:r>
        <w:rPr>
          <w:sz w:val="28"/>
          <w:szCs w:val="28"/>
        </w:rPr>
        <w:tab/>
      </w:r>
      <w:r w:rsidRPr="00CD063B">
        <w:rPr>
          <w:sz w:val="28"/>
          <w:szCs w:val="28"/>
        </w:rPr>
        <w:tab/>
      </w:r>
      <w:r w:rsidRPr="00CD063B">
        <w:rPr>
          <w:sz w:val="28"/>
          <w:szCs w:val="28"/>
        </w:rPr>
        <w:tab/>
        <w:t>L.Straujuma</w:t>
      </w:r>
    </w:p>
    <w:p w:rsidR="00302E22" w:rsidRPr="00F67057" w:rsidRDefault="00302E22" w:rsidP="00F0258D">
      <w:pPr>
        <w:ind w:right="4818"/>
        <w:rPr>
          <w:sz w:val="20"/>
          <w:szCs w:val="20"/>
        </w:rPr>
      </w:pPr>
    </w:p>
    <w:p w:rsidR="00302E22" w:rsidRPr="00F67057" w:rsidRDefault="00302E22" w:rsidP="00F0258D">
      <w:pPr>
        <w:ind w:right="4818"/>
        <w:rPr>
          <w:sz w:val="20"/>
          <w:szCs w:val="20"/>
        </w:rPr>
      </w:pPr>
    </w:p>
    <w:p w:rsidR="00CD063B" w:rsidRDefault="00CD063B" w:rsidP="00F0258D">
      <w:pPr>
        <w:ind w:right="4818"/>
        <w:rPr>
          <w:sz w:val="20"/>
          <w:szCs w:val="20"/>
        </w:rPr>
      </w:pPr>
    </w:p>
    <w:p w:rsidR="00CD063B" w:rsidRDefault="00CD063B" w:rsidP="00F0258D">
      <w:pPr>
        <w:ind w:right="4818"/>
        <w:rPr>
          <w:sz w:val="20"/>
          <w:szCs w:val="20"/>
        </w:rPr>
      </w:pPr>
    </w:p>
    <w:p w:rsidR="00F0258D" w:rsidRPr="00F67057" w:rsidRDefault="00680CD5" w:rsidP="00F0258D">
      <w:pPr>
        <w:ind w:right="4818"/>
        <w:rPr>
          <w:sz w:val="20"/>
          <w:szCs w:val="20"/>
        </w:rPr>
      </w:pPr>
      <w:r>
        <w:rPr>
          <w:sz w:val="20"/>
          <w:szCs w:val="20"/>
        </w:rPr>
        <w:t>20</w:t>
      </w:r>
      <w:r w:rsidR="00227E32" w:rsidRPr="00F67057">
        <w:rPr>
          <w:sz w:val="20"/>
          <w:szCs w:val="20"/>
        </w:rPr>
        <w:t>.06</w:t>
      </w:r>
      <w:r w:rsidR="006763C5" w:rsidRPr="00F67057">
        <w:rPr>
          <w:sz w:val="20"/>
          <w:szCs w:val="20"/>
        </w:rPr>
        <w:t>.2014</w:t>
      </w:r>
      <w:r w:rsidR="00F0258D" w:rsidRPr="00F67057">
        <w:rPr>
          <w:sz w:val="20"/>
          <w:szCs w:val="20"/>
        </w:rPr>
        <w:t xml:space="preserve"> </w:t>
      </w:r>
      <w:r w:rsidR="00CD063B">
        <w:rPr>
          <w:sz w:val="20"/>
          <w:szCs w:val="20"/>
        </w:rPr>
        <w:t>11:46</w:t>
      </w:r>
    </w:p>
    <w:p w:rsidR="00F0258D" w:rsidRPr="00F67057" w:rsidRDefault="00955488" w:rsidP="00F0258D">
      <w:pPr>
        <w:ind w:right="4818"/>
        <w:rPr>
          <w:sz w:val="20"/>
          <w:szCs w:val="20"/>
        </w:rPr>
      </w:pPr>
      <w:r w:rsidRPr="00F67057">
        <w:rPr>
          <w:sz w:val="20"/>
          <w:szCs w:val="20"/>
        </w:rPr>
        <w:fldChar w:fldCharType="begin"/>
      </w:r>
      <w:r w:rsidR="00F0258D" w:rsidRPr="00F67057">
        <w:rPr>
          <w:sz w:val="20"/>
          <w:szCs w:val="20"/>
        </w:rPr>
        <w:instrText xml:space="preserve"> NUMWORDS  \# "# ##0"  \* MERGEFORMAT </w:instrText>
      </w:r>
      <w:r w:rsidRPr="00F67057">
        <w:rPr>
          <w:sz w:val="20"/>
          <w:szCs w:val="20"/>
        </w:rPr>
        <w:fldChar w:fldCharType="separate"/>
      </w:r>
      <w:r w:rsidR="00CD063B">
        <w:rPr>
          <w:noProof/>
          <w:sz w:val="20"/>
          <w:szCs w:val="20"/>
        </w:rPr>
        <w:t>2 375</w:t>
      </w:r>
      <w:r w:rsidRPr="00F67057">
        <w:rPr>
          <w:sz w:val="20"/>
          <w:szCs w:val="20"/>
        </w:rPr>
        <w:fldChar w:fldCharType="end"/>
      </w:r>
    </w:p>
    <w:p w:rsidR="00FE27B3" w:rsidRPr="00F67057" w:rsidRDefault="00556FA6" w:rsidP="00FE27B3">
      <w:pPr>
        <w:ind w:right="4818"/>
        <w:rPr>
          <w:sz w:val="20"/>
          <w:szCs w:val="20"/>
        </w:rPr>
      </w:pPr>
      <w:proofErr w:type="spellStart"/>
      <w:r w:rsidRPr="00F67057">
        <w:rPr>
          <w:sz w:val="20"/>
          <w:szCs w:val="20"/>
        </w:rPr>
        <w:t>J.Zalcmanis</w:t>
      </w:r>
      <w:proofErr w:type="spellEnd"/>
      <w:r w:rsidR="00FE27B3" w:rsidRPr="00F67057">
        <w:rPr>
          <w:sz w:val="20"/>
          <w:szCs w:val="20"/>
        </w:rPr>
        <w:t>, 67 876 </w:t>
      </w:r>
      <w:r w:rsidRPr="00F67057">
        <w:rPr>
          <w:sz w:val="20"/>
          <w:szCs w:val="20"/>
        </w:rPr>
        <w:t>013</w:t>
      </w:r>
    </w:p>
    <w:p w:rsidR="00F0258D" w:rsidRPr="00F67057" w:rsidRDefault="00556FA6" w:rsidP="00FE27B3">
      <w:pPr>
        <w:ind w:right="4818"/>
        <w:rPr>
          <w:sz w:val="20"/>
          <w:szCs w:val="20"/>
        </w:rPr>
      </w:pPr>
      <w:r w:rsidRPr="00F67057">
        <w:rPr>
          <w:sz w:val="20"/>
          <w:szCs w:val="20"/>
        </w:rPr>
        <w:t>Janis.Zalcmanis</w:t>
      </w:r>
      <w:r w:rsidR="00250392" w:rsidRPr="00F67057">
        <w:rPr>
          <w:sz w:val="20"/>
          <w:szCs w:val="20"/>
        </w:rPr>
        <w:t>@vm.gov.lv</w:t>
      </w:r>
    </w:p>
    <w:sectPr w:rsidR="00F0258D" w:rsidRPr="00F67057" w:rsidSect="00231010">
      <w:headerReference w:type="even" r:id="rId8"/>
      <w:headerReference w:type="default" r:id="rId9"/>
      <w:footerReference w:type="default" r:id="rId10"/>
      <w:footerReference w:type="first" r:id="rId11"/>
      <w:pgSz w:w="11906" w:h="16838" w:code="9"/>
      <w:pgMar w:top="1276" w:right="1274" w:bottom="1701" w:left="1701" w:header="720" w:footer="4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190" w:rsidRDefault="00276190">
      <w:r>
        <w:separator/>
      </w:r>
    </w:p>
  </w:endnote>
  <w:endnote w:type="continuationSeparator" w:id="0">
    <w:p w:rsidR="00276190" w:rsidRDefault="002761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90" w:rsidRPr="00B63149" w:rsidRDefault="007A441C" w:rsidP="00B63149">
    <w:pPr>
      <w:jc w:val="both"/>
      <w:rPr>
        <w:noProof/>
        <w:sz w:val="20"/>
        <w:szCs w:val="20"/>
      </w:rPr>
    </w:pPr>
    <w:r>
      <w:rPr>
        <w:noProof/>
        <w:sz w:val="20"/>
        <w:szCs w:val="20"/>
      </w:rPr>
      <w:t>VManot_</w:t>
    </w:r>
    <w:r w:rsidR="00680CD5">
      <w:rPr>
        <w:noProof/>
        <w:sz w:val="20"/>
        <w:szCs w:val="20"/>
      </w:rPr>
      <w:t>20</w:t>
    </w:r>
    <w:r w:rsidR="00276190">
      <w:rPr>
        <w:noProof/>
        <w:sz w:val="20"/>
        <w:szCs w:val="20"/>
      </w:rPr>
      <w:t>0614_not44</w:t>
    </w:r>
    <w:r w:rsidR="00276190" w:rsidRPr="00571DBF">
      <w:rPr>
        <w:sz w:val="20"/>
        <w:szCs w:val="20"/>
      </w:rPr>
      <w:t>;</w:t>
    </w:r>
    <w:r w:rsidR="00276190">
      <w:rPr>
        <w:sz w:val="20"/>
        <w:szCs w:val="20"/>
      </w:rPr>
      <w:t xml:space="preserve"> </w:t>
    </w:r>
    <w:r w:rsidR="00276190" w:rsidRPr="00B63149">
      <w:rPr>
        <w:noProof/>
        <w:sz w:val="20"/>
        <w:szCs w:val="20"/>
      </w:rPr>
      <w:t>Ministru kabineta noteikumu projekta „Grozījumi Ministru kabineta 2009.gada 13.janvāra noteikumos Nr.44 „Noteikumi par darbības programmas „Infrastruktūra un pakalpojumi” papildinājuma 3.1.5.3.1.apakšaktivitāti „Stacionārās veselības aprūpes attīstība”””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90" w:rsidRPr="00B63149" w:rsidRDefault="007A441C" w:rsidP="00B63149">
    <w:pPr>
      <w:jc w:val="both"/>
      <w:rPr>
        <w:noProof/>
        <w:sz w:val="20"/>
        <w:szCs w:val="20"/>
      </w:rPr>
    </w:pPr>
    <w:bookmarkStart w:id="12" w:name="OLE_LINK5"/>
    <w:bookmarkStart w:id="13" w:name="OLE_LINK6"/>
    <w:bookmarkStart w:id="14" w:name="_Hlk288744963"/>
    <w:r>
      <w:rPr>
        <w:noProof/>
        <w:sz w:val="20"/>
        <w:szCs w:val="20"/>
      </w:rPr>
      <w:t>VManot_</w:t>
    </w:r>
    <w:r w:rsidR="00680CD5">
      <w:rPr>
        <w:noProof/>
        <w:sz w:val="20"/>
        <w:szCs w:val="20"/>
      </w:rPr>
      <w:t>20</w:t>
    </w:r>
    <w:r w:rsidR="00276190">
      <w:rPr>
        <w:noProof/>
        <w:sz w:val="20"/>
        <w:szCs w:val="20"/>
      </w:rPr>
      <w:t>0614_not44</w:t>
    </w:r>
    <w:r w:rsidR="00276190" w:rsidRPr="00571DBF">
      <w:rPr>
        <w:sz w:val="20"/>
        <w:szCs w:val="20"/>
      </w:rPr>
      <w:t>;</w:t>
    </w:r>
    <w:r w:rsidR="00276190">
      <w:rPr>
        <w:sz w:val="20"/>
        <w:szCs w:val="20"/>
      </w:rPr>
      <w:t xml:space="preserve"> </w:t>
    </w:r>
    <w:bookmarkEnd w:id="12"/>
    <w:bookmarkEnd w:id="13"/>
    <w:bookmarkEnd w:id="14"/>
    <w:r w:rsidR="00276190" w:rsidRPr="00B63149">
      <w:rPr>
        <w:noProof/>
        <w:sz w:val="20"/>
        <w:szCs w:val="20"/>
      </w:rPr>
      <w:t>Ministru kabineta noteikumu projekta „Grozījumi Ministru kabineta 2009.gada 13.janvāra noteikumos Nr.44 „Noteikumi par darbības programmas „Infrastruktūra un pakalpojumi” papildinājuma 3.1.5.3.1.apakšaktivitāti „Stacionārās veselības aprūpes attīstība””” sākotnējās ietekmes novērtējuma ziņojums (anotācija)</w:t>
    </w:r>
  </w:p>
  <w:p w:rsidR="00276190" w:rsidRPr="00B937BE" w:rsidRDefault="00276190" w:rsidP="004F6013">
    <w:pPr>
      <w:jc w:val="both"/>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190" w:rsidRDefault="00276190">
      <w:r>
        <w:separator/>
      </w:r>
    </w:p>
  </w:footnote>
  <w:footnote w:type="continuationSeparator" w:id="0">
    <w:p w:rsidR="00276190" w:rsidRDefault="00276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90" w:rsidRDefault="00955488">
    <w:pPr>
      <w:pStyle w:val="Header"/>
      <w:framePr w:wrap="around" w:vAnchor="text" w:hAnchor="margin" w:xAlign="center" w:y="1"/>
      <w:rPr>
        <w:rStyle w:val="PageNumber"/>
      </w:rPr>
    </w:pPr>
    <w:r>
      <w:rPr>
        <w:rStyle w:val="PageNumber"/>
      </w:rPr>
      <w:fldChar w:fldCharType="begin"/>
    </w:r>
    <w:r w:rsidR="00276190">
      <w:rPr>
        <w:rStyle w:val="PageNumber"/>
      </w:rPr>
      <w:instrText xml:space="preserve">PAGE  </w:instrText>
    </w:r>
    <w:r>
      <w:rPr>
        <w:rStyle w:val="PageNumber"/>
      </w:rPr>
      <w:fldChar w:fldCharType="end"/>
    </w:r>
  </w:p>
  <w:p w:rsidR="00276190" w:rsidRDefault="002761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90" w:rsidRDefault="00955488">
    <w:pPr>
      <w:pStyle w:val="Header"/>
      <w:framePr w:wrap="around" w:vAnchor="text" w:hAnchor="margin" w:xAlign="center" w:y="1"/>
      <w:rPr>
        <w:rStyle w:val="PageNumber"/>
      </w:rPr>
    </w:pPr>
    <w:r>
      <w:rPr>
        <w:rStyle w:val="PageNumber"/>
      </w:rPr>
      <w:fldChar w:fldCharType="begin"/>
    </w:r>
    <w:r w:rsidR="00276190">
      <w:rPr>
        <w:rStyle w:val="PageNumber"/>
      </w:rPr>
      <w:instrText xml:space="preserve">PAGE  </w:instrText>
    </w:r>
    <w:r>
      <w:rPr>
        <w:rStyle w:val="PageNumber"/>
      </w:rPr>
      <w:fldChar w:fldCharType="separate"/>
    </w:r>
    <w:r w:rsidR="00CD063B">
      <w:rPr>
        <w:rStyle w:val="PageNumber"/>
        <w:noProof/>
      </w:rPr>
      <w:t>8</w:t>
    </w:r>
    <w:r>
      <w:rPr>
        <w:rStyle w:val="PageNumber"/>
      </w:rPr>
      <w:fldChar w:fldCharType="end"/>
    </w:r>
  </w:p>
  <w:p w:rsidR="00276190" w:rsidRDefault="002761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60E6DAD"/>
    <w:multiLevelType w:val="hybridMultilevel"/>
    <w:tmpl w:val="B97C38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1B46273"/>
    <w:multiLevelType w:val="hybridMultilevel"/>
    <w:tmpl w:val="44CA8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2F25C6E"/>
    <w:multiLevelType w:val="hybridMultilevel"/>
    <w:tmpl w:val="502C21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858CE"/>
    <w:multiLevelType w:val="hybridMultilevel"/>
    <w:tmpl w:val="67DCF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0">
    <w:nsid w:val="3B821FB2"/>
    <w:multiLevelType w:val="hybridMultilevel"/>
    <w:tmpl w:val="624208B6"/>
    <w:lvl w:ilvl="0" w:tplc="0A442D8A">
      <w:start w:val="1"/>
      <w:numFmt w:val="bullet"/>
      <w:lvlText w:val=""/>
      <w:lvlJc w:val="left"/>
      <w:pPr>
        <w:ind w:left="720" w:hanging="360"/>
      </w:pPr>
      <w:rPr>
        <w:rFonts w:ascii="Wingdings" w:hAnsi="Wingdings" w:hint="default"/>
        <w:color w:val="33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8D2342"/>
    <w:multiLevelType w:val="hybridMultilevel"/>
    <w:tmpl w:val="8B70C104"/>
    <w:lvl w:ilvl="0" w:tplc="04260001">
      <w:start w:val="1"/>
      <w:numFmt w:val="bullet"/>
      <w:lvlText w:val=""/>
      <w:lvlJc w:val="left"/>
      <w:pPr>
        <w:ind w:left="895" w:hanging="360"/>
      </w:pPr>
      <w:rPr>
        <w:rFonts w:ascii="Symbol" w:hAnsi="Symbol"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4">
    <w:nsid w:val="53D85977"/>
    <w:multiLevelType w:val="hybridMultilevel"/>
    <w:tmpl w:val="0B1450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4AF7EA0"/>
    <w:multiLevelType w:val="hybridMultilevel"/>
    <w:tmpl w:val="7F2E9F0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nsid w:val="57BB5A52"/>
    <w:multiLevelType w:val="hybridMultilevel"/>
    <w:tmpl w:val="A9046E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D490508"/>
    <w:multiLevelType w:val="hybridMultilevel"/>
    <w:tmpl w:val="34867860"/>
    <w:lvl w:ilvl="0" w:tplc="99782DD2">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8">
    <w:nsid w:val="5E912294"/>
    <w:multiLevelType w:val="hybridMultilevel"/>
    <w:tmpl w:val="22CC3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0C93904"/>
    <w:multiLevelType w:val="hybridMultilevel"/>
    <w:tmpl w:val="3104BC70"/>
    <w:lvl w:ilvl="0" w:tplc="DDF8F6D6">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20">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3E5239C"/>
    <w:multiLevelType w:val="hybridMultilevel"/>
    <w:tmpl w:val="58A895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3">
    <w:nsid w:val="678C252D"/>
    <w:multiLevelType w:val="hybridMultilevel"/>
    <w:tmpl w:val="0B1450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80619B"/>
    <w:multiLevelType w:val="hybridMultilevel"/>
    <w:tmpl w:val="4D644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20"/>
  </w:num>
  <w:num w:numId="3">
    <w:abstractNumId w:val="12"/>
  </w:num>
  <w:num w:numId="4">
    <w:abstractNumId w:val="1"/>
  </w:num>
  <w:num w:numId="5">
    <w:abstractNumId w:val="0"/>
  </w:num>
  <w:num w:numId="6">
    <w:abstractNumId w:val="4"/>
  </w:num>
  <w:num w:numId="7">
    <w:abstractNumId w:val="22"/>
  </w:num>
  <w:num w:numId="8">
    <w:abstractNumId w:val="11"/>
  </w:num>
  <w:num w:numId="9">
    <w:abstractNumId w:val="7"/>
  </w:num>
  <w:num w:numId="10">
    <w:abstractNumId w:val="9"/>
  </w:num>
  <w:num w:numId="11">
    <w:abstractNumId w:val="24"/>
  </w:num>
  <w:num w:numId="12">
    <w:abstractNumId w:val="5"/>
  </w:num>
  <w:num w:numId="13">
    <w:abstractNumId w:val="6"/>
  </w:num>
  <w:num w:numId="14">
    <w:abstractNumId w:val="19"/>
  </w:num>
  <w:num w:numId="15">
    <w:abstractNumId w:val="17"/>
  </w:num>
  <w:num w:numId="16">
    <w:abstractNumId w:val="25"/>
  </w:num>
  <w:num w:numId="17">
    <w:abstractNumId w:val="8"/>
  </w:num>
  <w:num w:numId="18">
    <w:abstractNumId w:val="23"/>
  </w:num>
  <w:num w:numId="19">
    <w:abstractNumId w:val="14"/>
  </w:num>
  <w:num w:numId="20">
    <w:abstractNumId w:val="3"/>
  </w:num>
  <w:num w:numId="21">
    <w:abstractNumId w:val="21"/>
  </w:num>
  <w:num w:numId="22">
    <w:abstractNumId w:val="16"/>
  </w:num>
  <w:num w:numId="23">
    <w:abstractNumId w:val="18"/>
  </w:num>
  <w:num w:numId="24">
    <w:abstractNumId w:val="10"/>
  </w:num>
  <w:num w:numId="25">
    <w:abstractNumId w:val="1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rsids>
    <w:rsidRoot w:val="00051A1C"/>
    <w:rsid w:val="000006CF"/>
    <w:rsid w:val="00006A21"/>
    <w:rsid w:val="00010573"/>
    <w:rsid w:val="00011564"/>
    <w:rsid w:val="00013B7C"/>
    <w:rsid w:val="0001496E"/>
    <w:rsid w:val="00016BD9"/>
    <w:rsid w:val="00017DF7"/>
    <w:rsid w:val="00022523"/>
    <w:rsid w:val="000229B1"/>
    <w:rsid w:val="00023A89"/>
    <w:rsid w:val="00023BA6"/>
    <w:rsid w:val="00023EAD"/>
    <w:rsid w:val="0002480A"/>
    <w:rsid w:val="00027C89"/>
    <w:rsid w:val="00030AEE"/>
    <w:rsid w:val="000311C0"/>
    <w:rsid w:val="00031B47"/>
    <w:rsid w:val="00032A9F"/>
    <w:rsid w:val="000331F5"/>
    <w:rsid w:val="000349F4"/>
    <w:rsid w:val="000350F7"/>
    <w:rsid w:val="000379CD"/>
    <w:rsid w:val="000401EE"/>
    <w:rsid w:val="00040261"/>
    <w:rsid w:val="00040280"/>
    <w:rsid w:val="0004188B"/>
    <w:rsid w:val="000419AE"/>
    <w:rsid w:val="0004341C"/>
    <w:rsid w:val="00043510"/>
    <w:rsid w:val="00044751"/>
    <w:rsid w:val="00044811"/>
    <w:rsid w:val="000461A6"/>
    <w:rsid w:val="00046C46"/>
    <w:rsid w:val="00047FB2"/>
    <w:rsid w:val="00051089"/>
    <w:rsid w:val="00051273"/>
    <w:rsid w:val="000512DA"/>
    <w:rsid w:val="000518C5"/>
    <w:rsid w:val="00051A1C"/>
    <w:rsid w:val="0005514A"/>
    <w:rsid w:val="0005631C"/>
    <w:rsid w:val="0005680A"/>
    <w:rsid w:val="00060FDE"/>
    <w:rsid w:val="00062879"/>
    <w:rsid w:val="00062E81"/>
    <w:rsid w:val="00063FD8"/>
    <w:rsid w:val="000648AB"/>
    <w:rsid w:val="00066554"/>
    <w:rsid w:val="000700EC"/>
    <w:rsid w:val="000703FA"/>
    <w:rsid w:val="00072FD1"/>
    <w:rsid w:val="0007350E"/>
    <w:rsid w:val="000746DD"/>
    <w:rsid w:val="00074C50"/>
    <w:rsid w:val="00075C90"/>
    <w:rsid w:val="00075FE6"/>
    <w:rsid w:val="0007617E"/>
    <w:rsid w:val="00077350"/>
    <w:rsid w:val="0008105E"/>
    <w:rsid w:val="0008118C"/>
    <w:rsid w:val="00081E56"/>
    <w:rsid w:val="00082220"/>
    <w:rsid w:val="0008397F"/>
    <w:rsid w:val="000848D2"/>
    <w:rsid w:val="00086AFA"/>
    <w:rsid w:val="000876AA"/>
    <w:rsid w:val="00087787"/>
    <w:rsid w:val="00087912"/>
    <w:rsid w:val="000879A1"/>
    <w:rsid w:val="0009177F"/>
    <w:rsid w:val="00092C08"/>
    <w:rsid w:val="00092C69"/>
    <w:rsid w:val="00093955"/>
    <w:rsid w:val="00093E32"/>
    <w:rsid w:val="00094A86"/>
    <w:rsid w:val="00094D29"/>
    <w:rsid w:val="00094F8F"/>
    <w:rsid w:val="0009711C"/>
    <w:rsid w:val="0009765C"/>
    <w:rsid w:val="00097667"/>
    <w:rsid w:val="000A0B0B"/>
    <w:rsid w:val="000A0B51"/>
    <w:rsid w:val="000A1230"/>
    <w:rsid w:val="000A2285"/>
    <w:rsid w:val="000A249F"/>
    <w:rsid w:val="000A3D7C"/>
    <w:rsid w:val="000A632A"/>
    <w:rsid w:val="000A6455"/>
    <w:rsid w:val="000A6B35"/>
    <w:rsid w:val="000A7B2A"/>
    <w:rsid w:val="000B0A3D"/>
    <w:rsid w:val="000B23AA"/>
    <w:rsid w:val="000B2ED3"/>
    <w:rsid w:val="000B6F32"/>
    <w:rsid w:val="000C0654"/>
    <w:rsid w:val="000C075A"/>
    <w:rsid w:val="000C0894"/>
    <w:rsid w:val="000C0BFF"/>
    <w:rsid w:val="000C11F7"/>
    <w:rsid w:val="000C1806"/>
    <w:rsid w:val="000C228E"/>
    <w:rsid w:val="000C326C"/>
    <w:rsid w:val="000C328B"/>
    <w:rsid w:val="000C3992"/>
    <w:rsid w:val="000C5995"/>
    <w:rsid w:val="000C62B6"/>
    <w:rsid w:val="000C69A8"/>
    <w:rsid w:val="000C7F03"/>
    <w:rsid w:val="000C7F3E"/>
    <w:rsid w:val="000D10A0"/>
    <w:rsid w:val="000D3507"/>
    <w:rsid w:val="000D40AC"/>
    <w:rsid w:val="000D5A1E"/>
    <w:rsid w:val="000D7EB0"/>
    <w:rsid w:val="000E2002"/>
    <w:rsid w:val="000E24E4"/>
    <w:rsid w:val="000E5F1E"/>
    <w:rsid w:val="000E6D22"/>
    <w:rsid w:val="000E7F58"/>
    <w:rsid w:val="000F079B"/>
    <w:rsid w:val="000F099A"/>
    <w:rsid w:val="000F0B0D"/>
    <w:rsid w:val="000F42B4"/>
    <w:rsid w:val="000F6CA0"/>
    <w:rsid w:val="001022F4"/>
    <w:rsid w:val="00102B64"/>
    <w:rsid w:val="001039EE"/>
    <w:rsid w:val="00104459"/>
    <w:rsid w:val="00104722"/>
    <w:rsid w:val="00106FF3"/>
    <w:rsid w:val="001108E9"/>
    <w:rsid w:val="001109DA"/>
    <w:rsid w:val="00111190"/>
    <w:rsid w:val="0011122E"/>
    <w:rsid w:val="0011132A"/>
    <w:rsid w:val="00111D17"/>
    <w:rsid w:val="0011391E"/>
    <w:rsid w:val="00113E50"/>
    <w:rsid w:val="001157B2"/>
    <w:rsid w:val="00115996"/>
    <w:rsid w:val="00115C48"/>
    <w:rsid w:val="00117BB9"/>
    <w:rsid w:val="0012089E"/>
    <w:rsid w:val="00121708"/>
    <w:rsid w:val="001228BD"/>
    <w:rsid w:val="00124003"/>
    <w:rsid w:val="00125CC0"/>
    <w:rsid w:val="001268E7"/>
    <w:rsid w:val="00130286"/>
    <w:rsid w:val="0013083A"/>
    <w:rsid w:val="00130B15"/>
    <w:rsid w:val="00132010"/>
    <w:rsid w:val="00132477"/>
    <w:rsid w:val="00132673"/>
    <w:rsid w:val="00132D78"/>
    <w:rsid w:val="001342F6"/>
    <w:rsid w:val="001343E2"/>
    <w:rsid w:val="0013473F"/>
    <w:rsid w:val="00135104"/>
    <w:rsid w:val="001364D4"/>
    <w:rsid w:val="001366D7"/>
    <w:rsid w:val="001420EE"/>
    <w:rsid w:val="0014373C"/>
    <w:rsid w:val="001437C1"/>
    <w:rsid w:val="001445AA"/>
    <w:rsid w:val="001461E0"/>
    <w:rsid w:val="00150DA5"/>
    <w:rsid w:val="0015195C"/>
    <w:rsid w:val="00151E3F"/>
    <w:rsid w:val="001526CD"/>
    <w:rsid w:val="00152866"/>
    <w:rsid w:val="00153C19"/>
    <w:rsid w:val="00160F63"/>
    <w:rsid w:val="0016187F"/>
    <w:rsid w:val="0016188D"/>
    <w:rsid w:val="00162A40"/>
    <w:rsid w:val="00164651"/>
    <w:rsid w:val="001647CA"/>
    <w:rsid w:val="00164C8C"/>
    <w:rsid w:val="00164EDE"/>
    <w:rsid w:val="001654DC"/>
    <w:rsid w:val="0016725E"/>
    <w:rsid w:val="00172C6E"/>
    <w:rsid w:val="00172E1B"/>
    <w:rsid w:val="00173657"/>
    <w:rsid w:val="00173DB7"/>
    <w:rsid w:val="00174BEF"/>
    <w:rsid w:val="00174F93"/>
    <w:rsid w:val="00175FE2"/>
    <w:rsid w:val="00176498"/>
    <w:rsid w:val="0017663B"/>
    <w:rsid w:val="001777FC"/>
    <w:rsid w:val="0018006E"/>
    <w:rsid w:val="00180ACF"/>
    <w:rsid w:val="00180D14"/>
    <w:rsid w:val="00182AA3"/>
    <w:rsid w:val="00183B82"/>
    <w:rsid w:val="00184C32"/>
    <w:rsid w:val="00185B8D"/>
    <w:rsid w:val="001860B1"/>
    <w:rsid w:val="001866A5"/>
    <w:rsid w:val="00187801"/>
    <w:rsid w:val="00187BCA"/>
    <w:rsid w:val="00190113"/>
    <w:rsid w:val="001908EB"/>
    <w:rsid w:val="001909F3"/>
    <w:rsid w:val="00190E51"/>
    <w:rsid w:val="00191D21"/>
    <w:rsid w:val="00193692"/>
    <w:rsid w:val="001942EB"/>
    <w:rsid w:val="001950BA"/>
    <w:rsid w:val="00195AE2"/>
    <w:rsid w:val="00195FE5"/>
    <w:rsid w:val="00197678"/>
    <w:rsid w:val="001A033A"/>
    <w:rsid w:val="001A22CB"/>
    <w:rsid w:val="001A28C3"/>
    <w:rsid w:val="001A297F"/>
    <w:rsid w:val="001A3B62"/>
    <w:rsid w:val="001A4EE7"/>
    <w:rsid w:val="001A52A1"/>
    <w:rsid w:val="001A5B17"/>
    <w:rsid w:val="001A5F95"/>
    <w:rsid w:val="001A614E"/>
    <w:rsid w:val="001A6AEA"/>
    <w:rsid w:val="001A788A"/>
    <w:rsid w:val="001B02E4"/>
    <w:rsid w:val="001B0C3C"/>
    <w:rsid w:val="001B0FB3"/>
    <w:rsid w:val="001B1DEC"/>
    <w:rsid w:val="001B268D"/>
    <w:rsid w:val="001B2753"/>
    <w:rsid w:val="001B5116"/>
    <w:rsid w:val="001B7153"/>
    <w:rsid w:val="001B7BBF"/>
    <w:rsid w:val="001C02F2"/>
    <w:rsid w:val="001C07E0"/>
    <w:rsid w:val="001C11EA"/>
    <w:rsid w:val="001C457A"/>
    <w:rsid w:val="001C493F"/>
    <w:rsid w:val="001C5F71"/>
    <w:rsid w:val="001C673C"/>
    <w:rsid w:val="001C68E9"/>
    <w:rsid w:val="001D0025"/>
    <w:rsid w:val="001D0679"/>
    <w:rsid w:val="001D2D91"/>
    <w:rsid w:val="001D2F3C"/>
    <w:rsid w:val="001D3051"/>
    <w:rsid w:val="001D3987"/>
    <w:rsid w:val="001D4857"/>
    <w:rsid w:val="001D49E8"/>
    <w:rsid w:val="001D55DA"/>
    <w:rsid w:val="001D6102"/>
    <w:rsid w:val="001D6DB1"/>
    <w:rsid w:val="001E155F"/>
    <w:rsid w:val="001E20B3"/>
    <w:rsid w:val="001E3003"/>
    <w:rsid w:val="001E32B2"/>
    <w:rsid w:val="001E4130"/>
    <w:rsid w:val="001E4513"/>
    <w:rsid w:val="001E6859"/>
    <w:rsid w:val="001E6CEC"/>
    <w:rsid w:val="001E7771"/>
    <w:rsid w:val="001F1DDC"/>
    <w:rsid w:val="001F1DDE"/>
    <w:rsid w:val="001F2F1B"/>
    <w:rsid w:val="001F31EB"/>
    <w:rsid w:val="001F39B6"/>
    <w:rsid w:val="001F6BC5"/>
    <w:rsid w:val="001F76D3"/>
    <w:rsid w:val="0020206A"/>
    <w:rsid w:val="00202099"/>
    <w:rsid w:val="0020355C"/>
    <w:rsid w:val="0020428A"/>
    <w:rsid w:val="00205006"/>
    <w:rsid w:val="002070E9"/>
    <w:rsid w:val="00207ED4"/>
    <w:rsid w:val="002105B1"/>
    <w:rsid w:val="002106BC"/>
    <w:rsid w:val="00210B37"/>
    <w:rsid w:val="0021148A"/>
    <w:rsid w:val="00212558"/>
    <w:rsid w:val="002131A0"/>
    <w:rsid w:val="00216724"/>
    <w:rsid w:val="00217705"/>
    <w:rsid w:val="00217BB5"/>
    <w:rsid w:val="002209CB"/>
    <w:rsid w:val="002211D7"/>
    <w:rsid w:val="00221434"/>
    <w:rsid w:val="00221576"/>
    <w:rsid w:val="0022195A"/>
    <w:rsid w:val="00221ABB"/>
    <w:rsid w:val="0022598E"/>
    <w:rsid w:val="00226A38"/>
    <w:rsid w:val="00226A91"/>
    <w:rsid w:val="00226F77"/>
    <w:rsid w:val="00227E32"/>
    <w:rsid w:val="00231010"/>
    <w:rsid w:val="00231B6A"/>
    <w:rsid w:val="00231F4B"/>
    <w:rsid w:val="00232CEC"/>
    <w:rsid w:val="00233132"/>
    <w:rsid w:val="00233516"/>
    <w:rsid w:val="00233D20"/>
    <w:rsid w:val="00234B35"/>
    <w:rsid w:val="002352C7"/>
    <w:rsid w:val="00235360"/>
    <w:rsid w:val="0023643A"/>
    <w:rsid w:val="00236630"/>
    <w:rsid w:val="00236F7C"/>
    <w:rsid w:val="00240BB9"/>
    <w:rsid w:val="00241E1A"/>
    <w:rsid w:val="00241EAF"/>
    <w:rsid w:val="00243493"/>
    <w:rsid w:val="0024551A"/>
    <w:rsid w:val="00245E4D"/>
    <w:rsid w:val="0024688C"/>
    <w:rsid w:val="002501CD"/>
    <w:rsid w:val="00250392"/>
    <w:rsid w:val="00250C15"/>
    <w:rsid w:val="00250E14"/>
    <w:rsid w:val="00251191"/>
    <w:rsid w:val="00252F83"/>
    <w:rsid w:val="002536B9"/>
    <w:rsid w:val="00253E28"/>
    <w:rsid w:val="002546E8"/>
    <w:rsid w:val="002601B9"/>
    <w:rsid w:val="00260BFA"/>
    <w:rsid w:val="00260F8B"/>
    <w:rsid w:val="002629D3"/>
    <w:rsid w:val="00262B6A"/>
    <w:rsid w:val="0026440F"/>
    <w:rsid w:val="002668EC"/>
    <w:rsid w:val="00266AD1"/>
    <w:rsid w:val="0026728B"/>
    <w:rsid w:val="00270B5B"/>
    <w:rsid w:val="00272DE6"/>
    <w:rsid w:val="00273157"/>
    <w:rsid w:val="002742A1"/>
    <w:rsid w:val="002745DA"/>
    <w:rsid w:val="00275599"/>
    <w:rsid w:val="00276190"/>
    <w:rsid w:val="002775DA"/>
    <w:rsid w:val="00277830"/>
    <w:rsid w:val="002779D8"/>
    <w:rsid w:val="002821D4"/>
    <w:rsid w:val="00282642"/>
    <w:rsid w:val="0028281D"/>
    <w:rsid w:val="00283496"/>
    <w:rsid w:val="002845C6"/>
    <w:rsid w:val="0028551C"/>
    <w:rsid w:val="0028615F"/>
    <w:rsid w:val="00290C29"/>
    <w:rsid w:val="0029194F"/>
    <w:rsid w:val="00291DAD"/>
    <w:rsid w:val="00291E72"/>
    <w:rsid w:val="0029403B"/>
    <w:rsid w:val="0029406B"/>
    <w:rsid w:val="00295AF7"/>
    <w:rsid w:val="00297DDD"/>
    <w:rsid w:val="002A0184"/>
    <w:rsid w:val="002A1432"/>
    <w:rsid w:val="002A150E"/>
    <w:rsid w:val="002A46CA"/>
    <w:rsid w:val="002A4811"/>
    <w:rsid w:val="002A49D0"/>
    <w:rsid w:val="002A725C"/>
    <w:rsid w:val="002A7525"/>
    <w:rsid w:val="002B0032"/>
    <w:rsid w:val="002B20CA"/>
    <w:rsid w:val="002B2135"/>
    <w:rsid w:val="002B2650"/>
    <w:rsid w:val="002B29C1"/>
    <w:rsid w:val="002B3DFA"/>
    <w:rsid w:val="002B40D0"/>
    <w:rsid w:val="002B5A80"/>
    <w:rsid w:val="002B5D9A"/>
    <w:rsid w:val="002B6C72"/>
    <w:rsid w:val="002C13CF"/>
    <w:rsid w:val="002C1C61"/>
    <w:rsid w:val="002C3857"/>
    <w:rsid w:val="002C3F14"/>
    <w:rsid w:val="002C58CF"/>
    <w:rsid w:val="002C5D12"/>
    <w:rsid w:val="002C605B"/>
    <w:rsid w:val="002C6AD5"/>
    <w:rsid w:val="002C6CFF"/>
    <w:rsid w:val="002D0DEF"/>
    <w:rsid w:val="002D0EC7"/>
    <w:rsid w:val="002D2859"/>
    <w:rsid w:val="002D33E0"/>
    <w:rsid w:val="002D3C85"/>
    <w:rsid w:val="002D3F36"/>
    <w:rsid w:val="002D48B0"/>
    <w:rsid w:val="002D5934"/>
    <w:rsid w:val="002D599A"/>
    <w:rsid w:val="002D5F26"/>
    <w:rsid w:val="002E1C0E"/>
    <w:rsid w:val="002E29E7"/>
    <w:rsid w:val="002E4977"/>
    <w:rsid w:val="002E64EC"/>
    <w:rsid w:val="002E6680"/>
    <w:rsid w:val="002E70B4"/>
    <w:rsid w:val="002F1089"/>
    <w:rsid w:val="002F1C53"/>
    <w:rsid w:val="002F25D5"/>
    <w:rsid w:val="002F2C30"/>
    <w:rsid w:val="002F35E2"/>
    <w:rsid w:val="002F3C9C"/>
    <w:rsid w:val="002F3DAD"/>
    <w:rsid w:val="002F4AA1"/>
    <w:rsid w:val="002F55B9"/>
    <w:rsid w:val="002F5C8A"/>
    <w:rsid w:val="002F6C5D"/>
    <w:rsid w:val="002F6DDC"/>
    <w:rsid w:val="00301BEE"/>
    <w:rsid w:val="00302E22"/>
    <w:rsid w:val="00303ECC"/>
    <w:rsid w:val="0030406D"/>
    <w:rsid w:val="003040AC"/>
    <w:rsid w:val="00304CAD"/>
    <w:rsid w:val="00304FB3"/>
    <w:rsid w:val="003053E2"/>
    <w:rsid w:val="00305C7A"/>
    <w:rsid w:val="00312F4F"/>
    <w:rsid w:val="003155DF"/>
    <w:rsid w:val="00315984"/>
    <w:rsid w:val="003171D8"/>
    <w:rsid w:val="0032178A"/>
    <w:rsid w:val="003225AA"/>
    <w:rsid w:val="003233AF"/>
    <w:rsid w:val="00323DD9"/>
    <w:rsid w:val="00323E40"/>
    <w:rsid w:val="00323F11"/>
    <w:rsid w:val="00325C93"/>
    <w:rsid w:val="00326D94"/>
    <w:rsid w:val="00327F2F"/>
    <w:rsid w:val="003312B4"/>
    <w:rsid w:val="00332010"/>
    <w:rsid w:val="00332500"/>
    <w:rsid w:val="003345AC"/>
    <w:rsid w:val="0033566F"/>
    <w:rsid w:val="00335E2F"/>
    <w:rsid w:val="00340B9C"/>
    <w:rsid w:val="00341808"/>
    <w:rsid w:val="0034346D"/>
    <w:rsid w:val="0034510E"/>
    <w:rsid w:val="0034660F"/>
    <w:rsid w:val="00346B0B"/>
    <w:rsid w:val="003472C1"/>
    <w:rsid w:val="00350BD6"/>
    <w:rsid w:val="00351794"/>
    <w:rsid w:val="003519D9"/>
    <w:rsid w:val="0035355E"/>
    <w:rsid w:val="003536A6"/>
    <w:rsid w:val="003536D5"/>
    <w:rsid w:val="003541D1"/>
    <w:rsid w:val="003542B0"/>
    <w:rsid w:val="0035501A"/>
    <w:rsid w:val="00356F91"/>
    <w:rsid w:val="003579AB"/>
    <w:rsid w:val="0036029D"/>
    <w:rsid w:val="00360890"/>
    <w:rsid w:val="003615C2"/>
    <w:rsid w:val="0036166B"/>
    <w:rsid w:val="0036313C"/>
    <w:rsid w:val="00363DC2"/>
    <w:rsid w:val="00365A5C"/>
    <w:rsid w:val="003669C2"/>
    <w:rsid w:val="00367A86"/>
    <w:rsid w:val="00370604"/>
    <w:rsid w:val="00371CAB"/>
    <w:rsid w:val="003720ED"/>
    <w:rsid w:val="00372200"/>
    <w:rsid w:val="00374E68"/>
    <w:rsid w:val="00375726"/>
    <w:rsid w:val="00376CD4"/>
    <w:rsid w:val="00377438"/>
    <w:rsid w:val="0038256D"/>
    <w:rsid w:val="00384797"/>
    <w:rsid w:val="00384D18"/>
    <w:rsid w:val="00386E5C"/>
    <w:rsid w:val="00387602"/>
    <w:rsid w:val="00391A0D"/>
    <w:rsid w:val="00392AD8"/>
    <w:rsid w:val="00394632"/>
    <w:rsid w:val="00394AC9"/>
    <w:rsid w:val="00395167"/>
    <w:rsid w:val="00396C3C"/>
    <w:rsid w:val="00397A86"/>
    <w:rsid w:val="00397E92"/>
    <w:rsid w:val="003A0D9D"/>
    <w:rsid w:val="003A33E3"/>
    <w:rsid w:val="003A4FD6"/>
    <w:rsid w:val="003A5810"/>
    <w:rsid w:val="003A58AA"/>
    <w:rsid w:val="003A71D9"/>
    <w:rsid w:val="003A743D"/>
    <w:rsid w:val="003B2028"/>
    <w:rsid w:val="003B21AF"/>
    <w:rsid w:val="003B27A7"/>
    <w:rsid w:val="003B35F5"/>
    <w:rsid w:val="003B440E"/>
    <w:rsid w:val="003B5988"/>
    <w:rsid w:val="003B5B47"/>
    <w:rsid w:val="003B7F45"/>
    <w:rsid w:val="003C0045"/>
    <w:rsid w:val="003C0241"/>
    <w:rsid w:val="003C1A61"/>
    <w:rsid w:val="003C1A7F"/>
    <w:rsid w:val="003C3911"/>
    <w:rsid w:val="003C71C8"/>
    <w:rsid w:val="003D19D5"/>
    <w:rsid w:val="003D2D26"/>
    <w:rsid w:val="003D55EC"/>
    <w:rsid w:val="003D6FF6"/>
    <w:rsid w:val="003D7101"/>
    <w:rsid w:val="003D7B7E"/>
    <w:rsid w:val="003D7E84"/>
    <w:rsid w:val="003E093F"/>
    <w:rsid w:val="003E1C44"/>
    <w:rsid w:val="003E552E"/>
    <w:rsid w:val="003E5FE9"/>
    <w:rsid w:val="003E65C9"/>
    <w:rsid w:val="003E6BA0"/>
    <w:rsid w:val="003E7513"/>
    <w:rsid w:val="003E7680"/>
    <w:rsid w:val="003F02B2"/>
    <w:rsid w:val="003F1D51"/>
    <w:rsid w:val="003F2C9C"/>
    <w:rsid w:val="003F45C7"/>
    <w:rsid w:val="003F4890"/>
    <w:rsid w:val="003F5584"/>
    <w:rsid w:val="003F64ED"/>
    <w:rsid w:val="003F6E3D"/>
    <w:rsid w:val="003F7881"/>
    <w:rsid w:val="003F7B8E"/>
    <w:rsid w:val="0040092E"/>
    <w:rsid w:val="00401EDF"/>
    <w:rsid w:val="00402AEB"/>
    <w:rsid w:val="00403525"/>
    <w:rsid w:val="004039F0"/>
    <w:rsid w:val="0040415B"/>
    <w:rsid w:val="00404336"/>
    <w:rsid w:val="00404EB6"/>
    <w:rsid w:val="00406460"/>
    <w:rsid w:val="00406A38"/>
    <w:rsid w:val="00407067"/>
    <w:rsid w:val="00407AD9"/>
    <w:rsid w:val="004106D1"/>
    <w:rsid w:val="00411F3B"/>
    <w:rsid w:val="00412639"/>
    <w:rsid w:val="004127CC"/>
    <w:rsid w:val="00413FE9"/>
    <w:rsid w:val="00415285"/>
    <w:rsid w:val="00422021"/>
    <w:rsid w:val="0042211C"/>
    <w:rsid w:val="00424362"/>
    <w:rsid w:val="00424AD4"/>
    <w:rsid w:val="004251A9"/>
    <w:rsid w:val="00425F1A"/>
    <w:rsid w:val="00425FA9"/>
    <w:rsid w:val="00427E7B"/>
    <w:rsid w:val="00435509"/>
    <w:rsid w:val="00436025"/>
    <w:rsid w:val="00437493"/>
    <w:rsid w:val="00437540"/>
    <w:rsid w:val="0043756A"/>
    <w:rsid w:val="00437975"/>
    <w:rsid w:val="0044099E"/>
    <w:rsid w:val="004432C6"/>
    <w:rsid w:val="00443810"/>
    <w:rsid w:val="00443CA4"/>
    <w:rsid w:val="00444DC2"/>
    <w:rsid w:val="00445515"/>
    <w:rsid w:val="00445817"/>
    <w:rsid w:val="00445E18"/>
    <w:rsid w:val="004464FA"/>
    <w:rsid w:val="00447358"/>
    <w:rsid w:val="00451DF3"/>
    <w:rsid w:val="00452170"/>
    <w:rsid w:val="00452DC4"/>
    <w:rsid w:val="0045306C"/>
    <w:rsid w:val="0045425B"/>
    <w:rsid w:val="004543CC"/>
    <w:rsid w:val="0045495E"/>
    <w:rsid w:val="004556DF"/>
    <w:rsid w:val="0045670D"/>
    <w:rsid w:val="004612BD"/>
    <w:rsid w:val="004614BE"/>
    <w:rsid w:val="00461752"/>
    <w:rsid w:val="0046222A"/>
    <w:rsid w:val="004632E6"/>
    <w:rsid w:val="00463530"/>
    <w:rsid w:val="00463E49"/>
    <w:rsid w:val="00463F25"/>
    <w:rsid w:val="00465A6A"/>
    <w:rsid w:val="0047035C"/>
    <w:rsid w:val="0047129B"/>
    <w:rsid w:val="0047285A"/>
    <w:rsid w:val="00472AC0"/>
    <w:rsid w:val="004733BB"/>
    <w:rsid w:val="0047643F"/>
    <w:rsid w:val="00476A6E"/>
    <w:rsid w:val="004777AE"/>
    <w:rsid w:val="004779B5"/>
    <w:rsid w:val="00480AFD"/>
    <w:rsid w:val="004825C6"/>
    <w:rsid w:val="0048261D"/>
    <w:rsid w:val="004832CE"/>
    <w:rsid w:val="004837AB"/>
    <w:rsid w:val="0048532F"/>
    <w:rsid w:val="004855AC"/>
    <w:rsid w:val="00487725"/>
    <w:rsid w:val="00487AEB"/>
    <w:rsid w:val="00487DBC"/>
    <w:rsid w:val="004922B6"/>
    <w:rsid w:val="00495DED"/>
    <w:rsid w:val="00497CBE"/>
    <w:rsid w:val="004A085E"/>
    <w:rsid w:val="004A289F"/>
    <w:rsid w:val="004A303C"/>
    <w:rsid w:val="004A3942"/>
    <w:rsid w:val="004A41D5"/>
    <w:rsid w:val="004A455D"/>
    <w:rsid w:val="004A4E6C"/>
    <w:rsid w:val="004A60A4"/>
    <w:rsid w:val="004A60DF"/>
    <w:rsid w:val="004A68D0"/>
    <w:rsid w:val="004B0DBD"/>
    <w:rsid w:val="004B232E"/>
    <w:rsid w:val="004B2405"/>
    <w:rsid w:val="004B3557"/>
    <w:rsid w:val="004B4C51"/>
    <w:rsid w:val="004B5FCF"/>
    <w:rsid w:val="004B6222"/>
    <w:rsid w:val="004B6226"/>
    <w:rsid w:val="004C0B9C"/>
    <w:rsid w:val="004C242C"/>
    <w:rsid w:val="004C2881"/>
    <w:rsid w:val="004C3F69"/>
    <w:rsid w:val="004C4A5A"/>
    <w:rsid w:val="004C5595"/>
    <w:rsid w:val="004C6D39"/>
    <w:rsid w:val="004D014F"/>
    <w:rsid w:val="004D07DB"/>
    <w:rsid w:val="004D5B1B"/>
    <w:rsid w:val="004D6813"/>
    <w:rsid w:val="004D7897"/>
    <w:rsid w:val="004E1B75"/>
    <w:rsid w:val="004E3019"/>
    <w:rsid w:val="004E37E9"/>
    <w:rsid w:val="004F3397"/>
    <w:rsid w:val="004F3D53"/>
    <w:rsid w:val="004F3F9F"/>
    <w:rsid w:val="004F6013"/>
    <w:rsid w:val="004F68A9"/>
    <w:rsid w:val="00500D8F"/>
    <w:rsid w:val="00502C2B"/>
    <w:rsid w:val="00503B34"/>
    <w:rsid w:val="00504667"/>
    <w:rsid w:val="00505E68"/>
    <w:rsid w:val="00506220"/>
    <w:rsid w:val="00507B6B"/>
    <w:rsid w:val="00511C3F"/>
    <w:rsid w:val="00511CEB"/>
    <w:rsid w:val="0051270C"/>
    <w:rsid w:val="00515706"/>
    <w:rsid w:val="00517FBB"/>
    <w:rsid w:val="0052055D"/>
    <w:rsid w:val="005212B1"/>
    <w:rsid w:val="00521331"/>
    <w:rsid w:val="005234E4"/>
    <w:rsid w:val="00523695"/>
    <w:rsid w:val="00524751"/>
    <w:rsid w:val="00525855"/>
    <w:rsid w:val="00527A13"/>
    <w:rsid w:val="00530D0A"/>
    <w:rsid w:val="00531C98"/>
    <w:rsid w:val="00533845"/>
    <w:rsid w:val="00534EF5"/>
    <w:rsid w:val="00536F46"/>
    <w:rsid w:val="0054229B"/>
    <w:rsid w:val="0054254F"/>
    <w:rsid w:val="00543098"/>
    <w:rsid w:val="0054383D"/>
    <w:rsid w:val="005456A4"/>
    <w:rsid w:val="00545862"/>
    <w:rsid w:val="005473E7"/>
    <w:rsid w:val="00550437"/>
    <w:rsid w:val="00553314"/>
    <w:rsid w:val="005540B9"/>
    <w:rsid w:val="005548BD"/>
    <w:rsid w:val="00554E84"/>
    <w:rsid w:val="005557A1"/>
    <w:rsid w:val="00556A19"/>
    <w:rsid w:val="00556FA6"/>
    <w:rsid w:val="00557784"/>
    <w:rsid w:val="00560744"/>
    <w:rsid w:val="00560C9E"/>
    <w:rsid w:val="0056168A"/>
    <w:rsid w:val="00562116"/>
    <w:rsid w:val="0056303D"/>
    <w:rsid w:val="00564B00"/>
    <w:rsid w:val="00565F33"/>
    <w:rsid w:val="0056678A"/>
    <w:rsid w:val="00567885"/>
    <w:rsid w:val="00570845"/>
    <w:rsid w:val="00570F82"/>
    <w:rsid w:val="005715E6"/>
    <w:rsid w:val="00572022"/>
    <w:rsid w:val="0057205D"/>
    <w:rsid w:val="005727D4"/>
    <w:rsid w:val="00572AEC"/>
    <w:rsid w:val="00572B38"/>
    <w:rsid w:val="005746A0"/>
    <w:rsid w:val="005749A7"/>
    <w:rsid w:val="00574C62"/>
    <w:rsid w:val="00574FA8"/>
    <w:rsid w:val="0057502B"/>
    <w:rsid w:val="005759D8"/>
    <w:rsid w:val="00580558"/>
    <w:rsid w:val="00581162"/>
    <w:rsid w:val="00581270"/>
    <w:rsid w:val="00582808"/>
    <w:rsid w:val="00584D91"/>
    <w:rsid w:val="00585F96"/>
    <w:rsid w:val="00586566"/>
    <w:rsid w:val="00592472"/>
    <w:rsid w:val="0059541B"/>
    <w:rsid w:val="00595890"/>
    <w:rsid w:val="00595DFB"/>
    <w:rsid w:val="005968B7"/>
    <w:rsid w:val="005A0203"/>
    <w:rsid w:val="005A0358"/>
    <w:rsid w:val="005A5899"/>
    <w:rsid w:val="005A5968"/>
    <w:rsid w:val="005A64CD"/>
    <w:rsid w:val="005A6E26"/>
    <w:rsid w:val="005A7100"/>
    <w:rsid w:val="005B073D"/>
    <w:rsid w:val="005B143B"/>
    <w:rsid w:val="005B2CE0"/>
    <w:rsid w:val="005B4AA4"/>
    <w:rsid w:val="005B6ADF"/>
    <w:rsid w:val="005C0F88"/>
    <w:rsid w:val="005C4E2D"/>
    <w:rsid w:val="005C5317"/>
    <w:rsid w:val="005C68D5"/>
    <w:rsid w:val="005D106F"/>
    <w:rsid w:val="005D1C88"/>
    <w:rsid w:val="005D2CAC"/>
    <w:rsid w:val="005D3DEE"/>
    <w:rsid w:val="005D4D8A"/>
    <w:rsid w:val="005D7578"/>
    <w:rsid w:val="005E0FE9"/>
    <w:rsid w:val="005E1132"/>
    <w:rsid w:val="005E173B"/>
    <w:rsid w:val="005E2FA8"/>
    <w:rsid w:val="005E627E"/>
    <w:rsid w:val="005E6A79"/>
    <w:rsid w:val="005F5711"/>
    <w:rsid w:val="006007D6"/>
    <w:rsid w:val="006017BB"/>
    <w:rsid w:val="00603A61"/>
    <w:rsid w:val="00603B17"/>
    <w:rsid w:val="00605C51"/>
    <w:rsid w:val="00611B0E"/>
    <w:rsid w:val="00612FE3"/>
    <w:rsid w:val="00613EF1"/>
    <w:rsid w:val="00614DEA"/>
    <w:rsid w:val="00617EAE"/>
    <w:rsid w:val="006200EC"/>
    <w:rsid w:val="00621CE5"/>
    <w:rsid w:val="00623154"/>
    <w:rsid w:val="00623AE2"/>
    <w:rsid w:val="00624CE3"/>
    <w:rsid w:val="00626EFE"/>
    <w:rsid w:val="006303F8"/>
    <w:rsid w:val="00630A55"/>
    <w:rsid w:val="00631007"/>
    <w:rsid w:val="0063122B"/>
    <w:rsid w:val="00633A90"/>
    <w:rsid w:val="0063422A"/>
    <w:rsid w:val="00634A76"/>
    <w:rsid w:val="00635F13"/>
    <w:rsid w:val="006364A4"/>
    <w:rsid w:val="00636F5B"/>
    <w:rsid w:val="0063757E"/>
    <w:rsid w:val="00640263"/>
    <w:rsid w:val="00641585"/>
    <w:rsid w:val="0064167F"/>
    <w:rsid w:val="006419FF"/>
    <w:rsid w:val="0064310B"/>
    <w:rsid w:val="00643D50"/>
    <w:rsid w:val="00643EA4"/>
    <w:rsid w:val="006446A6"/>
    <w:rsid w:val="006450C2"/>
    <w:rsid w:val="00645213"/>
    <w:rsid w:val="00645C03"/>
    <w:rsid w:val="00646424"/>
    <w:rsid w:val="00650C8D"/>
    <w:rsid w:val="00652215"/>
    <w:rsid w:val="006526A1"/>
    <w:rsid w:val="00653354"/>
    <w:rsid w:val="00653419"/>
    <w:rsid w:val="00653845"/>
    <w:rsid w:val="00653E91"/>
    <w:rsid w:val="006559AC"/>
    <w:rsid w:val="00656B85"/>
    <w:rsid w:val="00656CBC"/>
    <w:rsid w:val="00656EA7"/>
    <w:rsid w:val="0065733C"/>
    <w:rsid w:val="00657610"/>
    <w:rsid w:val="006605C7"/>
    <w:rsid w:val="0066117F"/>
    <w:rsid w:val="00662DF2"/>
    <w:rsid w:val="00664844"/>
    <w:rsid w:val="00665CEB"/>
    <w:rsid w:val="00666E06"/>
    <w:rsid w:val="00670776"/>
    <w:rsid w:val="00670D7F"/>
    <w:rsid w:val="00672058"/>
    <w:rsid w:val="006721D7"/>
    <w:rsid w:val="006726FB"/>
    <w:rsid w:val="00673220"/>
    <w:rsid w:val="00673F52"/>
    <w:rsid w:val="00674E83"/>
    <w:rsid w:val="00675F2D"/>
    <w:rsid w:val="006763C5"/>
    <w:rsid w:val="0067660E"/>
    <w:rsid w:val="006771FC"/>
    <w:rsid w:val="0067773F"/>
    <w:rsid w:val="00680CD5"/>
    <w:rsid w:val="00681332"/>
    <w:rsid w:val="00683AEF"/>
    <w:rsid w:val="00686007"/>
    <w:rsid w:val="0068626A"/>
    <w:rsid w:val="00686D7C"/>
    <w:rsid w:val="0068746E"/>
    <w:rsid w:val="00687949"/>
    <w:rsid w:val="00687FC1"/>
    <w:rsid w:val="00692632"/>
    <w:rsid w:val="00693223"/>
    <w:rsid w:val="00694C8F"/>
    <w:rsid w:val="00695DB2"/>
    <w:rsid w:val="0069680F"/>
    <w:rsid w:val="00696EFF"/>
    <w:rsid w:val="006A35B8"/>
    <w:rsid w:val="006A5026"/>
    <w:rsid w:val="006A5088"/>
    <w:rsid w:val="006A53EF"/>
    <w:rsid w:val="006A5E10"/>
    <w:rsid w:val="006A60F3"/>
    <w:rsid w:val="006A64E5"/>
    <w:rsid w:val="006B1174"/>
    <w:rsid w:val="006B1587"/>
    <w:rsid w:val="006B1E1F"/>
    <w:rsid w:val="006B2120"/>
    <w:rsid w:val="006B2CDB"/>
    <w:rsid w:val="006B2FB5"/>
    <w:rsid w:val="006B3FEE"/>
    <w:rsid w:val="006B669A"/>
    <w:rsid w:val="006B7013"/>
    <w:rsid w:val="006C0069"/>
    <w:rsid w:val="006C19B4"/>
    <w:rsid w:val="006C21D2"/>
    <w:rsid w:val="006C2585"/>
    <w:rsid w:val="006C45DA"/>
    <w:rsid w:val="006C7BBD"/>
    <w:rsid w:val="006C7DDE"/>
    <w:rsid w:val="006D0547"/>
    <w:rsid w:val="006D1A86"/>
    <w:rsid w:val="006D29DE"/>
    <w:rsid w:val="006D3A6C"/>
    <w:rsid w:val="006D3EC5"/>
    <w:rsid w:val="006D45E1"/>
    <w:rsid w:val="006D4755"/>
    <w:rsid w:val="006D7A15"/>
    <w:rsid w:val="006E0234"/>
    <w:rsid w:val="006E0628"/>
    <w:rsid w:val="006E20EE"/>
    <w:rsid w:val="006E6892"/>
    <w:rsid w:val="006E6F24"/>
    <w:rsid w:val="006E719B"/>
    <w:rsid w:val="006E7387"/>
    <w:rsid w:val="006F13BE"/>
    <w:rsid w:val="006F291D"/>
    <w:rsid w:val="006F45D6"/>
    <w:rsid w:val="006F507E"/>
    <w:rsid w:val="006F535A"/>
    <w:rsid w:val="006F55BB"/>
    <w:rsid w:val="00700CA2"/>
    <w:rsid w:val="0070230F"/>
    <w:rsid w:val="007044DA"/>
    <w:rsid w:val="00704D5E"/>
    <w:rsid w:val="00705713"/>
    <w:rsid w:val="00707BDE"/>
    <w:rsid w:val="00707DCB"/>
    <w:rsid w:val="00710358"/>
    <w:rsid w:val="00710816"/>
    <w:rsid w:val="00711521"/>
    <w:rsid w:val="00712DA1"/>
    <w:rsid w:val="007137F3"/>
    <w:rsid w:val="00713DE8"/>
    <w:rsid w:val="00713FE4"/>
    <w:rsid w:val="00715B84"/>
    <w:rsid w:val="00715FAC"/>
    <w:rsid w:val="00717D11"/>
    <w:rsid w:val="00722800"/>
    <w:rsid w:val="00723AD0"/>
    <w:rsid w:val="00727B39"/>
    <w:rsid w:val="00730693"/>
    <w:rsid w:val="007319AA"/>
    <w:rsid w:val="00733524"/>
    <w:rsid w:val="00734F11"/>
    <w:rsid w:val="00735911"/>
    <w:rsid w:val="00735F67"/>
    <w:rsid w:val="007364C7"/>
    <w:rsid w:val="00740F76"/>
    <w:rsid w:val="00743D5B"/>
    <w:rsid w:val="00744650"/>
    <w:rsid w:val="0075020C"/>
    <w:rsid w:val="00752565"/>
    <w:rsid w:val="00752662"/>
    <w:rsid w:val="0075389C"/>
    <w:rsid w:val="007545DD"/>
    <w:rsid w:val="007560F0"/>
    <w:rsid w:val="0075610E"/>
    <w:rsid w:val="007565E0"/>
    <w:rsid w:val="00756B2D"/>
    <w:rsid w:val="00756F4D"/>
    <w:rsid w:val="00757C4D"/>
    <w:rsid w:val="00760F9F"/>
    <w:rsid w:val="00761BCE"/>
    <w:rsid w:val="00763141"/>
    <w:rsid w:val="007652CA"/>
    <w:rsid w:val="007656DE"/>
    <w:rsid w:val="007667EC"/>
    <w:rsid w:val="00770756"/>
    <w:rsid w:val="00771460"/>
    <w:rsid w:val="00771DF1"/>
    <w:rsid w:val="00775DA1"/>
    <w:rsid w:val="00776EED"/>
    <w:rsid w:val="007808DA"/>
    <w:rsid w:val="007812D1"/>
    <w:rsid w:val="00781671"/>
    <w:rsid w:val="00782B61"/>
    <w:rsid w:val="0078572B"/>
    <w:rsid w:val="00785DCD"/>
    <w:rsid w:val="007875BB"/>
    <w:rsid w:val="00787D01"/>
    <w:rsid w:val="0079058D"/>
    <w:rsid w:val="00790A31"/>
    <w:rsid w:val="0079215A"/>
    <w:rsid w:val="00792C43"/>
    <w:rsid w:val="007952DD"/>
    <w:rsid w:val="00797404"/>
    <w:rsid w:val="00797791"/>
    <w:rsid w:val="007A0784"/>
    <w:rsid w:val="007A122F"/>
    <w:rsid w:val="007A1919"/>
    <w:rsid w:val="007A441C"/>
    <w:rsid w:val="007A5FB2"/>
    <w:rsid w:val="007A6598"/>
    <w:rsid w:val="007A7C8B"/>
    <w:rsid w:val="007B2107"/>
    <w:rsid w:val="007B2A5C"/>
    <w:rsid w:val="007B2C3C"/>
    <w:rsid w:val="007B5209"/>
    <w:rsid w:val="007B5C03"/>
    <w:rsid w:val="007B5F28"/>
    <w:rsid w:val="007C0858"/>
    <w:rsid w:val="007C0F62"/>
    <w:rsid w:val="007C4095"/>
    <w:rsid w:val="007C4099"/>
    <w:rsid w:val="007C4A52"/>
    <w:rsid w:val="007C57CD"/>
    <w:rsid w:val="007C782F"/>
    <w:rsid w:val="007D021B"/>
    <w:rsid w:val="007D132E"/>
    <w:rsid w:val="007D1DEB"/>
    <w:rsid w:val="007D28CF"/>
    <w:rsid w:val="007D3BCC"/>
    <w:rsid w:val="007D4B95"/>
    <w:rsid w:val="007D4C79"/>
    <w:rsid w:val="007D5722"/>
    <w:rsid w:val="007D703B"/>
    <w:rsid w:val="007D7B79"/>
    <w:rsid w:val="007E0B71"/>
    <w:rsid w:val="007E21EC"/>
    <w:rsid w:val="007E263B"/>
    <w:rsid w:val="007E2AE3"/>
    <w:rsid w:val="007E2BDE"/>
    <w:rsid w:val="007E5047"/>
    <w:rsid w:val="007E63FA"/>
    <w:rsid w:val="007F1156"/>
    <w:rsid w:val="007F2A84"/>
    <w:rsid w:val="007F2B5D"/>
    <w:rsid w:val="007F3581"/>
    <w:rsid w:val="007F6644"/>
    <w:rsid w:val="007F72A8"/>
    <w:rsid w:val="007F7C4B"/>
    <w:rsid w:val="0080048D"/>
    <w:rsid w:val="0080180A"/>
    <w:rsid w:val="00801DF0"/>
    <w:rsid w:val="00804872"/>
    <w:rsid w:val="00804E4E"/>
    <w:rsid w:val="00805AF2"/>
    <w:rsid w:val="008061A5"/>
    <w:rsid w:val="0081042F"/>
    <w:rsid w:val="0081067C"/>
    <w:rsid w:val="00810E47"/>
    <w:rsid w:val="008134E4"/>
    <w:rsid w:val="0081374A"/>
    <w:rsid w:val="008164E0"/>
    <w:rsid w:val="00817F1B"/>
    <w:rsid w:val="00820CDF"/>
    <w:rsid w:val="0082170C"/>
    <w:rsid w:val="00822D82"/>
    <w:rsid w:val="0082323A"/>
    <w:rsid w:val="00823656"/>
    <w:rsid w:val="00823BFB"/>
    <w:rsid w:val="00825B27"/>
    <w:rsid w:val="00825EF0"/>
    <w:rsid w:val="00826192"/>
    <w:rsid w:val="00826CA8"/>
    <w:rsid w:val="00831928"/>
    <w:rsid w:val="00832F8E"/>
    <w:rsid w:val="00833D31"/>
    <w:rsid w:val="00834C16"/>
    <w:rsid w:val="008361C3"/>
    <w:rsid w:val="00837E60"/>
    <w:rsid w:val="00841D0C"/>
    <w:rsid w:val="00841E0F"/>
    <w:rsid w:val="00842411"/>
    <w:rsid w:val="00842F1F"/>
    <w:rsid w:val="00843CC2"/>
    <w:rsid w:val="00844751"/>
    <w:rsid w:val="008447F2"/>
    <w:rsid w:val="0084592A"/>
    <w:rsid w:val="00847124"/>
    <w:rsid w:val="00850D9A"/>
    <w:rsid w:val="00851089"/>
    <w:rsid w:val="008530B9"/>
    <w:rsid w:val="00854D50"/>
    <w:rsid w:val="00855289"/>
    <w:rsid w:val="00860888"/>
    <w:rsid w:val="0086170A"/>
    <w:rsid w:val="00861B14"/>
    <w:rsid w:val="00862C86"/>
    <w:rsid w:val="00864C89"/>
    <w:rsid w:val="008651D5"/>
    <w:rsid w:val="0087292C"/>
    <w:rsid w:val="0087453A"/>
    <w:rsid w:val="00874B9F"/>
    <w:rsid w:val="00874EED"/>
    <w:rsid w:val="0087514B"/>
    <w:rsid w:val="008751D7"/>
    <w:rsid w:val="00875A1F"/>
    <w:rsid w:val="00875DE7"/>
    <w:rsid w:val="00877171"/>
    <w:rsid w:val="0088309F"/>
    <w:rsid w:val="008832C4"/>
    <w:rsid w:val="00883458"/>
    <w:rsid w:val="00883CA7"/>
    <w:rsid w:val="00884187"/>
    <w:rsid w:val="00885691"/>
    <w:rsid w:val="0088649A"/>
    <w:rsid w:val="00890451"/>
    <w:rsid w:val="00890A41"/>
    <w:rsid w:val="00895AAA"/>
    <w:rsid w:val="00896E66"/>
    <w:rsid w:val="008974D5"/>
    <w:rsid w:val="00897FD3"/>
    <w:rsid w:val="008A1044"/>
    <w:rsid w:val="008A2394"/>
    <w:rsid w:val="008A3670"/>
    <w:rsid w:val="008A3D92"/>
    <w:rsid w:val="008A4E49"/>
    <w:rsid w:val="008A4E9F"/>
    <w:rsid w:val="008A5924"/>
    <w:rsid w:val="008A652A"/>
    <w:rsid w:val="008A6795"/>
    <w:rsid w:val="008A6BF2"/>
    <w:rsid w:val="008A7545"/>
    <w:rsid w:val="008B1DDD"/>
    <w:rsid w:val="008B2B87"/>
    <w:rsid w:val="008B2F47"/>
    <w:rsid w:val="008B3998"/>
    <w:rsid w:val="008B477D"/>
    <w:rsid w:val="008B5597"/>
    <w:rsid w:val="008B7445"/>
    <w:rsid w:val="008B75DB"/>
    <w:rsid w:val="008C0C96"/>
    <w:rsid w:val="008C10FA"/>
    <w:rsid w:val="008C1926"/>
    <w:rsid w:val="008C2C5E"/>
    <w:rsid w:val="008C3050"/>
    <w:rsid w:val="008C432F"/>
    <w:rsid w:val="008C4AF9"/>
    <w:rsid w:val="008C5493"/>
    <w:rsid w:val="008C5A12"/>
    <w:rsid w:val="008C5DA9"/>
    <w:rsid w:val="008C79D1"/>
    <w:rsid w:val="008D228A"/>
    <w:rsid w:val="008D35AB"/>
    <w:rsid w:val="008D5674"/>
    <w:rsid w:val="008D69E8"/>
    <w:rsid w:val="008E007A"/>
    <w:rsid w:val="008E2128"/>
    <w:rsid w:val="008E2D79"/>
    <w:rsid w:val="008E4E6D"/>
    <w:rsid w:val="008E4ED4"/>
    <w:rsid w:val="008E593B"/>
    <w:rsid w:val="008E5A3F"/>
    <w:rsid w:val="008E60A1"/>
    <w:rsid w:val="008E6C07"/>
    <w:rsid w:val="008F1146"/>
    <w:rsid w:val="008F2B3E"/>
    <w:rsid w:val="008F32EF"/>
    <w:rsid w:val="008F3F39"/>
    <w:rsid w:val="008F4E95"/>
    <w:rsid w:val="008F738A"/>
    <w:rsid w:val="008F7EE4"/>
    <w:rsid w:val="009006B1"/>
    <w:rsid w:val="00903AF4"/>
    <w:rsid w:val="009045B4"/>
    <w:rsid w:val="009048CA"/>
    <w:rsid w:val="0090571A"/>
    <w:rsid w:val="00906472"/>
    <w:rsid w:val="009072E8"/>
    <w:rsid w:val="00907682"/>
    <w:rsid w:val="00907FDA"/>
    <w:rsid w:val="00911F86"/>
    <w:rsid w:val="0091213A"/>
    <w:rsid w:val="009123EF"/>
    <w:rsid w:val="009125C8"/>
    <w:rsid w:val="00912883"/>
    <w:rsid w:val="00912CDC"/>
    <w:rsid w:val="00914901"/>
    <w:rsid w:val="00914B80"/>
    <w:rsid w:val="00915966"/>
    <w:rsid w:val="00916CCF"/>
    <w:rsid w:val="00916CEF"/>
    <w:rsid w:val="00921A8D"/>
    <w:rsid w:val="009239C5"/>
    <w:rsid w:val="009257DB"/>
    <w:rsid w:val="0092787E"/>
    <w:rsid w:val="00927B54"/>
    <w:rsid w:val="00934179"/>
    <w:rsid w:val="00934387"/>
    <w:rsid w:val="00934CE1"/>
    <w:rsid w:val="00937B91"/>
    <w:rsid w:val="009402B1"/>
    <w:rsid w:val="00942202"/>
    <w:rsid w:val="0094229E"/>
    <w:rsid w:val="009422B9"/>
    <w:rsid w:val="0094336C"/>
    <w:rsid w:val="00947C31"/>
    <w:rsid w:val="00951E0D"/>
    <w:rsid w:val="00951F80"/>
    <w:rsid w:val="00952C19"/>
    <w:rsid w:val="00952ECC"/>
    <w:rsid w:val="00952F6D"/>
    <w:rsid w:val="0095449B"/>
    <w:rsid w:val="00954E9D"/>
    <w:rsid w:val="00955292"/>
    <w:rsid w:val="00955488"/>
    <w:rsid w:val="009561E1"/>
    <w:rsid w:val="00956648"/>
    <w:rsid w:val="009566DF"/>
    <w:rsid w:val="00956BE0"/>
    <w:rsid w:val="00963C1F"/>
    <w:rsid w:val="009669AC"/>
    <w:rsid w:val="0096765E"/>
    <w:rsid w:val="00971CF8"/>
    <w:rsid w:val="0097520E"/>
    <w:rsid w:val="0097712B"/>
    <w:rsid w:val="00977BED"/>
    <w:rsid w:val="00977C9D"/>
    <w:rsid w:val="00982293"/>
    <w:rsid w:val="009848F8"/>
    <w:rsid w:val="0098570E"/>
    <w:rsid w:val="00987B37"/>
    <w:rsid w:val="00991D8E"/>
    <w:rsid w:val="00992136"/>
    <w:rsid w:val="009953E1"/>
    <w:rsid w:val="009A04A8"/>
    <w:rsid w:val="009A1AD8"/>
    <w:rsid w:val="009A1E74"/>
    <w:rsid w:val="009A3B53"/>
    <w:rsid w:val="009A4137"/>
    <w:rsid w:val="009A527D"/>
    <w:rsid w:val="009A5B6B"/>
    <w:rsid w:val="009A690C"/>
    <w:rsid w:val="009A7369"/>
    <w:rsid w:val="009B0A7B"/>
    <w:rsid w:val="009B2734"/>
    <w:rsid w:val="009B3E22"/>
    <w:rsid w:val="009B3EF7"/>
    <w:rsid w:val="009B42AA"/>
    <w:rsid w:val="009B4456"/>
    <w:rsid w:val="009B4D86"/>
    <w:rsid w:val="009B5142"/>
    <w:rsid w:val="009B5305"/>
    <w:rsid w:val="009B7177"/>
    <w:rsid w:val="009B7188"/>
    <w:rsid w:val="009B78CA"/>
    <w:rsid w:val="009C3139"/>
    <w:rsid w:val="009C449D"/>
    <w:rsid w:val="009C4B63"/>
    <w:rsid w:val="009C4F84"/>
    <w:rsid w:val="009C70D7"/>
    <w:rsid w:val="009C7705"/>
    <w:rsid w:val="009C7DED"/>
    <w:rsid w:val="009C7F06"/>
    <w:rsid w:val="009D02B6"/>
    <w:rsid w:val="009D0F62"/>
    <w:rsid w:val="009D4640"/>
    <w:rsid w:val="009D6D8F"/>
    <w:rsid w:val="009E025B"/>
    <w:rsid w:val="009E0463"/>
    <w:rsid w:val="009E053A"/>
    <w:rsid w:val="009E2F70"/>
    <w:rsid w:val="009E3028"/>
    <w:rsid w:val="009E3A47"/>
    <w:rsid w:val="009E4020"/>
    <w:rsid w:val="009E46FC"/>
    <w:rsid w:val="009E58C7"/>
    <w:rsid w:val="009E7D7D"/>
    <w:rsid w:val="009F1B0A"/>
    <w:rsid w:val="009F1D45"/>
    <w:rsid w:val="009F2063"/>
    <w:rsid w:val="009F20EB"/>
    <w:rsid w:val="009F2230"/>
    <w:rsid w:val="009F297E"/>
    <w:rsid w:val="009F2D95"/>
    <w:rsid w:val="009F3DDB"/>
    <w:rsid w:val="009F411E"/>
    <w:rsid w:val="009F52EB"/>
    <w:rsid w:val="009F5349"/>
    <w:rsid w:val="009F681B"/>
    <w:rsid w:val="009F68D4"/>
    <w:rsid w:val="009F6950"/>
    <w:rsid w:val="009F697B"/>
    <w:rsid w:val="009F6FFC"/>
    <w:rsid w:val="009F7206"/>
    <w:rsid w:val="00A00C4F"/>
    <w:rsid w:val="00A0103E"/>
    <w:rsid w:val="00A03770"/>
    <w:rsid w:val="00A05C48"/>
    <w:rsid w:val="00A05CFE"/>
    <w:rsid w:val="00A06121"/>
    <w:rsid w:val="00A0723C"/>
    <w:rsid w:val="00A0772D"/>
    <w:rsid w:val="00A07B3B"/>
    <w:rsid w:val="00A107FA"/>
    <w:rsid w:val="00A11B1F"/>
    <w:rsid w:val="00A11C7F"/>
    <w:rsid w:val="00A11DF0"/>
    <w:rsid w:val="00A12CFF"/>
    <w:rsid w:val="00A1405D"/>
    <w:rsid w:val="00A14F28"/>
    <w:rsid w:val="00A15840"/>
    <w:rsid w:val="00A2076A"/>
    <w:rsid w:val="00A20B68"/>
    <w:rsid w:val="00A237C6"/>
    <w:rsid w:val="00A24190"/>
    <w:rsid w:val="00A25691"/>
    <w:rsid w:val="00A259C5"/>
    <w:rsid w:val="00A31701"/>
    <w:rsid w:val="00A31E05"/>
    <w:rsid w:val="00A3480D"/>
    <w:rsid w:val="00A35A5F"/>
    <w:rsid w:val="00A35D22"/>
    <w:rsid w:val="00A36037"/>
    <w:rsid w:val="00A374FB"/>
    <w:rsid w:val="00A4000E"/>
    <w:rsid w:val="00A40C22"/>
    <w:rsid w:val="00A41BF1"/>
    <w:rsid w:val="00A43F13"/>
    <w:rsid w:val="00A45172"/>
    <w:rsid w:val="00A456AA"/>
    <w:rsid w:val="00A461F4"/>
    <w:rsid w:val="00A463C0"/>
    <w:rsid w:val="00A467DF"/>
    <w:rsid w:val="00A478CF"/>
    <w:rsid w:val="00A47ABD"/>
    <w:rsid w:val="00A47FC5"/>
    <w:rsid w:val="00A52B18"/>
    <w:rsid w:val="00A52F6A"/>
    <w:rsid w:val="00A53705"/>
    <w:rsid w:val="00A53E1A"/>
    <w:rsid w:val="00A56076"/>
    <w:rsid w:val="00A56161"/>
    <w:rsid w:val="00A573C2"/>
    <w:rsid w:val="00A5789D"/>
    <w:rsid w:val="00A61668"/>
    <w:rsid w:val="00A666EA"/>
    <w:rsid w:val="00A677FC"/>
    <w:rsid w:val="00A678BC"/>
    <w:rsid w:val="00A67BC9"/>
    <w:rsid w:val="00A703EA"/>
    <w:rsid w:val="00A723F7"/>
    <w:rsid w:val="00A745BF"/>
    <w:rsid w:val="00A7474F"/>
    <w:rsid w:val="00A74F92"/>
    <w:rsid w:val="00A7585E"/>
    <w:rsid w:val="00A75BFC"/>
    <w:rsid w:val="00A75DBC"/>
    <w:rsid w:val="00A75FE0"/>
    <w:rsid w:val="00A76668"/>
    <w:rsid w:val="00A81CC2"/>
    <w:rsid w:val="00A82B3C"/>
    <w:rsid w:val="00A848F6"/>
    <w:rsid w:val="00A86DA7"/>
    <w:rsid w:val="00A86F66"/>
    <w:rsid w:val="00A90124"/>
    <w:rsid w:val="00A90BCD"/>
    <w:rsid w:val="00A95059"/>
    <w:rsid w:val="00A95CF7"/>
    <w:rsid w:val="00A9791B"/>
    <w:rsid w:val="00AA07E2"/>
    <w:rsid w:val="00AA135F"/>
    <w:rsid w:val="00AA328F"/>
    <w:rsid w:val="00AA35B4"/>
    <w:rsid w:val="00AA3995"/>
    <w:rsid w:val="00AA7901"/>
    <w:rsid w:val="00AA7A23"/>
    <w:rsid w:val="00AB0C3D"/>
    <w:rsid w:val="00AB2A1F"/>
    <w:rsid w:val="00AB2FEB"/>
    <w:rsid w:val="00AB380B"/>
    <w:rsid w:val="00AB433B"/>
    <w:rsid w:val="00AB4BCB"/>
    <w:rsid w:val="00AB551F"/>
    <w:rsid w:val="00AB7CE1"/>
    <w:rsid w:val="00AC0B8D"/>
    <w:rsid w:val="00AC0C69"/>
    <w:rsid w:val="00AC3BF5"/>
    <w:rsid w:val="00AC51C4"/>
    <w:rsid w:val="00AC5356"/>
    <w:rsid w:val="00AD07E9"/>
    <w:rsid w:val="00AD4A55"/>
    <w:rsid w:val="00AD4AEA"/>
    <w:rsid w:val="00AD528C"/>
    <w:rsid w:val="00AD63DB"/>
    <w:rsid w:val="00AE0DCA"/>
    <w:rsid w:val="00AE2E33"/>
    <w:rsid w:val="00AE415C"/>
    <w:rsid w:val="00AE6F3D"/>
    <w:rsid w:val="00AE7341"/>
    <w:rsid w:val="00AE7C17"/>
    <w:rsid w:val="00AF194D"/>
    <w:rsid w:val="00AF1DE6"/>
    <w:rsid w:val="00AF3EC1"/>
    <w:rsid w:val="00AF44AF"/>
    <w:rsid w:val="00AF46C2"/>
    <w:rsid w:val="00AF53F0"/>
    <w:rsid w:val="00AF5621"/>
    <w:rsid w:val="00B021EF"/>
    <w:rsid w:val="00B04B2A"/>
    <w:rsid w:val="00B06149"/>
    <w:rsid w:val="00B0671E"/>
    <w:rsid w:val="00B115B5"/>
    <w:rsid w:val="00B115D0"/>
    <w:rsid w:val="00B13048"/>
    <w:rsid w:val="00B13C3A"/>
    <w:rsid w:val="00B13F29"/>
    <w:rsid w:val="00B15208"/>
    <w:rsid w:val="00B15B83"/>
    <w:rsid w:val="00B16A64"/>
    <w:rsid w:val="00B223EB"/>
    <w:rsid w:val="00B23B86"/>
    <w:rsid w:val="00B23F8F"/>
    <w:rsid w:val="00B2599B"/>
    <w:rsid w:val="00B25A49"/>
    <w:rsid w:val="00B27BFD"/>
    <w:rsid w:val="00B31260"/>
    <w:rsid w:val="00B3195A"/>
    <w:rsid w:val="00B31994"/>
    <w:rsid w:val="00B319F8"/>
    <w:rsid w:val="00B336CA"/>
    <w:rsid w:val="00B33C07"/>
    <w:rsid w:val="00B340B6"/>
    <w:rsid w:val="00B3546D"/>
    <w:rsid w:val="00B3574E"/>
    <w:rsid w:val="00B3622E"/>
    <w:rsid w:val="00B36429"/>
    <w:rsid w:val="00B404FB"/>
    <w:rsid w:val="00B40722"/>
    <w:rsid w:val="00B40890"/>
    <w:rsid w:val="00B41CC9"/>
    <w:rsid w:val="00B43465"/>
    <w:rsid w:val="00B43976"/>
    <w:rsid w:val="00B43D3B"/>
    <w:rsid w:val="00B440B2"/>
    <w:rsid w:val="00B44327"/>
    <w:rsid w:val="00B46AD1"/>
    <w:rsid w:val="00B46B4C"/>
    <w:rsid w:val="00B509FB"/>
    <w:rsid w:val="00B50FF5"/>
    <w:rsid w:val="00B516DB"/>
    <w:rsid w:val="00B52A17"/>
    <w:rsid w:val="00B52F1B"/>
    <w:rsid w:val="00B5458B"/>
    <w:rsid w:val="00B5520A"/>
    <w:rsid w:val="00B55987"/>
    <w:rsid w:val="00B56B24"/>
    <w:rsid w:val="00B56FBC"/>
    <w:rsid w:val="00B57EE4"/>
    <w:rsid w:val="00B60E3F"/>
    <w:rsid w:val="00B62302"/>
    <w:rsid w:val="00B63149"/>
    <w:rsid w:val="00B632A3"/>
    <w:rsid w:val="00B64CA7"/>
    <w:rsid w:val="00B6722B"/>
    <w:rsid w:val="00B70FC8"/>
    <w:rsid w:val="00B712D0"/>
    <w:rsid w:val="00B71713"/>
    <w:rsid w:val="00B717AB"/>
    <w:rsid w:val="00B722C7"/>
    <w:rsid w:val="00B756A9"/>
    <w:rsid w:val="00B75FAB"/>
    <w:rsid w:val="00B76575"/>
    <w:rsid w:val="00B766E0"/>
    <w:rsid w:val="00B76F4B"/>
    <w:rsid w:val="00B81520"/>
    <w:rsid w:val="00B8184B"/>
    <w:rsid w:val="00B818EB"/>
    <w:rsid w:val="00B84473"/>
    <w:rsid w:val="00B8465B"/>
    <w:rsid w:val="00B84FF5"/>
    <w:rsid w:val="00B8503D"/>
    <w:rsid w:val="00B87D57"/>
    <w:rsid w:val="00B923BE"/>
    <w:rsid w:val="00B9292C"/>
    <w:rsid w:val="00B937BE"/>
    <w:rsid w:val="00B93D57"/>
    <w:rsid w:val="00B9584E"/>
    <w:rsid w:val="00B95B41"/>
    <w:rsid w:val="00B96CE1"/>
    <w:rsid w:val="00BA0CE5"/>
    <w:rsid w:val="00BA1E77"/>
    <w:rsid w:val="00BA1E7C"/>
    <w:rsid w:val="00BA2CD0"/>
    <w:rsid w:val="00BA3412"/>
    <w:rsid w:val="00BA525D"/>
    <w:rsid w:val="00BA657E"/>
    <w:rsid w:val="00BA6835"/>
    <w:rsid w:val="00BB0B79"/>
    <w:rsid w:val="00BB3A3A"/>
    <w:rsid w:val="00BB4913"/>
    <w:rsid w:val="00BB5AD0"/>
    <w:rsid w:val="00BB61CF"/>
    <w:rsid w:val="00BB68CD"/>
    <w:rsid w:val="00BB7397"/>
    <w:rsid w:val="00BB788F"/>
    <w:rsid w:val="00BC0222"/>
    <w:rsid w:val="00BC0F3D"/>
    <w:rsid w:val="00BC2B59"/>
    <w:rsid w:val="00BC3F5B"/>
    <w:rsid w:val="00BC4231"/>
    <w:rsid w:val="00BC458E"/>
    <w:rsid w:val="00BC528F"/>
    <w:rsid w:val="00BC55EF"/>
    <w:rsid w:val="00BC5649"/>
    <w:rsid w:val="00BC7204"/>
    <w:rsid w:val="00BC7B08"/>
    <w:rsid w:val="00BD1A70"/>
    <w:rsid w:val="00BD3728"/>
    <w:rsid w:val="00BD37A4"/>
    <w:rsid w:val="00BD3F80"/>
    <w:rsid w:val="00BD6EEE"/>
    <w:rsid w:val="00BE05D8"/>
    <w:rsid w:val="00BE09F3"/>
    <w:rsid w:val="00BE0C68"/>
    <w:rsid w:val="00BE320E"/>
    <w:rsid w:val="00BE3636"/>
    <w:rsid w:val="00BE4343"/>
    <w:rsid w:val="00BE44FA"/>
    <w:rsid w:val="00BE4BE4"/>
    <w:rsid w:val="00BE50E6"/>
    <w:rsid w:val="00BE517A"/>
    <w:rsid w:val="00BE70F1"/>
    <w:rsid w:val="00BF1C44"/>
    <w:rsid w:val="00BF2977"/>
    <w:rsid w:val="00BF309E"/>
    <w:rsid w:val="00BF3978"/>
    <w:rsid w:val="00BF3BC6"/>
    <w:rsid w:val="00BF41FA"/>
    <w:rsid w:val="00BF5CC3"/>
    <w:rsid w:val="00BF6E9C"/>
    <w:rsid w:val="00BF74B8"/>
    <w:rsid w:val="00C00BB6"/>
    <w:rsid w:val="00C01058"/>
    <w:rsid w:val="00C0149B"/>
    <w:rsid w:val="00C01D30"/>
    <w:rsid w:val="00C02558"/>
    <w:rsid w:val="00C026BF"/>
    <w:rsid w:val="00C04C2C"/>
    <w:rsid w:val="00C05976"/>
    <w:rsid w:val="00C06827"/>
    <w:rsid w:val="00C0771C"/>
    <w:rsid w:val="00C11782"/>
    <w:rsid w:val="00C14961"/>
    <w:rsid w:val="00C1604E"/>
    <w:rsid w:val="00C17B13"/>
    <w:rsid w:val="00C20ACF"/>
    <w:rsid w:val="00C21D87"/>
    <w:rsid w:val="00C23677"/>
    <w:rsid w:val="00C24972"/>
    <w:rsid w:val="00C24B96"/>
    <w:rsid w:val="00C24ECD"/>
    <w:rsid w:val="00C25CBF"/>
    <w:rsid w:val="00C26649"/>
    <w:rsid w:val="00C267DD"/>
    <w:rsid w:val="00C30337"/>
    <w:rsid w:val="00C304A8"/>
    <w:rsid w:val="00C3055C"/>
    <w:rsid w:val="00C3125C"/>
    <w:rsid w:val="00C31A86"/>
    <w:rsid w:val="00C3226E"/>
    <w:rsid w:val="00C33018"/>
    <w:rsid w:val="00C3434D"/>
    <w:rsid w:val="00C36450"/>
    <w:rsid w:val="00C371C7"/>
    <w:rsid w:val="00C37452"/>
    <w:rsid w:val="00C37760"/>
    <w:rsid w:val="00C40835"/>
    <w:rsid w:val="00C40D44"/>
    <w:rsid w:val="00C41B42"/>
    <w:rsid w:val="00C439BF"/>
    <w:rsid w:val="00C43A19"/>
    <w:rsid w:val="00C4486F"/>
    <w:rsid w:val="00C45455"/>
    <w:rsid w:val="00C45516"/>
    <w:rsid w:val="00C45CF2"/>
    <w:rsid w:val="00C461E6"/>
    <w:rsid w:val="00C5021D"/>
    <w:rsid w:val="00C52487"/>
    <w:rsid w:val="00C53E8C"/>
    <w:rsid w:val="00C541AC"/>
    <w:rsid w:val="00C54B68"/>
    <w:rsid w:val="00C553BE"/>
    <w:rsid w:val="00C557BA"/>
    <w:rsid w:val="00C57472"/>
    <w:rsid w:val="00C5750D"/>
    <w:rsid w:val="00C5785D"/>
    <w:rsid w:val="00C61317"/>
    <w:rsid w:val="00C62EE0"/>
    <w:rsid w:val="00C63A40"/>
    <w:rsid w:val="00C65542"/>
    <w:rsid w:val="00C6663F"/>
    <w:rsid w:val="00C66996"/>
    <w:rsid w:val="00C670BC"/>
    <w:rsid w:val="00C67598"/>
    <w:rsid w:val="00C71E4B"/>
    <w:rsid w:val="00C722E4"/>
    <w:rsid w:val="00C74370"/>
    <w:rsid w:val="00C75D52"/>
    <w:rsid w:val="00C772C8"/>
    <w:rsid w:val="00C77E43"/>
    <w:rsid w:val="00C80C08"/>
    <w:rsid w:val="00C826AF"/>
    <w:rsid w:val="00C826C9"/>
    <w:rsid w:val="00C82D8E"/>
    <w:rsid w:val="00C83002"/>
    <w:rsid w:val="00C83D4C"/>
    <w:rsid w:val="00C83E55"/>
    <w:rsid w:val="00C85131"/>
    <w:rsid w:val="00C861C1"/>
    <w:rsid w:val="00C91DF4"/>
    <w:rsid w:val="00C922F6"/>
    <w:rsid w:val="00C9396D"/>
    <w:rsid w:val="00C949E1"/>
    <w:rsid w:val="00C94C21"/>
    <w:rsid w:val="00C95269"/>
    <w:rsid w:val="00C967E5"/>
    <w:rsid w:val="00C97483"/>
    <w:rsid w:val="00C97E05"/>
    <w:rsid w:val="00CA0795"/>
    <w:rsid w:val="00CA13C3"/>
    <w:rsid w:val="00CA19D7"/>
    <w:rsid w:val="00CA1A66"/>
    <w:rsid w:val="00CA207A"/>
    <w:rsid w:val="00CA2C99"/>
    <w:rsid w:val="00CA2CE9"/>
    <w:rsid w:val="00CA3654"/>
    <w:rsid w:val="00CA3B03"/>
    <w:rsid w:val="00CA44AB"/>
    <w:rsid w:val="00CA6069"/>
    <w:rsid w:val="00CB0270"/>
    <w:rsid w:val="00CB2573"/>
    <w:rsid w:val="00CB4A5A"/>
    <w:rsid w:val="00CB6196"/>
    <w:rsid w:val="00CB6BCB"/>
    <w:rsid w:val="00CB7251"/>
    <w:rsid w:val="00CC14E4"/>
    <w:rsid w:val="00CC16AA"/>
    <w:rsid w:val="00CC2883"/>
    <w:rsid w:val="00CC353E"/>
    <w:rsid w:val="00CC3C46"/>
    <w:rsid w:val="00CC4507"/>
    <w:rsid w:val="00CC6303"/>
    <w:rsid w:val="00CC74E5"/>
    <w:rsid w:val="00CC7955"/>
    <w:rsid w:val="00CD063B"/>
    <w:rsid w:val="00CD1B39"/>
    <w:rsid w:val="00CD1E1F"/>
    <w:rsid w:val="00CD2DAE"/>
    <w:rsid w:val="00CD31C3"/>
    <w:rsid w:val="00CD424F"/>
    <w:rsid w:val="00CD48F4"/>
    <w:rsid w:val="00CD5770"/>
    <w:rsid w:val="00CD6D5A"/>
    <w:rsid w:val="00CD7164"/>
    <w:rsid w:val="00CD740C"/>
    <w:rsid w:val="00CE00A3"/>
    <w:rsid w:val="00CE0325"/>
    <w:rsid w:val="00CE0D9D"/>
    <w:rsid w:val="00CE14D4"/>
    <w:rsid w:val="00CE2B42"/>
    <w:rsid w:val="00CE3CF6"/>
    <w:rsid w:val="00CE4034"/>
    <w:rsid w:val="00CE5640"/>
    <w:rsid w:val="00CE7987"/>
    <w:rsid w:val="00CF2E90"/>
    <w:rsid w:val="00CF3A7A"/>
    <w:rsid w:val="00CF40A7"/>
    <w:rsid w:val="00CF47F3"/>
    <w:rsid w:val="00CF506B"/>
    <w:rsid w:val="00CF5EE5"/>
    <w:rsid w:val="00CF7299"/>
    <w:rsid w:val="00CF7434"/>
    <w:rsid w:val="00D000F0"/>
    <w:rsid w:val="00D01272"/>
    <w:rsid w:val="00D0263B"/>
    <w:rsid w:val="00D0309B"/>
    <w:rsid w:val="00D0369B"/>
    <w:rsid w:val="00D03D10"/>
    <w:rsid w:val="00D041AD"/>
    <w:rsid w:val="00D04247"/>
    <w:rsid w:val="00D042B6"/>
    <w:rsid w:val="00D050DD"/>
    <w:rsid w:val="00D05230"/>
    <w:rsid w:val="00D057C9"/>
    <w:rsid w:val="00D05E51"/>
    <w:rsid w:val="00D0659C"/>
    <w:rsid w:val="00D078A1"/>
    <w:rsid w:val="00D11DB5"/>
    <w:rsid w:val="00D121E5"/>
    <w:rsid w:val="00D1273D"/>
    <w:rsid w:val="00D1442D"/>
    <w:rsid w:val="00D14666"/>
    <w:rsid w:val="00D147EB"/>
    <w:rsid w:val="00D156E5"/>
    <w:rsid w:val="00D15DDC"/>
    <w:rsid w:val="00D16D57"/>
    <w:rsid w:val="00D177BC"/>
    <w:rsid w:val="00D17B99"/>
    <w:rsid w:val="00D2060A"/>
    <w:rsid w:val="00D20CD7"/>
    <w:rsid w:val="00D23A77"/>
    <w:rsid w:val="00D24255"/>
    <w:rsid w:val="00D2440C"/>
    <w:rsid w:val="00D2651F"/>
    <w:rsid w:val="00D27A64"/>
    <w:rsid w:val="00D30468"/>
    <w:rsid w:val="00D306F3"/>
    <w:rsid w:val="00D32B01"/>
    <w:rsid w:val="00D33BEB"/>
    <w:rsid w:val="00D35632"/>
    <w:rsid w:val="00D359FC"/>
    <w:rsid w:val="00D41AA3"/>
    <w:rsid w:val="00D4246D"/>
    <w:rsid w:val="00D4298D"/>
    <w:rsid w:val="00D4399A"/>
    <w:rsid w:val="00D43EFB"/>
    <w:rsid w:val="00D45193"/>
    <w:rsid w:val="00D45E3F"/>
    <w:rsid w:val="00D46BBB"/>
    <w:rsid w:val="00D473C0"/>
    <w:rsid w:val="00D477B5"/>
    <w:rsid w:val="00D50E4C"/>
    <w:rsid w:val="00D50E74"/>
    <w:rsid w:val="00D51B1F"/>
    <w:rsid w:val="00D55B8D"/>
    <w:rsid w:val="00D55BA3"/>
    <w:rsid w:val="00D606F0"/>
    <w:rsid w:val="00D60B19"/>
    <w:rsid w:val="00D61040"/>
    <w:rsid w:val="00D62C18"/>
    <w:rsid w:val="00D632B5"/>
    <w:rsid w:val="00D65492"/>
    <w:rsid w:val="00D664F3"/>
    <w:rsid w:val="00D66F97"/>
    <w:rsid w:val="00D704F7"/>
    <w:rsid w:val="00D70E1B"/>
    <w:rsid w:val="00D72EC8"/>
    <w:rsid w:val="00D75260"/>
    <w:rsid w:val="00D75358"/>
    <w:rsid w:val="00D7651B"/>
    <w:rsid w:val="00D80C2E"/>
    <w:rsid w:val="00D8102D"/>
    <w:rsid w:val="00D81390"/>
    <w:rsid w:val="00D82E71"/>
    <w:rsid w:val="00D83E2F"/>
    <w:rsid w:val="00D84449"/>
    <w:rsid w:val="00D848CA"/>
    <w:rsid w:val="00D85DCE"/>
    <w:rsid w:val="00D86C78"/>
    <w:rsid w:val="00D8764F"/>
    <w:rsid w:val="00D87BBB"/>
    <w:rsid w:val="00D912B1"/>
    <w:rsid w:val="00D941B4"/>
    <w:rsid w:val="00D944A4"/>
    <w:rsid w:val="00D97E59"/>
    <w:rsid w:val="00DA02F4"/>
    <w:rsid w:val="00DA2F3A"/>
    <w:rsid w:val="00DA5DF8"/>
    <w:rsid w:val="00DA62C6"/>
    <w:rsid w:val="00DA6F59"/>
    <w:rsid w:val="00DB01CE"/>
    <w:rsid w:val="00DB1AAD"/>
    <w:rsid w:val="00DB2340"/>
    <w:rsid w:val="00DB2ABA"/>
    <w:rsid w:val="00DB44B0"/>
    <w:rsid w:val="00DB4848"/>
    <w:rsid w:val="00DB4E32"/>
    <w:rsid w:val="00DB574B"/>
    <w:rsid w:val="00DB63B9"/>
    <w:rsid w:val="00DB7BC2"/>
    <w:rsid w:val="00DB7E55"/>
    <w:rsid w:val="00DC0011"/>
    <w:rsid w:val="00DC14D7"/>
    <w:rsid w:val="00DD02AB"/>
    <w:rsid w:val="00DD2256"/>
    <w:rsid w:val="00DD2393"/>
    <w:rsid w:val="00DD4980"/>
    <w:rsid w:val="00DD4A81"/>
    <w:rsid w:val="00DD4DE6"/>
    <w:rsid w:val="00DD60E5"/>
    <w:rsid w:val="00DD7CDF"/>
    <w:rsid w:val="00DE0E77"/>
    <w:rsid w:val="00DE27B2"/>
    <w:rsid w:val="00DE3623"/>
    <w:rsid w:val="00DE42A2"/>
    <w:rsid w:val="00DE4791"/>
    <w:rsid w:val="00DE587C"/>
    <w:rsid w:val="00DE6093"/>
    <w:rsid w:val="00DE695E"/>
    <w:rsid w:val="00DE74CA"/>
    <w:rsid w:val="00DF0395"/>
    <w:rsid w:val="00DF2479"/>
    <w:rsid w:val="00DF254F"/>
    <w:rsid w:val="00DF4002"/>
    <w:rsid w:val="00DF5418"/>
    <w:rsid w:val="00DF5588"/>
    <w:rsid w:val="00DF5B54"/>
    <w:rsid w:val="00DF5BFF"/>
    <w:rsid w:val="00DF6A86"/>
    <w:rsid w:val="00DF6C15"/>
    <w:rsid w:val="00E00A8F"/>
    <w:rsid w:val="00E00B41"/>
    <w:rsid w:val="00E034A7"/>
    <w:rsid w:val="00E03820"/>
    <w:rsid w:val="00E04AF5"/>
    <w:rsid w:val="00E05863"/>
    <w:rsid w:val="00E0672A"/>
    <w:rsid w:val="00E06749"/>
    <w:rsid w:val="00E068C3"/>
    <w:rsid w:val="00E102C2"/>
    <w:rsid w:val="00E1053D"/>
    <w:rsid w:val="00E10794"/>
    <w:rsid w:val="00E12271"/>
    <w:rsid w:val="00E129A6"/>
    <w:rsid w:val="00E12FB6"/>
    <w:rsid w:val="00E12FC6"/>
    <w:rsid w:val="00E13AE0"/>
    <w:rsid w:val="00E13BBE"/>
    <w:rsid w:val="00E15B9B"/>
    <w:rsid w:val="00E16425"/>
    <w:rsid w:val="00E165C9"/>
    <w:rsid w:val="00E177DE"/>
    <w:rsid w:val="00E207AF"/>
    <w:rsid w:val="00E21BF8"/>
    <w:rsid w:val="00E2337A"/>
    <w:rsid w:val="00E2422B"/>
    <w:rsid w:val="00E244F6"/>
    <w:rsid w:val="00E24823"/>
    <w:rsid w:val="00E24C80"/>
    <w:rsid w:val="00E27A85"/>
    <w:rsid w:val="00E27BA5"/>
    <w:rsid w:val="00E30910"/>
    <w:rsid w:val="00E32A46"/>
    <w:rsid w:val="00E32DB2"/>
    <w:rsid w:val="00E3320C"/>
    <w:rsid w:val="00E3474A"/>
    <w:rsid w:val="00E45E2A"/>
    <w:rsid w:val="00E461F1"/>
    <w:rsid w:val="00E46C46"/>
    <w:rsid w:val="00E472C5"/>
    <w:rsid w:val="00E5049F"/>
    <w:rsid w:val="00E532A2"/>
    <w:rsid w:val="00E535EE"/>
    <w:rsid w:val="00E553AD"/>
    <w:rsid w:val="00E564A1"/>
    <w:rsid w:val="00E57F0C"/>
    <w:rsid w:val="00E60C9D"/>
    <w:rsid w:val="00E60DB9"/>
    <w:rsid w:val="00E63CC0"/>
    <w:rsid w:val="00E66A0C"/>
    <w:rsid w:val="00E675BE"/>
    <w:rsid w:val="00E7042B"/>
    <w:rsid w:val="00E71719"/>
    <w:rsid w:val="00E72F02"/>
    <w:rsid w:val="00E738C0"/>
    <w:rsid w:val="00E73B29"/>
    <w:rsid w:val="00E76692"/>
    <w:rsid w:val="00E77306"/>
    <w:rsid w:val="00E804F9"/>
    <w:rsid w:val="00E80B62"/>
    <w:rsid w:val="00E80E9B"/>
    <w:rsid w:val="00E81442"/>
    <w:rsid w:val="00E827D9"/>
    <w:rsid w:val="00E829A3"/>
    <w:rsid w:val="00E84264"/>
    <w:rsid w:val="00E84508"/>
    <w:rsid w:val="00E857FC"/>
    <w:rsid w:val="00E86CDC"/>
    <w:rsid w:val="00E87D80"/>
    <w:rsid w:val="00E931DC"/>
    <w:rsid w:val="00E97C3D"/>
    <w:rsid w:val="00EA0248"/>
    <w:rsid w:val="00EA12B1"/>
    <w:rsid w:val="00EA2165"/>
    <w:rsid w:val="00EA34CE"/>
    <w:rsid w:val="00EA4808"/>
    <w:rsid w:val="00EA5416"/>
    <w:rsid w:val="00EB1AC1"/>
    <w:rsid w:val="00EB4803"/>
    <w:rsid w:val="00EB564F"/>
    <w:rsid w:val="00EB5D54"/>
    <w:rsid w:val="00EB6BB2"/>
    <w:rsid w:val="00EC01F6"/>
    <w:rsid w:val="00EC19AA"/>
    <w:rsid w:val="00EC21C0"/>
    <w:rsid w:val="00EC2AEC"/>
    <w:rsid w:val="00EC3C23"/>
    <w:rsid w:val="00EC3D25"/>
    <w:rsid w:val="00EC3F34"/>
    <w:rsid w:val="00EC466F"/>
    <w:rsid w:val="00EC5193"/>
    <w:rsid w:val="00EC6394"/>
    <w:rsid w:val="00EC6D23"/>
    <w:rsid w:val="00EC7219"/>
    <w:rsid w:val="00ED00BD"/>
    <w:rsid w:val="00ED1F3B"/>
    <w:rsid w:val="00ED2CD1"/>
    <w:rsid w:val="00ED3F50"/>
    <w:rsid w:val="00ED42E2"/>
    <w:rsid w:val="00ED5237"/>
    <w:rsid w:val="00ED6914"/>
    <w:rsid w:val="00ED7219"/>
    <w:rsid w:val="00EE1BA5"/>
    <w:rsid w:val="00EE1BE7"/>
    <w:rsid w:val="00EE4281"/>
    <w:rsid w:val="00EE43E2"/>
    <w:rsid w:val="00EE4DD8"/>
    <w:rsid w:val="00EE4E95"/>
    <w:rsid w:val="00EE5E9C"/>
    <w:rsid w:val="00EE662E"/>
    <w:rsid w:val="00EE6D83"/>
    <w:rsid w:val="00EF0F8D"/>
    <w:rsid w:val="00EF12DF"/>
    <w:rsid w:val="00EF1D5A"/>
    <w:rsid w:val="00EF2BB1"/>
    <w:rsid w:val="00EF3E07"/>
    <w:rsid w:val="00EF5D8A"/>
    <w:rsid w:val="00EF66BB"/>
    <w:rsid w:val="00F000FB"/>
    <w:rsid w:val="00F0258D"/>
    <w:rsid w:val="00F05A22"/>
    <w:rsid w:val="00F05C68"/>
    <w:rsid w:val="00F0696F"/>
    <w:rsid w:val="00F105B7"/>
    <w:rsid w:val="00F10AA8"/>
    <w:rsid w:val="00F11797"/>
    <w:rsid w:val="00F117EA"/>
    <w:rsid w:val="00F120F0"/>
    <w:rsid w:val="00F12899"/>
    <w:rsid w:val="00F13E3B"/>
    <w:rsid w:val="00F16864"/>
    <w:rsid w:val="00F17C34"/>
    <w:rsid w:val="00F21799"/>
    <w:rsid w:val="00F21EB4"/>
    <w:rsid w:val="00F22C61"/>
    <w:rsid w:val="00F24DDE"/>
    <w:rsid w:val="00F25F18"/>
    <w:rsid w:val="00F26FA6"/>
    <w:rsid w:val="00F3068A"/>
    <w:rsid w:val="00F30BA4"/>
    <w:rsid w:val="00F31326"/>
    <w:rsid w:val="00F33964"/>
    <w:rsid w:val="00F33D25"/>
    <w:rsid w:val="00F362C5"/>
    <w:rsid w:val="00F36C7D"/>
    <w:rsid w:val="00F40558"/>
    <w:rsid w:val="00F446AC"/>
    <w:rsid w:val="00F459FA"/>
    <w:rsid w:val="00F45C55"/>
    <w:rsid w:val="00F46706"/>
    <w:rsid w:val="00F4712B"/>
    <w:rsid w:val="00F50B42"/>
    <w:rsid w:val="00F519C0"/>
    <w:rsid w:val="00F563E0"/>
    <w:rsid w:val="00F57002"/>
    <w:rsid w:val="00F62B10"/>
    <w:rsid w:val="00F62D9F"/>
    <w:rsid w:val="00F6306B"/>
    <w:rsid w:val="00F639C8"/>
    <w:rsid w:val="00F65AD8"/>
    <w:rsid w:val="00F66A05"/>
    <w:rsid w:val="00F67057"/>
    <w:rsid w:val="00F70B7F"/>
    <w:rsid w:val="00F720AE"/>
    <w:rsid w:val="00F72C4D"/>
    <w:rsid w:val="00F738E9"/>
    <w:rsid w:val="00F73E6B"/>
    <w:rsid w:val="00F7428B"/>
    <w:rsid w:val="00F74E49"/>
    <w:rsid w:val="00F75164"/>
    <w:rsid w:val="00F758FB"/>
    <w:rsid w:val="00F76564"/>
    <w:rsid w:val="00F766CD"/>
    <w:rsid w:val="00F76BB3"/>
    <w:rsid w:val="00F77604"/>
    <w:rsid w:val="00F810C5"/>
    <w:rsid w:val="00F821A9"/>
    <w:rsid w:val="00F82EF7"/>
    <w:rsid w:val="00F83C8A"/>
    <w:rsid w:val="00F84DDB"/>
    <w:rsid w:val="00F8579C"/>
    <w:rsid w:val="00F85C3A"/>
    <w:rsid w:val="00F85EFE"/>
    <w:rsid w:val="00F87A21"/>
    <w:rsid w:val="00F87BFB"/>
    <w:rsid w:val="00F9044E"/>
    <w:rsid w:val="00F90A99"/>
    <w:rsid w:val="00F924F5"/>
    <w:rsid w:val="00F92599"/>
    <w:rsid w:val="00F92D1C"/>
    <w:rsid w:val="00F93ADD"/>
    <w:rsid w:val="00F94666"/>
    <w:rsid w:val="00F96301"/>
    <w:rsid w:val="00F966B9"/>
    <w:rsid w:val="00F96818"/>
    <w:rsid w:val="00F96978"/>
    <w:rsid w:val="00F9787F"/>
    <w:rsid w:val="00FA07D5"/>
    <w:rsid w:val="00FA153E"/>
    <w:rsid w:val="00FA15E0"/>
    <w:rsid w:val="00FA23E0"/>
    <w:rsid w:val="00FA3EB8"/>
    <w:rsid w:val="00FA52EA"/>
    <w:rsid w:val="00FA6A73"/>
    <w:rsid w:val="00FA6EF1"/>
    <w:rsid w:val="00FA7414"/>
    <w:rsid w:val="00FB0C41"/>
    <w:rsid w:val="00FB14D0"/>
    <w:rsid w:val="00FB2263"/>
    <w:rsid w:val="00FB5271"/>
    <w:rsid w:val="00FB61D2"/>
    <w:rsid w:val="00FB6BE5"/>
    <w:rsid w:val="00FB6D84"/>
    <w:rsid w:val="00FC23EB"/>
    <w:rsid w:val="00FC430C"/>
    <w:rsid w:val="00FC5807"/>
    <w:rsid w:val="00FC62CC"/>
    <w:rsid w:val="00FD036F"/>
    <w:rsid w:val="00FD056E"/>
    <w:rsid w:val="00FD080B"/>
    <w:rsid w:val="00FD208F"/>
    <w:rsid w:val="00FD243E"/>
    <w:rsid w:val="00FD40D7"/>
    <w:rsid w:val="00FD495A"/>
    <w:rsid w:val="00FD5493"/>
    <w:rsid w:val="00FD5F2B"/>
    <w:rsid w:val="00FE0FCD"/>
    <w:rsid w:val="00FE2643"/>
    <w:rsid w:val="00FE27B3"/>
    <w:rsid w:val="00FE3954"/>
    <w:rsid w:val="00FE52ED"/>
    <w:rsid w:val="00FF19C9"/>
    <w:rsid w:val="00FF29AD"/>
    <w:rsid w:val="00FF3B3C"/>
    <w:rsid w:val="00FF3E8A"/>
    <w:rsid w:val="00FF471C"/>
    <w:rsid w:val="00FF6C9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uiPriority w:val="99"/>
    <w:semiHidden/>
    <w:rsid w:val="0059541B"/>
    <w:rPr>
      <w:rFonts w:cs="Times New Roman"/>
      <w:vertAlign w:val="superscript"/>
    </w:rPr>
  </w:style>
  <w:style w:type="character" w:styleId="CommentReference">
    <w:name w:val="annotation reference"/>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basedOn w:val="Normal"/>
    <w:uiPriority w:val="34"/>
    <w:qFormat/>
    <w:rsid w:val="00CB2573"/>
    <w:pPr>
      <w:ind w:left="720"/>
      <w:contextualSpacing/>
    </w:pPr>
  </w:style>
  <w:style w:type="paragraph" w:styleId="NoSpacing">
    <w:name w:val="No Spacing"/>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s>
</file>

<file path=word/webSettings.xml><?xml version="1.0" encoding="utf-8"?>
<w:webSettings xmlns:r="http://schemas.openxmlformats.org/officeDocument/2006/relationships" xmlns:w="http://schemas.openxmlformats.org/wordprocessingml/2006/main">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E8351-6CCC-48EE-AEBC-0369C393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2375</Words>
  <Characters>16632</Characters>
  <Application>Microsoft Office Word</Application>
  <DocSecurity>0</DocSecurity>
  <Lines>573</Lines>
  <Paragraphs>250</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2009.gada 13.janvāra noteikumos Nr.44 „Noteikumi par darbības programmas „Infrastruktūra un pakalpojumi” papildinājuma 3.1.5.3.1.apakšaktivitāti „Stacionārās veselības aprūpes attīstība””” </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18757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13.janvāra noteikumos Nr.44 „Noteikumi par darbības programmas „Infrastruktūra un pakalpojumi” papildinājuma 3.1.5.3.1.apakšaktivitāti „Stacionārās veselības aprūpes attīstība””” sākotnējās ietekmes novērtējuma ziņojums (anotācija)</dc:title>
  <dc:subject>Anotācija</dc:subject>
  <dc:creator>Jānis Zalcmanis</dc:creator>
  <dc:description>Jānis Zalcmanis 
e-pasts: Janis.Zalcmanis@vm.gov.lv
Tālr.: 67876013</dc:description>
  <cp:lastModifiedBy>atomsone</cp:lastModifiedBy>
  <cp:revision>11</cp:revision>
  <cp:lastPrinted>2014-06-20T08:39:00Z</cp:lastPrinted>
  <dcterms:created xsi:type="dcterms:W3CDTF">2014-06-02T09:18:00Z</dcterms:created>
  <dcterms:modified xsi:type="dcterms:W3CDTF">2014-06-20T08:46:00Z</dcterms:modified>
</cp:coreProperties>
</file>