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232" w:rsidRPr="00A02232" w:rsidRDefault="00D12371" w:rsidP="00A02232">
      <w:pPr>
        <w:pStyle w:val="naislab"/>
        <w:spacing w:before="0" w:beforeAutospacing="0" w:after="0" w:afterAutospacing="0"/>
        <w:jc w:val="center"/>
        <w:rPr>
          <w:b/>
          <w:sz w:val="28"/>
          <w:lang w:val="lv-LV"/>
        </w:rPr>
      </w:pPr>
      <w:r w:rsidRPr="009E2709">
        <w:rPr>
          <w:b/>
          <w:sz w:val="28"/>
          <w:lang w:val="lv-LV"/>
        </w:rPr>
        <w:t>Ministru kabineta noteikumu projekta</w:t>
      </w:r>
      <w:r w:rsidR="00A02232">
        <w:rPr>
          <w:b/>
          <w:sz w:val="28"/>
          <w:lang w:val="lv-LV"/>
        </w:rPr>
        <w:t xml:space="preserve"> </w:t>
      </w:r>
      <w:r w:rsidR="002669C3" w:rsidRPr="009E2709">
        <w:rPr>
          <w:b/>
          <w:bCs/>
          <w:sz w:val="28"/>
          <w:lang w:val="lv-LV"/>
        </w:rPr>
        <w:t>„</w:t>
      </w:r>
      <w:bookmarkStart w:id="0" w:name="OLE_LINK7"/>
      <w:bookmarkStart w:id="1" w:name="OLE_LINK8"/>
      <w:proofErr w:type="spellStart"/>
      <w:r w:rsidR="00A02232" w:rsidRPr="00A02232">
        <w:rPr>
          <w:b/>
          <w:bCs/>
          <w:sz w:val="28"/>
          <w:lang w:val="lv-LV"/>
        </w:rPr>
        <w:t>Listeriozes</w:t>
      </w:r>
      <w:proofErr w:type="spellEnd"/>
      <w:r w:rsidR="00A02232" w:rsidRPr="00A02232">
        <w:rPr>
          <w:b/>
          <w:bCs/>
          <w:sz w:val="28"/>
          <w:lang w:val="lv-LV"/>
        </w:rPr>
        <w:t xml:space="preserve"> uzraudzības, kontroles </w:t>
      </w:r>
    </w:p>
    <w:p w:rsidR="00757B05" w:rsidRPr="00A02232" w:rsidRDefault="00A02232" w:rsidP="00A02232">
      <w:pPr>
        <w:jc w:val="center"/>
        <w:rPr>
          <w:b/>
          <w:bCs/>
          <w:sz w:val="28"/>
          <w:lang w:val="lv-LV"/>
        </w:rPr>
      </w:pPr>
      <w:r w:rsidRPr="00A02232">
        <w:rPr>
          <w:b/>
          <w:bCs/>
          <w:sz w:val="28"/>
          <w:lang w:val="lv-LV"/>
        </w:rPr>
        <w:t>un apkarošanas kārtība”</w:t>
      </w:r>
      <w:r w:rsidR="00AE7575">
        <w:rPr>
          <w:b/>
          <w:bCs/>
          <w:sz w:val="28"/>
          <w:lang w:val="lv-LV"/>
        </w:rPr>
        <w:t xml:space="preserve"> </w:t>
      </w:r>
      <w:r w:rsidR="00E61AD5" w:rsidRPr="009E2709">
        <w:rPr>
          <w:b/>
          <w:sz w:val="28"/>
          <w:lang w:val="lv-LV"/>
        </w:rPr>
        <w:t xml:space="preserve">sākotnējās </w:t>
      </w:r>
      <w:r w:rsidR="00757B05" w:rsidRPr="009E2709">
        <w:rPr>
          <w:b/>
          <w:sz w:val="28"/>
          <w:lang w:val="lv-LV"/>
        </w:rPr>
        <w:t>ietekmes novērtējuma ziņojums</w:t>
      </w:r>
      <w:r w:rsidR="00757B05" w:rsidRPr="009E2709">
        <w:rPr>
          <w:b/>
          <w:bCs/>
          <w:sz w:val="28"/>
          <w:lang w:val="lv-LV"/>
        </w:rPr>
        <w:t xml:space="preserve"> (anotācija)</w:t>
      </w:r>
    </w:p>
    <w:p w:rsidR="00757B05" w:rsidRPr="009E2709" w:rsidRDefault="00757B05" w:rsidP="005D73DE">
      <w:pPr>
        <w:pStyle w:val="naisf"/>
        <w:spacing w:before="0" w:beforeAutospacing="0" w:after="0" w:afterAutospacing="0"/>
        <w:rPr>
          <w:lang w:val="lv-LV"/>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453"/>
        <w:gridCol w:w="2532"/>
        <w:gridCol w:w="6078"/>
      </w:tblGrid>
      <w:tr w:rsidR="005D73DE" w:rsidRPr="00295020" w:rsidTr="00CA1F22">
        <w:tc>
          <w:tcPr>
            <w:tcW w:w="0" w:type="auto"/>
            <w:gridSpan w:val="3"/>
            <w:vAlign w:val="center"/>
          </w:tcPr>
          <w:bookmarkEnd w:id="0"/>
          <w:bookmarkEnd w:id="1"/>
          <w:p w:rsidR="00A162FE" w:rsidRPr="009E2709" w:rsidRDefault="00A162FE" w:rsidP="005D73DE">
            <w:pPr>
              <w:jc w:val="center"/>
              <w:rPr>
                <w:b/>
                <w:bCs/>
                <w:lang w:val="lv-LV" w:eastAsia="lv-LV"/>
              </w:rPr>
            </w:pPr>
            <w:r w:rsidRPr="009E2709">
              <w:rPr>
                <w:b/>
                <w:bCs/>
                <w:sz w:val="28"/>
                <w:lang w:val="lv-LV" w:eastAsia="lv-LV"/>
              </w:rPr>
              <w:t>I. Tiesību akta projekta izstrādes nepieciešamība</w:t>
            </w:r>
          </w:p>
        </w:tc>
      </w:tr>
      <w:tr w:rsidR="005D73DE" w:rsidRPr="009E2709" w:rsidTr="00C21DCA">
        <w:tc>
          <w:tcPr>
            <w:tcW w:w="250" w:type="pct"/>
          </w:tcPr>
          <w:p w:rsidR="00A162FE" w:rsidRPr="009E2709" w:rsidRDefault="00A162FE" w:rsidP="00C21DCA">
            <w:pPr>
              <w:jc w:val="center"/>
              <w:rPr>
                <w:lang w:val="lv-LV" w:eastAsia="lv-LV"/>
              </w:rPr>
            </w:pPr>
            <w:r w:rsidRPr="009E2709">
              <w:rPr>
                <w:lang w:val="lv-LV" w:eastAsia="lv-LV"/>
              </w:rPr>
              <w:t>1.</w:t>
            </w:r>
          </w:p>
        </w:tc>
        <w:tc>
          <w:tcPr>
            <w:tcW w:w="1397" w:type="pct"/>
          </w:tcPr>
          <w:p w:rsidR="00A162FE" w:rsidRPr="009E2709" w:rsidRDefault="00A162FE" w:rsidP="005D73DE">
            <w:pPr>
              <w:jc w:val="both"/>
              <w:rPr>
                <w:lang w:val="lv-LV" w:eastAsia="lv-LV"/>
              </w:rPr>
            </w:pPr>
            <w:r w:rsidRPr="009E2709">
              <w:rPr>
                <w:lang w:val="lv-LV" w:eastAsia="lv-LV"/>
              </w:rPr>
              <w:t>Pamatojums</w:t>
            </w:r>
          </w:p>
        </w:tc>
        <w:tc>
          <w:tcPr>
            <w:tcW w:w="3353" w:type="pct"/>
          </w:tcPr>
          <w:p w:rsidR="00A162FE" w:rsidRPr="009E2709" w:rsidRDefault="00AE7575" w:rsidP="005D73DE">
            <w:pPr>
              <w:jc w:val="both"/>
              <w:rPr>
                <w:lang w:val="lv-LV"/>
              </w:rPr>
            </w:pPr>
            <w:r w:rsidRPr="00AE7575">
              <w:rPr>
                <w:lang w:val="lv-LV"/>
              </w:rPr>
              <w:t xml:space="preserve">Veterinārmedicīnas likuma </w:t>
            </w:r>
            <w:proofErr w:type="gramStart"/>
            <w:r w:rsidRPr="00AE7575">
              <w:rPr>
                <w:lang w:val="lv-LV"/>
              </w:rPr>
              <w:t>25.panta</w:t>
            </w:r>
            <w:proofErr w:type="gramEnd"/>
            <w:r w:rsidRPr="00AE7575">
              <w:rPr>
                <w:lang w:val="lv-LV"/>
              </w:rPr>
              <w:t xml:space="preserve"> 4.punkts.</w:t>
            </w:r>
          </w:p>
        </w:tc>
      </w:tr>
      <w:tr w:rsidR="005D73DE" w:rsidRPr="00076158" w:rsidTr="00C21DCA">
        <w:tc>
          <w:tcPr>
            <w:tcW w:w="250" w:type="pct"/>
          </w:tcPr>
          <w:p w:rsidR="00A162FE" w:rsidRPr="009E2709" w:rsidRDefault="00A162FE" w:rsidP="00C21DCA">
            <w:pPr>
              <w:jc w:val="center"/>
              <w:rPr>
                <w:lang w:val="lv-LV" w:eastAsia="lv-LV"/>
              </w:rPr>
            </w:pPr>
            <w:r w:rsidRPr="009E2709">
              <w:rPr>
                <w:lang w:val="lv-LV" w:eastAsia="lv-LV"/>
              </w:rPr>
              <w:t>2.</w:t>
            </w:r>
          </w:p>
        </w:tc>
        <w:tc>
          <w:tcPr>
            <w:tcW w:w="1397" w:type="pct"/>
          </w:tcPr>
          <w:p w:rsidR="00A162FE" w:rsidRPr="009E2709" w:rsidRDefault="00A162FE" w:rsidP="005D73DE">
            <w:pPr>
              <w:jc w:val="both"/>
              <w:rPr>
                <w:lang w:val="lv-LV" w:eastAsia="lv-LV"/>
              </w:rPr>
            </w:pPr>
            <w:r w:rsidRPr="009E2709">
              <w:rPr>
                <w:lang w:val="lv-LV" w:eastAsia="lv-LV"/>
              </w:rPr>
              <w:t xml:space="preserve">Pašreizējā situācija </w:t>
            </w:r>
            <w:r w:rsidR="006A073E" w:rsidRPr="009E2709">
              <w:rPr>
                <w:lang w:val="lv-LV"/>
              </w:rPr>
              <w:t>un problēmas, kuru risināšanai tiesību akta projekts izstrādāts, tiesiskā regulējuma mērķis un būtība</w:t>
            </w:r>
          </w:p>
        </w:tc>
        <w:tc>
          <w:tcPr>
            <w:tcW w:w="3353" w:type="pct"/>
          </w:tcPr>
          <w:p w:rsidR="00AE7575" w:rsidRPr="00AE7575" w:rsidRDefault="00AE7575" w:rsidP="00AE7575">
            <w:pPr>
              <w:jc w:val="both"/>
              <w:rPr>
                <w:lang w:val="lv-LV"/>
              </w:rPr>
            </w:pPr>
            <w:r w:rsidRPr="00AE7575">
              <w:rPr>
                <w:lang w:val="lv-LV"/>
              </w:rPr>
              <w:t xml:space="preserve">Patlaban </w:t>
            </w:r>
            <w:proofErr w:type="spellStart"/>
            <w:r w:rsidRPr="00AE7575">
              <w:rPr>
                <w:lang w:val="lv-LV"/>
              </w:rPr>
              <w:t>listeriozes</w:t>
            </w:r>
            <w:proofErr w:type="spellEnd"/>
            <w:r w:rsidRPr="00AE7575">
              <w:rPr>
                <w:lang w:val="lv-LV"/>
              </w:rPr>
              <w:t xml:space="preserve"> uzraudzības, kontroles un apkarošanas kārtība ir noteikta Ministru kabineta </w:t>
            </w:r>
            <w:proofErr w:type="gramStart"/>
            <w:r w:rsidRPr="00AE7575">
              <w:rPr>
                <w:lang w:val="lv-LV"/>
              </w:rPr>
              <w:t>2006.gada</w:t>
            </w:r>
            <w:proofErr w:type="gramEnd"/>
            <w:r w:rsidRPr="00AE7575">
              <w:rPr>
                <w:lang w:val="lv-LV"/>
              </w:rPr>
              <w:t xml:space="preserve"> 18.aprīļa noteikumos Nr.298 „Kārtība, kādā veic to infekcijas slimību profilaksi un apkarošanu, ar kurām slimo gan dzīvnieki, gan cilvēki” (turpmāk – noteikumi Nr.298).</w:t>
            </w:r>
          </w:p>
          <w:p w:rsidR="00AE7575" w:rsidRPr="00AE7575" w:rsidRDefault="00AE7575" w:rsidP="00AE7575">
            <w:pPr>
              <w:jc w:val="both"/>
              <w:rPr>
                <w:lang w:val="lv-LV"/>
              </w:rPr>
            </w:pPr>
            <w:proofErr w:type="gramStart"/>
            <w:r w:rsidRPr="00AE7575">
              <w:rPr>
                <w:lang w:val="lv-LV"/>
              </w:rPr>
              <w:t xml:space="preserve">Izvērtējot normatīvo aktu bāzi, kā arī </w:t>
            </w:r>
            <w:r w:rsidR="0087683B">
              <w:rPr>
                <w:lang w:val="lv-LV"/>
              </w:rPr>
              <w:t xml:space="preserve">saistībā ar </w:t>
            </w:r>
            <w:r w:rsidRPr="00AE7575">
              <w:rPr>
                <w:lang w:val="lv-LV"/>
              </w:rPr>
              <w:t>valsts uzraudzīb</w:t>
            </w:r>
            <w:r w:rsidR="0087683B">
              <w:rPr>
                <w:lang w:val="lv-LV"/>
              </w:rPr>
              <w:t>u</w:t>
            </w:r>
            <w:r w:rsidRPr="00AE7575">
              <w:rPr>
                <w:lang w:val="lv-LV"/>
              </w:rPr>
              <w:t xml:space="preserve"> un kontrol</w:t>
            </w:r>
            <w:r w:rsidR="0087683B">
              <w:rPr>
                <w:lang w:val="lv-LV"/>
              </w:rPr>
              <w:t>i</w:t>
            </w:r>
            <w:r w:rsidRPr="00AE7575">
              <w:rPr>
                <w:lang w:val="lv-LV"/>
              </w:rPr>
              <w:t xml:space="preserve"> iegūto informāciju un riska novērtējumu</w:t>
            </w:r>
            <w:proofErr w:type="gramEnd"/>
            <w:r w:rsidRPr="00AE7575">
              <w:rPr>
                <w:lang w:val="lv-LV"/>
              </w:rPr>
              <w:t xml:space="preserve"> ir konstatēts, ka noteikumos Nr.298 noteiktā kārtība nenodrošina esošo problēmu risinājumu. Problēmas, kuras nepieciešams novērst ar normatīvā akta palīdzību, ir</w:t>
            </w:r>
            <w:r w:rsidR="0087683B">
              <w:rPr>
                <w:lang w:val="lv-LV"/>
              </w:rPr>
              <w:t xml:space="preserve"> šādas</w:t>
            </w:r>
            <w:r w:rsidRPr="00AE7575">
              <w:rPr>
                <w:lang w:val="lv-LV"/>
              </w:rPr>
              <w:t>:</w:t>
            </w:r>
          </w:p>
          <w:p w:rsidR="00956ED9" w:rsidRDefault="00AE7575" w:rsidP="00AE7575">
            <w:pPr>
              <w:jc w:val="both"/>
              <w:rPr>
                <w:lang w:val="lv-LV"/>
              </w:rPr>
            </w:pPr>
            <w:r w:rsidRPr="00AE7575">
              <w:rPr>
                <w:lang w:val="lv-LV"/>
              </w:rPr>
              <w:t>1)</w:t>
            </w:r>
            <w:r w:rsidR="00146A0B">
              <w:rPr>
                <w:lang w:val="lv-LV"/>
              </w:rPr>
              <w:t xml:space="preserve"> noteikumos Nr.298 </w:t>
            </w:r>
            <w:r w:rsidR="00956ED9">
              <w:rPr>
                <w:lang w:val="lv-LV"/>
              </w:rPr>
              <w:t>n</w:t>
            </w:r>
            <w:r w:rsidR="0087683B">
              <w:rPr>
                <w:lang w:val="lv-LV"/>
              </w:rPr>
              <w:t xml:space="preserve">av </w:t>
            </w:r>
            <w:r w:rsidR="00956ED9">
              <w:rPr>
                <w:lang w:val="lv-LV"/>
              </w:rPr>
              <w:t xml:space="preserve">pietiekami </w:t>
            </w:r>
            <w:r w:rsidR="00146A0B">
              <w:rPr>
                <w:lang w:val="lv-LV"/>
              </w:rPr>
              <w:t xml:space="preserve">skaidri </w:t>
            </w:r>
            <w:r w:rsidR="00956ED9">
              <w:rPr>
                <w:lang w:val="lv-LV"/>
              </w:rPr>
              <w:t>noteiktas prasības sli</w:t>
            </w:r>
            <w:r w:rsidR="00146A0B">
              <w:rPr>
                <w:lang w:val="lv-LV"/>
              </w:rPr>
              <w:t xml:space="preserve">mības diagnozes apstiprināšanai, kā arī </w:t>
            </w:r>
            <w:r w:rsidR="00956ED9">
              <w:rPr>
                <w:lang w:val="lv-LV"/>
              </w:rPr>
              <w:t xml:space="preserve">nav </w:t>
            </w:r>
            <w:r w:rsidR="00146A0B">
              <w:rPr>
                <w:lang w:val="lv-LV"/>
              </w:rPr>
              <w:t>noteiktas</w:t>
            </w:r>
            <w:r w:rsidR="00956ED9">
              <w:rPr>
                <w:lang w:val="lv-LV"/>
              </w:rPr>
              <w:t xml:space="preserve"> visas dzīvnieku sugas, kurām nepieciešams piemērot slimības apkarošanu, ja ganāmpulkā tiek novērota saslimšana ar </w:t>
            </w:r>
            <w:proofErr w:type="spellStart"/>
            <w:r w:rsidR="00956ED9">
              <w:rPr>
                <w:lang w:val="lv-LV"/>
              </w:rPr>
              <w:t>listeriozi</w:t>
            </w:r>
            <w:proofErr w:type="spellEnd"/>
            <w:r w:rsidR="00956ED9">
              <w:rPr>
                <w:lang w:val="lv-LV"/>
              </w:rPr>
              <w:t>;</w:t>
            </w:r>
          </w:p>
          <w:p w:rsidR="00146A0B" w:rsidRDefault="00146A0B" w:rsidP="00AE7575">
            <w:pPr>
              <w:jc w:val="both"/>
              <w:rPr>
                <w:lang w:val="lv-LV"/>
              </w:rPr>
            </w:pPr>
            <w:r>
              <w:rPr>
                <w:lang w:val="lv-LV"/>
              </w:rPr>
              <w:t>2</w:t>
            </w:r>
            <w:r w:rsidR="00956ED9">
              <w:rPr>
                <w:lang w:val="lv-LV"/>
              </w:rPr>
              <w:t xml:space="preserve">) normatīvais </w:t>
            </w:r>
            <w:r w:rsidR="00014400">
              <w:rPr>
                <w:lang w:val="lv-LV"/>
              </w:rPr>
              <w:t>regulējums spēkā esoša</w:t>
            </w:r>
            <w:r w:rsidR="00956ED9">
              <w:rPr>
                <w:lang w:val="lv-LV"/>
              </w:rPr>
              <w:t xml:space="preserve">jos noteikumos ir novecojis un neatbilst </w:t>
            </w:r>
            <w:r w:rsidR="00014400">
              <w:rPr>
                <w:lang w:val="lv-LV"/>
              </w:rPr>
              <w:t>noteiktajai kārtībai par dzīvniek</w:t>
            </w:r>
            <w:r>
              <w:rPr>
                <w:lang w:val="lv-LV"/>
              </w:rPr>
              <w:t>u infekcijas slimību paziņošanu un</w:t>
            </w:r>
            <w:r w:rsidR="00014400">
              <w:rPr>
                <w:lang w:val="lv-LV"/>
              </w:rPr>
              <w:t xml:space="preserve"> informācijas apriti</w:t>
            </w:r>
            <w:r>
              <w:rPr>
                <w:lang w:val="lv-LV"/>
              </w:rPr>
              <w:t>;</w:t>
            </w:r>
          </w:p>
          <w:p w:rsidR="00956ED9" w:rsidRPr="00AE7575" w:rsidRDefault="00146A0B" w:rsidP="00AE7575">
            <w:pPr>
              <w:jc w:val="both"/>
              <w:rPr>
                <w:lang w:val="lv-LV"/>
              </w:rPr>
            </w:pPr>
            <w:r>
              <w:rPr>
                <w:lang w:val="lv-LV"/>
              </w:rPr>
              <w:t xml:space="preserve">3) valstī tiek veidota infekcijas slimību uzraudzības sistēma, kurā dzīvnieku īpašniekam elektroniski pieejama informācija </w:t>
            </w:r>
            <w:r w:rsidR="00014400">
              <w:rPr>
                <w:lang w:val="lv-LV"/>
              </w:rPr>
              <w:t xml:space="preserve">par </w:t>
            </w:r>
            <w:r>
              <w:rPr>
                <w:lang w:val="lv-LV"/>
              </w:rPr>
              <w:t xml:space="preserve">nepieciešamajiem laboratoriskajiem izmeklējumiem par dzīvnieku infekcijas slimībām, kā arī novietnei noteiktajiem ierobežojumiem infekcijas slimību uzliesmojuma gadījumā. Noteikumu Nr.298 formulējums un struktūra </w:t>
            </w:r>
            <w:r w:rsidR="0087683B">
              <w:rPr>
                <w:lang w:val="lv-LV"/>
              </w:rPr>
              <w:t xml:space="preserve">nav </w:t>
            </w:r>
            <w:r>
              <w:rPr>
                <w:lang w:val="lv-LV"/>
              </w:rPr>
              <w:t>elastīg</w:t>
            </w:r>
            <w:r w:rsidR="0087683B">
              <w:rPr>
                <w:lang w:val="lv-LV"/>
              </w:rPr>
              <w:t>i piemērojama</w:t>
            </w:r>
            <w:r>
              <w:rPr>
                <w:lang w:val="lv-LV"/>
              </w:rPr>
              <w:t xml:space="preserve"> šīs sistēmas ieviešanai;</w:t>
            </w:r>
            <w:proofErr w:type="gramStart"/>
            <w:r>
              <w:rPr>
                <w:lang w:val="lv-LV"/>
              </w:rPr>
              <w:t xml:space="preserve"> </w:t>
            </w:r>
            <w:r w:rsidR="00014400">
              <w:rPr>
                <w:lang w:val="lv-LV"/>
              </w:rPr>
              <w:t xml:space="preserve"> </w:t>
            </w:r>
            <w:proofErr w:type="gramEnd"/>
          </w:p>
          <w:p w:rsidR="00014400" w:rsidRDefault="00146A0B" w:rsidP="00AE7575">
            <w:pPr>
              <w:jc w:val="both"/>
              <w:rPr>
                <w:lang w:val="lv-LV"/>
              </w:rPr>
            </w:pPr>
            <w:r>
              <w:rPr>
                <w:lang w:val="lv-LV"/>
              </w:rPr>
              <w:t xml:space="preserve">4) nepieciešams noteikt darbības ar dzīvnieku izcelsmes produktiem </w:t>
            </w:r>
            <w:proofErr w:type="spellStart"/>
            <w:r>
              <w:rPr>
                <w:lang w:val="lv-LV"/>
              </w:rPr>
              <w:t>listeriozes</w:t>
            </w:r>
            <w:proofErr w:type="spellEnd"/>
            <w:r>
              <w:rPr>
                <w:lang w:val="lv-LV"/>
              </w:rPr>
              <w:t xml:space="preserve"> uzliesmojuma apkarošanas pasākumu laikā.</w:t>
            </w:r>
          </w:p>
          <w:p w:rsidR="00585BD7" w:rsidRPr="009E2709" w:rsidRDefault="00AE7575" w:rsidP="0087683B">
            <w:pPr>
              <w:jc w:val="both"/>
              <w:rPr>
                <w:lang w:val="lv-LV"/>
              </w:rPr>
            </w:pPr>
            <w:r w:rsidRPr="00AE7575">
              <w:rPr>
                <w:lang w:val="lv-LV"/>
              </w:rPr>
              <w:t xml:space="preserve">Turklāt, izvērtējot </w:t>
            </w:r>
            <w:r w:rsidR="0087683B" w:rsidRPr="00AE7575">
              <w:rPr>
                <w:lang w:val="lv-LV"/>
              </w:rPr>
              <w:t xml:space="preserve">grozījumu </w:t>
            </w:r>
            <w:r w:rsidR="0087683B">
              <w:rPr>
                <w:lang w:val="lv-LV"/>
              </w:rPr>
              <w:t xml:space="preserve">izdarīšanas iespējas </w:t>
            </w:r>
            <w:r w:rsidRPr="00AE7575">
              <w:rPr>
                <w:lang w:val="lv-LV"/>
              </w:rPr>
              <w:t>noteikum</w:t>
            </w:r>
            <w:r w:rsidR="0087683B">
              <w:rPr>
                <w:lang w:val="lv-LV"/>
              </w:rPr>
              <w:t>os</w:t>
            </w:r>
            <w:r w:rsidRPr="00AE7575">
              <w:rPr>
                <w:lang w:val="lv-LV"/>
              </w:rPr>
              <w:t xml:space="preserve"> Nr.298</w:t>
            </w:r>
            <w:r w:rsidR="0087683B">
              <w:rPr>
                <w:lang w:val="lv-LV"/>
              </w:rPr>
              <w:t>,</w:t>
            </w:r>
            <w:r w:rsidRPr="00AE7575">
              <w:rPr>
                <w:lang w:val="lv-LV"/>
              </w:rPr>
              <w:t xml:space="preserve"> </w:t>
            </w:r>
            <w:r w:rsidR="0087683B">
              <w:rPr>
                <w:lang w:val="lv-LV"/>
              </w:rPr>
              <w:t>tika</w:t>
            </w:r>
            <w:r w:rsidRPr="00AE7575">
              <w:rPr>
                <w:lang w:val="lv-LV"/>
              </w:rPr>
              <w:t xml:space="preserve"> konstatēts, ka grozījumi </w:t>
            </w:r>
            <w:r w:rsidR="008867E9">
              <w:rPr>
                <w:lang w:val="lv-LV"/>
              </w:rPr>
              <w:t>šajos</w:t>
            </w:r>
            <w:r w:rsidR="008867E9" w:rsidRPr="00AE7575">
              <w:rPr>
                <w:lang w:val="lv-LV"/>
              </w:rPr>
              <w:t xml:space="preserve"> </w:t>
            </w:r>
            <w:r w:rsidRPr="00AE7575">
              <w:rPr>
                <w:lang w:val="lv-LV"/>
              </w:rPr>
              <w:t>noteikumos būtu jāveic tādā apmērā, kas neatbilst normatīvo aktu sagatavošanas principiem, k</w:t>
            </w:r>
            <w:r w:rsidR="0087683B">
              <w:rPr>
                <w:lang w:val="lv-LV"/>
              </w:rPr>
              <w:t>uri</w:t>
            </w:r>
            <w:r w:rsidRPr="00AE7575">
              <w:rPr>
                <w:lang w:val="lv-LV"/>
              </w:rPr>
              <w:t xml:space="preserve"> noteikti Ministru kabineta </w:t>
            </w:r>
            <w:proofErr w:type="gramStart"/>
            <w:r w:rsidR="00543A89">
              <w:rPr>
                <w:lang w:val="lv-LV"/>
              </w:rPr>
              <w:t>2009.gada</w:t>
            </w:r>
            <w:proofErr w:type="gramEnd"/>
            <w:r w:rsidR="00543A89">
              <w:rPr>
                <w:lang w:val="lv-LV"/>
              </w:rPr>
              <w:t xml:space="preserve"> 3.februāra noteikumos</w:t>
            </w:r>
            <w:r w:rsidRPr="00AE7575">
              <w:rPr>
                <w:lang w:val="lv-LV"/>
              </w:rPr>
              <w:t xml:space="preserve"> Nr.108 „Normatīvo aktu projektu sagatavošanas noteikumi”.</w:t>
            </w:r>
          </w:p>
        </w:tc>
      </w:tr>
      <w:tr w:rsidR="005D73DE" w:rsidRPr="009E2709" w:rsidTr="00C21DCA">
        <w:tc>
          <w:tcPr>
            <w:tcW w:w="250" w:type="pct"/>
          </w:tcPr>
          <w:p w:rsidR="00A162FE" w:rsidRPr="009E2709" w:rsidRDefault="00A162FE" w:rsidP="00C21DCA">
            <w:pPr>
              <w:jc w:val="center"/>
              <w:rPr>
                <w:lang w:val="lv-LV" w:eastAsia="lv-LV"/>
              </w:rPr>
            </w:pPr>
            <w:r w:rsidRPr="009E2709">
              <w:rPr>
                <w:lang w:val="lv-LV" w:eastAsia="lv-LV"/>
              </w:rPr>
              <w:t>3.</w:t>
            </w:r>
          </w:p>
        </w:tc>
        <w:tc>
          <w:tcPr>
            <w:tcW w:w="1397" w:type="pct"/>
          </w:tcPr>
          <w:p w:rsidR="00A162FE" w:rsidRPr="009E2709" w:rsidRDefault="006A073E" w:rsidP="005D73DE">
            <w:pPr>
              <w:jc w:val="both"/>
              <w:rPr>
                <w:lang w:val="lv-LV" w:eastAsia="lv-LV"/>
              </w:rPr>
            </w:pPr>
            <w:r w:rsidRPr="009E2709">
              <w:rPr>
                <w:lang w:val="lv-LV" w:eastAsia="lv-LV"/>
              </w:rPr>
              <w:t>Projekta izstrādē iesaistītās institūcijas</w:t>
            </w:r>
          </w:p>
        </w:tc>
        <w:tc>
          <w:tcPr>
            <w:tcW w:w="3353" w:type="pct"/>
          </w:tcPr>
          <w:p w:rsidR="00A162FE" w:rsidRPr="009E2709" w:rsidRDefault="00AE7575" w:rsidP="005D73DE">
            <w:pPr>
              <w:jc w:val="both"/>
              <w:rPr>
                <w:highlight w:val="yellow"/>
                <w:lang w:val="lv-LV" w:eastAsia="lv-LV"/>
              </w:rPr>
            </w:pPr>
            <w:r w:rsidRPr="00AE7575">
              <w:rPr>
                <w:lang w:val="lv-LV" w:eastAsia="lv-LV"/>
              </w:rPr>
              <w:t>Pārtikas un veterinārais dienests</w:t>
            </w:r>
          </w:p>
        </w:tc>
      </w:tr>
      <w:tr w:rsidR="005D73DE" w:rsidRPr="00076158" w:rsidTr="00C21DCA">
        <w:tc>
          <w:tcPr>
            <w:tcW w:w="250" w:type="pct"/>
          </w:tcPr>
          <w:p w:rsidR="00A162FE" w:rsidRPr="009E2709" w:rsidRDefault="00A162FE" w:rsidP="00C21DCA">
            <w:pPr>
              <w:jc w:val="center"/>
              <w:rPr>
                <w:lang w:val="lv-LV" w:eastAsia="lv-LV"/>
              </w:rPr>
            </w:pPr>
            <w:r w:rsidRPr="009E2709">
              <w:rPr>
                <w:lang w:val="lv-LV" w:eastAsia="lv-LV"/>
              </w:rPr>
              <w:t>4.</w:t>
            </w:r>
          </w:p>
        </w:tc>
        <w:tc>
          <w:tcPr>
            <w:tcW w:w="1397" w:type="pct"/>
          </w:tcPr>
          <w:p w:rsidR="00A162FE" w:rsidRPr="009E2709" w:rsidRDefault="006A073E" w:rsidP="005D73DE">
            <w:pPr>
              <w:jc w:val="both"/>
              <w:rPr>
                <w:lang w:val="lv-LV" w:eastAsia="lv-LV"/>
              </w:rPr>
            </w:pPr>
            <w:r w:rsidRPr="009E2709">
              <w:rPr>
                <w:lang w:val="lv-LV" w:eastAsia="lv-LV"/>
              </w:rPr>
              <w:t>Cita informācija</w:t>
            </w:r>
          </w:p>
        </w:tc>
        <w:tc>
          <w:tcPr>
            <w:tcW w:w="3353" w:type="pct"/>
          </w:tcPr>
          <w:p w:rsidR="00C50EA0" w:rsidRPr="00C50EA0" w:rsidRDefault="00442D76" w:rsidP="00C50EA0">
            <w:pPr>
              <w:jc w:val="both"/>
              <w:rPr>
                <w:lang w:val="lv-LV"/>
              </w:rPr>
            </w:pPr>
            <w:r>
              <w:rPr>
                <w:lang w:val="lv-LV"/>
              </w:rPr>
              <w:t>Ministru kabineta n</w:t>
            </w:r>
            <w:r w:rsidR="00C50EA0" w:rsidRPr="00C50EA0">
              <w:rPr>
                <w:lang w:val="lv-LV"/>
              </w:rPr>
              <w:t xml:space="preserve">oteikumu projekta </w:t>
            </w:r>
            <w:r>
              <w:rPr>
                <w:lang w:val="lv-LV"/>
              </w:rPr>
              <w:t>“</w:t>
            </w:r>
            <w:proofErr w:type="spellStart"/>
            <w:r>
              <w:rPr>
                <w:lang w:val="lv-LV"/>
              </w:rPr>
              <w:t>Listeriozes</w:t>
            </w:r>
            <w:proofErr w:type="spellEnd"/>
            <w:r>
              <w:rPr>
                <w:lang w:val="lv-LV"/>
              </w:rPr>
              <w:t xml:space="preserve"> uzraudzības, kontroles un apkarošanas kārtība” (turpmāk – noteikumu projekts) </w:t>
            </w:r>
            <w:r w:rsidR="00C50EA0" w:rsidRPr="00C50EA0">
              <w:rPr>
                <w:lang w:val="lv-LV"/>
              </w:rPr>
              <w:t xml:space="preserve">mērķis </w:t>
            </w:r>
            <w:r w:rsidR="00C50EA0">
              <w:rPr>
                <w:lang w:val="lv-LV"/>
              </w:rPr>
              <w:t xml:space="preserve">attiecībā uz blakusproduktu pārstrādi un likvidēšanu </w:t>
            </w:r>
            <w:r w:rsidR="00C50EA0" w:rsidRPr="00C50EA0">
              <w:rPr>
                <w:lang w:val="lv-LV"/>
              </w:rPr>
              <w:t>ir nodrošināt cilvēku un dzīvnieku veselībai, dzīvībai un apkārtējai videi nekaitīgu nobeig</w:t>
            </w:r>
            <w:r w:rsidR="00C50EA0">
              <w:rPr>
                <w:lang w:val="lv-LV"/>
              </w:rPr>
              <w:t>ušos dzīvnieku, kūtsmēslu abortīvo augļu</w:t>
            </w:r>
            <w:r w:rsidR="00C50EA0" w:rsidRPr="00C50EA0">
              <w:rPr>
                <w:lang w:val="lv-LV"/>
              </w:rPr>
              <w:t xml:space="preserve"> utt</w:t>
            </w:r>
            <w:r w:rsidR="00E823DB">
              <w:rPr>
                <w:lang w:val="lv-LV"/>
              </w:rPr>
              <w:t>.</w:t>
            </w:r>
            <w:r w:rsidR="00C50EA0" w:rsidRPr="00C50EA0">
              <w:rPr>
                <w:lang w:val="lv-LV"/>
              </w:rPr>
              <w:t xml:space="preserve"> savākšanu, </w:t>
            </w:r>
            <w:r w:rsidR="00C50EA0" w:rsidRPr="00C50EA0">
              <w:rPr>
                <w:lang w:val="lv-LV"/>
              </w:rPr>
              <w:lastRenderedPageBreak/>
              <w:t>izmantoša</w:t>
            </w:r>
            <w:r w:rsidR="00C50EA0">
              <w:rPr>
                <w:lang w:val="lv-LV"/>
              </w:rPr>
              <w:t>nu, pārstrādi vai likvidēšanu</w:t>
            </w:r>
            <w:r w:rsidR="00F26E32">
              <w:rPr>
                <w:lang w:val="lv-LV"/>
              </w:rPr>
              <w:t>, kā arī</w:t>
            </w:r>
            <w:r w:rsidR="00C50EA0" w:rsidRPr="00C50EA0">
              <w:rPr>
                <w:lang w:val="lv-LV"/>
              </w:rPr>
              <w:t xml:space="preserve"> novērst jebkuru patogēnu izkliedes risku. Dažu dzīvnieku izcelsmes blakusproduktu (</w:t>
            </w:r>
            <w:r w:rsidR="00E823DB">
              <w:rPr>
                <w:lang w:val="lv-LV"/>
              </w:rPr>
              <w:t xml:space="preserve">ar </w:t>
            </w:r>
            <w:proofErr w:type="spellStart"/>
            <w:r w:rsidR="00E823DB">
              <w:rPr>
                <w:lang w:val="lv-LV"/>
              </w:rPr>
              <w:t>listeriozi</w:t>
            </w:r>
            <w:proofErr w:type="spellEnd"/>
            <w:r w:rsidR="00E823DB">
              <w:rPr>
                <w:lang w:val="lv-LV"/>
              </w:rPr>
              <w:t xml:space="preserve"> inficētu dzīvnieku</w:t>
            </w:r>
            <w:r w:rsidR="00C50EA0" w:rsidRPr="00C50EA0">
              <w:rPr>
                <w:lang w:val="lv-LV"/>
              </w:rPr>
              <w:t xml:space="preserve"> līķ</w:t>
            </w:r>
            <w:r w:rsidR="0087683B">
              <w:rPr>
                <w:lang w:val="lv-LV"/>
              </w:rPr>
              <w:t>u</w:t>
            </w:r>
            <w:r w:rsidR="00C50EA0" w:rsidRPr="00C50EA0">
              <w:rPr>
                <w:lang w:val="lv-LV"/>
              </w:rPr>
              <w:t>, kūtsmēsl</w:t>
            </w:r>
            <w:r w:rsidR="0087683B">
              <w:rPr>
                <w:lang w:val="lv-LV"/>
              </w:rPr>
              <w:t>u</w:t>
            </w:r>
            <w:r w:rsidR="00C50EA0" w:rsidRPr="00C50EA0">
              <w:rPr>
                <w:lang w:val="lv-LV"/>
              </w:rPr>
              <w:t xml:space="preserve"> u</w:t>
            </w:r>
            <w:r w:rsidR="00E823DB">
              <w:rPr>
                <w:lang w:val="lv-LV"/>
              </w:rPr>
              <w:t>.</w:t>
            </w:r>
            <w:r w:rsidR="0087683B">
              <w:rPr>
                <w:lang w:val="lv-LV"/>
              </w:rPr>
              <w:t>c.</w:t>
            </w:r>
            <w:r w:rsidR="00C50EA0" w:rsidRPr="00C50EA0">
              <w:rPr>
                <w:lang w:val="lv-LV"/>
              </w:rPr>
              <w:t xml:space="preserve">) automātiska klasificēšana, </w:t>
            </w:r>
            <w:r w:rsidR="00C50EA0">
              <w:rPr>
                <w:lang w:val="lv-LV"/>
              </w:rPr>
              <w:t>noteikumu projektā norādot tiešas atsauces uz</w:t>
            </w:r>
            <w:r w:rsidR="009E16C8" w:rsidRPr="009E16C8">
              <w:rPr>
                <w:sz w:val="28"/>
                <w:szCs w:val="28"/>
                <w:lang w:val="lv-LV" w:eastAsia="lv-LV"/>
              </w:rPr>
              <w:t xml:space="preserve"> </w:t>
            </w:r>
            <w:r w:rsidR="0087683B" w:rsidRPr="00076158">
              <w:rPr>
                <w:lang w:val="lv-LV"/>
              </w:rPr>
              <w:t>prasībām</w:t>
            </w:r>
            <w:r w:rsidR="0087683B">
              <w:rPr>
                <w:sz w:val="28"/>
                <w:szCs w:val="28"/>
                <w:lang w:val="lv-LV" w:eastAsia="lv-LV"/>
              </w:rPr>
              <w:t xml:space="preserve"> </w:t>
            </w:r>
            <w:r w:rsidR="009E16C8" w:rsidRPr="009E16C8">
              <w:rPr>
                <w:lang w:val="lv-LV"/>
              </w:rPr>
              <w:t xml:space="preserve">Eiropas Komisijas </w:t>
            </w:r>
            <w:proofErr w:type="gramStart"/>
            <w:r w:rsidR="009E16C8" w:rsidRPr="009E16C8">
              <w:rPr>
                <w:lang w:val="lv-LV"/>
              </w:rPr>
              <w:t>2011.gada</w:t>
            </w:r>
            <w:proofErr w:type="gramEnd"/>
            <w:r w:rsidR="009E16C8" w:rsidRPr="009E16C8">
              <w:rPr>
                <w:lang w:val="lv-LV"/>
              </w:rPr>
              <w:t xml:space="preserve"> 25.februāra Regul</w:t>
            </w:r>
            <w:r w:rsidR="0087683B">
              <w:rPr>
                <w:lang w:val="lv-LV"/>
              </w:rPr>
              <w:t>ā</w:t>
            </w:r>
            <w:r w:rsidR="009E16C8" w:rsidRPr="009E16C8">
              <w:rPr>
                <w:lang w:val="lv-LV"/>
              </w:rPr>
              <w:t> (EK)</w:t>
            </w:r>
            <w:r w:rsidR="009E16C8" w:rsidRPr="009E16C8">
              <w:rPr>
                <w:b/>
                <w:bCs/>
                <w:lang w:val="lv-LV"/>
              </w:rPr>
              <w:t xml:space="preserve"> </w:t>
            </w:r>
            <w:r w:rsidR="009E16C8" w:rsidRPr="009E16C8">
              <w:rPr>
                <w:lang w:val="lv-LV"/>
              </w:rPr>
              <w:t>Nr.142/2011, ar kuru īsteno Eiropas Parlamenta un Padomes Regulu (EK) Nr.1069/2009, ar ko nosaka veselības aizsardzības noteikumus attiecībā uz dzīvnieku izcelsmes blakusproduktiem un atvasinātajiem produktiem, kuri nav paredzēti cilvēku patēriņam, un īsteno Padomes Direktīvu 97/78/EK attiecībā uz dažiem paraugiem un precēm, kam uz robežas neveic veterinārās pārbaudes atbilstīgi minētajai direktīvai</w:t>
            </w:r>
            <w:r w:rsidR="0087683B">
              <w:rPr>
                <w:lang w:val="lv-LV"/>
              </w:rPr>
              <w:t>,</w:t>
            </w:r>
            <w:r w:rsidR="009E16C8" w:rsidRPr="009E16C8">
              <w:rPr>
                <w:lang w:val="lv-LV"/>
              </w:rPr>
              <w:t xml:space="preserve"> (turpmāk – Regula (EK) Nr.142/2011) </w:t>
            </w:r>
            <w:r w:rsidR="009E16C8">
              <w:rPr>
                <w:lang w:val="lv-LV"/>
              </w:rPr>
              <w:t xml:space="preserve">vai </w:t>
            </w:r>
            <w:r w:rsidR="009E16C8" w:rsidRPr="009E16C8">
              <w:rPr>
                <w:bCs/>
                <w:lang w:val="lv-LV"/>
              </w:rPr>
              <w:t>Eiropas Parlamenta un Padomes 2009.gada 21.oktobra Regulā (EK) Nr.1069/2009, ar ko nosaka veselības aizsardzības noteikumus attiecībā uz dzīvnieku izcelsmes blakusproduktiem un atvasinātajiem produktiem, kuri nav paredzēti cilvēku patēriņam, un ar ko atceļ Regulu (ES) Nr.1774/2002</w:t>
            </w:r>
            <w:r w:rsidR="0087683B">
              <w:rPr>
                <w:bCs/>
                <w:lang w:val="lv-LV"/>
              </w:rPr>
              <w:t>,</w:t>
            </w:r>
            <w:r w:rsidR="009E16C8">
              <w:rPr>
                <w:bCs/>
                <w:lang w:val="lv-LV"/>
              </w:rPr>
              <w:t xml:space="preserve"> (turpmāk – Regula (EK) Nr.1069/2009) </w:t>
            </w:r>
            <w:r w:rsidR="009E16C8">
              <w:rPr>
                <w:lang w:val="lv-LV"/>
              </w:rPr>
              <w:t>ierobežo blakusproduktu</w:t>
            </w:r>
            <w:r w:rsidR="00C50EA0" w:rsidRPr="00C50EA0">
              <w:rPr>
                <w:lang w:val="lv-LV"/>
              </w:rPr>
              <w:t xml:space="preserve"> varbūtējo izmantošanas jomu, </w:t>
            </w:r>
            <w:r w:rsidR="009E16C8">
              <w:rPr>
                <w:lang w:val="lv-LV"/>
              </w:rPr>
              <w:t xml:space="preserve">kas ne vienmēr </w:t>
            </w:r>
            <w:r w:rsidR="00C50EA0" w:rsidRPr="00C50EA0">
              <w:rPr>
                <w:lang w:val="lv-LV"/>
              </w:rPr>
              <w:t>t</w:t>
            </w:r>
            <w:r w:rsidR="009E16C8">
              <w:rPr>
                <w:lang w:val="lv-LV"/>
              </w:rPr>
              <w:t>iek piemērot</w:t>
            </w:r>
            <w:r w:rsidR="0087683B">
              <w:rPr>
                <w:lang w:val="lv-LV"/>
              </w:rPr>
              <w:t>a</w:t>
            </w:r>
            <w:r w:rsidR="009E16C8">
              <w:rPr>
                <w:lang w:val="lv-LV"/>
              </w:rPr>
              <w:t xml:space="preserve"> atbilstoši </w:t>
            </w:r>
            <w:r w:rsidR="00C50EA0" w:rsidRPr="00C50EA0">
              <w:rPr>
                <w:lang w:val="lv-LV"/>
              </w:rPr>
              <w:t>ar to saistītajam riskam. Tāpēc</w:t>
            </w:r>
            <w:r w:rsidR="009E16C8">
              <w:rPr>
                <w:lang w:val="lv-LV"/>
              </w:rPr>
              <w:t xml:space="preserve"> ir lietderīgāk noteikumu projekta tekstā atsaukties uz Regulas (EK) Nr.1069/2009 un R</w:t>
            </w:r>
            <w:r w:rsidR="00C50EA0" w:rsidRPr="00C50EA0">
              <w:rPr>
                <w:lang w:val="lv-LV"/>
              </w:rPr>
              <w:t xml:space="preserve">egulas </w:t>
            </w:r>
            <w:r w:rsidR="009E16C8">
              <w:rPr>
                <w:lang w:val="lv-LV"/>
              </w:rPr>
              <w:t>(EK) Nr.</w:t>
            </w:r>
            <w:r w:rsidR="00C50EA0" w:rsidRPr="00C50EA0">
              <w:rPr>
                <w:lang w:val="lv-LV"/>
              </w:rPr>
              <w:t>142/2011</w:t>
            </w:r>
            <w:r w:rsidR="009E16C8">
              <w:rPr>
                <w:lang w:val="lv-LV"/>
              </w:rPr>
              <w:t xml:space="preserve"> jomu, lai t</w:t>
            </w:r>
            <w:r w:rsidR="0087683B">
              <w:rPr>
                <w:lang w:val="lv-LV"/>
              </w:rPr>
              <w:t>ajās</w:t>
            </w:r>
            <w:r w:rsidR="009E16C8">
              <w:rPr>
                <w:lang w:val="lv-LV"/>
              </w:rPr>
              <w:t xml:space="preserve"> noteiktā</w:t>
            </w:r>
            <w:r w:rsidR="00C50EA0" w:rsidRPr="00C50EA0">
              <w:rPr>
                <w:lang w:val="lv-LV"/>
              </w:rPr>
              <w:t>s prasības (pārstrādes metodes, standart</w:t>
            </w:r>
            <w:r w:rsidR="0087683B">
              <w:rPr>
                <w:lang w:val="lv-LV"/>
              </w:rPr>
              <w:t>us</w:t>
            </w:r>
            <w:r w:rsidR="00C50EA0" w:rsidRPr="00C50EA0">
              <w:rPr>
                <w:lang w:val="lv-LV"/>
              </w:rPr>
              <w:t>, nek</w:t>
            </w:r>
            <w:r w:rsidR="009E16C8">
              <w:rPr>
                <w:lang w:val="lv-LV"/>
              </w:rPr>
              <w:t>aitīguma rādītāj</w:t>
            </w:r>
            <w:r w:rsidR="0087683B">
              <w:rPr>
                <w:lang w:val="lv-LV"/>
              </w:rPr>
              <w:t>us</w:t>
            </w:r>
            <w:r w:rsidR="009E16C8">
              <w:rPr>
                <w:lang w:val="lv-LV"/>
              </w:rPr>
              <w:t xml:space="preserve"> un nosacījum</w:t>
            </w:r>
            <w:r w:rsidR="0087683B">
              <w:rPr>
                <w:lang w:val="lv-LV"/>
              </w:rPr>
              <w:t>us</w:t>
            </w:r>
            <w:r w:rsidR="00C50EA0" w:rsidRPr="00C50EA0">
              <w:rPr>
                <w:lang w:val="lv-LV"/>
              </w:rPr>
              <w:t xml:space="preserve"> savākšanai, izmantošanai, pārstrādei vai likvidēšanai</w:t>
            </w:r>
            <w:r w:rsidR="009E16C8">
              <w:rPr>
                <w:lang w:val="lv-LV"/>
              </w:rPr>
              <w:t xml:space="preserve">) </w:t>
            </w:r>
            <w:r w:rsidR="00F26E32">
              <w:rPr>
                <w:lang w:val="lv-LV"/>
              </w:rPr>
              <w:t>tiktu piemērotas</w:t>
            </w:r>
            <w:r w:rsidR="00C50EA0" w:rsidRPr="00C50EA0">
              <w:rPr>
                <w:lang w:val="lv-LV"/>
              </w:rPr>
              <w:t xml:space="preserve"> veidā, </w:t>
            </w:r>
            <w:r w:rsidR="0087683B">
              <w:rPr>
                <w:lang w:val="lv-LV"/>
              </w:rPr>
              <w:t>kas</w:t>
            </w:r>
            <w:r w:rsidR="00C50EA0" w:rsidRPr="00C50EA0">
              <w:rPr>
                <w:lang w:val="lv-LV"/>
              </w:rPr>
              <w:t xml:space="preserve"> neapdraud cilvēku veselību</w:t>
            </w:r>
            <w:r w:rsidR="009E16C8">
              <w:rPr>
                <w:lang w:val="lv-LV"/>
              </w:rPr>
              <w:t>,</w:t>
            </w:r>
            <w:r w:rsidR="00C50EA0" w:rsidRPr="00C50EA0">
              <w:rPr>
                <w:lang w:val="lv-LV"/>
              </w:rPr>
              <w:t xml:space="preserve"> </w:t>
            </w:r>
            <w:r w:rsidR="0087683B">
              <w:rPr>
                <w:lang w:val="lv-LV"/>
              </w:rPr>
              <w:t xml:space="preserve">kā </w:t>
            </w:r>
            <w:r w:rsidR="00076158">
              <w:rPr>
                <w:lang w:val="lv-LV"/>
              </w:rPr>
              <w:t xml:space="preserve">arī, </w:t>
            </w:r>
            <w:r w:rsidR="00C50EA0" w:rsidRPr="00C50EA0">
              <w:rPr>
                <w:lang w:val="lv-LV"/>
              </w:rPr>
              <w:t xml:space="preserve">izmantojot </w:t>
            </w:r>
            <w:r w:rsidR="0087683B" w:rsidRPr="00C50EA0">
              <w:rPr>
                <w:lang w:val="lv-LV"/>
              </w:rPr>
              <w:t xml:space="preserve">videi </w:t>
            </w:r>
            <w:r w:rsidR="0087683B">
              <w:rPr>
                <w:lang w:val="lv-LV"/>
              </w:rPr>
              <w:t xml:space="preserve">nekaitīgus </w:t>
            </w:r>
            <w:r w:rsidR="00C50EA0" w:rsidRPr="00C50EA0">
              <w:rPr>
                <w:lang w:val="lv-LV"/>
              </w:rPr>
              <w:t xml:space="preserve">procesus vai metodes, jo īpaši, ja to </w:t>
            </w:r>
            <w:r w:rsidR="0087683B">
              <w:rPr>
                <w:lang w:val="lv-LV"/>
              </w:rPr>
              <w:t>dēļ</w:t>
            </w:r>
            <w:r w:rsidR="00C50EA0" w:rsidRPr="00C50EA0">
              <w:rPr>
                <w:lang w:val="lv-LV"/>
              </w:rPr>
              <w:t xml:space="preserve"> var rasties ūdens, gaisa, augsnes, kā arī augu un dzīvnieku apdraudējums</w:t>
            </w:r>
            <w:r w:rsidR="00076158">
              <w:rPr>
                <w:lang w:val="lv-LV"/>
              </w:rPr>
              <w:t>,</w:t>
            </w:r>
            <w:r w:rsidR="00C50EA0" w:rsidRPr="00C50EA0">
              <w:rPr>
                <w:lang w:val="lv-LV"/>
              </w:rPr>
              <w:t xml:space="preserve"> vai </w:t>
            </w:r>
            <w:r w:rsidR="009E16C8">
              <w:rPr>
                <w:lang w:val="lv-LV"/>
              </w:rPr>
              <w:t>tiek radīts</w:t>
            </w:r>
            <w:r w:rsidR="00C50EA0" w:rsidRPr="00C50EA0">
              <w:rPr>
                <w:lang w:val="lv-LV"/>
              </w:rPr>
              <w:t xml:space="preserve"> troksni</w:t>
            </w:r>
            <w:r w:rsidR="009E16C8">
              <w:rPr>
                <w:lang w:val="lv-LV"/>
              </w:rPr>
              <w:t>s</w:t>
            </w:r>
            <w:r w:rsidR="00C50EA0" w:rsidRPr="00C50EA0">
              <w:rPr>
                <w:lang w:val="lv-LV"/>
              </w:rPr>
              <w:t xml:space="preserve"> vai smakas.</w:t>
            </w:r>
          </w:p>
          <w:p w:rsidR="00A162FE" w:rsidRDefault="0087683B" w:rsidP="009E16C8">
            <w:pPr>
              <w:jc w:val="both"/>
              <w:rPr>
                <w:lang w:val="lv-LV"/>
              </w:rPr>
            </w:pPr>
            <w:r>
              <w:rPr>
                <w:lang w:val="lv-LV"/>
              </w:rPr>
              <w:t>Ievērojot minēto,</w:t>
            </w:r>
            <w:r w:rsidR="00C50EA0" w:rsidRPr="00C50EA0">
              <w:rPr>
                <w:lang w:val="lv-LV"/>
              </w:rPr>
              <w:t xml:space="preserve"> normatīvajā aktā un tās anotācijas V sadaļas 1.tabulā </w:t>
            </w:r>
            <w:r>
              <w:rPr>
                <w:lang w:val="lv-LV"/>
              </w:rPr>
              <w:t>ne vienmēr ir</w:t>
            </w:r>
            <w:r w:rsidR="00C50EA0" w:rsidRPr="00C50EA0">
              <w:rPr>
                <w:lang w:val="lv-LV"/>
              </w:rPr>
              <w:t xml:space="preserve"> ie</w:t>
            </w:r>
            <w:r w:rsidR="009E16C8">
              <w:rPr>
                <w:lang w:val="lv-LV"/>
              </w:rPr>
              <w:t>spējams norādīt konkrētas Regulas (EK)</w:t>
            </w:r>
            <w:r w:rsidR="00C50EA0" w:rsidRPr="00C50EA0">
              <w:rPr>
                <w:lang w:val="lv-LV"/>
              </w:rPr>
              <w:t xml:space="preserve"> Nr.1069/2009 un </w:t>
            </w:r>
            <w:r w:rsidR="009E16C8">
              <w:rPr>
                <w:lang w:val="lv-LV"/>
              </w:rPr>
              <w:t xml:space="preserve">Regulas </w:t>
            </w:r>
            <w:r w:rsidR="00E823DB">
              <w:rPr>
                <w:lang w:val="lv-LV"/>
              </w:rPr>
              <w:t xml:space="preserve">(EK) Nr.142/2011 normas, jo </w:t>
            </w:r>
            <w:r w:rsidR="009E16C8">
              <w:rPr>
                <w:lang w:val="lv-LV"/>
              </w:rPr>
              <w:t>katrā gadījumā ir jāizvērtē</w:t>
            </w:r>
            <w:r w:rsidR="00E823DB">
              <w:rPr>
                <w:lang w:val="lv-LV"/>
              </w:rPr>
              <w:t xml:space="preserve"> pārstrādes vai likvidēšanas metodes</w:t>
            </w:r>
            <w:r w:rsidR="009E16C8">
              <w:rPr>
                <w:lang w:val="lv-LV"/>
              </w:rPr>
              <w:t>, kā arī ar t</w:t>
            </w:r>
            <w:r w:rsidR="00E823DB">
              <w:rPr>
                <w:lang w:val="lv-LV"/>
              </w:rPr>
              <w:t>o saistītie riski un jānosaka blakusproduktu turpmāka izmantošana</w:t>
            </w:r>
            <w:r w:rsidR="00C50EA0" w:rsidRPr="00C50EA0">
              <w:rPr>
                <w:lang w:val="lv-LV"/>
              </w:rPr>
              <w:t>.</w:t>
            </w:r>
          </w:p>
          <w:p w:rsidR="009C0EB7" w:rsidRPr="009C0EB7" w:rsidRDefault="009C0EB7" w:rsidP="009E16C8">
            <w:pPr>
              <w:jc w:val="both"/>
              <w:rPr>
                <w:bCs/>
                <w:iCs/>
                <w:lang w:val="lv-LV"/>
              </w:rPr>
            </w:pPr>
            <w:r>
              <w:rPr>
                <w:bCs/>
                <w:iCs/>
                <w:lang w:val="lv-LV"/>
              </w:rPr>
              <w:t>Tāda pati nostāja ir piemērojama arī attiecībā uz gaļas pārstrādi</w:t>
            </w:r>
            <w:r w:rsidR="00E823DB">
              <w:rPr>
                <w:bCs/>
                <w:iCs/>
                <w:lang w:val="lv-LV"/>
              </w:rPr>
              <w:t>, norādot vispārīgas atsauces uz</w:t>
            </w:r>
            <w:r>
              <w:rPr>
                <w:bCs/>
                <w:iCs/>
                <w:lang w:val="lv-LV"/>
              </w:rPr>
              <w:t xml:space="preserve"> </w:t>
            </w:r>
            <w:r w:rsidRPr="009C0EB7">
              <w:rPr>
                <w:bCs/>
                <w:iCs/>
                <w:lang w:val="lv-LV"/>
              </w:rPr>
              <w:t xml:space="preserve">Parlamenta un Padomes </w:t>
            </w:r>
            <w:proofErr w:type="gramStart"/>
            <w:r w:rsidRPr="009C0EB7">
              <w:rPr>
                <w:bCs/>
                <w:iCs/>
                <w:lang w:val="lv-LV"/>
              </w:rPr>
              <w:t>2004.gada</w:t>
            </w:r>
            <w:proofErr w:type="gramEnd"/>
            <w:r w:rsidRPr="009C0EB7">
              <w:rPr>
                <w:bCs/>
                <w:iCs/>
                <w:lang w:val="lv-LV"/>
              </w:rPr>
              <w:t xml:space="preserve"> 29.aprīļa Regul</w:t>
            </w:r>
            <w:r w:rsidR="0087683B">
              <w:rPr>
                <w:bCs/>
                <w:iCs/>
                <w:lang w:val="lv-LV"/>
              </w:rPr>
              <w:t>u</w:t>
            </w:r>
            <w:r w:rsidRPr="009C0EB7">
              <w:rPr>
                <w:bCs/>
                <w:iCs/>
                <w:lang w:val="lv-LV"/>
              </w:rPr>
              <w:t xml:space="preserve"> (EK) Nr.</w:t>
            </w:r>
            <w:hyperlink r:id="rId7" w:tgtFrame="_blank" w:tooltip="Atvērt regulu latviešu valodā" w:history="1">
              <w:r w:rsidRPr="009C0EB7">
                <w:rPr>
                  <w:rStyle w:val="Hipersaite"/>
                  <w:bCs/>
                  <w:iCs/>
                  <w:color w:val="auto"/>
                  <w:u w:val="none"/>
                  <w:lang w:val="lv-LV"/>
                </w:rPr>
                <w:t>854/2004</w:t>
              </w:r>
            </w:hyperlink>
            <w:r w:rsidRPr="009C0EB7">
              <w:rPr>
                <w:bCs/>
                <w:iCs/>
                <w:lang w:val="lv-LV"/>
              </w:rPr>
              <w:t>, ar ko paredz īpašus noteikumus par lietošanai pārtikā paredzētu dzīvnieku izcelsmes produktu oficiālās kontroles organizēšanu</w:t>
            </w:r>
            <w:r>
              <w:rPr>
                <w:bCs/>
                <w:iCs/>
                <w:lang w:val="lv-LV"/>
              </w:rPr>
              <w:t>. Arī šajā gadījumā nav iespējams dot atsauces uz konkrētiem regulas pantiem, jo valsts pilnvarots veterinārārsts pieņem lēmumu par gaļas turpmāko pārstrādi katrā individuālā gadījumā.</w:t>
            </w:r>
          </w:p>
          <w:p w:rsidR="00F26E32" w:rsidRPr="009E16C8" w:rsidRDefault="00E823DB" w:rsidP="00F26E32">
            <w:pPr>
              <w:jc w:val="both"/>
              <w:rPr>
                <w:lang w:val="lv-LV"/>
              </w:rPr>
            </w:pPr>
            <w:r>
              <w:rPr>
                <w:lang w:val="lv-LV"/>
              </w:rPr>
              <w:t xml:space="preserve">Noteikumu projektā paredzētos izdevumus par laboratoriskajiem izmeklējumiem, </w:t>
            </w:r>
            <w:r w:rsidRPr="00E823DB">
              <w:rPr>
                <w:lang w:val="lv-LV"/>
              </w:rPr>
              <w:t>i</w:t>
            </w:r>
            <w:r w:rsidRPr="00E823DB">
              <w:rPr>
                <w:lang w:val="lv-LV" w:eastAsia="lv-LV"/>
              </w:rPr>
              <w:t>zdevumus par praktizējoša veterinārārsta sniegtajiem pakalpojumiem (paraugu ņemšan</w:t>
            </w:r>
            <w:r w:rsidR="0087683B">
              <w:rPr>
                <w:lang w:val="lv-LV" w:eastAsia="lv-LV"/>
              </w:rPr>
              <w:t>u</w:t>
            </w:r>
            <w:r w:rsidRPr="00E823DB">
              <w:rPr>
                <w:lang w:val="lv-LV" w:eastAsia="lv-LV"/>
              </w:rPr>
              <w:t>, transportēšan</w:t>
            </w:r>
            <w:r w:rsidR="0087683B">
              <w:rPr>
                <w:lang w:val="lv-LV" w:eastAsia="lv-LV"/>
              </w:rPr>
              <w:t>u</w:t>
            </w:r>
            <w:r w:rsidRPr="00E823DB">
              <w:rPr>
                <w:lang w:val="lv-LV" w:eastAsia="lv-LV"/>
              </w:rPr>
              <w:t xml:space="preserve"> un ar to saistītās izmaksa</w:t>
            </w:r>
            <w:r>
              <w:rPr>
                <w:lang w:val="lv-LV" w:eastAsia="lv-LV"/>
              </w:rPr>
              <w:t>s), kā arī par paraugu noņemšanas izdevumus</w:t>
            </w:r>
            <w:r w:rsidRPr="00E823DB">
              <w:rPr>
                <w:lang w:val="lv-LV" w:eastAsia="lv-LV"/>
              </w:rPr>
              <w:t xml:space="preserve"> kautuvē sedz dzīvnieku īpašnieks vai turētājs</w:t>
            </w:r>
            <w:r>
              <w:rPr>
                <w:lang w:val="lv-LV" w:eastAsia="lv-LV"/>
              </w:rPr>
              <w:t>.</w:t>
            </w:r>
          </w:p>
        </w:tc>
      </w:tr>
    </w:tbl>
    <w:p w:rsidR="00C21DCA" w:rsidRPr="009E2709" w:rsidRDefault="00C21DCA">
      <w:pPr>
        <w:rPr>
          <w:lang w:val="lv-LV"/>
        </w:rPr>
      </w:pPr>
    </w:p>
    <w:tbl>
      <w:tblPr>
        <w:tblW w:w="4939" w:type="pct"/>
        <w:tblInd w:w="10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410"/>
        <w:gridCol w:w="2447"/>
        <w:gridCol w:w="6088"/>
      </w:tblGrid>
      <w:tr w:rsidR="005D73DE" w:rsidRPr="00076158" w:rsidTr="00076158">
        <w:tc>
          <w:tcPr>
            <w:tcW w:w="5000" w:type="pct"/>
            <w:gridSpan w:val="3"/>
            <w:tcBorders>
              <w:top w:val="outset" w:sz="6" w:space="0" w:color="auto"/>
              <w:left w:val="outset" w:sz="6" w:space="0" w:color="auto"/>
              <w:bottom w:val="outset" w:sz="6" w:space="0" w:color="auto"/>
              <w:right w:val="outset" w:sz="6" w:space="0" w:color="auto"/>
            </w:tcBorders>
          </w:tcPr>
          <w:p w:rsidR="008F3459" w:rsidRPr="009E2709" w:rsidRDefault="008F3459" w:rsidP="005D73DE">
            <w:pPr>
              <w:jc w:val="center"/>
              <w:rPr>
                <w:b/>
                <w:sz w:val="28"/>
                <w:szCs w:val="28"/>
                <w:lang w:val="lv-LV"/>
              </w:rPr>
            </w:pPr>
            <w:r w:rsidRPr="009E2709">
              <w:rPr>
                <w:b/>
                <w:sz w:val="28"/>
                <w:szCs w:val="28"/>
                <w:lang w:val="lv-LV"/>
              </w:rPr>
              <w:lastRenderedPageBreak/>
              <w:t>II. Tiesību akta projekta ietekme uz sabiedrību</w:t>
            </w:r>
            <w:r w:rsidR="00D533EA" w:rsidRPr="009E2709">
              <w:rPr>
                <w:b/>
                <w:sz w:val="28"/>
                <w:szCs w:val="28"/>
                <w:lang w:val="lv-LV"/>
              </w:rPr>
              <w:t>,</w:t>
            </w:r>
            <w:r w:rsidR="00D533EA" w:rsidRPr="009E2709">
              <w:rPr>
                <w:b/>
                <w:bCs/>
                <w:sz w:val="28"/>
                <w:szCs w:val="28"/>
                <w:lang w:val="lv-LV"/>
              </w:rPr>
              <w:t xml:space="preserve"> tautsaimniecības attīstību un administratīvo slogu</w:t>
            </w:r>
          </w:p>
        </w:tc>
      </w:tr>
      <w:tr w:rsidR="005D73DE" w:rsidRPr="005341B4" w:rsidTr="00076158">
        <w:tc>
          <w:tcPr>
            <w:tcW w:w="229" w:type="pct"/>
            <w:tcBorders>
              <w:top w:val="outset" w:sz="6" w:space="0" w:color="auto"/>
              <w:left w:val="outset" w:sz="6" w:space="0" w:color="auto"/>
              <w:right w:val="outset" w:sz="6" w:space="0" w:color="auto"/>
            </w:tcBorders>
          </w:tcPr>
          <w:p w:rsidR="00BE26B5" w:rsidRPr="009E2709" w:rsidRDefault="00BE26B5" w:rsidP="00C21DCA">
            <w:pPr>
              <w:jc w:val="center"/>
              <w:rPr>
                <w:lang w:val="lv-LV"/>
              </w:rPr>
            </w:pPr>
            <w:r w:rsidRPr="009E2709">
              <w:rPr>
                <w:lang w:val="lv-LV"/>
              </w:rPr>
              <w:t>1.</w:t>
            </w:r>
          </w:p>
        </w:tc>
        <w:tc>
          <w:tcPr>
            <w:tcW w:w="1368" w:type="pct"/>
            <w:tcBorders>
              <w:top w:val="outset" w:sz="6" w:space="0" w:color="auto"/>
              <w:left w:val="outset" w:sz="6" w:space="0" w:color="auto"/>
              <w:right w:val="outset" w:sz="6" w:space="0" w:color="auto"/>
            </w:tcBorders>
          </w:tcPr>
          <w:p w:rsidR="00BE26B5" w:rsidRPr="009E2709" w:rsidRDefault="00BE26B5" w:rsidP="00C21DCA">
            <w:pPr>
              <w:jc w:val="both"/>
              <w:rPr>
                <w:lang w:val="lv-LV"/>
              </w:rPr>
            </w:pPr>
            <w:r w:rsidRPr="009E2709">
              <w:rPr>
                <w:lang w:val="lv-LV"/>
              </w:rPr>
              <w:t>Sabiedrības mērķgrupa</w:t>
            </w:r>
            <w:r w:rsidR="00BA3E1C" w:rsidRPr="009E2709">
              <w:rPr>
                <w:lang w:val="lv-LV"/>
              </w:rPr>
              <w:t>s, kuras tiesiskais regulējums ietekmē vai varētu ietekmēt</w:t>
            </w:r>
          </w:p>
        </w:tc>
        <w:tc>
          <w:tcPr>
            <w:tcW w:w="3404" w:type="pct"/>
            <w:tcBorders>
              <w:top w:val="outset" w:sz="6" w:space="0" w:color="auto"/>
              <w:left w:val="outset" w:sz="6" w:space="0" w:color="auto"/>
              <w:right w:val="outset" w:sz="6" w:space="0" w:color="auto"/>
            </w:tcBorders>
          </w:tcPr>
          <w:p w:rsidR="00AE7575" w:rsidRPr="00AE7575" w:rsidRDefault="00AE7575" w:rsidP="00AE7575">
            <w:pPr>
              <w:jc w:val="both"/>
              <w:rPr>
                <w:lang w:val="lv-LV"/>
              </w:rPr>
            </w:pPr>
            <w:r w:rsidRPr="00AE7575">
              <w:rPr>
                <w:lang w:val="lv-LV"/>
              </w:rPr>
              <w:t>Noteikumu projekta tiesiskais regulējums attiecas uz lauksaimniecības dzīvnieku īpašniekiem un turētājiem, kas audzē un tur govju, aitu, kazu, zirgu un trušu sugas dzīvniekus un mājputnus. Saskaņā ar Lauksaimniecības datu centra tīmekļa vietnē pieejamo informācij</w:t>
            </w:r>
            <w:r w:rsidR="00285832">
              <w:rPr>
                <w:lang w:val="lv-LV"/>
              </w:rPr>
              <w:t xml:space="preserve">u Latvijā </w:t>
            </w:r>
            <w:proofErr w:type="gramStart"/>
            <w:r w:rsidR="00285832">
              <w:rPr>
                <w:lang w:val="lv-LV"/>
              </w:rPr>
              <w:t>2014.gada</w:t>
            </w:r>
            <w:proofErr w:type="gramEnd"/>
            <w:r w:rsidR="00285832">
              <w:rPr>
                <w:lang w:val="lv-LV"/>
              </w:rPr>
              <w:t xml:space="preserve"> 1.janvārī bija</w:t>
            </w:r>
            <w:r w:rsidRPr="00AE7575">
              <w:rPr>
                <w:lang w:val="lv-LV"/>
              </w:rPr>
              <w:t>:</w:t>
            </w:r>
          </w:p>
          <w:p w:rsidR="005341B4" w:rsidRPr="005341B4" w:rsidRDefault="005341B4" w:rsidP="005341B4">
            <w:pPr>
              <w:jc w:val="both"/>
              <w:rPr>
                <w:lang w:val="lv-LV"/>
              </w:rPr>
            </w:pPr>
            <w:r w:rsidRPr="005341B4">
              <w:rPr>
                <w:lang w:val="lv-LV"/>
              </w:rPr>
              <w:t xml:space="preserve">1) govju sugas dzīvnieku īpašnieki </w:t>
            </w:r>
            <w:r>
              <w:rPr>
                <w:lang w:val="lv-LV"/>
              </w:rPr>
              <w:t>–</w:t>
            </w:r>
            <w:r w:rsidRPr="005341B4">
              <w:rPr>
                <w:lang w:val="lv-LV"/>
              </w:rPr>
              <w:t xml:space="preserve"> 30</w:t>
            </w:r>
            <w:r w:rsidR="0087683B">
              <w:rPr>
                <w:lang w:val="lv-LV"/>
              </w:rPr>
              <w:t> </w:t>
            </w:r>
            <w:r w:rsidRPr="005341B4">
              <w:rPr>
                <w:lang w:val="lv-LV"/>
              </w:rPr>
              <w:t>568</w:t>
            </w:r>
            <w:r>
              <w:rPr>
                <w:lang w:val="lv-LV"/>
              </w:rPr>
              <w:t>;</w:t>
            </w:r>
            <w:proofErr w:type="gramStart"/>
            <w:r w:rsidRPr="005341B4">
              <w:rPr>
                <w:lang w:val="lv-LV"/>
              </w:rPr>
              <w:t xml:space="preserve">    </w:t>
            </w:r>
            <w:proofErr w:type="gramEnd"/>
          </w:p>
          <w:p w:rsidR="005341B4" w:rsidRPr="005341B4" w:rsidRDefault="005341B4" w:rsidP="005341B4">
            <w:pPr>
              <w:jc w:val="both"/>
              <w:rPr>
                <w:lang w:val="lv-LV"/>
              </w:rPr>
            </w:pPr>
            <w:r w:rsidRPr="005341B4">
              <w:rPr>
                <w:lang w:val="lv-LV"/>
              </w:rPr>
              <w:t xml:space="preserve">2) aitu sugas dzīvnieku īpašnieki </w:t>
            </w:r>
            <w:r>
              <w:rPr>
                <w:lang w:val="lv-LV"/>
              </w:rPr>
              <w:t>–</w:t>
            </w:r>
            <w:r w:rsidRPr="005341B4">
              <w:rPr>
                <w:lang w:val="lv-LV"/>
              </w:rPr>
              <w:t xml:space="preserve"> 4333</w:t>
            </w:r>
            <w:r>
              <w:rPr>
                <w:lang w:val="lv-LV"/>
              </w:rPr>
              <w:t>;</w:t>
            </w:r>
          </w:p>
          <w:p w:rsidR="005341B4" w:rsidRPr="005341B4" w:rsidRDefault="005341B4" w:rsidP="005341B4">
            <w:pPr>
              <w:jc w:val="both"/>
              <w:rPr>
                <w:lang w:val="lv-LV"/>
              </w:rPr>
            </w:pPr>
            <w:r w:rsidRPr="005341B4">
              <w:rPr>
                <w:lang w:val="lv-LV"/>
              </w:rPr>
              <w:t xml:space="preserve">3) kazu sugas dzīvnieku īpašnieki </w:t>
            </w:r>
            <w:r>
              <w:rPr>
                <w:lang w:val="lv-LV"/>
              </w:rPr>
              <w:t>–</w:t>
            </w:r>
            <w:r w:rsidRPr="005341B4">
              <w:rPr>
                <w:lang w:val="lv-LV"/>
              </w:rPr>
              <w:t xml:space="preserve"> 2832</w:t>
            </w:r>
            <w:r>
              <w:rPr>
                <w:lang w:val="lv-LV"/>
              </w:rPr>
              <w:t>;</w:t>
            </w:r>
            <w:proofErr w:type="gramStart"/>
            <w:r w:rsidRPr="005341B4">
              <w:rPr>
                <w:lang w:val="lv-LV"/>
              </w:rPr>
              <w:t xml:space="preserve">  </w:t>
            </w:r>
            <w:proofErr w:type="gramEnd"/>
          </w:p>
          <w:p w:rsidR="005341B4" w:rsidRPr="005341B4" w:rsidRDefault="005341B4" w:rsidP="005341B4">
            <w:pPr>
              <w:jc w:val="both"/>
              <w:rPr>
                <w:lang w:val="lv-LV"/>
              </w:rPr>
            </w:pPr>
            <w:r w:rsidRPr="005341B4">
              <w:rPr>
                <w:lang w:val="lv-LV"/>
              </w:rPr>
              <w:t xml:space="preserve">4) zirgu sugas dzīvnieku īpašnieki </w:t>
            </w:r>
            <w:r>
              <w:rPr>
                <w:lang w:val="lv-LV"/>
              </w:rPr>
              <w:t>–</w:t>
            </w:r>
            <w:r w:rsidRPr="005341B4">
              <w:rPr>
                <w:lang w:val="lv-LV"/>
              </w:rPr>
              <w:t xml:space="preserve"> 5293</w:t>
            </w:r>
            <w:r>
              <w:rPr>
                <w:lang w:val="lv-LV"/>
              </w:rPr>
              <w:t>;</w:t>
            </w:r>
          </w:p>
          <w:p w:rsidR="005341B4" w:rsidRPr="005341B4" w:rsidRDefault="005341B4" w:rsidP="005341B4">
            <w:pPr>
              <w:jc w:val="both"/>
              <w:rPr>
                <w:lang w:val="lv-LV"/>
              </w:rPr>
            </w:pPr>
            <w:r w:rsidRPr="005341B4">
              <w:rPr>
                <w:lang w:val="lv-LV"/>
              </w:rPr>
              <w:t xml:space="preserve">5) trušu sugas dzīvnieku īpašnieki </w:t>
            </w:r>
            <w:r>
              <w:rPr>
                <w:lang w:val="lv-LV"/>
              </w:rPr>
              <w:t>–</w:t>
            </w:r>
            <w:r w:rsidRPr="005341B4">
              <w:rPr>
                <w:lang w:val="lv-LV"/>
              </w:rPr>
              <w:t xml:space="preserve"> 890</w:t>
            </w:r>
            <w:r>
              <w:rPr>
                <w:lang w:val="lv-LV"/>
              </w:rPr>
              <w:t>;</w:t>
            </w:r>
          </w:p>
          <w:p w:rsidR="005341B4" w:rsidRPr="005341B4" w:rsidRDefault="005341B4" w:rsidP="005341B4">
            <w:pPr>
              <w:jc w:val="both"/>
              <w:rPr>
                <w:lang w:val="lv-LV"/>
              </w:rPr>
            </w:pPr>
            <w:r w:rsidRPr="005341B4">
              <w:rPr>
                <w:lang w:val="lv-LV"/>
              </w:rPr>
              <w:t>6) mājputnu īpašnieki – 3485</w:t>
            </w:r>
            <w:r>
              <w:rPr>
                <w:lang w:val="lv-LV"/>
              </w:rPr>
              <w:t>;</w:t>
            </w:r>
          </w:p>
          <w:p w:rsidR="00101E0B" w:rsidRPr="005341B4" w:rsidRDefault="005341B4" w:rsidP="00AE7575">
            <w:pPr>
              <w:jc w:val="both"/>
              <w:rPr>
                <w:b/>
                <w:lang w:val="lv-LV"/>
              </w:rPr>
            </w:pPr>
            <w:r w:rsidRPr="005341B4">
              <w:rPr>
                <w:lang w:val="lv-LV"/>
              </w:rPr>
              <w:t xml:space="preserve">7) cūku sugas dzīvnieku īpašnieki </w:t>
            </w:r>
            <w:r>
              <w:rPr>
                <w:lang w:val="lv-LV"/>
              </w:rPr>
              <w:t>–</w:t>
            </w:r>
            <w:r w:rsidRPr="005341B4">
              <w:rPr>
                <w:lang w:val="lv-LV"/>
              </w:rPr>
              <w:t xml:space="preserve"> 4894</w:t>
            </w:r>
            <w:r>
              <w:rPr>
                <w:lang w:val="lv-LV"/>
              </w:rPr>
              <w:t>.</w:t>
            </w:r>
          </w:p>
        </w:tc>
      </w:tr>
      <w:tr w:rsidR="005D73DE" w:rsidRPr="00076158" w:rsidTr="00076158">
        <w:tc>
          <w:tcPr>
            <w:tcW w:w="229" w:type="pct"/>
            <w:tcBorders>
              <w:top w:val="outset" w:sz="6" w:space="0" w:color="auto"/>
              <w:left w:val="outset" w:sz="6" w:space="0" w:color="auto"/>
              <w:right w:val="outset" w:sz="6" w:space="0" w:color="auto"/>
            </w:tcBorders>
          </w:tcPr>
          <w:p w:rsidR="00BE26B5" w:rsidRPr="009E2709" w:rsidRDefault="00BE26B5" w:rsidP="005D73DE">
            <w:pPr>
              <w:jc w:val="center"/>
              <w:rPr>
                <w:lang w:val="lv-LV"/>
              </w:rPr>
            </w:pPr>
            <w:r w:rsidRPr="009E2709">
              <w:rPr>
                <w:lang w:val="lv-LV"/>
              </w:rPr>
              <w:t>2.</w:t>
            </w:r>
          </w:p>
        </w:tc>
        <w:tc>
          <w:tcPr>
            <w:tcW w:w="1368" w:type="pct"/>
            <w:tcBorders>
              <w:top w:val="outset" w:sz="6" w:space="0" w:color="auto"/>
              <w:left w:val="outset" w:sz="6" w:space="0" w:color="auto"/>
              <w:right w:val="outset" w:sz="6" w:space="0" w:color="auto"/>
            </w:tcBorders>
          </w:tcPr>
          <w:p w:rsidR="00BE26B5" w:rsidRPr="009E2709" w:rsidRDefault="00BA3E1C" w:rsidP="00C21DCA">
            <w:pPr>
              <w:widowControl w:val="0"/>
              <w:jc w:val="both"/>
              <w:rPr>
                <w:lang w:val="lv-LV"/>
              </w:rPr>
            </w:pPr>
            <w:r w:rsidRPr="009E2709">
              <w:rPr>
                <w:lang w:val="lv-LV"/>
              </w:rPr>
              <w:t>Tiesiskā regulējuma ietekme uz tautsaimniecību un administratīvo slogu</w:t>
            </w:r>
          </w:p>
        </w:tc>
        <w:tc>
          <w:tcPr>
            <w:tcW w:w="3404" w:type="pct"/>
            <w:tcBorders>
              <w:top w:val="outset" w:sz="6" w:space="0" w:color="auto"/>
              <w:left w:val="outset" w:sz="6" w:space="0" w:color="auto"/>
              <w:right w:val="outset" w:sz="6" w:space="0" w:color="auto"/>
            </w:tcBorders>
          </w:tcPr>
          <w:p w:rsidR="00BE26B5" w:rsidRPr="009E2709" w:rsidRDefault="00442D76" w:rsidP="005D73DE">
            <w:pPr>
              <w:widowControl w:val="0"/>
              <w:jc w:val="both"/>
              <w:rPr>
                <w:lang w:val="lv-LV"/>
              </w:rPr>
            </w:pPr>
            <w:r w:rsidRPr="00442D76">
              <w:rPr>
                <w:lang w:val="lv-LV"/>
              </w:rPr>
              <w:t>Dzīvnieku īpašnieks vai turētājs vienas dienas laikā, izmantojot jebkuru saziņas veidu, ziņo praktizējošam veterinārārstam par dzīvnieka nobeigšanos, vairāku dzīvnieku vienlaicīg</w:t>
            </w:r>
            <w:r w:rsidR="0087683B">
              <w:rPr>
                <w:lang w:val="lv-LV"/>
              </w:rPr>
              <w:t>u</w:t>
            </w:r>
            <w:r w:rsidRPr="00442D76">
              <w:rPr>
                <w:lang w:val="lv-LV"/>
              </w:rPr>
              <w:t xml:space="preserve"> saslimšan</w:t>
            </w:r>
            <w:r w:rsidR="0087683B">
              <w:rPr>
                <w:lang w:val="lv-LV"/>
              </w:rPr>
              <w:t>u</w:t>
            </w:r>
            <w:r w:rsidRPr="00442D76">
              <w:rPr>
                <w:lang w:val="lv-LV"/>
              </w:rPr>
              <w:t xml:space="preserve">, dzīvniekiem, kuriem noticis aborts, un jebkuru gadījumu, kas rada aizdomas par dzīvnieku saslimšanu ar </w:t>
            </w:r>
            <w:proofErr w:type="spellStart"/>
            <w:r w:rsidRPr="00442D76">
              <w:rPr>
                <w:lang w:val="lv-LV"/>
              </w:rPr>
              <w:t>listeriozi</w:t>
            </w:r>
            <w:proofErr w:type="spellEnd"/>
            <w:r w:rsidRPr="00442D76">
              <w:rPr>
                <w:lang w:val="lv-LV"/>
              </w:rPr>
              <w:t>.</w:t>
            </w:r>
          </w:p>
        </w:tc>
      </w:tr>
      <w:tr w:rsidR="005D73DE" w:rsidRPr="009E2709" w:rsidTr="00076158">
        <w:tc>
          <w:tcPr>
            <w:tcW w:w="229" w:type="pct"/>
            <w:tcBorders>
              <w:top w:val="outset" w:sz="6" w:space="0" w:color="auto"/>
              <w:left w:val="outset" w:sz="6" w:space="0" w:color="auto"/>
              <w:right w:val="outset" w:sz="6" w:space="0" w:color="auto"/>
            </w:tcBorders>
          </w:tcPr>
          <w:p w:rsidR="00BE26B5" w:rsidRPr="009E2709" w:rsidRDefault="00BE26B5" w:rsidP="005D73DE">
            <w:pPr>
              <w:pStyle w:val="Paraststmeklis"/>
              <w:spacing w:before="0" w:beforeAutospacing="0" w:after="0" w:afterAutospacing="0"/>
              <w:rPr>
                <w:lang w:val="lv-LV"/>
              </w:rPr>
            </w:pPr>
            <w:r w:rsidRPr="009E2709">
              <w:rPr>
                <w:lang w:val="lv-LV"/>
              </w:rPr>
              <w:t>3.</w:t>
            </w:r>
          </w:p>
        </w:tc>
        <w:tc>
          <w:tcPr>
            <w:tcW w:w="1368" w:type="pct"/>
            <w:tcBorders>
              <w:top w:val="outset" w:sz="6" w:space="0" w:color="auto"/>
              <w:left w:val="outset" w:sz="6" w:space="0" w:color="auto"/>
              <w:right w:val="outset" w:sz="6" w:space="0" w:color="auto"/>
            </w:tcBorders>
          </w:tcPr>
          <w:p w:rsidR="00BE26B5" w:rsidRPr="009E2709" w:rsidRDefault="00153C68" w:rsidP="00C21DCA">
            <w:pPr>
              <w:pStyle w:val="Paraststmeklis"/>
              <w:spacing w:before="0" w:beforeAutospacing="0" w:after="0" w:afterAutospacing="0"/>
              <w:jc w:val="both"/>
              <w:rPr>
                <w:lang w:val="lv-LV"/>
              </w:rPr>
            </w:pPr>
            <w:r w:rsidRPr="009E2709">
              <w:rPr>
                <w:lang w:val="lv-LV"/>
              </w:rPr>
              <w:t>Administratīvo izmaksu monetārs novērtējums</w:t>
            </w:r>
          </w:p>
        </w:tc>
        <w:tc>
          <w:tcPr>
            <w:tcW w:w="3404" w:type="pct"/>
            <w:tcBorders>
              <w:top w:val="outset" w:sz="6" w:space="0" w:color="auto"/>
              <w:left w:val="outset" w:sz="6" w:space="0" w:color="auto"/>
              <w:right w:val="outset" w:sz="6" w:space="0" w:color="auto"/>
            </w:tcBorders>
          </w:tcPr>
          <w:p w:rsidR="002C59C1" w:rsidRPr="009E2709" w:rsidRDefault="00442D76" w:rsidP="00442D76">
            <w:pPr>
              <w:jc w:val="both"/>
              <w:rPr>
                <w:lang w:val="lv-LV"/>
              </w:rPr>
            </w:pPr>
            <w:r>
              <w:rPr>
                <w:lang w:val="lv-LV"/>
              </w:rPr>
              <w:t>Noteikumu p</w:t>
            </w:r>
            <w:r w:rsidR="000336AB">
              <w:rPr>
                <w:lang w:val="lv-LV"/>
              </w:rPr>
              <w:t>rojekts šo jomu neskar.</w:t>
            </w:r>
          </w:p>
        </w:tc>
      </w:tr>
      <w:tr w:rsidR="005D73DE" w:rsidRPr="009E2709" w:rsidTr="00076158">
        <w:tc>
          <w:tcPr>
            <w:tcW w:w="229" w:type="pct"/>
            <w:tcBorders>
              <w:top w:val="outset" w:sz="6" w:space="0" w:color="auto"/>
              <w:left w:val="outset" w:sz="6" w:space="0" w:color="auto"/>
              <w:right w:val="outset" w:sz="6" w:space="0" w:color="auto"/>
            </w:tcBorders>
          </w:tcPr>
          <w:p w:rsidR="00BE26B5" w:rsidRPr="009E2709" w:rsidRDefault="00BE26B5" w:rsidP="005D73DE">
            <w:pPr>
              <w:pStyle w:val="Paraststmeklis"/>
              <w:spacing w:before="0" w:beforeAutospacing="0" w:after="0" w:afterAutospacing="0"/>
              <w:rPr>
                <w:lang w:val="lv-LV"/>
              </w:rPr>
            </w:pPr>
            <w:r w:rsidRPr="009E2709">
              <w:rPr>
                <w:lang w:val="lv-LV"/>
              </w:rPr>
              <w:t>4.</w:t>
            </w:r>
          </w:p>
        </w:tc>
        <w:tc>
          <w:tcPr>
            <w:tcW w:w="1368" w:type="pct"/>
            <w:tcBorders>
              <w:top w:val="outset" w:sz="6" w:space="0" w:color="auto"/>
              <w:left w:val="outset" w:sz="6" w:space="0" w:color="auto"/>
              <w:right w:val="outset" w:sz="6" w:space="0" w:color="auto"/>
            </w:tcBorders>
          </w:tcPr>
          <w:p w:rsidR="00BE26B5" w:rsidRPr="009E2709" w:rsidRDefault="00153C68" w:rsidP="00C21DCA">
            <w:pPr>
              <w:jc w:val="both"/>
              <w:rPr>
                <w:lang w:val="lv-LV"/>
              </w:rPr>
            </w:pPr>
            <w:r w:rsidRPr="009E2709">
              <w:rPr>
                <w:lang w:val="lv-LV"/>
              </w:rPr>
              <w:t>Cita informācija</w:t>
            </w:r>
          </w:p>
        </w:tc>
        <w:tc>
          <w:tcPr>
            <w:tcW w:w="3404" w:type="pct"/>
            <w:tcBorders>
              <w:top w:val="outset" w:sz="6" w:space="0" w:color="auto"/>
              <w:left w:val="outset" w:sz="6" w:space="0" w:color="auto"/>
              <w:right w:val="outset" w:sz="6" w:space="0" w:color="auto"/>
            </w:tcBorders>
            <w:shd w:val="clear" w:color="auto" w:fill="auto"/>
          </w:tcPr>
          <w:p w:rsidR="00BE26B5" w:rsidRPr="009E2709" w:rsidRDefault="00956ED9" w:rsidP="005D73DE">
            <w:pPr>
              <w:widowControl w:val="0"/>
              <w:jc w:val="both"/>
              <w:rPr>
                <w:lang w:val="lv-LV"/>
              </w:rPr>
            </w:pPr>
            <w:r>
              <w:rPr>
                <w:lang w:val="lv-LV"/>
              </w:rPr>
              <w:t>Nav.</w:t>
            </w:r>
          </w:p>
        </w:tc>
      </w:tr>
    </w:tbl>
    <w:p w:rsidR="00637747" w:rsidRPr="00956ED9" w:rsidRDefault="00956ED9" w:rsidP="005D73DE">
      <w:pPr>
        <w:jc w:val="both"/>
        <w:rPr>
          <w:i/>
          <w:lang w:val="lv-LV" w:eastAsia="lv-LV"/>
        </w:rPr>
      </w:pPr>
      <w:r w:rsidRPr="00956ED9">
        <w:rPr>
          <w:i/>
          <w:lang w:val="lv-LV" w:eastAsia="lv-LV"/>
        </w:rPr>
        <w:t>Anotācijas III sadaļa – projekts šo jomu neskar.</w:t>
      </w:r>
    </w:p>
    <w:tbl>
      <w:tblPr>
        <w:tblpPr w:leftFromText="180" w:rightFromText="180" w:vertAnchor="text" w:horzAnchor="margin" w:tblpXSpec="center" w:tblpY="149"/>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693"/>
        <w:gridCol w:w="5953"/>
      </w:tblGrid>
      <w:tr w:rsidR="005D73DE" w:rsidRPr="00076158" w:rsidTr="00232B48">
        <w:tc>
          <w:tcPr>
            <w:tcW w:w="9077" w:type="dxa"/>
            <w:gridSpan w:val="3"/>
            <w:vAlign w:val="center"/>
          </w:tcPr>
          <w:p w:rsidR="00B02ED1" w:rsidRPr="009E2709" w:rsidRDefault="00B02ED1" w:rsidP="00C21DCA">
            <w:pPr>
              <w:pStyle w:val="naisnod"/>
              <w:spacing w:before="0" w:after="0"/>
            </w:pPr>
            <w:r w:rsidRPr="009E2709">
              <w:rPr>
                <w:bCs w:val="0"/>
                <w:sz w:val="28"/>
              </w:rPr>
              <w:t>IV. Tiesību akta projekta ietekme uz spēkā esošo tiesību normu sistēmu</w:t>
            </w:r>
          </w:p>
        </w:tc>
      </w:tr>
      <w:tr w:rsidR="005D73DE" w:rsidRPr="0087683B" w:rsidTr="009E2709">
        <w:trPr>
          <w:trHeight w:val="467"/>
        </w:trPr>
        <w:tc>
          <w:tcPr>
            <w:tcW w:w="431" w:type="dxa"/>
          </w:tcPr>
          <w:p w:rsidR="00B02ED1" w:rsidRPr="009E2709" w:rsidRDefault="00B02ED1" w:rsidP="00C21DCA">
            <w:pPr>
              <w:pStyle w:val="naiskr"/>
              <w:spacing w:before="0" w:beforeAutospacing="0" w:after="0" w:afterAutospacing="0"/>
            </w:pPr>
            <w:r w:rsidRPr="009E2709">
              <w:t>1.</w:t>
            </w:r>
          </w:p>
        </w:tc>
        <w:tc>
          <w:tcPr>
            <w:tcW w:w="2693" w:type="dxa"/>
          </w:tcPr>
          <w:p w:rsidR="00B02ED1" w:rsidRPr="009E2709" w:rsidRDefault="00B02ED1" w:rsidP="00C21DCA">
            <w:pPr>
              <w:pStyle w:val="naiskr"/>
              <w:spacing w:before="0" w:beforeAutospacing="0" w:after="0" w:afterAutospacing="0"/>
              <w:jc w:val="both"/>
            </w:pPr>
            <w:r w:rsidRPr="009E2709">
              <w:t>Nepieciešamie saistītie tiesību aktu projekti</w:t>
            </w:r>
          </w:p>
        </w:tc>
        <w:tc>
          <w:tcPr>
            <w:tcW w:w="5953" w:type="dxa"/>
          </w:tcPr>
          <w:p w:rsidR="00B02ED1" w:rsidRPr="009E2709" w:rsidRDefault="00B02ED1" w:rsidP="003A2285">
            <w:pPr>
              <w:pStyle w:val="Kjene"/>
              <w:tabs>
                <w:tab w:val="clear" w:pos="4153"/>
                <w:tab w:val="clear" w:pos="8306"/>
              </w:tabs>
              <w:jc w:val="both"/>
              <w:rPr>
                <w:rFonts w:ascii="Times New Roman" w:hAnsi="Times New Roman"/>
              </w:rPr>
            </w:pPr>
            <w:r w:rsidRPr="009E2709">
              <w:rPr>
                <w:rFonts w:ascii="Times New Roman" w:hAnsi="Times New Roman"/>
                <w:sz w:val="24"/>
                <w:szCs w:val="24"/>
              </w:rPr>
              <w:t xml:space="preserve"> </w:t>
            </w:r>
            <w:r w:rsidR="00956ED9" w:rsidRPr="00956ED9">
              <w:rPr>
                <w:rFonts w:ascii="Times New Roman" w:hAnsi="Times New Roman"/>
                <w:sz w:val="24"/>
                <w:szCs w:val="24"/>
              </w:rPr>
              <w:t xml:space="preserve">Nepieciešams sagatavot Ministru kabineta noteikumu projektu „Grozījumi Ministru kabineta </w:t>
            </w:r>
            <w:proofErr w:type="gramStart"/>
            <w:r w:rsidR="00956ED9" w:rsidRPr="00956ED9">
              <w:rPr>
                <w:rFonts w:ascii="Times New Roman" w:hAnsi="Times New Roman"/>
                <w:sz w:val="24"/>
                <w:szCs w:val="24"/>
              </w:rPr>
              <w:t>2006.gada</w:t>
            </w:r>
            <w:proofErr w:type="gramEnd"/>
            <w:r w:rsidR="00956ED9" w:rsidRPr="00956ED9">
              <w:rPr>
                <w:rFonts w:ascii="Times New Roman" w:hAnsi="Times New Roman"/>
                <w:sz w:val="24"/>
                <w:szCs w:val="24"/>
              </w:rPr>
              <w:t xml:space="preserve"> 18.aprīļa noteikumos Nr.298 „Kārtība, kādā veic to infekcijas slimību profilaksi un apkarošanu, ar kurām slimo gan dzīvnieki, gan cilvēki”</w:t>
            </w:r>
            <w:r w:rsidR="0087683B">
              <w:rPr>
                <w:rFonts w:ascii="Times New Roman" w:hAnsi="Times New Roman"/>
                <w:sz w:val="24"/>
                <w:szCs w:val="24"/>
              </w:rPr>
              <w:t>:</w:t>
            </w:r>
            <w:r w:rsidR="00442D76">
              <w:rPr>
                <w:rFonts w:ascii="Times New Roman" w:hAnsi="Times New Roman"/>
                <w:sz w:val="24"/>
                <w:szCs w:val="24"/>
              </w:rPr>
              <w:t xml:space="preserve"> (turpmāk – noteikumi Nr.298)</w:t>
            </w:r>
            <w:r w:rsidR="00956ED9" w:rsidRPr="00956ED9">
              <w:rPr>
                <w:rFonts w:ascii="Times New Roman" w:hAnsi="Times New Roman"/>
                <w:sz w:val="24"/>
                <w:szCs w:val="24"/>
              </w:rPr>
              <w:t xml:space="preserve">, svītrojot no tiem </w:t>
            </w:r>
            <w:r w:rsidR="00956ED9">
              <w:rPr>
                <w:rFonts w:ascii="Times New Roman" w:hAnsi="Times New Roman"/>
                <w:sz w:val="24"/>
                <w:szCs w:val="24"/>
              </w:rPr>
              <w:t>normas</w:t>
            </w:r>
            <w:r w:rsidR="00956ED9" w:rsidRPr="00956ED9">
              <w:rPr>
                <w:rFonts w:ascii="Times New Roman" w:hAnsi="Times New Roman"/>
                <w:sz w:val="24"/>
                <w:szCs w:val="24"/>
              </w:rPr>
              <w:t xml:space="preserve">, kas nosaka </w:t>
            </w:r>
            <w:proofErr w:type="spellStart"/>
            <w:r w:rsidR="00956ED9" w:rsidRPr="00956ED9">
              <w:rPr>
                <w:rFonts w:ascii="Times New Roman" w:hAnsi="Times New Roman"/>
                <w:sz w:val="24"/>
                <w:szCs w:val="24"/>
              </w:rPr>
              <w:t>listeriozes</w:t>
            </w:r>
            <w:proofErr w:type="spellEnd"/>
            <w:r w:rsidR="00956ED9" w:rsidRPr="00956ED9">
              <w:rPr>
                <w:rFonts w:ascii="Times New Roman" w:hAnsi="Times New Roman"/>
                <w:sz w:val="24"/>
                <w:szCs w:val="24"/>
              </w:rPr>
              <w:t xml:space="preserve"> profilakses un apkarošanas prasības.</w:t>
            </w:r>
            <w:r w:rsidR="00543A89">
              <w:rPr>
                <w:rFonts w:ascii="Times New Roman" w:hAnsi="Times New Roman"/>
                <w:sz w:val="24"/>
                <w:szCs w:val="24"/>
              </w:rPr>
              <w:t xml:space="preserve"> </w:t>
            </w:r>
            <w:r w:rsidR="00442D76">
              <w:rPr>
                <w:rFonts w:ascii="Times New Roman" w:hAnsi="Times New Roman"/>
                <w:sz w:val="24"/>
                <w:szCs w:val="24"/>
              </w:rPr>
              <w:t>Noteikumi</w:t>
            </w:r>
            <w:r w:rsidR="003A2285">
              <w:rPr>
                <w:rFonts w:ascii="Times New Roman" w:hAnsi="Times New Roman"/>
                <w:sz w:val="24"/>
                <w:szCs w:val="24"/>
              </w:rPr>
              <w:t xml:space="preserve"> Nr.298 ir</w:t>
            </w:r>
            <w:proofErr w:type="gramStart"/>
            <w:r w:rsidR="003A2285">
              <w:rPr>
                <w:rFonts w:ascii="Times New Roman" w:hAnsi="Times New Roman"/>
                <w:sz w:val="24"/>
                <w:szCs w:val="24"/>
              </w:rPr>
              <w:t xml:space="preserve"> sagatavoti</w:t>
            </w:r>
            <w:r w:rsidR="00543A89">
              <w:rPr>
                <w:rFonts w:ascii="Times New Roman" w:hAnsi="Times New Roman"/>
                <w:sz w:val="24"/>
                <w:szCs w:val="24"/>
              </w:rPr>
              <w:t xml:space="preserve"> izsludināšanai Valsts sekretāru sanāksmē</w:t>
            </w:r>
            <w:proofErr w:type="gramEnd"/>
            <w:r w:rsidR="003A2285">
              <w:rPr>
                <w:rFonts w:ascii="Times New Roman" w:hAnsi="Times New Roman"/>
                <w:sz w:val="24"/>
                <w:szCs w:val="24"/>
              </w:rPr>
              <w:t xml:space="preserve"> un tiks izskatīti Ministru kabineta sēdē </w:t>
            </w:r>
            <w:r w:rsidR="0087683B">
              <w:rPr>
                <w:rFonts w:ascii="Times New Roman" w:hAnsi="Times New Roman"/>
                <w:sz w:val="24"/>
                <w:szCs w:val="24"/>
              </w:rPr>
              <w:t>reizē</w:t>
            </w:r>
            <w:r w:rsidR="003A2285">
              <w:rPr>
                <w:rFonts w:ascii="Times New Roman" w:hAnsi="Times New Roman"/>
                <w:sz w:val="24"/>
                <w:szCs w:val="24"/>
              </w:rPr>
              <w:t xml:space="preserve"> ar noteikumu projektu</w:t>
            </w:r>
            <w:r w:rsidR="00543A89">
              <w:rPr>
                <w:rFonts w:ascii="Times New Roman" w:hAnsi="Times New Roman"/>
                <w:sz w:val="24"/>
                <w:szCs w:val="24"/>
              </w:rPr>
              <w:t>.</w:t>
            </w:r>
            <w:r w:rsidR="00442D76">
              <w:rPr>
                <w:rFonts w:ascii="Times New Roman" w:hAnsi="Times New Roman"/>
                <w:sz w:val="24"/>
                <w:szCs w:val="24"/>
              </w:rPr>
              <w:t xml:space="preserve"> </w:t>
            </w:r>
            <w:r w:rsidR="003A2285">
              <w:rPr>
                <w:rFonts w:ascii="Times New Roman" w:hAnsi="Times New Roman"/>
                <w:sz w:val="24"/>
                <w:szCs w:val="24"/>
              </w:rPr>
              <w:t>Noteikumu projekts stāsies spēkā pēc noteikum</w:t>
            </w:r>
            <w:r w:rsidR="0087683B">
              <w:rPr>
                <w:rFonts w:ascii="Times New Roman" w:hAnsi="Times New Roman"/>
                <w:sz w:val="24"/>
                <w:szCs w:val="24"/>
              </w:rPr>
              <w:t>u</w:t>
            </w:r>
            <w:r w:rsidR="003A2285">
              <w:rPr>
                <w:rFonts w:ascii="Times New Roman" w:hAnsi="Times New Roman"/>
                <w:sz w:val="24"/>
                <w:szCs w:val="24"/>
              </w:rPr>
              <w:t xml:space="preserve"> Nr.298</w:t>
            </w:r>
            <w:r w:rsidR="0087683B">
              <w:rPr>
                <w:rFonts w:ascii="Times New Roman" w:hAnsi="Times New Roman"/>
                <w:sz w:val="24"/>
                <w:szCs w:val="24"/>
              </w:rPr>
              <w:t xml:space="preserve"> spēkā stāšanās</w:t>
            </w:r>
            <w:r w:rsidR="003A2285">
              <w:rPr>
                <w:rFonts w:ascii="Times New Roman" w:hAnsi="Times New Roman"/>
                <w:sz w:val="24"/>
                <w:szCs w:val="24"/>
              </w:rPr>
              <w:t>.</w:t>
            </w:r>
          </w:p>
        </w:tc>
      </w:tr>
      <w:tr w:rsidR="00C21DCA" w:rsidRPr="009E2709" w:rsidTr="009E2709">
        <w:trPr>
          <w:trHeight w:val="467"/>
        </w:trPr>
        <w:tc>
          <w:tcPr>
            <w:tcW w:w="431" w:type="dxa"/>
          </w:tcPr>
          <w:p w:rsidR="003F4446" w:rsidRPr="009E2709" w:rsidRDefault="003F4446" w:rsidP="00C21DCA">
            <w:pPr>
              <w:pStyle w:val="naiskr"/>
              <w:spacing w:before="0" w:beforeAutospacing="0" w:after="0" w:afterAutospacing="0"/>
            </w:pPr>
            <w:r w:rsidRPr="009E2709">
              <w:t>2.</w:t>
            </w:r>
          </w:p>
        </w:tc>
        <w:tc>
          <w:tcPr>
            <w:tcW w:w="2693" w:type="dxa"/>
          </w:tcPr>
          <w:p w:rsidR="003F4446" w:rsidRPr="009E2709" w:rsidRDefault="003F4446" w:rsidP="00C21DCA">
            <w:pPr>
              <w:pStyle w:val="naiskr"/>
              <w:spacing w:before="0" w:beforeAutospacing="0" w:after="0" w:afterAutospacing="0"/>
              <w:jc w:val="both"/>
            </w:pPr>
            <w:r w:rsidRPr="009E2709">
              <w:t>Atbildīgā institūcija</w:t>
            </w:r>
          </w:p>
        </w:tc>
        <w:tc>
          <w:tcPr>
            <w:tcW w:w="5953" w:type="dxa"/>
          </w:tcPr>
          <w:p w:rsidR="003F4446" w:rsidRPr="009E2709" w:rsidRDefault="00956ED9" w:rsidP="00C21DCA">
            <w:pPr>
              <w:pStyle w:val="Kjene"/>
              <w:tabs>
                <w:tab w:val="clear" w:pos="4153"/>
                <w:tab w:val="clear" w:pos="8306"/>
              </w:tabs>
              <w:jc w:val="both"/>
              <w:rPr>
                <w:rFonts w:ascii="Times New Roman" w:hAnsi="Times New Roman"/>
                <w:sz w:val="24"/>
                <w:szCs w:val="24"/>
              </w:rPr>
            </w:pPr>
            <w:r>
              <w:rPr>
                <w:rFonts w:ascii="Times New Roman" w:hAnsi="Times New Roman"/>
                <w:sz w:val="24"/>
                <w:szCs w:val="24"/>
              </w:rPr>
              <w:t>Zemkopības ministrija</w:t>
            </w:r>
          </w:p>
        </w:tc>
      </w:tr>
      <w:tr w:rsidR="005D73DE" w:rsidRPr="009E2709" w:rsidTr="009E2709">
        <w:trPr>
          <w:trHeight w:val="315"/>
        </w:trPr>
        <w:tc>
          <w:tcPr>
            <w:tcW w:w="431" w:type="dxa"/>
          </w:tcPr>
          <w:p w:rsidR="00B02ED1" w:rsidRPr="009E2709" w:rsidRDefault="003F4446" w:rsidP="00C21DCA">
            <w:pPr>
              <w:pStyle w:val="naiskr"/>
              <w:spacing w:before="0" w:beforeAutospacing="0" w:after="0" w:afterAutospacing="0"/>
            </w:pPr>
            <w:r w:rsidRPr="009E2709">
              <w:t>3</w:t>
            </w:r>
            <w:r w:rsidR="00B02ED1" w:rsidRPr="009E2709">
              <w:t>.</w:t>
            </w:r>
          </w:p>
        </w:tc>
        <w:tc>
          <w:tcPr>
            <w:tcW w:w="2693" w:type="dxa"/>
          </w:tcPr>
          <w:p w:rsidR="00B02ED1" w:rsidRPr="009E2709" w:rsidRDefault="00B02ED1" w:rsidP="00C21DCA">
            <w:pPr>
              <w:pStyle w:val="naiskr"/>
              <w:spacing w:before="0" w:beforeAutospacing="0" w:after="0" w:afterAutospacing="0"/>
              <w:jc w:val="both"/>
            </w:pPr>
            <w:r w:rsidRPr="009E2709">
              <w:t>Cita informācija</w:t>
            </w:r>
          </w:p>
        </w:tc>
        <w:tc>
          <w:tcPr>
            <w:tcW w:w="5953" w:type="dxa"/>
          </w:tcPr>
          <w:p w:rsidR="00B02ED1" w:rsidRPr="009E2709" w:rsidRDefault="00956ED9" w:rsidP="00C21DCA">
            <w:pPr>
              <w:pStyle w:val="naiskr"/>
              <w:spacing w:before="0" w:beforeAutospacing="0" w:after="0" w:afterAutospacing="0"/>
            </w:pPr>
            <w:r>
              <w:t>Nav.</w:t>
            </w:r>
          </w:p>
        </w:tc>
      </w:tr>
    </w:tbl>
    <w:p w:rsidR="00B02ED1" w:rsidRPr="009E2709" w:rsidRDefault="00B02ED1" w:rsidP="00C21DCA">
      <w:pPr>
        <w:jc w:val="both"/>
        <w:rPr>
          <w:i/>
          <w:lang w:val="lv-LV"/>
        </w:rPr>
      </w:pPr>
    </w:p>
    <w:tbl>
      <w:tblPr>
        <w:tblW w:w="5005" w:type="pct"/>
        <w:tblInd w:w="6"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7"/>
        <w:gridCol w:w="479"/>
        <w:gridCol w:w="2258"/>
        <w:gridCol w:w="374"/>
        <w:gridCol w:w="1738"/>
        <w:gridCol w:w="1968"/>
        <w:gridCol w:w="2231"/>
        <w:gridCol w:w="15"/>
      </w:tblGrid>
      <w:tr w:rsidR="005D73DE" w:rsidRPr="00295020" w:rsidTr="00076158">
        <w:trPr>
          <w:gridAfter w:val="1"/>
          <w:wAfter w:w="8" w:type="pct"/>
        </w:trPr>
        <w:tc>
          <w:tcPr>
            <w:tcW w:w="4992" w:type="pct"/>
            <w:gridSpan w:val="7"/>
            <w:tcBorders>
              <w:top w:val="single" w:sz="4" w:space="0" w:color="auto"/>
              <w:left w:val="single" w:sz="4" w:space="0" w:color="auto"/>
              <w:bottom w:val="outset" w:sz="6" w:space="0" w:color="000000"/>
              <w:right w:val="single" w:sz="4" w:space="0" w:color="auto"/>
            </w:tcBorders>
          </w:tcPr>
          <w:p w:rsidR="009E04D3" w:rsidRPr="009E2709" w:rsidRDefault="009E04D3" w:rsidP="00C21DCA">
            <w:pPr>
              <w:jc w:val="center"/>
              <w:rPr>
                <w:b/>
                <w:bCs/>
                <w:lang w:val="lv-LV"/>
              </w:rPr>
            </w:pPr>
            <w:r w:rsidRPr="009E2709">
              <w:rPr>
                <w:b/>
                <w:bCs/>
                <w:sz w:val="28"/>
                <w:lang w:val="lv-LV"/>
              </w:rPr>
              <w:t>V. Tiesību akta projekta atbilstība Latvijas Republikas starptautiskajām saistībām</w:t>
            </w:r>
          </w:p>
        </w:tc>
      </w:tr>
      <w:tr w:rsidR="005D73DE" w:rsidRPr="00076158" w:rsidTr="00076158">
        <w:trPr>
          <w:gridAfter w:val="1"/>
          <w:wAfter w:w="8" w:type="pct"/>
        </w:trPr>
        <w:tc>
          <w:tcPr>
            <w:tcW w:w="268" w:type="pct"/>
            <w:gridSpan w:val="2"/>
            <w:tcBorders>
              <w:top w:val="outset" w:sz="6" w:space="0" w:color="000000"/>
              <w:left w:val="outset" w:sz="6" w:space="0" w:color="000000"/>
              <w:bottom w:val="outset" w:sz="6" w:space="0" w:color="000000"/>
              <w:right w:val="outset" w:sz="6" w:space="0" w:color="000000"/>
            </w:tcBorders>
          </w:tcPr>
          <w:p w:rsidR="009E04D3" w:rsidRPr="009E2709" w:rsidRDefault="009E04D3" w:rsidP="005D73DE">
            <w:pPr>
              <w:rPr>
                <w:lang w:val="lv-LV"/>
              </w:rPr>
            </w:pPr>
            <w:r w:rsidRPr="009E2709">
              <w:rPr>
                <w:lang w:val="lv-LV"/>
              </w:rPr>
              <w:t>1.</w:t>
            </w:r>
          </w:p>
        </w:tc>
        <w:tc>
          <w:tcPr>
            <w:tcW w:w="1451" w:type="pct"/>
            <w:gridSpan w:val="2"/>
            <w:tcBorders>
              <w:top w:val="outset" w:sz="6" w:space="0" w:color="000000"/>
              <w:left w:val="outset" w:sz="6" w:space="0" w:color="000000"/>
              <w:bottom w:val="outset" w:sz="6" w:space="0" w:color="000000"/>
              <w:right w:val="outset" w:sz="6" w:space="0" w:color="000000"/>
            </w:tcBorders>
          </w:tcPr>
          <w:p w:rsidR="009E04D3" w:rsidRPr="009E2709" w:rsidRDefault="009E04D3" w:rsidP="00C21DCA">
            <w:pPr>
              <w:jc w:val="both"/>
              <w:rPr>
                <w:lang w:val="lv-LV"/>
              </w:rPr>
            </w:pPr>
            <w:r w:rsidRPr="009E2709">
              <w:rPr>
                <w:lang w:val="lv-LV"/>
              </w:rPr>
              <w:t>Saistības pret Eiropas Savienību</w:t>
            </w:r>
          </w:p>
        </w:tc>
        <w:tc>
          <w:tcPr>
            <w:tcW w:w="3272" w:type="pct"/>
            <w:gridSpan w:val="3"/>
            <w:tcBorders>
              <w:top w:val="outset" w:sz="6" w:space="0" w:color="000000"/>
              <w:left w:val="outset" w:sz="6" w:space="0" w:color="000000"/>
              <w:bottom w:val="outset" w:sz="6" w:space="0" w:color="000000"/>
              <w:right w:val="outset" w:sz="6" w:space="0" w:color="000000"/>
            </w:tcBorders>
          </w:tcPr>
          <w:p w:rsidR="00956ED9" w:rsidRPr="00956ED9" w:rsidRDefault="00956ED9" w:rsidP="00956ED9">
            <w:pPr>
              <w:jc w:val="both"/>
              <w:rPr>
                <w:lang w:val="lv-LV"/>
              </w:rPr>
            </w:pPr>
            <w:r w:rsidRPr="00956ED9">
              <w:rPr>
                <w:lang w:val="lv-LV"/>
              </w:rPr>
              <w:t>Noteikumu projektā iekļautas normas, kas noteiktas:</w:t>
            </w:r>
          </w:p>
          <w:p w:rsidR="00956ED9" w:rsidRPr="00956ED9" w:rsidRDefault="00956ED9" w:rsidP="00956ED9">
            <w:pPr>
              <w:jc w:val="both"/>
              <w:rPr>
                <w:lang w:val="lv-LV"/>
              </w:rPr>
            </w:pPr>
            <w:r w:rsidRPr="00956ED9">
              <w:rPr>
                <w:lang w:val="lv-LV"/>
              </w:rPr>
              <w:lastRenderedPageBreak/>
              <w:t xml:space="preserve">1) Eiropas Parlamenta un Padomes </w:t>
            </w:r>
            <w:proofErr w:type="gramStart"/>
            <w:r w:rsidRPr="00956ED9">
              <w:rPr>
                <w:lang w:val="lv-LV"/>
              </w:rPr>
              <w:t>2009.gada</w:t>
            </w:r>
            <w:proofErr w:type="gramEnd"/>
            <w:r w:rsidRPr="00956ED9">
              <w:rPr>
                <w:lang w:val="lv-LV"/>
              </w:rPr>
              <w:t xml:space="preserve"> 21.oktobra Regulā (EK) Nr.1069/2009, ar ko nosaka veselības aizsardzības noteikumus attiecībā uz dzīvnieku izcelsmes blakusproduktiem un atvasinātajiem produktiem, kuri nav paredzēti cilvēku patēriņam, un ar ko atceļ Regulu (ES) Nr.1774/2002 (turpmāk – Regula </w:t>
            </w:r>
            <w:r w:rsidR="00F26E32">
              <w:rPr>
                <w:lang w:val="lv-LV"/>
              </w:rPr>
              <w:t xml:space="preserve">(EK) </w:t>
            </w:r>
            <w:r w:rsidRPr="00956ED9">
              <w:rPr>
                <w:lang w:val="lv-LV"/>
              </w:rPr>
              <w:t>Nr.1069/2009);</w:t>
            </w:r>
          </w:p>
          <w:p w:rsidR="00956ED9" w:rsidRDefault="00956ED9" w:rsidP="00956ED9">
            <w:pPr>
              <w:jc w:val="both"/>
              <w:rPr>
                <w:lang w:val="lv-LV"/>
              </w:rPr>
            </w:pPr>
            <w:r w:rsidRPr="00956ED9">
              <w:rPr>
                <w:lang w:val="lv-LV"/>
              </w:rPr>
              <w:t xml:space="preserve">2) Komisijas </w:t>
            </w:r>
            <w:proofErr w:type="gramStart"/>
            <w:r w:rsidR="00543A89">
              <w:rPr>
                <w:lang w:val="lv-LV"/>
              </w:rPr>
              <w:t>2011.gada</w:t>
            </w:r>
            <w:proofErr w:type="gramEnd"/>
            <w:r w:rsidR="00543A89">
              <w:rPr>
                <w:lang w:val="lv-LV"/>
              </w:rPr>
              <w:t xml:space="preserve"> 25.februāra Regulā (ES</w:t>
            </w:r>
            <w:r w:rsidRPr="00956ED9">
              <w:rPr>
                <w:lang w:val="lv-LV"/>
              </w:rPr>
              <w:t xml:space="preserve">) Nr.142/2011, ar kuru īsteno Eiropas Parlamenta un Padomes Regulu (EK) Nr.1069/2009, ar ko nosaka veselības aizsardzības noteikumus attiecībā uz dzīvnieku izcelsmes blakusproduktiem un atvasinātajiem produktiem, kuri nav paredzēti cilvēku patēriņam, un īsteno Padomes Direktīvu 97/78/EK attiecībā uz dažiem paraugiem un precēm, kam uz robežas neveic veterinārās pārbaudes atbilstīgi minētajai direktīvai (turpmāk – Regula </w:t>
            </w:r>
            <w:r w:rsidR="00F26E32">
              <w:rPr>
                <w:lang w:val="lv-LV"/>
              </w:rPr>
              <w:t xml:space="preserve">(EK) </w:t>
            </w:r>
            <w:r w:rsidRPr="00956ED9">
              <w:rPr>
                <w:lang w:val="lv-LV"/>
              </w:rPr>
              <w:t>Nr.142/2011);</w:t>
            </w:r>
          </w:p>
          <w:p w:rsidR="00543A89" w:rsidRPr="00956ED9" w:rsidRDefault="007872A9" w:rsidP="00956ED9">
            <w:pPr>
              <w:jc w:val="both"/>
              <w:rPr>
                <w:lang w:val="lv-LV"/>
              </w:rPr>
            </w:pPr>
            <w:r>
              <w:rPr>
                <w:lang w:val="lv-LV"/>
              </w:rPr>
              <w:t>3) Eiropas Parla</w:t>
            </w:r>
            <w:r w:rsidR="00543A89">
              <w:rPr>
                <w:lang w:val="lv-LV"/>
              </w:rPr>
              <w:t xml:space="preserve">menta un Padomes </w:t>
            </w:r>
            <w:proofErr w:type="gramStart"/>
            <w:r w:rsidR="00543A89">
              <w:rPr>
                <w:lang w:val="lv-LV"/>
              </w:rPr>
              <w:t>2004.gada</w:t>
            </w:r>
            <w:proofErr w:type="gramEnd"/>
            <w:r w:rsidR="00543A89">
              <w:rPr>
                <w:lang w:val="lv-LV"/>
              </w:rPr>
              <w:t xml:space="preserve"> 29.aprīļa Regul</w:t>
            </w:r>
            <w:r w:rsidR="0087683B">
              <w:rPr>
                <w:lang w:val="lv-LV"/>
              </w:rPr>
              <w:t>ā</w:t>
            </w:r>
            <w:r w:rsidR="00543A89">
              <w:rPr>
                <w:lang w:val="lv-LV"/>
              </w:rPr>
              <w:t xml:space="preserve"> (EK) Nr.853/2004, ar ko nosaka īpašus higiēnas noteikumus attiecībā uz dzīvnieku izcelsmes pārtiku (turpmāk – Regula </w:t>
            </w:r>
            <w:r w:rsidR="00F26E32">
              <w:rPr>
                <w:lang w:val="lv-LV"/>
              </w:rPr>
              <w:t xml:space="preserve">(EK) </w:t>
            </w:r>
            <w:r w:rsidR="00543A89">
              <w:rPr>
                <w:lang w:val="lv-LV"/>
              </w:rPr>
              <w:t>Nr.853/2004);</w:t>
            </w:r>
          </w:p>
          <w:p w:rsidR="009E04D3" w:rsidRPr="009E2709" w:rsidRDefault="00543A89" w:rsidP="00956ED9">
            <w:pPr>
              <w:jc w:val="both"/>
              <w:rPr>
                <w:lang w:val="lv-LV"/>
              </w:rPr>
            </w:pPr>
            <w:r>
              <w:rPr>
                <w:lang w:val="lv-LV"/>
              </w:rPr>
              <w:t>4</w:t>
            </w:r>
            <w:r w:rsidR="00956ED9" w:rsidRPr="00956ED9">
              <w:rPr>
                <w:lang w:val="lv-LV"/>
              </w:rPr>
              <w:t xml:space="preserve">) Padomes </w:t>
            </w:r>
            <w:proofErr w:type="gramStart"/>
            <w:r w:rsidR="00956ED9" w:rsidRPr="00956ED9">
              <w:rPr>
                <w:lang w:val="lv-LV"/>
              </w:rPr>
              <w:t>2004.gada</w:t>
            </w:r>
            <w:proofErr w:type="gramEnd"/>
            <w:r w:rsidR="00956ED9" w:rsidRPr="00956ED9">
              <w:rPr>
                <w:lang w:val="lv-LV"/>
              </w:rPr>
              <w:t xml:space="preserve"> 29.aprīļa Regulā (EK) Nr.854/2004, ar ko paredz īpašus noteikumus par lietošanai pārtikā paredzētu dzīvnieku izcelsmes produktu oficiālās kontroles organizēšanu (turpmāk – Regula </w:t>
            </w:r>
            <w:r w:rsidR="00F26E32">
              <w:rPr>
                <w:lang w:val="lv-LV"/>
              </w:rPr>
              <w:t xml:space="preserve">(EK) </w:t>
            </w:r>
            <w:r w:rsidR="00956ED9" w:rsidRPr="00956ED9">
              <w:rPr>
                <w:lang w:val="lv-LV"/>
              </w:rPr>
              <w:t>Nr.854/2004).</w:t>
            </w:r>
          </w:p>
        </w:tc>
      </w:tr>
      <w:tr w:rsidR="005D73DE" w:rsidRPr="009E2709" w:rsidTr="00076158">
        <w:trPr>
          <w:gridAfter w:val="1"/>
          <w:wAfter w:w="8" w:type="pct"/>
        </w:trPr>
        <w:tc>
          <w:tcPr>
            <w:tcW w:w="268" w:type="pct"/>
            <w:gridSpan w:val="2"/>
            <w:tcBorders>
              <w:top w:val="outset" w:sz="6" w:space="0" w:color="000000"/>
              <w:left w:val="outset" w:sz="6" w:space="0" w:color="000000"/>
              <w:bottom w:val="outset" w:sz="6" w:space="0" w:color="000000"/>
              <w:right w:val="outset" w:sz="6" w:space="0" w:color="000000"/>
            </w:tcBorders>
          </w:tcPr>
          <w:p w:rsidR="009E04D3" w:rsidRPr="009E2709" w:rsidRDefault="009E04D3" w:rsidP="005D73DE">
            <w:pPr>
              <w:rPr>
                <w:lang w:val="lv-LV"/>
              </w:rPr>
            </w:pPr>
            <w:r w:rsidRPr="009E2709">
              <w:rPr>
                <w:lang w:val="lv-LV"/>
              </w:rPr>
              <w:lastRenderedPageBreak/>
              <w:t>2.</w:t>
            </w:r>
          </w:p>
        </w:tc>
        <w:tc>
          <w:tcPr>
            <w:tcW w:w="1451" w:type="pct"/>
            <w:gridSpan w:val="2"/>
            <w:tcBorders>
              <w:top w:val="outset" w:sz="6" w:space="0" w:color="000000"/>
              <w:left w:val="outset" w:sz="6" w:space="0" w:color="000000"/>
              <w:bottom w:val="outset" w:sz="6" w:space="0" w:color="000000"/>
              <w:right w:val="outset" w:sz="6" w:space="0" w:color="000000"/>
            </w:tcBorders>
          </w:tcPr>
          <w:p w:rsidR="009E04D3" w:rsidRPr="009E2709" w:rsidRDefault="009E04D3" w:rsidP="00C21DCA">
            <w:pPr>
              <w:jc w:val="both"/>
              <w:rPr>
                <w:lang w:val="lv-LV"/>
              </w:rPr>
            </w:pPr>
            <w:r w:rsidRPr="009E2709">
              <w:rPr>
                <w:lang w:val="lv-LV"/>
              </w:rPr>
              <w:t>Citas starptautiskās saistības</w:t>
            </w:r>
          </w:p>
        </w:tc>
        <w:tc>
          <w:tcPr>
            <w:tcW w:w="3272" w:type="pct"/>
            <w:gridSpan w:val="3"/>
            <w:tcBorders>
              <w:top w:val="outset" w:sz="6" w:space="0" w:color="000000"/>
              <w:left w:val="outset" w:sz="6" w:space="0" w:color="000000"/>
              <w:bottom w:val="outset" w:sz="6" w:space="0" w:color="000000"/>
              <w:right w:val="outset" w:sz="6" w:space="0" w:color="000000"/>
            </w:tcBorders>
          </w:tcPr>
          <w:p w:rsidR="009E04D3" w:rsidRPr="009E2709" w:rsidRDefault="00956ED9" w:rsidP="005D73DE">
            <w:pPr>
              <w:rPr>
                <w:lang w:val="lv-LV"/>
              </w:rPr>
            </w:pPr>
            <w:r>
              <w:rPr>
                <w:lang w:val="lv-LV"/>
              </w:rPr>
              <w:t>Projekts šo jomu neskar.</w:t>
            </w:r>
          </w:p>
        </w:tc>
      </w:tr>
      <w:tr w:rsidR="005D73DE" w:rsidRPr="009E2709" w:rsidTr="00076158">
        <w:trPr>
          <w:gridAfter w:val="1"/>
          <w:wAfter w:w="8" w:type="pct"/>
        </w:trPr>
        <w:tc>
          <w:tcPr>
            <w:tcW w:w="268" w:type="pct"/>
            <w:gridSpan w:val="2"/>
            <w:tcBorders>
              <w:top w:val="outset" w:sz="6" w:space="0" w:color="000000"/>
              <w:left w:val="outset" w:sz="6" w:space="0" w:color="000000"/>
              <w:bottom w:val="outset" w:sz="6" w:space="0" w:color="000000"/>
              <w:right w:val="outset" w:sz="6" w:space="0" w:color="000000"/>
            </w:tcBorders>
          </w:tcPr>
          <w:p w:rsidR="009E04D3" w:rsidRPr="009E2709" w:rsidRDefault="009E04D3" w:rsidP="005D73DE">
            <w:pPr>
              <w:rPr>
                <w:lang w:val="lv-LV"/>
              </w:rPr>
            </w:pPr>
            <w:r w:rsidRPr="009E2709">
              <w:rPr>
                <w:lang w:val="lv-LV"/>
              </w:rPr>
              <w:t>3.</w:t>
            </w:r>
          </w:p>
        </w:tc>
        <w:tc>
          <w:tcPr>
            <w:tcW w:w="1451" w:type="pct"/>
            <w:gridSpan w:val="2"/>
            <w:tcBorders>
              <w:top w:val="outset" w:sz="6" w:space="0" w:color="000000"/>
              <w:left w:val="outset" w:sz="6" w:space="0" w:color="000000"/>
              <w:bottom w:val="outset" w:sz="6" w:space="0" w:color="000000"/>
              <w:right w:val="outset" w:sz="6" w:space="0" w:color="000000"/>
            </w:tcBorders>
          </w:tcPr>
          <w:p w:rsidR="009E04D3" w:rsidRPr="009E2709" w:rsidRDefault="009E04D3" w:rsidP="00C21DCA">
            <w:pPr>
              <w:jc w:val="both"/>
              <w:rPr>
                <w:lang w:val="lv-LV"/>
              </w:rPr>
            </w:pPr>
            <w:r w:rsidRPr="009E2709">
              <w:rPr>
                <w:lang w:val="lv-LV"/>
              </w:rPr>
              <w:t>Cita informācija</w:t>
            </w:r>
          </w:p>
        </w:tc>
        <w:tc>
          <w:tcPr>
            <w:tcW w:w="3272" w:type="pct"/>
            <w:gridSpan w:val="3"/>
            <w:tcBorders>
              <w:top w:val="outset" w:sz="6" w:space="0" w:color="000000"/>
              <w:left w:val="outset" w:sz="6" w:space="0" w:color="000000"/>
              <w:bottom w:val="outset" w:sz="6" w:space="0" w:color="000000"/>
              <w:right w:val="outset" w:sz="6" w:space="0" w:color="000000"/>
            </w:tcBorders>
          </w:tcPr>
          <w:p w:rsidR="009E04D3" w:rsidRPr="009E2709" w:rsidRDefault="00956ED9" w:rsidP="005D73DE">
            <w:pPr>
              <w:rPr>
                <w:lang w:val="lv-LV"/>
              </w:rPr>
            </w:pPr>
            <w:r>
              <w:rPr>
                <w:lang w:val="lv-LV"/>
              </w:rPr>
              <w:t>Nav.</w:t>
            </w:r>
          </w:p>
        </w:tc>
      </w:tr>
      <w:tr w:rsidR="005D73DE" w:rsidRPr="009E2709" w:rsidTr="0007615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523"/>
          <w:jc w:val="center"/>
        </w:trPr>
        <w:tc>
          <w:tcPr>
            <w:tcW w:w="4996" w:type="pct"/>
            <w:gridSpan w:val="7"/>
            <w:vAlign w:val="center"/>
          </w:tcPr>
          <w:p w:rsidR="00FB20CF" w:rsidRPr="009E2709" w:rsidRDefault="00FB20CF" w:rsidP="005D73DE">
            <w:pPr>
              <w:pStyle w:val="naisnod"/>
              <w:spacing w:before="0" w:after="0"/>
            </w:pPr>
            <w:r w:rsidRPr="009E2709">
              <w:t>1.tabula</w:t>
            </w:r>
          </w:p>
          <w:p w:rsidR="00FB20CF" w:rsidRPr="009E2709" w:rsidRDefault="00FB20CF" w:rsidP="005D73DE">
            <w:pPr>
              <w:pStyle w:val="naisnod"/>
              <w:spacing w:before="0" w:after="0"/>
              <w:rPr>
                <w:i/>
              </w:rPr>
            </w:pPr>
            <w:r w:rsidRPr="009E2709">
              <w:t>Tiesību akta projekta atbilstība ES tiesību aktiem</w:t>
            </w:r>
          </w:p>
        </w:tc>
      </w:tr>
      <w:tr w:rsidR="005D73DE" w:rsidRPr="00295020" w:rsidTr="0007615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906"/>
          <w:jc w:val="center"/>
        </w:trPr>
        <w:tc>
          <w:tcPr>
            <w:tcW w:w="1509" w:type="pct"/>
            <w:gridSpan w:val="2"/>
            <w:vAlign w:val="center"/>
          </w:tcPr>
          <w:p w:rsidR="00FB20CF" w:rsidRPr="009E2709" w:rsidRDefault="00FB20CF" w:rsidP="005D73DE">
            <w:pPr>
              <w:pStyle w:val="naiskr"/>
              <w:spacing w:before="0" w:beforeAutospacing="0" w:after="0" w:afterAutospacing="0"/>
              <w:ind w:hanging="10"/>
              <w:jc w:val="center"/>
            </w:pPr>
            <w:r w:rsidRPr="009E2709">
              <w:t>Attiecīgā ES tiesību akta datums, numurs un nosaukums</w:t>
            </w:r>
          </w:p>
        </w:tc>
        <w:tc>
          <w:tcPr>
            <w:tcW w:w="3487" w:type="pct"/>
            <w:gridSpan w:val="5"/>
          </w:tcPr>
          <w:p w:rsidR="00FB20CF" w:rsidRPr="009E2709" w:rsidRDefault="00FB20CF" w:rsidP="005D73DE">
            <w:pPr>
              <w:pStyle w:val="naiskr"/>
              <w:spacing w:before="0" w:beforeAutospacing="0" w:after="0" w:afterAutospacing="0"/>
            </w:pPr>
          </w:p>
        </w:tc>
      </w:tr>
      <w:tr w:rsidR="005D73DE" w:rsidRPr="009E2709" w:rsidTr="0007615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65"/>
          <w:jc w:val="center"/>
        </w:trPr>
        <w:tc>
          <w:tcPr>
            <w:tcW w:w="1509" w:type="pct"/>
            <w:gridSpan w:val="2"/>
            <w:vAlign w:val="center"/>
          </w:tcPr>
          <w:p w:rsidR="00FB20CF" w:rsidRPr="009E2709" w:rsidRDefault="00FB20CF" w:rsidP="005D73DE">
            <w:pPr>
              <w:pStyle w:val="naiskr"/>
              <w:spacing w:before="0" w:beforeAutospacing="0" w:after="0" w:afterAutospacing="0"/>
              <w:jc w:val="center"/>
            </w:pPr>
            <w:r w:rsidRPr="009E2709">
              <w:t>A</w:t>
            </w:r>
          </w:p>
        </w:tc>
        <w:tc>
          <w:tcPr>
            <w:tcW w:w="1164" w:type="pct"/>
            <w:gridSpan w:val="2"/>
            <w:vAlign w:val="center"/>
          </w:tcPr>
          <w:p w:rsidR="00FB20CF" w:rsidRPr="009E2709" w:rsidRDefault="00FB20CF" w:rsidP="005D73DE">
            <w:pPr>
              <w:pStyle w:val="naiskr"/>
              <w:spacing w:before="0" w:beforeAutospacing="0" w:after="0" w:afterAutospacing="0"/>
              <w:jc w:val="center"/>
            </w:pPr>
            <w:r w:rsidRPr="009E2709">
              <w:t>B</w:t>
            </w:r>
          </w:p>
        </w:tc>
        <w:tc>
          <w:tcPr>
            <w:tcW w:w="1085" w:type="pct"/>
            <w:vAlign w:val="center"/>
          </w:tcPr>
          <w:p w:rsidR="00FB20CF" w:rsidRPr="009E2709" w:rsidRDefault="00FB20CF" w:rsidP="005D73DE">
            <w:pPr>
              <w:pStyle w:val="naiskr"/>
              <w:spacing w:before="0" w:beforeAutospacing="0" w:after="0" w:afterAutospacing="0"/>
              <w:jc w:val="center"/>
            </w:pPr>
            <w:r w:rsidRPr="009E2709">
              <w:t>C</w:t>
            </w:r>
          </w:p>
        </w:tc>
        <w:tc>
          <w:tcPr>
            <w:tcW w:w="1238" w:type="pct"/>
            <w:gridSpan w:val="2"/>
            <w:vAlign w:val="center"/>
          </w:tcPr>
          <w:p w:rsidR="00FB20CF" w:rsidRPr="009E2709" w:rsidRDefault="00FB20CF" w:rsidP="005D73DE">
            <w:pPr>
              <w:pStyle w:val="naiskr"/>
              <w:spacing w:before="0" w:beforeAutospacing="0" w:after="0" w:afterAutospacing="0"/>
              <w:jc w:val="center"/>
            </w:pPr>
            <w:r w:rsidRPr="009E2709">
              <w:t>D</w:t>
            </w:r>
          </w:p>
        </w:tc>
      </w:tr>
      <w:tr w:rsidR="005D73DE" w:rsidRPr="00076158" w:rsidTr="0007615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65"/>
          <w:jc w:val="center"/>
        </w:trPr>
        <w:tc>
          <w:tcPr>
            <w:tcW w:w="1509" w:type="pct"/>
            <w:gridSpan w:val="2"/>
          </w:tcPr>
          <w:p w:rsidR="00DC5E91" w:rsidRPr="009E2709" w:rsidRDefault="00DC5E91" w:rsidP="005D73DE">
            <w:pPr>
              <w:pStyle w:val="naiskr"/>
              <w:spacing w:before="0" w:beforeAutospacing="0" w:after="0" w:afterAutospacing="0"/>
              <w:jc w:val="both"/>
            </w:pPr>
            <w:r w:rsidRPr="009E2709">
              <w:t>Attiecīgā ES tiesību akta panta numurs (uzskaitot katru tiesību akta vienību – pantu, daļu, punktu, apakšpunktu)</w:t>
            </w:r>
          </w:p>
        </w:tc>
        <w:tc>
          <w:tcPr>
            <w:tcW w:w="1164" w:type="pct"/>
            <w:gridSpan w:val="2"/>
          </w:tcPr>
          <w:p w:rsidR="00DC5E91" w:rsidRPr="009E2709" w:rsidRDefault="0015551E" w:rsidP="005D73DE">
            <w:pPr>
              <w:pStyle w:val="naiskr"/>
              <w:spacing w:before="0" w:beforeAutospacing="0" w:after="0" w:afterAutospacing="0"/>
              <w:jc w:val="both"/>
            </w:pPr>
            <w:r w:rsidRPr="009E2709">
              <w:t>Projekta vienība, kas pārņem vai ievieš katru šīs tabulas A ailē minēto ES tiesību akta vienību, vai tiesību akts, kur attiecīgā ES tiesību akta vienība pārņemta vai ieviesta</w:t>
            </w:r>
          </w:p>
        </w:tc>
        <w:tc>
          <w:tcPr>
            <w:tcW w:w="1085" w:type="pct"/>
          </w:tcPr>
          <w:p w:rsidR="00E36E68" w:rsidRPr="009E2709" w:rsidRDefault="00DC5E91" w:rsidP="005D73DE">
            <w:pPr>
              <w:pStyle w:val="naiskr"/>
              <w:spacing w:before="0" w:beforeAutospacing="0" w:after="0" w:afterAutospacing="0"/>
              <w:jc w:val="both"/>
            </w:pPr>
            <w:r w:rsidRPr="009E2709">
              <w:t>Informācija par to, vai šīs tabulas A ailē minētās ES tiesību akta vienības tiek pārņemtas vai ieviestas pilnībā vai daļēji.</w:t>
            </w:r>
          </w:p>
          <w:p w:rsidR="00E36E68" w:rsidRPr="009E2709" w:rsidRDefault="00E36E68" w:rsidP="005D73DE">
            <w:pPr>
              <w:pStyle w:val="naiskr"/>
              <w:spacing w:before="0" w:beforeAutospacing="0" w:after="0" w:afterAutospacing="0"/>
              <w:jc w:val="both"/>
            </w:pPr>
            <w:r w:rsidRPr="009E2709">
              <w:t>Ja attiecīgā ES tiesību akta vienība tiek pārņemta vai ieviesta daļēji,</w:t>
            </w:r>
            <w:proofErr w:type="gramStart"/>
            <w:r w:rsidRPr="009E2709">
              <w:t xml:space="preserve">  </w:t>
            </w:r>
            <w:proofErr w:type="gramEnd"/>
            <w:r w:rsidRPr="009E2709">
              <w:t xml:space="preserve">sniedz attiecīgu skaidrojumu, kā arī precīzi norāda, kad un kādā veidā ES tiesību akta vienība </w:t>
            </w:r>
            <w:r w:rsidRPr="009E2709">
              <w:lastRenderedPageBreak/>
              <w:t>tiks pārņemta vai ieviesta pilnībā.</w:t>
            </w:r>
          </w:p>
          <w:p w:rsidR="00E36E68" w:rsidRPr="009E2709" w:rsidRDefault="00E36E68" w:rsidP="005D73DE">
            <w:pPr>
              <w:pStyle w:val="naiskr"/>
              <w:spacing w:before="0" w:beforeAutospacing="0" w:after="0" w:afterAutospacing="0"/>
              <w:jc w:val="both"/>
            </w:pPr>
            <w:r w:rsidRPr="009E2709">
              <w:t>Norāda institūciju, kas ir atbildīga par šo saistību izpildi pilnībā</w:t>
            </w:r>
          </w:p>
        </w:tc>
        <w:tc>
          <w:tcPr>
            <w:tcW w:w="1238" w:type="pct"/>
            <w:gridSpan w:val="2"/>
            <w:vAlign w:val="center"/>
          </w:tcPr>
          <w:p w:rsidR="00E36E68" w:rsidRPr="009E2709" w:rsidRDefault="00DC5E91" w:rsidP="005D73DE">
            <w:pPr>
              <w:pStyle w:val="naiskr"/>
              <w:spacing w:before="0" w:beforeAutospacing="0" w:after="0" w:afterAutospacing="0"/>
              <w:jc w:val="both"/>
            </w:pPr>
            <w:r w:rsidRPr="009E2709">
              <w:lastRenderedPageBreak/>
              <w:t>Informācija par to, vai šīs tabulas B ailē minētās projekta vienības paredz stingrākas prasības nekā šīs tabulas A ailē minētās ES tiesību akta vienības.</w:t>
            </w:r>
          </w:p>
          <w:p w:rsidR="00E36E68" w:rsidRPr="009E2709" w:rsidRDefault="00E36E68" w:rsidP="005D73DE">
            <w:pPr>
              <w:pStyle w:val="naiskr"/>
              <w:spacing w:before="0" w:beforeAutospacing="0" w:after="0" w:afterAutospacing="0"/>
              <w:jc w:val="both"/>
            </w:pPr>
            <w:r w:rsidRPr="009E2709">
              <w:t>Ja projekts satur stingrākas prasības nekā attiecīgais ES tiesību akts, norāda pamatojumu un samērīgumu.</w:t>
            </w:r>
          </w:p>
          <w:p w:rsidR="00DC5E91" w:rsidRPr="009E2709" w:rsidRDefault="00E36E68" w:rsidP="005D73DE">
            <w:pPr>
              <w:pStyle w:val="naiskr"/>
              <w:spacing w:before="0" w:beforeAutospacing="0" w:after="0" w:afterAutospacing="0"/>
              <w:jc w:val="both"/>
            </w:pPr>
            <w:r w:rsidRPr="009E2709">
              <w:t xml:space="preserve">Norāda iespējamās alternatīvas (t.sk. alternatīvas, kas </w:t>
            </w:r>
            <w:r w:rsidRPr="009E2709">
              <w:lastRenderedPageBreak/>
              <w:t>neparedz tiesiskā regulējuma izstrādi) – kādos gadījumos būtu iespējams izvairīties no stingrāku prasību noteikšanas, nekā paredzēts attiecīgajos ES tiesību aktos</w:t>
            </w:r>
          </w:p>
        </w:tc>
      </w:tr>
      <w:tr w:rsidR="0031464D" w:rsidRPr="00076158" w:rsidTr="0007615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509" w:type="pct"/>
            <w:gridSpan w:val="2"/>
          </w:tcPr>
          <w:p w:rsidR="0031464D" w:rsidRPr="00C9621D" w:rsidRDefault="0031464D" w:rsidP="0031464D">
            <w:pPr>
              <w:jc w:val="both"/>
              <w:rPr>
                <w:lang w:val="lv-LV"/>
              </w:rPr>
            </w:pPr>
            <w:r w:rsidRPr="0031464D">
              <w:rPr>
                <w:lang w:val="lv-LV"/>
              </w:rPr>
              <w:lastRenderedPageBreak/>
              <w:t>Regulas (EK) Nr.142/2011 X pielikuma I nodaļas 4.iedaļa</w:t>
            </w:r>
          </w:p>
        </w:tc>
        <w:tc>
          <w:tcPr>
            <w:tcW w:w="1164" w:type="pct"/>
            <w:gridSpan w:val="2"/>
            <w:vAlign w:val="center"/>
          </w:tcPr>
          <w:p w:rsidR="0031464D" w:rsidRDefault="00386375" w:rsidP="00BD5643">
            <w:pPr>
              <w:pStyle w:val="naiskr"/>
              <w:spacing w:before="0" w:beforeAutospacing="0" w:after="0" w:afterAutospacing="0"/>
              <w:jc w:val="both"/>
            </w:pPr>
            <w:r>
              <w:t>12</w:t>
            </w:r>
            <w:r w:rsidR="0031464D">
              <w:t>.1.apakšpunkts un 20.punkts</w:t>
            </w:r>
          </w:p>
        </w:tc>
        <w:tc>
          <w:tcPr>
            <w:tcW w:w="1085" w:type="pct"/>
          </w:tcPr>
          <w:p w:rsidR="0031464D" w:rsidRPr="002B5B5B" w:rsidRDefault="0031464D" w:rsidP="005D73DE">
            <w:pPr>
              <w:pStyle w:val="naiskr"/>
              <w:spacing w:before="0" w:beforeAutospacing="0" w:after="0" w:afterAutospacing="0"/>
              <w:jc w:val="both"/>
            </w:pPr>
            <w:r w:rsidRPr="0031464D">
              <w:rPr>
                <w:lang w:val="en-GB"/>
              </w:rPr>
              <w:t xml:space="preserve">ES </w:t>
            </w:r>
            <w:proofErr w:type="spellStart"/>
            <w:r w:rsidRPr="0031464D">
              <w:rPr>
                <w:lang w:val="en-GB"/>
              </w:rPr>
              <w:t>tiesību</w:t>
            </w:r>
            <w:proofErr w:type="spellEnd"/>
            <w:r w:rsidRPr="0031464D">
              <w:rPr>
                <w:lang w:val="en-GB"/>
              </w:rPr>
              <w:t xml:space="preserve"> </w:t>
            </w:r>
            <w:proofErr w:type="spellStart"/>
            <w:r w:rsidRPr="0031464D">
              <w:rPr>
                <w:lang w:val="en-GB"/>
              </w:rPr>
              <w:t>akta</w:t>
            </w:r>
            <w:proofErr w:type="spellEnd"/>
            <w:r w:rsidRPr="0031464D">
              <w:rPr>
                <w:lang w:val="en-GB"/>
              </w:rPr>
              <w:t xml:space="preserve"> </w:t>
            </w:r>
            <w:proofErr w:type="spellStart"/>
            <w:r w:rsidRPr="0031464D">
              <w:rPr>
                <w:lang w:val="en-GB"/>
              </w:rPr>
              <w:t>vienība</w:t>
            </w:r>
            <w:proofErr w:type="spellEnd"/>
            <w:r w:rsidRPr="0031464D">
              <w:rPr>
                <w:lang w:val="en-GB"/>
              </w:rPr>
              <w:t xml:space="preserve"> </w:t>
            </w:r>
            <w:proofErr w:type="spellStart"/>
            <w:r w:rsidRPr="0031464D">
              <w:rPr>
                <w:lang w:val="en-GB"/>
              </w:rPr>
              <w:t>tiek</w:t>
            </w:r>
            <w:proofErr w:type="spellEnd"/>
            <w:r w:rsidRPr="0031464D">
              <w:rPr>
                <w:lang w:val="en-GB"/>
              </w:rPr>
              <w:t xml:space="preserve"> </w:t>
            </w:r>
            <w:proofErr w:type="spellStart"/>
            <w:r w:rsidRPr="0031464D">
              <w:rPr>
                <w:lang w:val="en-GB"/>
              </w:rPr>
              <w:t>ieviesta</w:t>
            </w:r>
            <w:proofErr w:type="spellEnd"/>
            <w:r w:rsidRPr="0031464D">
              <w:rPr>
                <w:lang w:val="en-GB"/>
              </w:rPr>
              <w:t xml:space="preserve"> </w:t>
            </w:r>
            <w:proofErr w:type="spellStart"/>
            <w:r w:rsidRPr="0031464D">
              <w:rPr>
                <w:lang w:val="en-GB"/>
              </w:rPr>
              <w:t>pilnībā</w:t>
            </w:r>
            <w:proofErr w:type="spellEnd"/>
            <w:r w:rsidRPr="0031464D">
              <w:rPr>
                <w:lang w:val="en-GB"/>
              </w:rPr>
              <w:t>.</w:t>
            </w:r>
          </w:p>
        </w:tc>
        <w:tc>
          <w:tcPr>
            <w:tcW w:w="1238" w:type="pct"/>
            <w:gridSpan w:val="2"/>
          </w:tcPr>
          <w:p w:rsidR="0031464D" w:rsidRPr="0031464D" w:rsidRDefault="0031464D" w:rsidP="005D73DE">
            <w:pPr>
              <w:pStyle w:val="naiskr"/>
              <w:spacing w:before="0" w:beforeAutospacing="0" w:after="0" w:afterAutospacing="0"/>
              <w:jc w:val="both"/>
            </w:pPr>
            <w:r w:rsidRPr="0031464D">
              <w:t>Attiecīgais noteikumu projekta punkts neparedz stingrākas prasības kā ES tiesību aktā.</w:t>
            </w:r>
          </w:p>
        </w:tc>
      </w:tr>
      <w:tr w:rsidR="005D73DE" w:rsidRPr="00076158" w:rsidTr="0007615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509" w:type="pct"/>
            <w:gridSpan w:val="2"/>
          </w:tcPr>
          <w:p w:rsidR="00FB20CF" w:rsidRPr="009E2709" w:rsidRDefault="00C9621D" w:rsidP="00543A89">
            <w:pPr>
              <w:jc w:val="both"/>
              <w:rPr>
                <w:lang w:val="lv-LV"/>
              </w:rPr>
            </w:pPr>
            <w:r w:rsidRPr="00C9621D">
              <w:rPr>
                <w:lang w:val="lv-LV"/>
              </w:rPr>
              <w:t>Regula</w:t>
            </w:r>
            <w:r w:rsidR="0087683B">
              <w:rPr>
                <w:lang w:val="lv-LV"/>
              </w:rPr>
              <w:t>s</w:t>
            </w:r>
            <w:r w:rsidRPr="00C9621D">
              <w:rPr>
                <w:lang w:val="lv-LV"/>
              </w:rPr>
              <w:t xml:space="preserve"> </w:t>
            </w:r>
            <w:r w:rsidR="00F26E32">
              <w:rPr>
                <w:lang w:val="lv-LV"/>
              </w:rPr>
              <w:t xml:space="preserve">(EK) </w:t>
            </w:r>
            <w:r w:rsidRPr="00C9621D">
              <w:rPr>
                <w:lang w:val="lv-LV"/>
              </w:rPr>
              <w:t>Nr.853/2</w:t>
            </w:r>
            <w:r>
              <w:rPr>
                <w:lang w:val="lv-LV"/>
              </w:rPr>
              <w:t>004</w:t>
            </w:r>
            <w:r w:rsidRPr="00C9621D">
              <w:rPr>
                <w:lang w:val="lv-LV"/>
              </w:rPr>
              <w:t xml:space="preserve"> III pielikuma IX </w:t>
            </w:r>
            <w:r w:rsidR="00543A89">
              <w:rPr>
                <w:lang w:val="lv-LV"/>
              </w:rPr>
              <w:t>sadaļas</w:t>
            </w:r>
            <w:r w:rsidRPr="00C9621D">
              <w:rPr>
                <w:lang w:val="lv-LV"/>
              </w:rPr>
              <w:t xml:space="preserve"> II nodaļas II apakšnodaļas 1.punkta „a” apakšpunkt</w:t>
            </w:r>
            <w:r>
              <w:rPr>
                <w:lang w:val="lv-LV"/>
              </w:rPr>
              <w:t>s</w:t>
            </w:r>
          </w:p>
        </w:tc>
        <w:tc>
          <w:tcPr>
            <w:tcW w:w="1164" w:type="pct"/>
            <w:gridSpan w:val="2"/>
            <w:vAlign w:val="center"/>
          </w:tcPr>
          <w:p w:rsidR="00FB20CF" w:rsidRPr="009E2709" w:rsidRDefault="00386375" w:rsidP="00BD5643">
            <w:pPr>
              <w:pStyle w:val="naiskr"/>
              <w:spacing w:before="0" w:beforeAutospacing="0" w:after="0" w:afterAutospacing="0"/>
              <w:jc w:val="both"/>
            </w:pPr>
            <w:r>
              <w:t>12</w:t>
            </w:r>
            <w:r w:rsidR="00C9621D">
              <w:t>.2.apakšpunkts, 2</w:t>
            </w:r>
            <w:r w:rsidR="00BD5643">
              <w:t>1</w:t>
            </w:r>
            <w:r w:rsidR="00C9621D">
              <w:t>.punkts</w:t>
            </w:r>
          </w:p>
        </w:tc>
        <w:tc>
          <w:tcPr>
            <w:tcW w:w="1085" w:type="pct"/>
          </w:tcPr>
          <w:p w:rsidR="00FB20CF" w:rsidRPr="009E2709" w:rsidRDefault="002B5B5B" w:rsidP="005D73DE">
            <w:pPr>
              <w:pStyle w:val="naiskr"/>
              <w:spacing w:before="0" w:beforeAutospacing="0" w:after="0" w:afterAutospacing="0"/>
              <w:jc w:val="both"/>
            </w:pPr>
            <w:r w:rsidRPr="002B5B5B">
              <w:t>ES tiesību akta vienība tiek ieviesta pilnībā.</w:t>
            </w:r>
          </w:p>
        </w:tc>
        <w:tc>
          <w:tcPr>
            <w:tcW w:w="1238" w:type="pct"/>
            <w:gridSpan w:val="2"/>
          </w:tcPr>
          <w:p w:rsidR="00FB20CF" w:rsidRPr="009E2709" w:rsidRDefault="002B5B5B" w:rsidP="005D73DE">
            <w:pPr>
              <w:pStyle w:val="naiskr"/>
              <w:spacing w:before="0" w:beforeAutospacing="0" w:after="0" w:afterAutospacing="0"/>
              <w:jc w:val="both"/>
            </w:pPr>
            <w:r w:rsidRPr="002B5B5B">
              <w:t>Attiecīgais noteikumu projekta punkts neparedz stingrākas prasības kā ES tiesību aktā.</w:t>
            </w:r>
          </w:p>
        </w:tc>
      </w:tr>
      <w:tr w:rsidR="005D73DE" w:rsidRPr="00076158" w:rsidTr="0007615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509" w:type="pct"/>
            <w:gridSpan w:val="2"/>
          </w:tcPr>
          <w:p w:rsidR="00F517A7" w:rsidRDefault="00C9621D" w:rsidP="005D73DE">
            <w:pPr>
              <w:jc w:val="both"/>
              <w:rPr>
                <w:lang w:val="lv-LV"/>
              </w:rPr>
            </w:pPr>
            <w:r>
              <w:rPr>
                <w:lang w:val="lv-LV"/>
              </w:rPr>
              <w:t>Regula</w:t>
            </w:r>
            <w:r w:rsidR="0087683B">
              <w:rPr>
                <w:lang w:val="lv-LV"/>
              </w:rPr>
              <w:t>s</w:t>
            </w:r>
            <w:r w:rsidRPr="00C9621D">
              <w:rPr>
                <w:lang w:val="lv-LV"/>
              </w:rPr>
              <w:t xml:space="preserve"> (EK) Nr.1069/2009</w:t>
            </w:r>
          </w:p>
          <w:p w:rsidR="006F7119" w:rsidRPr="009E2709" w:rsidRDefault="006F7119" w:rsidP="005D73DE">
            <w:pPr>
              <w:jc w:val="both"/>
              <w:rPr>
                <w:lang w:val="lv-LV"/>
              </w:rPr>
            </w:pPr>
            <w:proofErr w:type="gramStart"/>
            <w:r w:rsidRPr="006F7119">
              <w:rPr>
                <w:lang w:val="lv-LV"/>
              </w:rPr>
              <w:t>13.pants</w:t>
            </w:r>
            <w:proofErr w:type="gramEnd"/>
            <w:r w:rsidR="00BD5643">
              <w:rPr>
                <w:lang w:val="lv-LV"/>
              </w:rPr>
              <w:t>; Regula</w:t>
            </w:r>
            <w:r w:rsidR="0087683B">
              <w:rPr>
                <w:lang w:val="lv-LV"/>
              </w:rPr>
              <w:t>s</w:t>
            </w:r>
            <w:r w:rsidR="00BD5643">
              <w:rPr>
                <w:lang w:val="lv-LV"/>
              </w:rPr>
              <w:t xml:space="preserve"> (ES</w:t>
            </w:r>
            <w:r w:rsidR="00BD5643" w:rsidRPr="00C9621D">
              <w:rPr>
                <w:lang w:val="lv-LV"/>
              </w:rPr>
              <w:t>) Nr.142/2011</w:t>
            </w:r>
            <w:r w:rsidR="00BD5643">
              <w:rPr>
                <w:lang w:val="lv-LV"/>
              </w:rPr>
              <w:t xml:space="preserve"> </w:t>
            </w:r>
            <w:r w:rsidR="00BD5643" w:rsidRPr="006F7119">
              <w:rPr>
                <w:lang w:val="lv-LV"/>
              </w:rPr>
              <w:t>III, IV un V pielikums</w:t>
            </w:r>
          </w:p>
        </w:tc>
        <w:tc>
          <w:tcPr>
            <w:tcW w:w="1164" w:type="pct"/>
            <w:gridSpan w:val="2"/>
            <w:vAlign w:val="center"/>
          </w:tcPr>
          <w:p w:rsidR="00F517A7" w:rsidRPr="009E2709" w:rsidRDefault="00BD5643" w:rsidP="005D73DE">
            <w:pPr>
              <w:pStyle w:val="naiskr"/>
              <w:spacing w:before="0" w:beforeAutospacing="0" w:after="0" w:afterAutospacing="0"/>
              <w:jc w:val="both"/>
            </w:pPr>
            <w:r>
              <w:t>18</w:t>
            </w:r>
            <w:r w:rsidR="00C9621D">
              <w:t>.8.apakšpunkts</w:t>
            </w:r>
          </w:p>
        </w:tc>
        <w:tc>
          <w:tcPr>
            <w:tcW w:w="1085" w:type="pct"/>
          </w:tcPr>
          <w:p w:rsidR="00F517A7" w:rsidRPr="009E2709" w:rsidRDefault="002B5B5B" w:rsidP="005D73DE">
            <w:pPr>
              <w:pStyle w:val="naiskr"/>
              <w:spacing w:before="0" w:beforeAutospacing="0" w:after="0" w:afterAutospacing="0"/>
              <w:jc w:val="both"/>
            </w:pPr>
            <w:r w:rsidRPr="002B5B5B">
              <w:t>ES tiesību akta vienība tiek ieviesta pilnībā.</w:t>
            </w:r>
          </w:p>
        </w:tc>
        <w:tc>
          <w:tcPr>
            <w:tcW w:w="1238" w:type="pct"/>
            <w:gridSpan w:val="2"/>
          </w:tcPr>
          <w:p w:rsidR="00F517A7" w:rsidRPr="009E2709" w:rsidRDefault="002B5B5B" w:rsidP="005D73DE">
            <w:pPr>
              <w:pStyle w:val="naiskr"/>
              <w:spacing w:before="0" w:beforeAutospacing="0" w:after="0" w:afterAutospacing="0"/>
              <w:jc w:val="both"/>
            </w:pPr>
            <w:r w:rsidRPr="002B5B5B">
              <w:t>Attiecīgais noteikumu projekta punkts neparedz stingrākas prasības kā ES tiesību aktā.</w:t>
            </w:r>
          </w:p>
        </w:tc>
      </w:tr>
      <w:tr w:rsidR="00C9621D" w:rsidRPr="00076158" w:rsidTr="0007615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509" w:type="pct"/>
            <w:gridSpan w:val="2"/>
          </w:tcPr>
          <w:p w:rsidR="00C9621D" w:rsidRDefault="00C9621D" w:rsidP="00430DF4">
            <w:pPr>
              <w:jc w:val="both"/>
              <w:rPr>
                <w:lang w:val="lv-LV"/>
              </w:rPr>
            </w:pPr>
            <w:r>
              <w:rPr>
                <w:lang w:val="lv-LV"/>
              </w:rPr>
              <w:t>Regula</w:t>
            </w:r>
            <w:r w:rsidR="0087683B">
              <w:rPr>
                <w:lang w:val="lv-LV"/>
              </w:rPr>
              <w:t>s</w:t>
            </w:r>
            <w:r w:rsidR="00543A89">
              <w:rPr>
                <w:lang w:val="lv-LV"/>
              </w:rPr>
              <w:t xml:space="preserve"> (EK) Nr.853/2004 II</w:t>
            </w:r>
            <w:r w:rsidR="0087683B">
              <w:rPr>
                <w:lang w:val="lv-LV"/>
              </w:rPr>
              <w:t> </w:t>
            </w:r>
            <w:r w:rsidRPr="00C9621D">
              <w:rPr>
                <w:lang w:val="lv-LV"/>
              </w:rPr>
              <w:t xml:space="preserve">pielikuma </w:t>
            </w:r>
            <w:r w:rsidR="00430DF4">
              <w:rPr>
                <w:lang w:val="lv-LV"/>
              </w:rPr>
              <w:t>III</w:t>
            </w:r>
            <w:r w:rsidR="0087683B">
              <w:rPr>
                <w:lang w:val="lv-LV"/>
              </w:rPr>
              <w:t> </w:t>
            </w:r>
            <w:r w:rsidRPr="00C9621D">
              <w:rPr>
                <w:lang w:val="lv-LV"/>
              </w:rPr>
              <w:t>sadaļ</w:t>
            </w:r>
            <w:r w:rsidR="002B5B5B">
              <w:rPr>
                <w:lang w:val="lv-LV"/>
              </w:rPr>
              <w:t>a</w:t>
            </w:r>
            <w:r w:rsidR="006F7119">
              <w:rPr>
                <w:lang w:val="lv-LV"/>
              </w:rPr>
              <w:t xml:space="preserve"> </w:t>
            </w:r>
          </w:p>
        </w:tc>
        <w:tc>
          <w:tcPr>
            <w:tcW w:w="1164" w:type="pct"/>
            <w:gridSpan w:val="2"/>
            <w:vAlign w:val="center"/>
          </w:tcPr>
          <w:p w:rsidR="00C9621D" w:rsidRPr="009E2709" w:rsidRDefault="00BD5643" w:rsidP="005D73DE">
            <w:pPr>
              <w:pStyle w:val="naiskr"/>
              <w:spacing w:before="0" w:beforeAutospacing="0" w:after="0" w:afterAutospacing="0"/>
              <w:jc w:val="both"/>
            </w:pPr>
            <w:r>
              <w:t>30</w:t>
            </w:r>
            <w:r w:rsidR="00C9621D">
              <w:t>.punkts</w:t>
            </w:r>
          </w:p>
        </w:tc>
        <w:tc>
          <w:tcPr>
            <w:tcW w:w="1085" w:type="pct"/>
          </w:tcPr>
          <w:p w:rsidR="00C9621D" w:rsidRPr="009E2709" w:rsidRDefault="002B5B5B" w:rsidP="005D73DE">
            <w:pPr>
              <w:pStyle w:val="naiskr"/>
              <w:spacing w:before="0" w:beforeAutospacing="0" w:after="0" w:afterAutospacing="0"/>
              <w:jc w:val="both"/>
            </w:pPr>
            <w:r w:rsidRPr="002B5B5B">
              <w:t>ES tiesību akta vienība tiek ieviesta pilnībā.</w:t>
            </w:r>
          </w:p>
        </w:tc>
        <w:tc>
          <w:tcPr>
            <w:tcW w:w="1238" w:type="pct"/>
            <w:gridSpan w:val="2"/>
          </w:tcPr>
          <w:p w:rsidR="00C9621D" w:rsidRPr="009E2709" w:rsidRDefault="002B5B5B" w:rsidP="005D73DE">
            <w:pPr>
              <w:pStyle w:val="naiskr"/>
              <w:spacing w:before="0" w:beforeAutospacing="0" w:after="0" w:afterAutospacing="0"/>
              <w:jc w:val="both"/>
            </w:pPr>
            <w:r w:rsidRPr="002B5B5B">
              <w:t>Attiecīgais noteikumu projekta punkts neparedz stingrākas prasības kā ES tiesību aktā.</w:t>
            </w:r>
          </w:p>
        </w:tc>
      </w:tr>
      <w:tr w:rsidR="00C9621D" w:rsidRPr="00076158" w:rsidTr="0007615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509" w:type="pct"/>
            <w:gridSpan w:val="2"/>
          </w:tcPr>
          <w:p w:rsidR="00C9621D" w:rsidRDefault="002B5B5B" w:rsidP="00430DF4">
            <w:pPr>
              <w:jc w:val="both"/>
              <w:rPr>
                <w:lang w:val="lv-LV"/>
              </w:rPr>
            </w:pPr>
            <w:r>
              <w:rPr>
                <w:lang w:val="lv-LV"/>
              </w:rPr>
              <w:t>Regula</w:t>
            </w:r>
            <w:r w:rsidR="0087683B">
              <w:rPr>
                <w:lang w:val="lv-LV"/>
              </w:rPr>
              <w:t>s</w:t>
            </w:r>
            <w:r w:rsidRPr="002B5B5B">
              <w:rPr>
                <w:lang w:val="lv-LV"/>
              </w:rPr>
              <w:t xml:space="preserve"> (EK) Nr.854/2004</w:t>
            </w:r>
            <w:r>
              <w:rPr>
                <w:lang w:val="lv-LV"/>
              </w:rPr>
              <w:t xml:space="preserve"> </w:t>
            </w:r>
            <w:r w:rsidR="002B0FAE">
              <w:rPr>
                <w:lang w:val="lv-LV"/>
              </w:rPr>
              <w:t>I pielikuma II nodaļa</w:t>
            </w:r>
            <w:r w:rsidR="0087683B">
              <w:rPr>
                <w:lang w:val="lv-LV"/>
              </w:rPr>
              <w:t>s</w:t>
            </w:r>
            <w:r w:rsidR="002B0FAE">
              <w:rPr>
                <w:lang w:val="lv-LV"/>
              </w:rPr>
              <w:t xml:space="preserve"> D</w:t>
            </w:r>
            <w:r w:rsidR="0087683B">
              <w:rPr>
                <w:lang w:val="lv-LV"/>
              </w:rPr>
              <w:t> </w:t>
            </w:r>
            <w:r w:rsidR="00430DF4">
              <w:rPr>
                <w:lang w:val="lv-LV"/>
              </w:rPr>
              <w:t>punkta</w:t>
            </w:r>
            <w:r w:rsidR="002B0FAE">
              <w:rPr>
                <w:lang w:val="lv-LV"/>
              </w:rPr>
              <w:t xml:space="preserve"> 1.punkts</w:t>
            </w:r>
          </w:p>
        </w:tc>
        <w:tc>
          <w:tcPr>
            <w:tcW w:w="1164" w:type="pct"/>
            <w:gridSpan w:val="2"/>
            <w:vAlign w:val="center"/>
          </w:tcPr>
          <w:p w:rsidR="00C9621D" w:rsidRPr="009E2709" w:rsidRDefault="0031464D" w:rsidP="005D73DE">
            <w:pPr>
              <w:pStyle w:val="naiskr"/>
              <w:spacing w:before="0" w:beforeAutospacing="0" w:after="0" w:afterAutospacing="0"/>
              <w:jc w:val="both"/>
            </w:pPr>
            <w:r>
              <w:t>33</w:t>
            </w:r>
            <w:r w:rsidR="002B5B5B">
              <w:t>.punkts</w:t>
            </w:r>
          </w:p>
        </w:tc>
        <w:tc>
          <w:tcPr>
            <w:tcW w:w="1085" w:type="pct"/>
          </w:tcPr>
          <w:p w:rsidR="00C9621D" w:rsidRPr="009E2709" w:rsidRDefault="002B5B5B" w:rsidP="005D73DE">
            <w:pPr>
              <w:pStyle w:val="naiskr"/>
              <w:spacing w:before="0" w:beforeAutospacing="0" w:after="0" w:afterAutospacing="0"/>
              <w:jc w:val="both"/>
            </w:pPr>
            <w:r w:rsidRPr="002B5B5B">
              <w:t>ES tiesību akta vienība tiek ieviesta pilnībā.</w:t>
            </w:r>
          </w:p>
        </w:tc>
        <w:tc>
          <w:tcPr>
            <w:tcW w:w="1238" w:type="pct"/>
            <w:gridSpan w:val="2"/>
          </w:tcPr>
          <w:p w:rsidR="00C9621D" w:rsidRPr="009E2709" w:rsidRDefault="002B5B5B" w:rsidP="005D73DE">
            <w:pPr>
              <w:pStyle w:val="naiskr"/>
              <w:spacing w:before="0" w:beforeAutospacing="0" w:after="0" w:afterAutospacing="0"/>
              <w:jc w:val="both"/>
            </w:pPr>
            <w:r w:rsidRPr="002B5B5B">
              <w:t>Attiecīgais noteikumu projekta punkts neparedz stingrākas prasības kā ES tiesību aktā.</w:t>
            </w:r>
          </w:p>
        </w:tc>
      </w:tr>
      <w:tr w:rsidR="005D73DE" w:rsidRPr="0087683B" w:rsidTr="0007615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281"/>
          <w:jc w:val="center"/>
        </w:trPr>
        <w:tc>
          <w:tcPr>
            <w:tcW w:w="1509" w:type="pct"/>
            <w:gridSpan w:val="2"/>
            <w:vAlign w:val="center"/>
          </w:tcPr>
          <w:p w:rsidR="00F517A7" w:rsidRPr="009E2709" w:rsidRDefault="00F517A7" w:rsidP="005D73DE">
            <w:pPr>
              <w:pStyle w:val="naiskr"/>
              <w:spacing w:before="0" w:beforeAutospacing="0" w:after="0" w:afterAutospacing="0"/>
              <w:jc w:val="both"/>
            </w:pPr>
            <w:proofErr w:type="gramStart"/>
            <w:r w:rsidRPr="009E2709">
              <w:t>Kā ir izmantota ES tiesību aktā paredzētā rīcības brīvība dalībvalstij pārņemt vai ieviest</w:t>
            </w:r>
            <w:proofErr w:type="gramEnd"/>
            <w:r w:rsidRPr="009E2709">
              <w:t xml:space="preserve"> noteiktas ES tiesību akta normas. Kādēļ?</w:t>
            </w:r>
          </w:p>
        </w:tc>
        <w:tc>
          <w:tcPr>
            <w:tcW w:w="3487" w:type="pct"/>
            <w:gridSpan w:val="5"/>
          </w:tcPr>
          <w:p w:rsidR="00F517A7" w:rsidRPr="009E2709" w:rsidRDefault="002B5B5B" w:rsidP="0042732A">
            <w:pPr>
              <w:pStyle w:val="naiskr"/>
              <w:jc w:val="both"/>
            </w:pPr>
            <w:r>
              <w:t>Regulā (EK) Nr.853/2004</w:t>
            </w:r>
            <w:r w:rsidR="0042732A">
              <w:t>,</w:t>
            </w:r>
            <w:r>
              <w:t xml:space="preserve"> </w:t>
            </w:r>
            <w:r w:rsidR="0042732A">
              <w:t xml:space="preserve">Regulā (EK) Nr.854/2004 un Regulā </w:t>
            </w:r>
            <w:r w:rsidR="00F26E32">
              <w:t xml:space="preserve">(EK) </w:t>
            </w:r>
            <w:r w:rsidR="0042732A">
              <w:t xml:space="preserve">Nr.142/2011 </w:t>
            </w:r>
            <w:r w:rsidRPr="002B5B5B">
              <w:t>nav paredzēta rīcības brīvība dalībvalstij ieviest tiesību normas.</w:t>
            </w:r>
            <w:r w:rsidR="00956ED9">
              <w:t xml:space="preserve"> Regulas </w:t>
            </w:r>
            <w:r>
              <w:t xml:space="preserve">(EK) </w:t>
            </w:r>
            <w:r w:rsidR="00956ED9">
              <w:t xml:space="preserve">Nr.1069/2009 </w:t>
            </w:r>
            <w:proofErr w:type="gramStart"/>
            <w:r w:rsidR="00956ED9">
              <w:t>21.panta</w:t>
            </w:r>
            <w:proofErr w:type="gramEnd"/>
            <w:r w:rsidR="00956ED9">
              <w:t xml:space="preserve"> 3.punkta otrajā paragrāfā dota rīcības brīvība dalībvalstij gadījumos, ja dzīvnieku izcelsmes blakusprodukti vai atvasināti produkti tiek transportēti dalībvalsts teritorijā, </w:t>
            </w:r>
            <w:r w:rsidR="0087683B">
              <w:t xml:space="preserve">– tad </w:t>
            </w:r>
            <w:r w:rsidR="00956ED9">
              <w:t>kompetentā iestāde var apstiprināt pirmajā paragrāfā minētās informācijas pievienošanu, izmanto</w:t>
            </w:r>
            <w:r w:rsidR="0087683B">
              <w:t>jot</w:t>
            </w:r>
            <w:r w:rsidR="00956ED9">
              <w:t xml:space="preserve"> alternatīvu sistēmu. Noteikumu projektā netiek izmantota šī alternatīva.</w:t>
            </w:r>
          </w:p>
        </w:tc>
      </w:tr>
      <w:tr w:rsidR="005D73DE" w:rsidRPr="009E2709" w:rsidTr="0007615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246"/>
          <w:jc w:val="center"/>
        </w:trPr>
        <w:tc>
          <w:tcPr>
            <w:tcW w:w="1509" w:type="pct"/>
            <w:gridSpan w:val="2"/>
            <w:vAlign w:val="center"/>
          </w:tcPr>
          <w:p w:rsidR="00F517A7" w:rsidRPr="009E2709" w:rsidRDefault="00F517A7" w:rsidP="005D73DE">
            <w:pPr>
              <w:pStyle w:val="naiskr"/>
              <w:spacing w:before="0" w:beforeAutospacing="0" w:after="0" w:afterAutospacing="0"/>
              <w:jc w:val="both"/>
              <w:rPr>
                <w:i/>
              </w:rPr>
            </w:pPr>
            <w:r w:rsidRPr="009E2709">
              <w:t xml:space="preserve">Saistības sniegt paziņojumu ES institūcijām un ES dalībvalstīm atbilstoši normatīvajiem aktiem, kas regulē informācijas sniegšanu par tehnisko noteikumu, valsts atbalsta </w:t>
            </w:r>
            <w:r w:rsidRPr="009E2709">
              <w:lastRenderedPageBreak/>
              <w:t>piešķiršanas un finanšu noteikumu (attiecībā uz monetāro politiku) projektiem</w:t>
            </w:r>
          </w:p>
        </w:tc>
        <w:tc>
          <w:tcPr>
            <w:tcW w:w="3487" w:type="pct"/>
            <w:gridSpan w:val="5"/>
          </w:tcPr>
          <w:p w:rsidR="00F517A7" w:rsidRPr="009E2709" w:rsidRDefault="00956ED9" w:rsidP="005D73DE">
            <w:pPr>
              <w:pStyle w:val="naiskr"/>
              <w:spacing w:before="0" w:beforeAutospacing="0" w:after="0" w:afterAutospacing="0"/>
            </w:pPr>
            <w:r>
              <w:lastRenderedPageBreak/>
              <w:t>Projekts šo jomu neskar.</w:t>
            </w:r>
          </w:p>
        </w:tc>
      </w:tr>
      <w:tr w:rsidR="005D73DE" w:rsidRPr="009E2709" w:rsidTr="0007615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47"/>
          <w:jc w:val="center"/>
        </w:trPr>
        <w:tc>
          <w:tcPr>
            <w:tcW w:w="1509" w:type="pct"/>
            <w:gridSpan w:val="2"/>
          </w:tcPr>
          <w:p w:rsidR="00F517A7" w:rsidRPr="009E2709" w:rsidRDefault="00F517A7" w:rsidP="005D73DE">
            <w:pPr>
              <w:pStyle w:val="naiskr"/>
              <w:spacing w:before="0" w:beforeAutospacing="0" w:after="0" w:afterAutospacing="0"/>
              <w:jc w:val="both"/>
            </w:pPr>
            <w:r w:rsidRPr="009E2709">
              <w:lastRenderedPageBreak/>
              <w:t>Cita informācija</w:t>
            </w:r>
          </w:p>
        </w:tc>
        <w:tc>
          <w:tcPr>
            <w:tcW w:w="3487" w:type="pct"/>
            <w:gridSpan w:val="5"/>
          </w:tcPr>
          <w:p w:rsidR="00F517A7" w:rsidRPr="009E2709" w:rsidRDefault="00956ED9" w:rsidP="005D73DE">
            <w:pPr>
              <w:pStyle w:val="naiskr"/>
              <w:spacing w:before="0" w:beforeAutospacing="0" w:after="0" w:afterAutospacing="0"/>
            </w:pPr>
            <w:r>
              <w:t>Nav.</w:t>
            </w:r>
          </w:p>
        </w:tc>
      </w:tr>
    </w:tbl>
    <w:p w:rsidR="009E04D3" w:rsidRPr="00430DF4" w:rsidRDefault="00A95E83" w:rsidP="005D73DE">
      <w:pPr>
        <w:rPr>
          <w:i/>
          <w:lang w:val="lv-LV"/>
        </w:rPr>
      </w:pPr>
      <w:r w:rsidRPr="00A95E83">
        <w:rPr>
          <w:i/>
          <w:lang w:val="lv-LV"/>
        </w:rPr>
        <w:t>Anotācijas V sadaļas 2.tabula – projekts šo jomu neskar.</w:t>
      </w:r>
    </w:p>
    <w:tbl>
      <w:tblPr>
        <w:tblW w:w="4984" w:type="pct"/>
        <w:tblInd w:w="29"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396"/>
        <w:gridCol w:w="808"/>
        <w:gridCol w:w="809"/>
        <w:gridCol w:w="1950"/>
        <w:gridCol w:w="5063"/>
      </w:tblGrid>
      <w:tr w:rsidR="005D73DE" w:rsidRPr="00076158" w:rsidTr="00076158">
        <w:trPr>
          <w:trHeight w:val="222"/>
        </w:trPr>
        <w:tc>
          <w:tcPr>
            <w:tcW w:w="5000" w:type="pct"/>
            <w:gridSpan w:val="5"/>
            <w:tcBorders>
              <w:top w:val="outset" w:sz="6" w:space="0" w:color="000000"/>
              <w:left w:val="outset" w:sz="6" w:space="0" w:color="000000"/>
              <w:bottom w:val="outset" w:sz="6" w:space="0" w:color="000000"/>
              <w:right w:val="outset" w:sz="6" w:space="0" w:color="000000"/>
            </w:tcBorders>
          </w:tcPr>
          <w:p w:rsidR="00E35982" w:rsidRPr="009E2709" w:rsidRDefault="00E35982" w:rsidP="005D73DE">
            <w:pPr>
              <w:jc w:val="center"/>
              <w:rPr>
                <w:b/>
                <w:bCs/>
                <w:sz w:val="28"/>
                <w:szCs w:val="28"/>
                <w:lang w:val="lv-LV" w:eastAsia="lv-LV"/>
              </w:rPr>
            </w:pPr>
            <w:r w:rsidRPr="009E2709">
              <w:rPr>
                <w:b/>
                <w:bCs/>
                <w:sz w:val="28"/>
                <w:szCs w:val="28"/>
                <w:lang w:val="lv-LV" w:eastAsia="lv-LV"/>
              </w:rPr>
              <w:t xml:space="preserve">VI. Sabiedrības līdzdalība </w:t>
            </w:r>
            <w:r w:rsidR="00AC0691" w:rsidRPr="009E2709">
              <w:rPr>
                <w:b/>
                <w:bCs/>
                <w:sz w:val="28"/>
                <w:szCs w:val="28"/>
                <w:lang w:val="lv-LV"/>
              </w:rPr>
              <w:t>un komunikācijas aktivitātes</w:t>
            </w:r>
          </w:p>
        </w:tc>
      </w:tr>
      <w:tr w:rsidR="005D73DE" w:rsidRPr="00464DA1" w:rsidTr="000761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218" w:type="pct"/>
          </w:tcPr>
          <w:p w:rsidR="0013088C" w:rsidRPr="009E2709" w:rsidRDefault="0013088C" w:rsidP="005D73DE">
            <w:pPr>
              <w:pStyle w:val="naiskr"/>
              <w:spacing w:before="0" w:beforeAutospacing="0" w:after="0" w:afterAutospacing="0"/>
            </w:pPr>
            <w:r w:rsidRPr="009E2709">
              <w:t>1.</w:t>
            </w:r>
          </w:p>
        </w:tc>
        <w:tc>
          <w:tcPr>
            <w:tcW w:w="888" w:type="pct"/>
            <w:gridSpan w:val="2"/>
          </w:tcPr>
          <w:p w:rsidR="0013088C" w:rsidRPr="009E2709" w:rsidRDefault="00A96BC5" w:rsidP="005D73DE">
            <w:pPr>
              <w:pStyle w:val="naiskr"/>
              <w:spacing w:before="0" w:beforeAutospacing="0" w:after="0" w:afterAutospacing="0"/>
              <w:jc w:val="both"/>
            </w:pPr>
            <w:r w:rsidRPr="009E2709">
              <w:t>Plānotās sabiedrības līdzdalības un komunikācijas aktivitātes saistībā ar projektu</w:t>
            </w:r>
          </w:p>
        </w:tc>
        <w:tc>
          <w:tcPr>
            <w:tcW w:w="3894" w:type="pct"/>
            <w:gridSpan w:val="2"/>
          </w:tcPr>
          <w:p w:rsidR="000336AB" w:rsidRPr="000336AB" w:rsidRDefault="007D6B7B" w:rsidP="000336AB">
            <w:pPr>
              <w:jc w:val="both"/>
              <w:rPr>
                <w:lang w:val="lv-LV"/>
              </w:rPr>
            </w:pPr>
            <w:r>
              <w:rPr>
                <w:lang w:val="lv-LV"/>
              </w:rPr>
              <w:t>Noteikumu projekts</w:t>
            </w:r>
            <w:r w:rsidR="000336AB" w:rsidRPr="000336AB">
              <w:rPr>
                <w:lang w:val="lv-LV"/>
              </w:rPr>
              <w:t xml:space="preserve"> </w:t>
            </w:r>
            <w:r>
              <w:rPr>
                <w:lang w:val="lv-LV"/>
              </w:rPr>
              <w:t>tika</w:t>
            </w:r>
            <w:r w:rsidR="000336AB" w:rsidRPr="000336AB">
              <w:rPr>
                <w:lang w:val="lv-LV"/>
              </w:rPr>
              <w:t xml:space="preserve"> saskaņot</w:t>
            </w:r>
            <w:r>
              <w:rPr>
                <w:lang w:val="lv-LV"/>
              </w:rPr>
              <w:t>s</w:t>
            </w:r>
            <w:r w:rsidR="000336AB" w:rsidRPr="000336AB">
              <w:rPr>
                <w:lang w:val="lv-LV"/>
              </w:rPr>
              <w:t xml:space="preserve"> ar biedrīb</w:t>
            </w:r>
            <w:r w:rsidR="0087683B">
              <w:rPr>
                <w:lang w:val="lv-LV"/>
              </w:rPr>
              <w:t>ām</w:t>
            </w:r>
            <w:r w:rsidR="00430DF4">
              <w:rPr>
                <w:lang w:val="lv-LV"/>
              </w:rPr>
              <w:t xml:space="preserve"> „Lauksaimnieku organizāciju sa</w:t>
            </w:r>
            <w:r w:rsidR="000336AB" w:rsidRPr="000336AB">
              <w:rPr>
                <w:lang w:val="lv-LV"/>
              </w:rPr>
              <w:t>da</w:t>
            </w:r>
            <w:r w:rsidR="00430DF4">
              <w:rPr>
                <w:lang w:val="lv-LV"/>
              </w:rPr>
              <w:t>r</w:t>
            </w:r>
            <w:r w:rsidR="000336AB" w:rsidRPr="000336AB">
              <w:rPr>
                <w:lang w:val="lv-LV"/>
              </w:rPr>
              <w:t>bības padome”, „Zemnieku saeima”</w:t>
            </w:r>
            <w:r w:rsidR="0087683B">
              <w:rPr>
                <w:lang w:val="lv-LV"/>
              </w:rPr>
              <w:t xml:space="preserve"> un</w:t>
            </w:r>
            <w:r w:rsidR="000336AB" w:rsidRPr="000336AB">
              <w:rPr>
                <w:lang w:val="lv-LV"/>
              </w:rPr>
              <w:t xml:space="preserve"> „Latvijas Lauksaimniecības kooperatīvu asociācija”.</w:t>
            </w:r>
          </w:p>
          <w:p w:rsidR="000336AB" w:rsidRPr="000336AB" w:rsidRDefault="000336AB" w:rsidP="000336AB">
            <w:pPr>
              <w:jc w:val="both"/>
              <w:rPr>
                <w:lang w:val="lv-LV"/>
              </w:rPr>
            </w:pPr>
            <w:proofErr w:type="gramStart"/>
            <w:r w:rsidRPr="000336AB">
              <w:rPr>
                <w:lang w:val="lv-LV"/>
              </w:rPr>
              <w:t>2014.gada</w:t>
            </w:r>
            <w:proofErr w:type="gramEnd"/>
            <w:r w:rsidRPr="000336AB">
              <w:rPr>
                <w:lang w:val="lv-LV"/>
              </w:rPr>
              <w:t xml:space="preserve"> </w:t>
            </w:r>
            <w:r w:rsidR="007D6B7B">
              <w:rPr>
                <w:lang w:val="lv-LV"/>
              </w:rPr>
              <w:t>1</w:t>
            </w:r>
            <w:r w:rsidRPr="00735A76">
              <w:rPr>
                <w:lang w:val="lv-LV"/>
              </w:rPr>
              <w:t>.</w:t>
            </w:r>
            <w:r w:rsidR="007D6B7B">
              <w:rPr>
                <w:lang w:val="lv-LV"/>
              </w:rPr>
              <w:t>aprīlī</w:t>
            </w:r>
            <w:r w:rsidRPr="000336AB">
              <w:rPr>
                <w:lang w:val="lv-LV"/>
              </w:rPr>
              <w:t xml:space="preserve"> noteikumu projekts elektroniski nosūtīts minētajām biedrībām.</w:t>
            </w:r>
          </w:p>
          <w:p w:rsidR="00AA1496" w:rsidRPr="009E2709" w:rsidRDefault="000336AB" w:rsidP="007D6B7B">
            <w:pPr>
              <w:jc w:val="both"/>
              <w:rPr>
                <w:lang w:val="lv-LV"/>
              </w:rPr>
            </w:pPr>
            <w:r w:rsidRPr="000336AB">
              <w:rPr>
                <w:lang w:val="lv-LV"/>
              </w:rPr>
              <w:t xml:space="preserve">Noteikumu projekts ievietots Zemkopības ministrijas tīmekļa vietnē </w:t>
            </w:r>
            <w:proofErr w:type="gramStart"/>
            <w:r w:rsidRPr="000336AB">
              <w:rPr>
                <w:lang w:val="lv-LV"/>
              </w:rPr>
              <w:t>2014.gada</w:t>
            </w:r>
            <w:proofErr w:type="gramEnd"/>
            <w:r w:rsidR="007D6B7B">
              <w:rPr>
                <w:lang w:val="lv-LV"/>
              </w:rPr>
              <w:t xml:space="preserve"> 28</w:t>
            </w:r>
            <w:r w:rsidRPr="00735A76">
              <w:rPr>
                <w:lang w:val="lv-LV"/>
              </w:rPr>
              <w:t>.</w:t>
            </w:r>
            <w:r w:rsidR="007D6B7B">
              <w:rPr>
                <w:lang w:val="lv-LV"/>
              </w:rPr>
              <w:t>februārī</w:t>
            </w:r>
            <w:r w:rsidRPr="000336AB">
              <w:rPr>
                <w:lang w:val="lv-LV"/>
              </w:rPr>
              <w:t>.</w:t>
            </w:r>
          </w:p>
        </w:tc>
      </w:tr>
      <w:tr w:rsidR="005D73DE" w:rsidRPr="00076158" w:rsidTr="000761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218" w:type="pct"/>
          </w:tcPr>
          <w:p w:rsidR="0013088C" w:rsidRPr="009E2709" w:rsidRDefault="0013088C" w:rsidP="005D73DE">
            <w:pPr>
              <w:pStyle w:val="naiskr"/>
              <w:spacing w:before="0" w:beforeAutospacing="0" w:after="0" w:afterAutospacing="0"/>
            </w:pPr>
            <w:r w:rsidRPr="009E2709">
              <w:t>2.</w:t>
            </w:r>
          </w:p>
        </w:tc>
        <w:tc>
          <w:tcPr>
            <w:tcW w:w="888" w:type="pct"/>
            <w:gridSpan w:val="2"/>
          </w:tcPr>
          <w:p w:rsidR="0013088C" w:rsidRPr="009E2709" w:rsidRDefault="0013088C" w:rsidP="005D73DE">
            <w:pPr>
              <w:pStyle w:val="naiskr"/>
              <w:spacing w:before="0" w:beforeAutospacing="0" w:after="0" w:afterAutospacing="0"/>
              <w:jc w:val="both"/>
            </w:pPr>
            <w:r w:rsidRPr="009E2709">
              <w:t>Sabiedrības līdzdalība projekta izstrādē</w:t>
            </w:r>
          </w:p>
        </w:tc>
        <w:tc>
          <w:tcPr>
            <w:tcW w:w="3894" w:type="pct"/>
            <w:gridSpan w:val="2"/>
          </w:tcPr>
          <w:p w:rsidR="0013088C" w:rsidRPr="007D6B7B" w:rsidRDefault="007D6B7B" w:rsidP="005D73DE">
            <w:pPr>
              <w:pStyle w:val="naiskr"/>
              <w:spacing w:before="0" w:beforeAutospacing="0" w:after="0" w:afterAutospacing="0"/>
              <w:jc w:val="both"/>
            </w:pPr>
            <w:r w:rsidRPr="007D6B7B">
              <w:t>Biedrības</w:t>
            </w:r>
            <w:r w:rsidR="00430DF4">
              <w:t xml:space="preserve"> „Lauksaimnieku organizāciju sa</w:t>
            </w:r>
            <w:r w:rsidRPr="007D6B7B">
              <w:t>da</w:t>
            </w:r>
            <w:r w:rsidR="00430DF4">
              <w:t>r</w:t>
            </w:r>
            <w:r w:rsidRPr="007D6B7B">
              <w:t>bības padome”, „Zemnieku saeima”</w:t>
            </w:r>
            <w:r w:rsidR="0087683B">
              <w:t xml:space="preserve"> un</w:t>
            </w:r>
            <w:r w:rsidRPr="007D6B7B">
              <w:t xml:space="preserve"> „Latvijas Lauksaimniecības kooperatīvu asociācija”</w:t>
            </w:r>
            <w:r>
              <w:t xml:space="preserve"> sniedza atzinumu par noteikumu projektu.</w:t>
            </w:r>
          </w:p>
        </w:tc>
      </w:tr>
      <w:tr w:rsidR="005D73DE" w:rsidRPr="00076158" w:rsidTr="000761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218" w:type="pct"/>
          </w:tcPr>
          <w:p w:rsidR="0013088C" w:rsidRPr="009E2709" w:rsidRDefault="0013088C" w:rsidP="005D73DE">
            <w:pPr>
              <w:pStyle w:val="naiskr"/>
              <w:spacing w:before="0" w:beforeAutospacing="0" w:after="0" w:afterAutospacing="0"/>
            </w:pPr>
            <w:r w:rsidRPr="009E2709">
              <w:t>3.</w:t>
            </w:r>
          </w:p>
        </w:tc>
        <w:tc>
          <w:tcPr>
            <w:tcW w:w="888" w:type="pct"/>
            <w:gridSpan w:val="2"/>
          </w:tcPr>
          <w:p w:rsidR="0013088C" w:rsidRPr="009E2709" w:rsidRDefault="0013088C" w:rsidP="005D73DE">
            <w:pPr>
              <w:pStyle w:val="naiskr"/>
              <w:spacing w:before="0" w:beforeAutospacing="0" w:after="0" w:afterAutospacing="0"/>
              <w:jc w:val="both"/>
            </w:pPr>
            <w:r w:rsidRPr="009E2709">
              <w:t>Sabiedrības līdzdalības rezultāti</w:t>
            </w:r>
          </w:p>
        </w:tc>
        <w:tc>
          <w:tcPr>
            <w:tcW w:w="3894" w:type="pct"/>
            <w:gridSpan w:val="2"/>
          </w:tcPr>
          <w:p w:rsidR="00AC7264" w:rsidRPr="007D6B7B" w:rsidRDefault="007D6B7B" w:rsidP="007D6B7B">
            <w:pPr>
              <w:pStyle w:val="naiskr"/>
              <w:spacing w:before="0" w:beforeAutospacing="0" w:after="0" w:afterAutospacing="0"/>
              <w:jc w:val="both"/>
              <w:rPr>
                <w:rFonts w:eastAsia="Arial Unicode MS"/>
              </w:rPr>
            </w:pPr>
            <w:r>
              <w:rPr>
                <w:rFonts w:eastAsia="Arial Unicode MS"/>
              </w:rPr>
              <w:t>Biedrības</w:t>
            </w:r>
            <w:r w:rsidR="00430DF4">
              <w:rPr>
                <w:rFonts w:eastAsia="Arial Unicode MS"/>
              </w:rPr>
              <w:t xml:space="preserve"> „Lauksaimnieku organizāciju sa</w:t>
            </w:r>
            <w:r w:rsidRPr="007D6B7B">
              <w:rPr>
                <w:rFonts w:eastAsia="Arial Unicode MS"/>
              </w:rPr>
              <w:t>da</w:t>
            </w:r>
            <w:r w:rsidR="00430DF4">
              <w:rPr>
                <w:rFonts w:eastAsia="Arial Unicode MS"/>
              </w:rPr>
              <w:t>r</w:t>
            </w:r>
            <w:r w:rsidRPr="007D6B7B">
              <w:rPr>
                <w:rFonts w:eastAsia="Arial Unicode MS"/>
              </w:rPr>
              <w:t>bības padome”, „Zemnieku saeima”</w:t>
            </w:r>
            <w:r w:rsidR="0087683B">
              <w:rPr>
                <w:rFonts w:eastAsia="Arial Unicode MS"/>
              </w:rPr>
              <w:t xml:space="preserve"> un</w:t>
            </w:r>
            <w:r w:rsidRPr="007D6B7B">
              <w:rPr>
                <w:rFonts w:eastAsia="Arial Unicode MS"/>
              </w:rPr>
              <w:t xml:space="preserve"> „Latvijas Lauksaimniecības kooperatīvu asociācija”</w:t>
            </w:r>
            <w:r>
              <w:rPr>
                <w:rFonts w:eastAsia="Arial Unicode MS"/>
              </w:rPr>
              <w:t xml:space="preserve"> atbalsta noteikumu projekta tālāku virzību.</w:t>
            </w:r>
          </w:p>
        </w:tc>
      </w:tr>
      <w:tr w:rsidR="005D73DE" w:rsidRPr="009E2709" w:rsidTr="000761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218" w:type="pct"/>
          </w:tcPr>
          <w:p w:rsidR="0013088C" w:rsidRPr="009E2709" w:rsidRDefault="00A96BC5" w:rsidP="005D73DE">
            <w:pPr>
              <w:pStyle w:val="naiskr"/>
              <w:spacing w:before="0" w:beforeAutospacing="0" w:after="0" w:afterAutospacing="0"/>
            </w:pPr>
            <w:r w:rsidRPr="009E2709">
              <w:t>4</w:t>
            </w:r>
            <w:r w:rsidR="0013088C" w:rsidRPr="009E2709">
              <w:t>.</w:t>
            </w:r>
          </w:p>
        </w:tc>
        <w:tc>
          <w:tcPr>
            <w:tcW w:w="888" w:type="pct"/>
            <w:gridSpan w:val="2"/>
          </w:tcPr>
          <w:p w:rsidR="0013088C" w:rsidRPr="009E2709" w:rsidRDefault="0013088C" w:rsidP="005D73DE">
            <w:pPr>
              <w:pStyle w:val="naiskr"/>
              <w:spacing w:before="0" w:beforeAutospacing="0" w:after="0" w:afterAutospacing="0"/>
              <w:jc w:val="both"/>
            </w:pPr>
            <w:r w:rsidRPr="009E2709">
              <w:t>Cita informācija</w:t>
            </w:r>
          </w:p>
        </w:tc>
        <w:tc>
          <w:tcPr>
            <w:tcW w:w="3894" w:type="pct"/>
            <w:gridSpan w:val="2"/>
          </w:tcPr>
          <w:p w:rsidR="0013088C" w:rsidRPr="009E2709" w:rsidRDefault="0013088C" w:rsidP="005D73DE">
            <w:pPr>
              <w:pStyle w:val="naisc"/>
              <w:spacing w:before="0" w:beforeAutospacing="0" w:after="0" w:afterAutospacing="0"/>
              <w:jc w:val="left"/>
              <w:rPr>
                <w:sz w:val="24"/>
                <w:szCs w:val="24"/>
                <w:lang w:val="lv-LV"/>
              </w:rPr>
            </w:pPr>
          </w:p>
        </w:tc>
      </w:tr>
      <w:tr w:rsidR="005D73DE" w:rsidRPr="009E2709" w:rsidTr="00076158">
        <w:trPr>
          <w:trHeight w:val="222"/>
        </w:trPr>
        <w:tc>
          <w:tcPr>
            <w:tcW w:w="5000" w:type="pct"/>
            <w:gridSpan w:val="5"/>
            <w:tcBorders>
              <w:top w:val="outset" w:sz="6" w:space="0" w:color="000000"/>
              <w:left w:val="outset" w:sz="6" w:space="0" w:color="000000"/>
              <w:bottom w:val="outset" w:sz="6" w:space="0" w:color="000000"/>
              <w:right w:val="outset" w:sz="6" w:space="0" w:color="000000"/>
            </w:tcBorders>
          </w:tcPr>
          <w:p w:rsidR="00A162FE" w:rsidRPr="009E2709" w:rsidRDefault="00A162FE" w:rsidP="005D73DE">
            <w:pPr>
              <w:jc w:val="center"/>
              <w:rPr>
                <w:b/>
                <w:bCs/>
                <w:sz w:val="28"/>
                <w:lang w:val="lv-LV" w:eastAsia="lv-LV"/>
              </w:rPr>
            </w:pPr>
            <w:r w:rsidRPr="009E2709">
              <w:rPr>
                <w:b/>
                <w:bCs/>
                <w:sz w:val="28"/>
                <w:lang w:val="lv-LV" w:eastAsia="lv-LV"/>
              </w:rPr>
              <w:t>VII. Tiesību akta projekta izpildes nodrošināšana un tās ietekme uz institūcijām</w:t>
            </w:r>
          </w:p>
        </w:tc>
      </w:tr>
      <w:tr w:rsidR="005D73DE" w:rsidRPr="009E2709" w:rsidTr="00076158">
        <w:tc>
          <w:tcPr>
            <w:tcW w:w="662" w:type="pct"/>
            <w:gridSpan w:val="2"/>
            <w:tcBorders>
              <w:top w:val="outset" w:sz="6" w:space="0" w:color="000000"/>
              <w:left w:val="outset" w:sz="6" w:space="0" w:color="000000"/>
              <w:bottom w:val="outset" w:sz="6" w:space="0" w:color="000000"/>
              <w:right w:val="outset" w:sz="6" w:space="0" w:color="000000"/>
            </w:tcBorders>
          </w:tcPr>
          <w:p w:rsidR="002C46AC" w:rsidRPr="009E2709" w:rsidRDefault="002C46AC" w:rsidP="005D73DE">
            <w:pPr>
              <w:rPr>
                <w:lang w:val="lv-LV" w:eastAsia="lv-LV"/>
              </w:rPr>
            </w:pPr>
            <w:r w:rsidRPr="009E2709">
              <w:rPr>
                <w:lang w:val="lv-LV" w:eastAsia="lv-LV"/>
              </w:rPr>
              <w:t>1.</w:t>
            </w:r>
          </w:p>
        </w:tc>
        <w:tc>
          <w:tcPr>
            <w:tcW w:w="1529" w:type="pct"/>
            <w:gridSpan w:val="2"/>
            <w:tcBorders>
              <w:top w:val="outset" w:sz="6" w:space="0" w:color="000000"/>
              <w:left w:val="outset" w:sz="6" w:space="0" w:color="000000"/>
              <w:bottom w:val="outset" w:sz="6" w:space="0" w:color="000000"/>
              <w:right w:val="outset" w:sz="6" w:space="0" w:color="000000"/>
            </w:tcBorders>
          </w:tcPr>
          <w:p w:rsidR="002C46AC" w:rsidRPr="009E2709" w:rsidRDefault="002C46AC" w:rsidP="009E2709">
            <w:pPr>
              <w:jc w:val="both"/>
              <w:rPr>
                <w:lang w:val="lv-LV" w:eastAsia="lv-LV"/>
              </w:rPr>
            </w:pPr>
            <w:r w:rsidRPr="009E2709">
              <w:rPr>
                <w:lang w:val="lv-LV" w:eastAsia="lv-LV"/>
              </w:rPr>
              <w:t>Projekta izpildē iesaistītās institūcijas</w:t>
            </w:r>
          </w:p>
        </w:tc>
        <w:tc>
          <w:tcPr>
            <w:tcW w:w="2809" w:type="pct"/>
            <w:tcBorders>
              <w:top w:val="outset" w:sz="6" w:space="0" w:color="000000"/>
              <w:left w:val="outset" w:sz="6" w:space="0" w:color="000000"/>
              <w:bottom w:val="outset" w:sz="6" w:space="0" w:color="000000"/>
              <w:right w:val="outset" w:sz="6" w:space="0" w:color="000000"/>
            </w:tcBorders>
          </w:tcPr>
          <w:p w:rsidR="002C46AC" w:rsidRPr="009E2709" w:rsidRDefault="000336AB" w:rsidP="005D73DE">
            <w:pPr>
              <w:pStyle w:val="Kjene"/>
              <w:tabs>
                <w:tab w:val="clear" w:pos="4153"/>
                <w:tab w:val="clear" w:pos="8306"/>
              </w:tabs>
              <w:snapToGrid/>
              <w:jc w:val="both"/>
              <w:rPr>
                <w:rFonts w:ascii="Times New Roman" w:hAnsi="Times New Roman"/>
                <w:sz w:val="24"/>
                <w:szCs w:val="24"/>
              </w:rPr>
            </w:pPr>
            <w:r>
              <w:rPr>
                <w:rFonts w:ascii="Times New Roman" w:hAnsi="Times New Roman"/>
                <w:sz w:val="24"/>
                <w:szCs w:val="24"/>
              </w:rPr>
              <w:t>Pārtikas un veterinārais dienests</w:t>
            </w:r>
          </w:p>
        </w:tc>
      </w:tr>
      <w:tr w:rsidR="005D73DE" w:rsidRPr="00146A0B" w:rsidTr="00076158">
        <w:tc>
          <w:tcPr>
            <w:tcW w:w="662" w:type="pct"/>
            <w:gridSpan w:val="2"/>
            <w:tcBorders>
              <w:top w:val="outset" w:sz="6" w:space="0" w:color="000000"/>
              <w:left w:val="outset" w:sz="6" w:space="0" w:color="000000"/>
              <w:bottom w:val="outset" w:sz="6" w:space="0" w:color="000000"/>
              <w:right w:val="outset" w:sz="6" w:space="0" w:color="000000"/>
            </w:tcBorders>
          </w:tcPr>
          <w:p w:rsidR="002C46AC" w:rsidRPr="009E2709" w:rsidRDefault="002C46AC" w:rsidP="005D73DE">
            <w:pPr>
              <w:rPr>
                <w:lang w:val="lv-LV" w:eastAsia="lv-LV"/>
              </w:rPr>
            </w:pPr>
            <w:r w:rsidRPr="009E2709">
              <w:rPr>
                <w:lang w:val="lv-LV" w:eastAsia="lv-LV"/>
              </w:rPr>
              <w:t>2.</w:t>
            </w:r>
          </w:p>
        </w:tc>
        <w:tc>
          <w:tcPr>
            <w:tcW w:w="1529" w:type="pct"/>
            <w:gridSpan w:val="2"/>
            <w:tcBorders>
              <w:top w:val="outset" w:sz="6" w:space="0" w:color="000000"/>
              <w:left w:val="outset" w:sz="6" w:space="0" w:color="000000"/>
              <w:bottom w:val="outset" w:sz="6" w:space="0" w:color="000000"/>
              <w:right w:val="outset" w:sz="6" w:space="0" w:color="000000"/>
            </w:tcBorders>
          </w:tcPr>
          <w:p w:rsidR="00713C15" w:rsidRPr="009E2709" w:rsidRDefault="00713C15" w:rsidP="009E2709">
            <w:pPr>
              <w:jc w:val="both"/>
              <w:rPr>
                <w:lang w:val="lv-LV"/>
              </w:rPr>
            </w:pPr>
            <w:r w:rsidRPr="009E2709">
              <w:rPr>
                <w:lang w:val="lv-LV"/>
              </w:rPr>
              <w:t xml:space="preserve">Projekta izpildes ietekme uz pārvaldes funkcijām un institucionālo struktūru. </w:t>
            </w:r>
          </w:p>
          <w:p w:rsidR="002C46AC" w:rsidRPr="009E2709" w:rsidRDefault="00713C15" w:rsidP="009E2709">
            <w:pPr>
              <w:ind w:firstLine="300"/>
              <w:jc w:val="both"/>
              <w:rPr>
                <w:lang w:val="lv-LV"/>
              </w:rPr>
            </w:pPr>
            <w:r w:rsidRPr="009E2709">
              <w:rPr>
                <w:lang w:val="lv-LV"/>
              </w:rPr>
              <w:t>Jaunu institūciju izveide, esošu institūciju likvidācija vai reorganizācija, to ietekme uz institūcijas cilvēkresursiem</w:t>
            </w:r>
          </w:p>
        </w:tc>
        <w:tc>
          <w:tcPr>
            <w:tcW w:w="2809" w:type="pct"/>
            <w:tcBorders>
              <w:top w:val="outset" w:sz="6" w:space="0" w:color="000000"/>
              <w:left w:val="outset" w:sz="6" w:space="0" w:color="000000"/>
              <w:bottom w:val="outset" w:sz="6" w:space="0" w:color="000000"/>
              <w:right w:val="outset" w:sz="6" w:space="0" w:color="000000"/>
            </w:tcBorders>
          </w:tcPr>
          <w:p w:rsidR="005F1986" w:rsidRPr="009E2709" w:rsidRDefault="000336AB" w:rsidP="005D73DE">
            <w:pPr>
              <w:pStyle w:val="naiskr"/>
              <w:spacing w:before="0" w:beforeAutospacing="0" w:after="0" w:afterAutospacing="0"/>
              <w:jc w:val="both"/>
            </w:pPr>
            <w:r>
              <w:t>Projekts šo jomu neskar.</w:t>
            </w:r>
          </w:p>
        </w:tc>
      </w:tr>
      <w:tr w:rsidR="005D73DE" w:rsidRPr="009E2709" w:rsidTr="00076158">
        <w:tc>
          <w:tcPr>
            <w:tcW w:w="662" w:type="pct"/>
            <w:gridSpan w:val="2"/>
            <w:tcBorders>
              <w:top w:val="outset" w:sz="6" w:space="0" w:color="000000"/>
              <w:left w:val="outset" w:sz="6" w:space="0" w:color="000000"/>
              <w:bottom w:val="outset" w:sz="6" w:space="0" w:color="000000"/>
              <w:right w:val="outset" w:sz="6" w:space="0" w:color="000000"/>
            </w:tcBorders>
          </w:tcPr>
          <w:p w:rsidR="002C46AC" w:rsidRPr="009E2709" w:rsidRDefault="002C46AC" w:rsidP="005D73DE">
            <w:pPr>
              <w:rPr>
                <w:lang w:val="lv-LV" w:eastAsia="lv-LV"/>
              </w:rPr>
            </w:pPr>
            <w:r w:rsidRPr="009E2709">
              <w:rPr>
                <w:lang w:val="lv-LV" w:eastAsia="lv-LV"/>
              </w:rPr>
              <w:t>3.</w:t>
            </w:r>
          </w:p>
        </w:tc>
        <w:tc>
          <w:tcPr>
            <w:tcW w:w="1529" w:type="pct"/>
            <w:gridSpan w:val="2"/>
            <w:tcBorders>
              <w:top w:val="outset" w:sz="6" w:space="0" w:color="000000"/>
              <w:left w:val="outset" w:sz="6" w:space="0" w:color="000000"/>
              <w:bottom w:val="outset" w:sz="6" w:space="0" w:color="000000"/>
              <w:right w:val="outset" w:sz="6" w:space="0" w:color="000000"/>
            </w:tcBorders>
          </w:tcPr>
          <w:p w:rsidR="002C46AC" w:rsidRPr="009E2709" w:rsidRDefault="00713C15" w:rsidP="005D73DE">
            <w:pPr>
              <w:jc w:val="both"/>
              <w:rPr>
                <w:lang w:val="lv-LV" w:eastAsia="lv-LV"/>
              </w:rPr>
            </w:pPr>
            <w:r w:rsidRPr="009E2709">
              <w:rPr>
                <w:lang w:val="lv-LV" w:eastAsia="lv-LV"/>
              </w:rPr>
              <w:t>Cita informācija</w:t>
            </w:r>
          </w:p>
        </w:tc>
        <w:tc>
          <w:tcPr>
            <w:tcW w:w="2809" w:type="pct"/>
            <w:tcBorders>
              <w:top w:val="outset" w:sz="6" w:space="0" w:color="000000"/>
              <w:left w:val="outset" w:sz="6" w:space="0" w:color="000000"/>
              <w:bottom w:val="outset" w:sz="6" w:space="0" w:color="000000"/>
              <w:right w:val="outset" w:sz="6" w:space="0" w:color="000000"/>
            </w:tcBorders>
          </w:tcPr>
          <w:p w:rsidR="002C46AC" w:rsidRPr="009E2709" w:rsidRDefault="000336AB" w:rsidP="005D73DE">
            <w:pPr>
              <w:pStyle w:val="Kjene"/>
              <w:tabs>
                <w:tab w:val="clear" w:pos="4153"/>
                <w:tab w:val="clear" w:pos="8306"/>
              </w:tabs>
              <w:snapToGrid/>
              <w:jc w:val="both"/>
              <w:rPr>
                <w:rFonts w:ascii="Times New Roman" w:hAnsi="Times New Roman"/>
                <w:sz w:val="24"/>
                <w:szCs w:val="24"/>
              </w:rPr>
            </w:pPr>
            <w:r>
              <w:rPr>
                <w:rFonts w:ascii="Times New Roman" w:hAnsi="Times New Roman"/>
                <w:sz w:val="24"/>
                <w:szCs w:val="24"/>
              </w:rPr>
              <w:t>Nav.</w:t>
            </w:r>
          </w:p>
        </w:tc>
      </w:tr>
    </w:tbl>
    <w:p w:rsidR="00F83BA3" w:rsidRPr="009E2709" w:rsidRDefault="00F83BA3" w:rsidP="005D73DE">
      <w:pPr>
        <w:pStyle w:val="naisf"/>
        <w:spacing w:before="0" w:beforeAutospacing="0" w:after="0" w:afterAutospacing="0"/>
        <w:rPr>
          <w:sz w:val="28"/>
          <w:lang w:val="lv-LV"/>
        </w:rPr>
      </w:pPr>
    </w:p>
    <w:p w:rsidR="00105AE2" w:rsidRPr="009E2709" w:rsidRDefault="00096D79" w:rsidP="005D73DE">
      <w:pPr>
        <w:pStyle w:val="Virsraksts1"/>
        <w:keepNext w:val="0"/>
        <w:widowControl w:val="0"/>
        <w:ind w:firstLine="720"/>
        <w:jc w:val="left"/>
        <w:rPr>
          <w:b w:val="0"/>
          <w:szCs w:val="28"/>
        </w:rPr>
      </w:pPr>
      <w:r w:rsidRPr="009E2709">
        <w:rPr>
          <w:b w:val="0"/>
          <w:szCs w:val="28"/>
        </w:rPr>
        <w:t xml:space="preserve">Zemkopības </w:t>
      </w:r>
      <w:r w:rsidR="00956ED9">
        <w:rPr>
          <w:b w:val="0"/>
          <w:szCs w:val="28"/>
        </w:rPr>
        <w:t>ministrs</w:t>
      </w:r>
      <w:r w:rsidR="00105AE2" w:rsidRPr="009E2709">
        <w:rPr>
          <w:b w:val="0"/>
          <w:szCs w:val="28"/>
        </w:rPr>
        <w:tab/>
      </w:r>
      <w:r w:rsidR="00A22819" w:rsidRPr="009E2709">
        <w:rPr>
          <w:b w:val="0"/>
          <w:szCs w:val="28"/>
        </w:rPr>
        <w:tab/>
      </w:r>
      <w:r w:rsidR="00A22819" w:rsidRPr="009E2709">
        <w:rPr>
          <w:b w:val="0"/>
          <w:szCs w:val="28"/>
        </w:rPr>
        <w:tab/>
      </w:r>
      <w:r w:rsidR="00A22819" w:rsidRPr="009E2709">
        <w:rPr>
          <w:b w:val="0"/>
          <w:szCs w:val="28"/>
        </w:rPr>
        <w:tab/>
      </w:r>
      <w:r w:rsidR="00A22819" w:rsidRPr="009E2709">
        <w:rPr>
          <w:b w:val="0"/>
          <w:szCs w:val="28"/>
        </w:rPr>
        <w:tab/>
      </w:r>
      <w:r w:rsidR="00105AE2" w:rsidRPr="009E2709">
        <w:rPr>
          <w:b w:val="0"/>
          <w:szCs w:val="28"/>
        </w:rPr>
        <w:tab/>
      </w:r>
      <w:r w:rsidR="00956ED9">
        <w:rPr>
          <w:b w:val="0"/>
          <w:szCs w:val="28"/>
        </w:rPr>
        <w:t>J.Dūklavs</w:t>
      </w:r>
    </w:p>
    <w:p w:rsidR="002B24A9" w:rsidRPr="009E2709" w:rsidRDefault="002B24A9" w:rsidP="005D73DE">
      <w:pPr>
        <w:rPr>
          <w:lang w:val="lv-LV"/>
        </w:rPr>
      </w:pPr>
    </w:p>
    <w:p w:rsidR="002B24A9" w:rsidRDefault="002B24A9" w:rsidP="005D73DE">
      <w:pPr>
        <w:rPr>
          <w:lang w:val="lv-LV"/>
        </w:rPr>
      </w:pPr>
    </w:p>
    <w:p w:rsidR="005C4AFB" w:rsidRDefault="005C4AFB" w:rsidP="005D73DE">
      <w:pPr>
        <w:rPr>
          <w:lang w:val="lv-LV"/>
        </w:rPr>
      </w:pPr>
    </w:p>
    <w:p w:rsidR="005C4AFB" w:rsidRDefault="005C4AFB" w:rsidP="005D73DE">
      <w:pPr>
        <w:rPr>
          <w:lang w:val="lv-LV"/>
        </w:rPr>
      </w:pPr>
    </w:p>
    <w:p w:rsidR="005C4AFB" w:rsidRPr="009E2709" w:rsidRDefault="005C4AFB" w:rsidP="005D73DE">
      <w:pPr>
        <w:rPr>
          <w:lang w:val="lv-LV"/>
        </w:rPr>
      </w:pPr>
    </w:p>
    <w:p w:rsidR="005C4AFB" w:rsidRDefault="005C4AFB" w:rsidP="00956ED9">
      <w:pPr>
        <w:jc w:val="both"/>
        <w:rPr>
          <w:sz w:val="20"/>
          <w:szCs w:val="20"/>
          <w:lang w:val="lv-LV"/>
        </w:rPr>
      </w:pPr>
      <w:r>
        <w:rPr>
          <w:sz w:val="20"/>
          <w:szCs w:val="20"/>
          <w:lang w:val="lv-LV"/>
        </w:rPr>
        <w:t>2014.09.01. 12:07</w:t>
      </w:r>
    </w:p>
    <w:p w:rsidR="005C4AFB" w:rsidRDefault="005C4AFB" w:rsidP="00956ED9">
      <w:pPr>
        <w:jc w:val="both"/>
        <w:rPr>
          <w:sz w:val="20"/>
          <w:szCs w:val="20"/>
          <w:lang w:val="lv-LV"/>
        </w:rPr>
      </w:pPr>
      <w:r>
        <w:rPr>
          <w:sz w:val="20"/>
          <w:szCs w:val="20"/>
          <w:lang w:val="lv-LV"/>
        </w:rPr>
        <w:fldChar w:fldCharType="begin"/>
      </w:r>
      <w:r>
        <w:rPr>
          <w:sz w:val="20"/>
          <w:szCs w:val="20"/>
          <w:lang w:val="lv-LV"/>
        </w:rPr>
        <w:instrText xml:space="preserve"> NUMWORDS   \* MERGEFORMAT </w:instrText>
      </w:r>
      <w:r>
        <w:rPr>
          <w:sz w:val="20"/>
          <w:szCs w:val="20"/>
          <w:lang w:val="lv-LV"/>
        </w:rPr>
        <w:fldChar w:fldCharType="separate"/>
      </w:r>
      <w:r>
        <w:rPr>
          <w:noProof/>
          <w:sz w:val="20"/>
          <w:szCs w:val="20"/>
          <w:lang w:val="lv-LV"/>
        </w:rPr>
        <w:t>1719</w:t>
      </w:r>
      <w:r>
        <w:rPr>
          <w:sz w:val="20"/>
          <w:szCs w:val="20"/>
          <w:lang w:val="lv-LV"/>
        </w:rPr>
        <w:fldChar w:fldCharType="end"/>
      </w:r>
    </w:p>
    <w:p w:rsidR="00956ED9" w:rsidRPr="00735A76" w:rsidRDefault="00956ED9" w:rsidP="00956ED9">
      <w:pPr>
        <w:jc w:val="both"/>
        <w:rPr>
          <w:sz w:val="20"/>
          <w:szCs w:val="20"/>
          <w:lang w:val="lv-LV"/>
        </w:rPr>
      </w:pPr>
      <w:bookmarkStart w:id="2" w:name="_GoBack"/>
      <w:bookmarkEnd w:id="2"/>
      <w:r w:rsidRPr="00735A76">
        <w:rPr>
          <w:sz w:val="20"/>
          <w:szCs w:val="20"/>
          <w:lang w:val="lv-LV"/>
        </w:rPr>
        <w:t>O.Vecuma-Veco</w:t>
      </w:r>
    </w:p>
    <w:p w:rsidR="001C09FC" w:rsidRPr="00735A76" w:rsidRDefault="00956ED9" w:rsidP="00956ED9">
      <w:pPr>
        <w:jc w:val="both"/>
        <w:rPr>
          <w:sz w:val="20"/>
          <w:szCs w:val="20"/>
          <w:lang w:val="lv-LV"/>
        </w:rPr>
      </w:pPr>
      <w:r w:rsidRPr="00735A76">
        <w:rPr>
          <w:sz w:val="20"/>
          <w:szCs w:val="20"/>
          <w:lang w:val="lv-LV"/>
        </w:rPr>
        <w:t>67027551, Olita.Vecuma-Veco@zm.gov.lv</w:t>
      </w:r>
    </w:p>
    <w:sectPr w:rsidR="001C09FC" w:rsidRPr="00735A76" w:rsidSect="00766002">
      <w:headerReference w:type="even" r:id="rId8"/>
      <w:headerReference w:type="default" r:id="rId9"/>
      <w:footerReference w:type="default" r:id="rId10"/>
      <w:footerReference w:type="first" r:id="rId11"/>
      <w:pgSz w:w="11906" w:h="16838" w:code="9"/>
      <w:pgMar w:top="1418" w:right="1134"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699F" w:rsidRDefault="00D6699F">
      <w:r>
        <w:separator/>
      </w:r>
    </w:p>
  </w:endnote>
  <w:endnote w:type="continuationSeparator" w:id="0">
    <w:p w:rsidR="00D6699F" w:rsidRDefault="00D66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RimTimes">
    <w:altName w:val="Courier New"/>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E52" w:rsidRPr="00543A89" w:rsidRDefault="00543A89" w:rsidP="00543A89">
    <w:pPr>
      <w:pStyle w:val="Kjene"/>
      <w:rPr>
        <w:rFonts w:ascii="Times New Roman" w:hAnsi="Times New Roman"/>
        <w:sz w:val="20"/>
      </w:rPr>
    </w:pPr>
    <w:r w:rsidRPr="00543A89">
      <w:rPr>
        <w:rFonts w:ascii="Times New Roman" w:hAnsi="Times New Roman"/>
        <w:sz w:val="20"/>
      </w:rPr>
      <w:t>Z</w:t>
    </w:r>
    <w:r w:rsidR="00076158">
      <w:rPr>
        <w:rFonts w:ascii="Times New Roman" w:hAnsi="Times New Roman"/>
        <w:sz w:val="20"/>
      </w:rPr>
      <w:t>Manot_0109</w:t>
    </w:r>
    <w:r w:rsidRPr="00543A89">
      <w:rPr>
        <w:rFonts w:ascii="Times New Roman" w:hAnsi="Times New Roman"/>
        <w:sz w:val="20"/>
      </w:rPr>
      <w:t>14_listerioze; Ministru kabineta noteikumu projekta „</w:t>
    </w:r>
    <w:proofErr w:type="spellStart"/>
    <w:r w:rsidRPr="00543A89">
      <w:rPr>
        <w:rFonts w:ascii="Times New Roman" w:hAnsi="Times New Roman"/>
        <w:sz w:val="20"/>
      </w:rPr>
      <w:t>Listeriozes</w:t>
    </w:r>
    <w:proofErr w:type="spellEnd"/>
    <w:r w:rsidRPr="00543A89">
      <w:rPr>
        <w:rFonts w:ascii="Times New Roman" w:hAnsi="Times New Roman"/>
        <w:sz w:val="20"/>
      </w:rPr>
      <w:t xml:space="preserve"> uzraudzības, kontroles un apkarošanas kārtība”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E52" w:rsidRPr="00FA28CA" w:rsidRDefault="00FA28CA" w:rsidP="00A02232">
    <w:pPr>
      <w:widowControl w:val="0"/>
      <w:autoSpaceDE w:val="0"/>
      <w:autoSpaceDN w:val="0"/>
      <w:adjustRightInd w:val="0"/>
      <w:jc w:val="both"/>
      <w:rPr>
        <w:sz w:val="20"/>
        <w:szCs w:val="20"/>
        <w:lang w:val="lv-LV"/>
      </w:rPr>
    </w:pPr>
    <w:r w:rsidRPr="00A17DD9">
      <w:rPr>
        <w:sz w:val="20"/>
        <w:szCs w:val="20"/>
        <w:lang w:val="lv-LV"/>
      </w:rPr>
      <w:t>ZM</w:t>
    </w:r>
    <w:r>
      <w:rPr>
        <w:sz w:val="20"/>
        <w:szCs w:val="20"/>
        <w:lang w:val="lv-LV"/>
      </w:rPr>
      <w:t>a</w:t>
    </w:r>
    <w:r w:rsidRPr="00A17DD9">
      <w:rPr>
        <w:sz w:val="20"/>
        <w:szCs w:val="20"/>
        <w:lang w:val="lv-LV"/>
      </w:rPr>
      <w:t>not_</w:t>
    </w:r>
    <w:r w:rsidR="00076158">
      <w:rPr>
        <w:sz w:val="20"/>
        <w:szCs w:val="20"/>
        <w:lang w:val="lv-LV"/>
      </w:rPr>
      <w:t>0109</w:t>
    </w:r>
    <w:r w:rsidRPr="00A17DD9">
      <w:rPr>
        <w:sz w:val="20"/>
        <w:szCs w:val="20"/>
        <w:lang w:val="lv-LV"/>
      </w:rPr>
      <w:t>1</w:t>
    </w:r>
    <w:r w:rsidR="00543A89">
      <w:rPr>
        <w:sz w:val="20"/>
        <w:szCs w:val="20"/>
        <w:lang w:val="lv-LV"/>
      </w:rPr>
      <w:t>4_listerioze</w:t>
    </w:r>
    <w:r w:rsidRPr="00A17DD9">
      <w:rPr>
        <w:sz w:val="20"/>
        <w:szCs w:val="20"/>
        <w:lang w:val="lv-LV"/>
      </w:rPr>
      <w:t xml:space="preserve">; </w:t>
    </w:r>
    <w:r w:rsidR="00A02232" w:rsidRPr="00A02232">
      <w:rPr>
        <w:sz w:val="20"/>
        <w:szCs w:val="20"/>
        <w:lang w:val="lv-LV"/>
      </w:rPr>
      <w:t>Ministru kabineta noteikumu projekta „</w:t>
    </w:r>
    <w:proofErr w:type="spellStart"/>
    <w:r w:rsidR="00A02232" w:rsidRPr="00A02232">
      <w:rPr>
        <w:sz w:val="20"/>
        <w:szCs w:val="20"/>
        <w:lang w:val="lv-LV"/>
      </w:rPr>
      <w:t>Listeriozes</w:t>
    </w:r>
    <w:proofErr w:type="spellEnd"/>
    <w:r w:rsidR="00A02232" w:rsidRPr="00A02232">
      <w:rPr>
        <w:sz w:val="20"/>
        <w:szCs w:val="20"/>
        <w:lang w:val="lv-LV"/>
      </w:rPr>
      <w:t xml:space="preserve"> uzraudzības, kontroles </w:t>
    </w:r>
    <w:r w:rsidR="00A02232">
      <w:rPr>
        <w:sz w:val="20"/>
        <w:szCs w:val="20"/>
        <w:lang w:val="lv-LV"/>
      </w:rPr>
      <w:t xml:space="preserve">un apkarošanas kārtība” </w:t>
    </w:r>
    <w:r w:rsidR="00A02232" w:rsidRPr="00A02232">
      <w:rPr>
        <w:sz w:val="20"/>
        <w:szCs w:val="20"/>
        <w:lang w:val="lv-LV"/>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699F" w:rsidRDefault="00D6699F">
      <w:r>
        <w:separator/>
      </w:r>
    </w:p>
  </w:footnote>
  <w:footnote w:type="continuationSeparator" w:id="0">
    <w:p w:rsidR="00D6699F" w:rsidRDefault="00D669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E52" w:rsidRDefault="0023303C">
    <w:pPr>
      <w:pStyle w:val="Galvene"/>
      <w:framePr w:wrap="around" w:vAnchor="text" w:hAnchor="margin" w:xAlign="center" w:y="1"/>
      <w:rPr>
        <w:rStyle w:val="Lappusesnumurs"/>
      </w:rPr>
    </w:pPr>
    <w:r>
      <w:rPr>
        <w:rStyle w:val="Lappusesnumurs"/>
      </w:rPr>
      <w:fldChar w:fldCharType="begin"/>
    </w:r>
    <w:r w:rsidR="00D27E52">
      <w:rPr>
        <w:rStyle w:val="Lappusesnumurs"/>
      </w:rPr>
      <w:instrText xml:space="preserve">PAGE  </w:instrText>
    </w:r>
    <w:r>
      <w:rPr>
        <w:rStyle w:val="Lappusesnumurs"/>
      </w:rPr>
      <w:fldChar w:fldCharType="end"/>
    </w:r>
  </w:p>
  <w:p w:rsidR="00D27E52" w:rsidRDefault="00D27E52">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E52" w:rsidRDefault="0023303C">
    <w:pPr>
      <w:pStyle w:val="Galvene"/>
      <w:framePr w:wrap="around" w:vAnchor="text" w:hAnchor="margin" w:xAlign="center" w:y="1"/>
      <w:rPr>
        <w:rStyle w:val="Lappusesnumurs"/>
      </w:rPr>
    </w:pPr>
    <w:r>
      <w:rPr>
        <w:rStyle w:val="Lappusesnumurs"/>
      </w:rPr>
      <w:fldChar w:fldCharType="begin"/>
    </w:r>
    <w:r w:rsidR="00D27E52">
      <w:rPr>
        <w:rStyle w:val="Lappusesnumurs"/>
      </w:rPr>
      <w:instrText xml:space="preserve">PAGE  </w:instrText>
    </w:r>
    <w:r>
      <w:rPr>
        <w:rStyle w:val="Lappusesnumurs"/>
      </w:rPr>
      <w:fldChar w:fldCharType="separate"/>
    </w:r>
    <w:r w:rsidR="005C4AFB">
      <w:rPr>
        <w:rStyle w:val="Lappusesnumurs"/>
        <w:noProof/>
      </w:rPr>
      <w:t>3</w:t>
    </w:r>
    <w:r>
      <w:rPr>
        <w:rStyle w:val="Lappusesnumurs"/>
      </w:rPr>
      <w:fldChar w:fldCharType="end"/>
    </w:r>
  </w:p>
  <w:p w:rsidR="00D27E52" w:rsidRDefault="00D27E52">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6D119B"/>
    <w:multiLevelType w:val="hybridMultilevel"/>
    <w:tmpl w:val="D890C192"/>
    <w:lvl w:ilvl="0" w:tplc="8E2A5972">
      <w:start w:val="4"/>
      <w:numFmt w:val="bullet"/>
      <w:lvlText w:val="-"/>
      <w:lvlJc w:val="left"/>
      <w:pPr>
        <w:tabs>
          <w:tab w:val="num" w:pos="930"/>
        </w:tabs>
        <w:ind w:left="930" w:hanging="57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26B7147"/>
    <w:multiLevelType w:val="hybridMultilevel"/>
    <w:tmpl w:val="F5127214"/>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nsid w:val="52055420"/>
    <w:multiLevelType w:val="hybridMultilevel"/>
    <w:tmpl w:val="18C0F7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250055E"/>
    <w:multiLevelType w:val="hybridMultilevel"/>
    <w:tmpl w:val="7A0A5EE8"/>
    <w:lvl w:ilvl="0" w:tplc="6C626DB6">
      <w:start w:val="1"/>
      <w:numFmt w:val="decimal"/>
      <w:lvlText w:val="%1)"/>
      <w:lvlJc w:val="left"/>
      <w:pPr>
        <w:tabs>
          <w:tab w:val="num" w:pos="735"/>
        </w:tabs>
        <w:ind w:left="735" w:hanging="375"/>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nsid w:val="564732CE"/>
    <w:multiLevelType w:val="hybridMultilevel"/>
    <w:tmpl w:val="6C0ED526"/>
    <w:lvl w:ilvl="0" w:tplc="0426000F">
      <w:start w:val="1"/>
      <w:numFmt w:val="decimal"/>
      <w:lvlText w:val="%1."/>
      <w:lvlJc w:val="left"/>
      <w:pPr>
        <w:tabs>
          <w:tab w:val="num" w:pos="600"/>
        </w:tabs>
        <w:ind w:left="600" w:hanging="360"/>
      </w:pPr>
      <w:rPr>
        <w:rFonts w:hint="default"/>
      </w:rPr>
    </w:lvl>
    <w:lvl w:ilvl="1" w:tplc="04260019" w:tentative="1">
      <w:start w:val="1"/>
      <w:numFmt w:val="lowerLetter"/>
      <w:lvlText w:val="%2."/>
      <w:lvlJc w:val="left"/>
      <w:pPr>
        <w:tabs>
          <w:tab w:val="num" w:pos="1320"/>
        </w:tabs>
        <w:ind w:left="1320" w:hanging="360"/>
      </w:pPr>
    </w:lvl>
    <w:lvl w:ilvl="2" w:tplc="0426001B" w:tentative="1">
      <w:start w:val="1"/>
      <w:numFmt w:val="lowerRoman"/>
      <w:lvlText w:val="%3."/>
      <w:lvlJc w:val="right"/>
      <w:pPr>
        <w:tabs>
          <w:tab w:val="num" w:pos="2040"/>
        </w:tabs>
        <w:ind w:left="2040" w:hanging="180"/>
      </w:pPr>
    </w:lvl>
    <w:lvl w:ilvl="3" w:tplc="0426000F" w:tentative="1">
      <w:start w:val="1"/>
      <w:numFmt w:val="decimal"/>
      <w:lvlText w:val="%4."/>
      <w:lvlJc w:val="left"/>
      <w:pPr>
        <w:tabs>
          <w:tab w:val="num" w:pos="2760"/>
        </w:tabs>
        <w:ind w:left="2760" w:hanging="360"/>
      </w:pPr>
    </w:lvl>
    <w:lvl w:ilvl="4" w:tplc="04260019" w:tentative="1">
      <w:start w:val="1"/>
      <w:numFmt w:val="lowerLetter"/>
      <w:lvlText w:val="%5."/>
      <w:lvlJc w:val="left"/>
      <w:pPr>
        <w:tabs>
          <w:tab w:val="num" w:pos="3480"/>
        </w:tabs>
        <w:ind w:left="3480" w:hanging="360"/>
      </w:pPr>
    </w:lvl>
    <w:lvl w:ilvl="5" w:tplc="0426001B" w:tentative="1">
      <w:start w:val="1"/>
      <w:numFmt w:val="lowerRoman"/>
      <w:lvlText w:val="%6."/>
      <w:lvlJc w:val="right"/>
      <w:pPr>
        <w:tabs>
          <w:tab w:val="num" w:pos="4200"/>
        </w:tabs>
        <w:ind w:left="4200" w:hanging="180"/>
      </w:pPr>
    </w:lvl>
    <w:lvl w:ilvl="6" w:tplc="0426000F" w:tentative="1">
      <w:start w:val="1"/>
      <w:numFmt w:val="decimal"/>
      <w:lvlText w:val="%7."/>
      <w:lvlJc w:val="left"/>
      <w:pPr>
        <w:tabs>
          <w:tab w:val="num" w:pos="4920"/>
        </w:tabs>
        <w:ind w:left="4920" w:hanging="360"/>
      </w:pPr>
    </w:lvl>
    <w:lvl w:ilvl="7" w:tplc="04260019" w:tentative="1">
      <w:start w:val="1"/>
      <w:numFmt w:val="lowerLetter"/>
      <w:lvlText w:val="%8."/>
      <w:lvlJc w:val="left"/>
      <w:pPr>
        <w:tabs>
          <w:tab w:val="num" w:pos="5640"/>
        </w:tabs>
        <w:ind w:left="5640" w:hanging="360"/>
      </w:pPr>
    </w:lvl>
    <w:lvl w:ilvl="8" w:tplc="0426001B" w:tentative="1">
      <w:start w:val="1"/>
      <w:numFmt w:val="lowerRoman"/>
      <w:lvlText w:val="%9."/>
      <w:lvlJc w:val="right"/>
      <w:pPr>
        <w:tabs>
          <w:tab w:val="num" w:pos="6360"/>
        </w:tabs>
        <w:ind w:left="6360" w:hanging="180"/>
      </w:pPr>
    </w:lvl>
  </w:abstractNum>
  <w:abstractNum w:abstractNumId="5">
    <w:nsid w:val="5B691A42"/>
    <w:multiLevelType w:val="hybridMultilevel"/>
    <w:tmpl w:val="4A66829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BF46BAC"/>
    <w:multiLevelType w:val="multilevel"/>
    <w:tmpl w:val="E48A3E18"/>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632B3CBB"/>
    <w:multiLevelType w:val="hybridMultilevel"/>
    <w:tmpl w:val="28B658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EE80610"/>
    <w:multiLevelType w:val="hybridMultilevel"/>
    <w:tmpl w:val="80E658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7"/>
  </w:num>
  <w:num w:numId="3">
    <w:abstractNumId w:val="8"/>
  </w:num>
  <w:num w:numId="4">
    <w:abstractNumId w:val="5"/>
  </w:num>
  <w:num w:numId="5">
    <w:abstractNumId w:val="2"/>
  </w:num>
  <w:num w:numId="6">
    <w:abstractNumId w:val="1"/>
  </w:num>
  <w:num w:numId="7">
    <w:abstractNumId w:val="4"/>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F8D"/>
    <w:rsid w:val="00001CFA"/>
    <w:rsid w:val="000030F6"/>
    <w:rsid w:val="00003470"/>
    <w:rsid w:val="00004B99"/>
    <w:rsid w:val="00011500"/>
    <w:rsid w:val="0001274B"/>
    <w:rsid w:val="00014400"/>
    <w:rsid w:val="000168B7"/>
    <w:rsid w:val="0002330F"/>
    <w:rsid w:val="0002456C"/>
    <w:rsid w:val="00026D31"/>
    <w:rsid w:val="0003130D"/>
    <w:rsid w:val="000323C9"/>
    <w:rsid w:val="00032DD1"/>
    <w:rsid w:val="000336AB"/>
    <w:rsid w:val="00034F8D"/>
    <w:rsid w:val="00035AEC"/>
    <w:rsid w:val="00037C03"/>
    <w:rsid w:val="00040105"/>
    <w:rsid w:val="000402EE"/>
    <w:rsid w:val="00042DEB"/>
    <w:rsid w:val="00043915"/>
    <w:rsid w:val="000463AC"/>
    <w:rsid w:val="00054536"/>
    <w:rsid w:val="00056991"/>
    <w:rsid w:val="00057FBC"/>
    <w:rsid w:val="00062D6B"/>
    <w:rsid w:val="0006719B"/>
    <w:rsid w:val="0007255F"/>
    <w:rsid w:val="00072622"/>
    <w:rsid w:val="00074423"/>
    <w:rsid w:val="00074D2A"/>
    <w:rsid w:val="0007562F"/>
    <w:rsid w:val="00075C44"/>
    <w:rsid w:val="00076158"/>
    <w:rsid w:val="0007746D"/>
    <w:rsid w:val="00077EA4"/>
    <w:rsid w:val="00081283"/>
    <w:rsid w:val="000817A3"/>
    <w:rsid w:val="000828B5"/>
    <w:rsid w:val="0008293B"/>
    <w:rsid w:val="00082B53"/>
    <w:rsid w:val="00083281"/>
    <w:rsid w:val="00083CAC"/>
    <w:rsid w:val="000850C4"/>
    <w:rsid w:val="0008664A"/>
    <w:rsid w:val="0009142B"/>
    <w:rsid w:val="000919A8"/>
    <w:rsid w:val="00093266"/>
    <w:rsid w:val="00093E3F"/>
    <w:rsid w:val="00095D8C"/>
    <w:rsid w:val="00096D79"/>
    <w:rsid w:val="000A19E2"/>
    <w:rsid w:val="000A2AA7"/>
    <w:rsid w:val="000A2CED"/>
    <w:rsid w:val="000A5652"/>
    <w:rsid w:val="000A67CD"/>
    <w:rsid w:val="000B076F"/>
    <w:rsid w:val="000B32EF"/>
    <w:rsid w:val="000B3D3E"/>
    <w:rsid w:val="000B5EAD"/>
    <w:rsid w:val="000B77B7"/>
    <w:rsid w:val="000B7AB8"/>
    <w:rsid w:val="000C0FA7"/>
    <w:rsid w:val="000C1E85"/>
    <w:rsid w:val="000C5D0D"/>
    <w:rsid w:val="000D0329"/>
    <w:rsid w:val="000D0616"/>
    <w:rsid w:val="000D3B4D"/>
    <w:rsid w:val="000D51C7"/>
    <w:rsid w:val="000D57DA"/>
    <w:rsid w:val="000E3DB2"/>
    <w:rsid w:val="000E4067"/>
    <w:rsid w:val="000E47D5"/>
    <w:rsid w:val="000E5F80"/>
    <w:rsid w:val="000E6933"/>
    <w:rsid w:val="000E75D1"/>
    <w:rsid w:val="000F01FC"/>
    <w:rsid w:val="000F0966"/>
    <w:rsid w:val="000F2EB4"/>
    <w:rsid w:val="000F32C8"/>
    <w:rsid w:val="000F736E"/>
    <w:rsid w:val="00100B1F"/>
    <w:rsid w:val="00100FE3"/>
    <w:rsid w:val="001017AD"/>
    <w:rsid w:val="00101DE0"/>
    <w:rsid w:val="00101E0B"/>
    <w:rsid w:val="00103AD7"/>
    <w:rsid w:val="00103D1B"/>
    <w:rsid w:val="00104349"/>
    <w:rsid w:val="00105AE2"/>
    <w:rsid w:val="0010612F"/>
    <w:rsid w:val="00106E4A"/>
    <w:rsid w:val="0011310D"/>
    <w:rsid w:val="00116784"/>
    <w:rsid w:val="001177FE"/>
    <w:rsid w:val="001178E3"/>
    <w:rsid w:val="001304F1"/>
    <w:rsid w:val="0013088C"/>
    <w:rsid w:val="00131D05"/>
    <w:rsid w:val="00132004"/>
    <w:rsid w:val="001324A4"/>
    <w:rsid w:val="001345CB"/>
    <w:rsid w:val="001347E9"/>
    <w:rsid w:val="00136C98"/>
    <w:rsid w:val="00137B2C"/>
    <w:rsid w:val="00140B4C"/>
    <w:rsid w:val="0014129D"/>
    <w:rsid w:val="0014319C"/>
    <w:rsid w:val="001466B6"/>
    <w:rsid w:val="00146A0B"/>
    <w:rsid w:val="00150011"/>
    <w:rsid w:val="0015254E"/>
    <w:rsid w:val="00153C68"/>
    <w:rsid w:val="0015551E"/>
    <w:rsid w:val="00155B89"/>
    <w:rsid w:val="001608F4"/>
    <w:rsid w:val="0016266C"/>
    <w:rsid w:val="00162E14"/>
    <w:rsid w:val="00164B42"/>
    <w:rsid w:val="00164C6B"/>
    <w:rsid w:val="001663CF"/>
    <w:rsid w:val="001665DD"/>
    <w:rsid w:val="00171315"/>
    <w:rsid w:val="00171BA0"/>
    <w:rsid w:val="001739AD"/>
    <w:rsid w:val="001751F5"/>
    <w:rsid w:val="00176E50"/>
    <w:rsid w:val="00182C1E"/>
    <w:rsid w:val="001919A5"/>
    <w:rsid w:val="001942B7"/>
    <w:rsid w:val="0019798B"/>
    <w:rsid w:val="001A10EA"/>
    <w:rsid w:val="001A3B92"/>
    <w:rsid w:val="001A3FFF"/>
    <w:rsid w:val="001A6148"/>
    <w:rsid w:val="001A7C43"/>
    <w:rsid w:val="001B2F73"/>
    <w:rsid w:val="001B3B95"/>
    <w:rsid w:val="001B4882"/>
    <w:rsid w:val="001C09FC"/>
    <w:rsid w:val="001C2A17"/>
    <w:rsid w:val="001C4904"/>
    <w:rsid w:val="001C5F46"/>
    <w:rsid w:val="001C7CA2"/>
    <w:rsid w:val="001D06A3"/>
    <w:rsid w:val="001D180D"/>
    <w:rsid w:val="001D5DAF"/>
    <w:rsid w:val="001D77D5"/>
    <w:rsid w:val="001E14E1"/>
    <w:rsid w:val="001E264B"/>
    <w:rsid w:val="001E40A1"/>
    <w:rsid w:val="001E699D"/>
    <w:rsid w:val="001E7670"/>
    <w:rsid w:val="001F1642"/>
    <w:rsid w:val="001F373B"/>
    <w:rsid w:val="001F5256"/>
    <w:rsid w:val="001F5C16"/>
    <w:rsid w:val="002027AF"/>
    <w:rsid w:val="00203134"/>
    <w:rsid w:val="002043DB"/>
    <w:rsid w:val="00205C1E"/>
    <w:rsid w:val="0020639A"/>
    <w:rsid w:val="00210E44"/>
    <w:rsid w:val="0021306B"/>
    <w:rsid w:val="0021364F"/>
    <w:rsid w:val="002234A1"/>
    <w:rsid w:val="00224CE4"/>
    <w:rsid w:val="00230D6B"/>
    <w:rsid w:val="00231888"/>
    <w:rsid w:val="0023257C"/>
    <w:rsid w:val="0023303C"/>
    <w:rsid w:val="00243F66"/>
    <w:rsid w:val="0024492F"/>
    <w:rsid w:val="002465D1"/>
    <w:rsid w:val="00247ADA"/>
    <w:rsid w:val="00247BF7"/>
    <w:rsid w:val="00247D93"/>
    <w:rsid w:val="002509B6"/>
    <w:rsid w:val="00252CBC"/>
    <w:rsid w:val="00260328"/>
    <w:rsid w:val="002606D3"/>
    <w:rsid w:val="00262617"/>
    <w:rsid w:val="002669C3"/>
    <w:rsid w:val="00267A04"/>
    <w:rsid w:val="00270E29"/>
    <w:rsid w:val="002740B7"/>
    <w:rsid w:val="00274350"/>
    <w:rsid w:val="00274907"/>
    <w:rsid w:val="00276098"/>
    <w:rsid w:val="002766EE"/>
    <w:rsid w:val="00281011"/>
    <w:rsid w:val="00281E8A"/>
    <w:rsid w:val="00282F68"/>
    <w:rsid w:val="002849D1"/>
    <w:rsid w:val="00285832"/>
    <w:rsid w:val="00286469"/>
    <w:rsid w:val="002915A2"/>
    <w:rsid w:val="00294063"/>
    <w:rsid w:val="0029410D"/>
    <w:rsid w:val="00294367"/>
    <w:rsid w:val="00295020"/>
    <w:rsid w:val="0029700C"/>
    <w:rsid w:val="00297244"/>
    <w:rsid w:val="002A096C"/>
    <w:rsid w:val="002A16EB"/>
    <w:rsid w:val="002A227F"/>
    <w:rsid w:val="002A46BA"/>
    <w:rsid w:val="002A7CB6"/>
    <w:rsid w:val="002B0FAE"/>
    <w:rsid w:val="002B1905"/>
    <w:rsid w:val="002B24A9"/>
    <w:rsid w:val="002B3D70"/>
    <w:rsid w:val="002B4F76"/>
    <w:rsid w:val="002B5B5B"/>
    <w:rsid w:val="002B7F1D"/>
    <w:rsid w:val="002C0839"/>
    <w:rsid w:val="002C11B3"/>
    <w:rsid w:val="002C2235"/>
    <w:rsid w:val="002C45E2"/>
    <w:rsid w:val="002C46AC"/>
    <w:rsid w:val="002C59C1"/>
    <w:rsid w:val="002C72FB"/>
    <w:rsid w:val="002D06D5"/>
    <w:rsid w:val="002D1A3D"/>
    <w:rsid w:val="002D1D38"/>
    <w:rsid w:val="002D4981"/>
    <w:rsid w:val="002E1E2F"/>
    <w:rsid w:val="002E284E"/>
    <w:rsid w:val="002E3FFA"/>
    <w:rsid w:val="002E70B1"/>
    <w:rsid w:val="002F01BA"/>
    <w:rsid w:val="002F0C7E"/>
    <w:rsid w:val="002F10A4"/>
    <w:rsid w:val="002F10C7"/>
    <w:rsid w:val="002F19B5"/>
    <w:rsid w:val="002F248E"/>
    <w:rsid w:val="002F3142"/>
    <w:rsid w:val="002F35FD"/>
    <w:rsid w:val="002F4716"/>
    <w:rsid w:val="002F48D2"/>
    <w:rsid w:val="002F5119"/>
    <w:rsid w:val="002F77F1"/>
    <w:rsid w:val="003025C8"/>
    <w:rsid w:val="00303999"/>
    <w:rsid w:val="003078B5"/>
    <w:rsid w:val="003078BF"/>
    <w:rsid w:val="00312474"/>
    <w:rsid w:val="003124EE"/>
    <w:rsid w:val="003144CC"/>
    <w:rsid w:val="0031464D"/>
    <w:rsid w:val="00315C3F"/>
    <w:rsid w:val="0031720E"/>
    <w:rsid w:val="0032141D"/>
    <w:rsid w:val="00326D8C"/>
    <w:rsid w:val="003309B4"/>
    <w:rsid w:val="0033350D"/>
    <w:rsid w:val="00333737"/>
    <w:rsid w:val="003353AA"/>
    <w:rsid w:val="003420C9"/>
    <w:rsid w:val="00342541"/>
    <w:rsid w:val="003431FA"/>
    <w:rsid w:val="003436A4"/>
    <w:rsid w:val="00343E77"/>
    <w:rsid w:val="00344162"/>
    <w:rsid w:val="00346536"/>
    <w:rsid w:val="00347FD4"/>
    <w:rsid w:val="00353D62"/>
    <w:rsid w:val="003552B9"/>
    <w:rsid w:val="003559CE"/>
    <w:rsid w:val="00356DA0"/>
    <w:rsid w:val="00356E2C"/>
    <w:rsid w:val="0036198C"/>
    <w:rsid w:val="00363ADB"/>
    <w:rsid w:val="00366C0D"/>
    <w:rsid w:val="00366E84"/>
    <w:rsid w:val="0037053D"/>
    <w:rsid w:val="00370ED5"/>
    <w:rsid w:val="00370F96"/>
    <w:rsid w:val="00371C48"/>
    <w:rsid w:val="00371C8F"/>
    <w:rsid w:val="003750BF"/>
    <w:rsid w:val="003769E4"/>
    <w:rsid w:val="00376BBB"/>
    <w:rsid w:val="0038045D"/>
    <w:rsid w:val="00381A6C"/>
    <w:rsid w:val="00382167"/>
    <w:rsid w:val="00384564"/>
    <w:rsid w:val="00386375"/>
    <w:rsid w:val="00386887"/>
    <w:rsid w:val="0038793B"/>
    <w:rsid w:val="00390386"/>
    <w:rsid w:val="00390C21"/>
    <w:rsid w:val="00394F91"/>
    <w:rsid w:val="00396612"/>
    <w:rsid w:val="00396735"/>
    <w:rsid w:val="003A2285"/>
    <w:rsid w:val="003A4522"/>
    <w:rsid w:val="003A49AC"/>
    <w:rsid w:val="003A58B9"/>
    <w:rsid w:val="003A5A85"/>
    <w:rsid w:val="003B4687"/>
    <w:rsid w:val="003B6C47"/>
    <w:rsid w:val="003C2517"/>
    <w:rsid w:val="003C2B26"/>
    <w:rsid w:val="003C2C1B"/>
    <w:rsid w:val="003C40EB"/>
    <w:rsid w:val="003C4AC2"/>
    <w:rsid w:val="003C4FAD"/>
    <w:rsid w:val="003C7F18"/>
    <w:rsid w:val="003D0D4F"/>
    <w:rsid w:val="003D1F11"/>
    <w:rsid w:val="003D62B2"/>
    <w:rsid w:val="003D676D"/>
    <w:rsid w:val="003E1930"/>
    <w:rsid w:val="003E1A05"/>
    <w:rsid w:val="003E36E3"/>
    <w:rsid w:val="003E745F"/>
    <w:rsid w:val="003F02D7"/>
    <w:rsid w:val="003F1B23"/>
    <w:rsid w:val="003F29A1"/>
    <w:rsid w:val="003F2F3C"/>
    <w:rsid w:val="003F3FBE"/>
    <w:rsid w:val="003F4446"/>
    <w:rsid w:val="0040262E"/>
    <w:rsid w:val="00402AE9"/>
    <w:rsid w:val="0040578E"/>
    <w:rsid w:val="004057DF"/>
    <w:rsid w:val="0040663B"/>
    <w:rsid w:val="004067FF"/>
    <w:rsid w:val="004071C3"/>
    <w:rsid w:val="00407F50"/>
    <w:rsid w:val="00410684"/>
    <w:rsid w:val="00412458"/>
    <w:rsid w:val="00413A82"/>
    <w:rsid w:val="00414016"/>
    <w:rsid w:val="00415584"/>
    <w:rsid w:val="0041773E"/>
    <w:rsid w:val="004208C4"/>
    <w:rsid w:val="00421F53"/>
    <w:rsid w:val="00422143"/>
    <w:rsid w:val="00424027"/>
    <w:rsid w:val="004249A6"/>
    <w:rsid w:val="00424AE1"/>
    <w:rsid w:val="0042732A"/>
    <w:rsid w:val="0042741C"/>
    <w:rsid w:val="00430B69"/>
    <w:rsid w:val="00430DF4"/>
    <w:rsid w:val="004311F3"/>
    <w:rsid w:val="004326DF"/>
    <w:rsid w:val="00433382"/>
    <w:rsid w:val="004364EB"/>
    <w:rsid w:val="00437C04"/>
    <w:rsid w:val="004412D9"/>
    <w:rsid w:val="00442D76"/>
    <w:rsid w:val="00443182"/>
    <w:rsid w:val="0044545F"/>
    <w:rsid w:val="004477F4"/>
    <w:rsid w:val="00453031"/>
    <w:rsid w:val="00454E19"/>
    <w:rsid w:val="00457FF3"/>
    <w:rsid w:val="00460952"/>
    <w:rsid w:val="0046268C"/>
    <w:rsid w:val="0046446B"/>
    <w:rsid w:val="004645B8"/>
    <w:rsid w:val="00464DA1"/>
    <w:rsid w:val="00467FF3"/>
    <w:rsid w:val="004706C4"/>
    <w:rsid w:val="004727CF"/>
    <w:rsid w:val="00473AB2"/>
    <w:rsid w:val="00473DBB"/>
    <w:rsid w:val="00474A28"/>
    <w:rsid w:val="00480136"/>
    <w:rsid w:val="0048030D"/>
    <w:rsid w:val="00480D9E"/>
    <w:rsid w:val="004813EF"/>
    <w:rsid w:val="0048533B"/>
    <w:rsid w:val="0048641E"/>
    <w:rsid w:val="00486F47"/>
    <w:rsid w:val="004878C7"/>
    <w:rsid w:val="00487CE5"/>
    <w:rsid w:val="00490A06"/>
    <w:rsid w:val="0049221B"/>
    <w:rsid w:val="0049485B"/>
    <w:rsid w:val="00497E35"/>
    <w:rsid w:val="004A19ED"/>
    <w:rsid w:val="004A4BC4"/>
    <w:rsid w:val="004A54FF"/>
    <w:rsid w:val="004A62E4"/>
    <w:rsid w:val="004A7293"/>
    <w:rsid w:val="004B0C51"/>
    <w:rsid w:val="004B3171"/>
    <w:rsid w:val="004B6F89"/>
    <w:rsid w:val="004B7338"/>
    <w:rsid w:val="004C07F8"/>
    <w:rsid w:val="004C1820"/>
    <w:rsid w:val="004C277C"/>
    <w:rsid w:val="004C4BAD"/>
    <w:rsid w:val="004C5C71"/>
    <w:rsid w:val="004D0202"/>
    <w:rsid w:val="004D120C"/>
    <w:rsid w:val="004D283F"/>
    <w:rsid w:val="004D29AD"/>
    <w:rsid w:val="004D2FD5"/>
    <w:rsid w:val="004D414B"/>
    <w:rsid w:val="004E0F9E"/>
    <w:rsid w:val="004E202E"/>
    <w:rsid w:val="004E78C9"/>
    <w:rsid w:val="004F158A"/>
    <w:rsid w:val="004F1BDB"/>
    <w:rsid w:val="004F2EFC"/>
    <w:rsid w:val="004F407F"/>
    <w:rsid w:val="005038E6"/>
    <w:rsid w:val="005048A0"/>
    <w:rsid w:val="00504D62"/>
    <w:rsid w:val="00505064"/>
    <w:rsid w:val="00506458"/>
    <w:rsid w:val="005077CF"/>
    <w:rsid w:val="00507A3B"/>
    <w:rsid w:val="00507E40"/>
    <w:rsid w:val="0051051E"/>
    <w:rsid w:val="00512A7E"/>
    <w:rsid w:val="0051661B"/>
    <w:rsid w:val="00517314"/>
    <w:rsid w:val="005206CF"/>
    <w:rsid w:val="00521C50"/>
    <w:rsid w:val="00526F5F"/>
    <w:rsid w:val="005341B4"/>
    <w:rsid w:val="0053651B"/>
    <w:rsid w:val="00537316"/>
    <w:rsid w:val="005402D9"/>
    <w:rsid w:val="005403CF"/>
    <w:rsid w:val="00541ED4"/>
    <w:rsid w:val="005433EB"/>
    <w:rsid w:val="005434A2"/>
    <w:rsid w:val="00543A89"/>
    <w:rsid w:val="005448AB"/>
    <w:rsid w:val="00550CD0"/>
    <w:rsid w:val="00551DD5"/>
    <w:rsid w:val="00552C28"/>
    <w:rsid w:val="00556FB2"/>
    <w:rsid w:val="005601C4"/>
    <w:rsid w:val="005601FE"/>
    <w:rsid w:val="00563687"/>
    <w:rsid w:val="00567B70"/>
    <w:rsid w:val="00571E48"/>
    <w:rsid w:val="00572BC9"/>
    <w:rsid w:val="0057449E"/>
    <w:rsid w:val="00575B15"/>
    <w:rsid w:val="00581A16"/>
    <w:rsid w:val="005820CE"/>
    <w:rsid w:val="00584C4B"/>
    <w:rsid w:val="005858F2"/>
    <w:rsid w:val="00585BD7"/>
    <w:rsid w:val="00585EF5"/>
    <w:rsid w:val="00591B88"/>
    <w:rsid w:val="005A061F"/>
    <w:rsid w:val="005A0978"/>
    <w:rsid w:val="005A3B29"/>
    <w:rsid w:val="005A6AF8"/>
    <w:rsid w:val="005A71C2"/>
    <w:rsid w:val="005A7D0E"/>
    <w:rsid w:val="005B0543"/>
    <w:rsid w:val="005B14DF"/>
    <w:rsid w:val="005B1B7C"/>
    <w:rsid w:val="005B34A4"/>
    <w:rsid w:val="005B4287"/>
    <w:rsid w:val="005B6F87"/>
    <w:rsid w:val="005B7245"/>
    <w:rsid w:val="005B772E"/>
    <w:rsid w:val="005C1FD2"/>
    <w:rsid w:val="005C4AFB"/>
    <w:rsid w:val="005C668A"/>
    <w:rsid w:val="005C7AAB"/>
    <w:rsid w:val="005D2108"/>
    <w:rsid w:val="005D29F6"/>
    <w:rsid w:val="005D619A"/>
    <w:rsid w:val="005D73DE"/>
    <w:rsid w:val="005E14A7"/>
    <w:rsid w:val="005E2038"/>
    <w:rsid w:val="005E3C44"/>
    <w:rsid w:val="005E5056"/>
    <w:rsid w:val="005E61B9"/>
    <w:rsid w:val="005F1986"/>
    <w:rsid w:val="005F548A"/>
    <w:rsid w:val="00602628"/>
    <w:rsid w:val="00604DA3"/>
    <w:rsid w:val="00613168"/>
    <w:rsid w:val="00616FA0"/>
    <w:rsid w:val="00620830"/>
    <w:rsid w:val="006208EC"/>
    <w:rsid w:val="00620FF4"/>
    <w:rsid w:val="0062238B"/>
    <w:rsid w:val="00624CFE"/>
    <w:rsid w:val="00624E81"/>
    <w:rsid w:val="006310BB"/>
    <w:rsid w:val="00631891"/>
    <w:rsid w:val="00633C24"/>
    <w:rsid w:val="00634084"/>
    <w:rsid w:val="006342C4"/>
    <w:rsid w:val="00634701"/>
    <w:rsid w:val="00637747"/>
    <w:rsid w:val="006409CE"/>
    <w:rsid w:val="00645761"/>
    <w:rsid w:val="00651925"/>
    <w:rsid w:val="00653C1C"/>
    <w:rsid w:val="00655ACE"/>
    <w:rsid w:val="00655EBB"/>
    <w:rsid w:val="00656C23"/>
    <w:rsid w:val="00657962"/>
    <w:rsid w:val="00660CB0"/>
    <w:rsid w:val="0066452D"/>
    <w:rsid w:val="006662B5"/>
    <w:rsid w:val="0067321A"/>
    <w:rsid w:val="00673642"/>
    <w:rsid w:val="00674D5D"/>
    <w:rsid w:val="00675331"/>
    <w:rsid w:val="00677712"/>
    <w:rsid w:val="00680B20"/>
    <w:rsid w:val="00680E5A"/>
    <w:rsid w:val="0068171E"/>
    <w:rsid w:val="00681AA8"/>
    <w:rsid w:val="00683A17"/>
    <w:rsid w:val="00684DF8"/>
    <w:rsid w:val="0069043D"/>
    <w:rsid w:val="00691CB0"/>
    <w:rsid w:val="0069612C"/>
    <w:rsid w:val="00696562"/>
    <w:rsid w:val="006A073E"/>
    <w:rsid w:val="006A1F3F"/>
    <w:rsid w:val="006A3CD4"/>
    <w:rsid w:val="006A699B"/>
    <w:rsid w:val="006A729F"/>
    <w:rsid w:val="006B07C9"/>
    <w:rsid w:val="006B08AF"/>
    <w:rsid w:val="006B0A0D"/>
    <w:rsid w:val="006B0AC4"/>
    <w:rsid w:val="006B0D5C"/>
    <w:rsid w:val="006B1642"/>
    <w:rsid w:val="006B3F60"/>
    <w:rsid w:val="006B581B"/>
    <w:rsid w:val="006B6730"/>
    <w:rsid w:val="006B7B67"/>
    <w:rsid w:val="006B7EA9"/>
    <w:rsid w:val="006C0A3A"/>
    <w:rsid w:val="006C172A"/>
    <w:rsid w:val="006C21FF"/>
    <w:rsid w:val="006C6551"/>
    <w:rsid w:val="006D42DC"/>
    <w:rsid w:val="006D4AD9"/>
    <w:rsid w:val="006D5174"/>
    <w:rsid w:val="006E0585"/>
    <w:rsid w:val="006E3915"/>
    <w:rsid w:val="006E4A20"/>
    <w:rsid w:val="006E63AB"/>
    <w:rsid w:val="006E6F98"/>
    <w:rsid w:val="006F4812"/>
    <w:rsid w:val="006F630C"/>
    <w:rsid w:val="006F7119"/>
    <w:rsid w:val="00701EAF"/>
    <w:rsid w:val="00703C2C"/>
    <w:rsid w:val="00705B9B"/>
    <w:rsid w:val="00707F0C"/>
    <w:rsid w:val="007101A2"/>
    <w:rsid w:val="00710403"/>
    <w:rsid w:val="00710984"/>
    <w:rsid w:val="0071112B"/>
    <w:rsid w:val="007119A1"/>
    <w:rsid w:val="00711B91"/>
    <w:rsid w:val="00711FA0"/>
    <w:rsid w:val="00712168"/>
    <w:rsid w:val="00712B0E"/>
    <w:rsid w:val="007136BC"/>
    <w:rsid w:val="007136FA"/>
    <w:rsid w:val="00713C15"/>
    <w:rsid w:val="00713D3B"/>
    <w:rsid w:val="007144EE"/>
    <w:rsid w:val="00714A46"/>
    <w:rsid w:val="00716800"/>
    <w:rsid w:val="007231F3"/>
    <w:rsid w:val="00723EB9"/>
    <w:rsid w:val="007247AE"/>
    <w:rsid w:val="00724D06"/>
    <w:rsid w:val="00725D38"/>
    <w:rsid w:val="007264EF"/>
    <w:rsid w:val="00726C07"/>
    <w:rsid w:val="00727092"/>
    <w:rsid w:val="007270D1"/>
    <w:rsid w:val="00733FEB"/>
    <w:rsid w:val="00735A76"/>
    <w:rsid w:val="007410CE"/>
    <w:rsid w:val="00741C8B"/>
    <w:rsid w:val="007443E2"/>
    <w:rsid w:val="00744CBE"/>
    <w:rsid w:val="00744E91"/>
    <w:rsid w:val="007473F9"/>
    <w:rsid w:val="00750AF4"/>
    <w:rsid w:val="00751995"/>
    <w:rsid w:val="00751C2C"/>
    <w:rsid w:val="00752674"/>
    <w:rsid w:val="007565EA"/>
    <w:rsid w:val="00757B05"/>
    <w:rsid w:val="00766002"/>
    <w:rsid w:val="007671F2"/>
    <w:rsid w:val="0076750E"/>
    <w:rsid w:val="007677EC"/>
    <w:rsid w:val="00773A0C"/>
    <w:rsid w:val="00774566"/>
    <w:rsid w:val="00775801"/>
    <w:rsid w:val="00775F62"/>
    <w:rsid w:val="007762A2"/>
    <w:rsid w:val="00780F76"/>
    <w:rsid w:val="0078183B"/>
    <w:rsid w:val="00782D80"/>
    <w:rsid w:val="00784E48"/>
    <w:rsid w:val="00785231"/>
    <w:rsid w:val="007872A9"/>
    <w:rsid w:val="007A0796"/>
    <w:rsid w:val="007A1125"/>
    <w:rsid w:val="007A2810"/>
    <w:rsid w:val="007A3791"/>
    <w:rsid w:val="007A3B9F"/>
    <w:rsid w:val="007A514C"/>
    <w:rsid w:val="007A5B59"/>
    <w:rsid w:val="007A6FA0"/>
    <w:rsid w:val="007B4D27"/>
    <w:rsid w:val="007B665B"/>
    <w:rsid w:val="007C1935"/>
    <w:rsid w:val="007C3E31"/>
    <w:rsid w:val="007C4B74"/>
    <w:rsid w:val="007C77C6"/>
    <w:rsid w:val="007D0664"/>
    <w:rsid w:val="007D4BDE"/>
    <w:rsid w:val="007D62BD"/>
    <w:rsid w:val="007D677C"/>
    <w:rsid w:val="007D6B7B"/>
    <w:rsid w:val="007D6FDC"/>
    <w:rsid w:val="007D7C06"/>
    <w:rsid w:val="007E234A"/>
    <w:rsid w:val="007E2F36"/>
    <w:rsid w:val="007E515D"/>
    <w:rsid w:val="007E6A41"/>
    <w:rsid w:val="007E6C81"/>
    <w:rsid w:val="007E6FC7"/>
    <w:rsid w:val="007F11E2"/>
    <w:rsid w:val="007F7D05"/>
    <w:rsid w:val="00801836"/>
    <w:rsid w:val="00805453"/>
    <w:rsid w:val="00807460"/>
    <w:rsid w:val="00810D6E"/>
    <w:rsid w:val="00811084"/>
    <w:rsid w:val="0081203D"/>
    <w:rsid w:val="00812BEB"/>
    <w:rsid w:val="00813764"/>
    <w:rsid w:val="00813C57"/>
    <w:rsid w:val="00814C6A"/>
    <w:rsid w:val="008173F0"/>
    <w:rsid w:val="008208D0"/>
    <w:rsid w:val="008220EA"/>
    <w:rsid w:val="0082265D"/>
    <w:rsid w:val="00822F01"/>
    <w:rsid w:val="008231FE"/>
    <w:rsid w:val="00833431"/>
    <w:rsid w:val="00835193"/>
    <w:rsid w:val="00836F29"/>
    <w:rsid w:val="00843128"/>
    <w:rsid w:val="00843DF3"/>
    <w:rsid w:val="0084563D"/>
    <w:rsid w:val="00846711"/>
    <w:rsid w:val="00846F1D"/>
    <w:rsid w:val="00854598"/>
    <w:rsid w:val="00856738"/>
    <w:rsid w:val="00856DA5"/>
    <w:rsid w:val="00863961"/>
    <w:rsid w:val="0086556F"/>
    <w:rsid w:val="008665A4"/>
    <w:rsid w:val="0086732B"/>
    <w:rsid w:val="00872599"/>
    <w:rsid w:val="00872E8D"/>
    <w:rsid w:val="00875E5C"/>
    <w:rsid w:val="008762A7"/>
    <w:rsid w:val="0087683B"/>
    <w:rsid w:val="00877AFB"/>
    <w:rsid w:val="00880407"/>
    <w:rsid w:val="00881F41"/>
    <w:rsid w:val="00881F47"/>
    <w:rsid w:val="008828B3"/>
    <w:rsid w:val="00883A11"/>
    <w:rsid w:val="00883BFB"/>
    <w:rsid w:val="008849BC"/>
    <w:rsid w:val="008867E9"/>
    <w:rsid w:val="0088733F"/>
    <w:rsid w:val="00887C72"/>
    <w:rsid w:val="00892DFD"/>
    <w:rsid w:val="00892F79"/>
    <w:rsid w:val="00895210"/>
    <w:rsid w:val="0089539C"/>
    <w:rsid w:val="008A4B6E"/>
    <w:rsid w:val="008A54A5"/>
    <w:rsid w:val="008B0F1E"/>
    <w:rsid w:val="008B248C"/>
    <w:rsid w:val="008C33A0"/>
    <w:rsid w:val="008C6F66"/>
    <w:rsid w:val="008D05D4"/>
    <w:rsid w:val="008D28CB"/>
    <w:rsid w:val="008D336F"/>
    <w:rsid w:val="008D3438"/>
    <w:rsid w:val="008D5DC0"/>
    <w:rsid w:val="008D7832"/>
    <w:rsid w:val="008D7C17"/>
    <w:rsid w:val="008D7CB8"/>
    <w:rsid w:val="008E0C51"/>
    <w:rsid w:val="008E1329"/>
    <w:rsid w:val="008E28DC"/>
    <w:rsid w:val="008E384F"/>
    <w:rsid w:val="008E4991"/>
    <w:rsid w:val="008E4D21"/>
    <w:rsid w:val="008E76CE"/>
    <w:rsid w:val="008E7C94"/>
    <w:rsid w:val="008F0DDD"/>
    <w:rsid w:val="008F239E"/>
    <w:rsid w:val="008F2C3C"/>
    <w:rsid w:val="008F3459"/>
    <w:rsid w:val="008F3942"/>
    <w:rsid w:val="008F7098"/>
    <w:rsid w:val="009003B8"/>
    <w:rsid w:val="0091356D"/>
    <w:rsid w:val="0091545F"/>
    <w:rsid w:val="00915777"/>
    <w:rsid w:val="00922501"/>
    <w:rsid w:val="00922CC9"/>
    <w:rsid w:val="0092335B"/>
    <w:rsid w:val="009278E8"/>
    <w:rsid w:val="00930777"/>
    <w:rsid w:val="00933742"/>
    <w:rsid w:val="009340A8"/>
    <w:rsid w:val="009402E4"/>
    <w:rsid w:val="00942028"/>
    <w:rsid w:val="0094364B"/>
    <w:rsid w:val="009456AA"/>
    <w:rsid w:val="0094583B"/>
    <w:rsid w:val="00945AD3"/>
    <w:rsid w:val="0095029E"/>
    <w:rsid w:val="00951A15"/>
    <w:rsid w:val="00952E78"/>
    <w:rsid w:val="00953D50"/>
    <w:rsid w:val="00956ED9"/>
    <w:rsid w:val="0096030D"/>
    <w:rsid w:val="00962D0E"/>
    <w:rsid w:val="00962D51"/>
    <w:rsid w:val="00965105"/>
    <w:rsid w:val="00965F99"/>
    <w:rsid w:val="00967B46"/>
    <w:rsid w:val="00970789"/>
    <w:rsid w:val="0097195C"/>
    <w:rsid w:val="00975D4C"/>
    <w:rsid w:val="009816F5"/>
    <w:rsid w:val="0098399E"/>
    <w:rsid w:val="0099066A"/>
    <w:rsid w:val="0099390A"/>
    <w:rsid w:val="00996A3D"/>
    <w:rsid w:val="009A24CA"/>
    <w:rsid w:val="009A49E1"/>
    <w:rsid w:val="009A678E"/>
    <w:rsid w:val="009A7AFC"/>
    <w:rsid w:val="009B3D43"/>
    <w:rsid w:val="009B4F7D"/>
    <w:rsid w:val="009B7FF9"/>
    <w:rsid w:val="009C0EB7"/>
    <w:rsid w:val="009C2A21"/>
    <w:rsid w:val="009C6B02"/>
    <w:rsid w:val="009C7611"/>
    <w:rsid w:val="009C7745"/>
    <w:rsid w:val="009D0D27"/>
    <w:rsid w:val="009D2A06"/>
    <w:rsid w:val="009D379B"/>
    <w:rsid w:val="009D3A54"/>
    <w:rsid w:val="009D6967"/>
    <w:rsid w:val="009E04D3"/>
    <w:rsid w:val="009E16C8"/>
    <w:rsid w:val="009E1934"/>
    <w:rsid w:val="009E2709"/>
    <w:rsid w:val="009E76E9"/>
    <w:rsid w:val="009F16D3"/>
    <w:rsid w:val="009F3D1F"/>
    <w:rsid w:val="009F4C7E"/>
    <w:rsid w:val="009F5B68"/>
    <w:rsid w:val="00A01405"/>
    <w:rsid w:val="00A02232"/>
    <w:rsid w:val="00A02244"/>
    <w:rsid w:val="00A06C99"/>
    <w:rsid w:val="00A07DDC"/>
    <w:rsid w:val="00A113CA"/>
    <w:rsid w:val="00A122C9"/>
    <w:rsid w:val="00A14303"/>
    <w:rsid w:val="00A162FE"/>
    <w:rsid w:val="00A1776A"/>
    <w:rsid w:val="00A17941"/>
    <w:rsid w:val="00A17DD9"/>
    <w:rsid w:val="00A2013F"/>
    <w:rsid w:val="00A203E6"/>
    <w:rsid w:val="00A220DD"/>
    <w:rsid w:val="00A22819"/>
    <w:rsid w:val="00A262F2"/>
    <w:rsid w:val="00A26A95"/>
    <w:rsid w:val="00A26D42"/>
    <w:rsid w:val="00A3317E"/>
    <w:rsid w:val="00A37939"/>
    <w:rsid w:val="00A40717"/>
    <w:rsid w:val="00A44457"/>
    <w:rsid w:val="00A44EA9"/>
    <w:rsid w:val="00A52B5D"/>
    <w:rsid w:val="00A604F2"/>
    <w:rsid w:val="00A618F6"/>
    <w:rsid w:val="00A6353D"/>
    <w:rsid w:val="00A7445D"/>
    <w:rsid w:val="00A74DE3"/>
    <w:rsid w:val="00A7681E"/>
    <w:rsid w:val="00A8008A"/>
    <w:rsid w:val="00A82758"/>
    <w:rsid w:val="00A82960"/>
    <w:rsid w:val="00A83040"/>
    <w:rsid w:val="00A83A70"/>
    <w:rsid w:val="00A8466D"/>
    <w:rsid w:val="00A84A94"/>
    <w:rsid w:val="00A856EA"/>
    <w:rsid w:val="00A867C0"/>
    <w:rsid w:val="00A90B4D"/>
    <w:rsid w:val="00A92A68"/>
    <w:rsid w:val="00A92FD6"/>
    <w:rsid w:val="00A95A1F"/>
    <w:rsid w:val="00A95BDF"/>
    <w:rsid w:val="00A95E83"/>
    <w:rsid w:val="00A96BC5"/>
    <w:rsid w:val="00A97C2F"/>
    <w:rsid w:val="00AA1496"/>
    <w:rsid w:val="00AA4615"/>
    <w:rsid w:val="00AA50DE"/>
    <w:rsid w:val="00AA5FBC"/>
    <w:rsid w:val="00AB5A60"/>
    <w:rsid w:val="00AC0691"/>
    <w:rsid w:val="00AC2439"/>
    <w:rsid w:val="00AC7264"/>
    <w:rsid w:val="00AD3AF0"/>
    <w:rsid w:val="00AD3FDA"/>
    <w:rsid w:val="00AE02A3"/>
    <w:rsid w:val="00AE3ECB"/>
    <w:rsid w:val="00AE500B"/>
    <w:rsid w:val="00AE7575"/>
    <w:rsid w:val="00AF1735"/>
    <w:rsid w:val="00AF66A5"/>
    <w:rsid w:val="00B00ADB"/>
    <w:rsid w:val="00B01566"/>
    <w:rsid w:val="00B02802"/>
    <w:rsid w:val="00B02ED1"/>
    <w:rsid w:val="00B03835"/>
    <w:rsid w:val="00B04412"/>
    <w:rsid w:val="00B05949"/>
    <w:rsid w:val="00B14407"/>
    <w:rsid w:val="00B158D4"/>
    <w:rsid w:val="00B226E6"/>
    <w:rsid w:val="00B2516E"/>
    <w:rsid w:val="00B25C20"/>
    <w:rsid w:val="00B3133E"/>
    <w:rsid w:val="00B3698C"/>
    <w:rsid w:val="00B36DAD"/>
    <w:rsid w:val="00B40B98"/>
    <w:rsid w:val="00B42144"/>
    <w:rsid w:val="00B44A50"/>
    <w:rsid w:val="00B47275"/>
    <w:rsid w:val="00B47B5C"/>
    <w:rsid w:val="00B50388"/>
    <w:rsid w:val="00B51624"/>
    <w:rsid w:val="00B55EA8"/>
    <w:rsid w:val="00B6023B"/>
    <w:rsid w:val="00B63B5F"/>
    <w:rsid w:val="00B64EEF"/>
    <w:rsid w:val="00B65FEE"/>
    <w:rsid w:val="00B66D04"/>
    <w:rsid w:val="00B67002"/>
    <w:rsid w:val="00B71D8C"/>
    <w:rsid w:val="00B736F5"/>
    <w:rsid w:val="00B75F5C"/>
    <w:rsid w:val="00B77BE8"/>
    <w:rsid w:val="00B82F71"/>
    <w:rsid w:val="00B84E28"/>
    <w:rsid w:val="00B85613"/>
    <w:rsid w:val="00B85F3C"/>
    <w:rsid w:val="00B87389"/>
    <w:rsid w:val="00B90FB8"/>
    <w:rsid w:val="00B9449B"/>
    <w:rsid w:val="00BA0F7F"/>
    <w:rsid w:val="00BA299F"/>
    <w:rsid w:val="00BA2FEA"/>
    <w:rsid w:val="00BA3C5D"/>
    <w:rsid w:val="00BA3E1C"/>
    <w:rsid w:val="00BA41FC"/>
    <w:rsid w:val="00BA6631"/>
    <w:rsid w:val="00BA7758"/>
    <w:rsid w:val="00BB2CA5"/>
    <w:rsid w:val="00BB4D9B"/>
    <w:rsid w:val="00BB5197"/>
    <w:rsid w:val="00BC0D6B"/>
    <w:rsid w:val="00BC15F0"/>
    <w:rsid w:val="00BC1700"/>
    <w:rsid w:val="00BC33D0"/>
    <w:rsid w:val="00BC7BCD"/>
    <w:rsid w:val="00BD03CE"/>
    <w:rsid w:val="00BD44C9"/>
    <w:rsid w:val="00BD452D"/>
    <w:rsid w:val="00BD5018"/>
    <w:rsid w:val="00BD5643"/>
    <w:rsid w:val="00BD6039"/>
    <w:rsid w:val="00BD6E6E"/>
    <w:rsid w:val="00BD7395"/>
    <w:rsid w:val="00BE26B5"/>
    <w:rsid w:val="00BE2EDE"/>
    <w:rsid w:val="00BE4408"/>
    <w:rsid w:val="00BE594B"/>
    <w:rsid w:val="00BE7E71"/>
    <w:rsid w:val="00BF0AB8"/>
    <w:rsid w:val="00BF407A"/>
    <w:rsid w:val="00BF49C9"/>
    <w:rsid w:val="00C018B4"/>
    <w:rsid w:val="00C01D97"/>
    <w:rsid w:val="00C0292C"/>
    <w:rsid w:val="00C11917"/>
    <w:rsid w:val="00C11C1B"/>
    <w:rsid w:val="00C11E8B"/>
    <w:rsid w:val="00C124C7"/>
    <w:rsid w:val="00C135BF"/>
    <w:rsid w:val="00C146DA"/>
    <w:rsid w:val="00C14814"/>
    <w:rsid w:val="00C155EA"/>
    <w:rsid w:val="00C20792"/>
    <w:rsid w:val="00C21DCA"/>
    <w:rsid w:val="00C22A36"/>
    <w:rsid w:val="00C22FAC"/>
    <w:rsid w:val="00C23008"/>
    <w:rsid w:val="00C24FF0"/>
    <w:rsid w:val="00C25B5A"/>
    <w:rsid w:val="00C30D24"/>
    <w:rsid w:val="00C31253"/>
    <w:rsid w:val="00C313BE"/>
    <w:rsid w:val="00C32D09"/>
    <w:rsid w:val="00C33C92"/>
    <w:rsid w:val="00C41D53"/>
    <w:rsid w:val="00C445FD"/>
    <w:rsid w:val="00C44D1B"/>
    <w:rsid w:val="00C47F77"/>
    <w:rsid w:val="00C50C7E"/>
    <w:rsid w:val="00C50EA0"/>
    <w:rsid w:val="00C53289"/>
    <w:rsid w:val="00C5388E"/>
    <w:rsid w:val="00C55582"/>
    <w:rsid w:val="00C60365"/>
    <w:rsid w:val="00C61538"/>
    <w:rsid w:val="00C61A54"/>
    <w:rsid w:val="00C63C55"/>
    <w:rsid w:val="00C71547"/>
    <w:rsid w:val="00C715FC"/>
    <w:rsid w:val="00C7191B"/>
    <w:rsid w:val="00C727B6"/>
    <w:rsid w:val="00C76CD0"/>
    <w:rsid w:val="00C86BD2"/>
    <w:rsid w:val="00C8717F"/>
    <w:rsid w:val="00C87AFB"/>
    <w:rsid w:val="00C87B21"/>
    <w:rsid w:val="00C9138E"/>
    <w:rsid w:val="00C9293F"/>
    <w:rsid w:val="00C9386D"/>
    <w:rsid w:val="00C93C7D"/>
    <w:rsid w:val="00C9621D"/>
    <w:rsid w:val="00C96A52"/>
    <w:rsid w:val="00CA1F22"/>
    <w:rsid w:val="00CB0289"/>
    <w:rsid w:val="00CB1453"/>
    <w:rsid w:val="00CB2125"/>
    <w:rsid w:val="00CB2E57"/>
    <w:rsid w:val="00CB3495"/>
    <w:rsid w:val="00CB3C4A"/>
    <w:rsid w:val="00CB4237"/>
    <w:rsid w:val="00CB575A"/>
    <w:rsid w:val="00CB6F1D"/>
    <w:rsid w:val="00CC005F"/>
    <w:rsid w:val="00CC26BC"/>
    <w:rsid w:val="00CC55EC"/>
    <w:rsid w:val="00CC5A4B"/>
    <w:rsid w:val="00CC6D1C"/>
    <w:rsid w:val="00CC709B"/>
    <w:rsid w:val="00CD02E8"/>
    <w:rsid w:val="00CD3C3D"/>
    <w:rsid w:val="00CD4E19"/>
    <w:rsid w:val="00CD5AA6"/>
    <w:rsid w:val="00CD5C37"/>
    <w:rsid w:val="00CE1C82"/>
    <w:rsid w:val="00CE2A89"/>
    <w:rsid w:val="00CE3027"/>
    <w:rsid w:val="00CE6072"/>
    <w:rsid w:val="00CE6F05"/>
    <w:rsid w:val="00CF2337"/>
    <w:rsid w:val="00CF32C2"/>
    <w:rsid w:val="00D005C1"/>
    <w:rsid w:val="00D0116A"/>
    <w:rsid w:val="00D016CE"/>
    <w:rsid w:val="00D03D95"/>
    <w:rsid w:val="00D042D0"/>
    <w:rsid w:val="00D069FC"/>
    <w:rsid w:val="00D1050C"/>
    <w:rsid w:val="00D12371"/>
    <w:rsid w:val="00D133F1"/>
    <w:rsid w:val="00D17E16"/>
    <w:rsid w:val="00D17F4D"/>
    <w:rsid w:val="00D20510"/>
    <w:rsid w:val="00D21018"/>
    <w:rsid w:val="00D2546F"/>
    <w:rsid w:val="00D25A3E"/>
    <w:rsid w:val="00D27E52"/>
    <w:rsid w:val="00D31091"/>
    <w:rsid w:val="00D31E5B"/>
    <w:rsid w:val="00D34862"/>
    <w:rsid w:val="00D45515"/>
    <w:rsid w:val="00D509B4"/>
    <w:rsid w:val="00D52BBF"/>
    <w:rsid w:val="00D533EA"/>
    <w:rsid w:val="00D54624"/>
    <w:rsid w:val="00D54AA4"/>
    <w:rsid w:val="00D57613"/>
    <w:rsid w:val="00D60B64"/>
    <w:rsid w:val="00D62B78"/>
    <w:rsid w:val="00D63049"/>
    <w:rsid w:val="00D6499C"/>
    <w:rsid w:val="00D6699F"/>
    <w:rsid w:val="00D70937"/>
    <w:rsid w:val="00D70B5F"/>
    <w:rsid w:val="00D730D2"/>
    <w:rsid w:val="00D749A7"/>
    <w:rsid w:val="00D74DA3"/>
    <w:rsid w:val="00D7509A"/>
    <w:rsid w:val="00D75468"/>
    <w:rsid w:val="00D76273"/>
    <w:rsid w:val="00D778DF"/>
    <w:rsid w:val="00D832DE"/>
    <w:rsid w:val="00D850E8"/>
    <w:rsid w:val="00D85F84"/>
    <w:rsid w:val="00D861C7"/>
    <w:rsid w:val="00D86FF2"/>
    <w:rsid w:val="00D87C45"/>
    <w:rsid w:val="00D92523"/>
    <w:rsid w:val="00D9475E"/>
    <w:rsid w:val="00D96580"/>
    <w:rsid w:val="00D97434"/>
    <w:rsid w:val="00DA138A"/>
    <w:rsid w:val="00DB023D"/>
    <w:rsid w:val="00DB57D4"/>
    <w:rsid w:val="00DB6521"/>
    <w:rsid w:val="00DB6661"/>
    <w:rsid w:val="00DB6892"/>
    <w:rsid w:val="00DB6E53"/>
    <w:rsid w:val="00DC1E01"/>
    <w:rsid w:val="00DC5DA0"/>
    <w:rsid w:val="00DC5E91"/>
    <w:rsid w:val="00DC707E"/>
    <w:rsid w:val="00DD1D3A"/>
    <w:rsid w:val="00DD4605"/>
    <w:rsid w:val="00DD4BEF"/>
    <w:rsid w:val="00DD4DBC"/>
    <w:rsid w:val="00DD60C1"/>
    <w:rsid w:val="00DE180C"/>
    <w:rsid w:val="00DE295E"/>
    <w:rsid w:val="00DE36D3"/>
    <w:rsid w:val="00DE5976"/>
    <w:rsid w:val="00DE5FE6"/>
    <w:rsid w:val="00DE6046"/>
    <w:rsid w:val="00DE74D3"/>
    <w:rsid w:val="00DF1481"/>
    <w:rsid w:val="00DF162F"/>
    <w:rsid w:val="00DF2CB4"/>
    <w:rsid w:val="00DF330D"/>
    <w:rsid w:val="00DF34C1"/>
    <w:rsid w:val="00DF3C7F"/>
    <w:rsid w:val="00DF4D99"/>
    <w:rsid w:val="00DF7713"/>
    <w:rsid w:val="00DF7C16"/>
    <w:rsid w:val="00E01B29"/>
    <w:rsid w:val="00E029E7"/>
    <w:rsid w:val="00E06F9B"/>
    <w:rsid w:val="00E14CDF"/>
    <w:rsid w:val="00E2125C"/>
    <w:rsid w:val="00E2273F"/>
    <w:rsid w:val="00E22EFF"/>
    <w:rsid w:val="00E34287"/>
    <w:rsid w:val="00E34C56"/>
    <w:rsid w:val="00E34D2F"/>
    <w:rsid w:val="00E34F56"/>
    <w:rsid w:val="00E351EE"/>
    <w:rsid w:val="00E35982"/>
    <w:rsid w:val="00E36952"/>
    <w:rsid w:val="00E36E68"/>
    <w:rsid w:val="00E37FE3"/>
    <w:rsid w:val="00E40BD9"/>
    <w:rsid w:val="00E46A87"/>
    <w:rsid w:val="00E4715A"/>
    <w:rsid w:val="00E473FE"/>
    <w:rsid w:val="00E56B01"/>
    <w:rsid w:val="00E57F7B"/>
    <w:rsid w:val="00E61540"/>
    <w:rsid w:val="00E61AD5"/>
    <w:rsid w:val="00E63114"/>
    <w:rsid w:val="00E664C7"/>
    <w:rsid w:val="00E66B2B"/>
    <w:rsid w:val="00E73750"/>
    <w:rsid w:val="00E74314"/>
    <w:rsid w:val="00E800E6"/>
    <w:rsid w:val="00E81221"/>
    <w:rsid w:val="00E823DB"/>
    <w:rsid w:val="00E82751"/>
    <w:rsid w:val="00E850A5"/>
    <w:rsid w:val="00E85136"/>
    <w:rsid w:val="00E8584F"/>
    <w:rsid w:val="00E90845"/>
    <w:rsid w:val="00E94440"/>
    <w:rsid w:val="00E94E94"/>
    <w:rsid w:val="00E952E0"/>
    <w:rsid w:val="00E96623"/>
    <w:rsid w:val="00E96929"/>
    <w:rsid w:val="00E975A7"/>
    <w:rsid w:val="00EA2490"/>
    <w:rsid w:val="00EA2C74"/>
    <w:rsid w:val="00EA4AD5"/>
    <w:rsid w:val="00EB078B"/>
    <w:rsid w:val="00EB346F"/>
    <w:rsid w:val="00EB395A"/>
    <w:rsid w:val="00EB4DFC"/>
    <w:rsid w:val="00EB59AA"/>
    <w:rsid w:val="00EB64BA"/>
    <w:rsid w:val="00EB6920"/>
    <w:rsid w:val="00EB6A46"/>
    <w:rsid w:val="00EB722D"/>
    <w:rsid w:val="00EB73E8"/>
    <w:rsid w:val="00EC39D3"/>
    <w:rsid w:val="00EC60D4"/>
    <w:rsid w:val="00EC74AC"/>
    <w:rsid w:val="00ED6D0E"/>
    <w:rsid w:val="00EE0E6E"/>
    <w:rsid w:val="00EE34B2"/>
    <w:rsid w:val="00EE5A45"/>
    <w:rsid w:val="00EE5B1D"/>
    <w:rsid w:val="00EE6AA3"/>
    <w:rsid w:val="00EF22FA"/>
    <w:rsid w:val="00EF3C41"/>
    <w:rsid w:val="00EF7ED2"/>
    <w:rsid w:val="00F01AFC"/>
    <w:rsid w:val="00F040F5"/>
    <w:rsid w:val="00F0454C"/>
    <w:rsid w:val="00F10386"/>
    <w:rsid w:val="00F10CA9"/>
    <w:rsid w:val="00F13546"/>
    <w:rsid w:val="00F15953"/>
    <w:rsid w:val="00F15B4A"/>
    <w:rsid w:val="00F20FEC"/>
    <w:rsid w:val="00F21D44"/>
    <w:rsid w:val="00F238D5"/>
    <w:rsid w:val="00F26E32"/>
    <w:rsid w:val="00F27286"/>
    <w:rsid w:val="00F2763C"/>
    <w:rsid w:val="00F31BD0"/>
    <w:rsid w:val="00F32B1E"/>
    <w:rsid w:val="00F34B64"/>
    <w:rsid w:val="00F363E9"/>
    <w:rsid w:val="00F431E3"/>
    <w:rsid w:val="00F43267"/>
    <w:rsid w:val="00F517A7"/>
    <w:rsid w:val="00F53357"/>
    <w:rsid w:val="00F53ADF"/>
    <w:rsid w:val="00F57AC9"/>
    <w:rsid w:val="00F57B84"/>
    <w:rsid w:val="00F629B9"/>
    <w:rsid w:val="00F6312D"/>
    <w:rsid w:val="00F639BB"/>
    <w:rsid w:val="00F64F2F"/>
    <w:rsid w:val="00F67876"/>
    <w:rsid w:val="00F67FA1"/>
    <w:rsid w:val="00F72274"/>
    <w:rsid w:val="00F776DA"/>
    <w:rsid w:val="00F80D92"/>
    <w:rsid w:val="00F83BA3"/>
    <w:rsid w:val="00F8738D"/>
    <w:rsid w:val="00F902F6"/>
    <w:rsid w:val="00F9180B"/>
    <w:rsid w:val="00F924E2"/>
    <w:rsid w:val="00F9556A"/>
    <w:rsid w:val="00F959A2"/>
    <w:rsid w:val="00F95C7C"/>
    <w:rsid w:val="00F973B4"/>
    <w:rsid w:val="00FA020C"/>
    <w:rsid w:val="00FA02B3"/>
    <w:rsid w:val="00FA08DA"/>
    <w:rsid w:val="00FA28CA"/>
    <w:rsid w:val="00FA2FBB"/>
    <w:rsid w:val="00FA53DE"/>
    <w:rsid w:val="00FA6BDD"/>
    <w:rsid w:val="00FB0DFB"/>
    <w:rsid w:val="00FB12AC"/>
    <w:rsid w:val="00FB20CF"/>
    <w:rsid w:val="00FB4839"/>
    <w:rsid w:val="00FB6B3F"/>
    <w:rsid w:val="00FC1248"/>
    <w:rsid w:val="00FC13D5"/>
    <w:rsid w:val="00FC1AAF"/>
    <w:rsid w:val="00FC25E0"/>
    <w:rsid w:val="00FC58EA"/>
    <w:rsid w:val="00FC674E"/>
    <w:rsid w:val="00FC73F6"/>
    <w:rsid w:val="00FD0941"/>
    <w:rsid w:val="00FD1137"/>
    <w:rsid w:val="00FD194D"/>
    <w:rsid w:val="00FD1AE2"/>
    <w:rsid w:val="00FD1D47"/>
    <w:rsid w:val="00FD247B"/>
    <w:rsid w:val="00FD27DC"/>
    <w:rsid w:val="00FD3CB9"/>
    <w:rsid w:val="00FD51CF"/>
    <w:rsid w:val="00FD61A0"/>
    <w:rsid w:val="00FE13C3"/>
    <w:rsid w:val="00FE3BBD"/>
    <w:rsid w:val="00FE6202"/>
    <w:rsid w:val="00FE72BC"/>
    <w:rsid w:val="00FF2716"/>
    <w:rsid w:val="00FF3355"/>
    <w:rsid w:val="00FF5661"/>
    <w:rsid w:val="00FF568C"/>
    <w:rsid w:val="00FF6B27"/>
    <w:rsid w:val="00FF730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335E4BB-3114-4EB2-9196-FFFF0FE79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C30D24"/>
    <w:rPr>
      <w:sz w:val="24"/>
      <w:szCs w:val="24"/>
      <w:lang w:val="en-GB" w:eastAsia="en-US"/>
    </w:rPr>
  </w:style>
  <w:style w:type="paragraph" w:styleId="Virsraksts1">
    <w:name w:val="heading 1"/>
    <w:basedOn w:val="Parasts"/>
    <w:next w:val="Parasts"/>
    <w:qFormat/>
    <w:rsid w:val="002C2235"/>
    <w:pPr>
      <w:keepNext/>
      <w:jc w:val="center"/>
      <w:outlineLvl w:val="0"/>
    </w:pPr>
    <w:rPr>
      <w:b/>
      <w:bCs/>
      <w:sz w:val="28"/>
      <w:lang w:val="lv-LV"/>
    </w:rPr>
  </w:style>
  <w:style w:type="paragraph" w:styleId="Virsraksts2">
    <w:name w:val="heading 2"/>
    <w:basedOn w:val="Parasts"/>
    <w:next w:val="Parasts"/>
    <w:qFormat/>
    <w:rsid w:val="002C2235"/>
    <w:pPr>
      <w:keepNext/>
      <w:outlineLvl w:val="1"/>
    </w:pPr>
    <w:rPr>
      <w:sz w:val="28"/>
      <w:lang w:val="lv-LV"/>
    </w:rPr>
  </w:style>
  <w:style w:type="paragraph" w:styleId="Virsraksts3">
    <w:name w:val="heading 3"/>
    <w:basedOn w:val="Parasts"/>
    <w:next w:val="Parasts"/>
    <w:qFormat/>
    <w:rsid w:val="002C2235"/>
    <w:pPr>
      <w:keepNext/>
      <w:jc w:val="center"/>
      <w:outlineLvl w:val="2"/>
    </w:pPr>
    <w:rPr>
      <w:sz w:val="28"/>
      <w:lang w:val="lv-LV"/>
    </w:rPr>
  </w:style>
  <w:style w:type="paragraph" w:styleId="Virsraksts4">
    <w:name w:val="heading 4"/>
    <w:basedOn w:val="Parasts"/>
    <w:next w:val="Parasts"/>
    <w:qFormat/>
    <w:rsid w:val="002C2235"/>
    <w:pPr>
      <w:keepNext/>
      <w:tabs>
        <w:tab w:val="center" w:pos="586"/>
      </w:tabs>
      <w:ind w:left="-348" w:hanging="600"/>
      <w:outlineLvl w:val="3"/>
    </w:pPr>
    <w:rPr>
      <w:sz w:val="28"/>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aratkpi">
    <w:name w:val="Body Text Indent"/>
    <w:basedOn w:val="Parasts"/>
    <w:rsid w:val="002C2235"/>
    <w:pPr>
      <w:ind w:left="7"/>
    </w:pPr>
    <w:rPr>
      <w:sz w:val="28"/>
      <w:lang w:val="lv-LV"/>
    </w:rPr>
  </w:style>
  <w:style w:type="paragraph" w:customStyle="1" w:styleId="naisc">
    <w:name w:val="naisc"/>
    <w:basedOn w:val="Parasts"/>
    <w:rsid w:val="002C2235"/>
    <w:pPr>
      <w:spacing w:before="100" w:beforeAutospacing="1" w:after="100" w:afterAutospacing="1"/>
      <w:jc w:val="center"/>
    </w:pPr>
    <w:rPr>
      <w:rFonts w:eastAsia="Arial Unicode MS"/>
      <w:sz w:val="26"/>
      <w:szCs w:val="26"/>
    </w:rPr>
  </w:style>
  <w:style w:type="paragraph" w:customStyle="1" w:styleId="naisf">
    <w:name w:val="naisf"/>
    <w:basedOn w:val="Parasts"/>
    <w:rsid w:val="002C2235"/>
    <w:pPr>
      <w:spacing w:before="100" w:beforeAutospacing="1" w:after="100" w:afterAutospacing="1"/>
      <w:jc w:val="both"/>
    </w:pPr>
    <w:rPr>
      <w:rFonts w:eastAsia="Arial Unicode MS"/>
    </w:rPr>
  </w:style>
  <w:style w:type="paragraph" w:styleId="Paraststmeklis">
    <w:name w:val="Normal (Web)"/>
    <w:basedOn w:val="Parasts"/>
    <w:rsid w:val="002C2235"/>
    <w:pPr>
      <w:spacing w:before="100" w:beforeAutospacing="1" w:after="100" w:afterAutospacing="1"/>
    </w:pPr>
    <w:rPr>
      <w:rFonts w:eastAsia="Arial Unicode MS"/>
    </w:rPr>
  </w:style>
  <w:style w:type="paragraph" w:styleId="Kjene">
    <w:name w:val="footer"/>
    <w:basedOn w:val="Parasts"/>
    <w:link w:val="KjeneRakstz"/>
    <w:rsid w:val="002C2235"/>
    <w:pPr>
      <w:tabs>
        <w:tab w:val="center" w:pos="4153"/>
        <w:tab w:val="right" w:pos="8306"/>
      </w:tabs>
      <w:snapToGrid w:val="0"/>
    </w:pPr>
    <w:rPr>
      <w:rFonts w:ascii="RimTimes" w:hAnsi="RimTimes"/>
      <w:sz w:val="28"/>
      <w:szCs w:val="20"/>
      <w:lang w:val="lv-LV"/>
    </w:rPr>
  </w:style>
  <w:style w:type="character" w:styleId="Komentraatsauce">
    <w:name w:val="annotation reference"/>
    <w:basedOn w:val="Noklusjumarindkopasfonts"/>
    <w:semiHidden/>
    <w:rsid w:val="002C2235"/>
    <w:rPr>
      <w:sz w:val="16"/>
      <w:szCs w:val="16"/>
    </w:rPr>
  </w:style>
  <w:style w:type="paragraph" w:customStyle="1" w:styleId="naislab">
    <w:name w:val="naislab"/>
    <w:basedOn w:val="Parasts"/>
    <w:rsid w:val="002C2235"/>
    <w:pPr>
      <w:spacing w:before="100" w:beforeAutospacing="1" w:after="100" w:afterAutospacing="1"/>
      <w:jc w:val="right"/>
    </w:pPr>
    <w:rPr>
      <w:rFonts w:eastAsia="Arial Unicode MS"/>
    </w:rPr>
  </w:style>
  <w:style w:type="paragraph" w:styleId="Galvene">
    <w:name w:val="header"/>
    <w:basedOn w:val="Parasts"/>
    <w:rsid w:val="002C2235"/>
    <w:pPr>
      <w:tabs>
        <w:tab w:val="center" w:pos="4153"/>
        <w:tab w:val="right" w:pos="8306"/>
      </w:tabs>
    </w:pPr>
  </w:style>
  <w:style w:type="character" w:styleId="Lappusesnumurs">
    <w:name w:val="page number"/>
    <w:basedOn w:val="Noklusjumarindkopasfonts"/>
    <w:rsid w:val="002C2235"/>
  </w:style>
  <w:style w:type="paragraph" w:styleId="Komentrateksts">
    <w:name w:val="annotation text"/>
    <w:basedOn w:val="Parasts"/>
    <w:link w:val="KomentratekstsRakstz"/>
    <w:rsid w:val="002C2235"/>
    <w:rPr>
      <w:sz w:val="20"/>
      <w:szCs w:val="20"/>
    </w:rPr>
  </w:style>
  <w:style w:type="paragraph" w:customStyle="1" w:styleId="naiskr">
    <w:name w:val="naiskr"/>
    <w:basedOn w:val="Parasts"/>
    <w:rsid w:val="00B40B98"/>
    <w:pPr>
      <w:spacing w:before="100" w:beforeAutospacing="1" w:after="100" w:afterAutospacing="1"/>
    </w:pPr>
    <w:rPr>
      <w:lang w:val="lv-LV" w:eastAsia="lv-LV"/>
    </w:rPr>
  </w:style>
  <w:style w:type="paragraph" w:styleId="Balonteksts">
    <w:name w:val="Balloon Text"/>
    <w:basedOn w:val="Parasts"/>
    <w:semiHidden/>
    <w:rsid w:val="003F2F3C"/>
    <w:rPr>
      <w:rFonts w:ascii="Tahoma" w:hAnsi="Tahoma" w:cs="Tahoma"/>
      <w:sz w:val="16"/>
      <w:szCs w:val="16"/>
    </w:rPr>
  </w:style>
  <w:style w:type="paragraph" w:customStyle="1" w:styleId="CharChar">
    <w:name w:val="Char Char"/>
    <w:basedOn w:val="Parasts"/>
    <w:rsid w:val="001347E9"/>
    <w:rPr>
      <w:lang w:val="pl-PL" w:eastAsia="pl-PL"/>
    </w:rPr>
  </w:style>
  <w:style w:type="paragraph" w:customStyle="1" w:styleId="RakstzRakstzRakstzCharCharRakstzRakstzCharChar">
    <w:name w:val="Rakstz. Rakstz. Rakstz. Char Char Rakstz. Rakstz. Char Char"/>
    <w:basedOn w:val="Parasts"/>
    <w:rsid w:val="004071C3"/>
    <w:pPr>
      <w:spacing w:before="40"/>
    </w:pPr>
    <w:rPr>
      <w:lang w:val="pl-PL" w:eastAsia="pl-PL"/>
    </w:rPr>
  </w:style>
  <w:style w:type="paragraph" w:styleId="Pamatteksts2">
    <w:name w:val="Body Text 2"/>
    <w:basedOn w:val="Parasts"/>
    <w:rsid w:val="00D730D2"/>
    <w:pPr>
      <w:spacing w:after="120" w:line="480" w:lineRule="auto"/>
    </w:pPr>
    <w:rPr>
      <w:sz w:val="28"/>
      <w:szCs w:val="20"/>
      <w:lang w:val="lv-LV" w:eastAsia="lv-LV"/>
    </w:rPr>
  </w:style>
  <w:style w:type="paragraph" w:styleId="Komentratma">
    <w:name w:val="annotation subject"/>
    <w:basedOn w:val="Komentrateksts"/>
    <w:next w:val="Komentrateksts"/>
    <w:semiHidden/>
    <w:rsid w:val="00CC26BC"/>
    <w:rPr>
      <w:b/>
      <w:bCs/>
    </w:rPr>
  </w:style>
  <w:style w:type="character" w:styleId="Hipersaite">
    <w:name w:val="Hyperlink"/>
    <w:basedOn w:val="Noklusjumarindkopasfonts"/>
    <w:rsid w:val="009402E4"/>
    <w:rPr>
      <w:color w:val="0000FF"/>
      <w:u w:val="single"/>
    </w:rPr>
  </w:style>
  <w:style w:type="paragraph" w:styleId="Nosaukums">
    <w:name w:val="Title"/>
    <w:basedOn w:val="Parasts"/>
    <w:qFormat/>
    <w:rsid w:val="00EB6920"/>
    <w:pPr>
      <w:jc w:val="center"/>
    </w:pPr>
    <w:rPr>
      <w:b/>
      <w:sz w:val="28"/>
      <w:szCs w:val="20"/>
      <w:lang w:val="lv-LV"/>
    </w:rPr>
  </w:style>
  <w:style w:type="paragraph" w:styleId="Bezatstarpm">
    <w:name w:val="No Spacing"/>
    <w:qFormat/>
    <w:rsid w:val="00B55EA8"/>
    <w:rPr>
      <w:rFonts w:ascii="Calibri" w:eastAsia="Calibri" w:hAnsi="Calibri"/>
      <w:sz w:val="22"/>
      <w:szCs w:val="22"/>
      <w:lang w:eastAsia="en-US"/>
    </w:rPr>
  </w:style>
  <w:style w:type="character" w:customStyle="1" w:styleId="KjeneRakstz">
    <w:name w:val="Kājene Rakstz."/>
    <w:basedOn w:val="Noklusjumarindkopasfonts"/>
    <w:link w:val="Kjene"/>
    <w:rsid w:val="0091356D"/>
    <w:rPr>
      <w:rFonts w:ascii="RimTimes" w:hAnsi="RimTimes"/>
      <w:sz w:val="28"/>
      <w:lang w:eastAsia="en-US"/>
    </w:rPr>
  </w:style>
  <w:style w:type="paragraph" w:customStyle="1" w:styleId="naisnod">
    <w:name w:val="naisnod"/>
    <w:basedOn w:val="Parasts"/>
    <w:rsid w:val="00585BD7"/>
    <w:pPr>
      <w:spacing w:before="150" w:after="150"/>
      <w:jc w:val="center"/>
    </w:pPr>
    <w:rPr>
      <w:b/>
      <w:bCs/>
      <w:lang w:val="lv-LV" w:eastAsia="lv-LV"/>
    </w:rPr>
  </w:style>
  <w:style w:type="character" w:styleId="Izteiksmgs">
    <w:name w:val="Strong"/>
    <w:basedOn w:val="Noklusjumarindkopasfonts"/>
    <w:uiPriority w:val="22"/>
    <w:qFormat/>
    <w:rsid w:val="00FD247B"/>
    <w:rPr>
      <w:b/>
      <w:bCs/>
    </w:rPr>
  </w:style>
  <w:style w:type="character" w:customStyle="1" w:styleId="KomentratekstsRakstz">
    <w:name w:val="Komentāra teksts Rakstz."/>
    <w:basedOn w:val="Noklusjumarindkopasfonts"/>
    <w:link w:val="Komentrateksts"/>
    <w:rsid w:val="00A856EA"/>
    <w:rPr>
      <w:lang w:val="en-GB" w:eastAsia="en-US"/>
    </w:rPr>
  </w:style>
  <w:style w:type="paragraph" w:styleId="Sarakstarindkopa">
    <w:name w:val="List Paragraph"/>
    <w:basedOn w:val="Parasts"/>
    <w:uiPriority w:val="34"/>
    <w:qFormat/>
    <w:rsid w:val="00634084"/>
    <w:pPr>
      <w:ind w:left="720"/>
      <w:contextualSpacing/>
    </w:pPr>
  </w:style>
  <w:style w:type="paragraph" w:customStyle="1" w:styleId="basetext">
    <w:name w:val="base text"/>
    <w:rsid w:val="00FB20CF"/>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both"/>
      <w:textAlignment w:val="baseline"/>
    </w:pPr>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990461">
      <w:bodyDiv w:val="1"/>
      <w:marLeft w:val="45"/>
      <w:marRight w:val="45"/>
      <w:marTop w:val="90"/>
      <w:marBottom w:val="90"/>
      <w:divBdr>
        <w:top w:val="none" w:sz="0" w:space="0" w:color="auto"/>
        <w:left w:val="none" w:sz="0" w:space="0" w:color="auto"/>
        <w:bottom w:val="none" w:sz="0" w:space="0" w:color="auto"/>
        <w:right w:val="none" w:sz="0" w:space="0" w:color="auto"/>
      </w:divBdr>
      <w:divsChild>
        <w:div w:id="28067796">
          <w:marLeft w:val="0"/>
          <w:marRight w:val="0"/>
          <w:marTop w:val="0"/>
          <w:marBottom w:val="567"/>
          <w:divBdr>
            <w:top w:val="none" w:sz="0" w:space="0" w:color="auto"/>
            <w:left w:val="none" w:sz="0" w:space="0" w:color="auto"/>
            <w:bottom w:val="none" w:sz="0" w:space="0" w:color="auto"/>
            <w:right w:val="none" w:sz="0" w:space="0" w:color="auto"/>
          </w:divBdr>
        </w:div>
        <w:div w:id="1581208722">
          <w:marLeft w:val="0"/>
          <w:marRight w:val="0"/>
          <w:marTop w:val="480"/>
          <w:marBottom w:val="240"/>
          <w:divBdr>
            <w:top w:val="none" w:sz="0" w:space="0" w:color="auto"/>
            <w:left w:val="none" w:sz="0" w:space="0" w:color="auto"/>
            <w:bottom w:val="none" w:sz="0" w:space="0" w:color="auto"/>
            <w:right w:val="none" w:sz="0" w:space="0" w:color="auto"/>
          </w:divBdr>
        </w:div>
      </w:divsChild>
    </w:div>
    <w:div w:id="881865541">
      <w:bodyDiv w:val="1"/>
      <w:marLeft w:val="0"/>
      <w:marRight w:val="0"/>
      <w:marTop w:val="0"/>
      <w:marBottom w:val="0"/>
      <w:divBdr>
        <w:top w:val="none" w:sz="0" w:space="0" w:color="auto"/>
        <w:left w:val="none" w:sz="0" w:space="0" w:color="auto"/>
        <w:bottom w:val="none" w:sz="0" w:space="0" w:color="auto"/>
        <w:right w:val="none" w:sz="0" w:space="0" w:color="auto"/>
      </w:divBdr>
    </w:div>
    <w:div w:id="940912194">
      <w:bodyDiv w:val="1"/>
      <w:marLeft w:val="0"/>
      <w:marRight w:val="0"/>
      <w:marTop w:val="0"/>
      <w:marBottom w:val="0"/>
      <w:divBdr>
        <w:top w:val="none" w:sz="0" w:space="0" w:color="auto"/>
        <w:left w:val="none" w:sz="0" w:space="0" w:color="auto"/>
        <w:bottom w:val="none" w:sz="0" w:space="0" w:color="auto"/>
        <w:right w:val="none" w:sz="0" w:space="0" w:color="auto"/>
      </w:divBdr>
      <w:divsChild>
        <w:div w:id="951015021">
          <w:marLeft w:val="0"/>
          <w:marRight w:val="0"/>
          <w:marTop w:val="0"/>
          <w:marBottom w:val="0"/>
          <w:divBdr>
            <w:top w:val="none" w:sz="0" w:space="0" w:color="auto"/>
            <w:left w:val="none" w:sz="0" w:space="0" w:color="auto"/>
            <w:bottom w:val="none" w:sz="0" w:space="0" w:color="auto"/>
            <w:right w:val="none" w:sz="0" w:space="0" w:color="auto"/>
          </w:divBdr>
          <w:divsChild>
            <w:div w:id="736904849">
              <w:marLeft w:val="0"/>
              <w:marRight w:val="0"/>
              <w:marTop w:val="0"/>
              <w:marBottom w:val="0"/>
              <w:divBdr>
                <w:top w:val="none" w:sz="0" w:space="0" w:color="auto"/>
                <w:left w:val="none" w:sz="0" w:space="0" w:color="auto"/>
                <w:bottom w:val="none" w:sz="0" w:space="0" w:color="auto"/>
                <w:right w:val="none" w:sz="0" w:space="0" w:color="auto"/>
              </w:divBdr>
              <w:divsChild>
                <w:div w:id="90396452">
                  <w:marLeft w:val="0"/>
                  <w:marRight w:val="0"/>
                  <w:marTop w:val="0"/>
                  <w:marBottom w:val="0"/>
                  <w:divBdr>
                    <w:top w:val="none" w:sz="0" w:space="0" w:color="auto"/>
                    <w:left w:val="none" w:sz="0" w:space="0" w:color="auto"/>
                    <w:bottom w:val="none" w:sz="0" w:space="0" w:color="auto"/>
                    <w:right w:val="none" w:sz="0" w:space="0" w:color="auto"/>
                  </w:divBdr>
                  <w:divsChild>
                    <w:div w:id="160825521">
                      <w:marLeft w:val="0"/>
                      <w:marRight w:val="0"/>
                      <w:marTop w:val="0"/>
                      <w:marBottom w:val="0"/>
                      <w:divBdr>
                        <w:top w:val="none" w:sz="0" w:space="0" w:color="auto"/>
                        <w:left w:val="none" w:sz="0" w:space="0" w:color="auto"/>
                        <w:bottom w:val="none" w:sz="0" w:space="0" w:color="auto"/>
                        <w:right w:val="none" w:sz="0" w:space="0" w:color="auto"/>
                      </w:divBdr>
                      <w:divsChild>
                        <w:div w:id="152650296">
                          <w:marLeft w:val="0"/>
                          <w:marRight w:val="0"/>
                          <w:marTop w:val="0"/>
                          <w:marBottom w:val="0"/>
                          <w:divBdr>
                            <w:top w:val="none" w:sz="0" w:space="0" w:color="auto"/>
                            <w:left w:val="none" w:sz="0" w:space="0" w:color="auto"/>
                            <w:bottom w:val="none" w:sz="0" w:space="0" w:color="auto"/>
                            <w:right w:val="none" w:sz="0" w:space="0" w:color="auto"/>
                          </w:divBdr>
                          <w:divsChild>
                            <w:div w:id="653294457">
                              <w:marLeft w:val="0"/>
                              <w:marRight w:val="0"/>
                              <w:marTop w:val="0"/>
                              <w:marBottom w:val="0"/>
                              <w:divBdr>
                                <w:top w:val="none" w:sz="0" w:space="0" w:color="auto"/>
                                <w:left w:val="none" w:sz="0" w:space="0" w:color="auto"/>
                                <w:bottom w:val="none" w:sz="0" w:space="0" w:color="auto"/>
                                <w:right w:val="none" w:sz="0" w:space="0" w:color="auto"/>
                              </w:divBdr>
                              <w:divsChild>
                                <w:div w:id="1632975070">
                                  <w:marLeft w:val="0"/>
                                  <w:marRight w:val="0"/>
                                  <w:marTop w:val="0"/>
                                  <w:marBottom w:val="0"/>
                                  <w:divBdr>
                                    <w:top w:val="none" w:sz="0" w:space="0" w:color="auto"/>
                                    <w:left w:val="none" w:sz="0" w:space="0" w:color="auto"/>
                                    <w:bottom w:val="none" w:sz="0" w:space="0" w:color="auto"/>
                                    <w:right w:val="none" w:sz="0" w:space="0" w:color="auto"/>
                                  </w:divBdr>
                                  <w:divsChild>
                                    <w:div w:id="1092777391">
                                      <w:marLeft w:val="0"/>
                                      <w:marRight w:val="0"/>
                                      <w:marTop w:val="0"/>
                                      <w:marBottom w:val="0"/>
                                      <w:divBdr>
                                        <w:top w:val="none" w:sz="0" w:space="0" w:color="auto"/>
                                        <w:left w:val="none" w:sz="0" w:space="0" w:color="auto"/>
                                        <w:bottom w:val="none" w:sz="0" w:space="0" w:color="auto"/>
                                        <w:right w:val="none" w:sz="0" w:space="0" w:color="auto"/>
                                      </w:divBdr>
                                      <w:divsChild>
                                        <w:div w:id="1251281268">
                                          <w:marLeft w:val="0"/>
                                          <w:marRight w:val="0"/>
                                          <w:marTop w:val="0"/>
                                          <w:marBottom w:val="0"/>
                                          <w:divBdr>
                                            <w:top w:val="none" w:sz="0" w:space="0" w:color="auto"/>
                                            <w:left w:val="none" w:sz="0" w:space="0" w:color="auto"/>
                                            <w:bottom w:val="none" w:sz="0" w:space="0" w:color="auto"/>
                                            <w:right w:val="none" w:sz="0" w:space="0" w:color="auto"/>
                                          </w:divBdr>
                                          <w:divsChild>
                                            <w:div w:id="1119449898">
                                              <w:marLeft w:val="0"/>
                                              <w:marRight w:val="0"/>
                                              <w:marTop w:val="0"/>
                                              <w:marBottom w:val="0"/>
                                              <w:divBdr>
                                                <w:top w:val="none" w:sz="0" w:space="0" w:color="auto"/>
                                                <w:left w:val="none" w:sz="0" w:space="0" w:color="auto"/>
                                                <w:bottom w:val="none" w:sz="0" w:space="0" w:color="auto"/>
                                                <w:right w:val="none" w:sz="0" w:space="0" w:color="auto"/>
                                              </w:divBdr>
                                              <w:divsChild>
                                                <w:div w:id="706874177">
                                                  <w:marLeft w:val="0"/>
                                                  <w:marRight w:val="0"/>
                                                  <w:marTop w:val="0"/>
                                                  <w:marBottom w:val="0"/>
                                                  <w:divBdr>
                                                    <w:top w:val="none" w:sz="0" w:space="0" w:color="auto"/>
                                                    <w:left w:val="none" w:sz="0" w:space="0" w:color="auto"/>
                                                    <w:bottom w:val="none" w:sz="0" w:space="0" w:color="auto"/>
                                                    <w:right w:val="none" w:sz="0" w:space="0" w:color="auto"/>
                                                  </w:divBdr>
                                                  <w:divsChild>
                                                    <w:div w:id="531773054">
                                                      <w:marLeft w:val="0"/>
                                                      <w:marRight w:val="0"/>
                                                      <w:marTop w:val="0"/>
                                                      <w:marBottom w:val="0"/>
                                                      <w:divBdr>
                                                        <w:top w:val="none" w:sz="0" w:space="0" w:color="auto"/>
                                                        <w:left w:val="none" w:sz="0" w:space="0" w:color="auto"/>
                                                        <w:bottom w:val="none" w:sz="0" w:space="0" w:color="auto"/>
                                                        <w:right w:val="none" w:sz="0" w:space="0" w:color="auto"/>
                                                      </w:divBdr>
                                                      <w:divsChild>
                                                        <w:div w:id="1939672045">
                                                          <w:marLeft w:val="0"/>
                                                          <w:marRight w:val="0"/>
                                                          <w:marTop w:val="0"/>
                                                          <w:marBottom w:val="0"/>
                                                          <w:divBdr>
                                                            <w:top w:val="none" w:sz="0" w:space="0" w:color="auto"/>
                                                            <w:left w:val="none" w:sz="0" w:space="0" w:color="auto"/>
                                                            <w:bottom w:val="none" w:sz="0" w:space="0" w:color="auto"/>
                                                            <w:right w:val="none" w:sz="0" w:space="0" w:color="auto"/>
                                                          </w:divBdr>
                                                          <w:divsChild>
                                                            <w:div w:id="737368026">
                                                              <w:marLeft w:val="0"/>
                                                              <w:marRight w:val="0"/>
                                                              <w:marTop w:val="0"/>
                                                              <w:marBottom w:val="0"/>
                                                              <w:divBdr>
                                                                <w:top w:val="none" w:sz="0" w:space="0" w:color="auto"/>
                                                                <w:left w:val="none" w:sz="0" w:space="0" w:color="auto"/>
                                                                <w:bottom w:val="none" w:sz="0" w:space="0" w:color="auto"/>
                                                                <w:right w:val="none" w:sz="0" w:space="0" w:color="auto"/>
                                                              </w:divBdr>
                                                              <w:divsChild>
                                                                <w:div w:id="1630236180">
                                                                  <w:marLeft w:val="0"/>
                                                                  <w:marRight w:val="0"/>
                                                                  <w:marTop w:val="0"/>
                                                                  <w:marBottom w:val="0"/>
                                                                  <w:divBdr>
                                                                    <w:top w:val="none" w:sz="0" w:space="0" w:color="auto"/>
                                                                    <w:left w:val="none" w:sz="0" w:space="0" w:color="auto"/>
                                                                    <w:bottom w:val="none" w:sz="0" w:space="0" w:color="auto"/>
                                                                    <w:right w:val="none" w:sz="0" w:space="0" w:color="auto"/>
                                                                  </w:divBdr>
                                                                  <w:divsChild>
                                                                    <w:div w:id="863707991">
                                                                      <w:marLeft w:val="0"/>
                                                                      <w:marRight w:val="0"/>
                                                                      <w:marTop w:val="0"/>
                                                                      <w:marBottom w:val="0"/>
                                                                      <w:divBdr>
                                                                        <w:top w:val="none" w:sz="0" w:space="0" w:color="auto"/>
                                                                        <w:left w:val="none" w:sz="0" w:space="0" w:color="auto"/>
                                                                        <w:bottom w:val="none" w:sz="0" w:space="0" w:color="auto"/>
                                                                        <w:right w:val="none" w:sz="0" w:space="0" w:color="auto"/>
                                                                      </w:divBdr>
                                                                      <w:divsChild>
                                                                        <w:div w:id="545483251">
                                                                          <w:marLeft w:val="0"/>
                                                                          <w:marRight w:val="0"/>
                                                                          <w:marTop w:val="0"/>
                                                                          <w:marBottom w:val="0"/>
                                                                          <w:divBdr>
                                                                            <w:top w:val="none" w:sz="0" w:space="0" w:color="auto"/>
                                                                            <w:left w:val="none" w:sz="0" w:space="0" w:color="auto"/>
                                                                            <w:bottom w:val="none" w:sz="0" w:space="0" w:color="auto"/>
                                                                            <w:right w:val="none" w:sz="0" w:space="0" w:color="auto"/>
                                                                          </w:divBdr>
                                                                          <w:divsChild>
                                                                            <w:div w:id="1567453393">
                                                                              <w:marLeft w:val="0"/>
                                                                              <w:marRight w:val="0"/>
                                                                              <w:marTop w:val="0"/>
                                                                              <w:marBottom w:val="0"/>
                                                                              <w:divBdr>
                                                                                <w:top w:val="none" w:sz="0" w:space="0" w:color="auto"/>
                                                                                <w:left w:val="none" w:sz="0" w:space="0" w:color="auto"/>
                                                                                <w:bottom w:val="none" w:sz="0" w:space="0" w:color="auto"/>
                                                                                <w:right w:val="none" w:sz="0" w:space="0" w:color="auto"/>
                                                                              </w:divBdr>
                                                                              <w:divsChild>
                                                                                <w:div w:id="977954212">
                                                                                  <w:marLeft w:val="0"/>
                                                                                  <w:marRight w:val="0"/>
                                                                                  <w:marTop w:val="0"/>
                                                                                  <w:marBottom w:val="0"/>
                                                                                  <w:divBdr>
                                                                                    <w:top w:val="none" w:sz="0" w:space="0" w:color="auto"/>
                                                                                    <w:left w:val="none" w:sz="0" w:space="0" w:color="auto"/>
                                                                                    <w:bottom w:val="none" w:sz="0" w:space="0" w:color="auto"/>
                                                                                    <w:right w:val="none" w:sz="0" w:space="0" w:color="auto"/>
                                                                                  </w:divBdr>
                                                                                  <w:divsChild>
                                                                                    <w:div w:id="2091347605">
                                                                                      <w:marLeft w:val="0"/>
                                                                                      <w:marRight w:val="0"/>
                                                                                      <w:marTop w:val="0"/>
                                                                                      <w:marBottom w:val="60"/>
                                                                                      <w:divBdr>
                                                                                        <w:top w:val="none" w:sz="0" w:space="0" w:color="auto"/>
                                                                                        <w:left w:val="none" w:sz="0" w:space="0" w:color="auto"/>
                                                                                        <w:bottom w:val="none" w:sz="0" w:space="0" w:color="auto"/>
                                                                                        <w:right w:val="none" w:sz="0" w:space="0" w:color="auto"/>
                                                                                      </w:divBdr>
                                                                                    </w:div>
                                                                                    <w:div w:id="2069330081">
                                                                                      <w:marLeft w:val="0"/>
                                                                                      <w:marRight w:val="0"/>
                                                                                      <w:marTop w:val="0"/>
                                                                                      <w:marBottom w:val="60"/>
                                                                                      <w:divBdr>
                                                                                        <w:top w:val="none" w:sz="0" w:space="0" w:color="auto"/>
                                                                                        <w:left w:val="none" w:sz="0" w:space="0" w:color="auto"/>
                                                                                        <w:bottom w:val="none" w:sz="0" w:space="0" w:color="auto"/>
                                                                                        <w:right w:val="none" w:sz="0" w:space="0" w:color="auto"/>
                                                                                      </w:divBdr>
                                                                                    </w:div>
                                                                                    <w:div w:id="1644962944">
                                                                                      <w:marLeft w:val="0"/>
                                                                                      <w:marRight w:val="0"/>
                                                                                      <w:marTop w:val="0"/>
                                                                                      <w:marBottom w:val="60"/>
                                                                                      <w:divBdr>
                                                                                        <w:top w:val="none" w:sz="0" w:space="0" w:color="auto"/>
                                                                                        <w:left w:val="none" w:sz="0" w:space="0" w:color="auto"/>
                                                                                        <w:bottom w:val="none" w:sz="0" w:space="0" w:color="auto"/>
                                                                                        <w:right w:val="none" w:sz="0" w:space="0" w:color="auto"/>
                                                                                      </w:divBdr>
                                                                                    </w:div>
                                                                                    <w:div w:id="1368602415">
                                                                                      <w:marLeft w:val="0"/>
                                                                                      <w:marRight w:val="0"/>
                                                                                      <w:marTop w:val="0"/>
                                                                                      <w:marBottom w:val="60"/>
                                                                                      <w:divBdr>
                                                                                        <w:top w:val="none" w:sz="0" w:space="0" w:color="auto"/>
                                                                                        <w:left w:val="none" w:sz="0" w:space="0" w:color="auto"/>
                                                                                        <w:bottom w:val="none" w:sz="0" w:space="0" w:color="auto"/>
                                                                                        <w:right w:val="none" w:sz="0" w:space="0" w:color="auto"/>
                                                                                      </w:divBdr>
                                                                                    </w:div>
                                                                                    <w:div w:id="460465816">
                                                                                      <w:marLeft w:val="0"/>
                                                                                      <w:marRight w:val="0"/>
                                                                                      <w:marTop w:val="0"/>
                                                                                      <w:marBottom w:val="60"/>
                                                                                      <w:divBdr>
                                                                                        <w:top w:val="none" w:sz="0" w:space="0" w:color="auto"/>
                                                                                        <w:left w:val="none" w:sz="0" w:space="0" w:color="auto"/>
                                                                                        <w:bottom w:val="none" w:sz="0" w:space="0" w:color="auto"/>
                                                                                        <w:right w:val="none" w:sz="0" w:space="0" w:color="auto"/>
                                                                                      </w:divBdr>
                                                                                    </w:div>
                                                                                    <w:div w:id="375200608">
                                                                                      <w:marLeft w:val="0"/>
                                                                                      <w:marRight w:val="0"/>
                                                                                      <w:marTop w:val="0"/>
                                                                                      <w:marBottom w:val="60"/>
                                                                                      <w:divBdr>
                                                                                        <w:top w:val="none" w:sz="0" w:space="0" w:color="auto"/>
                                                                                        <w:left w:val="none" w:sz="0" w:space="0" w:color="auto"/>
                                                                                        <w:bottom w:val="none" w:sz="0" w:space="0" w:color="auto"/>
                                                                                        <w:right w:val="none" w:sz="0" w:space="0" w:color="auto"/>
                                                                                      </w:divBdr>
                                                                                    </w:div>
                                                                                    <w:div w:id="142226280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9605493">
      <w:bodyDiv w:val="1"/>
      <w:marLeft w:val="0"/>
      <w:marRight w:val="0"/>
      <w:marTop w:val="0"/>
      <w:marBottom w:val="0"/>
      <w:divBdr>
        <w:top w:val="none" w:sz="0" w:space="0" w:color="auto"/>
        <w:left w:val="none" w:sz="0" w:space="0" w:color="auto"/>
        <w:bottom w:val="none" w:sz="0" w:space="0" w:color="auto"/>
        <w:right w:val="none" w:sz="0" w:space="0" w:color="auto"/>
      </w:divBdr>
      <w:divsChild>
        <w:div w:id="112335335">
          <w:marLeft w:val="0"/>
          <w:marRight w:val="0"/>
          <w:marTop w:val="0"/>
          <w:marBottom w:val="0"/>
          <w:divBdr>
            <w:top w:val="none" w:sz="0" w:space="0" w:color="auto"/>
            <w:left w:val="none" w:sz="0" w:space="0" w:color="auto"/>
            <w:bottom w:val="none" w:sz="0" w:space="0" w:color="auto"/>
            <w:right w:val="none" w:sz="0" w:space="0" w:color="auto"/>
          </w:divBdr>
          <w:divsChild>
            <w:div w:id="527329574">
              <w:marLeft w:val="0"/>
              <w:marRight w:val="0"/>
              <w:marTop w:val="0"/>
              <w:marBottom w:val="0"/>
              <w:divBdr>
                <w:top w:val="none" w:sz="0" w:space="0" w:color="auto"/>
                <w:left w:val="none" w:sz="0" w:space="0" w:color="auto"/>
                <w:bottom w:val="none" w:sz="0" w:space="0" w:color="auto"/>
                <w:right w:val="none" w:sz="0" w:space="0" w:color="auto"/>
              </w:divBdr>
              <w:divsChild>
                <w:div w:id="1437169500">
                  <w:marLeft w:val="0"/>
                  <w:marRight w:val="0"/>
                  <w:marTop w:val="0"/>
                  <w:marBottom w:val="0"/>
                  <w:divBdr>
                    <w:top w:val="none" w:sz="0" w:space="0" w:color="auto"/>
                    <w:left w:val="none" w:sz="0" w:space="0" w:color="auto"/>
                    <w:bottom w:val="none" w:sz="0" w:space="0" w:color="auto"/>
                    <w:right w:val="none" w:sz="0" w:space="0" w:color="auto"/>
                  </w:divBdr>
                  <w:divsChild>
                    <w:div w:id="2114284767">
                      <w:marLeft w:val="0"/>
                      <w:marRight w:val="0"/>
                      <w:marTop w:val="0"/>
                      <w:marBottom w:val="0"/>
                      <w:divBdr>
                        <w:top w:val="none" w:sz="0" w:space="0" w:color="auto"/>
                        <w:left w:val="none" w:sz="0" w:space="0" w:color="auto"/>
                        <w:bottom w:val="none" w:sz="0" w:space="0" w:color="auto"/>
                        <w:right w:val="none" w:sz="0" w:space="0" w:color="auto"/>
                      </w:divBdr>
                      <w:divsChild>
                        <w:div w:id="1583104471">
                          <w:marLeft w:val="0"/>
                          <w:marRight w:val="0"/>
                          <w:marTop w:val="0"/>
                          <w:marBottom w:val="0"/>
                          <w:divBdr>
                            <w:top w:val="none" w:sz="0" w:space="0" w:color="auto"/>
                            <w:left w:val="none" w:sz="0" w:space="0" w:color="auto"/>
                            <w:bottom w:val="none" w:sz="0" w:space="0" w:color="auto"/>
                            <w:right w:val="none" w:sz="0" w:space="0" w:color="auto"/>
                          </w:divBdr>
                          <w:divsChild>
                            <w:div w:id="688215152">
                              <w:marLeft w:val="0"/>
                              <w:marRight w:val="0"/>
                              <w:marTop w:val="0"/>
                              <w:marBottom w:val="0"/>
                              <w:divBdr>
                                <w:top w:val="none" w:sz="0" w:space="0" w:color="auto"/>
                                <w:left w:val="none" w:sz="0" w:space="0" w:color="auto"/>
                                <w:bottom w:val="none" w:sz="0" w:space="0" w:color="auto"/>
                                <w:right w:val="none" w:sz="0" w:space="0" w:color="auto"/>
                              </w:divBdr>
                              <w:divsChild>
                                <w:div w:id="874854989">
                                  <w:marLeft w:val="0"/>
                                  <w:marRight w:val="0"/>
                                  <w:marTop w:val="0"/>
                                  <w:marBottom w:val="0"/>
                                  <w:divBdr>
                                    <w:top w:val="none" w:sz="0" w:space="0" w:color="auto"/>
                                    <w:left w:val="none" w:sz="0" w:space="0" w:color="auto"/>
                                    <w:bottom w:val="none" w:sz="0" w:space="0" w:color="auto"/>
                                    <w:right w:val="none" w:sz="0" w:space="0" w:color="auto"/>
                                  </w:divBdr>
                                  <w:divsChild>
                                    <w:div w:id="950354646">
                                      <w:marLeft w:val="0"/>
                                      <w:marRight w:val="0"/>
                                      <w:marTop w:val="0"/>
                                      <w:marBottom w:val="0"/>
                                      <w:divBdr>
                                        <w:top w:val="none" w:sz="0" w:space="0" w:color="auto"/>
                                        <w:left w:val="none" w:sz="0" w:space="0" w:color="auto"/>
                                        <w:bottom w:val="none" w:sz="0" w:space="0" w:color="auto"/>
                                        <w:right w:val="none" w:sz="0" w:space="0" w:color="auto"/>
                                      </w:divBdr>
                                      <w:divsChild>
                                        <w:div w:id="564754835">
                                          <w:marLeft w:val="0"/>
                                          <w:marRight w:val="0"/>
                                          <w:marTop w:val="0"/>
                                          <w:marBottom w:val="0"/>
                                          <w:divBdr>
                                            <w:top w:val="none" w:sz="0" w:space="0" w:color="auto"/>
                                            <w:left w:val="none" w:sz="0" w:space="0" w:color="auto"/>
                                            <w:bottom w:val="none" w:sz="0" w:space="0" w:color="auto"/>
                                            <w:right w:val="none" w:sz="0" w:space="0" w:color="auto"/>
                                          </w:divBdr>
                                          <w:divsChild>
                                            <w:div w:id="928974519">
                                              <w:marLeft w:val="0"/>
                                              <w:marRight w:val="0"/>
                                              <w:marTop w:val="0"/>
                                              <w:marBottom w:val="0"/>
                                              <w:divBdr>
                                                <w:top w:val="none" w:sz="0" w:space="0" w:color="auto"/>
                                                <w:left w:val="none" w:sz="0" w:space="0" w:color="auto"/>
                                                <w:bottom w:val="none" w:sz="0" w:space="0" w:color="auto"/>
                                                <w:right w:val="none" w:sz="0" w:space="0" w:color="auto"/>
                                              </w:divBdr>
                                              <w:divsChild>
                                                <w:div w:id="1234703186">
                                                  <w:marLeft w:val="0"/>
                                                  <w:marRight w:val="0"/>
                                                  <w:marTop w:val="0"/>
                                                  <w:marBottom w:val="0"/>
                                                  <w:divBdr>
                                                    <w:top w:val="none" w:sz="0" w:space="0" w:color="auto"/>
                                                    <w:left w:val="none" w:sz="0" w:space="0" w:color="auto"/>
                                                    <w:bottom w:val="none" w:sz="0" w:space="0" w:color="auto"/>
                                                    <w:right w:val="none" w:sz="0" w:space="0" w:color="auto"/>
                                                  </w:divBdr>
                                                  <w:divsChild>
                                                    <w:div w:id="2131169179">
                                                      <w:marLeft w:val="0"/>
                                                      <w:marRight w:val="0"/>
                                                      <w:marTop w:val="0"/>
                                                      <w:marBottom w:val="0"/>
                                                      <w:divBdr>
                                                        <w:top w:val="none" w:sz="0" w:space="0" w:color="auto"/>
                                                        <w:left w:val="none" w:sz="0" w:space="0" w:color="auto"/>
                                                        <w:bottom w:val="none" w:sz="0" w:space="0" w:color="auto"/>
                                                        <w:right w:val="none" w:sz="0" w:space="0" w:color="auto"/>
                                                      </w:divBdr>
                                                      <w:divsChild>
                                                        <w:div w:id="232199009">
                                                          <w:marLeft w:val="0"/>
                                                          <w:marRight w:val="0"/>
                                                          <w:marTop w:val="0"/>
                                                          <w:marBottom w:val="0"/>
                                                          <w:divBdr>
                                                            <w:top w:val="none" w:sz="0" w:space="0" w:color="auto"/>
                                                            <w:left w:val="none" w:sz="0" w:space="0" w:color="auto"/>
                                                            <w:bottom w:val="none" w:sz="0" w:space="0" w:color="auto"/>
                                                            <w:right w:val="none" w:sz="0" w:space="0" w:color="auto"/>
                                                          </w:divBdr>
                                                          <w:divsChild>
                                                            <w:div w:id="216093916">
                                                              <w:marLeft w:val="0"/>
                                                              <w:marRight w:val="0"/>
                                                              <w:marTop w:val="0"/>
                                                              <w:marBottom w:val="0"/>
                                                              <w:divBdr>
                                                                <w:top w:val="none" w:sz="0" w:space="0" w:color="auto"/>
                                                                <w:left w:val="none" w:sz="0" w:space="0" w:color="auto"/>
                                                                <w:bottom w:val="none" w:sz="0" w:space="0" w:color="auto"/>
                                                                <w:right w:val="none" w:sz="0" w:space="0" w:color="auto"/>
                                                              </w:divBdr>
                                                              <w:divsChild>
                                                                <w:div w:id="1875116733">
                                                                  <w:marLeft w:val="0"/>
                                                                  <w:marRight w:val="0"/>
                                                                  <w:marTop w:val="0"/>
                                                                  <w:marBottom w:val="0"/>
                                                                  <w:divBdr>
                                                                    <w:top w:val="none" w:sz="0" w:space="0" w:color="auto"/>
                                                                    <w:left w:val="none" w:sz="0" w:space="0" w:color="auto"/>
                                                                    <w:bottom w:val="none" w:sz="0" w:space="0" w:color="auto"/>
                                                                    <w:right w:val="none" w:sz="0" w:space="0" w:color="auto"/>
                                                                  </w:divBdr>
                                                                  <w:divsChild>
                                                                    <w:div w:id="1040014689">
                                                                      <w:marLeft w:val="0"/>
                                                                      <w:marRight w:val="0"/>
                                                                      <w:marTop w:val="0"/>
                                                                      <w:marBottom w:val="0"/>
                                                                      <w:divBdr>
                                                                        <w:top w:val="none" w:sz="0" w:space="0" w:color="auto"/>
                                                                        <w:left w:val="none" w:sz="0" w:space="0" w:color="auto"/>
                                                                        <w:bottom w:val="none" w:sz="0" w:space="0" w:color="auto"/>
                                                                        <w:right w:val="none" w:sz="0" w:space="0" w:color="auto"/>
                                                                      </w:divBdr>
                                                                      <w:divsChild>
                                                                        <w:div w:id="986402820">
                                                                          <w:marLeft w:val="0"/>
                                                                          <w:marRight w:val="0"/>
                                                                          <w:marTop w:val="0"/>
                                                                          <w:marBottom w:val="0"/>
                                                                          <w:divBdr>
                                                                            <w:top w:val="none" w:sz="0" w:space="0" w:color="auto"/>
                                                                            <w:left w:val="none" w:sz="0" w:space="0" w:color="auto"/>
                                                                            <w:bottom w:val="none" w:sz="0" w:space="0" w:color="auto"/>
                                                                            <w:right w:val="none" w:sz="0" w:space="0" w:color="auto"/>
                                                                          </w:divBdr>
                                                                          <w:divsChild>
                                                                            <w:div w:id="1666737090">
                                                                              <w:marLeft w:val="0"/>
                                                                              <w:marRight w:val="0"/>
                                                                              <w:marTop w:val="0"/>
                                                                              <w:marBottom w:val="0"/>
                                                                              <w:divBdr>
                                                                                <w:top w:val="none" w:sz="0" w:space="0" w:color="auto"/>
                                                                                <w:left w:val="none" w:sz="0" w:space="0" w:color="auto"/>
                                                                                <w:bottom w:val="none" w:sz="0" w:space="0" w:color="auto"/>
                                                                                <w:right w:val="none" w:sz="0" w:space="0" w:color="auto"/>
                                                                              </w:divBdr>
                                                                              <w:divsChild>
                                                                                <w:div w:id="955260285">
                                                                                  <w:marLeft w:val="0"/>
                                                                                  <w:marRight w:val="0"/>
                                                                                  <w:marTop w:val="0"/>
                                                                                  <w:marBottom w:val="0"/>
                                                                                  <w:divBdr>
                                                                                    <w:top w:val="none" w:sz="0" w:space="0" w:color="auto"/>
                                                                                    <w:left w:val="none" w:sz="0" w:space="0" w:color="auto"/>
                                                                                    <w:bottom w:val="none" w:sz="0" w:space="0" w:color="auto"/>
                                                                                    <w:right w:val="none" w:sz="0" w:space="0" w:color="auto"/>
                                                                                  </w:divBdr>
                                                                                  <w:divsChild>
                                                                                    <w:div w:id="1724132467">
                                                                                      <w:marLeft w:val="0"/>
                                                                                      <w:marRight w:val="0"/>
                                                                                      <w:marTop w:val="0"/>
                                                                                      <w:marBottom w:val="60"/>
                                                                                      <w:divBdr>
                                                                                        <w:top w:val="none" w:sz="0" w:space="0" w:color="auto"/>
                                                                                        <w:left w:val="none" w:sz="0" w:space="0" w:color="auto"/>
                                                                                        <w:bottom w:val="none" w:sz="0" w:space="0" w:color="auto"/>
                                                                                        <w:right w:val="none" w:sz="0" w:space="0" w:color="auto"/>
                                                                                      </w:divBdr>
                                                                                    </w:div>
                                                                                    <w:div w:id="1228875728">
                                                                                      <w:marLeft w:val="0"/>
                                                                                      <w:marRight w:val="0"/>
                                                                                      <w:marTop w:val="0"/>
                                                                                      <w:marBottom w:val="60"/>
                                                                                      <w:divBdr>
                                                                                        <w:top w:val="none" w:sz="0" w:space="0" w:color="auto"/>
                                                                                        <w:left w:val="none" w:sz="0" w:space="0" w:color="auto"/>
                                                                                        <w:bottom w:val="none" w:sz="0" w:space="0" w:color="auto"/>
                                                                                        <w:right w:val="none" w:sz="0" w:space="0" w:color="auto"/>
                                                                                      </w:divBdr>
                                                                                    </w:div>
                                                                                    <w:div w:id="2034914687">
                                                                                      <w:marLeft w:val="0"/>
                                                                                      <w:marRight w:val="0"/>
                                                                                      <w:marTop w:val="0"/>
                                                                                      <w:marBottom w:val="60"/>
                                                                                      <w:divBdr>
                                                                                        <w:top w:val="none" w:sz="0" w:space="0" w:color="auto"/>
                                                                                        <w:left w:val="none" w:sz="0" w:space="0" w:color="auto"/>
                                                                                        <w:bottom w:val="none" w:sz="0" w:space="0" w:color="auto"/>
                                                                                        <w:right w:val="none" w:sz="0" w:space="0" w:color="auto"/>
                                                                                      </w:divBdr>
                                                                                    </w:div>
                                                                                    <w:div w:id="351541927">
                                                                                      <w:marLeft w:val="0"/>
                                                                                      <w:marRight w:val="0"/>
                                                                                      <w:marTop w:val="0"/>
                                                                                      <w:marBottom w:val="60"/>
                                                                                      <w:divBdr>
                                                                                        <w:top w:val="none" w:sz="0" w:space="0" w:color="auto"/>
                                                                                        <w:left w:val="none" w:sz="0" w:space="0" w:color="auto"/>
                                                                                        <w:bottom w:val="none" w:sz="0" w:space="0" w:color="auto"/>
                                                                                        <w:right w:val="none" w:sz="0" w:space="0" w:color="auto"/>
                                                                                      </w:divBdr>
                                                                                    </w:div>
                                                                                    <w:div w:id="143008034">
                                                                                      <w:marLeft w:val="0"/>
                                                                                      <w:marRight w:val="0"/>
                                                                                      <w:marTop w:val="0"/>
                                                                                      <w:marBottom w:val="60"/>
                                                                                      <w:divBdr>
                                                                                        <w:top w:val="none" w:sz="0" w:space="0" w:color="auto"/>
                                                                                        <w:left w:val="none" w:sz="0" w:space="0" w:color="auto"/>
                                                                                        <w:bottom w:val="none" w:sz="0" w:space="0" w:color="auto"/>
                                                                                        <w:right w:val="none" w:sz="0" w:space="0" w:color="auto"/>
                                                                                      </w:divBdr>
                                                                                    </w:div>
                                                                                    <w:div w:id="581917219">
                                                                                      <w:marLeft w:val="0"/>
                                                                                      <w:marRight w:val="0"/>
                                                                                      <w:marTop w:val="0"/>
                                                                                      <w:marBottom w:val="60"/>
                                                                                      <w:divBdr>
                                                                                        <w:top w:val="none" w:sz="0" w:space="0" w:color="auto"/>
                                                                                        <w:left w:val="none" w:sz="0" w:space="0" w:color="auto"/>
                                                                                        <w:bottom w:val="none" w:sz="0" w:space="0" w:color="auto"/>
                                                                                        <w:right w:val="none" w:sz="0" w:space="0" w:color="auto"/>
                                                                                      </w:divBdr>
                                                                                    </w:div>
                                                                                    <w:div w:id="10141393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7016468">
      <w:bodyDiv w:val="1"/>
      <w:marLeft w:val="0"/>
      <w:marRight w:val="0"/>
      <w:marTop w:val="0"/>
      <w:marBottom w:val="0"/>
      <w:divBdr>
        <w:top w:val="none" w:sz="0" w:space="0" w:color="auto"/>
        <w:left w:val="none" w:sz="0" w:space="0" w:color="auto"/>
        <w:bottom w:val="none" w:sz="0" w:space="0" w:color="auto"/>
        <w:right w:val="none" w:sz="0" w:space="0" w:color="auto"/>
      </w:divBdr>
    </w:div>
    <w:div w:id="1646426927">
      <w:bodyDiv w:val="1"/>
      <w:marLeft w:val="0"/>
      <w:marRight w:val="0"/>
      <w:marTop w:val="0"/>
      <w:marBottom w:val="0"/>
      <w:divBdr>
        <w:top w:val="none" w:sz="0" w:space="0" w:color="auto"/>
        <w:left w:val="none" w:sz="0" w:space="0" w:color="auto"/>
        <w:bottom w:val="none" w:sz="0" w:space="0" w:color="auto"/>
        <w:right w:val="none" w:sz="0" w:space="0" w:color="auto"/>
      </w:divBdr>
    </w:div>
    <w:div w:id="1756894766">
      <w:bodyDiv w:val="1"/>
      <w:marLeft w:val="0"/>
      <w:marRight w:val="0"/>
      <w:marTop w:val="0"/>
      <w:marBottom w:val="0"/>
      <w:divBdr>
        <w:top w:val="none" w:sz="0" w:space="0" w:color="auto"/>
        <w:left w:val="none" w:sz="0" w:space="0" w:color="auto"/>
        <w:bottom w:val="none" w:sz="0" w:space="0" w:color="auto"/>
        <w:right w:val="none" w:sz="0" w:space="0" w:color="auto"/>
      </w:divBdr>
    </w:div>
    <w:div w:id="1951887693">
      <w:bodyDiv w:val="1"/>
      <w:marLeft w:val="0"/>
      <w:marRight w:val="0"/>
      <w:marTop w:val="0"/>
      <w:marBottom w:val="0"/>
      <w:divBdr>
        <w:top w:val="none" w:sz="0" w:space="0" w:color="auto"/>
        <w:left w:val="none" w:sz="0" w:space="0" w:color="auto"/>
        <w:bottom w:val="none" w:sz="0" w:space="0" w:color="auto"/>
        <w:right w:val="none" w:sz="0" w:space="0" w:color="auto"/>
      </w:divBdr>
    </w:div>
    <w:div w:id="1972393439">
      <w:bodyDiv w:val="1"/>
      <w:marLeft w:val="0"/>
      <w:marRight w:val="0"/>
      <w:marTop w:val="0"/>
      <w:marBottom w:val="0"/>
      <w:divBdr>
        <w:top w:val="none" w:sz="0" w:space="0" w:color="auto"/>
        <w:left w:val="none" w:sz="0" w:space="0" w:color="auto"/>
        <w:bottom w:val="none" w:sz="0" w:space="0" w:color="auto"/>
        <w:right w:val="none" w:sz="0" w:space="0" w:color="auto"/>
      </w:divBdr>
    </w:div>
    <w:div w:id="2000378097">
      <w:bodyDiv w:val="1"/>
      <w:marLeft w:val="45"/>
      <w:marRight w:val="45"/>
      <w:marTop w:val="90"/>
      <w:marBottom w:val="90"/>
      <w:divBdr>
        <w:top w:val="none" w:sz="0" w:space="0" w:color="auto"/>
        <w:left w:val="none" w:sz="0" w:space="0" w:color="auto"/>
        <w:bottom w:val="none" w:sz="0" w:space="0" w:color="auto"/>
        <w:right w:val="none" w:sz="0" w:space="0" w:color="auto"/>
      </w:divBdr>
      <w:divsChild>
        <w:div w:id="602416422">
          <w:marLeft w:val="0"/>
          <w:marRight w:val="0"/>
          <w:marTop w:val="480"/>
          <w:marBottom w:val="240"/>
          <w:divBdr>
            <w:top w:val="none" w:sz="0" w:space="0" w:color="auto"/>
            <w:left w:val="none" w:sz="0" w:space="0" w:color="auto"/>
            <w:bottom w:val="none" w:sz="0" w:space="0" w:color="auto"/>
            <w:right w:val="none" w:sz="0" w:space="0" w:color="auto"/>
          </w:divBdr>
        </w:div>
        <w:div w:id="1099377800">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ur-lex.europa.eu/LexUriServ/LexUriServ.do?uri=CELEX:32004R0854:LV: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1752</Words>
  <Characters>12341</Characters>
  <Application>Microsoft Office Word</Application>
  <DocSecurity>0</DocSecurity>
  <Lines>457</Lines>
  <Paragraphs>163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Grozījumi MK 28.12.2010. noteikumos Nr.1231 "Noteikumi par PVD veikto valsts uzraudzības un kontroles darbību un sniegto maksas pakalpojumu samaksu"</vt:lpstr>
    </vt:vector>
  </TitlesOfParts>
  <Company>Zemkopības ministrija</Company>
  <LinksUpToDate>false</LinksUpToDate>
  <CharactersWithSpaces>13930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MK noteikumu projekta anotācija</dc:subject>
  <dc:creator>Olita Vecuma-Veco</dc:creator>
  <dc:description>___________.___________@zm.gov.lv
tālr. ________________</dc:description>
  <cp:lastModifiedBy>ZM Lietvedibas nodala</cp:lastModifiedBy>
  <cp:revision>3</cp:revision>
  <cp:lastPrinted>2010-10-15T13:18:00Z</cp:lastPrinted>
  <dcterms:created xsi:type="dcterms:W3CDTF">2014-09-01T08:39:00Z</dcterms:created>
  <dcterms:modified xsi:type="dcterms:W3CDTF">2014-09-01T09:07:00Z</dcterms:modified>
</cp:coreProperties>
</file>