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572C4" w14:textId="23B0C735" w:rsidR="00683260" w:rsidRPr="00EA2C5D" w:rsidRDefault="00683260" w:rsidP="00683260">
      <w:pPr>
        <w:jc w:val="center"/>
        <w:rPr>
          <w:b/>
          <w:bCs/>
          <w:sz w:val="28"/>
          <w:szCs w:val="28"/>
          <w:lang w:val="lv-LV" w:eastAsia="lv-LV"/>
        </w:rPr>
      </w:pPr>
      <w:bookmarkStart w:id="0" w:name="OLE_LINK7"/>
      <w:bookmarkStart w:id="1" w:name="OLE_LINK8"/>
      <w:r w:rsidRPr="00EA2C5D">
        <w:rPr>
          <w:b/>
          <w:sz w:val="28"/>
          <w:szCs w:val="28"/>
          <w:lang w:val="lv-LV" w:eastAsia="lv-LV"/>
        </w:rPr>
        <w:t xml:space="preserve">Ministru kabineta </w:t>
      </w:r>
      <w:r w:rsidR="002153BF" w:rsidRPr="00EA2C5D">
        <w:rPr>
          <w:b/>
          <w:sz w:val="28"/>
          <w:szCs w:val="28"/>
          <w:lang w:val="lv-LV" w:eastAsia="lv-LV"/>
        </w:rPr>
        <w:t>noteikumu</w:t>
      </w:r>
      <w:r w:rsidRPr="00EA2C5D">
        <w:rPr>
          <w:b/>
          <w:sz w:val="28"/>
          <w:szCs w:val="28"/>
          <w:lang w:val="lv-LV" w:eastAsia="lv-LV"/>
        </w:rPr>
        <w:t xml:space="preserve"> projekta </w:t>
      </w:r>
      <w:r w:rsidRPr="00EA2C5D">
        <w:rPr>
          <w:b/>
          <w:bCs/>
          <w:sz w:val="28"/>
          <w:szCs w:val="28"/>
          <w:lang w:val="lv-LV" w:eastAsia="lv-LV"/>
        </w:rPr>
        <w:t>„Grozījum</w:t>
      </w:r>
      <w:r w:rsidR="00922BE6">
        <w:rPr>
          <w:b/>
          <w:bCs/>
          <w:sz w:val="28"/>
          <w:szCs w:val="28"/>
          <w:lang w:val="lv-LV" w:eastAsia="lv-LV"/>
        </w:rPr>
        <w:t>i</w:t>
      </w:r>
      <w:r w:rsidRPr="00EA2C5D">
        <w:rPr>
          <w:b/>
          <w:bCs/>
          <w:sz w:val="28"/>
          <w:szCs w:val="28"/>
          <w:lang w:val="lv-LV" w:eastAsia="lv-LV"/>
        </w:rPr>
        <w:t xml:space="preserve"> Ministru kabineta </w:t>
      </w:r>
      <w:proofErr w:type="gramStart"/>
      <w:r w:rsidRPr="00EA2C5D">
        <w:rPr>
          <w:b/>
          <w:bCs/>
          <w:sz w:val="28"/>
          <w:szCs w:val="28"/>
          <w:lang w:val="lv-LV" w:eastAsia="lv-LV"/>
        </w:rPr>
        <w:t>201</w:t>
      </w:r>
      <w:r w:rsidR="002153BF" w:rsidRPr="00EA2C5D">
        <w:rPr>
          <w:b/>
          <w:bCs/>
          <w:sz w:val="28"/>
          <w:szCs w:val="28"/>
          <w:lang w:val="lv-LV" w:eastAsia="lv-LV"/>
        </w:rPr>
        <w:t>1</w:t>
      </w:r>
      <w:r w:rsidRPr="00EA2C5D">
        <w:rPr>
          <w:b/>
          <w:bCs/>
          <w:sz w:val="28"/>
          <w:szCs w:val="28"/>
          <w:lang w:val="lv-LV" w:eastAsia="lv-LV"/>
        </w:rPr>
        <w:t>.gada</w:t>
      </w:r>
      <w:proofErr w:type="gramEnd"/>
      <w:r w:rsidRPr="00EA2C5D">
        <w:rPr>
          <w:b/>
          <w:bCs/>
          <w:sz w:val="28"/>
          <w:szCs w:val="28"/>
          <w:lang w:val="lv-LV" w:eastAsia="lv-LV"/>
        </w:rPr>
        <w:t xml:space="preserve"> </w:t>
      </w:r>
      <w:r w:rsidR="002153BF" w:rsidRPr="00EA2C5D">
        <w:rPr>
          <w:b/>
          <w:bCs/>
          <w:sz w:val="28"/>
          <w:szCs w:val="28"/>
          <w:lang w:val="lv-LV" w:eastAsia="lv-LV"/>
        </w:rPr>
        <w:t>1</w:t>
      </w:r>
      <w:r w:rsidRPr="00EA2C5D">
        <w:rPr>
          <w:b/>
          <w:bCs/>
          <w:sz w:val="28"/>
          <w:szCs w:val="28"/>
          <w:lang w:val="lv-LV" w:eastAsia="lv-LV"/>
        </w:rPr>
        <w:t>.</w:t>
      </w:r>
      <w:r w:rsidR="002153BF" w:rsidRPr="00EA2C5D">
        <w:rPr>
          <w:b/>
          <w:bCs/>
          <w:sz w:val="28"/>
          <w:szCs w:val="28"/>
          <w:lang w:val="lv-LV" w:eastAsia="lv-LV"/>
        </w:rPr>
        <w:t>februāra noteikumos</w:t>
      </w:r>
      <w:r w:rsidRPr="00EA2C5D">
        <w:rPr>
          <w:b/>
          <w:bCs/>
          <w:sz w:val="28"/>
          <w:szCs w:val="28"/>
          <w:lang w:val="lv-LV" w:eastAsia="lv-LV"/>
        </w:rPr>
        <w:t xml:space="preserve"> Nr.</w:t>
      </w:r>
      <w:r w:rsidR="002153BF" w:rsidRPr="00EA2C5D">
        <w:rPr>
          <w:b/>
          <w:bCs/>
          <w:sz w:val="28"/>
          <w:szCs w:val="28"/>
          <w:lang w:val="lv-LV" w:eastAsia="lv-LV"/>
        </w:rPr>
        <w:t>106</w:t>
      </w:r>
      <w:r w:rsidRPr="00EA2C5D">
        <w:rPr>
          <w:b/>
          <w:bCs/>
          <w:sz w:val="28"/>
          <w:szCs w:val="28"/>
          <w:lang w:val="lv-LV" w:eastAsia="lv-LV"/>
        </w:rPr>
        <w:t xml:space="preserve"> „</w:t>
      </w:r>
      <w:r w:rsidR="002153BF" w:rsidRPr="00EA2C5D">
        <w:rPr>
          <w:b/>
          <w:sz w:val="28"/>
          <w:szCs w:val="28"/>
          <w:lang w:val="lv-LV" w:eastAsia="lv-LV"/>
        </w:rPr>
        <w:t>Kārtība, kādā piešķir, administrē un uzrauga valsts un Eiropas Savienības atbalstu piena produktu piegādei izglītojamiem vispārējās izglītības iestādēs</w:t>
      </w:r>
      <w:r w:rsidRPr="00EA2C5D">
        <w:rPr>
          <w:b/>
          <w:bCs/>
          <w:sz w:val="28"/>
          <w:szCs w:val="28"/>
          <w:lang w:val="lv-LV" w:eastAsia="lv-LV"/>
        </w:rPr>
        <w:t>”</w:t>
      </w:r>
      <w:r w:rsidR="006F4D57">
        <w:rPr>
          <w:b/>
          <w:bCs/>
          <w:sz w:val="28"/>
          <w:szCs w:val="28"/>
          <w:lang w:val="lv-LV" w:eastAsia="lv-LV"/>
        </w:rPr>
        <w:t>”</w:t>
      </w:r>
      <w:r w:rsidRPr="00EA2C5D">
        <w:rPr>
          <w:b/>
          <w:bCs/>
          <w:sz w:val="28"/>
          <w:szCs w:val="28"/>
          <w:lang w:val="lv-LV" w:eastAsia="lv-LV"/>
        </w:rPr>
        <w:t xml:space="preserve"> sākotnējās ietekmes novērtējuma ziņojums (anotācija)</w:t>
      </w:r>
    </w:p>
    <w:p w14:paraId="71C0A9B5" w14:textId="77777777" w:rsidR="00683260" w:rsidRPr="00EA2C5D" w:rsidRDefault="00683260" w:rsidP="00683260">
      <w:pPr>
        <w:widowControl w:val="0"/>
        <w:jc w:val="center"/>
        <w:rPr>
          <w:b/>
          <w:bCs/>
          <w:lang w:val="lv-LV" w:eastAsia="lv-LV"/>
        </w:rPr>
      </w:pPr>
    </w:p>
    <w:tbl>
      <w:tblPr>
        <w:tblW w:w="4913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"/>
        <w:gridCol w:w="1811"/>
        <w:gridCol w:w="1806"/>
        <w:gridCol w:w="4708"/>
      </w:tblGrid>
      <w:tr w:rsidR="009A332E" w:rsidRPr="00EA2C5D" w14:paraId="11237FDC" w14:textId="77777777" w:rsidTr="00517BC0">
        <w:tc>
          <w:tcPr>
            <w:tcW w:w="5000" w:type="pct"/>
            <w:gridSpan w:val="4"/>
            <w:vAlign w:val="center"/>
          </w:tcPr>
          <w:p w14:paraId="073B8329" w14:textId="77777777" w:rsidR="00683260" w:rsidRPr="00EA2C5D" w:rsidRDefault="00683260" w:rsidP="007C39A4">
            <w:pPr>
              <w:pStyle w:val="naisf"/>
              <w:jc w:val="center"/>
              <w:rPr>
                <w:b/>
                <w:bCs/>
                <w:lang w:val="lv-LV"/>
              </w:rPr>
            </w:pPr>
            <w:r w:rsidRPr="00EA2C5D">
              <w:rPr>
                <w:b/>
                <w:bCs/>
                <w:lang w:val="lv-LV"/>
              </w:rPr>
              <w:t>I. Tiesību akta projekta izstrādes nepieciešamība</w:t>
            </w:r>
          </w:p>
        </w:tc>
      </w:tr>
      <w:tr w:rsidR="004E6A12" w:rsidRPr="005C3B1F" w14:paraId="15AA8970" w14:textId="77777777" w:rsidTr="00517BC0">
        <w:tc>
          <w:tcPr>
            <w:tcW w:w="325" w:type="pct"/>
          </w:tcPr>
          <w:p w14:paraId="19ECC4BC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1.</w:t>
            </w:r>
          </w:p>
        </w:tc>
        <w:tc>
          <w:tcPr>
            <w:tcW w:w="2031" w:type="pct"/>
            <w:gridSpan w:val="2"/>
          </w:tcPr>
          <w:p w14:paraId="2B442169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Pamatojums</w:t>
            </w:r>
          </w:p>
        </w:tc>
        <w:tc>
          <w:tcPr>
            <w:tcW w:w="2644" w:type="pct"/>
          </w:tcPr>
          <w:p w14:paraId="6FC28D10" w14:textId="6AE13C61" w:rsidR="00683260" w:rsidRPr="00EA2C5D" w:rsidRDefault="00406F79" w:rsidP="00DD010C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 xml:space="preserve">Lauksaimniecības un lauku attīstības likuma </w:t>
            </w:r>
            <w:proofErr w:type="gramStart"/>
            <w:r w:rsidRPr="00EA2C5D">
              <w:rPr>
                <w:lang w:val="lv-LV"/>
              </w:rPr>
              <w:t>5.panta</w:t>
            </w:r>
            <w:proofErr w:type="gramEnd"/>
            <w:r w:rsidRPr="00EA2C5D">
              <w:rPr>
                <w:lang w:val="lv-LV"/>
              </w:rPr>
              <w:t xml:space="preserve"> ceturt</w:t>
            </w:r>
            <w:r w:rsidR="00DD010C">
              <w:rPr>
                <w:lang w:val="lv-LV"/>
              </w:rPr>
              <w:t>ā</w:t>
            </w:r>
            <w:r w:rsidRPr="00EA2C5D">
              <w:rPr>
                <w:lang w:val="lv-LV"/>
              </w:rPr>
              <w:t xml:space="preserve"> un septīt</w:t>
            </w:r>
            <w:r w:rsidR="00DD010C">
              <w:rPr>
                <w:lang w:val="lv-LV"/>
              </w:rPr>
              <w:t>ā</w:t>
            </w:r>
            <w:r w:rsidRPr="00EA2C5D">
              <w:rPr>
                <w:lang w:val="lv-LV"/>
              </w:rPr>
              <w:t xml:space="preserve"> daļ</w:t>
            </w:r>
            <w:r w:rsidR="00DD010C">
              <w:rPr>
                <w:lang w:val="lv-LV"/>
              </w:rPr>
              <w:t>a</w:t>
            </w:r>
          </w:p>
        </w:tc>
      </w:tr>
      <w:tr w:rsidR="004E6A12" w:rsidRPr="005C3B1F" w14:paraId="4BC8BA21" w14:textId="77777777" w:rsidTr="00517BC0">
        <w:tc>
          <w:tcPr>
            <w:tcW w:w="325" w:type="pct"/>
          </w:tcPr>
          <w:p w14:paraId="4A675372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2.</w:t>
            </w:r>
          </w:p>
        </w:tc>
        <w:tc>
          <w:tcPr>
            <w:tcW w:w="2031" w:type="pct"/>
            <w:gridSpan w:val="2"/>
          </w:tcPr>
          <w:p w14:paraId="78F91A5F" w14:textId="2081192D" w:rsidR="00594ED5" w:rsidRDefault="00683260" w:rsidP="00736A8F">
            <w:pPr>
              <w:pStyle w:val="naisf"/>
              <w:rPr>
                <w:lang w:val="lv-LV"/>
              </w:rPr>
            </w:pPr>
            <w:r w:rsidRPr="00443949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14:paraId="5C5D69B3" w14:textId="77777777" w:rsidR="00594ED5" w:rsidRPr="00594ED5" w:rsidRDefault="00594ED5" w:rsidP="00594ED5">
            <w:pPr>
              <w:rPr>
                <w:lang w:val="lv-LV"/>
              </w:rPr>
            </w:pPr>
          </w:p>
          <w:p w14:paraId="324BFD2C" w14:textId="77777777" w:rsidR="00594ED5" w:rsidRPr="00594ED5" w:rsidRDefault="00594ED5" w:rsidP="00594ED5">
            <w:pPr>
              <w:rPr>
                <w:lang w:val="lv-LV"/>
              </w:rPr>
            </w:pPr>
          </w:p>
          <w:p w14:paraId="2A6D30C1" w14:textId="77777777" w:rsidR="00594ED5" w:rsidRPr="00594ED5" w:rsidRDefault="00594ED5" w:rsidP="00594ED5">
            <w:pPr>
              <w:rPr>
                <w:lang w:val="lv-LV"/>
              </w:rPr>
            </w:pPr>
          </w:p>
          <w:p w14:paraId="663460ED" w14:textId="77777777" w:rsidR="00594ED5" w:rsidRPr="00594ED5" w:rsidRDefault="00594ED5" w:rsidP="00594ED5">
            <w:pPr>
              <w:rPr>
                <w:lang w:val="lv-LV"/>
              </w:rPr>
            </w:pPr>
          </w:p>
          <w:p w14:paraId="36F12AEF" w14:textId="77777777" w:rsidR="00594ED5" w:rsidRPr="00594ED5" w:rsidRDefault="00594ED5" w:rsidP="00594ED5">
            <w:pPr>
              <w:rPr>
                <w:lang w:val="lv-LV"/>
              </w:rPr>
            </w:pPr>
          </w:p>
          <w:p w14:paraId="386F5553" w14:textId="77777777" w:rsidR="00594ED5" w:rsidRPr="00594ED5" w:rsidRDefault="00594ED5" w:rsidP="00594ED5">
            <w:pPr>
              <w:rPr>
                <w:lang w:val="lv-LV"/>
              </w:rPr>
            </w:pPr>
          </w:p>
          <w:p w14:paraId="1F0A3377" w14:textId="77777777" w:rsidR="00594ED5" w:rsidRPr="00594ED5" w:rsidRDefault="00594ED5" w:rsidP="00594ED5">
            <w:pPr>
              <w:rPr>
                <w:lang w:val="lv-LV"/>
              </w:rPr>
            </w:pPr>
          </w:p>
          <w:p w14:paraId="7625EA3A" w14:textId="77777777" w:rsidR="00594ED5" w:rsidRPr="00594ED5" w:rsidRDefault="00594ED5" w:rsidP="00594ED5">
            <w:pPr>
              <w:rPr>
                <w:lang w:val="lv-LV"/>
              </w:rPr>
            </w:pPr>
          </w:p>
          <w:p w14:paraId="7FBFED74" w14:textId="77777777" w:rsidR="00594ED5" w:rsidRPr="00594ED5" w:rsidRDefault="00594ED5" w:rsidP="00594ED5">
            <w:pPr>
              <w:rPr>
                <w:lang w:val="lv-LV"/>
              </w:rPr>
            </w:pPr>
          </w:p>
          <w:p w14:paraId="47827182" w14:textId="77777777" w:rsidR="00594ED5" w:rsidRPr="00594ED5" w:rsidRDefault="00594ED5" w:rsidP="00594ED5">
            <w:pPr>
              <w:rPr>
                <w:lang w:val="lv-LV"/>
              </w:rPr>
            </w:pPr>
          </w:p>
          <w:p w14:paraId="074F0045" w14:textId="77777777" w:rsidR="00594ED5" w:rsidRPr="00594ED5" w:rsidRDefault="00594ED5" w:rsidP="00594ED5">
            <w:pPr>
              <w:rPr>
                <w:lang w:val="lv-LV"/>
              </w:rPr>
            </w:pPr>
          </w:p>
          <w:p w14:paraId="6C205DE4" w14:textId="77777777" w:rsidR="00594ED5" w:rsidRPr="00594ED5" w:rsidRDefault="00594ED5" w:rsidP="00594ED5">
            <w:pPr>
              <w:rPr>
                <w:lang w:val="lv-LV"/>
              </w:rPr>
            </w:pPr>
          </w:p>
          <w:p w14:paraId="28DE2611" w14:textId="77777777" w:rsidR="00594ED5" w:rsidRPr="00594ED5" w:rsidRDefault="00594ED5" w:rsidP="00594ED5">
            <w:pPr>
              <w:rPr>
                <w:lang w:val="lv-LV"/>
              </w:rPr>
            </w:pPr>
          </w:p>
          <w:p w14:paraId="13AF8D92" w14:textId="30BEF588" w:rsidR="00683260" w:rsidRPr="00594ED5" w:rsidRDefault="00683260" w:rsidP="00594ED5">
            <w:pPr>
              <w:rPr>
                <w:lang w:val="lv-LV"/>
              </w:rPr>
            </w:pPr>
          </w:p>
        </w:tc>
        <w:tc>
          <w:tcPr>
            <w:tcW w:w="2644" w:type="pct"/>
          </w:tcPr>
          <w:p w14:paraId="3C4A12AD" w14:textId="28F4E72D" w:rsidR="00016F1C" w:rsidRDefault="00497DA6" w:rsidP="004E6A12">
            <w:pPr>
              <w:ind w:left="49" w:right="142"/>
              <w:jc w:val="both"/>
              <w:rPr>
                <w:rFonts w:eastAsia="Arial Unicode MS"/>
                <w:lang w:val="lv-LV"/>
              </w:rPr>
            </w:pPr>
            <w:r>
              <w:rPr>
                <w:rFonts w:eastAsia="Arial Unicode MS"/>
                <w:lang w:val="lv-LV"/>
              </w:rPr>
              <w:t>Tiesiskā regulējuma mērķis ir noteikt papildu prasības produktiem, kas tiek izplatīti pirmskolas un skolas vecuma bērniem izglītības iestādēs</w:t>
            </w:r>
            <w:r w:rsidR="006F4D57">
              <w:rPr>
                <w:rFonts w:eastAsia="Arial Unicode MS"/>
                <w:lang w:val="lv-LV"/>
              </w:rPr>
              <w:t>, īstenojot</w:t>
            </w:r>
            <w:r>
              <w:rPr>
                <w:rFonts w:eastAsia="Arial Unicode MS"/>
                <w:lang w:val="lv-LV"/>
              </w:rPr>
              <w:t xml:space="preserve"> t.s. Skolas piena programm</w:t>
            </w:r>
            <w:r w:rsidR="006F4D57">
              <w:rPr>
                <w:rFonts w:eastAsia="Arial Unicode MS"/>
                <w:lang w:val="lv-LV"/>
              </w:rPr>
              <w:t>u</w:t>
            </w:r>
            <w:r>
              <w:rPr>
                <w:rFonts w:eastAsia="Arial Unicode MS"/>
                <w:lang w:val="lv-LV"/>
              </w:rPr>
              <w:t xml:space="preserve">, </w:t>
            </w:r>
            <w:r w:rsidR="00016F1C">
              <w:rPr>
                <w:rFonts w:eastAsia="Arial Unicode MS"/>
                <w:lang w:val="lv-LV"/>
              </w:rPr>
              <w:t xml:space="preserve">lai turpmāk </w:t>
            </w:r>
            <w:r>
              <w:rPr>
                <w:rFonts w:eastAsia="Arial Unicode MS"/>
                <w:lang w:val="lv-LV"/>
              </w:rPr>
              <w:t>nodrošin</w:t>
            </w:r>
            <w:r w:rsidR="00016F1C">
              <w:rPr>
                <w:rFonts w:eastAsia="Arial Unicode MS"/>
                <w:lang w:val="lv-LV"/>
              </w:rPr>
              <w:t>ātu</w:t>
            </w:r>
            <w:r>
              <w:rPr>
                <w:rFonts w:eastAsia="Arial Unicode MS"/>
                <w:lang w:val="lv-LV"/>
              </w:rPr>
              <w:t xml:space="preserve"> gan vides aizsardzīb</w:t>
            </w:r>
            <w:r w:rsidR="006F4D57">
              <w:rPr>
                <w:rFonts w:eastAsia="Arial Unicode MS"/>
                <w:lang w:val="lv-LV"/>
              </w:rPr>
              <w:t>u</w:t>
            </w:r>
            <w:r>
              <w:rPr>
                <w:rFonts w:eastAsia="Arial Unicode MS"/>
                <w:lang w:val="lv-LV"/>
              </w:rPr>
              <w:t>, gan produktu augst</w:t>
            </w:r>
            <w:r w:rsidR="006F4D57">
              <w:rPr>
                <w:rFonts w:eastAsia="Arial Unicode MS"/>
                <w:lang w:val="lv-LV"/>
              </w:rPr>
              <w:t>u</w:t>
            </w:r>
            <w:r>
              <w:rPr>
                <w:rFonts w:eastAsia="Arial Unicode MS"/>
                <w:lang w:val="lv-LV"/>
              </w:rPr>
              <w:t xml:space="preserve"> kvalitāt</w:t>
            </w:r>
            <w:r w:rsidR="006F4D57">
              <w:rPr>
                <w:rFonts w:eastAsia="Arial Unicode MS"/>
                <w:lang w:val="lv-LV"/>
              </w:rPr>
              <w:t>i</w:t>
            </w:r>
            <w:r>
              <w:rPr>
                <w:rFonts w:eastAsia="Arial Unicode MS"/>
                <w:lang w:val="lv-LV"/>
              </w:rPr>
              <w:t xml:space="preserve"> Skolas piena programmā. </w:t>
            </w:r>
          </w:p>
          <w:p w14:paraId="727A3276" w14:textId="22F86B4F" w:rsidR="00497DA6" w:rsidRDefault="003E2DCB" w:rsidP="004E6A12">
            <w:pPr>
              <w:ind w:left="49" w:right="142"/>
              <w:jc w:val="both"/>
              <w:rPr>
                <w:rFonts w:eastAsia="Arial Unicode MS"/>
                <w:lang w:val="lv-LV"/>
              </w:rPr>
            </w:pPr>
            <w:r>
              <w:rPr>
                <w:rFonts w:eastAsia="Arial Unicode MS"/>
                <w:lang w:val="lv-LV"/>
              </w:rPr>
              <w:t>Tomēr š</w:t>
            </w:r>
            <w:r w:rsidR="00497DA6">
              <w:rPr>
                <w:rFonts w:eastAsia="Arial Unicode MS"/>
                <w:lang w:val="lv-LV"/>
              </w:rPr>
              <w:t>ādas papildu prasības tiks piemērotas tikai tiem produktiem, par kuru piegādi iespējams saņemt valsts līdzfinansējumu, sedzot produkta piegādes cenu</w:t>
            </w:r>
            <w:r w:rsidR="00FE7B78">
              <w:rPr>
                <w:rFonts w:eastAsia="Arial Unicode MS"/>
                <w:lang w:val="lv-LV"/>
              </w:rPr>
              <w:t xml:space="preserve"> un ļaujot produktu </w:t>
            </w:r>
            <w:r w:rsidR="00497DA6">
              <w:rPr>
                <w:rFonts w:eastAsia="Arial Unicode MS"/>
                <w:lang w:val="lv-LV"/>
              </w:rPr>
              <w:t xml:space="preserve">izglītojamiem </w:t>
            </w:r>
            <w:r w:rsidR="00016F1C">
              <w:rPr>
                <w:rFonts w:eastAsia="Arial Unicode MS"/>
                <w:lang w:val="lv-LV"/>
              </w:rPr>
              <w:t xml:space="preserve">saņemt </w:t>
            </w:r>
            <w:r w:rsidR="00497DA6">
              <w:rPr>
                <w:rFonts w:eastAsia="Arial Unicode MS"/>
                <w:lang w:val="lv-LV"/>
              </w:rPr>
              <w:t xml:space="preserve">bez maksas. </w:t>
            </w:r>
          </w:p>
          <w:p w14:paraId="4774C2F8" w14:textId="6A40E917" w:rsidR="004E6A12" w:rsidRPr="00EA2C5D" w:rsidRDefault="00497DA6" w:rsidP="004E6A12">
            <w:pPr>
              <w:ind w:left="49" w:right="142"/>
              <w:jc w:val="both"/>
              <w:rPr>
                <w:lang w:val="lv-LV"/>
              </w:rPr>
            </w:pPr>
            <w:r>
              <w:rPr>
                <w:rFonts w:eastAsia="Arial Unicode MS"/>
                <w:lang w:val="lv-LV"/>
              </w:rPr>
              <w:t>Latvijā Skolas piena programm</w:t>
            </w:r>
            <w:r w:rsidR="006F4D57">
              <w:rPr>
                <w:rFonts w:eastAsia="Arial Unicode MS"/>
                <w:lang w:val="lv-LV"/>
              </w:rPr>
              <w:t>a ir</w:t>
            </w:r>
            <w:r>
              <w:rPr>
                <w:rFonts w:eastAsia="Arial Unicode MS"/>
                <w:lang w:val="lv-LV"/>
              </w:rPr>
              <w:t xml:space="preserve"> ievie</w:t>
            </w:r>
            <w:r w:rsidR="006F4D57">
              <w:rPr>
                <w:rFonts w:eastAsia="Arial Unicode MS"/>
                <w:lang w:val="lv-LV"/>
              </w:rPr>
              <w:t>sta</w:t>
            </w:r>
            <w:r>
              <w:rPr>
                <w:rFonts w:eastAsia="Arial Unicode MS"/>
                <w:lang w:val="lv-LV"/>
              </w:rPr>
              <w:t xml:space="preserve"> </w:t>
            </w:r>
            <w:r w:rsidR="006F4D57">
              <w:rPr>
                <w:rFonts w:eastAsia="Arial Unicode MS"/>
                <w:lang w:val="lv-LV"/>
              </w:rPr>
              <w:t xml:space="preserve">ar </w:t>
            </w:r>
            <w:r w:rsidR="004E6A12" w:rsidRPr="00EA2C5D">
              <w:rPr>
                <w:rFonts w:eastAsia="Arial Unicode MS"/>
                <w:lang w:val="lv-LV"/>
              </w:rPr>
              <w:t xml:space="preserve">Ministru kabineta </w:t>
            </w:r>
            <w:proofErr w:type="gramStart"/>
            <w:r w:rsidR="004E6A12" w:rsidRPr="00EA2C5D">
              <w:rPr>
                <w:rFonts w:eastAsia="Arial Unicode MS"/>
                <w:lang w:val="lv-LV"/>
              </w:rPr>
              <w:t>2011.gada</w:t>
            </w:r>
            <w:proofErr w:type="gramEnd"/>
            <w:r w:rsidR="004E6A12" w:rsidRPr="00EA2C5D">
              <w:rPr>
                <w:rFonts w:eastAsia="Arial Unicode MS"/>
                <w:lang w:val="lv-LV"/>
              </w:rPr>
              <w:t xml:space="preserve"> 1.februāra noteikum</w:t>
            </w:r>
            <w:r>
              <w:rPr>
                <w:rFonts w:eastAsia="Arial Unicode MS"/>
                <w:lang w:val="lv-LV"/>
              </w:rPr>
              <w:t>i</w:t>
            </w:r>
            <w:r w:rsidR="006F4D57">
              <w:rPr>
                <w:rFonts w:eastAsia="Arial Unicode MS"/>
                <w:lang w:val="lv-LV"/>
              </w:rPr>
              <w:t>em</w:t>
            </w:r>
            <w:r w:rsidR="004E6A12" w:rsidRPr="00EA2C5D">
              <w:rPr>
                <w:rFonts w:eastAsia="Arial Unicode MS"/>
                <w:lang w:val="lv-LV"/>
              </w:rPr>
              <w:t xml:space="preserve"> Nr.106 „Kārtība, kādā piešķir, administrē un uzrauga valsts un Eiropas Savienības atbalstu piena produktu piegādei izglītojamiem vispārējās izglītības iestādēs” (turpmāk – noteikumi Nr.106)</w:t>
            </w:r>
            <w:r>
              <w:rPr>
                <w:rFonts w:eastAsia="Arial Unicode MS"/>
                <w:lang w:val="lv-LV"/>
              </w:rPr>
              <w:t>, kur</w:t>
            </w:r>
            <w:r w:rsidR="006F4D57">
              <w:rPr>
                <w:rFonts w:eastAsia="Arial Unicode MS"/>
                <w:lang w:val="lv-LV"/>
              </w:rPr>
              <w:t>u</w:t>
            </w:r>
            <w:r>
              <w:rPr>
                <w:rFonts w:eastAsia="Arial Unicode MS"/>
                <w:lang w:val="lv-LV"/>
              </w:rPr>
              <w:t xml:space="preserve"> </w:t>
            </w:r>
            <w:r w:rsidR="004E6A12" w:rsidRPr="00EA2C5D">
              <w:rPr>
                <w:rFonts w:eastAsia="Arial Unicode MS"/>
                <w:lang w:val="lv-LV"/>
              </w:rPr>
              <w:t>3.p</w:t>
            </w:r>
            <w:r w:rsidR="006F4D57">
              <w:rPr>
                <w:rFonts w:eastAsia="Arial Unicode MS"/>
                <w:lang w:val="lv-LV"/>
              </w:rPr>
              <w:t>unktā</w:t>
            </w:r>
            <w:r>
              <w:rPr>
                <w:rFonts w:eastAsia="Arial Unicode MS"/>
                <w:lang w:val="lv-LV"/>
              </w:rPr>
              <w:t xml:space="preserve"> paredz</w:t>
            </w:r>
            <w:r w:rsidR="006F4D57">
              <w:rPr>
                <w:rFonts w:eastAsia="Arial Unicode MS"/>
                <w:lang w:val="lv-LV"/>
              </w:rPr>
              <w:t>ēti</w:t>
            </w:r>
            <w:r>
              <w:rPr>
                <w:rFonts w:eastAsia="Arial Unicode MS"/>
                <w:lang w:val="lv-LV"/>
              </w:rPr>
              <w:t xml:space="preserve"> nosacījum</w:t>
            </w:r>
            <w:r w:rsidR="006F4D57">
              <w:rPr>
                <w:rFonts w:eastAsia="Arial Unicode MS"/>
                <w:lang w:val="lv-LV"/>
              </w:rPr>
              <w:t>i</w:t>
            </w:r>
            <w:r>
              <w:rPr>
                <w:rFonts w:eastAsia="Arial Unicode MS"/>
                <w:lang w:val="lv-LV"/>
              </w:rPr>
              <w:t xml:space="preserve"> valsts līdzfinansējuma piešķiršanai</w:t>
            </w:r>
            <w:r w:rsidR="003E2DCB">
              <w:rPr>
                <w:rFonts w:eastAsia="Arial Unicode MS"/>
                <w:lang w:val="lv-LV"/>
              </w:rPr>
              <w:t>.</w:t>
            </w:r>
            <w:r w:rsidR="00F562EC">
              <w:rPr>
                <w:rFonts w:eastAsia="Arial Unicode MS"/>
                <w:lang w:val="lv-LV"/>
              </w:rPr>
              <w:t xml:space="preserve"> </w:t>
            </w:r>
            <w:r w:rsidR="006F4D57">
              <w:rPr>
                <w:rFonts w:eastAsia="Arial Unicode MS"/>
                <w:lang w:val="lv-LV"/>
              </w:rPr>
              <w:t xml:space="preserve">Ar </w:t>
            </w:r>
            <w:r w:rsidR="006F4D57">
              <w:rPr>
                <w:lang w:val="lv-LV"/>
              </w:rPr>
              <w:t>n</w:t>
            </w:r>
            <w:r w:rsidR="004E6A12" w:rsidRPr="00EA2C5D">
              <w:rPr>
                <w:lang w:val="lv-LV"/>
              </w:rPr>
              <w:t xml:space="preserve">oteikumi Nr.106 </w:t>
            </w:r>
            <w:r w:rsidR="006F4D57">
              <w:rPr>
                <w:lang w:val="lv-LV"/>
              </w:rPr>
              <w:t xml:space="preserve">tiek arī </w:t>
            </w:r>
            <w:r w:rsidR="004E6A12" w:rsidRPr="00EA2C5D">
              <w:rPr>
                <w:lang w:val="lv-LV"/>
              </w:rPr>
              <w:t>ievie</w:t>
            </w:r>
            <w:r w:rsidR="006F4D57">
              <w:rPr>
                <w:lang w:val="lv-LV"/>
              </w:rPr>
              <w:t>sti</w:t>
            </w:r>
            <w:r w:rsidR="004E6A12" w:rsidRPr="00EA2C5D">
              <w:rPr>
                <w:lang w:val="lv-LV"/>
              </w:rPr>
              <w:t xml:space="preserve"> šād</w:t>
            </w:r>
            <w:r w:rsidR="006F4D57">
              <w:rPr>
                <w:lang w:val="lv-LV"/>
              </w:rPr>
              <w:t>i</w:t>
            </w:r>
            <w:r w:rsidR="004E6A12" w:rsidRPr="00EA2C5D">
              <w:rPr>
                <w:lang w:val="lv-LV"/>
              </w:rPr>
              <w:t xml:space="preserve"> Eiropas Savienības (turpmāk – ES) tiesību akt</w:t>
            </w:r>
            <w:r w:rsidR="006F4D57">
              <w:rPr>
                <w:lang w:val="lv-LV"/>
              </w:rPr>
              <w:t>i</w:t>
            </w:r>
            <w:r w:rsidR="004E6A12" w:rsidRPr="00EA2C5D">
              <w:rPr>
                <w:lang w:val="lv-LV"/>
              </w:rPr>
              <w:t xml:space="preserve"> par atbalstu piena produktu piegādei izglītojamiem:</w:t>
            </w:r>
          </w:p>
          <w:p w14:paraId="65688DE4" w14:textId="573B15D5" w:rsidR="004E6A12" w:rsidRPr="00497DA6" w:rsidRDefault="004E6A12" w:rsidP="00497DA6">
            <w:pPr>
              <w:pStyle w:val="Sarakstarindkopa"/>
              <w:numPr>
                <w:ilvl w:val="0"/>
                <w:numId w:val="2"/>
              </w:numPr>
              <w:ind w:right="142"/>
              <w:jc w:val="both"/>
            </w:pPr>
            <w:r w:rsidRPr="00497DA6">
              <w:t xml:space="preserve">Eiropas Parlamenta un Padomes </w:t>
            </w:r>
            <w:proofErr w:type="gramStart"/>
            <w:r w:rsidRPr="00497DA6">
              <w:t>2013.gada</w:t>
            </w:r>
            <w:proofErr w:type="gramEnd"/>
            <w:r w:rsidRPr="00497DA6">
              <w:t xml:space="preserve"> 17.decembra Regula</w:t>
            </w:r>
            <w:r w:rsidR="006F4D57">
              <w:t>s</w:t>
            </w:r>
            <w:r w:rsidRPr="00497DA6">
              <w:t xml:space="preserve"> (ES) Nr.1308/2013, ar ko izveido lauksaimniecības produktu tirgu kopīgu organizāciju un atceļ Padomes regulas (</w:t>
            </w:r>
            <w:smartTag w:uri="schemas-tilde-lv/tildestengine" w:element="currency2">
              <w:smartTagPr>
                <w:attr w:name="currency_id" w:val="14"/>
                <w:attr w:name="currency_key" w:val="EEK"/>
                <w:attr w:name="currency_value" w:val="1"/>
                <w:attr w:name="currency_text" w:val="EEK"/>
              </w:smartTagPr>
              <w:r w:rsidRPr="00497DA6">
                <w:t>EEK</w:t>
              </w:r>
            </w:smartTag>
            <w:r w:rsidRPr="00497DA6">
              <w:t>) Nr.922/72, (</w:t>
            </w:r>
            <w:smartTag w:uri="schemas-tilde-lv/tildestengine" w:element="currency2">
              <w:smartTagPr>
                <w:attr w:name="currency_id" w:val="14"/>
                <w:attr w:name="currency_key" w:val="EEK"/>
                <w:attr w:name="currency_value" w:val="1"/>
                <w:attr w:name="currency_text" w:val="EEK"/>
              </w:smartTagPr>
              <w:r w:rsidRPr="00497DA6">
                <w:t>EEK</w:t>
              </w:r>
            </w:smartTag>
            <w:r w:rsidRPr="00497DA6">
              <w:t>) Nr.1037/2001 un (EK) Nr.1234/2007 (turpmāk – regula Nr.1308/2013)</w:t>
            </w:r>
            <w:r w:rsidR="00D97D1B">
              <w:t xml:space="preserve"> 26.pant</w:t>
            </w:r>
            <w:r w:rsidR="006F4D57">
              <w:t>s</w:t>
            </w:r>
            <w:r w:rsidRPr="00497DA6">
              <w:t>;</w:t>
            </w:r>
          </w:p>
          <w:p w14:paraId="77184FF2" w14:textId="77777777" w:rsidR="004E6A12" w:rsidRPr="00497DA6" w:rsidRDefault="004E6A12" w:rsidP="00497DA6">
            <w:pPr>
              <w:pStyle w:val="Sarakstarindkopa"/>
              <w:numPr>
                <w:ilvl w:val="0"/>
                <w:numId w:val="2"/>
              </w:numPr>
              <w:ind w:right="142"/>
              <w:jc w:val="both"/>
            </w:pPr>
            <w:r w:rsidRPr="00497DA6">
              <w:t xml:space="preserve">Komisijas 2008.gada 10.jūnija Regula (EK) Nr.657/2008, ar ko nosaka sīki izstrādātus noteikumus par to, kā piemērot Padomes regulu (EK) Nr.1234/2007 attiecībā uz Kopienas atbalstu piena un dažu piena produktu piegādē izglītības </w:t>
            </w:r>
            <w:r w:rsidRPr="00497DA6">
              <w:lastRenderedPageBreak/>
              <w:t>iestāžu skolēniem (turpmāk – regula Nr.657/2008).</w:t>
            </w:r>
          </w:p>
          <w:p w14:paraId="7ABFFB3C" w14:textId="77777777" w:rsidR="004E6A12" w:rsidRDefault="004E6A12" w:rsidP="004E6A12">
            <w:pPr>
              <w:ind w:left="49" w:right="142"/>
              <w:jc w:val="both"/>
              <w:rPr>
                <w:lang w:val="lv-LV"/>
              </w:rPr>
            </w:pPr>
            <w:r w:rsidRPr="00EA2C5D">
              <w:rPr>
                <w:lang w:val="lv-LV"/>
              </w:rPr>
              <w:t xml:space="preserve">Regulas Nr.1308/2013 26.pants paredz ES atbalstu par dažu piena produktu piegādi bērniem mācību iestādēs, bet minētās regulas   </w:t>
            </w:r>
            <w:r w:rsidRPr="00497DA6">
              <w:rPr>
                <w:lang w:val="lv-LV"/>
              </w:rPr>
              <w:t xml:space="preserve">26.panta 5.punkts </w:t>
            </w:r>
            <w:r w:rsidRPr="00EA2C5D">
              <w:rPr>
                <w:lang w:val="lv-LV"/>
              </w:rPr>
              <w:t>paredz</w:t>
            </w:r>
            <w:r w:rsidRPr="00497DA6">
              <w:rPr>
                <w:lang w:val="lv-LV"/>
              </w:rPr>
              <w:t xml:space="preserve">, ka dalībvalstis papildus Savienības atbalstam programmā var piešķirt valsts atbalstu. </w:t>
            </w:r>
          </w:p>
          <w:p w14:paraId="6F8256E3" w14:textId="28A693D2" w:rsidR="004518D1" w:rsidRDefault="004518D1" w:rsidP="004E6A12">
            <w:pPr>
              <w:ind w:left="49" w:right="142"/>
              <w:jc w:val="both"/>
              <w:rPr>
                <w:lang w:val="lv-LV"/>
              </w:rPr>
            </w:pPr>
            <w:r w:rsidRPr="004518D1">
              <w:rPr>
                <w:lang w:val="lv-LV"/>
              </w:rPr>
              <w:t>Regulas Nr.1308/2013 2</w:t>
            </w:r>
            <w:r w:rsidR="007A7F3A">
              <w:rPr>
                <w:lang w:val="lv-LV"/>
              </w:rPr>
              <w:t>30</w:t>
            </w:r>
            <w:r w:rsidRPr="004518D1">
              <w:rPr>
                <w:lang w:val="lv-LV"/>
              </w:rPr>
              <w:t>.pant</w:t>
            </w:r>
            <w:r w:rsidR="007A7F3A">
              <w:rPr>
                <w:lang w:val="lv-LV"/>
              </w:rPr>
              <w:t>a 2.punkts nosaka, ka „a</w:t>
            </w:r>
            <w:r w:rsidR="007A7F3A" w:rsidRPr="007A7F3A">
              <w:rPr>
                <w:lang w:val="lv-LV"/>
              </w:rPr>
              <w:t>tsauces uz Regulu (EK) Nr. 1234/2007 uzskata par atsaucēm uz šo regulu un uz Regulu (ES) Nr. 1306/2013 un lasa saskaņā ar šīs regulas XIV pielikumā iekļauto atbilstības tabulu</w:t>
            </w:r>
            <w:r w:rsidR="007A7F3A">
              <w:rPr>
                <w:lang w:val="lv-LV"/>
              </w:rPr>
              <w:t>”</w:t>
            </w:r>
            <w:r w:rsidR="007A7F3A" w:rsidRPr="007A7F3A">
              <w:rPr>
                <w:lang w:val="lv-LV"/>
              </w:rPr>
              <w:t>.</w:t>
            </w:r>
          </w:p>
          <w:p w14:paraId="5C21B85B" w14:textId="77777777" w:rsidR="007A7F3A" w:rsidRPr="00EA2C5D" w:rsidRDefault="007A7F3A" w:rsidP="004E6A12">
            <w:pPr>
              <w:ind w:left="49" w:right="142"/>
              <w:jc w:val="both"/>
              <w:rPr>
                <w:lang w:val="lv-LV"/>
              </w:rPr>
            </w:pPr>
          </w:p>
          <w:p w14:paraId="3216249C" w14:textId="6B87B26C" w:rsidR="004E6A12" w:rsidRPr="00EA2C5D" w:rsidRDefault="004E6A12" w:rsidP="004E6A12">
            <w:pPr>
              <w:ind w:left="49" w:right="142"/>
              <w:jc w:val="both"/>
              <w:rPr>
                <w:lang w:val="lv-LV"/>
              </w:rPr>
            </w:pPr>
            <w:r w:rsidRPr="00EA2C5D">
              <w:rPr>
                <w:lang w:val="lv-LV"/>
              </w:rPr>
              <w:t>Savukārt r</w:t>
            </w:r>
            <w:r w:rsidRPr="00497DA6">
              <w:rPr>
                <w:lang w:val="lv-LV"/>
              </w:rPr>
              <w:t xml:space="preserve">egula Nr.657/2008 </w:t>
            </w:r>
            <w:r w:rsidR="006F4D57">
              <w:rPr>
                <w:lang w:val="lv-LV"/>
              </w:rPr>
              <w:t>paredz</w:t>
            </w:r>
            <w:r w:rsidRPr="00497DA6">
              <w:rPr>
                <w:lang w:val="lv-LV"/>
              </w:rPr>
              <w:t xml:space="preserve"> konkrētus nosacījumus Savienības atbalsta piešķiršanai</w:t>
            </w:r>
            <w:r w:rsidR="006F4D57">
              <w:rPr>
                <w:lang w:val="lv-LV"/>
              </w:rPr>
              <w:t>: tās</w:t>
            </w:r>
            <w:r w:rsidRPr="00EA2C5D">
              <w:rPr>
                <w:lang w:val="lv-LV"/>
              </w:rPr>
              <w:t xml:space="preserve"> I</w:t>
            </w:r>
            <w:r w:rsidR="006F4D57">
              <w:rPr>
                <w:lang w:val="lv-LV"/>
              </w:rPr>
              <w:t xml:space="preserve"> </w:t>
            </w:r>
            <w:r w:rsidRPr="00EA2C5D">
              <w:rPr>
                <w:lang w:val="lv-LV"/>
              </w:rPr>
              <w:t>pielikum</w:t>
            </w:r>
            <w:r w:rsidR="006F4D57">
              <w:rPr>
                <w:lang w:val="lv-LV"/>
              </w:rPr>
              <w:t>ā</w:t>
            </w:r>
            <w:r w:rsidRPr="00EA2C5D">
              <w:rPr>
                <w:lang w:val="lv-LV"/>
              </w:rPr>
              <w:t xml:space="preserve"> </w:t>
            </w:r>
            <w:r w:rsidR="006F4D57">
              <w:rPr>
                <w:lang w:val="lv-LV"/>
              </w:rPr>
              <w:t>dots to</w:t>
            </w:r>
            <w:r w:rsidRPr="00EA2C5D">
              <w:rPr>
                <w:lang w:val="lv-LV"/>
              </w:rPr>
              <w:t xml:space="preserve"> produktu</w:t>
            </w:r>
            <w:r w:rsidR="006F4D57">
              <w:rPr>
                <w:lang w:val="lv-LV"/>
              </w:rPr>
              <w:t xml:space="preserve"> saraksts</w:t>
            </w:r>
            <w:r w:rsidRPr="00EA2C5D">
              <w:rPr>
                <w:lang w:val="lv-LV"/>
              </w:rPr>
              <w:t>, par kur</w:t>
            </w:r>
            <w:r w:rsidRPr="00443949">
              <w:rPr>
                <w:lang w:val="lv-LV"/>
              </w:rPr>
              <w:t>u piegādi var piešķirt atbalstu</w:t>
            </w:r>
            <w:r w:rsidR="006F4D57">
              <w:rPr>
                <w:lang w:val="lv-LV"/>
              </w:rPr>
              <w:t>, savukārt</w:t>
            </w:r>
            <w:r w:rsidRPr="00443949">
              <w:rPr>
                <w:lang w:val="lv-LV"/>
              </w:rPr>
              <w:t xml:space="preserve"> </w:t>
            </w:r>
            <w:r w:rsidRPr="00EA2C5D">
              <w:rPr>
                <w:lang w:val="lv-LV"/>
              </w:rPr>
              <w:t xml:space="preserve">3.panta 1.punkts paredz dalībvalsts iespēju noteikt, par kuriem produktiem maksāt ES atbalstu, kā arī noteikt produktiem stingrākas prasības. </w:t>
            </w:r>
          </w:p>
          <w:p w14:paraId="1687393C" w14:textId="2EE0C679" w:rsidR="004E6A12" w:rsidRPr="00EA2C5D" w:rsidRDefault="004E6A12" w:rsidP="004E6A12">
            <w:pPr>
              <w:ind w:left="49" w:right="142"/>
              <w:jc w:val="both"/>
              <w:rPr>
                <w:lang w:val="lv-LV"/>
              </w:rPr>
            </w:pPr>
            <w:r w:rsidRPr="00EA2C5D">
              <w:rPr>
                <w:lang w:val="lv-LV"/>
              </w:rPr>
              <w:t>Taču v</w:t>
            </w:r>
            <w:r w:rsidRPr="00497DA6">
              <w:rPr>
                <w:lang w:val="lv-LV"/>
              </w:rPr>
              <w:t>alsts atbalsta</w:t>
            </w:r>
            <w:r w:rsidRPr="00EA2C5D">
              <w:rPr>
                <w:lang w:val="lv-LV"/>
              </w:rPr>
              <w:t xml:space="preserve"> jeb valsts līdzfinansējuma </w:t>
            </w:r>
            <w:r w:rsidRPr="00497DA6">
              <w:rPr>
                <w:lang w:val="lv-LV"/>
              </w:rPr>
              <w:t>piešķiršana</w:t>
            </w:r>
            <w:r w:rsidRPr="00EA2C5D">
              <w:rPr>
                <w:lang w:val="lv-LV"/>
              </w:rPr>
              <w:t xml:space="preserve">s nosacījumi </w:t>
            </w:r>
            <w:r w:rsidRPr="00497DA6">
              <w:rPr>
                <w:lang w:val="lv-LV"/>
              </w:rPr>
              <w:t xml:space="preserve">ES normatīvajos aktos nav noteikti, tāpēc </w:t>
            </w:r>
            <w:r w:rsidRPr="00EA2C5D">
              <w:rPr>
                <w:lang w:val="lv-LV"/>
              </w:rPr>
              <w:t xml:space="preserve">dalībvalstij ir tiesības </w:t>
            </w:r>
            <w:r w:rsidRPr="00443949">
              <w:rPr>
                <w:lang w:val="lv-LV"/>
              </w:rPr>
              <w:t xml:space="preserve">noteikt valsts līdzfinansējuma piešķiršanas kārtību, </w:t>
            </w:r>
            <w:r w:rsidRPr="00EA2C5D">
              <w:rPr>
                <w:lang w:val="lv-LV"/>
              </w:rPr>
              <w:t xml:space="preserve">nosakot </w:t>
            </w:r>
            <w:r w:rsidR="006F4D57">
              <w:rPr>
                <w:lang w:val="lv-LV"/>
              </w:rPr>
              <w:t xml:space="preserve">arī </w:t>
            </w:r>
            <w:r w:rsidRPr="00EA2C5D">
              <w:rPr>
                <w:lang w:val="lv-LV"/>
              </w:rPr>
              <w:t xml:space="preserve">produktus, uz kuriem no regulas Nr.657/2008 </w:t>
            </w:r>
            <w:r w:rsidR="006F4D57">
              <w:rPr>
                <w:lang w:val="lv-LV"/>
              </w:rPr>
              <w:t>I </w:t>
            </w:r>
            <w:r w:rsidRPr="00EA2C5D">
              <w:rPr>
                <w:lang w:val="lv-LV"/>
              </w:rPr>
              <w:t xml:space="preserve">pielikumā minēto produktu klāsta var tikt attiecināts valsts līdzfinansējums. </w:t>
            </w:r>
          </w:p>
          <w:p w14:paraId="5CAB6DFD" w14:textId="6C5C2D99" w:rsidR="004E6A12" w:rsidRPr="00497DA6" w:rsidRDefault="004E6A12" w:rsidP="004E6A12">
            <w:pPr>
              <w:ind w:left="49" w:right="142"/>
              <w:jc w:val="both"/>
              <w:rPr>
                <w:lang w:val="lv-LV"/>
              </w:rPr>
            </w:pPr>
            <w:r w:rsidRPr="00497DA6">
              <w:rPr>
                <w:lang w:val="lv-LV"/>
              </w:rPr>
              <w:t>P</w:t>
            </w:r>
            <w:r w:rsidRPr="00EA2C5D">
              <w:rPr>
                <w:lang w:val="lv-LV"/>
              </w:rPr>
              <w:t>a</w:t>
            </w:r>
            <w:r w:rsidR="006F4D57">
              <w:rPr>
                <w:lang w:val="lv-LV"/>
              </w:rPr>
              <w:t>gaidām</w:t>
            </w:r>
            <w:r w:rsidRPr="00EA2C5D">
              <w:rPr>
                <w:lang w:val="lv-LV"/>
              </w:rPr>
              <w:t xml:space="preserve"> n</w:t>
            </w:r>
            <w:r w:rsidRPr="00497DA6">
              <w:rPr>
                <w:lang w:val="lv-LV"/>
              </w:rPr>
              <w:t xml:space="preserve">oteikumu Nr.106 </w:t>
            </w:r>
            <w:r w:rsidRPr="00EA2C5D">
              <w:rPr>
                <w:lang w:val="lv-LV"/>
              </w:rPr>
              <w:t>3.punkt</w:t>
            </w:r>
            <w:r w:rsidR="006F4D57">
              <w:rPr>
                <w:lang w:val="lv-LV"/>
              </w:rPr>
              <w:t>ā</w:t>
            </w:r>
            <w:r w:rsidRPr="00EA2C5D">
              <w:rPr>
                <w:lang w:val="lv-LV"/>
              </w:rPr>
              <w:t xml:space="preserve"> no</w:t>
            </w:r>
            <w:r w:rsidR="006F4D57">
              <w:rPr>
                <w:lang w:val="lv-LV"/>
              </w:rPr>
              <w:t>teikts</w:t>
            </w:r>
            <w:r w:rsidRPr="00EA2C5D">
              <w:rPr>
                <w:lang w:val="lv-LV"/>
              </w:rPr>
              <w:t>, ka E</w:t>
            </w:r>
            <w:r w:rsidRPr="00443949">
              <w:rPr>
                <w:lang w:val="lv-LV"/>
              </w:rPr>
              <w:t xml:space="preserve">S atbalstu var piešķirt par regulas Nr.657/2008 </w:t>
            </w:r>
            <w:r w:rsidR="006F4D57">
              <w:rPr>
                <w:lang w:val="lv-LV"/>
              </w:rPr>
              <w:t>I </w:t>
            </w:r>
            <w:r w:rsidRPr="00443949">
              <w:rPr>
                <w:lang w:val="lv-LV"/>
              </w:rPr>
              <w:t>pielikumā minētiem I</w:t>
            </w:r>
            <w:r w:rsidR="006F4D57">
              <w:rPr>
                <w:lang w:val="lv-LV"/>
              </w:rPr>
              <w:t> </w:t>
            </w:r>
            <w:r w:rsidRPr="00443949">
              <w:rPr>
                <w:lang w:val="lv-LV"/>
              </w:rPr>
              <w:t>un II kategorijas produktiem (</w:t>
            </w:r>
            <w:r w:rsidRPr="00497DA6">
              <w:rPr>
                <w:i/>
                <w:lang w:val="lv-LV"/>
              </w:rPr>
              <w:t>t</w:t>
            </w:r>
            <w:r w:rsidR="006F4D57">
              <w:rPr>
                <w:i/>
                <w:lang w:val="lv-LV"/>
              </w:rPr>
              <w:t xml:space="preserve">ostarp </w:t>
            </w:r>
            <w:r w:rsidRPr="00497DA6">
              <w:rPr>
                <w:i/>
                <w:lang w:val="lv-LV"/>
              </w:rPr>
              <w:t>pasterizēt</w:t>
            </w:r>
            <w:r w:rsidR="006F4D57">
              <w:rPr>
                <w:i/>
                <w:lang w:val="lv-LV"/>
              </w:rPr>
              <w:t>u</w:t>
            </w:r>
            <w:r w:rsidRPr="00497DA6">
              <w:rPr>
                <w:i/>
                <w:lang w:val="lv-LV"/>
              </w:rPr>
              <w:t xml:space="preserve"> pien</w:t>
            </w:r>
            <w:r w:rsidR="006F4D57">
              <w:rPr>
                <w:i/>
                <w:lang w:val="lv-LV"/>
              </w:rPr>
              <w:t>u</w:t>
            </w:r>
            <w:r w:rsidRPr="00497DA6">
              <w:rPr>
                <w:i/>
                <w:lang w:val="lv-LV"/>
              </w:rPr>
              <w:t xml:space="preserve"> bez piedevām, k</w:t>
            </w:r>
            <w:r w:rsidR="006F4D57">
              <w:rPr>
                <w:i/>
                <w:lang w:val="lv-LV"/>
              </w:rPr>
              <w:t>urš</w:t>
            </w:r>
            <w:r w:rsidRPr="00497DA6">
              <w:rPr>
                <w:i/>
                <w:lang w:val="lv-LV"/>
              </w:rPr>
              <w:t xml:space="preserve"> ietilpst I kategorijā</w:t>
            </w:r>
            <w:r w:rsidRPr="00EA2C5D">
              <w:rPr>
                <w:lang w:val="lv-LV"/>
              </w:rPr>
              <w:t>), savukār</w:t>
            </w:r>
            <w:r w:rsidRPr="00443949">
              <w:rPr>
                <w:lang w:val="lv-LV"/>
              </w:rPr>
              <w:t xml:space="preserve">t saskaņā ar noteikumu Nr.106 3.punkta un </w:t>
            </w:r>
            <w:r w:rsidRPr="00497DA6">
              <w:rPr>
                <w:lang w:val="lv-LV"/>
              </w:rPr>
              <w:t>II pielikuma B daļa</w:t>
            </w:r>
            <w:r w:rsidRPr="00EA2C5D">
              <w:rPr>
                <w:lang w:val="lv-LV"/>
              </w:rPr>
              <w:t>s nosacījumiem valsts līdzfinansējums tiek piešķirts tikai par pasterizētu pienu bez piedevām</w:t>
            </w:r>
            <w:r w:rsidRPr="00443949">
              <w:rPr>
                <w:lang w:val="lv-LV"/>
              </w:rPr>
              <w:t>, k</w:t>
            </w:r>
            <w:r w:rsidR="006F4D57">
              <w:rPr>
                <w:lang w:val="lv-LV"/>
              </w:rPr>
              <w:t>urš</w:t>
            </w:r>
            <w:r w:rsidRPr="00443949">
              <w:rPr>
                <w:lang w:val="lv-LV"/>
              </w:rPr>
              <w:t xml:space="preserve"> piegādāts pirm</w:t>
            </w:r>
            <w:r w:rsidR="006F4D57">
              <w:rPr>
                <w:lang w:val="lv-LV"/>
              </w:rPr>
              <w:t>s</w:t>
            </w:r>
            <w:r w:rsidRPr="00443949">
              <w:rPr>
                <w:lang w:val="lv-LV"/>
              </w:rPr>
              <w:t>skolas un 1.</w:t>
            </w:r>
            <w:r w:rsidR="006F4D57">
              <w:rPr>
                <w:lang w:val="lv-LV"/>
              </w:rPr>
              <w:t>–</w:t>
            </w:r>
            <w:r w:rsidRPr="00443949">
              <w:rPr>
                <w:lang w:val="lv-LV"/>
              </w:rPr>
              <w:t>9.klases izglītojamiem</w:t>
            </w:r>
            <w:r w:rsidRPr="00497DA6">
              <w:rPr>
                <w:lang w:val="lv-LV"/>
              </w:rPr>
              <w:t xml:space="preserve"> (</w:t>
            </w:r>
            <w:r w:rsidRPr="00497DA6">
              <w:rPr>
                <w:i/>
                <w:lang w:val="lv-LV"/>
              </w:rPr>
              <w:t xml:space="preserve">par citu piena produktu piegādi minētai mērķauditorijai, kā arī 10.–12.klasei atbalsta pretendents saņem tikai regulā Nr.1370/2013 noteikto ES atbalsta likmi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8.15"/>
                <w:attr w:name="currency_text" w:val="EUR"/>
              </w:smartTagPr>
              <w:r w:rsidRPr="00497DA6">
                <w:rPr>
                  <w:i/>
                  <w:lang w:val="lv-LV"/>
                </w:rPr>
                <w:t>18,15 EUR</w:t>
              </w:r>
            </w:smartTag>
            <w:r w:rsidRPr="00497DA6">
              <w:rPr>
                <w:i/>
                <w:lang w:val="lv-LV"/>
              </w:rPr>
              <w:t>/100 kg</w:t>
            </w:r>
            <w:r w:rsidRPr="00497DA6">
              <w:rPr>
                <w:lang w:val="lv-LV"/>
              </w:rPr>
              <w:t xml:space="preserve">). </w:t>
            </w:r>
            <w:r w:rsidR="006F4D57">
              <w:rPr>
                <w:lang w:val="lv-LV"/>
              </w:rPr>
              <w:t>Turklāt</w:t>
            </w:r>
            <w:r w:rsidR="007408EC">
              <w:rPr>
                <w:lang w:val="lv-LV"/>
              </w:rPr>
              <w:t xml:space="preserve"> par šāda piena piegādi nedrīkst prasīt samaksu no izglītojamiem vai viņu vecākiem vai aizbildņiem.</w:t>
            </w:r>
          </w:p>
          <w:p w14:paraId="37A76FC8" w14:textId="274E33E7" w:rsidR="004E6A12" w:rsidRPr="00EA2C5D" w:rsidRDefault="004E6A12" w:rsidP="009C003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EA2C5D">
              <w:rPr>
                <w:lang w:val="lv-LV"/>
              </w:rPr>
              <w:lastRenderedPageBreak/>
              <w:t>Tādējādi līdz šim „Skolas piena” programmā izplatītajiem piena produktiem nebija noteiktas papildu prasības</w:t>
            </w:r>
            <w:r w:rsidRPr="00443949">
              <w:rPr>
                <w:lang w:val="lv-LV"/>
              </w:rPr>
              <w:t xml:space="preserve">, piemēram, </w:t>
            </w:r>
            <w:r w:rsidR="006F4D57">
              <w:rPr>
                <w:lang w:val="lv-LV"/>
              </w:rPr>
              <w:t>par</w:t>
            </w:r>
            <w:r w:rsidRPr="00443949">
              <w:rPr>
                <w:lang w:val="lv-LV"/>
              </w:rPr>
              <w:t xml:space="preserve"> ietekmi uz vidi</w:t>
            </w:r>
            <w:r w:rsidRPr="00EA2C5D">
              <w:rPr>
                <w:lang w:val="lv-LV"/>
              </w:rPr>
              <w:t xml:space="preserve">.  </w:t>
            </w:r>
          </w:p>
          <w:p w14:paraId="71DDF752" w14:textId="34F9FE44" w:rsidR="00736A8F" w:rsidRPr="00EA2C5D" w:rsidRDefault="004E6A12" w:rsidP="009C003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443949">
              <w:rPr>
                <w:lang w:val="lv-LV"/>
              </w:rPr>
              <w:t>Tādēļ, l</w:t>
            </w:r>
            <w:r w:rsidR="00DB2017" w:rsidRPr="00443949">
              <w:rPr>
                <w:lang w:val="lv-LV"/>
              </w:rPr>
              <w:t>ai</w:t>
            </w:r>
            <w:r w:rsidRPr="00EA2C5D">
              <w:rPr>
                <w:lang w:val="lv-LV"/>
              </w:rPr>
              <w:t xml:space="preserve"> </w:t>
            </w:r>
            <w:r w:rsidR="00BF551E" w:rsidRPr="00EA2C5D">
              <w:rPr>
                <w:lang w:val="lv-LV"/>
              </w:rPr>
              <w:t>izglītojamos nodrošinātu ar veselīgu uzturu</w:t>
            </w:r>
            <w:r w:rsidR="006F4D57">
              <w:rPr>
                <w:lang w:val="lv-LV"/>
              </w:rPr>
              <w:t>, kā arī</w:t>
            </w:r>
            <w:r w:rsidR="00BF551E" w:rsidRPr="00EA2C5D">
              <w:rPr>
                <w:lang w:val="lv-LV"/>
              </w:rPr>
              <w:t xml:space="preserve"> ievērojot vides aizsardzības apsvērumus un ekonomiskos faktorus</w:t>
            </w:r>
            <w:r w:rsidR="00DB2017" w:rsidRPr="00EA2C5D">
              <w:rPr>
                <w:lang w:val="lv-LV"/>
              </w:rPr>
              <w:t xml:space="preserve">, </w:t>
            </w:r>
            <w:r w:rsidR="005737E5">
              <w:rPr>
                <w:lang w:val="lv-LV"/>
              </w:rPr>
              <w:t xml:space="preserve">ir sagatavots </w:t>
            </w:r>
            <w:r w:rsidR="00DB2017" w:rsidRPr="00EA2C5D">
              <w:rPr>
                <w:lang w:val="lv-LV"/>
              </w:rPr>
              <w:t>Ministru kabineta noteikumu projekts</w:t>
            </w:r>
            <w:r w:rsidR="005737E5">
              <w:rPr>
                <w:lang w:val="lv-LV"/>
              </w:rPr>
              <w:t xml:space="preserve"> „</w:t>
            </w:r>
            <w:r w:rsidR="005737E5" w:rsidRPr="005737E5">
              <w:rPr>
                <w:lang w:val="lv-LV"/>
              </w:rPr>
              <w:t>Grozījumi Ministru kabineta 2011.gada 1.februāra noteikumos Nr.106 „Kārtība, kādā piešķir, administrē un uzrauga valsts un Eiropas Savienības atbalstu piena produktu piegādei izglītojamiem vispārējās izglītības iestādēs”</w:t>
            </w:r>
            <w:r w:rsidR="006F4D57">
              <w:rPr>
                <w:lang w:val="lv-LV"/>
              </w:rPr>
              <w:t>”</w:t>
            </w:r>
            <w:r w:rsidR="005737E5">
              <w:rPr>
                <w:lang w:val="lv-LV"/>
              </w:rPr>
              <w:t>, k</w:t>
            </w:r>
            <w:r w:rsidR="006F4D57">
              <w:rPr>
                <w:lang w:val="lv-LV"/>
              </w:rPr>
              <w:t>urā</w:t>
            </w:r>
            <w:r w:rsidR="005737E5" w:rsidRPr="005737E5">
              <w:rPr>
                <w:lang w:val="lv-LV"/>
              </w:rPr>
              <w:t xml:space="preserve"> </w:t>
            </w:r>
            <w:r w:rsidR="007408EC">
              <w:rPr>
                <w:lang w:val="lv-LV"/>
              </w:rPr>
              <w:t xml:space="preserve">papildus nosacījumam, ka par pienu nedrīkst prasīt samaksu no izglītojamiem vai viņu vecākiem vai aizbildņiem, </w:t>
            </w:r>
            <w:r w:rsidR="006F4D57">
              <w:rPr>
                <w:lang w:val="lv-LV"/>
              </w:rPr>
              <w:t xml:space="preserve">paredzēts, ka </w:t>
            </w:r>
            <w:r w:rsidR="007408EC" w:rsidRPr="00EA2C5D">
              <w:rPr>
                <w:lang w:val="lv-LV"/>
              </w:rPr>
              <w:t xml:space="preserve">valsts līdzfinansējumu </w:t>
            </w:r>
            <w:r w:rsidRPr="00EA2C5D">
              <w:rPr>
                <w:lang w:val="lv-LV"/>
              </w:rPr>
              <w:t>var saņemt tikai par tādu pienu, kas</w:t>
            </w:r>
            <w:r w:rsidR="00DB2017" w:rsidRPr="00EA2C5D">
              <w:rPr>
                <w:lang w:val="lv-LV"/>
              </w:rPr>
              <w:t>:</w:t>
            </w:r>
          </w:p>
          <w:p w14:paraId="6B65F4BB" w14:textId="4598CE1F" w:rsidR="00DB2017" w:rsidRPr="00A9009E" w:rsidRDefault="000D58FB" w:rsidP="009C003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4D22A8">
              <w:rPr>
                <w:lang w:val="lv-LV"/>
              </w:rPr>
              <w:t>1</w:t>
            </w:r>
            <w:r w:rsidR="006F4D57" w:rsidRPr="004D22A8">
              <w:rPr>
                <w:lang w:val="lv-LV"/>
              </w:rPr>
              <w:t>)</w:t>
            </w:r>
            <w:r w:rsidRPr="00EA2C5D">
              <w:rPr>
                <w:b/>
                <w:lang w:val="lv-LV"/>
              </w:rPr>
              <w:t xml:space="preserve"> </w:t>
            </w:r>
            <w:r w:rsidR="00C7304B" w:rsidRPr="00497DA6">
              <w:rPr>
                <w:lang w:val="lv-LV" w:eastAsia="lv-LV"/>
              </w:rPr>
              <w:t xml:space="preserve">ir ražots atbilstoši bioloģiskās lauksaimniecības </w:t>
            </w:r>
            <w:r w:rsidR="00A9009E">
              <w:rPr>
                <w:lang w:val="lv-LV" w:eastAsia="lv-LV"/>
              </w:rPr>
              <w:t xml:space="preserve">shēmas </w:t>
            </w:r>
            <w:r w:rsidR="00C7304B" w:rsidRPr="00497DA6">
              <w:rPr>
                <w:lang w:val="lv-LV" w:eastAsia="lv-LV"/>
              </w:rPr>
              <w:t xml:space="preserve">vai nacionālās pārtikas kvalitātes shēmas </w:t>
            </w:r>
            <w:r w:rsidR="00EA2C5D">
              <w:rPr>
                <w:lang w:val="lv-LV" w:eastAsia="lv-LV"/>
              </w:rPr>
              <w:t xml:space="preserve">(turpmāk – NKPS) </w:t>
            </w:r>
            <w:r w:rsidR="00A9009E" w:rsidRPr="00497DA6">
              <w:rPr>
                <w:lang w:val="lv-LV" w:eastAsia="lv-LV"/>
              </w:rPr>
              <w:t>prasībām</w:t>
            </w:r>
            <w:r w:rsidR="00EA2C5D">
              <w:rPr>
                <w:lang w:val="lv-LV" w:eastAsia="lv-LV"/>
              </w:rPr>
              <w:t xml:space="preserve">. </w:t>
            </w:r>
            <w:r w:rsidR="00A9009E">
              <w:rPr>
                <w:lang w:val="lv-LV"/>
              </w:rPr>
              <w:t>Prasības gan bioloģiskās lauksaimniecības shēmai, gan NPKS ir noteiktas Ministru kabineta 2014.gada 12.augusta noteikumos Nr.461 “</w:t>
            </w:r>
            <w:r w:rsidR="00A9009E" w:rsidRPr="00006C0F">
              <w:rPr>
                <w:lang w:val="lv-LV"/>
              </w:rPr>
              <w:t>Prasības pārtikas kvalitātes shēmām, to ieviešanas, darbības, uzraudzības un kontroles kārtība</w:t>
            </w:r>
            <w:r w:rsidR="006F4D57">
              <w:rPr>
                <w:lang w:val="lv-LV"/>
              </w:rPr>
              <w:t>”;</w:t>
            </w:r>
          </w:p>
          <w:p w14:paraId="416A9229" w14:textId="6CDA32B1" w:rsidR="00DB2017" w:rsidRPr="00EA2C5D" w:rsidRDefault="00DB2017" w:rsidP="009C003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4D22A8">
              <w:rPr>
                <w:lang w:val="lv-LV"/>
              </w:rPr>
              <w:t>2</w:t>
            </w:r>
            <w:r w:rsidR="006F4D57" w:rsidRPr="006F4D57">
              <w:rPr>
                <w:lang w:val="lv-LV"/>
              </w:rPr>
              <w:t>)</w:t>
            </w:r>
            <w:r w:rsidR="000D58FB" w:rsidRPr="00EA2C5D">
              <w:rPr>
                <w:lang w:val="lv-LV"/>
              </w:rPr>
              <w:t xml:space="preserve"> </w:t>
            </w:r>
            <w:r w:rsidR="00C7304B" w:rsidRPr="00497DA6">
              <w:rPr>
                <w:lang w:val="lv-LV" w:eastAsia="lv-LV"/>
              </w:rPr>
              <w:t>tiek transportēts ne tālāk par 250 kilometriem no t</w:t>
            </w:r>
            <w:r w:rsidR="00533138">
              <w:rPr>
                <w:lang w:val="lv-LV" w:eastAsia="lv-LV"/>
              </w:rPr>
              <w:t>ā</w:t>
            </w:r>
            <w:r w:rsidR="00C7304B" w:rsidRPr="00497DA6">
              <w:rPr>
                <w:lang w:val="lv-LV" w:eastAsia="lv-LV"/>
              </w:rPr>
              <w:t xml:space="preserve"> ražošanas vietas līdz attiecīgajai mācību iestādei</w:t>
            </w:r>
            <w:r w:rsidR="000D58FB" w:rsidRPr="00EA2C5D">
              <w:rPr>
                <w:lang w:val="lv-LV"/>
              </w:rPr>
              <w:t>;</w:t>
            </w:r>
          </w:p>
          <w:p w14:paraId="394B7C37" w14:textId="09D79CA7" w:rsidR="00BF551E" w:rsidRPr="00EA2C5D" w:rsidRDefault="00016F1C" w:rsidP="00BF551E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Nosakot</w:t>
            </w:r>
            <w:r w:rsidRPr="00EA2C5D">
              <w:rPr>
                <w:lang w:val="lv-LV"/>
              </w:rPr>
              <w:t xml:space="preserve"> </w:t>
            </w:r>
            <w:r w:rsidR="00BF551E" w:rsidRPr="00EA2C5D">
              <w:rPr>
                <w:lang w:val="lv-LV"/>
              </w:rPr>
              <w:t>minētās papildu prasības, tiek nodrošināti šādi faktori:</w:t>
            </w:r>
          </w:p>
          <w:p w14:paraId="1FE90F4B" w14:textId="0428FEA4" w:rsidR="00BF551E" w:rsidRPr="00443949" w:rsidRDefault="00BF551E" w:rsidP="00BF551E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4D22A8">
              <w:rPr>
                <w:lang w:val="lv-LV"/>
              </w:rPr>
              <w:t>1</w:t>
            </w:r>
            <w:r w:rsidR="00533138" w:rsidRPr="004D22A8">
              <w:rPr>
                <w:lang w:val="lv-LV"/>
              </w:rPr>
              <w:t>)</w:t>
            </w:r>
            <w:r w:rsidR="00533138">
              <w:rPr>
                <w:b/>
                <w:lang w:val="lv-LV"/>
              </w:rPr>
              <w:t xml:space="preserve"> </w:t>
            </w:r>
            <w:r w:rsidR="00533138">
              <w:rPr>
                <w:i/>
                <w:lang w:val="lv-LV"/>
              </w:rPr>
              <w:t>v</w:t>
            </w:r>
            <w:r w:rsidRPr="00EA2C5D">
              <w:rPr>
                <w:i/>
                <w:lang w:val="lv-LV"/>
              </w:rPr>
              <w:t>ides aizsardzības faktors</w:t>
            </w:r>
            <w:r w:rsidR="00533138">
              <w:rPr>
                <w:i/>
                <w:lang w:val="lv-LV"/>
              </w:rPr>
              <w:t>-</w:t>
            </w:r>
            <w:r w:rsidR="00C7304B" w:rsidRPr="00EA2C5D">
              <w:rPr>
                <w:i/>
                <w:lang w:val="lv-LV"/>
              </w:rPr>
              <w:t>1</w:t>
            </w:r>
            <w:r w:rsidRPr="00EA2C5D">
              <w:rPr>
                <w:i/>
                <w:lang w:val="lv-LV"/>
              </w:rPr>
              <w:t>.</w:t>
            </w:r>
            <w:r w:rsidRPr="00EA2C5D">
              <w:rPr>
                <w:lang w:val="lv-LV"/>
              </w:rPr>
              <w:t xml:space="preserve"> Tā kā arvien lielāka nozīme tiek pievērsta apkārtējās vides saglabāšanas jautājumiem, noteikumu projekts paredz ierobežot produktu transportēšanas attālumu no to ražošanas vietas līdz mācību iestādei, tādējādi veicinot arī CO</w:t>
            </w:r>
            <w:r w:rsidRPr="00497DA6">
              <w:rPr>
                <w:vertAlign w:val="subscript"/>
                <w:lang w:val="lv-LV"/>
              </w:rPr>
              <w:t>2</w:t>
            </w:r>
            <w:r w:rsidRPr="00EA2C5D">
              <w:rPr>
                <w:lang w:val="lv-LV"/>
              </w:rPr>
              <w:t xml:space="preserve"> izmešu samazināšan</w:t>
            </w:r>
            <w:r w:rsidRPr="00443949">
              <w:rPr>
                <w:lang w:val="lv-LV"/>
              </w:rPr>
              <w:t>u</w:t>
            </w:r>
            <w:r w:rsidR="00533138">
              <w:rPr>
                <w:lang w:val="lv-LV"/>
              </w:rPr>
              <w:t>;</w:t>
            </w:r>
          </w:p>
          <w:p w14:paraId="4AFC6465" w14:textId="009DAEB4" w:rsidR="00C7304B" w:rsidRPr="00EA2C5D" w:rsidRDefault="00BF551E" w:rsidP="00BF551E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4D22A8">
              <w:rPr>
                <w:lang w:val="lv-LV"/>
              </w:rPr>
              <w:t>2</w:t>
            </w:r>
            <w:r w:rsidR="00533138" w:rsidRPr="004D22A8">
              <w:rPr>
                <w:lang w:val="lv-LV"/>
              </w:rPr>
              <w:t>)</w:t>
            </w:r>
            <w:r w:rsidRPr="00EA2C5D">
              <w:rPr>
                <w:lang w:val="lv-LV"/>
              </w:rPr>
              <w:t xml:space="preserve"> </w:t>
            </w:r>
            <w:r w:rsidR="00533138">
              <w:rPr>
                <w:i/>
                <w:lang w:val="lv-LV"/>
              </w:rPr>
              <w:t>v</w:t>
            </w:r>
            <w:r w:rsidR="00C7304B" w:rsidRPr="00EA2C5D">
              <w:rPr>
                <w:i/>
                <w:lang w:val="lv-LV"/>
              </w:rPr>
              <w:t>ides aizsardzības faktors</w:t>
            </w:r>
            <w:r w:rsidR="00533138">
              <w:rPr>
                <w:i/>
                <w:lang w:val="lv-LV"/>
              </w:rPr>
              <w:t>-</w:t>
            </w:r>
            <w:r w:rsidR="00C7304B" w:rsidRPr="00EA2C5D">
              <w:rPr>
                <w:i/>
                <w:lang w:val="lv-LV"/>
              </w:rPr>
              <w:t xml:space="preserve">2. </w:t>
            </w:r>
            <w:r w:rsidR="003E2DCB">
              <w:rPr>
                <w:lang w:val="lv-LV"/>
              </w:rPr>
              <w:t>Saskaņā ar Latvijas bioloģiskās lauksaimniecības asociācijas mājaslapā (</w:t>
            </w:r>
            <w:hyperlink r:id="rId7" w:history="1">
              <w:r w:rsidR="003E2DCB" w:rsidRPr="007F4953">
                <w:rPr>
                  <w:rStyle w:val="Hipersaite"/>
                  <w:lang w:val="lv-LV"/>
                </w:rPr>
                <w:t>www.lbla.lv</w:t>
              </w:r>
            </w:hyperlink>
            <w:r w:rsidR="003E2DCB">
              <w:rPr>
                <w:lang w:val="lv-LV"/>
              </w:rPr>
              <w:t>) publicēto informāciju b</w:t>
            </w:r>
            <w:r w:rsidR="00C7304B" w:rsidRPr="00EA2C5D">
              <w:rPr>
                <w:lang w:val="lv-LV"/>
              </w:rPr>
              <w:t xml:space="preserve">ioloģiski ražotos produktus iegūst, saimniekojot ar dabiskām bioloģiskām metodēm, </w:t>
            </w:r>
            <w:r w:rsidR="00533138">
              <w:rPr>
                <w:lang w:val="lv-LV"/>
              </w:rPr>
              <w:t xml:space="preserve">un </w:t>
            </w:r>
            <w:r w:rsidR="00C7304B" w:rsidRPr="00EA2C5D">
              <w:rPr>
                <w:lang w:val="lv-LV"/>
              </w:rPr>
              <w:t>vides piesārņojuma samazināšanu panāk</w:t>
            </w:r>
            <w:r w:rsidR="00533138">
              <w:rPr>
                <w:lang w:val="lv-LV"/>
              </w:rPr>
              <w:t>,</w:t>
            </w:r>
            <w:r w:rsidR="00C7304B" w:rsidRPr="00EA2C5D">
              <w:rPr>
                <w:lang w:val="lv-LV"/>
              </w:rPr>
              <w:t xml:space="preserve"> ierobežojot mājlopu skaitu un kūtsmēslu daudzumu uz zemes platības vienību.</w:t>
            </w:r>
            <w:r w:rsidR="00C7304B" w:rsidRPr="00EA2C5D">
              <w:rPr>
                <w:lang w:val="lv-LV"/>
              </w:rPr>
              <w:br/>
              <w:t xml:space="preserve">Dabas daudzveidības saglabāšanai </w:t>
            </w:r>
            <w:r w:rsidR="00EA2C5D" w:rsidRPr="00EA2C5D">
              <w:rPr>
                <w:lang w:val="lv-LV"/>
              </w:rPr>
              <w:t xml:space="preserve">bioloģiskajā lauksaimniecībā </w:t>
            </w:r>
            <w:r w:rsidR="00C7304B" w:rsidRPr="00EA2C5D">
              <w:rPr>
                <w:lang w:val="lv-LV"/>
              </w:rPr>
              <w:t xml:space="preserve">iesaka audzēt vietējo šķirņu kultūraugus un mājdzīvniekus, jo tie atrodas vislabākajā saderībā arī ar vietējiem </w:t>
            </w:r>
            <w:r w:rsidR="00C7304B" w:rsidRPr="00EA2C5D">
              <w:rPr>
                <w:lang w:val="lv-LV"/>
              </w:rPr>
              <w:lastRenderedPageBreak/>
              <w:t>mikroorganismiem un dod vietējiem iedzīvotājiem vis</w:t>
            </w:r>
            <w:r w:rsidR="00533138">
              <w:rPr>
                <w:lang w:val="lv-LV"/>
              </w:rPr>
              <w:t xml:space="preserve">vairāk </w:t>
            </w:r>
            <w:r w:rsidR="00C7304B" w:rsidRPr="00EA2C5D">
              <w:rPr>
                <w:lang w:val="lv-LV"/>
              </w:rPr>
              <w:t>piemēroto pārtiku.</w:t>
            </w:r>
          </w:p>
          <w:p w14:paraId="4FA460B7" w14:textId="3C43DE85" w:rsidR="00C7304B" w:rsidRPr="00EA2C5D" w:rsidRDefault="00C7304B" w:rsidP="00C7304B">
            <w:pPr>
              <w:pStyle w:val="naisf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EA2C5D">
              <w:rPr>
                <w:lang w:val="lv-LV"/>
              </w:rPr>
              <w:t>Saistībā ar piena ražošanu saimniecībās viens no b</w:t>
            </w:r>
            <w:r w:rsidRPr="00497DA6">
              <w:rPr>
                <w:lang w:val="lv-LV"/>
              </w:rPr>
              <w:t>ioloģiskās</w:t>
            </w:r>
            <w:r w:rsidRPr="00EA2C5D">
              <w:rPr>
                <w:lang w:val="lv-LV"/>
              </w:rPr>
              <w:t xml:space="preserve"> </w:t>
            </w:r>
            <w:r w:rsidRPr="00497DA6">
              <w:rPr>
                <w:lang w:val="lv-LV"/>
              </w:rPr>
              <w:t>lauksaimniecības pamatuzdevumi</w:t>
            </w:r>
            <w:r w:rsidRPr="00EA2C5D">
              <w:rPr>
                <w:lang w:val="lv-LV"/>
              </w:rPr>
              <w:t>em ir n</w:t>
            </w:r>
            <w:r w:rsidRPr="00497DA6">
              <w:rPr>
                <w:rFonts w:eastAsia="Times New Roman"/>
                <w:lang w:val="lv-LV"/>
              </w:rPr>
              <w:t xml:space="preserve">odrošināt mājdzīvnieku turēšanu pēc iespējas atbilstoši to dabiskajām prasībām (kustības, gaiss, gaisma, tīrs ūdens, dabiska </w:t>
            </w:r>
            <w:r w:rsidRPr="00EA2C5D">
              <w:rPr>
                <w:rFonts w:eastAsia="Times New Roman"/>
                <w:lang w:val="lv-LV"/>
              </w:rPr>
              <w:t>barības uzņemšana ganībās u.c.)</w:t>
            </w:r>
            <w:r w:rsidR="00533138">
              <w:rPr>
                <w:rFonts w:eastAsia="Times New Roman"/>
                <w:lang w:val="lv-LV"/>
              </w:rPr>
              <w:t>;</w:t>
            </w:r>
          </w:p>
          <w:p w14:paraId="701F2724" w14:textId="0F8BBE6D" w:rsidR="00BF551E" w:rsidRPr="00EA2C5D" w:rsidRDefault="00C7304B" w:rsidP="00BF551E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443949">
              <w:rPr>
                <w:lang w:val="lv-LV"/>
              </w:rPr>
              <w:t>3</w:t>
            </w:r>
            <w:r w:rsidR="00533138">
              <w:rPr>
                <w:lang w:val="lv-LV"/>
              </w:rPr>
              <w:t>)</w:t>
            </w:r>
            <w:r w:rsidRPr="00443949">
              <w:rPr>
                <w:lang w:val="lv-LV"/>
              </w:rPr>
              <w:t xml:space="preserve"> </w:t>
            </w:r>
            <w:r w:rsidR="00533138">
              <w:rPr>
                <w:i/>
                <w:lang w:val="lv-LV"/>
              </w:rPr>
              <w:t>e</w:t>
            </w:r>
            <w:r w:rsidR="00BF551E" w:rsidRPr="00443949">
              <w:rPr>
                <w:i/>
                <w:lang w:val="lv-LV"/>
              </w:rPr>
              <w:t xml:space="preserve">konomiskais faktors. </w:t>
            </w:r>
            <w:r w:rsidR="00BF551E" w:rsidRPr="00443949">
              <w:rPr>
                <w:lang w:val="lv-LV"/>
              </w:rPr>
              <w:t xml:space="preserve">Nosakot </w:t>
            </w:r>
            <w:r w:rsidRPr="00443949">
              <w:rPr>
                <w:lang w:val="lv-LV"/>
              </w:rPr>
              <w:t>ierobe</w:t>
            </w:r>
            <w:r w:rsidRPr="00EA2C5D">
              <w:rPr>
                <w:lang w:val="lv-LV"/>
              </w:rPr>
              <w:t xml:space="preserve">žotu </w:t>
            </w:r>
            <w:r w:rsidR="00BF551E" w:rsidRPr="00EA2C5D">
              <w:rPr>
                <w:lang w:val="lv-LV"/>
              </w:rPr>
              <w:t xml:space="preserve">transportēšanas attālumu, </w:t>
            </w:r>
            <w:r w:rsidR="00533138">
              <w:rPr>
                <w:lang w:val="lv-LV"/>
              </w:rPr>
              <w:t xml:space="preserve">var </w:t>
            </w:r>
            <w:r w:rsidR="00BF551E" w:rsidRPr="00EA2C5D">
              <w:rPr>
                <w:lang w:val="lv-LV"/>
              </w:rPr>
              <w:t>samazinā</w:t>
            </w:r>
            <w:r w:rsidR="00533138">
              <w:rPr>
                <w:lang w:val="lv-LV"/>
              </w:rPr>
              <w:t>t</w:t>
            </w:r>
            <w:r w:rsidR="00BF551E" w:rsidRPr="00EA2C5D">
              <w:rPr>
                <w:lang w:val="lv-LV"/>
              </w:rPr>
              <w:t xml:space="preserve"> produkta realizācijas cen</w:t>
            </w:r>
            <w:r w:rsidR="00533138">
              <w:rPr>
                <w:lang w:val="lv-LV"/>
              </w:rPr>
              <w:t>u</w:t>
            </w:r>
            <w:r w:rsidR="00BF551E" w:rsidRPr="00EA2C5D">
              <w:rPr>
                <w:lang w:val="lv-LV"/>
              </w:rPr>
              <w:t>, jo tā ietv</w:t>
            </w:r>
            <w:r w:rsidRPr="00EA2C5D">
              <w:rPr>
                <w:lang w:val="lv-LV"/>
              </w:rPr>
              <w:t>e</w:t>
            </w:r>
            <w:r w:rsidR="00BF551E" w:rsidRPr="00EA2C5D">
              <w:rPr>
                <w:lang w:val="lv-LV"/>
              </w:rPr>
              <w:t xml:space="preserve">r arī produkta piegādes izmaksas, </w:t>
            </w:r>
            <w:r w:rsidR="00BF551E" w:rsidRPr="00DE4A1C">
              <w:rPr>
                <w:lang w:val="lv-LV"/>
              </w:rPr>
              <w:t>tādējādi vairāk līdzekļu iespējams atvēlēt produktu izdales un pasniegšanas izmaksām izglītības iestādē, piemēram, samaksa</w:t>
            </w:r>
            <w:r w:rsidR="00533138">
              <w:rPr>
                <w:lang w:val="lv-LV"/>
              </w:rPr>
              <w:t>i</w:t>
            </w:r>
            <w:r w:rsidR="00BF551E" w:rsidRPr="00DE4A1C">
              <w:rPr>
                <w:lang w:val="lv-LV"/>
              </w:rPr>
              <w:t xml:space="preserve"> personālam par glāžu mazgāšanu, piena izdales automātu </w:t>
            </w:r>
            <w:r w:rsidR="00DE4A1C" w:rsidRPr="00DE4A1C">
              <w:rPr>
                <w:lang w:val="lv-LV"/>
              </w:rPr>
              <w:t>apkop</w:t>
            </w:r>
            <w:r w:rsidR="00533138">
              <w:rPr>
                <w:lang w:val="lv-LV"/>
              </w:rPr>
              <w:t>i</w:t>
            </w:r>
            <w:r w:rsidR="00DE4A1C" w:rsidRPr="00DE4A1C">
              <w:rPr>
                <w:lang w:val="lv-LV"/>
              </w:rPr>
              <w:t xml:space="preserve"> </w:t>
            </w:r>
            <w:r w:rsidR="00BF551E" w:rsidRPr="00DE4A1C">
              <w:rPr>
                <w:lang w:val="lv-LV"/>
              </w:rPr>
              <w:t>un uzturēšan</w:t>
            </w:r>
            <w:r w:rsidR="00533138">
              <w:rPr>
                <w:lang w:val="lv-LV"/>
              </w:rPr>
              <w:t>u</w:t>
            </w:r>
            <w:r w:rsidR="00BF551E" w:rsidRPr="00DE4A1C">
              <w:rPr>
                <w:lang w:val="lv-LV"/>
              </w:rPr>
              <w:t xml:space="preserve"> u</w:t>
            </w:r>
            <w:r w:rsidR="00533138">
              <w:rPr>
                <w:lang w:val="lv-LV"/>
              </w:rPr>
              <w:t>.</w:t>
            </w:r>
            <w:r w:rsidR="00BF551E" w:rsidRPr="00DE4A1C">
              <w:rPr>
                <w:lang w:val="lv-LV"/>
              </w:rPr>
              <w:t>tml.</w:t>
            </w:r>
            <w:r w:rsidR="00533138">
              <w:rPr>
                <w:lang w:val="lv-LV"/>
              </w:rPr>
              <w:t>;</w:t>
            </w:r>
            <w:r w:rsidR="00BF551E" w:rsidRPr="00EA2C5D">
              <w:rPr>
                <w:lang w:val="lv-LV"/>
              </w:rPr>
              <w:t xml:space="preserve"> </w:t>
            </w:r>
          </w:p>
          <w:p w14:paraId="0D6D8FA4" w14:textId="14738BDE" w:rsidR="00016F1C" w:rsidRDefault="00533138" w:rsidP="00016F1C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4) </w:t>
            </w:r>
            <w:r>
              <w:rPr>
                <w:rFonts w:eastAsia="Times New Roman"/>
                <w:i/>
                <w:lang w:val="lv-LV"/>
              </w:rPr>
              <w:t>k</w:t>
            </w:r>
            <w:r w:rsidR="00EA2C5D" w:rsidRPr="00497DA6">
              <w:rPr>
                <w:rFonts w:eastAsia="Times New Roman"/>
                <w:i/>
                <w:lang w:val="lv-LV"/>
              </w:rPr>
              <w:t>valitatīv</w:t>
            </w:r>
            <w:r w:rsidR="00EA2C5D" w:rsidRPr="00EA2C5D">
              <w:rPr>
                <w:rFonts w:eastAsia="Times New Roman"/>
                <w:i/>
                <w:lang w:val="lv-LV"/>
              </w:rPr>
              <w:t>i</w:t>
            </w:r>
            <w:r w:rsidR="00EA2C5D" w:rsidRPr="00497DA6">
              <w:rPr>
                <w:rFonts w:eastAsia="Times New Roman"/>
                <w:i/>
                <w:lang w:val="lv-LV"/>
              </w:rPr>
              <w:t xml:space="preserve"> un izsekojam</w:t>
            </w:r>
            <w:r w:rsidR="00EA2C5D" w:rsidRPr="00EA2C5D">
              <w:rPr>
                <w:rFonts w:eastAsia="Times New Roman"/>
                <w:i/>
                <w:lang w:val="lv-LV"/>
              </w:rPr>
              <w:t>i</w:t>
            </w:r>
            <w:r w:rsidR="00EA2C5D" w:rsidRPr="00497DA6">
              <w:rPr>
                <w:rFonts w:eastAsia="Times New Roman"/>
                <w:i/>
                <w:lang w:val="lv-LV"/>
              </w:rPr>
              <w:t xml:space="preserve"> produkt</w:t>
            </w:r>
            <w:r w:rsidR="00EA2C5D" w:rsidRPr="00EA2C5D">
              <w:rPr>
                <w:rFonts w:eastAsia="Times New Roman"/>
                <w:i/>
                <w:lang w:val="lv-LV"/>
              </w:rPr>
              <w:t>i</w:t>
            </w:r>
            <w:r w:rsidR="00EA2C5D" w:rsidRPr="00EA2C5D">
              <w:rPr>
                <w:rFonts w:eastAsia="Times New Roman"/>
                <w:lang w:val="lv-LV"/>
              </w:rPr>
              <w:t xml:space="preserve">. Bioloģiski ražoti produkti saskaņā ar šīs sadaļas </w:t>
            </w:r>
            <w:r w:rsidR="00EA2C5D">
              <w:rPr>
                <w:rFonts w:eastAsia="Times New Roman"/>
                <w:lang w:val="lv-LV"/>
              </w:rPr>
              <w:t>2</w:t>
            </w:r>
            <w:r w:rsidR="00EA2C5D" w:rsidRPr="00EA2C5D">
              <w:rPr>
                <w:rFonts w:eastAsia="Times New Roman"/>
                <w:lang w:val="lv-LV"/>
              </w:rPr>
              <w:t>.punktā min</w:t>
            </w:r>
            <w:r w:rsidR="00EA2C5D" w:rsidRPr="00443949">
              <w:rPr>
                <w:rFonts w:eastAsia="Times New Roman"/>
                <w:lang w:val="lv-LV"/>
              </w:rPr>
              <w:t xml:space="preserve">ēto </w:t>
            </w:r>
            <w:r w:rsidR="00EA2C5D" w:rsidRPr="00443949">
              <w:rPr>
                <w:lang w:val="lv-LV"/>
              </w:rPr>
              <w:t>dod vietējiem iedzīvotājiem vis</w:t>
            </w:r>
            <w:r>
              <w:rPr>
                <w:lang w:val="lv-LV"/>
              </w:rPr>
              <w:t xml:space="preserve">vairāk </w:t>
            </w:r>
            <w:r w:rsidR="00EA2C5D" w:rsidRPr="00443949">
              <w:rPr>
                <w:lang w:val="lv-LV"/>
              </w:rPr>
              <w:t>piemēroto pārtiku. S</w:t>
            </w:r>
            <w:r w:rsidR="00EA2C5D" w:rsidRPr="00EA2C5D">
              <w:rPr>
                <w:lang w:val="lv-LV"/>
              </w:rPr>
              <w:t xml:space="preserve">avukārt </w:t>
            </w:r>
            <w:r w:rsidR="00EA2C5D" w:rsidRPr="00497DA6">
              <w:rPr>
                <w:lang w:val="lv-LV" w:eastAsia="lv-LV"/>
              </w:rPr>
              <w:t xml:space="preserve">NPKS </w:t>
            </w:r>
            <w:r w:rsidR="00016F1C">
              <w:rPr>
                <w:lang w:val="lv-LV" w:eastAsia="lv-LV"/>
              </w:rPr>
              <w:t xml:space="preserve">visi produkta ražošanas posmi ir izsekojami un </w:t>
            </w:r>
            <w:r w:rsidR="00EA2C5D" w:rsidRPr="00497DA6">
              <w:rPr>
                <w:lang w:val="lv-LV"/>
              </w:rPr>
              <w:t>produkta pirmapstrādes un pārstrādes veicējs ir sertificēts atbilstoši nacionālās pārtikas kvalitātes shēmas prasībām</w:t>
            </w:r>
            <w:r w:rsidR="00016F1C">
              <w:rPr>
                <w:lang w:val="lv-LV"/>
              </w:rPr>
              <w:t>,</w:t>
            </w:r>
            <w:r w:rsidR="00EA2C5D" w:rsidRPr="00497DA6">
              <w:rPr>
                <w:lang w:val="lv-LV"/>
              </w:rPr>
              <w:t xml:space="preserve"> un gala produkts ir nonācis mazumtirdzniecībā vai tiešai piegādei galapatērētājam.</w:t>
            </w:r>
            <w:r w:rsidR="00ED57E5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Atbilstoši </w:t>
            </w:r>
            <w:r w:rsidR="00016F1C">
              <w:rPr>
                <w:lang w:val="lv-LV"/>
              </w:rPr>
              <w:t xml:space="preserve">NPKS ražoto produktu </w:t>
            </w:r>
            <w:r w:rsidR="00016F1C" w:rsidRPr="00517BC0">
              <w:rPr>
                <w:lang w:val="lv-LV"/>
              </w:rPr>
              <w:t xml:space="preserve">specifikas pamatā ir sīki izstrādātas prasības attiecībā uz lauksaimniecības metodēm, </w:t>
            </w:r>
            <w:r>
              <w:rPr>
                <w:lang w:val="lv-LV"/>
              </w:rPr>
              <w:t>un tās</w:t>
            </w:r>
            <w:r w:rsidR="00016F1C" w:rsidRPr="00517BC0">
              <w:rPr>
                <w:lang w:val="lv-LV"/>
              </w:rPr>
              <w:t xml:space="preserve"> nodrošina</w:t>
            </w:r>
            <w:r w:rsidR="00016F1C">
              <w:rPr>
                <w:lang w:val="lv-LV"/>
              </w:rPr>
              <w:t xml:space="preserve"> konkrētas īpašības un </w:t>
            </w:r>
            <w:r w:rsidR="00016F1C" w:rsidRPr="00517BC0">
              <w:rPr>
                <w:lang w:val="lv-LV"/>
              </w:rPr>
              <w:t>kvalitāti, ievērojami pārsniedz</w:t>
            </w:r>
            <w:r>
              <w:rPr>
                <w:lang w:val="lv-LV"/>
              </w:rPr>
              <w:t>ot</w:t>
            </w:r>
            <w:r w:rsidR="00016F1C" w:rsidRPr="00517BC0">
              <w:rPr>
                <w:lang w:val="lv-LV"/>
              </w:rPr>
              <w:t xml:space="preserve"> komerciālu preču standartus attiecībā uz sabiedrības, dzīvnieku vai augu veselību, dzīvnieku labturību vai vides aizsardzību</w:t>
            </w:r>
            <w:r w:rsidR="00016F1C">
              <w:rPr>
                <w:lang w:val="lv-LV"/>
              </w:rPr>
              <w:t>.</w:t>
            </w:r>
          </w:p>
          <w:p w14:paraId="762D8809" w14:textId="7E7EE6B6" w:rsidR="00C7304B" w:rsidRPr="00EA2C5D" w:rsidRDefault="00016F1C" w:rsidP="00ED57E5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517BC0">
              <w:rPr>
                <w:lang w:val="lv-LV"/>
              </w:rPr>
              <w:t xml:space="preserve"> </w:t>
            </w:r>
            <w:r w:rsidR="00EA2C5D" w:rsidRPr="00497DA6">
              <w:rPr>
                <w:lang w:val="lv-LV" w:eastAsia="lv-LV"/>
              </w:rPr>
              <w:t xml:space="preserve">  </w:t>
            </w:r>
          </w:p>
        </w:tc>
      </w:tr>
      <w:tr w:rsidR="004E6A12" w:rsidRPr="00EA2C5D" w14:paraId="026BCF87" w14:textId="77777777" w:rsidTr="00517BC0">
        <w:tc>
          <w:tcPr>
            <w:tcW w:w="325" w:type="pct"/>
          </w:tcPr>
          <w:p w14:paraId="6E995D60" w14:textId="14AA60E4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lastRenderedPageBreak/>
              <w:t>3.</w:t>
            </w:r>
          </w:p>
        </w:tc>
        <w:tc>
          <w:tcPr>
            <w:tcW w:w="2031" w:type="pct"/>
            <w:gridSpan w:val="2"/>
          </w:tcPr>
          <w:p w14:paraId="0CA02078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Projekta izstrādē iesaistītās institūcijas</w:t>
            </w:r>
          </w:p>
        </w:tc>
        <w:tc>
          <w:tcPr>
            <w:tcW w:w="2644" w:type="pct"/>
          </w:tcPr>
          <w:p w14:paraId="760A40FB" w14:textId="2FC98CEE" w:rsidR="00683260" w:rsidRPr="00EA2C5D" w:rsidRDefault="00406F79" w:rsidP="004E6A12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Lauku atbalsta dienests (</w:t>
            </w:r>
            <w:r w:rsidR="00533138">
              <w:rPr>
                <w:lang w:val="lv-LV"/>
              </w:rPr>
              <w:t xml:space="preserve">turpmāk – </w:t>
            </w:r>
            <w:r w:rsidRPr="00EA2C5D">
              <w:rPr>
                <w:lang w:val="lv-LV"/>
              </w:rPr>
              <w:t>LAD)</w:t>
            </w:r>
            <w:r w:rsidR="00533138">
              <w:rPr>
                <w:lang w:val="lv-LV"/>
              </w:rPr>
              <w:t xml:space="preserve"> un</w:t>
            </w:r>
            <w:r w:rsidR="009A332E" w:rsidRPr="00EA2C5D">
              <w:rPr>
                <w:lang w:val="lv-LV"/>
              </w:rPr>
              <w:t xml:space="preserve"> </w:t>
            </w:r>
            <w:r w:rsidR="00ED57E5">
              <w:rPr>
                <w:lang w:val="lv-LV"/>
              </w:rPr>
              <w:t>Pārtikas un veterinārais dienests (</w:t>
            </w:r>
            <w:r w:rsidR="00533138">
              <w:rPr>
                <w:lang w:val="lv-LV"/>
              </w:rPr>
              <w:t xml:space="preserve">turpmāk – </w:t>
            </w:r>
            <w:r w:rsidR="009A332E" w:rsidRPr="00EA2C5D">
              <w:rPr>
                <w:lang w:val="lv-LV"/>
              </w:rPr>
              <w:t>PVD</w:t>
            </w:r>
            <w:r w:rsidR="00ED57E5">
              <w:rPr>
                <w:lang w:val="lv-LV"/>
              </w:rPr>
              <w:t>)</w:t>
            </w:r>
            <w:r w:rsidR="000D58FB" w:rsidRPr="00EA2C5D">
              <w:rPr>
                <w:lang w:val="lv-LV"/>
              </w:rPr>
              <w:t>.</w:t>
            </w:r>
          </w:p>
        </w:tc>
      </w:tr>
      <w:tr w:rsidR="004E6A12" w:rsidRPr="00EA2C5D" w14:paraId="662936D4" w14:textId="77777777" w:rsidTr="00517BC0">
        <w:tc>
          <w:tcPr>
            <w:tcW w:w="325" w:type="pct"/>
          </w:tcPr>
          <w:p w14:paraId="7D0528B5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4.</w:t>
            </w:r>
          </w:p>
        </w:tc>
        <w:tc>
          <w:tcPr>
            <w:tcW w:w="2031" w:type="pct"/>
            <w:gridSpan w:val="2"/>
          </w:tcPr>
          <w:p w14:paraId="49F7B093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Cita informācija</w:t>
            </w:r>
          </w:p>
        </w:tc>
        <w:tc>
          <w:tcPr>
            <w:tcW w:w="2644" w:type="pct"/>
          </w:tcPr>
          <w:p w14:paraId="3E3DDBE2" w14:textId="77777777" w:rsidR="00683260" w:rsidRPr="00EA2C5D" w:rsidRDefault="006C3DF7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Nav</w:t>
            </w:r>
          </w:p>
        </w:tc>
      </w:tr>
      <w:tr w:rsidR="009A332E" w:rsidRPr="00EA2C5D" w14:paraId="0B493E9C" w14:textId="77777777" w:rsidTr="00517BC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95907" w14:textId="77777777" w:rsidR="00683260" w:rsidRPr="00EA2C5D" w:rsidRDefault="00683260" w:rsidP="00736A8F">
            <w:pPr>
              <w:pStyle w:val="naisf"/>
              <w:rPr>
                <w:b/>
                <w:lang w:val="lv-LV"/>
              </w:rPr>
            </w:pPr>
            <w:r w:rsidRPr="00EA2C5D">
              <w:rPr>
                <w:b/>
                <w:lang w:val="lv-LV"/>
              </w:rPr>
              <w:t>II. Tiesību akta projekta ietekme uz sabiedrību,</w:t>
            </w:r>
            <w:r w:rsidRPr="00EA2C5D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9A332E" w:rsidRPr="00EA2C5D" w14:paraId="2545CF8D" w14:textId="77777777" w:rsidTr="00517BC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F38AB7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1.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11D501F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Sabiedrības mērķ</w:t>
            </w:r>
            <w:r w:rsidR="000D58FB" w:rsidRPr="00EA2C5D">
              <w:rPr>
                <w:lang w:val="lv-LV"/>
              </w:rPr>
              <w:t xml:space="preserve">a </w:t>
            </w:r>
            <w:r w:rsidRPr="00EA2C5D">
              <w:rPr>
                <w:lang w:val="lv-LV"/>
              </w:rPr>
              <w:t>grupas, kuras tiesiskais regulējums ietekmē vai varētu ietekmēt</w:t>
            </w:r>
          </w:p>
        </w:tc>
        <w:tc>
          <w:tcPr>
            <w:tcW w:w="365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C976D3B" w14:textId="77777777" w:rsidR="009A332E" w:rsidRPr="00EA2C5D" w:rsidRDefault="009A332E" w:rsidP="009A332E">
            <w:pPr>
              <w:pStyle w:val="naiskr"/>
              <w:spacing w:before="0" w:after="0"/>
              <w:ind w:hanging="57"/>
              <w:jc w:val="both"/>
              <w:rPr>
                <w:iCs/>
              </w:rPr>
            </w:pPr>
            <w:r w:rsidRPr="00497DA6">
              <w:rPr>
                <w:iCs/>
              </w:rPr>
              <w:t>Mērķgrupa, uz kuru attiecināms projekta tiesiskais regulējums, ir:</w:t>
            </w:r>
          </w:p>
          <w:p w14:paraId="38466493" w14:textId="77777777" w:rsidR="009A332E" w:rsidRPr="00EA2C5D" w:rsidRDefault="009A332E" w:rsidP="009A332E">
            <w:pPr>
              <w:pStyle w:val="naiskr"/>
              <w:spacing w:before="0" w:after="0"/>
              <w:ind w:left="3"/>
              <w:jc w:val="both"/>
              <w:rPr>
                <w:iCs/>
              </w:rPr>
            </w:pPr>
            <w:r w:rsidRPr="00497DA6">
              <w:rPr>
                <w:b/>
                <w:iCs/>
              </w:rPr>
              <w:t xml:space="preserve">1) piena produktu ražotāji </w:t>
            </w:r>
            <w:r w:rsidRPr="00497DA6">
              <w:rPr>
                <w:iCs/>
              </w:rPr>
              <w:t>kā atbalsta pretendenti (kas piegādā piena produktus izglītības iestādēm);</w:t>
            </w:r>
          </w:p>
          <w:p w14:paraId="7F8D2F2B" w14:textId="77777777" w:rsidR="009A332E" w:rsidRPr="00EA2C5D" w:rsidRDefault="009A332E" w:rsidP="009A332E">
            <w:pPr>
              <w:pStyle w:val="naiskr"/>
              <w:spacing w:before="0" w:after="0"/>
              <w:ind w:left="3"/>
              <w:jc w:val="both"/>
              <w:rPr>
                <w:iCs/>
              </w:rPr>
            </w:pPr>
            <w:r w:rsidRPr="00497DA6">
              <w:rPr>
                <w:b/>
                <w:iCs/>
              </w:rPr>
              <w:t xml:space="preserve">2) pašvaldības </w:t>
            </w:r>
            <w:r w:rsidRPr="00497DA6">
              <w:rPr>
                <w:iCs/>
              </w:rPr>
              <w:t>kā atbalsta pretendenti (kas saistībā ar programmu organizē piena produktu piegādi vairākām savā pārziņā esošām izglītības iestādēm);</w:t>
            </w:r>
          </w:p>
          <w:p w14:paraId="665787AB" w14:textId="77777777" w:rsidR="009A332E" w:rsidRPr="00EA2C5D" w:rsidRDefault="009A332E" w:rsidP="009A332E">
            <w:pPr>
              <w:pStyle w:val="naiskr"/>
              <w:spacing w:before="0" w:after="0"/>
              <w:ind w:left="3"/>
              <w:jc w:val="both"/>
              <w:rPr>
                <w:b/>
                <w:iCs/>
              </w:rPr>
            </w:pPr>
            <w:r w:rsidRPr="00497DA6">
              <w:rPr>
                <w:b/>
                <w:iCs/>
              </w:rPr>
              <w:lastRenderedPageBreak/>
              <w:t>3)</w:t>
            </w:r>
            <w:r w:rsidRPr="00497DA6">
              <w:rPr>
                <w:iCs/>
              </w:rPr>
              <w:t xml:space="preserve"> </w:t>
            </w:r>
            <w:r w:rsidRPr="00497DA6">
              <w:rPr>
                <w:b/>
                <w:iCs/>
              </w:rPr>
              <w:t xml:space="preserve">Latvijas vispārējās izglītības iestādes (arī pirmsskolas) </w:t>
            </w:r>
            <w:r w:rsidRPr="00497DA6">
              <w:rPr>
                <w:iCs/>
              </w:rPr>
              <w:t>kā atbalsta pretendenti un atbalsta produktu realizācijas vietas</w:t>
            </w:r>
            <w:r w:rsidRPr="00497DA6">
              <w:rPr>
                <w:b/>
                <w:iCs/>
              </w:rPr>
              <w:t>;</w:t>
            </w:r>
          </w:p>
          <w:p w14:paraId="46FC9F7C" w14:textId="623052A9" w:rsidR="009A332E" w:rsidRPr="00EA2C5D" w:rsidRDefault="009A332E" w:rsidP="009A332E">
            <w:pPr>
              <w:pStyle w:val="naiskr"/>
              <w:spacing w:before="0" w:after="0"/>
              <w:ind w:left="3"/>
              <w:jc w:val="both"/>
              <w:rPr>
                <w:iCs/>
              </w:rPr>
            </w:pPr>
            <w:r w:rsidRPr="00497DA6">
              <w:rPr>
                <w:b/>
                <w:iCs/>
              </w:rPr>
              <w:t>4) Latvijas pirmskolas un vispārējās izglītības iestāžu 1.–9.klases izglītojamie</w:t>
            </w:r>
            <w:r w:rsidRPr="00497DA6">
              <w:rPr>
                <w:iCs/>
              </w:rPr>
              <w:t xml:space="preserve">, kas saskaņā ar </w:t>
            </w:r>
            <w:r w:rsidRPr="00497DA6">
              <w:t xml:space="preserve">regulas Nr.657/2008 </w:t>
            </w:r>
            <w:r w:rsidRPr="00497DA6">
              <w:rPr>
                <w:iCs/>
              </w:rPr>
              <w:t xml:space="preserve">2.panta un noteikumu Nr.106 3.punkta nosacījumiem ir valsts un Eiropas Savienības atbalsta valsts līdzfinansējuma daļas labuma guvēji, katru mācību dienu </w:t>
            </w:r>
            <w:r w:rsidR="00533138" w:rsidRPr="00497DA6">
              <w:rPr>
                <w:iCs/>
              </w:rPr>
              <w:t xml:space="preserve">bez maksas </w:t>
            </w:r>
            <w:r w:rsidRPr="00497DA6">
              <w:rPr>
                <w:iCs/>
              </w:rPr>
              <w:t xml:space="preserve">saņemot līdz 250 ml pasterizēta piena. </w:t>
            </w:r>
          </w:p>
          <w:p w14:paraId="647F3541" w14:textId="77777777" w:rsidR="009A332E" w:rsidRPr="00443949" w:rsidRDefault="009A332E" w:rsidP="009A332E">
            <w:pPr>
              <w:pStyle w:val="naiskr"/>
              <w:spacing w:before="0" w:after="0"/>
              <w:ind w:left="3"/>
              <w:jc w:val="both"/>
              <w:rPr>
                <w:iCs/>
              </w:rPr>
            </w:pPr>
          </w:p>
          <w:p w14:paraId="7F2AFD50" w14:textId="0631A40B" w:rsidR="009A332E" w:rsidRPr="00EA2C5D" w:rsidRDefault="009A332E" w:rsidP="009A332E">
            <w:pPr>
              <w:pStyle w:val="naiskr"/>
              <w:spacing w:before="0" w:after="0"/>
              <w:ind w:left="3"/>
              <w:jc w:val="both"/>
              <w:rPr>
                <w:iCs/>
              </w:rPr>
            </w:pPr>
            <w:r w:rsidRPr="00497DA6">
              <w:rPr>
                <w:iCs/>
              </w:rPr>
              <w:t xml:space="preserve">Pēc LAD informācijas, </w:t>
            </w:r>
            <w:r w:rsidR="00757679" w:rsidRPr="00497DA6">
              <w:rPr>
                <w:iCs/>
              </w:rPr>
              <w:t>201</w:t>
            </w:r>
            <w:r w:rsidR="00757679">
              <w:rPr>
                <w:iCs/>
              </w:rPr>
              <w:t>3</w:t>
            </w:r>
            <w:r w:rsidRPr="00497DA6">
              <w:rPr>
                <w:iCs/>
              </w:rPr>
              <w:t>./</w:t>
            </w:r>
            <w:r w:rsidR="00757679" w:rsidRPr="00497DA6">
              <w:rPr>
                <w:iCs/>
              </w:rPr>
              <w:t>201</w:t>
            </w:r>
            <w:r w:rsidR="00757679">
              <w:rPr>
                <w:iCs/>
              </w:rPr>
              <w:t>4</w:t>
            </w:r>
            <w:r w:rsidRPr="00497DA6">
              <w:rPr>
                <w:iCs/>
              </w:rPr>
              <w:t xml:space="preserve">.mācību gadā atbalsta programmā </w:t>
            </w:r>
            <w:r w:rsidR="00533138">
              <w:rPr>
                <w:iCs/>
              </w:rPr>
              <w:t xml:space="preserve">piedalījās </w:t>
            </w:r>
            <w:r w:rsidR="00757679" w:rsidRPr="00497DA6">
              <w:rPr>
                <w:iCs/>
              </w:rPr>
              <w:t>1</w:t>
            </w:r>
            <w:r w:rsidR="00757679">
              <w:rPr>
                <w:iCs/>
              </w:rPr>
              <w:t>92</w:t>
            </w:r>
            <w:r w:rsidRPr="00497DA6">
              <w:rPr>
                <w:iCs/>
              </w:rPr>
              <w:t>,</w:t>
            </w:r>
            <w:r w:rsidR="00757679">
              <w:rPr>
                <w:iCs/>
              </w:rPr>
              <w:t>4</w:t>
            </w:r>
            <w:r w:rsidR="00757679" w:rsidRPr="00497DA6">
              <w:rPr>
                <w:iCs/>
              </w:rPr>
              <w:t xml:space="preserve"> </w:t>
            </w:r>
            <w:r w:rsidRPr="00497DA6">
              <w:rPr>
                <w:iCs/>
              </w:rPr>
              <w:t xml:space="preserve">tūkstoši pirmsskolas un 1.–12.klases izglītojamo </w:t>
            </w:r>
            <w:r w:rsidR="00757679" w:rsidRPr="00497DA6">
              <w:rPr>
                <w:iCs/>
              </w:rPr>
              <w:t>8</w:t>
            </w:r>
            <w:r w:rsidR="00757679">
              <w:rPr>
                <w:iCs/>
              </w:rPr>
              <w:t>9</w:t>
            </w:r>
            <w:r w:rsidR="00757679" w:rsidRPr="00497DA6">
              <w:rPr>
                <w:iCs/>
              </w:rPr>
              <w:t xml:space="preserve">7 </w:t>
            </w:r>
            <w:r w:rsidRPr="00497DA6">
              <w:rPr>
                <w:iCs/>
              </w:rPr>
              <w:t xml:space="preserve">izglītības iestādēs. Apmēram 99% no šiem izglītojamiem saņēma bezmaksas pienu saistībā ar programmu. Turklāt programmā </w:t>
            </w:r>
            <w:r w:rsidR="00533138">
              <w:rPr>
                <w:iCs/>
              </w:rPr>
              <w:t xml:space="preserve">kopumā </w:t>
            </w:r>
            <w:r w:rsidRPr="00497DA6">
              <w:rPr>
                <w:iCs/>
              </w:rPr>
              <w:t xml:space="preserve">piedalījās </w:t>
            </w:r>
            <w:r w:rsidR="00757679" w:rsidRPr="00497DA6">
              <w:rPr>
                <w:iCs/>
              </w:rPr>
              <w:t>11</w:t>
            </w:r>
            <w:r w:rsidR="00757679">
              <w:rPr>
                <w:iCs/>
              </w:rPr>
              <w:t>7</w:t>
            </w:r>
            <w:r w:rsidR="00757679" w:rsidRPr="00497DA6">
              <w:rPr>
                <w:iCs/>
              </w:rPr>
              <w:t xml:space="preserve"> </w:t>
            </w:r>
            <w:r w:rsidRPr="00497DA6">
              <w:rPr>
                <w:iCs/>
              </w:rPr>
              <w:t xml:space="preserve">atbalsta pretendentu. </w:t>
            </w:r>
          </w:p>
          <w:p w14:paraId="2F44EC2F" w14:textId="72E0132E" w:rsidR="009A332E" w:rsidRPr="00497DA6" w:rsidRDefault="009A332E" w:rsidP="009A332E">
            <w:pPr>
              <w:pStyle w:val="naiskr"/>
              <w:spacing w:before="0" w:after="0"/>
              <w:ind w:left="3"/>
              <w:jc w:val="both"/>
              <w:rPr>
                <w:iCs/>
              </w:rPr>
            </w:pPr>
            <w:r w:rsidRPr="00497DA6">
              <w:rPr>
                <w:iCs/>
              </w:rPr>
              <w:t xml:space="preserve">Pēc Izglītības un zinātnes ministrijas tīmekļa vietnē ievietotās informācijas, </w:t>
            </w:r>
            <w:r w:rsidR="00757679" w:rsidRPr="00497DA6">
              <w:rPr>
                <w:iCs/>
              </w:rPr>
              <w:t>201</w:t>
            </w:r>
            <w:r w:rsidR="00757679">
              <w:rPr>
                <w:iCs/>
              </w:rPr>
              <w:t>3</w:t>
            </w:r>
            <w:r w:rsidRPr="00497DA6">
              <w:rPr>
                <w:iCs/>
              </w:rPr>
              <w:t>./</w:t>
            </w:r>
            <w:r w:rsidR="00757679" w:rsidRPr="00497DA6">
              <w:rPr>
                <w:iCs/>
              </w:rPr>
              <w:t>201</w:t>
            </w:r>
            <w:r w:rsidR="00757679">
              <w:rPr>
                <w:iCs/>
              </w:rPr>
              <w:t>4</w:t>
            </w:r>
            <w:r w:rsidRPr="00497DA6">
              <w:rPr>
                <w:iCs/>
              </w:rPr>
              <w:t>.mācību gadā Latvijas pirmsskolas un vispārējās izglītības iestāžu 1.–9.klases izglītojamo kopējais skaits bija 246,</w:t>
            </w:r>
            <w:r w:rsidR="00757679">
              <w:rPr>
                <w:iCs/>
              </w:rPr>
              <w:t>6</w:t>
            </w:r>
            <w:r w:rsidR="00757679" w:rsidRPr="00497DA6">
              <w:rPr>
                <w:iCs/>
              </w:rPr>
              <w:t xml:space="preserve"> </w:t>
            </w:r>
            <w:r w:rsidRPr="00497DA6">
              <w:rPr>
                <w:iCs/>
              </w:rPr>
              <w:t xml:space="preserve">tūkstoši, tātad bezmaksas pienu saņēma aptuveni </w:t>
            </w:r>
            <w:r w:rsidR="00757679" w:rsidRPr="00757679">
              <w:rPr>
                <w:iCs/>
              </w:rPr>
              <w:t>7</w:t>
            </w:r>
            <w:r w:rsidR="00757679" w:rsidRPr="00517BC0">
              <w:rPr>
                <w:iCs/>
              </w:rPr>
              <w:t>8</w:t>
            </w:r>
            <w:r w:rsidRPr="00757679">
              <w:rPr>
                <w:iCs/>
              </w:rPr>
              <w:t>% šo</w:t>
            </w:r>
            <w:r w:rsidRPr="00497DA6">
              <w:rPr>
                <w:iCs/>
              </w:rPr>
              <w:t xml:space="preserve"> izglītojamo. </w:t>
            </w:r>
          </w:p>
          <w:p w14:paraId="0225A650" w14:textId="194CBA3C" w:rsidR="009A332E" w:rsidRPr="00497DA6" w:rsidRDefault="009A332E" w:rsidP="00497DA6">
            <w:pPr>
              <w:pStyle w:val="naiskr"/>
              <w:spacing w:before="0" w:after="0"/>
              <w:ind w:left="3"/>
              <w:jc w:val="both"/>
              <w:rPr>
                <w:iCs/>
              </w:rPr>
            </w:pPr>
            <w:r w:rsidRPr="00497DA6">
              <w:rPr>
                <w:iCs/>
              </w:rPr>
              <w:t>Paš</w:t>
            </w:r>
            <w:r w:rsidR="00533138">
              <w:rPr>
                <w:iCs/>
              </w:rPr>
              <w:t>laik</w:t>
            </w:r>
            <w:r w:rsidRPr="00497DA6">
              <w:rPr>
                <w:iCs/>
              </w:rPr>
              <w:t xml:space="preserve"> vēl nav pieejama </w:t>
            </w:r>
            <w:r w:rsidR="00757679">
              <w:rPr>
                <w:iCs/>
              </w:rPr>
              <w:t>pilna informācija par izglītojamo skaitu Latvijā 2014./2015.mācību gadā</w:t>
            </w:r>
            <w:r w:rsidRPr="00497DA6">
              <w:rPr>
                <w:iCs/>
              </w:rPr>
              <w:t xml:space="preserve">. </w:t>
            </w:r>
          </w:p>
          <w:p w14:paraId="7969F95D" w14:textId="77777777" w:rsidR="009A332E" w:rsidRPr="00497DA6" w:rsidRDefault="009A332E" w:rsidP="00497DA6">
            <w:pPr>
              <w:pStyle w:val="naiskr"/>
              <w:spacing w:before="0" w:after="0"/>
              <w:ind w:left="3"/>
              <w:jc w:val="both"/>
              <w:rPr>
                <w:iCs/>
              </w:rPr>
            </w:pPr>
            <w:r w:rsidRPr="00497DA6">
              <w:rPr>
                <w:iCs/>
              </w:rPr>
              <w:t>Projektā ietvertie grozījumi neparedz izglītojamo skaita pieaugumu.</w:t>
            </w:r>
          </w:p>
          <w:p w14:paraId="0670825D" w14:textId="6152E087" w:rsidR="00DB2017" w:rsidRPr="00EA2C5D" w:rsidRDefault="00DB2017" w:rsidP="00281417">
            <w:pPr>
              <w:pStyle w:val="naisf"/>
              <w:rPr>
                <w:lang w:val="lv-LV"/>
              </w:rPr>
            </w:pPr>
          </w:p>
        </w:tc>
      </w:tr>
      <w:tr w:rsidR="009A332E" w:rsidRPr="005C3B1F" w14:paraId="70F79B41" w14:textId="77777777" w:rsidTr="00517BC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59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2381CAF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lastRenderedPageBreak/>
              <w:t>2.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DB10B7D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44394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65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D6EB2FD" w14:textId="77777777" w:rsidR="00B31248" w:rsidRDefault="00B31248" w:rsidP="00DE4A1C">
            <w:pPr>
              <w:pStyle w:val="naisf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006C0F">
              <w:rPr>
                <w:lang w:val="lv-LV"/>
              </w:rPr>
              <w:t>abiedrības grupām un institūcijām projekta tiesiskais regulējums nemaina tiesības un pienākumus, kā arī veicamās darbības</w:t>
            </w:r>
            <w:r>
              <w:rPr>
                <w:lang w:val="lv-LV"/>
              </w:rPr>
              <w:t>.</w:t>
            </w:r>
          </w:p>
          <w:p w14:paraId="5D892259" w14:textId="31777999" w:rsidR="00773A3D" w:rsidRPr="00EA2C5D" w:rsidRDefault="00773A3D" w:rsidP="00497A95">
            <w:pPr>
              <w:pStyle w:val="naisf"/>
              <w:rPr>
                <w:lang w:val="lv-LV"/>
              </w:rPr>
            </w:pPr>
          </w:p>
        </w:tc>
      </w:tr>
      <w:tr w:rsidR="009A332E" w:rsidRPr="00EA2C5D" w14:paraId="325074AF" w14:textId="77777777" w:rsidTr="00517BC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0BEE2B" w14:textId="3AD54AAF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3.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BCD4A4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443949">
              <w:rPr>
                <w:lang w:val="lv-LV"/>
              </w:rPr>
              <w:t>Administratīvo izmaksu monetārs novērtējums</w:t>
            </w:r>
          </w:p>
        </w:tc>
        <w:tc>
          <w:tcPr>
            <w:tcW w:w="365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1367C6E" w14:textId="17AF9995" w:rsidR="00683260" w:rsidRPr="00EA2C5D" w:rsidRDefault="00B31248" w:rsidP="00736A8F">
            <w:pPr>
              <w:pStyle w:val="naisf"/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9A332E" w:rsidRPr="00EA2C5D" w14:paraId="69C1A30C" w14:textId="77777777" w:rsidTr="00517BC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399268E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4.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568EC47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Cita informācija</w:t>
            </w:r>
          </w:p>
        </w:tc>
        <w:tc>
          <w:tcPr>
            <w:tcW w:w="365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3D3FB4" w14:textId="77777777" w:rsidR="00683260" w:rsidRPr="00EA2C5D" w:rsidRDefault="006C3DF7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Nav</w:t>
            </w:r>
          </w:p>
        </w:tc>
      </w:tr>
    </w:tbl>
    <w:p w14:paraId="4498E837" w14:textId="77777777" w:rsidR="00683260" w:rsidRPr="00EA2C5D" w:rsidRDefault="00683260" w:rsidP="00683260">
      <w:pPr>
        <w:pStyle w:val="naisf"/>
        <w:spacing w:before="0" w:beforeAutospacing="0" w:after="0" w:afterAutospacing="0"/>
        <w:rPr>
          <w:i/>
          <w:lang w:val="lv-LV"/>
        </w:rPr>
      </w:pPr>
    </w:p>
    <w:p w14:paraId="39114C30" w14:textId="6DD58D70" w:rsidR="009B0DF3" w:rsidRPr="00EA2C5D" w:rsidRDefault="009B0DF3" w:rsidP="00683260">
      <w:pPr>
        <w:pStyle w:val="naisf"/>
        <w:spacing w:before="0" w:beforeAutospacing="0" w:after="0" w:afterAutospacing="0"/>
        <w:rPr>
          <w:i/>
          <w:lang w:val="lv-LV"/>
        </w:rPr>
      </w:pPr>
      <w:r w:rsidRPr="00EA2C5D">
        <w:rPr>
          <w:i/>
          <w:lang w:val="lv-LV"/>
        </w:rPr>
        <w:t xml:space="preserve">Anotācijas III, IV </w:t>
      </w:r>
      <w:r w:rsidR="00922BE6">
        <w:rPr>
          <w:i/>
          <w:lang w:val="lv-LV"/>
        </w:rPr>
        <w:t xml:space="preserve">un V </w:t>
      </w:r>
      <w:r w:rsidRPr="00EA2C5D">
        <w:rPr>
          <w:i/>
          <w:lang w:val="lv-LV"/>
        </w:rPr>
        <w:t>sadaļa</w:t>
      </w:r>
      <w:r w:rsidR="00922BE6">
        <w:rPr>
          <w:i/>
          <w:lang w:val="lv-LV"/>
        </w:rPr>
        <w:t>s 2.tabula</w:t>
      </w:r>
      <w:r w:rsidRPr="00EA2C5D">
        <w:rPr>
          <w:i/>
          <w:lang w:val="lv-LV"/>
        </w:rPr>
        <w:t xml:space="preserve"> – projekts šo jomu neskar</w:t>
      </w:r>
      <w:r w:rsidR="00922BE6">
        <w:rPr>
          <w:i/>
          <w:lang w:val="lv-LV"/>
        </w:rPr>
        <w:t>.</w:t>
      </w:r>
    </w:p>
    <w:p w14:paraId="67A4AED8" w14:textId="77777777" w:rsidR="009B0DF3" w:rsidRPr="00EA2C5D" w:rsidRDefault="009B0DF3" w:rsidP="00683260">
      <w:pPr>
        <w:pStyle w:val="naisf"/>
        <w:spacing w:before="0" w:beforeAutospacing="0" w:after="0" w:afterAutospacing="0"/>
        <w:rPr>
          <w:i/>
          <w:lang w:val="lv-LV"/>
        </w:rPr>
      </w:pPr>
    </w:p>
    <w:tbl>
      <w:tblPr>
        <w:tblW w:w="4844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2351"/>
        <w:gridCol w:w="5860"/>
      </w:tblGrid>
      <w:tr w:rsidR="00683260" w:rsidRPr="00EA2C5D" w14:paraId="785C1593" w14:textId="77777777" w:rsidTr="007C39A4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47367" w14:textId="77777777" w:rsidR="00683260" w:rsidRPr="00EA2C5D" w:rsidRDefault="00683260" w:rsidP="001A6974">
            <w:pPr>
              <w:pStyle w:val="naisf"/>
              <w:rPr>
                <w:b/>
                <w:bCs/>
                <w:lang w:val="lv-LV"/>
              </w:rPr>
            </w:pPr>
            <w:r w:rsidRPr="00EA2C5D">
              <w:rPr>
                <w:b/>
                <w:bCs/>
                <w:lang w:val="lv-LV"/>
              </w:rPr>
              <w:t xml:space="preserve">V. Tiesību akta projekta </w:t>
            </w:r>
            <w:r w:rsidR="001A6974" w:rsidRPr="00EA2C5D">
              <w:rPr>
                <w:b/>
                <w:bCs/>
                <w:lang w:val="lv-LV"/>
              </w:rPr>
              <w:t>atbilstība Latvijas Republikas starptautiskajām saistībām</w:t>
            </w:r>
          </w:p>
        </w:tc>
      </w:tr>
      <w:tr w:rsidR="00683260" w:rsidRPr="00EA2C5D" w14:paraId="0C2D278B" w14:textId="77777777" w:rsidTr="007C39A4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49C76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1.</w:t>
            </w:r>
          </w:p>
        </w:tc>
        <w:tc>
          <w:tcPr>
            <w:tcW w:w="1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36901" w14:textId="77777777" w:rsidR="00683260" w:rsidRPr="00EA2C5D" w:rsidRDefault="001A6974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Saistības pret Eiropas Savienību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03B3C" w14:textId="10B295D7" w:rsidR="009B0DF3" w:rsidRPr="00EA2C5D" w:rsidRDefault="00984B07" w:rsidP="004518D1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 xml:space="preserve">Regula Nr. </w:t>
            </w:r>
            <w:r w:rsidR="004518D1">
              <w:rPr>
                <w:lang w:val="lv-LV"/>
              </w:rPr>
              <w:t>1308</w:t>
            </w:r>
            <w:r w:rsidRPr="00EA2C5D">
              <w:rPr>
                <w:lang w:val="lv-LV"/>
              </w:rPr>
              <w:t>/20</w:t>
            </w:r>
            <w:r w:rsidR="004518D1">
              <w:rPr>
                <w:lang w:val="lv-LV"/>
              </w:rPr>
              <w:t>13</w:t>
            </w:r>
          </w:p>
        </w:tc>
      </w:tr>
      <w:tr w:rsidR="00683260" w:rsidRPr="00EA2C5D" w14:paraId="77D96CB6" w14:textId="77777777" w:rsidTr="007C39A4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52C28F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2.</w:t>
            </w:r>
          </w:p>
        </w:tc>
        <w:tc>
          <w:tcPr>
            <w:tcW w:w="1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EB13A" w14:textId="77777777" w:rsidR="00683260" w:rsidRPr="00EA2C5D" w:rsidRDefault="001A6974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Citas starptautiskās saistības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E1F0A2" w14:textId="77777777" w:rsidR="00683260" w:rsidRPr="00EA2C5D" w:rsidRDefault="00515ACE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Nav</w:t>
            </w:r>
          </w:p>
        </w:tc>
      </w:tr>
      <w:tr w:rsidR="00683260" w:rsidRPr="00EA2C5D" w14:paraId="0F66A42C" w14:textId="77777777" w:rsidTr="007C39A4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2C77AD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3.</w:t>
            </w:r>
          </w:p>
        </w:tc>
        <w:tc>
          <w:tcPr>
            <w:tcW w:w="1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F827E7" w14:textId="77777777" w:rsidR="00683260" w:rsidRPr="00EA2C5D" w:rsidRDefault="00683260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Cita informācija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F8CBB" w14:textId="77777777" w:rsidR="00683260" w:rsidRPr="00EA2C5D" w:rsidRDefault="00515ACE" w:rsidP="00736A8F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Nav</w:t>
            </w:r>
          </w:p>
        </w:tc>
      </w:tr>
    </w:tbl>
    <w:p w14:paraId="6FB4F557" w14:textId="77777777" w:rsidR="0036615E" w:rsidRPr="00497DA6" w:rsidRDefault="0036615E" w:rsidP="00683260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1842"/>
        <w:gridCol w:w="3125"/>
        <w:gridCol w:w="2430"/>
      </w:tblGrid>
      <w:tr w:rsidR="0036615E" w:rsidRPr="005C3B1F" w14:paraId="0B0B206C" w14:textId="77777777" w:rsidTr="0036615E">
        <w:trPr>
          <w:trHeight w:val="523"/>
          <w:jc w:val="center"/>
        </w:trPr>
        <w:tc>
          <w:tcPr>
            <w:tcW w:w="8854" w:type="dxa"/>
            <w:gridSpan w:val="4"/>
            <w:vAlign w:val="center"/>
          </w:tcPr>
          <w:p w14:paraId="0C34F4C8" w14:textId="77777777" w:rsidR="0036615E" w:rsidRPr="00EA2C5D" w:rsidRDefault="0036615E" w:rsidP="0036615E">
            <w:pPr>
              <w:jc w:val="center"/>
              <w:rPr>
                <w:b/>
                <w:bCs/>
                <w:lang w:val="lv-LV" w:eastAsia="lv-LV"/>
              </w:rPr>
            </w:pPr>
            <w:r w:rsidRPr="00EA2C5D">
              <w:rPr>
                <w:b/>
                <w:bCs/>
                <w:lang w:val="lv-LV" w:eastAsia="lv-LV"/>
              </w:rPr>
              <w:t xml:space="preserve">1.tabula </w:t>
            </w:r>
          </w:p>
          <w:p w14:paraId="669F5EF7" w14:textId="77777777" w:rsidR="0036615E" w:rsidRPr="00443949" w:rsidRDefault="0036615E" w:rsidP="0036615E">
            <w:pPr>
              <w:jc w:val="center"/>
              <w:rPr>
                <w:b/>
                <w:bCs/>
                <w:i/>
                <w:lang w:val="lv-LV" w:eastAsia="lv-LV"/>
              </w:rPr>
            </w:pPr>
            <w:r w:rsidRPr="00443949">
              <w:rPr>
                <w:b/>
                <w:bCs/>
                <w:lang w:val="lv-LV" w:eastAsia="lv-LV"/>
              </w:rPr>
              <w:t>Tiesību akta projekta atbilstība ES tiesību aktiem</w:t>
            </w:r>
          </w:p>
        </w:tc>
      </w:tr>
      <w:tr w:rsidR="0036615E" w:rsidRPr="00EA2C5D" w14:paraId="6748FB84" w14:textId="77777777" w:rsidTr="00515ACE">
        <w:trPr>
          <w:trHeight w:val="1252"/>
          <w:jc w:val="center"/>
        </w:trPr>
        <w:tc>
          <w:tcPr>
            <w:tcW w:w="1457" w:type="dxa"/>
            <w:vAlign w:val="center"/>
          </w:tcPr>
          <w:p w14:paraId="44E777EC" w14:textId="77777777" w:rsidR="0036615E" w:rsidRPr="00EA2C5D" w:rsidRDefault="0036615E" w:rsidP="0036615E">
            <w:pPr>
              <w:ind w:hanging="10"/>
              <w:jc w:val="center"/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 xml:space="preserve">Attiecīgā ES </w:t>
            </w:r>
            <w:r w:rsidRPr="00443949">
              <w:rPr>
                <w:rFonts w:eastAsia="Arial Unicode MS"/>
                <w:lang w:val="lv-LV"/>
              </w:rPr>
              <w:t>tiesību akta datums, numurs un nosaukums</w:t>
            </w:r>
          </w:p>
        </w:tc>
        <w:tc>
          <w:tcPr>
            <w:tcW w:w="7397" w:type="dxa"/>
            <w:gridSpan w:val="3"/>
            <w:vAlign w:val="center"/>
          </w:tcPr>
          <w:p w14:paraId="7EF06469" w14:textId="77777777" w:rsidR="0036615E" w:rsidRPr="00EA2C5D" w:rsidRDefault="0036615E" w:rsidP="0036615E">
            <w:pPr>
              <w:rPr>
                <w:rFonts w:eastAsia="Arial Unicode MS"/>
                <w:lang w:val="lv-LV"/>
              </w:rPr>
            </w:pPr>
          </w:p>
        </w:tc>
      </w:tr>
      <w:tr w:rsidR="0036615E" w:rsidRPr="00EA2C5D" w14:paraId="4113A2EE" w14:textId="77777777" w:rsidTr="00515ACE">
        <w:trPr>
          <w:trHeight w:val="165"/>
          <w:jc w:val="center"/>
        </w:trPr>
        <w:tc>
          <w:tcPr>
            <w:tcW w:w="1457" w:type="dxa"/>
            <w:vAlign w:val="center"/>
          </w:tcPr>
          <w:p w14:paraId="75E5DC07" w14:textId="77777777" w:rsidR="0036615E" w:rsidRPr="00EA2C5D" w:rsidRDefault="0036615E" w:rsidP="0036615E">
            <w:pPr>
              <w:jc w:val="center"/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A</w:t>
            </w:r>
          </w:p>
        </w:tc>
        <w:tc>
          <w:tcPr>
            <w:tcW w:w="1842" w:type="dxa"/>
            <w:vAlign w:val="center"/>
          </w:tcPr>
          <w:p w14:paraId="0E36FA06" w14:textId="77777777" w:rsidR="0036615E" w:rsidRPr="00EA2C5D" w:rsidRDefault="0036615E" w:rsidP="0036615E">
            <w:pPr>
              <w:jc w:val="center"/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B</w:t>
            </w:r>
          </w:p>
        </w:tc>
        <w:tc>
          <w:tcPr>
            <w:tcW w:w="3125" w:type="dxa"/>
            <w:vAlign w:val="center"/>
          </w:tcPr>
          <w:p w14:paraId="6E2266DC" w14:textId="77777777" w:rsidR="0036615E" w:rsidRPr="00EA2C5D" w:rsidRDefault="0036615E" w:rsidP="0036615E">
            <w:pPr>
              <w:jc w:val="center"/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C</w:t>
            </w:r>
          </w:p>
        </w:tc>
        <w:tc>
          <w:tcPr>
            <w:tcW w:w="2430" w:type="dxa"/>
            <w:vAlign w:val="center"/>
          </w:tcPr>
          <w:p w14:paraId="38D0E5FB" w14:textId="77777777" w:rsidR="0036615E" w:rsidRPr="00EA2C5D" w:rsidRDefault="0036615E" w:rsidP="0036615E">
            <w:pPr>
              <w:jc w:val="center"/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D</w:t>
            </w:r>
          </w:p>
        </w:tc>
      </w:tr>
      <w:tr w:rsidR="0036615E" w:rsidRPr="005C3B1F" w14:paraId="49D4CEB1" w14:textId="77777777" w:rsidTr="00515ACE">
        <w:trPr>
          <w:trHeight w:val="4708"/>
          <w:jc w:val="center"/>
        </w:trPr>
        <w:tc>
          <w:tcPr>
            <w:tcW w:w="1457" w:type="dxa"/>
          </w:tcPr>
          <w:p w14:paraId="295E48A6" w14:textId="77777777" w:rsidR="0036615E" w:rsidRPr="00EA2C5D" w:rsidRDefault="0036615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 xml:space="preserve">Attiecīgā ES tiesību akta panta numurs (uzskaitot katru tiesību akta </w:t>
            </w:r>
            <w:r w:rsidRPr="00EA2C5D">
              <w:rPr>
                <w:rFonts w:eastAsia="Arial Unicode MS"/>
                <w:lang w:val="lv-LV"/>
              </w:rPr>
              <w:br/>
              <w:t>vienību – pantu, daļu, punktu, apakšpunktu)</w:t>
            </w:r>
          </w:p>
        </w:tc>
        <w:tc>
          <w:tcPr>
            <w:tcW w:w="1842" w:type="dxa"/>
          </w:tcPr>
          <w:p w14:paraId="2115C706" w14:textId="77777777" w:rsidR="0036615E" w:rsidRPr="00EA2C5D" w:rsidRDefault="0036615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3125" w:type="dxa"/>
          </w:tcPr>
          <w:p w14:paraId="5B80E5EE" w14:textId="77777777" w:rsidR="0036615E" w:rsidRPr="00EA2C5D" w:rsidRDefault="0036615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Informācija par to, vai šīs tabulas A ailē minētās ES tiesību akta vienības tiek pārņemtas vai ieviestas pilnībā vai daļēji.</w:t>
            </w:r>
          </w:p>
          <w:p w14:paraId="7B01B080" w14:textId="77777777" w:rsidR="0036615E" w:rsidRPr="00EA2C5D" w:rsidRDefault="0036615E" w:rsidP="0036615E">
            <w:pPr>
              <w:rPr>
                <w:rFonts w:eastAsia="Arial Unicode MS"/>
                <w:lang w:val="lv-LV"/>
              </w:rPr>
            </w:pPr>
          </w:p>
          <w:p w14:paraId="0ADD24ED" w14:textId="77777777" w:rsidR="0036615E" w:rsidRPr="00EA2C5D" w:rsidRDefault="0036615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14:paraId="60DE467A" w14:textId="77777777" w:rsidR="0036615E" w:rsidRPr="00EA2C5D" w:rsidRDefault="0036615E" w:rsidP="0036615E">
            <w:pPr>
              <w:rPr>
                <w:rFonts w:eastAsia="Arial Unicode MS"/>
                <w:lang w:val="lv-LV"/>
              </w:rPr>
            </w:pPr>
          </w:p>
          <w:p w14:paraId="4A42A0DE" w14:textId="77777777" w:rsidR="0036615E" w:rsidRPr="00EA2C5D" w:rsidRDefault="0036615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Norāda institūciju, kas ir atbildīga par šo saistību izpildi pilnībā</w:t>
            </w:r>
          </w:p>
        </w:tc>
        <w:tc>
          <w:tcPr>
            <w:tcW w:w="2430" w:type="dxa"/>
          </w:tcPr>
          <w:p w14:paraId="792249B9" w14:textId="77777777" w:rsidR="0036615E" w:rsidRPr="00EA2C5D" w:rsidRDefault="0036615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Informācija par to, vai šīs tabulas B ailē minētās projekta vienības paredz stingrākas prasības nekā šīs tabulas A ailē minētās ES tiesību akta vienības.</w:t>
            </w:r>
          </w:p>
          <w:p w14:paraId="33733FAF" w14:textId="77777777" w:rsidR="0036615E" w:rsidRPr="00EA2C5D" w:rsidRDefault="0036615E" w:rsidP="0036615E">
            <w:pPr>
              <w:rPr>
                <w:rFonts w:eastAsia="Arial Unicode MS"/>
                <w:lang w:val="lv-LV"/>
              </w:rPr>
            </w:pPr>
          </w:p>
          <w:p w14:paraId="675EF19E" w14:textId="77777777" w:rsidR="0036615E" w:rsidRPr="00EA2C5D" w:rsidRDefault="0036615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EA2C5D">
                <w:rPr>
                  <w:rFonts w:eastAsia="Arial Unicode MS"/>
                  <w:lang w:val="lv-LV"/>
                </w:rPr>
                <w:t>akts</w:t>
              </w:r>
            </w:smartTag>
            <w:r w:rsidRPr="00EA2C5D">
              <w:rPr>
                <w:rFonts w:eastAsia="Arial Unicode MS"/>
                <w:lang w:val="lv-LV"/>
              </w:rPr>
              <w:t>, – norāda pamatojumu un samērīgumu.</w:t>
            </w:r>
          </w:p>
          <w:p w14:paraId="40681A75" w14:textId="77777777" w:rsidR="0036615E" w:rsidRPr="00EA2C5D" w:rsidRDefault="0036615E" w:rsidP="0036615E">
            <w:pPr>
              <w:rPr>
                <w:rFonts w:eastAsia="Arial Unicode MS"/>
                <w:lang w:val="lv-LV"/>
              </w:rPr>
            </w:pPr>
          </w:p>
          <w:p w14:paraId="74CBCF18" w14:textId="77777777" w:rsidR="0036615E" w:rsidRPr="00EA2C5D" w:rsidRDefault="0036615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BF551E" w:rsidRPr="00EA2C5D" w14:paraId="7A4DBA06" w14:textId="77777777" w:rsidTr="00515ACE">
        <w:trPr>
          <w:trHeight w:val="20"/>
          <w:jc w:val="center"/>
        </w:trPr>
        <w:tc>
          <w:tcPr>
            <w:tcW w:w="1457" w:type="dxa"/>
            <w:vAlign w:val="center"/>
          </w:tcPr>
          <w:p w14:paraId="040A49A0" w14:textId="482C1828" w:rsidR="00BF551E" w:rsidRPr="00443949" w:rsidRDefault="00BF551E" w:rsidP="00D97D1B">
            <w:pPr>
              <w:jc w:val="center"/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 xml:space="preserve">Regulas Nr.1308/2013 </w:t>
            </w:r>
            <w:proofErr w:type="gramStart"/>
            <w:r w:rsidRPr="00EA2C5D">
              <w:rPr>
                <w:rFonts w:eastAsia="Arial Unicode MS"/>
                <w:lang w:val="lv-LV"/>
              </w:rPr>
              <w:t>26.pant</w:t>
            </w:r>
            <w:r w:rsidR="00D97D1B">
              <w:rPr>
                <w:rFonts w:eastAsia="Arial Unicode MS"/>
                <w:lang w:val="lv-LV"/>
              </w:rPr>
              <w:t>s</w:t>
            </w:r>
            <w:proofErr w:type="gramEnd"/>
            <w:r w:rsidRPr="00EA2C5D">
              <w:rPr>
                <w:rFonts w:eastAsia="Arial Unicode MS"/>
                <w:lang w:val="lv-LV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B73321" w14:textId="4EF86C29" w:rsidR="00BF551E" w:rsidRPr="00EA2C5D" w:rsidRDefault="00D97D1B" w:rsidP="00D97D1B">
            <w:pPr>
              <w:jc w:val="center"/>
              <w:rPr>
                <w:rFonts w:eastAsia="Arial Unicode MS"/>
                <w:lang w:val="lv-LV"/>
              </w:rPr>
            </w:pPr>
            <w:r>
              <w:rPr>
                <w:rFonts w:eastAsia="Arial Unicode MS"/>
                <w:lang w:val="lv-LV"/>
              </w:rPr>
              <w:t>1.</w:t>
            </w:r>
            <w:r w:rsidR="00BF551E" w:rsidRPr="00EA2C5D">
              <w:rPr>
                <w:rFonts w:eastAsia="Arial Unicode MS"/>
                <w:lang w:val="lv-LV"/>
              </w:rPr>
              <w:t xml:space="preserve"> punkts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4312EB7" w14:textId="77777777" w:rsidR="00BF551E" w:rsidRPr="00EA2C5D" w:rsidRDefault="00BF551E" w:rsidP="0036615E">
            <w:pPr>
              <w:jc w:val="center"/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Ieviestas pilnībā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DD9DF07" w14:textId="77777777" w:rsidR="00BF551E" w:rsidRPr="00EA2C5D" w:rsidRDefault="00BF551E" w:rsidP="0036615E">
            <w:pPr>
              <w:jc w:val="center"/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Projekts stingrākas prasības neparedz</w:t>
            </w:r>
          </w:p>
        </w:tc>
      </w:tr>
      <w:tr w:rsidR="00BF551E" w:rsidRPr="005C3B1F" w14:paraId="61D2ED87" w14:textId="77777777" w:rsidTr="00515ACE">
        <w:trPr>
          <w:trHeight w:val="281"/>
          <w:jc w:val="center"/>
        </w:trPr>
        <w:tc>
          <w:tcPr>
            <w:tcW w:w="1457" w:type="dxa"/>
            <w:vAlign w:val="center"/>
          </w:tcPr>
          <w:p w14:paraId="74FFBFEF" w14:textId="77777777" w:rsidR="00BF551E" w:rsidRPr="00EA2C5D" w:rsidRDefault="00BF551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 xml:space="preserve">Kā ir izmantota ES tiesību aktā paredzētā rīcības brīvība dalībvalstij pārņemt vai ieviest noteiktas ES </w:t>
            </w:r>
            <w:r w:rsidRPr="00EA2C5D">
              <w:rPr>
                <w:rFonts w:eastAsia="Arial Unicode MS"/>
                <w:lang w:val="lv-LV"/>
              </w:rPr>
              <w:lastRenderedPageBreak/>
              <w:t>tiesību akta normas.</w:t>
            </w:r>
          </w:p>
          <w:p w14:paraId="12732EDC" w14:textId="77777777" w:rsidR="00BF551E" w:rsidRPr="00EA2C5D" w:rsidRDefault="00BF551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Kādēļ?</w:t>
            </w:r>
          </w:p>
        </w:tc>
        <w:tc>
          <w:tcPr>
            <w:tcW w:w="7397" w:type="dxa"/>
            <w:gridSpan w:val="3"/>
          </w:tcPr>
          <w:p w14:paraId="67D96B49" w14:textId="7757B3EE" w:rsidR="00BF551E" w:rsidRPr="00EA2C5D" w:rsidRDefault="00BF551E" w:rsidP="00497DA6">
            <w:pPr>
              <w:jc w:val="both"/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lastRenderedPageBreak/>
              <w:t>Projekts paredz papildu prasības produktiem, par kuru piegādi tiek piešķirts valsts līdzfinansējums. Tā kā šobrīd noteikumi Nr.</w:t>
            </w:r>
            <w:r w:rsidR="007408EC">
              <w:rPr>
                <w:rFonts w:eastAsia="Arial Unicode MS"/>
                <w:lang w:val="lv-LV"/>
              </w:rPr>
              <w:t>106</w:t>
            </w:r>
            <w:r w:rsidR="007408EC" w:rsidRPr="00EA2C5D">
              <w:rPr>
                <w:rFonts w:eastAsia="Arial Unicode MS"/>
                <w:lang w:val="lv-LV"/>
              </w:rPr>
              <w:t xml:space="preserve"> </w:t>
            </w:r>
            <w:r w:rsidRPr="00EA2C5D">
              <w:rPr>
                <w:rFonts w:eastAsia="Arial Unicode MS"/>
                <w:lang w:val="lv-LV"/>
              </w:rPr>
              <w:t>paredz valsts līdzfinansējum</w:t>
            </w:r>
            <w:r w:rsidR="00533138">
              <w:rPr>
                <w:rFonts w:eastAsia="Arial Unicode MS"/>
                <w:lang w:val="lv-LV"/>
              </w:rPr>
              <w:t xml:space="preserve">u </w:t>
            </w:r>
            <w:r w:rsidRPr="00EA2C5D">
              <w:rPr>
                <w:rFonts w:eastAsia="Arial Unicode MS"/>
                <w:lang w:val="lv-LV"/>
              </w:rPr>
              <w:t>piešķir</w:t>
            </w:r>
            <w:r w:rsidR="00533138">
              <w:rPr>
                <w:rFonts w:eastAsia="Arial Unicode MS"/>
                <w:lang w:val="lv-LV"/>
              </w:rPr>
              <w:t>t</w:t>
            </w:r>
            <w:r w:rsidRPr="00EA2C5D">
              <w:rPr>
                <w:rFonts w:eastAsia="Arial Unicode MS"/>
                <w:lang w:val="lv-LV"/>
              </w:rPr>
              <w:t xml:space="preserve"> tikai par pasterizēta piena piegādi, šīs </w:t>
            </w:r>
            <w:r w:rsidR="00757679">
              <w:rPr>
                <w:rFonts w:eastAsia="Arial Unicode MS"/>
                <w:lang w:val="lv-LV"/>
              </w:rPr>
              <w:t xml:space="preserve">papildu </w:t>
            </w:r>
            <w:r w:rsidRPr="00EA2C5D">
              <w:rPr>
                <w:rFonts w:eastAsia="Arial Unicode MS"/>
                <w:lang w:val="lv-LV"/>
              </w:rPr>
              <w:t>prasības attieksies tikai uz šādu pienu, ja tas piegādāts pirm</w:t>
            </w:r>
            <w:r w:rsidR="00533138">
              <w:rPr>
                <w:rFonts w:eastAsia="Arial Unicode MS"/>
                <w:lang w:val="lv-LV"/>
              </w:rPr>
              <w:t>s</w:t>
            </w:r>
            <w:r w:rsidRPr="00EA2C5D">
              <w:rPr>
                <w:rFonts w:eastAsia="Arial Unicode MS"/>
                <w:lang w:val="lv-LV"/>
              </w:rPr>
              <w:t>skolas un 1.</w:t>
            </w:r>
            <w:r w:rsidR="00533138">
              <w:rPr>
                <w:rFonts w:eastAsia="Arial Unicode MS"/>
                <w:lang w:val="lv-LV"/>
              </w:rPr>
              <w:t>–</w:t>
            </w:r>
            <w:r w:rsidRPr="00EA2C5D">
              <w:rPr>
                <w:rFonts w:eastAsia="Arial Unicode MS"/>
                <w:lang w:val="lv-LV"/>
              </w:rPr>
              <w:t>9.klases izglītojamiem, kā to paredz noteikumu Nr.</w:t>
            </w:r>
            <w:r w:rsidR="007408EC">
              <w:rPr>
                <w:rFonts w:eastAsia="Arial Unicode MS"/>
                <w:lang w:val="lv-LV"/>
              </w:rPr>
              <w:t>106</w:t>
            </w:r>
            <w:r w:rsidR="007408EC" w:rsidRPr="00EA2C5D">
              <w:rPr>
                <w:rFonts w:eastAsia="Arial Unicode MS"/>
                <w:lang w:val="lv-LV"/>
              </w:rPr>
              <w:t xml:space="preserve"> </w:t>
            </w:r>
            <w:r w:rsidRPr="00EA2C5D">
              <w:rPr>
                <w:rFonts w:eastAsia="Arial Unicode MS"/>
                <w:lang w:val="lv-LV"/>
              </w:rPr>
              <w:t xml:space="preserve">3.punkts. </w:t>
            </w:r>
          </w:p>
          <w:p w14:paraId="1AF5C6A8" w14:textId="3F817B9C" w:rsidR="00BF551E" w:rsidRPr="00EA2C5D" w:rsidRDefault="00BF551E" w:rsidP="00533138">
            <w:pPr>
              <w:jc w:val="both"/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 xml:space="preserve">Pasterizētam pienam turpmāk būs jāatbilst </w:t>
            </w:r>
            <w:r w:rsidR="00EA2C5D">
              <w:rPr>
                <w:rFonts w:eastAsia="Arial Unicode MS"/>
                <w:lang w:val="lv-LV"/>
              </w:rPr>
              <w:t xml:space="preserve">prasībām par ražošanu, </w:t>
            </w:r>
            <w:r w:rsidR="00533138">
              <w:rPr>
                <w:rFonts w:eastAsia="Arial Unicode MS"/>
                <w:lang w:val="lv-LV"/>
              </w:rPr>
              <w:t xml:space="preserve">kurā </w:t>
            </w:r>
            <w:r w:rsidR="00EA2C5D">
              <w:rPr>
                <w:rFonts w:eastAsia="Arial Unicode MS"/>
                <w:lang w:val="lv-LV"/>
              </w:rPr>
              <w:t>izmanto</w:t>
            </w:r>
            <w:r w:rsidR="00533138">
              <w:rPr>
                <w:rFonts w:eastAsia="Arial Unicode MS"/>
                <w:lang w:val="lv-LV"/>
              </w:rPr>
              <w:t>tas</w:t>
            </w:r>
            <w:r w:rsidR="00EA2C5D">
              <w:rPr>
                <w:rFonts w:eastAsia="Arial Unicode MS"/>
                <w:lang w:val="lv-LV"/>
              </w:rPr>
              <w:t xml:space="preserve"> </w:t>
            </w:r>
            <w:r w:rsidRPr="00EA2C5D">
              <w:rPr>
                <w:rFonts w:eastAsia="Arial Unicode MS"/>
                <w:lang w:val="lv-LV"/>
              </w:rPr>
              <w:t xml:space="preserve">bioloģiskās lauksaimniecības </w:t>
            </w:r>
            <w:r w:rsidR="00EA2C5D">
              <w:rPr>
                <w:rFonts w:eastAsia="Arial Unicode MS"/>
                <w:lang w:val="lv-LV"/>
              </w:rPr>
              <w:t>metodes</w:t>
            </w:r>
            <w:r w:rsidR="00533138">
              <w:rPr>
                <w:rFonts w:eastAsia="Arial Unicode MS"/>
                <w:lang w:val="lv-LV"/>
              </w:rPr>
              <w:t>,</w:t>
            </w:r>
            <w:r w:rsidR="00EA2C5D">
              <w:rPr>
                <w:rFonts w:eastAsia="Arial Unicode MS"/>
                <w:lang w:val="lv-LV"/>
              </w:rPr>
              <w:t xml:space="preserve"> </w:t>
            </w:r>
            <w:r w:rsidRPr="00EA2C5D">
              <w:rPr>
                <w:rFonts w:eastAsia="Arial Unicode MS"/>
                <w:lang w:val="lv-LV"/>
              </w:rPr>
              <w:t xml:space="preserve">vai </w:t>
            </w:r>
            <w:r w:rsidR="00757679" w:rsidRPr="00EA2C5D">
              <w:rPr>
                <w:rFonts w:eastAsia="Arial Unicode MS"/>
                <w:lang w:val="lv-LV"/>
              </w:rPr>
              <w:t>nacionālās pārtikas kvalitātes shēma</w:t>
            </w:r>
            <w:r w:rsidR="00757679">
              <w:rPr>
                <w:rFonts w:eastAsia="Arial Unicode MS"/>
                <w:lang w:val="lv-LV"/>
              </w:rPr>
              <w:t xml:space="preserve">s </w:t>
            </w:r>
            <w:r w:rsidR="00EA2C5D">
              <w:rPr>
                <w:rFonts w:eastAsia="Arial Unicode MS"/>
                <w:lang w:val="lv-LV"/>
              </w:rPr>
              <w:t>prasībām</w:t>
            </w:r>
            <w:r w:rsidR="00757679">
              <w:rPr>
                <w:rFonts w:eastAsia="Arial Unicode MS"/>
                <w:lang w:val="lv-LV"/>
              </w:rPr>
              <w:t>, un pien</w:t>
            </w:r>
            <w:r w:rsidR="00533138">
              <w:rPr>
                <w:rFonts w:eastAsia="Arial Unicode MS"/>
                <w:lang w:val="lv-LV"/>
              </w:rPr>
              <w:t>u</w:t>
            </w:r>
            <w:r w:rsidR="00757679">
              <w:rPr>
                <w:rFonts w:eastAsia="Arial Unicode MS"/>
                <w:lang w:val="lv-LV"/>
              </w:rPr>
              <w:t xml:space="preserve"> </w:t>
            </w:r>
            <w:r w:rsidR="00533138">
              <w:rPr>
                <w:rFonts w:eastAsia="Arial Unicode MS"/>
                <w:lang w:val="lv-LV"/>
              </w:rPr>
              <w:t>drīkstēs</w:t>
            </w:r>
            <w:r w:rsidR="00757679">
              <w:rPr>
                <w:rFonts w:eastAsia="Arial Unicode MS"/>
                <w:lang w:val="lv-LV"/>
              </w:rPr>
              <w:t xml:space="preserve"> transportēt </w:t>
            </w:r>
            <w:r w:rsidR="00533138">
              <w:rPr>
                <w:rFonts w:eastAsia="Arial Unicode MS"/>
                <w:lang w:val="lv-LV"/>
              </w:rPr>
              <w:t xml:space="preserve">ne </w:t>
            </w:r>
            <w:r w:rsidR="00757679">
              <w:rPr>
                <w:rFonts w:eastAsia="Arial Unicode MS"/>
                <w:lang w:val="lv-LV"/>
              </w:rPr>
              <w:t>tāl</w:t>
            </w:r>
            <w:r w:rsidR="00533138">
              <w:rPr>
                <w:rFonts w:eastAsia="Arial Unicode MS"/>
                <w:lang w:val="lv-LV"/>
              </w:rPr>
              <w:t>āk</w:t>
            </w:r>
            <w:r w:rsidR="00757679">
              <w:rPr>
                <w:rFonts w:eastAsia="Arial Unicode MS"/>
                <w:lang w:val="lv-LV"/>
              </w:rPr>
              <w:t xml:space="preserve"> par 250</w:t>
            </w:r>
            <w:r w:rsidR="00533138">
              <w:rPr>
                <w:rFonts w:eastAsia="Arial Unicode MS"/>
                <w:lang w:val="lv-LV"/>
              </w:rPr>
              <w:t> </w:t>
            </w:r>
            <w:r w:rsidR="00757679">
              <w:rPr>
                <w:rFonts w:eastAsia="Arial Unicode MS"/>
                <w:lang w:val="lv-LV"/>
              </w:rPr>
              <w:t xml:space="preserve">km no </w:t>
            </w:r>
            <w:r w:rsidR="00533138">
              <w:rPr>
                <w:rFonts w:eastAsia="Arial Unicode MS"/>
                <w:lang w:val="lv-LV"/>
              </w:rPr>
              <w:t xml:space="preserve">tā </w:t>
            </w:r>
            <w:r w:rsidR="00757679">
              <w:rPr>
                <w:rFonts w:eastAsia="Arial Unicode MS"/>
                <w:lang w:val="lv-LV"/>
              </w:rPr>
              <w:t xml:space="preserve">ražošanas uzņēmuma. </w:t>
            </w:r>
          </w:p>
        </w:tc>
      </w:tr>
      <w:tr w:rsidR="00BF551E" w:rsidRPr="00EA2C5D" w14:paraId="1330882A" w14:textId="77777777" w:rsidTr="00515ACE">
        <w:trPr>
          <w:trHeight w:val="913"/>
          <w:jc w:val="center"/>
        </w:trPr>
        <w:tc>
          <w:tcPr>
            <w:tcW w:w="1457" w:type="dxa"/>
            <w:vAlign w:val="center"/>
          </w:tcPr>
          <w:p w14:paraId="73EF2D5B" w14:textId="77777777" w:rsidR="00BF551E" w:rsidRPr="00EA2C5D" w:rsidRDefault="00BF551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lastRenderedPageBreak/>
              <w:t xml:space="preserve">Saistības sniegt paziņojumu ES institūcijām un ES dalībvalstīm atbilstoši normatīvajiem aktiem, kas regulē informācijas sniegšanu par tehnisko noteikumu, valsts atbalsta piešķiršanas un finanšu </w:t>
            </w:r>
            <w:r w:rsidRPr="00443949">
              <w:rPr>
                <w:rFonts w:eastAsia="Arial Unicode MS"/>
                <w:lang w:val="lv-LV"/>
              </w:rPr>
              <w:t>noteikumu (attiecībā uz monetāro politiku) projektiem</w:t>
            </w:r>
          </w:p>
        </w:tc>
        <w:tc>
          <w:tcPr>
            <w:tcW w:w="7397" w:type="dxa"/>
            <w:gridSpan w:val="3"/>
          </w:tcPr>
          <w:p w14:paraId="39ABE9AE" w14:textId="77777777" w:rsidR="00BF551E" w:rsidRPr="00EA2C5D" w:rsidRDefault="00BF551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Projekts šo jomu neskar.</w:t>
            </w:r>
          </w:p>
        </w:tc>
      </w:tr>
      <w:tr w:rsidR="00BF551E" w:rsidRPr="00EA2C5D" w14:paraId="7197E316" w14:textId="77777777" w:rsidTr="00515ACE">
        <w:trPr>
          <w:trHeight w:val="579"/>
          <w:jc w:val="center"/>
        </w:trPr>
        <w:tc>
          <w:tcPr>
            <w:tcW w:w="1457" w:type="dxa"/>
          </w:tcPr>
          <w:p w14:paraId="47E45F77" w14:textId="77777777" w:rsidR="00BF551E" w:rsidRPr="00EA2C5D" w:rsidRDefault="00BF551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Cita informācija</w:t>
            </w:r>
          </w:p>
        </w:tc>
        <w:tc>
          <w:tcPr>
            <w:tcW w:w="7397" w:type="dxa"/>
            <w:gridSpan w:val="3"/>
          </w:tcPr>
          <w:p w14:paraId="1F2F3884" w14:textId="77777777" w:rsidR="00BF551E" w:rsidRPr="00EA2C5D" w:rsidRDefault="00BF551E" w:rsidP="0036615E">
            <w:pPr>
              <w:rPr>
                <w:rFonts w:eastAsia="Arial Unicode MS"/>
                <w:lang w:val="lv-LV"/>
              </w:rPr>
            </w:pPr>
            <w:r w:rsidRPr="00EA2C5D">
              <w:rPr>
                <w:rFonts w:eastAsia="Arial Unicode MS"/>
                <w:lang w:val="lv-LV"/>
              </w:rPr>
              <w:t>Nav</w:t>
            </w:r>
          </w:p>
        </w:tc>
      </w:tr>
    </w:tbl>
    <w:p w14:paraId="6AEFB99A" w14:textId="77777777" w:rsidR="0036615E" w:rsidRPr="00497DA6" w:rsidRDefault="0036615E" w:rsidP="00683260">
      <w:pPr>
        <w:pStyle w:val="naisf"/>
        <w:spacing w:before="0" w:beforeAutospacing="0" w:after="0" w:afterAutospacing="0"/>
        <w:rPr>
          <w:lang w:val="lv-LV"/>
        </w:rPr>
      </w:pPr>
    </w:p>
    <w:p w14:paraId="4A5FB65B" w14:textId="77777777" w:rsidR="0036615E" w:rsidRPr="00497DA6" w:rsidRDefault="0036615E" w:rsidP="00683260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4813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2352"/>
        <w:gridCol w:w="5801"/>
      </w:tblGrid>
      <w:tr w:rsidR="009A332E" w:rsidRPr="005C3B1F" w14:paraId="3CB70456" w14:textId="77777777" w:rsidTr="002959A3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3A829" w14:textId="77777777" w:rsidR="009A332E" w:rsidRPr="00EA2C5D" w:rsidRDefault="009A332E" w:rsidP="00497DA6">
            <w:pPr>
              <w:pStyle w:val="naisf"/>
              <w:jc w:val="center"/>
              <w:rPr>
                <w:b/>
                <w:bCs/>
                <w:lang w:val="lv-LV"/>
              </w:rPr>
            </w:pPr>
            <w:r w:rsidRPr="00497DA6">
              <w:rPr>
                <w:b/>
                <w:bCs/>
                <w:lang w:val="lv-LV"/>
              </w:rPr>
              <w:t>VI. Sabiedrības līdzdalība un komunikācijas aktivitātes</w:t>
            </w:r>
          </w:p>
        </w:tc>
      </w:tr>
      <w:tr w:rsidR="009A332E" w:rsidRPr="005C3B1F" w14:paraId="56DB8660" w14:textId="77777777" w:rsidTr="002959A3"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2E301B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1.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865FC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497DA6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3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6D36C8" w14:textId="117DB6D8" w:rsidR="009A332E" w:rsidRPr="00EA2C5D" w:rsidRDefault="00BF551E" w:rsidP="00533138">
            <w:pPr>
              <w:pStyle w:val="naisf"/>
              <w:rPr>
                <w:lang w:val="lv-LV"/>
              </w:rPr>
            </w:pPr>
            <w:r w:rsidRPr="00443949">
              <w:rPr>
                <w:lang w:val="lv-LV"/>
              </w:rPr>
              <w:t xml:space="preserve">Projekts š.g. </w:t>
            </w:r>
            <w:r w:rsidR="00497A95">
              <w:rPr>
                <w:lang w:val="lv-LV"/>
              </w:rPr>
              <w:t>15</w:t>
            </w:r>
            <w:r w:rsidR="00497DA6">
              <w:rPr>
                <w:lang w:val="lv-LV"/>
              </w:rPr>
              <w:t xml:space="preserve">.oktobrī </w:t>
            </w:r>
            <w:r w:rsidRPr="00443949">
              <w:rPr>
                <w:lang w:val="lv-LV"/>
              </w:rPr>
              <w:t xml:space="preserve">tika izsūtīts viedokļu sniegšanai </w:t>
            </w:r>
            <w:r w:rsidRPr="00EA2C5D">
              <w:rPr>
                <w:lang w:val="lv-LV"/>
              </w:rPr>
              <w:t>Lauksaimnieku organizāciju sadarbības padomei, Latvijas Lauksaimniecības kooperatīvu asociācijai, Zemnieku Saeimai</w:t>
            </w:r>
            <w:r w:rsidR="00C3320F">
              <w:rPr>
                <w:lang w:val="lv-LV"/>
              </w:rPr>
              <w:t xml:space="preserve">, </w:t>
            </w:r>
            <w:r w:rsidRPr="00EA2C5D">
              <w:rPr>
                <w:lang w:val="lv-LV"/>
              </w:rPr>
              <w:t>Latvijas Piensaimnieku centrāla</w:t>
            </w:r>
            <w:r w:rsidR="00533138">
              <w:rPr>
                <w:lang w:val="lv-LV"/>
              </w:rPr>
              <w:t>ja</w:t>
            </w:r>
            <w:r w:rsidRPr="00EA2C5D">
              <w:rPr>
                <w:lang w:val="lv-LV"/>
              </w:rPr>
              <w:t>i savienībai</w:t>
            </w:r>
            <w:r w:rsidR="00C3320F">
              <w:rPr>
                <w:lang w:val="lv-LV"/>
              </w:rPr>
              <w:t xml:space="preserve"> un Latvijas Pārtikas uzņēmumu federācijai</w:t>
            </w:r>
            <w:r w:rsidR="00497DA6">
              <w:rPr>
                <w:lang w:val="lv-LV"/>
              </w:rPr>
              <w:t xml:space="preserve">. </w:t>
            </w:r>
          </w:p>
        </w:tc>
      </w:tr>
      <w:tr w:rsidR="009A332E" w:rsidRPr="00497DA6" w14:paraId="1DE03755" w14:textId="77777777" w:rsidTr="002959A3"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EE41F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2.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424B89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proofErr w:type="spellStart"/>
            <w:r w:rsidRPr="00443949">
              <w:t>Sabiedrības</w:t>
            </w:r>
            <w:proofErr w:type="spellEnd"/>
            <w:r w:rsidRPr="00443949">
              <w:t xml:space="preserve"> </w:t>
            </w:r>
            <w:proofErr w:type="spellStart"/>
            <w:r w:rsidRPr="00443949">
              <w:t>līdzdalība</w:t>
            </w:r>
            <w:proofErr w:type="spellEnd"/>
            <w:r w:rsidRPr="00443949">
              <w:t xml:space="preserve"> </w:t>
            </w:r>
            <w:proofErr w:type="spellStart"/>
            <w:r w:rsidRPr="00443949">
              <w:t>projekta</w:t>
            </w:r>
            <w:proofErr w:type="spellEnd"/>
            <w:r w:rsidRPr="00443949">
              <w:t xml:space="preserve"> </w:t>
            </w:r>
            <w:proofErr w:type="spellStart"/>
            <w:r w:rsidRPr="00443949">
              <w:t>izstrādē</w:t>
            </w:r>
            <w:proofErr w:type="spellEnd"/>
          </w:p>
        </w:tc>
        <w:tc>
          <w:tcPr>
            <w:tcW w:w="3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88B2E" w14:textId="7DDC277B" w:rsidR="009A332E" w:rsidRPr="00EA2C5D" w:rsidRDefault="00C3320F" w:rsidP="00497DA6">
            <w:pPr>
              <w:pStyle w:val="naisf"/>
              <w:rPr>
                <w:lang w:val="lv-LV"/>
              </w:rPr>
            </w:pPr>
            <w:r>
              <w:rPr>
                <w:lang w:val="lv-LV"/>
              </w:rPr>
              <w:t>Iebildumi netika saņemti</w:t>
            </w:r>
            <w:r w:rsidR="00533138">
              <w:rPr>
                <w:lang w:val="lv-LV"/>
              </w:rPr>
              <w:t>.</w:t>
            </w:r>
          </w:p>
        </w:tc>
      </w:tr>
      <w:tr w:rsidR="009A332E" w:rsidRPr="00497DA6" w14:paraId="4724762F" w14:textId="77777777" w:rsidTr="002959A3"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786A1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3.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B4A4A8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proofErr w:type="spellStart"/>
            <w:r w:rsidRPr="00443949">
              <w:t>Sabiedrības</w:t>
            </w:r>
            <w:proofErr w:type="spellEnd"/>
            <w:r w:rsidRPr="00443949">
              <w:t xml:space="preserve"> </w:t>
            </w:r>
            <w:proofErr w:type="spellStart"/>
            <w:r w:rsidRPr="00443949">
              <w:t>līdzdalības</w:t>
            </w:r>
            <w:proofErr w:type="spellEnd"/>
            <w:r w:rsidRPr="00443949">
              <w:t xml:space="preserve"> </w:t>
            </w:r>
            <w:proofErr w:type="spellStart"/>
            <w:r w:rsidRPr="00443949">
              <w:t>rezultāti</w:t>
            </w:r>
            <w:proofErr w:type="spellEnd"/>
          </w:p>
        </w:tc>
        <w:tc>
          <w:tcPr>
            <w:tcW w:w="3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1D9686" w14:textId="7D91B1DD" w:rsidR="009A332E" w:rsidRPr="00EA2C5D" w:rsidRDefault="00922BE6" w:rsidP="00922BE6">
            <w:pPr>
              <w:pStyle w:val="naisf"/>
              <w:rPr>
                <w:lang w:val="lv-LV"/>
              </w:rPr>
            </w:pPr>
            <w:r>
              <w:rPr>
                <w:lang w:val="lv-LV"/>
              </w:rPr>
              <w:t>Projekts šo jomu neskar</w:t>
            </w:r>
            <w:r w:rsidR="00C3320F">
              <w:rPr>
                <w:lang w:val="lv-LV"/>
              </w:rPr>
              <w:t>.</w:t>
            </w:r>
          </w:p>
        </w:tc>
      </w:tr>
      <w:tr w:rsidR="009A332E" w:rsidRPr="00EA2C5D" w14:paraId="7CB3CF10" w14:textId="77777777" w:rsidTr="002959A3"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6CB4E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4.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424E32" w14:textId="77777777" w:rsidR="009A332E" w:rsidRPr="00443949" w:rsidRDefault="009A332E" w:rsidP="002959A3">
            <w:pPr>
              <w:pStyle w:val="naisf"/>
              <w:rPr>
                <w:lang w:val="lv-LV"/>
              </w:rPr>
            </w:pPr>
            <w:r w:rsidRPr="00443949">
              <w:rPr>
                <w:lang w:val="lv-LV"/>
              </w:rPr>
              <w:t>Cita informācija</w:t>
            </w:r>
          </w:p>
        </w:tc>
        <w:tc>
          <w:tcPr>
            <w:tcW w:w="3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E6F0E0" w14:textId="2936E89F" w:rsidR="009A332E" w:rsidRPr="00EA2C5D" w:rsidRDefault="009A332E" w:rsidP="00497DA6">
            <w:pPr>
              <w:pStyle w:val="naisf"/>
              <w:rPr>
                <w:lang w:val="lv-LV"/>
              </w:rPr>
            </w:pPr>
            <w:proofErr w:type="spellStart"/>
            <w:r w:rsidRPr="00EA2C5D">
              <w:t>Nav</w:t>
            </w:r>
            <w:proofErr w:type="spellEnd"/>
          </w:p>
        </w:tc>
      </w:tr>
    </w:tbl>
    <w:p w14:paraId="191B853D" w14:textId="77777777" w:rsidR="009A332E" w:rsidRPr="00497DA6" w:rsidRDefault="009A332E" w:rsidP="00683260">
      <w:pPr>
        <w:pStyle w:val="naisf"/>
        <w:spacing w:before="0" w:beforeAutospacing="0" w:after="0" w:afterAutospacing="0"/>
        <w:rPr>
          <w:lang w:val="lv-LV"/>
        </w:rPr>
      </w:pPr>
    </w:p>
    <w:p w14:paraId="4FD32257" w14:textId="77777777" w:rsidR="009A332E" w:rsidRPr="00497DA6" w:rsidRDefault="009A332E" w:rsidP="00683260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4813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2352"/>
        <w:gridCol w:w="5801"/>
      </w:tblGrid>
      <w:tr w:rsidR="009A332E" w:rsidRPr="005C3B1F" w14:paraId="6A5B0DD3" w14:textId="77777777" w:rsidTr="002959A3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20D0A" w14:textId="77777777" w:rsidR="009A332E" w:rsidRPr="00443949" w:rsidRDefault="009A332E" w:rsidP="002959A3">
            <w:pPr>
              <w:pStyle w:val="naisf"/>
              <w:rPr>
                <w:b/>
                <w:bCs/>
                <w:lang w:val="lv-LV"/>
              </w:rPr>
            </w:pPr>
            <w:r w:rsidRPr="00443949">
              <w:rPr>
                <w:b/>
                <w:bCs/>
                <w:lang w:val="lv-LV"/>
              </w:rPr>
              <w:t>VII. Tiesību akta projekta izpildes nodrošināšana un tās ietekme uz institūcijām</w:t>
            </w:r>
          </w:p>
        </w:tc>
      </w:tr>
      <w:tr w:rsidR="009A332E" w:rsidRPr="00EA2C5D" w14:paraId="61C8E99A" w14:textId="77777777" w:rsidTr="002959A3"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E45A6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1.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2BDA9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443949">
              <w:rPr>
                <w:lang w:val="lv-LV"/>
              </w:rPr>
              <w:t>Projekta izpildē iesaistītās institūcijas</w:t>
            </w:r>
          </w:p>
        </w:tc>
        <w:tc>
          <w:tcPr>
            <w:tcW w:w="3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A2B365" w14:textId="0074478F" w:rsidR="009A332E" w:rsidRPr="00EA2C5D" w:rsidRDefault="00533138" w:rsidP="00922BE6">
            <w:pPr>
              <w:pStyle w:val="naisf"/>
              <w:rPr>
                <w:lang w:val="lv-LV"/>
              </w:rPr>
            </w:pPr>
            <w:r>
              <w:rPr>
                <w:lang w:val="lv-LV"/>
              </w:rPr>
              <w:t>LAD un PVD</w:t>
            </w:r>
          </w:p>
        </w:tc>
      </w:tr>
      <w:tr w:rsidR="009A332E" w:rsidRPr="00EA2C5D" w14:paraId="058C162D" w14:textId="77777777" w:rsidTr="002959A3"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6B6D2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lastRenderedPageBreak/>
              <w:t>2.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09C7C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1DD0272D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BB2ED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Projekts šo jomu neskar.</w:t>
            </w:r>
          </w:p>
        </w:tc>
      </w:tr>
      <w:tr w:rsidR="009A332E" w:rsidRPr="00EA2C5D" w14:paraId="603831BE" w14:textId="77777777" w:rsidTr="002959A3"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3B7B49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3.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58F8B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Cita informācija</w:t>
            </w:r>
          </w:p>
        </w:tc>
        <w:tc>
          <w:tcPr>
            <w:tcW w:w="3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9069D1" w14:textId="77777777" w:rsidR="009A332E" w:rsidRPr="00EA2C5D" w:rsidRDefault="009A332E" w:rsidP="002959A3">
            <w:pPr>
              <w:pStyle w:val="naisf"/>
              <w:rPr>
                <w:lang w:val="lv-LV"/>
              </w:rPr>
            </w:pPr>
            <w:r w:rsidRPr="00EA2C5D">
              <w:rPr>
                <w:lang w:val="lv-LV"/>
              </w:rPr>
              <w:t>Nav.</w:t>
            </w:r>
          </w:p>
        </w:tc>
      </w:tr>
    </w:tbl>
    <w:p w14:paraId="36096C08" w14:textId="77777777" w:rsidR="007C39A4" w:rsidRPr="00497DA6" w:rsidRDefault="007C39A4" w:rsidP="00683260">
      <w:pPr>
        <w:pStyle w:val="naisf"/>
        <w:spacing w:before="0" w:beforeAutospacing="0" w:after="0" w:afterAutospacing="0"/>
        <w:rPr>
          <w:lang w:val="lv-LV"/>
        </w:rPr>
      </w:pPr>
    </w:p>
    <w:p w14:paraId="7930CFF2" w14:textId="6CAC9026" w:rsidR="00EA2C5D" w:rsidRDefault="00EA2C5D" w:rsidP="00683260">
      <w:pPr>
        <w:pStyle w:val="naisf"/>
        <w:spacing w:before="0" w:beforeAutospacing="0" w:after="0" w:afterAutospacing="0"/>
        <w:rPr>
          <w:lang w:val="lv-LV"/>
        </w:rPr>
      </w:pPr>
    </w:p>
    <w:p w14:paraId="60A67731" w14:textId="77777777" w:rsidR="00EA2C5D" w:rsidRPr="00497DA6" w:rsidRDefault="00EA2C5D" w:rsidP="00683260">
      <w:pPr>
        <w:pStyle w:val="naisf"/>
        <w:spacing w:before="0" w:beforeAutospacing="0" w:after="0" w:afterAutospacing="0"/>
        <w:rPr>
          <w:lang w:val="lv-LV"/>
        </w:rPr>
      </w:pPr>
    </w:p>
    <w:p w14:paraId="6D376B70" w14:textId="77777777" w:rsidR="00683260" w:rsidRPr="00EA2C5D" w:rsidRDefault="00683260" w:rsidP="0068326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EA2C5D">
        <w:rPr>
          <w:sz w:val="28"/>
          <w:szCs w:val="28"/>
          <w:lang w:val="lv-LV"/>
        </w:rPr>
        <w:tab/>
        <w:t>Zemkopības ministrs</w:t>
      </w:r>
      <w:r w:rsidRPr="00EA2C5D">
        <w:rPr>
          <w:sz w:val="28"/>
          <w:szCs w:val="28"/>
          <w:lang w:val="lv-LV"/>
        </w:rPr>
        <w:tab/>
      </w:r>
      <w:r w:rsidRPr="00EA2C5D">
        <w:rPr>
          <w:sz w:val="28"/>
          <w:szCs w:val="28"/>
          <w:lang w:val="lv-LV"/>
        </w:rPr>
        <w:tab/>
      </w:r>
      <w:r w:rsidRPr="00EA2C5D">
        <w:rPr>
          <w:sz w:val="28"/>
          <w:szCs w:val="28"/>
          <w:lang w:val="lv-LV"/>
        </w:rPr>
        <w:tab/>
      </w:r>
      <w:r w:rsidRPr="00EA2C5D">
        <w:rPr>
          <w:sz w:val="28"/>
          <w:szCs w:val="28"/>
          <w:lang w:val="lv-LV"/>
        </w:rPr>
        <w:tab/>
      </w:r>
      <w:r w:rsidRPr="00EA2C5D">
        <w:rPr>
          <w:sz w:val="28"/>
          <w:szCs w:val="28"/>
          <w:lang w:val="lv-LV"/>
        </w:rPr>
        <w:tab/>
      </w:r>
      <w:r w:rsidRPr="00EA2C5D">
        <w:rPr>
          <w:sz w:val="28"/>
          <w:szCs w:val="28"/>
          <w:lang w:val="lv-LV"/>
        </w:rPr>
        <w:tab/>
      </w:r>
      <w:proofErr w:type="spellStart"/>
      <w:r w:rsidRPr="00EA2C5D">
        <w:rPr>
          <w:sz w:val="28"/>
          <w:szCs w:val="28"/>
          <w:lang w:val="lv-LV"/>
        </w:rPr>
        <w:t>J.Dūklavs</w:t>
      </w:r>
      <w:proofErr w:type="spellEnd"/>
    </w:p>
    <w:p w14:paraId="0221A353" w14:textId="77777777" w:rsidR="00683260" w:rsidRPr="00497DA6" w:rsidRDefault="00683260" w:rsidP="00683260">
      <w:pPr>
        <w:pStyle w:val="naisf"/>
        <w:spacing w:before="0" w:beforeAutospacing="0" w:after="0" w:afterAutospacing="0"/>
        <w:rPr>
          <w:lang w:val="lv-LV"/>
        </w:rPr>
      </w:pPr>
    </w:p>
    <w:p w14:paraId="5F834F89" w14:textId="77777777" w:rsidR="00683260" w:rsidRPr="00497DA6" w:rsidRDefault="00683260" w:rsidP="00683260">
      <w:pPr>
        <w:pStyle w:val="naisf"/>
        <w:spacing w:before="0" w:beforeAutospacing="0" w:after="0" w:afterAutospacing="0"/>
        <w:rPr>
          <w:lang w:val="lv-LV"/>
        </w:rPr>
      </w:pPr>
    </w:p>
    <w:p w14:paraId="4B8F374D" w14:textId="77777777" w:rsidR="00683260" w:rsidRPr="00497DA6" w:rsidRDefault="00683260" w:rsidP="00683260">
      <w:pPr>
        <w:pStyle w:val="naisf"/>
        <w:spacing w:before="0" w:beforeAutospacing="0" w:after="0" w:afterAutospacing="0"/>
        <w:rPr>
          <w:lang w:val="lv-LV"/>
        </w:rPr>
      </w:pPr>
    </w:p>
    <w:p w14:paraId="50497178" w14:textId="77777777" w:rsidR="00683260" w:rsidRPr="00497DA6" w:rsidRDefault="00683260" w:rsidP="00683260">
      <w:pPr>
        <w:pStyle w:val="naisf"/>
        <w:spacing w:before="0" w:beforeAutospacing="0" w:after="0" w:afterAutospacing="0"/>
        <w:rPr>
          <w:lang w:val="lv-LV"/>
        </w:rPr>
      </w:pPr>
    </w:p>
    <w:p w14:paraId="2C92E309" w14:textId="77777777" w:rsidR="00683260" w:rsidRPr="00497DA6" w:rsidRDefault="00683260" w:rsidP="00683260">
      <w:pPr>
        <w:pStyle w:val="naisf"/>
        <w:spacing w:before="0" w:beforeAutospacing="0" w:after="0" w:afterAutospacing="0"/>
        <w:rPr>
          <w:lang w:val="lv-LV"/>
        </w:rPr>
      </w:pPr>
    </w:p>
    <w:p w14:paraId="1A1C8CF7" w14:textId="77777777" w:rsidR="00683260" w:rsidRPr="00497DA6" w:rsidRDefault="00683260" w:rsidP="00683260">
      <w:pPr>
        <w:pStyle w:val="naisf"/>
        <w:spacing w:before="0" w:beforeAutospacing="0" w:after="0" w:afterAutospacing="0"/>
        <w:rPr>
          <w:lang w:val="lv-LV"/>
        </w:rPr>
      </w:pPr>
    </w:p>
    <w:p w14:paraId="54589827" w14:textId="77777777" w:rsidR="00683260" w:rsidRDefault="00683260" w:rsidP="00683260">
      <w:pPr>
        <w:pStyle w:val="naisf"/>
        <w:spacing w:before="0" w:beforeAutospacing="0" w:after="0" w:afterAutospacing="0"/>
        <w:rPr>
          <w:lang w:val="lv-LV"/>
        </w:rPr>
      </w:pPr>
    </w:p>
    <w:p w14:paraId="79FF5941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540FF91D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03D4B9F6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12EEBF7A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6C346C22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322532C3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58193795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5A7639AD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048F86EE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11380D37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2E5FA5AA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26632474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447A4ABC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2291EAE9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52EDB39A" w14:textId="77777777" w:rsidR="00C24457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040FF550" w14:textId="77777777" w:rsidR="00C24457" w:rsidRPr="00497DA6" w:rsidRDefault="00C24457" w:rsidP="00683260">
      <w:pPr>
        <w:pStyle w:val="naisf"/>
        <w:spacing w:before="0" w:beforeAutospacing="0" w:after="0" w:afterAutospacing="0"/>
        <w:rPr>
          <w:lang w:val="lv-LV"/>
        </w:rPr>
      </w:pPr>
    </w:p>
    <w:p w14:paraId="65D1E163" w14:textId="77777777" w:rsidR="00683260" w:rsidRPr="00497DA6" w:rsidRDefault="00683260" w:rsidP="00683260">
      <w:pPr>
        <w:pStyle w:val="naisf"/>
        <w:spacing w:before="0" w:beforeAutospacing="0" w:after="0" w:afterAutospacing="0"/>
        <w:rPr>
          <w:lang w:val="lv-LV"/>
        </w:rPr>
      </w:pPr>
    </w:p>
    <w:p w14:paraId="3FC08F45" w14:textId="77777777" w:rsidR="00683260" w:rsidRPr="00497DA6" w:rsidRDefault="00683260" w:rsidP="00683260">
      <w:pPr>
        <w:pStyle w:val="naisf"/>
        <w:spacing w:before="0" w:beforeAutospacing="0" w:after="0" w:afterAutospacing="0"/>
        <w:rPr>
          <w:lang w:val="lv-LV"/>
        </w:rPr>
      </w:pPr>
    </w:p>
    <w:p w14:paraId="59453104" w14:textId="77777777" w:rsidR="00683260" w:rsidRPr="00497DA6" w:rsidRDefault="00683260" w:rsidP="00683260">
      <w:pPr>
        <w:pStyle w:val="naisf"/>
        <w:spacing w:before="0" w:beforeAutospacing="0" w:after="0" w:afterAutospacing="0"/>
        <w:rPr>
          <w:lang w:val="lv-LV"/>
        </w:rPr>
      </w:pPr>
    </w:p>
    <w:p w14:paraId="57F7C8A2" w14:textId="77777777" w:rsidR="005C7EC1" w:rsidRPr="00C24457" w:rsidRDefault="005C7EC1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C24457">
        <w:rPr>
          <w:sz w:val="20"/>
          <w:szCs w:val="20"/>
          <w:lang w:val="lv-LV"/>
        </w:rPr>
        <w:t>08.01.2015. 13:35</w:t>
      </w:r>
    </w:p>
    <w:p w14:paraId="3F0FEFDF" w14:textId="77777777" w:rsidR="005C3B1F" w:rsidRDefault="005C3B1F" w:rsidP="004242B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1684</w:t>
      </w:r>
      <w:r>
        <w:rPr>
          <w:sz w:val="20"/>
          <w:szCs w:val="20"/>
          <w:lang w:val="lv-LV"/>
        </w:rPr>
        <w:fldChar w:fldCharType="end"/>
      </w:r>
    </w:p>
    <w:p w14:paraId="2CDA68E6" w14:textId="617213BB" w:rsidR="004242BE" w:rsidRPr="00C24457" w:rsidRDefault="00497DA6" w:rsidP="004242B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bookmarkStart w:id="2" w:name="_GoBack"/>
      <w:bookmarkEnd w:id="2"/>
      <w:r w:rsidRPr="00C24457">
        <w:rPr>
          <w:sz w:val="20"/>
          <w:szCs w:val="20"/>
          <w:lang w:val="lv-LV"/>
        </w:rPr>
        <w:t>I.Orlova</w:t>
      </w:r>
    </w:p>
    <w:p w14:paraId="51F7029D" w14:textId="0ACCC6C8" w:rsidR="004242BE" w:rsidRPr="00C24457" w:rsidRDefault="00497DA6" w:rsidP="004242B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C24457">
        <w:rPr>
          <w:sz w:val="20"/>
          <w:szCs w:val="20"/>
          <w:lang w:val="lv-LV"/>
        </w:rPr>
        <w:t>67027376</w:t>
      </w:r>
      <w:r w:rsidR="004242BE" w:rsidRPr="00C24457">
        <w:rPr>
          <w:sz w:val="20"/>
          <w:szCs w:val="20"/>
          <w:lang w:val="lv-LV"/>
        </w:rPr>
        <w:t xml:space="preserve">, </w:t>
      </w:r>
      <w:r w:rsidRPr="00C24457">
        <w:rPr>
          <w:sz w:val="20"/>
          <w:szCs w:val="20"/>
          <w:lang w:val="lv-LV"/>
        </w:rPr>
        <w:t>Inga.Orlova</w:t>
      </w:r>
      <w:r w:rsidR="00ED5261" w:rsidRPr="00C24457">
        <w:rPr>
          <w:sz w:val="20"/>
          <w:szCs w:val="20"/>
          <w:lang w:val="lv-LV"/>
        </w:rPr>
        <w:t>@zm.gov.lv</w:t>
      </w:r>
      <w:bookmarkEnd w:id="0"/>
      <w:bookmarkEnd w:id="1"/>
    </w:p>
    <w:sectPr w:rsidR="004242BE" w:rsidRPr="00C24457" w:rsidSect="00C7304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A5307" w14:textId="77777777" w:rsidR="00097F5D" w:rsidRDefault="00097F5D" w:rsidP="002232F9">
      <w:r>
        <w:separator/>
      </w:r>
    </w:p>
  </w:endnote>
  <w:endnote w:type="continuationSeparator" w:id="0">
    <w:p w14:paraId="08B90BB8" w14:textId="77777777" w:rsidR="00097F5D" w:rsidRDefault="00097F5D" w:rsidP="0022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55388" w14:textId="47C91093" w:rsidR="00984B07" w:rsidRPr="002232F9" w:rsidRDefault="00DE4A1C" w:rsidP="002232F9">
    <w:pPr>
      <w:pStyle w:val="Bezatstarpm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ZMAnot_</w:t>
    </w:r>
    <w:r w:rsidR="00D677EF">
      <w:rPr>
        <w:sz w:val="20"/>
        <w:szCs w:val="20"/>
        <w:lang w:val="lv-LV"/>
      </w:rPr>
      <w:t>080115</w:t>
    </w:r>
    <w:r>
      <w:rPr>
        <w:sz w:val="20"/>
        <w:szCs w:val="20"/>
        <w:lang w:val="lv-LV"/>
      </w:rPr>
      <w:t xml:space="preserve">_Skolaspiens; </w:t>
    </w:r>
    <w:r w:rsidRPr="002232F9">
      <w:rPr>
        <w:bCs/>
        <w:sz w:val="20"/>
        <w:szCs w:val="20"/>
        <w:lang w:val="lv-LV" w:eastAsia="lv-LV"/>
      </w:rPr>
      <w:t>Grozījum</w:t>
    </w:r>
    <w:r>
      <w:rPr>
        <w:bCs/>
        <w:sz w:val="20"/>
        <w:szCs w:val="20"/>
        <w:lang w:val="lv-LV" w:eastAsia="lv-LV"/>
      </w:rPr>
      <w:t>i</w:t>
    </w:r>
    <w:r w:rsidRPr="002232F9">
      <w:rPr>
        <w:bCs/>
        <w:sz w:val="20"/>
        <w:szCs w:val="20"/>
        <w:lang w:val="lv-LV" w:eastAsia="lv-LV"/>
      </w:rPr>
      <w:t xml:space="preserve"> Ministru kabineta </w:t>
    </w:r>
    <w:proofErr w:type="gramStart"/>
    <w:r w:rsidRPr="002232F9">
      <w:rPr>
        <w:bCs/>
        <w:sz w:val="20"/>
        <w:szCs w:val="20"/>
        <w:lang w:val="lv-LV" w:eastAsia="lv-LV"/>
      </w:rPr>
      <w:t>201</w:t>
    </w:r>
    <w:r>
      <w:rPr>
        <w:bCs/>
        <w:sz w:val="20"/>
        <w:szCs w:val="20"/>
        <w:lang w:val="lv-LV" w:eastAsia="lv-LV"/>
      </w:rPr>
      <w:t>1</w:t>
    </w:r>
    <w:r w:rsidRPr="002232F9">
      <w:rPr>
        <w:bCs/>
        <w:sz w:val="20"/>
        <w:szCs w:val="20"/>
        <w:lang w:val="lv-LV" w:eastAsia="lv-LV"/>
      </w:rPr>
      <w:t>.gada</w:t>
    </w:r>
    <w:proofErr w:type="gramEnd"/>
    <w:r w:rsidRPr="002232F9">
      <w:rPr>
        <w:bCs/>
        <w:sz w:val="20"/>
        <w:szCs w:val="20"/>
        <w:lang w:val="lv-LV" w:eastAsia="lv-LV"/>
      </w:rPr>
      <w:t xml:space="preserve"> </w:t>
    </w:r>
    <w:r>
      <w:rPr>
        <w:bCs/>
        <w:sz w:val="20"/>
        <w:szCs w:val="20"/>
        <w:lang w:val="lv-LV" w:eastAsia="lv-LV"/>
      </w:rPr>
      <w:t>1.februāra noteikumos</w:t>
    </w:r>
    <w:r w:rsidRPr="002232F9">
      <w:rPr>
        <w:bCs/>
        <w:sz w:val="20"/>
        <w:szCs w:val="20"/>
        <w:lang w:val="lv-LV" w:eastAsia="lv-LV"/>
      </w:rPr>
      <w:t xml:space="preserve"> Nr.</w:t>
    </w:r>
    <w:r>
      <w:rPr>
        <w:bCs/>
        <w:sz w:val="20"/>
        <w:szCs w:val="20"/>
        <w:lang w:val="lv-LV" w:eastAsia="lv-LV"/>
      </w:rPr>
      <w:t>106</w:t>
    </w:r>
    <w:r w:rsidRPr="002232F9">
      <w:rPr>
        <w:bCs/>
        <w:sz w:val="20"/>
        <w:szCs w:val="20"/>
        <w:lang w:val="lv-LV" w:eastAsia="lv-LV"/>
      </w:rPr>
      <w:t xml:space="preserve"> „</w:t>
    </w:r>
    <w:r w:rsidRPr="006C3DF7">
      <w:rPr>
        <w:sz w:val="20"/>
        <w:szCs w:val="20"/>
        <w:lang w:val="lv-LV" w:eastAsia="lv-LV"/>
      </w:rPr>
      <w:t>Kārtība, kādā piešķir, administrē un uzrauga valsts un Eiropas Savienības atbalstu piena produktu piegādei izglītojamiem vispārējās izglītības iestādēs</w:t>
    </w:r>
    <w:r w:rsidRPr="002232F9">
      <w:rPr>
        <w:bCs/>
        <w:sz w:val="20"/>
        <w:szCs w:val="20"/>
        <w:lang w:val="lv-LV"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6FF18" w14:textId="3FB01F7D" w:rsidR="00984B07" w:rsidRPr="002232F9" w:rsidRDefault="00DE4A1C" w:rsidP="006C3DF7">
    <w:pPr>
      <w:pStyle w:val="Bezatstarpm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ZMAnot_</w:t>
    </w:r>
    <w:r w:rsidR="00D677EF">
      <w:rPr>
        <w:sz w:val="20"/>
        <w:szCs w:val="20"/>
        <w:lang w:val="lv-LV"/>
      </w:rPr>
      <w:t>080115</w:t>
    </w:r>
    <w:r>
      <w:rPr>
        <w:sz w:val="20"/>
        <w:szCs w:val="20"/>
        <w:lang w:val="lv-LV"/>
      </w:rPr>
      <w:t xml:space="preserve">_Skolaspiens; </w:t>
    </w:r>
    <w:r w:rsidR="00984B07" w:rsidRPr="002232F9">
      <w:rPr>
        <w:bCs/>
        <w:sz w:val="20"/>
        <w:szCs w:val="20"/>
        <w:lang w:val="lv-LV" w:eastAsia="lv-LV"/>
      </w:rPr>
      <w:t>Grozījum</w:t>
    </w:r>
    <w:r w:rsidR="00984B07">
      <w:rPr>
        <w:bCs/>
        <w:sz w:val="20"/>
        <w:szCs w:val="20"/>
        <w:lang w:val="lv-LV" w:eastAsia="lv-LV"/>
      </w:rPr>
      <w:t>i</w:t>
    </w:r>
    <w:r w:rsidR="00984B07" w:rsidRPr="002232F9">
      <w:rPr>
        <w:bCs/>
        <w:sz w:val="20"/>
        <w:szCs w:val="20"/>
        <w:lang w:val="lv-LV" w:eastAsia="lv-LV"/>
      </w:rPr>
      <w:t xml:space="preserve"> Ministru kabineta </w:t>
    </w:r>
    <w:proofErr w:type="gramStart"/>
    <w:r w:rsidR="00984B07" w:rsidRPr="002232F9">
      <w:rPr>
        <w:bCs/>
        <w:sz w:val="20"/>
        <w:szCs w:val="20"/>
        <w:lang w:val="lv-LV" w:eastAsia="lv-LV"/>
      </w:rPr>
      <w:t>201</w:t>
    </w:r>
    <w:r w:rsidR="00984B07">
      <w:rPr>
        <w:bCs/>
        <w:sz w:val="20"/>
        <w:szCs w:val="20"/>
        <w:lang w:val="lv-LV" w:eastAsia="lv-LV"/>
      </w:rPr>
      <w:t>1</w:t>
    </w:r>
    <w:r w:rsidR="00984B07" w:rsidRPr="002232F9">
      <w:rPr>
        <w:bCs/>
        <w:sz w:val="20"/>
        <w:szCs w:val="20"/>
        <w:lang w:val="lv-LV" w:eastAsia="lv-LV"/>
      </w:rPr>
      <w:t>.gada</w:t>
    </w:r>
    <w:proofErr w:type="gramEnd"/>
    <w:r w:rsidR="00984B07" w:rsidRPr="002232F9">
      <w:rPr>
        <w:bCs/>
        <w:sz w:val="20"/>
        <w:szCs w:val="20"/>
        <w:lang w:val="lv-LV" w:eastAsia="lv-LV"/>
      </w:rPr>
      <w:t xml:space="preserve"> </w:t>
    </w:r>
    <w:r w:rsidR="00984B07">
      <w:rPr>
        <w:bCs/>
        <w:sz w:val="20"/>
        <w:szCs w:val="20"/>
        <w:lang w:val="lv-LV" w:eastAsia="lv-LV"/>
      </w:rPr>
      <w:t>1.februāra noteikumos</w:t>
    </w:r>
    <w:r w:rsidR="00984B07" w:rsidRPr="002232F9">
      <w:rPr>
        <w:bCs/>
        <w:sz w:val="20"/>
        <w:szCs w:val="20"/>
        <w:lang w:val="lv-LV" w:eastAsia="lv-LV"/>
      </w:rPr>
      <w:t xml:space="preserve"> Nr.</w:t>
    </w:r>
    <w:r w:rsidR="00984B07">
      <w:rPr>
        <w:bCs/>
        <w:sz w:val="20"/>
        <w:szCs w:val="20"/>
        <w:lang w:val="lv-LV" w:eastAsia="lv-LV"/>
      </w:rPr>
      <w:t>106</w:t>
    </w:r>
    <w:r w:rsidR="00984B07" w:rsidRPr="002232F9">
      <w:rPr>
        <w:bCs/>
        <w:sz w:val="20"/>
        <w:szCs w:val="20"/>
        <w:lang w:val="lv-LV" w:eastAsia="lv-LV"/>
      </w:rPr>
      <w:t xml:space="preserve"> „</w:t>
    </w:r>
    <w:r w:rsidR="00984B07" w:rsidRPr="006C3DF7">
      <w:rPr>
        <w:sz w:val="20"/>
        <w:szCs w:val="20"/>
        <w:lang w:val="lv-LV" w:eastAsia="lv-LV"/>
      </w:rPr>
      <w:t>Kārtība, kādā piešķir, administrē un uzrauga valsts un Eiropas Savienības atbalstu piena produktu piegādei izglītojamiem vispārējās izglītības iestādēs</w:t>
    </w:r>
    <w:r w:rsidR="00984B07" w:rsidRPr="002232F9">
      <w:rPr>
        <w:bCs/>
        <w:sz w:val="20"/>
        <w:szCs w:val="20"/>
        <w:lang w:val="lv-LV" w:eastAsia="lv-LV"/>
      </w:rPr>
      <w:t>”</w:t>
    </w:r>
  </w:p>
  <w:p w14:paraId="5204E9A6" w14:textId="77777777" w:rsidR="00984B07" w:rsidRPr="006C3DF7" w:rsidRDefault="00984B07" w:rsidP="006C3DF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57000" w14:textId="77777777" w:rsidR="00097F5D" w:rsidRDefault="00097F5D" w:rsidP="002232F9">
      <w:r>
        <w:separator/>
      </w:r>
    </w:p>
  </w:footnote>
  <w:footnote w:type="continuationSeparator" w:id="0">
    <w:p w14:paraId="2852314B" w14:textId="77777777" w:rsidR="00097F5D" w:rsidRDefault="00097F5D" w:rsidP="0022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2EFF" w14:textId="77777777" w:rsidR="00984B07" w:rsidRDefault="00984B0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7E8A0A2" w14:textId="77777777" w:rsidR="00984B07" w:rsidRDefault="00984B0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91F4" w14:textId="77777777" w:rsidR="00984B07" w:rsidRDefault="00984B0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C3B1F">
      <w:rPr>
        <w:rStyle w:val="Lappusesnumurs"/>
        <w:noProof/>
      </w:rPr>
      <w:t>6</w:t>
    </w:r>
    <w:r>
      <w:rPr>
        <w:rStyle w:val="Lappusesnumurs"/>
      </w:rPr>
      <w:fldChar w:fldCharType="end"/>
    </w:r>
  </w:p>
  <w:p w14:paraId="55CF1575" w14:textId="77777777" w:rsidR="00984B07" w:rsidRDefault="00984B0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F5B42"/>
    <w:multiLevelType w:val="hybridMultilevel"/>
    <w:tmpl w:val="A8740D16"/>
    <w:lvl w:ilvl="0" w:tplc="4FBE987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7C44919"/>
    <w:multiLevelType w:val="hybridMultilevel"/>
    <w:tmpl w:val="879AB164"/>
    <w:lvl w:ilvl="0" w:tplc="149E686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9" w:hanging="360"/>
      </w:pPr>
    </w:lvl>
    <w:lvl w:ilvl="2" w:tplc="0426001B" w:tentative="1">
      <w:start w:val="1"/>
      <w:numFmt w:val="lowerRoman"/>
      <w:lvlText w:val="%3."/>
      <w:lvlJc w:val="right"/>
      <w:pPr>
        <w:ind w:left="1849" w:hanging="180"/>
      </w:pPr>
    </w:lvl>
    <w:lvl w:ilvl="3" w:tplc="0426000F" w:tentative="1">
      <w:start w:val="1"/>
      <w:numFmt w:val="decimal"/>
      <w:lvlText w:val="%4."/>
      <w:lvlJc w:val="left"/>
      <w:pPr>
        <w:ind w:left="2569" w:hanging="360"/>
      </w:pPr>
    </w:lvl>
    <w:lvl w:ilvl="4" w:tplc="04260019" w:tentative="1">
      <w:start w:val="1"/>
      <w:numFmt w:val="lowerLetter"/>
      <w:lvlText w:val="%5."/>
      <w:lvlJc w:val="left"/>
      <w:pPr>
        <w:ind w:left="3289" w:hanging="360"/>
      </w:pPr>
    </w:lvl>
    <w:lvl w:ilvl="5" w:tplc="0426001B" w:tentative="1">
      <w:start w:val="1"/>
      <w:numFmt w:val="lowerRoman"/>
      <w:lvlText w:val="%6."/>
      <w:lvlJc w:val="right"/>
      <w:pPr>
        <w:ind w:left="4009" w:hanging="180"/>
      </w:pPr>
    </w:lvl>
    <w:lvl w:ilvl="6" w:tplc="0426000F" w:tentative="1">
      <w:start w:val="1"/>
      <w:numFmt w:val="decimal"/>
      <w:lvlText w:val="%7."/>
      <w:lvlJc w:val="left"/>
      <w:pPr>
        <w:ind w:left="4729" w:hanging="360"/>
      </w:pPr>
    </w:lvl>
    <w:lvl w:ilvl="7" w:tplc="04260019" w:tentative="1">
      <w:start w:val="1"/>
      <w:numFmt w:val="lowerLetter"/>
      <w:lvlText w:val="%8."/>
      <w:lvlJc w:val="left"/>
      <w:pPr>
        <w:ind w:left="5449" w:hanging="360"/>
      </w:pPr>
    </w:lvl>
    <w:lvl w:ilvl="8" w:tplc="0426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60"/>
    <w:rsid w:val="00006C0F"/>
    <w:rsid w:val="00016F1C"/>
    <w:rsid w:val="000769AC"/>
    <w:rsid w:val="00097F5D"/>
    <w:rsid w:val="000D58FB"/>
    <w:rsid w:val="000F0DC0"/>
    <w:rsid w:val="00133B13"/>
    <w:rsid w:val="001A6974"/>
    <w:rsid w:val="002153BF"/>
    <w:rsid w:val="002232F9"/>
    <w:rsid w:val="00254168"/>
    <w:rsid w:val="00281417"/>
    <w:rsid w:val="002A27EA"/>
    <w:rsid w:val="002B4679"/>
    <w:rsid w:val="002D57AA"/>
    <w:rsid w:val="0036615E"/>
    <w:rsid w:val="003E2DCB"/>
    <w:rsid w:val="00402230"/>
    <w:rsid w:val="00406F79"/>
    <w:rsid w:val="004242BE"/>
    <w:rsid w:val="00443949"/>
    <w:rsid w:val="004518D1"/>
    <w:rsid w:val="00497A95"/>
    <w:rsid w:val="00497DA6"/>
    <w:rsid w:val="004D22A8"/>
    <w:rsid w:val="004E6A12"/>
    <w:rsid w:val="004F79DD"/>
    <w:rsid w:val="00506D8F"/>
    <w:rsid w:val="00515ACE"/>
    <w:rsid w:val="00517BC0"/>
    <w:rsid w:val="005202F7"/>
    <w:rsid w:val="00533138"/>
    <w:rsid w:val="00564D50"/>
    <w:rsid w:val="005737E5"/>
    <w:rsid w:val="00594ED5"/>
    <w:rsid w:val="005C3B1F"/>
    <w:rsid w:val="005C7EC1"/>
    <w:rsid w:val="005D0EDC"/>
    <w:rsid w:val="005D71E0"/>
    <w:rsid w:val="005E707F"/>
    <w:rsid w:val="0061283F"/>
    <w:rsid w:val="00683260"/>
    <w:rsid w:val="006C3DF7"/>
    <w:rsid w:val="006F4D57"/>
    <w:rsid w:val="00736A8F"/>
    <w:rsid w:val="007408EC"/>
    <w:rsid w:val="00757679"/>
    <w:rsid w:val="00773A3D"/>
    <w:rsid w:val="007A7F3A"/>
    <w:rsid w:val="007C39A4"/>
    <w:rsid w:val="008939F2"/>
    <w:rsid w:val="008F32CB"/>
    <w:rsid w:val="00922BE6"/>
    <w:rsid w:val="00984B07"/>
    <w:rsid w:val="009A332E"/>
    <w:rsid w:val="009B0DF3"/>
    <w:rsid w:val="009C0031"/>
    <w:rsid w:val="00A477F5"/>
    <w:rsid w:val="00A52509"/>
    <w:rsid w:val="00A9009E"/>
    <w:rsid w:val="00A932F0"/>
    <w:rsid w:val="00B31248"/>
    <w:rsid w:val="00B7421C"/>
    <w:rsid w:val="00BF551E"/>
    <w:rsid w:val="00C24457"/>
    <w:rsid w:val="00C3320F"/>
    <w:rsid w:val="00C71980"/>
    <w:rsid w:val="00C7304B"/>
    <w:rsid w:val="00C841BE"/>
    <w:rsid w:val="00CF3BD2"/>
    <w:rsid w:val="00D01D35"/>
    <w:rsid w:val="00D677EF"/>
    <w:rsid w:val="00D950A3"/>
    <w:rsid w:val="00D97D1B"/>
    <w:rsid w:val="00DB2017"/>
    <w:rsid w:val="00DD010C"/>
    <w:rsid w:val="00DD51F0"/>
    <w:rsid w:val="00DE4A1C"/>
    <w:rsid w:val="00E3614F"/>
    <w:rsid w:val="00EA2C5D"/>
    <w:rsid w:val="00ED5261"/>
    <w:rsid w:val="00ED57E5"/>
    <w:rsid w:val="00F40411"/>
    <w:rsid w:val="00F40CB6"/>
    <w:rsid w:val="00F562EC"/>
    <w:rsid w:val="00FE7B78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2"/>
  <w:shapeDefaults>
    <o:shapedefaults v:ext="edit" spidmax="10241"/>
    <o:shapelayout v:ext="edit">
      <o:idmap v:ext="edit" data="1"/>
    </o:shapelayout>
  </w:shapeDefaults>
  <w:decimalSymbol w:val=","/>
  <w:listSeparator w:val=";"/>
  <w14:docId w14:val="14B7A234"/>
  <w15:docId w15:val="{0ED0814E-1DC7-4AFB-A9B0-6CECC401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link w:val="Virsraksts3Rakstz"/>
    <w:uiPriority w:val="9"/>
    <w:qFormat/>
    <w:rsid w:val="00C7304B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683260"/>
    <w:pPr>
      <w:spacing w:before="100" w:beforeAutospacing="1" w:after="100" w:afterAutospacing="1"/>
      <w:jc w:val="both"/>
    </w:pPr>
    <w:rPr>
      <w:rFonts w:eastAsia="Arial Unicode MS"/>
    </w:rPr>
  </w:style>
  <w:style w:type="paragraph" w:styleId="Kjene">
    <w:name w:val="footer"/>
    <w:basedOn w:val="Parasts"/>
    <w:link w:val="KjeneRakstz"/>
    <w:rsid w:val="00683260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rsid w:val="00683260"/>
    <w:rPr>
      <w:rFonts w:ascii="RimTimes" w:eastAsia="Times New Roman" w:hAnsi="RimTimes" w:cs="Times New Roman"/>
      <w:sz w:val="28"/>
      <w:szCs w:val="20"/>
    </w:rPr>
  </w:style>
  <w:style w:type="paragraph" w:styleId="Galvene">
    <w:name w:val="header"/>
    <w:basedOn w:val="Parasts"/>
    <w:link w:val="GalveneRakstz"/>
    <w:uiPriority w:val="99"/>
    <w:rsid w:val="0068326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8326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683260"/>
  </w:style>
  <w:style w:type="character" w:styleId="Hipersaite">
    <w:name w:val="Hyperlink"/>
    <w:basedOn w:val="Noklusjumarindkopasfonts"/>
    <w:uiPriority w:val="99"/>
    <w:unhideWhenUsed/>
    <w:rsid w:val="002232F9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22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99"/>
    <w:qFormat/>
    <w:rsid w:val="004E6A12"/>
    <w:pPr>
      <w:ind w:left="720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E6A1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6A12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kr">
    <w:name w:val="naiskr"/>
    <w:basedOn w:val="Parasts"/>
    <w:rsid w:val="009A332E"/>
    <w:pPr>
      <w:spacing w:before="75" w:after="75"/>
    </w:pPr>
    <w:rPr>
      <w:lang w:val="lv-LV" w:eastAsia="lv-LV"/>
    </w:rPr>
  </w:style>
  <w:style w:type="paragraph" w:customStyle="1" w:styleId="tvhtml">
    <w:name w:val="tv_html"/>
    <w:basedOn w:val="Parasts"/>
    <w:rsid w:val="009A332E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F551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F551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F551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F551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F551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7304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Prskatjums">
    <w:name w:val="Revision"/>
    <w:hidden/>
    <w:uiPriority w:val="99"/>
    <w:semiHidden/>
    <w:rsid w:val="00DE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bl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1710</Words>
  <Characters>11818</Characters>
  <Application>Microsoft Office Word</Application>
  <DocSecurity>0</DocSecurity>
  <Lines>513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2.jūlija rīkojumā Nr.322 Par ārkārtējās situācijas izsludināšanu</vt:lpstr>
      <vt:lpstr>Grozījumi Ministru kabineta 2014.gada 2.jūlija rīkojumā Nr.322 Par ārkārtējās situācijas izsludināšanu</vt:lpstr>
    </vt:vector>
  </TitlesOfParts>
  <Manager>Veterinārais un pārtikas departaments</Manager>
  <Company>Zemkopības Ministrija</Company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2.jūlija rīkojumā Nr.322 Par ārkārtējās situācijas izsludināšanu</dc:title>
  <dc:subject>MK rīkojuma anotācija</dc:subject>
  <dc:creator>Sanita Vanaga, Linda Gurecka</dc:creator>
  <dc:description>Sanita.Vanaga@zm.gov.lv, 67027363,
Linda.Gurecka@zm.gov.lv, 67027063</dc:description>
  <cp:lastModifiedBy>Renārs Žagars</cp:lastModifiedBy>
  <cp:revision>5</cp:revision>
  <cp:lastPrinted>2014-12-16T08:33:00Z</cp:lastPrinted>
  <dcterms:created xsi:type="dcterms:W3CDTF">2015-01-08T11:34:00Z</dcterms:created>
  <dcterms:modified xsi:type="dcterms:W3CDTF">2015-01-09T11:20:00Z</dcterms:modified>
</cp:coreProperties>
</file>