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71" w:rsidRPr="009E2709" w:rsidRDefault="00D12371" w:rsidP="005D73DE">
      <w:pPr>
        <w:pStyle w:val="naislab"/>
        <w:spacing w:before="0" w:beforeAutospacing="0" w:after="0" w:afterAutospacing="0"/>
        <w:jc w:val="center"/>
        <w:rPr>
          <w:b/>
          <w:sz w:val="28"/>
          <w:lang w:val="lv-LV"/>
        </w:rPr>
      </w:pPr>
      <w:r w:rsidRPr="009E2709">
        <w:rPr>
          <w:b/>
          <w:sz w:val="28"/>
          <w:lang w:val="lv-LV"/>
        </w:rPr>
        <w:t>Ministru kabineta noteikumu projekta</w:t>
      </w:r>
    </w:p>
    <w:p w:rsidR="00B927B3" w:rsidRDefault="002669C3" w:rsidP="00B927B3">
      <w:pPr>
        <w:jc w:val="center"/>
        <w:rPr>
          <w:b/>
          <w:bCs/>
          <w:sz w:val="28"/>
          <w:lang w:val="lv-LV"/>
        </w:rPr>
      </w:pPr>
      <w:r w:rsidRPr="009E2709">
        <w:rPr>
          <w:b/>
          <w:bCs/>
          <w:sz w:val="28"/>
          <w:lang w:val="lv-LV"/>
        </w:rPr>
        <w:t>„</w:t>
      </w:r>
      <w:bookmarkStart w:id="0" w:name="OLE_LINK7"/>
      <w:bookmarkStart w:id="1" w:name="OLE_LINK8"/>
      <w:r w:rsidR="00B927B3" w:rsidRPr="00B927B3">
        <w:rPr>
          <w:b/>
          <w:bCs/>
          <w:sz w:val="28"/>
          <w:lang w:val="lv-LV"/>
        </w:rPr>
        <w:t xml:space="preserve">Grozījumi Ministru kabineta 2011.gada 15.novembra </w:t>
      </w:r>
    </w:p>
    <w:p w:rsidR="00B927B3" w:rsidRDefault="00B927B3" w:rsidP="00B927B3">
      <w:pPr>
        <w:jc w:val="center"/>
        <w:rPr>
          <w:b/>
          <w:bCs/>
          <w:sz w:val="28"/>
          <w:lang w:val="lv-LV"/>
        </w:rPr>
      </w:pPr>
      <w:r w:rsidRPr="00B927B3">
        <w:rPr>
          <w:b/>
          <w:bCs/>
          <w:sz w:val="28"/>
          <w:lang w:val="lv-LV"/>
        </w:rPr>
        <w:t xml:space="preserve">noteikumos Nr.880 „Govju enzootiskās leikozes uzraudzības, kontroles </w:t>
      </w:r>
    </w:p>
    <w:p w:rsidR="00D12371" w:rsidRPr="009E2709" w:rsidRDefault="00B927B3" w:rsidP="00B927B3">
      <w:pPr>
        <w:jc w:val="center"/>
        <w:rPr>
          <w:sz w:val="28"/>
          <w:lang w:val="lv-LV"/>
        </w:rPr>
      </w:pPr>
      <w:r w:rsidRPr="00B927B3">
        <w:rPr>
          <w:b/>
          <w:bCs/>
          <w:sz w:val="28"/>
          <w:lang w:val="lv-LV"/>
        </w:rPr>
        <w:t>un apkarošanas kārtība”</w:t>
      </w:r>
      <w:r w:rsidR="002669C3" w:rsidRPr="009E2709">
        <w:rPr>
          <w:b/>
          <w:bCs/>
          <w:sz w:val="28"/>
          <w:lang w:val="lv-LV"/>
        </w:rPr>
        <w:t>”</w:t>
      </w:r>
    </w:p>
    <w:p w:rsidR="00757B05" w:rsidRPr="009E2709" w:rsidRDefault="00E61AD5" w:rsidP="005D73DE">
      <w:pPr>
        <w:pStyle w:val="naisf"/>
        <w:spacing w:before="0" w:beforeAutospacing="0" w:after="0" w:afterAutospacing="0"/>
        <w:jc w:val="center"/>
        <w:rPr>
          <w:b/>
          <w:sz w:val="28"/>
          <w:lang w:val="lv-LV"/>
        </w:rPr>
      </w:pPr>
      <w:r w:rsidRPr="009E2709">
        <w:rPr>
          <w:b/>
          <w:sz w:val="28"/>
          <w:lang w:val="lv-LV"/>
        </w:rPr>
        <w:t xml:space="preserve">sākotnējās </w:t>
      </w:r>
      <w:r w:rsidR="00757B05" w:rsidRPr="009E2709">
        <w:rPr>
          <w:b/>
          <w:sz w:val="28"/>
          <w:lang w:val="lv-LV"/>
        </w:rPr>
        <w:t>ietekmes novērtējuma ziņojums</w:t>
      </w:r>
      <w:r w:rsidR="00757B05" w:rsidRPr="009E2709">
        <w:rPr>
          <w:b/>
          <w:bCs/>
          <w:sz w:val="28"/>
          <w:lang w:val="lv-LV"/>
        </w:rPr>
        <w:t xml:space="preserve"> (anotācija)</w:t>
      </w:r>
    </w:p>
    <w:p w:rsidR="00757B05" w:rsidRPr="009E2709" w:rsidRDefault="00757B05" w:rsidP="005D73DE">
      <w:pPr>
        <w:pStyle w:val="naisf"/>
        <w:spacing w:before="0" w:beforeAutospacing="0" w:after="0" w:afterAutospacing="0"/>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5D73DE" w:rsidRPr="009E2709" w:rsidTr="00CA1F22">
        <w:tc>
          <w:tcPr>
            <w:tcW w:w="0" w:type="auto"/>
            <w:gridSpan w:val="3"/>
            <w:vAlign w:val="center"/>
          </w:tcPr>
          <w:bookmarkEnd w:id="0"/>
          <w:bookmarkEnd w:id="1"/>
          <w:p w:rsidR="00A162FE" w:rsidRPr="009E2709" w:rsidRDefault="00A162FE" w:rsidP="005D73DE">
            <w:pPr>
              <w:jc w:val="center"/>
              <w:rPr>
                <w:b/>
                <w:bCs/>
                <w:lang w:val="lv-LV" w:eastAsia="lv-LV"/>
              </w:rPr>
            </w:pPr>
            <w:r w:rsidRPr="009E2709">
              <w:rPr>
                <w:b/>
                <w:bCs/>
                <w:sz w:val="28"/>
                <w:lang w:val="lv-LV" w:eastAsia="lv-LV"/>
              </w:rPr>
              <w:t>I. Tiesību akta projekta izstrādes nepieciešamība</w:t>
            </w:r>
          </w:p>
        </w:tc>
      </w:tr>
      <w:tr w:rsidR="005D73DE" w:rsidRPr="009E2709" w:rsidTr="00C21DCA">
        <w:tc>
          <w:tcPr>
            <w:tcW w:w="250" w:type="pct"/>
          </w:tcPr>
          <w:p w:rsidR="00A162FE" w:rsidRPr="009E2709" w:rsidRDefault="00A162FE" w:rsidP="00C21DCA">
            <w:pPr>
              <w:jc w:val="center"/>
              <w:rPr>
                <w:lang w:val="lv-LV" w:eastAsia="lv-LV"/>
              </w:rPr>
            </w:pPr>
            <w:r w:rsidRPr="009E2709">
              <w:rPr>
                <w:lang w:val="lv-LV" w:eastAsia="lv-LV"/>
              </w:rPr>
              <w:t>1.</w:t>
            </w:r>
          </w:p>
        </w:tc>
        <w:tc>
          <w:tcPr>
            <w:tcW w:w="1397" w:type="pct"/>
          </w:tcPr>
          <w:p w:rsidR="00A162FE" w:rsidRPr="009E2709" w:rsidRDefault="00A162FE" w:rsidP="005D73DE">
            <w:pPr>
              <w:jc w:val="both"/>
              <w:rPr>
                <w:lang w:val="lv-LV" w:eastAsia="lv-LV"/>
              </w:rPr>
            </w:pPr>
            <w:r w:rsidRPr="009E2709">
              <w:rPr>
                <w:lang w:val="lv-LV" w:eastAsia="lv-LV"/>
              </w:rPr>
              <w:t>Pamatojums</w:t>
            </w:r>
          </w:p>
        </w:tc>
        <w:tc>
          <w:tcPr>
            <w:tcW w:w="3353" w:type="pct"/>
          </w:tcPr>
          <w:p w:rsidR="00A162FE" w:rsidRPr="009E2709" w:rsidRDefault="00B927B3" w:rsidP="005D73DE">
            <w:pPr>
              <w:jc w:val="both"/>
              <w:rPr>
                <w:lang w:val="lv-LV"/>
              </w:rPr>
            </w:pPr>
            <w:r w:rsidRPr="00B927B3">
              <w:rPr>
                <w:lang w:val="lv-LV"/>
              </w:rPr>
              <w:t>Veterinārmedicīnas likuma 25.panta 17.punkts.</w:t>
            </w:r>
          </w:p>
        </w:tc>
      </w:tr>
      <w:tr w:rsidR="005D73DE" w:rsidRPr="00003BF5" w:rsidTr="00C21DCA">
        <w:tc>
          <w:tcPr>
            <w:tcW w:w="250" w:type="pct"/>
          </w:tcPr>
          <w:p w:rsidR="00A162FE" w:rsidRPr="009E2709" w:rsidRDefault="00A162FE" w:rsidP="00C21DCA">
            <w:pPr>
              <w:jc w:val="center"/>
              <w:rPr>
                <w:lang w:val="lv-LV" w:eastAsia="lv-LV"/>
              </w:rPr>
            </w:pPr>
            <w:r w:rsidRPr="009E2709">
              <w:rPr>
                <w:lang w:val="lv-LV" w:eastAsia="lv-LV"/>
              </w:rPr>
              <w:t>2.</w:t>
            </w:r>
          </w:p>
        </w:tc>
        <w:tc>
          <w:tcPr>
            <w:tcW w:w="1397" w:type="pct"/>
          </w:tcPr>
          <w:p w:rsidR="00A162FE" w:rsidRPr="009E2709" w:rsidRDefault="00A162FE" w:rsidP="005D73DE">
            <w:pPr>
              <w:jc w:val="both"/>
              <w:rPr>
                <w:lang w:val="lv-LV" w:eastAsia="lv-LV"/>
              </w:rPr>
            </w:pPr>
            <w:r w:rsidRPr="009E2709">
              <w:rPr>
                <w:lang w:val="lv-LV" w:eastAsia="lv-LV"/>
              </w:rPr>
              <w:t xml:space="preserve">Pašreizējā situācija </w:t>
            </w:r>
            <w:r w:rsidR="006A073E" w:rsidRPr="009E2709">
              <w:rPr>
                <w:lang w:val="lv-LV"/>
              </w:rPr>
              <w:t>un problēmas, kuru risināšanai tiesību akta projekts izstrādāts, tiesiskā regulējuma mērķis un būtība</w:t>
            </w:r>
          </w:p>
        </w:tc>
        <w:tc>
          <w:tcPr>
            <w:tcW w:w="3353" w:type="pct"/>
          </w:tcPr>
          <w:p w:rsidR="00B927B3" w:rsidRDefault="00003BF5" w:rsidP="00B927B3">
            <w:pPr>
              <w:jc w:val="both"/>
              <w:rPr>
                <w:lang w:val="lv-LV"/>
              </w:rPr>
            </w:pPr>
            <w:r>
              <w:rPr>
                <w:lang w:val="lv-LV"/>
              </w:rPr>
              <w:t>Stājoties</w:t>
            </w:r>
            <w:r w:rsidRPr="00B927B3">
              <w:rPr>
                <w:lang w:val="lv-LV"/>
              </w:rPr>
              <w:t xml:space="preserve"> spēkā </w:t>
            </w:r>
            <w:r w:rsidR="00B927B3" w:rsidRPr="00B927B3">
              <w:rPr>
                <w:lang w:val="lv-LV"/>
              </w:rPr>
              <w:t>Komisijas 2012.gada 27.jūlija Īstenošanas lēmuma</w:t>
            </w:r>
            <w:r>
              <w:rPr>
                <w:lang w:val="lv-LV"/>
              </w:rPr>
              <w:t>m</w:t>
            </w:r>
            <w:r w:rsidR="00B927B3" w:rsidRPr="00B927B3">
              <w:rPr>
                <w:lang w:val="lv-LV"/>
              </w:rPr>
              <w:t xml:space="preserve"> 2012/449/ES, ar kuru groza Lēmumu 2003/467/EK attiecībā uz Latvijas atzīšanu par dalībvalsti, kas ir oficiāli brīva no govju enzootiskās leikozes</w:t>
            </w:r>
            <w:r w:rsidR="00CF13F8">
              <w:rPr>
                <w:lang w:val="lv-LV"/>
              </w:rPr>
              <w:t xml:space="preserve"> (turpmāk – L</w:t>
            </w:r>
            <w:r w:rsidR="00FD0F4B">
              <w:rPr>
                <w:lang w:val="lv-LV"/>
              </w:rPr>
              <w:t xml:space="preserve">ēmums </w:t>
            </w:r>
            <w:r w:rsidR="00FD0F4B" w:rsidRPr="00FD0F4B">
              <w:rPr>
                <w:lang w:val="lv-LV"/>
              </w:rPr>
              <w:t>2012/449/ES</w:t>
            </w:r>
            <w:r w:rsidR="00FD0F4B">
              <w:rPr>
                <w:lang w:val="lv-LV"/>
              </w:rPr>
              <w:t>)</w:t>
            </w:r>
            <w:r w:rsidR="00B927B3" w:rsidRPr="00B927B3">
              <w:rPr>
                <w:lang w:val="lv-LV"/>
              </w:rPr>
              <w:t>, Latvijai ir piešķirts no govju enzootiskās leikozes brīvas valsts statuss. Līdz ar to Ministru kabineta 2011.gada 15.novembra noteikumos Nr.880 „Govju enzootiskās leikozes uzraudzības, kontroles un apkarošanas kārtība” (turpmāk – noteikumi Nr.880) govju sugas dzīvnieku izmeklēšanas kārtīb</w:t>
            </w:r>
            <w:r>
              <w:rPr>
                <w:lang w:val="lv-LV"/>
              </w:rPr>
              <w:t>a</w:t>
            </w:r>
            <w:r w:rsidR="00B927B3" w:rsidRPr="00B927B3">
              <w:rPr>
                <w:lang w:val="lv-LV"/>
              </w:rPr>
              <w:t xml:space="preserve"> </w:t>
            </w:r>
            <w:r>
              <w:rPr>
                <w:lang w:val="lv-LV"/>
              </w:rPr>
              <w:t>jānosaka</w:t>
            </w:r>
            <w:r w:rsidRPr="00B927B3">
              <w:rPr>
                <w:lang w:val="lv-LV"/>
              </w:rPr>
              <w:t xml:space="preserve"> </w:t>
            </w:r>
            <w:r w:rsidR="00B927B3" w:rsidRPr="00B927B3">
              <w:rPr>
                <w:lang w:val="lv-LV"/>
              </w:rPr>
              <w:t xml:space="preserve">atbilstoši Padomes 1964.gada 26.jūnija Direktīvas 64/432/EEK par dzīvnieku veselības problēmām, kas ietekmē liellopu un cūku tirdzniecību Kopienā </w:t>
            </w:r>
            <w:r w:rsidR="00CF13F8">
              <w:rPr>
                <w:lang w:val="lv-LV"/>
              </w:rPr>
              <w:t xml:space="preserve">(turpmāk – Direktīva 64/432/EEK) </w:t>
            </w:r>
            <w:r w:rsidR="00B927B3" w:rsidRPr="00B927B3">
              <w:rPr>
                <w:lang w:val="lv-LV"/>
              </w:rPr>
              <w:t>D pielikuma I nodaļas F</w:t>
            </w:r>
            <w:r>
              <w:rPr>
                <w:lang w:val="lv-LV"/>
              </w:rPr>
              <w:t> </w:t>
            </w:r>
            <w:r w:rsidR="00B927B3" w:rsidRPr="00B927B3">
              <w:rPr>
                <w:lang w:val="lv-LV"/>
              </w:rPr>
              <w:t>sadaļas prasībām.</w:t>
            </w:r>
          </w:p>
          <w:p w:rsidR="00277E51" w:rsidRPr="00B927B3" w:rsidRDefault="006116E9" w:rsidP="00B927B3">
            <w:pPr>
              <w:jc w:val="both"/>
              <w:rPr>
                <w:lang w:val="lv-LV"/>
              </w:rPr>
            </w:pPr>
            <w:r>
              <w:rPr>
                <w:lang w:val="lv-LV"/>
              </w:rPr>
              <w:t xml:space="preserve">Ar 2013.gada 1.janvāri valsts aģentūra “Lauksaimniecības datu centrs” </w:t>
            </w:r>
            <w:proofErr w:type="gramStart"/>
            <w:r>
              <w:rPr>
                <w:lang w:val="lv-LV"/>
              </w:rPr>
              <w:t>tika pārveidota par tiešās valsts pārvaldes iestādi</w:t>
            </w:r>
            <w:proofErr w:type="gramEnd"/>
            <w:r>
              <w:rPr>
                <w:lang w:val="lv-LV"/>
              </w:rPr>
              <w:t xml:space="preserve"> “Lauksaimniecības datu centr</w:t>
            </w:r>
            <w:r w:rsidR="00003BF5">
              <w:rPr>
                <w:lang w:val="lv-LV"/>
              </w:rPr>
              <w:t>s</w:t>
            </w:r>
            <w:r>
              <w:rPr>
                <w:lang w:val="lv-LV"/>
              </w:rPr>
              <w:t>”.</w:t>
            </w:r>
          </w:p>
          <w:p w:rsidR="00B927B3" w:rsidRDefault="00003BF5" w:rsidP="00B927B3">
            <w:pPr>
              <w:jc w:val="both"/>
              <w:rPr>
                <w:lang w:val="lv-LV"/>
              </w:rPr>
            </w:pPr>
            <w:r>
              <w:rPr>
                <w:lang w:val="lv-LV"/>
              </w:rPr>
              <w:t xml:space="preserve">Tā kā </w:t>
            </w:r>
            <w:r w:rsidR="00B927B3" w:rsidRPr="00B927B3">
              <w:rPr>
                <w:lang w:val="lv-LV"/>
              </w:rPr>
              <w:t>Ministru kabineta</w:t>
            </w:r>
            <w:r w:rsidR="00D400DE">
              <w:rPr>
                <w:lang w:val="lv-LV"/>
              </w:rPr>
              <w:t xml:space="preserve"> 2012.gada 21.februāra noteikumos</w:t>
            </w:r>
            <w:r w:rsidR="00B927B3" w:rsidRPr="00B927B3">
              <w:rPr>
                <w:lang w:val="lv-LV"/>
              </w:rPr>
              <w:t xml:space="preserve"> Nr.127 „Noteikumi par ziņojamām, reģistrējamām un valsts uzraudzībā esošām dzīvnieku infekcijas slimībām un kārtību, kādā par tām sniedzama informācija Pārtikas un veterinārajam dienestam” noteikta dzīvnieku infekcijas slimību, </w:t>
            </w:r>
            <w:r w:rsidR="00CF13F8">
              <w:rPr>
                <w:lang w:val="lv-LV"/>
              </w:rPr>
              <w:t>tostarp</w:t>
            </w:r>
            <w:r w:rsidR="00B927B3" w:rsidRPr="00B927B3">
              <w:rPr>
                <w:lang w:val="lv-LV"/>
              </w:rPr>
              <w:t xml:space="preserve"> </w:t>
            </w:r>
            <w:r w:rsidR="00CF13F8">
              <w:rPr>
                <w:lang w:val="lv-LV"/>
              </w:rPr>
              <w:t xml:space="preserve">govju enzootiskās leikozes, </w:t>
            </w:r>
            <w:r w:rsidR="00B927B3" w:rsidRPr="00B927B3">
              <w:rPr>
                <w:lang w:val="lv-LV"/>
              </w:rPr>
              <w:t>ziņošanas kārtība</w:t>
            </w:r>
            <w:r>
              <w:rPr>
                <w:lang w:val="lv-LV"/>
              </w:rPr>
              <w:t>,</w:t>
            </w:r>
            <w:r w:rsidR="00B927B3" w:rsidRPr="00B927B3">
              <w:rPr>
                <w:lang w:val="lv-LV"/>
              </w:rPr>
              <w:t xml:space="preserve"> noteikumu Nr.880 2.punktā </w:t>
            </w:r>
            <w:r>
              <w:rPr>
                <w:lang w:val="lv-LV"/>
              </w:rPr>
              <w:t xml:space="preserve">jāprecizē </w:t>
            </w:r>
            <w:r w:rsidR="00B927B3" w:rsidRPr="00B927B3">
              <w:rPr>
                <w:lang w:val="lv-LV"/>
              </w:rPr>
              <w:t>noteikt</w:t>
            </w:r>
            <w:r>
              <w:rPr>
                <w:lang w:val="lv-LV"/>
              </w:rPr>
              <w:t>ā</w:t>
            </w:r>
            <w:r w:rsidR="00B927B3" w:rsidRPr="00B927B3">
              <w:rPr>
                <w:lang w:val="lv-LV"/>
              </w:rPr>
              <w:t xml:space="preserve"> ziņošanas kārtīb</w:t>
            </w:r>
            <w:r>
              <w:rPr>
                <w:lang w:val="lv-LV"/>
              </w:rPr>
              <w:t>a</w:t>
            </w:r>
            <w:r w:rsidR="00B927B3" w:rsidRPr="00B927B3">
              <w:rPr>
                <w:lang w:val="lv-LV"/>
              </w:rPr>
              <w:t>.</w:t>
            </w:r>
          </w:p>
          <w:p w:rsidR="00D1756F" w:rsidRDefault="00003BF5" w:rsidP="00B927B3">
            <w:pPr>
              <w:jc w:val="both"/>
              <w:rPr>
                <w:bCs/>
                <w:lang w:val="lv-LV"/>
              </w:rPr>
            </w:pPr>
            <w:r>
              <w:rPr>
                <w:bCs/>
                <w:lang w:val="lv-LV"/>
              </w:rPr>
              <w:t>Ievērojot</w:t>
            </w:r>
            <w:r w:rsidR="0035318B">
              <w:rPr>
                <w:bCs/>
                <w:lang w:val="lv-LV"/>
              </w:rPr>
              <w:t xml:space="preserve"> Tieslietu ministrijas izteikto iebildumu</w:t>
            </w:r>
            <w:r>
              <w:rPr>
                <w:bCs/>
                <w:lang w:val="lv-LV"/>
              </w:rPr>
              <w:t xml:space="preserve"> par to, ka ir</w:t>
            </w:r>
            <w:r w:rsidR="0035318B">
              <w:rPr>
                <w:bCs/>
                <w:lang w:val="lv-LV"/>
              </w:rPr>
              <w:t xml:space="preserve"> </w:t>
            </w:r>
            <w:r>
              <w:rPr>
                <w:bCs/>
                <w:lang w:val="lv-LV"/>
              </w:rPr>
              <w:t>jāpa</w:t>
            </w:r>
            <w:r w:rsidR="0035318B">
              <w:rPr>
                <w:bCs/>
                <w:lang w:val="lv-LV"/>
              </w:rPr>
              <w:t>skaidro</w:t>
            </w:r>
            <w:r>
              <w:rPr>
                <w:bCs/>
                <w:lang w:val="lv-LV"/>
              </w:rPr>
              <w:t xml:space="preserve"> jēdziens</w:t>
            </w:r>
            <w:r w:rsidR="0035318B">
              <w:rPr>
                <w:bCs/>
                <w:lang w:val="lv-LV"/>
              </w:rPr>
              <w:t xml:space="preserve"> “</w:t>
            </w:r>
            <w:r w:rsidR="00D1756F" w:rsidRPr="00D1756F">
              <w:rPr>
                <w:bCs/>
                <w:lang w:val="lv-LV"/>
              </w:rPr>
              <w:t>ir aizdomas, ka dzīvnieki ir slimi</w:t>
            </w:r>
            <w:r w:rsidR="0035318B">
              <w:rPr>
                <w:bCs/>
                <w:lang w:val="lv-LV"/>
              </w:rPr>
              <w:t>”, tiek sni</w:t>
            </w:r>
            <w:r>
              <w:rPr>
                <w:bCs/>
                <w:lang w:val="lv-LV"/>
              </w:rPr>
              <w:t>e</w:t>
            </w:r>
            <w:r w:rsidR="0035318B">
              <w:rPr>
                <w:bCs/>
                <w:lang w:val="lv-LV"/>
              </w:rPr>
              <w:t>gta š</w:t>
            </w:r>
            <w:r>
              <w:rPr>
                <w:bCs/>
                <w:lang w:val="lv-LV"/>
              </w:rPr>
              <w:t>ād</w:t>
            </w:r>
            <w:r w:rsidR="0035318B">
              <w:rPr>
                <w:bCs/>
                <w:lang w:val="lv-LV"/>
              </w:rPr>
              <w:t>a informācija:</w:t>
            </w:r>
          </w:p>
          <w:p w:rsidR="0035318B" w:rsidRDefault="0035318B" w:rsidP="00B927B3">
            <w:pPr>
              <w:jc w:val="both"/>
              <w:rPr>
                <w:lang w:val="lv-LV"/>
              </w:rPr>
            </w:pPr>
            <w:r>
              <w:rPr>
                <w:bCs/>
                <w:lang w:val="lv-LV"/>
              </w:rPr>
              <w:t xml:space="preserve">“Aizdomas par dzīvnieku saslimšanu ir situācija, kad veterinārārstam vai dzīvnieku īpašniekam, ņemot vērā slimības klīniskās pazīmes, prātā veidojas asociācija par to, ka esošās klīniskās pazīmes var tikt novērotas kādai konkrētai slimībai, bet dziļāki izmeklējumi, tai skaitā laboratoriskie, nav apstiprinājuši konkrētu diagnozi”. </w:t>
            </w:r>
          </w:p>
          <w:p w:rsidR="007209EA" w:rsidRPr="007209EA" w:rsidRDefault="00003BF5" w:rsidP="007209EA">
            <w:pPr>
              <w:jc w:val="both"/>
              <w:rPr>
                <w:lang w:val="lv-LV"/>
              </w:rPr>
            </w:pPr>
            <w:r>
              <w:rPr>
                <w:lang w:val="lv-LV"/>
              </w:rPr>
              <w:t>Ievērojot</w:t>
            </w:r>
            <w:r w:rsidR="007209EA" w:rsidRPr="007209EA">
              <w:rPr>
                <w:lang w:val="lv-LV"/>
              </w:rPr>
              <w:t xml:space="preserve"> Pārtikas un veterinārā dienesta (turpmāk – dienests) informāciju par to, ka Latvijā ir dzīvnieku turēšanas vietas un novietnes, kuras saskaņā ar normatīvajiem aktiem par lauksaimniecības dzīvnieku, to novietņu reģistrēšanas un datu uzskaites kārtību nav nepieciešams reģistrēt Lauksaimniecības datu centra datubāzē, kā arī to</w:t>
            </w:r>
            <w:r>
              <w:rPr>
                <w:lang w:val="lv-LV"/>
              </w:rPr>
              <w:t>,</w:t>
            </w:r>
            <w:r w:rsidR="007209EA" w:rsidRPr="007209EA">
              <w:rPr>
                <w:lang w:val="lv-LV"/>
              </w:rPr>
              <w:t xml:space="preserve"> ka šajos noteikumos ir paredzēta informācijas apmaiņa starp dzīvnieku īpašniekiem </w:t>
            </w:r>
            <w:r w:rsidR="007209EA" w:rsidRPr="007209EA">
              <w:rPr>
                <w:lang w:val="lv-LV"/>
              </w:rPr>
              <w:lastRenderedPageBreak/>
              <w:t xml:space="preserve">un valsts iestādēm elektroniskā veidā, noteikumos nepieciešams noteikt izņēmumu, uz kurām novietnēm prasības neattiecas. </w:t>
            </w:r>
          </w:p>
          <w:p w:rsidR="007209EA" w:rsidRPr="007209EA" w:rsidRDefault="007209EA" w:rsidP="007209EA">
            <w:pPr>
              <w:jc w:val="both"/>
              <w:rPr>
                <w:lang w:val="lv-LV"/>
              </w:rPr>
            </w:pPr>
            <w:r w:rsidRPr="007209EA">
              <w:rPr>
                <w:lang w:val="lv-LV"/>
              </w:rPr>
              <w:t xml:space="preserve">Saskaņā ar dienesta informāciju par to, kā tiek nodrošināta dzīvnieku izsekojamība, </w:t>
            </w:r>
            <w:r w:rsidR="00003BF5">
              <w:rPr>
                <w:lang w:val="lv-LV"/>
              </w:rPr>
              <w:t>jā</w:t>
            </w:r>
            <w:r w:rsidRPr="007209EA">
              <w:rPr>
                <w:lang w:val="lv-LV"/>
              </w:rPr>
              <w:t>izdar</w:t>
            </w:r>
            <w:r w:rsidR="00003BF5">
              <w:rPr>
                <w:lang w:val="lv-LV"/>
              </w:rPr>
              <w:t>a</w:t>
            </w:r>
            <w:r w:rsidRPr="007209EA">
              <w:rPr>
                <w:lang w:val="lv-LV"/>
              </w:rPr>
              <w:t xml:space="preserve"> grozījum</w:t>
            </w:r>
            <w:r w:rsidR="00003BF5">
              <w:rPr>
                <w:lang w:val="lv-LV"/>
              </w:rPr>
              <w:t>i</w:t>
            </w:r>
            <w:r w:rsidRPr="007209EA">
              <w:rPr>
                <w:lang w:val="lv-LV"/>
              </w:rPr>
              <w:t xml:space="preserve"> noteikumu Nr.880 10.1.apakšpunktā, svītrojot no tā vārdu „rakstisku”, jo šādu pavaddokumentu dienesta inspektors neizsniedz.</w:t>
            </w:r>
          </w:p>
          <w:p w:rsidR="007209EA" w:rsidRPr="002A7766" w:rsidRDefault="00C42EA9" w:rsidP="007209EA">
            <w:pPr>
              <w:jc w:val="both"/>
              <w:rPr>
                <w:lang w:val="lv-LV"/>
              </w:rPr>
            </w:pPr>
            <w:r w:rsidRPr="002A7766">
              <w:rPr>
                <w:lang w:val="lv-LV"/>
              </w:rPr>
              <w:t>D</w:t>
            </w:r>
            <w:r w:rsidR="006116E9" w:rsidRPr="002A7766">
              <w:rPr>
                <w:lang w:val="lv-LV"/>
              </w:rPr>
              <w:t xml:space="preserve">ienesta </w:t>
            </w:r>
            <w:r w:rsidRPr="002A7766">
              <w:rPr>
                <w:lang w:val="lv-LV"/>
              </w:rPr>
              <w:t xml:space="preserve">teritoriālās struktūrvienības valsts vecākais veterinārais inspektors, </w:t>
            </w:r>
            <w:r w:rsidR="00003BF5">
              <w:rPr>
                <w:lang w:val="lv-LV"/>
              </w:rPr>
              <w:t>ievērojot</w:t>
            </w:r>
            <w:r w:rsidRPr="002A7766">
              <w:rPr>
                <w:lang w:val="lv-LV"/>
              </w:rPr>
              <w:t xml:space="preserve"> informāciju par </w:t>
            </w:r>
            <w:r w:rsidR="00003BF5" w:rsidRPr="002A7766">
              <w:rPr>
                <w:lang w:val="lv-LV"/>
              </w:rPr>
              <w:t xml:space="preserve">dzīvniekiem </w:t>
            </w:r>
            <w:r w:rsidRPr="002A7766">
              <w:rPr>
                <w:lang w:val="lv-LV"/>
              </w:rPr>
              <w:t xml:space="preserve">veiktajiem izmeklējumiem, rakstveidā sagatavo lēmumu par novietnes statusa maiņu </w:t>
            </w:r>
            <w:r w:rsidR="00003BF5">
              <w:rPr>
                <w:lang w:val="lv-LV"/>
              </w:rPr>
              <w:t>un to</w:t>
            </w:r>
            <w:r w:rsidRPr="002A7766">
              <w:rPr>
                <w:lang w:val="lv-LV"/>
              </w:rPr>
              <w:t xml:space="preserve"> ierakstītā vēstulē nosūta dzīvnieku īpašniekam, </w:t>
            </w:r>
            <w:r w:rsidR="00003BF5">
              <w:rPr>
                <w:lang w:val="lv-LV"/>
              </w:rPr>
              <w:t>kā arī</w:t>
            </w:r>
            <w:r w:rsidR="007209EA" w:rsidRPr="002A7766">
              <w:rPr>
                <w:lang w:val="lv-LV"/>
              </w:rPr>
              <w:t xml:space="preserve"> Lauksaimniecības datu centra datubāzē</w:t>
            </w:r>
            <w:r w:rsidR="00C94230" w:rsidRPr="002A7766">
              <w:rPr>
                <w:lang w:val="lv-LV"/>
              </w:rPr>
              <w:t xml:space="preserve"> </w:t>
            </w:r>
            <w:r w:rsidRPr="002A7766">
              <w:rPr>
                <w:lang w:val="lv-LV"/>
              </w:rPr>
              <w:t>ievada informāciju par novietnes statusa maiņu</w:t>
            </w:r>
            <w:r w:rsidR="007209EA" w:rsidRPr="002A7766">
              <w:rPr>
                <w:lang w:val="lv-LV"/>
              </w:rPr>
              <w:t>.</w:t>
            </w:r>
            <w:r w:rsidR="006116E9" w:rsidRPr="002A7766">
              <w:rPr>
                <w:lang w:val="lv-LV"/>
              </w:rPr>
              <w:t xml:space="preserve"> </w:t>
            </w:r>
            <w:r w:rsidR="00C94230" w:rsidRPr="002A7766">
              <w:rPr>
                <w:lang w:val="lv-LV"/>
              </w:rPr>
              <w:t>Turklāt</w:t>
            </w:r>
            <w:r w:rsidR="001B55EA" w:rsidRPr="002A7766">
              <w:rPr>
                <w:lang w:val="lv-LV"/>
              </w:rPr>
              <w:t xml:space="preserve"> dzīvnieku īpašniekam ir pieeja informācijai par ganāmpulka datiem Lauksaimniecības datu centra datu bāzē</w:t>
            </w:r>
            <w:r w:rsidRPr="002A7766">
              <w:rPr>
                <w:lang w:val="lv-LV"/>
              </w:rPr>
              <w:t>, kā arī tajā ir norādīts lēmuma datums un numurs (</w:t>
            </w:r>
            <w:r w:rsidR="00003BF5">
              <w:rPr>
                <w:lang w:val="lv-LV"/>
              </w:rPr>
              <w:t xml:space="preserve">pats </w:t>
            </w:r>
            <w:r w:rsidRPr="002A7766">
              <w:rPr>
                <w:lang w:val="lv-LV"/>
              </w:rPr>
              <w:t>lēmums Lauksaimniecības datu centra datubāzē nav pieejams)</w:t>
            </w:r>
            <w:r w:rsidR="00C94230" w:rsidRPr="002A7766">
              <w:rPr>
                <w:lang w:val="lv-LV"/>
              </w:rPr>
              <w:t xml:space="preserve">. Līdz ar </w:t>
            </w:r>
            <w:r w:rsidR="001B55EA" w:rsidRPr="002A7766">
              <w:rPr>
                <w:lang w:val="lv-LV"/>
              </w:rPr>
              <w:t>informācijas ievadīšanu</w:t>
            </w:r>
            <w:r w:rsidR="006116E9" w:rsidRPr="002A7766">
              <w:rPr>
                <w:lang w:val="lv-LV"/>
              </w:rPr>
              <w:t xml:space="preserve"> </w:t>
            </w:r>
            <w:r w:rsidRPr="002A7766">
              <w:rPr>
                <w:lang w:val="lv-LV"/>
              </w:rPr>
              <w:t xml:space="preserve">Lauksaimniecības datu centra datubāzē </w:t>
            </w:r>
            <w:r w:rsidR="006116E9" w:rsidRPr="002A7766">
              <w:rPr>
                <w:lang w:val="lv-LV"/>
              </w:rPr>
              <w:t xml:space="preserve">dzīvnieku īpašnieks </w:t>
            </w:r>
            <w:r w:rsidR="001B55EA" w:rsidRPr="002A7766">
              <w:rPr>
                <w:lang w:val="lv-LV"/>
              </w:rPr>
              <w:t xml:space="preserve">nekavējoties </w:t>
            </w:r>
            <w:r w:rsidR="006116E9" w:rsidRPr="002A7766">
              <w:rPr>
                <w:lang w:val="lv-LV"/>
              </w:rPr>
              <w:t>tiek informēts par novietnes statusu</w:t>
            </w:r>
            <w:r w:rsidR="001B55EA" w:rsidRPr="002A7766">
              <w:rPr>
                <w:lang w:val="lv-LV"/>
              </w:rPr>
              <w:t xml:space="preserve"> un tā maiņu</w:t>
            </w:r>
            <w:r w:rsidR="006116E9" w:rsidRPr="002A7766">
              <w:rPr>
                <w:lang w:val="lv-LV"/>
              </w:rPr>
              <w:t>.</w:t>
            </w:r>
          </w:p>
          <w:p w:rsidR="00094BB3" w:rsidRPr="00B927B3" w:rsidRDefault="00094BB3" w:rsidP="00B927B3">
            <w:pPr>
              <w:jc w:val="both"/>
              <w:rPr>
                <w:lang w:val="lv-LV"/>
              </w:rPr>
            </w:pPr>
            <w:r>
              <w:rPr>
                <w:lang w:val="lv-LV"/>
              </w:rPr>
              <w:t xml:space="preserve">Noteikumu Nr.880 12.punktā </w:t>
            </w:r>
            <w:r w:rsidR="00CF13F8">
              <w:rPr>
                <w:lang w:val="lv-LV"/>
              </w:rPr>
              <w:t>ir</w:t>
            </w:r>
            <w:r>
              <w:rPr>
                <w:lang w:val="lv-LV"/>
              </w:rPr>
              <w:t xml:space="preserve"> neprecīzi </w:t>
            </w:r>
            <w:r w:rsidR="00003BF5">
              <w:rPr>
                <w:lang w:val="lv-LV"/>
              </w:rPr>
              <w:t>do</w:t>
            </w:r>
            <w:r>
              <w:rPr>
                <w:lang w:val="lv-LV"/>
              </w:rPr>
              <w:t xml:space="preserve">ta atsauce uz blakusproduktu apriti regulējošiem normatīvajiem aktiem. No </w:t>
            </w:r>
            <w:r w:rsidR="00D1756F">
              <w:rPr>
                <w:lang w:val="lv-LV"/>
              </w:rPr>
              <w:t>pašreizējās</w:t>
            </w:r>
            <w:r>
              <w:rPr>
                <w:lang w:val="lv-LV"/>
              </w:rPr>
              <w:t xml:space="preserve"> redakcijas izriet, ka saskaņā ar </w:t>
            </w:r>
            <w:r w:rsidRPr="00094BB3">
              <w:rPr>
                <w:lang w:val="lv-LV"/>
              </w:rPr>
              <w:t>Eiropas Parlamenta un Pado</w:t>
            </w:r>
            <w:r>
              <w:rPr>
                <w:lang w:val="lv-LV"/>
              </w:rPr>
              <w:t>mes 2009.gada 21.oktobra Regulu</w:t>
            </w:r>
            <w:r w:rsidRPr="00094BB3">
              <w:rPr>
                <w:lang w:val="lv-LV"/>
              </w:rPr>
              <w:t xml:space="preserve"> (EK) Nr.1069/2009, ar ko nosaka veselības aizsardzības noteikumus attiecībā uz dzīvnieku izcelsmes blakusproduktiem un atvasinātajiem produktiem, kuri nav paredzēti cilvēku patēriņam, un ar ko atceļ Regulu (EK) Nr.1774/2002</w:t>
            </w:r>
            <w:r w:rsidR="00003BF5">
              <w:rPr>
                <w:lang w:val="lv-LV"/>
              </w:rPr>
              <w:t>,</w:t>
            </w:r>
            <w:r>
              <w:rPr>
                <w:lang w:val="lv-LV"/>
              </w:rPr>
              <w:t xml:space="preserve"> (turpmāk – Regula </w:t>
            </w:r>
            <w:r w:rsidR="00CF13F8">
              <w:rPr>
                <w:lang w:val="lv-LV"/>
              </w:rPr>
              <w:t>Nr.</w:t>
            </w:r>
            <w:r>
              <w:rPr>
                <w:lang w:val="lv-LV"/>
              </w:rPr>
              <w:t>1069/2009)</w:t>
            </w:r>
            <w:r w:rsidRPr="00094BB3">
              <w:rPr>
                <w:lang w:val="lv-LV"/>
              </w:rPr>
              <w:t xml:space="preserve"> un Eiropas Komisij</w:t>
            </w:r>
            <w:r>
              <w:rPr>
                <w:lang w:val="lv-LV"/>
              </w:rPr>
              <w:t>as 2011.gada 25.februāra Regulu</w:t>
            </w:r>
            <w:r w:rsidRPr="00094BB3">
              <w:rPr>
                <w:lang w:val="lv-LV"/>
              </w:rPr>
              <w:t xml:space="preserve"> (EK) Nr.142/2011, ar kuru īsteno Eiropas Parlamenta un Padomes Regulu (EK) Nr.1069/2009,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w:t>
            </w:r>
            <w:r w:rsidR="00003BF5">
              <w:rPr>
                <w:lang w:val="lv-LV"/>
              </w:rPr>
              <w:t>,</w:t>
            </w:r>
            <w:r w:rsidR="005E3082">
              <w:rPr>
                <w:lang w:val="lv-LV"/>
              </w:rPr>
              <w:t xml:space="preserve"> (turpmāk – Regula </w:t>
            </w:r>
            <w:r w:rsidR="00CF13F8">
              <w:rPr>
                <w:lang w:val="lv-LV"/>
              </w:rPr>
              <w:t>Nr.</w:t>
            </w:r>
            <w:r w:rsidR="005E3082">
              <w:rPr>
                <w:lang w:val="lv-LV"/>
              </w:rPr>
              <w:t>142/2011)</w:t>
            </w:r>
            <w:r>
              <w:rPr>
                <w:lang w:val="lv-LV"/>
              </w:rPr>
              <w:t xml:space="preserve"> iznīcina tikai tos dzīvnieku izcelsmes blakusproduktus, kuri ir otrās kategorijas materiāls. Līdz ar to tiek sašaurināta Regulas </w:t>
            </w:r>
            <w:r w:rsidR="00CF13F8">
              <w:rPr>
                <w:lang w:val="lv-LV"/>
              </w:rPr>
              <w:t>Nr.</w:t>
            </w:r>
            <w:r>
              <w:rPr>
                <w:lang w:val="lv-LV"/>
              </w:rPr>
              <w:t>1069/2009 un Regulas</w:t>
            </w:r>
            <w:r w:rsidR="005C73A8">
              <w:rPr>
                <w:lang w:val="lv-LV"/>
              </w:rPr>
              <w:t xml:space="preserve"> </w:t>
            </w:r>
            <w:r w:rsidR="00CF13F8">
              <w:rPr>
                <w:lang w:val="lv-LV"/>
              </w:rPr>
              <w:t>Nr.</w:t>
            </w:r>
            <w:r w:rsidR="005C73A8">
              <w:rPr>
                <w:lang w:val="lv-LV"/>
              </w:rPr>
              <w:t>142/2011) darbības joma</w:t>
            </w:r>
            <w:r w:rsidR="00003BF5">
              <w:rPr>
                <w:lang w:val="lv-LV"/>
              </w:rPr>
              <w:t xml:space="preserve">, tāpēc </w:t>
            </w:r>
            <w:r w:rsidR="005C73A8">
              <w:rPr>
                <w:lang w:val="lv-LV"/>
              </w:rPr>
              <w:t>noteikumu Nr.880 12.punkta redakcij</w:t>
            </w:r>
            <w:r w:rsidR="00003BF5">
              <w:rPr>
                <w:lang w:val="lv-LV"/>
              </w:rPr>
              <w:t>a jāprecizē</w:t>
            </w:r>
            <w:r w:rsidR="005C73A8">
              <w:rPr>
                <w:lang w:val="lv-LV"/>
              </w:rPr>
              <w:t>, nosakot, ka visa blakusproduktu aprite not</w:t>
            </w:r>
            <w:r w:rsidR="00003BF5">
              <w:rPr>
                <w:lang w:val="lv-LV"/>
              </w:rPr>
              <w:t>iek</w:t>
            </w:r>
            <w:r w:rsidR="005C73A8">
              <w:rPr>
                <w:lang w:val="lv-LV"/>
              </w:rPr>
              <w:t xml:space="preserve"> saskaņā ar minētajām regulām.</w:t>
            </w:r>
            <w:r>
              <w:rPr>
                <w:lang w:val="lv-LV"/>
              </w:rPr>
              <w:t xml:space="preserve"> </w:t>
            </w:r>
          </w:p>
          <w:p w:rsidR="00585BD7" w:rsidRPr="00581E24" w:rsidRDefault="00B927B3" w:rsidP="00581E24">
            <w:pPr>
              <w:jc w:val="both"/>
              <w:rPr>
                <w:lang w:val="lv-LV"/>
              </w:rPr>
            </w:pPr>
            <w:r w:rsidRPr="00B927B3">
              <w:rPr>
                <w:lang w:val="lv-LV"/>
              </w:rPr>
              <w:t>Izvērtējot noteikumu Nr.880</w:t>
            </w:r>
            <w:r w:rsidR="00581E24">
              <w:rPr>
                <w:lang w:val="lv-LV"/>
              </w:rPr>
              <w:t xml:space="preserve"> </w:t>
            </w:r>
            <w:r w:rsidR="00094BB3" w:rsidRPr="00581E24">
              <w:rPr>
                <w:lang w:val="lv-LV"/>
              </w:rPr>
              <w:t>17.punkta atbilstību</w:t>
            </w:r>
            <w:r w:rsidRPr="00581E24">
              <w:rPr>
                <w:lang w:val="lv-LV"/>
              </w:rPr>
              <w:t xml:space="preserve"> </w:t>
            </w:r>
            <w:r w:rsidR="00094BB3" w:rsidRPr="00581E24">
              <w:rPr>
                <w:lang w:val="lv-LV"/>
              </w:rPr>
              <w:t xml:space="preserve">Direktīvas 64/432/EEK </w:t>
            </w:r>
            <w:r w:rsidR="005E3082" w:rsidRPr="00581E24">
              <w:rPr>
                <w:lang w:val="lv-LV"/>
              </w:rPr>
              <w:t>D pielikuma I nodaļas A sadaļai</w:t>
            </w:r>
            <w:r w:rsidR="005C73A8">
              <w:rPr>
                <w:lang w:val="lv-LV"/>
              </w:rPr>
              <w:t xml:space="preserve">, konstatēts, ka direktīvas prasība </w:t>
            </w:r>
            <w:r w:rsidR="00003BF5">
              <w:rPr>
                <w:lang w:val="lv-LV"/>
              </w:rPr>
              <w:t>ir</w:t>
            </w:r>
            <w:r w:rsidR="005C73A8">
              <w:rPr>
                <w:lang w:val="lv-LV"/>
              </w:rPr>
              <w:t xml:space="preserve"> </w:t>
            </w:r>
            <w:r w:rsidR="00003BF5">
              <w:rPr>
                <w:lang w:val="lv-LV"/>
              </w:rPr>
              <w:t xml:space="preserve">neprecīzi </w:t>
            </w:r>
            <w:r w:rsidR="005C73A8">
              <w:rPr>
                <w:lang w:val="lv-LV"/>
              </w:rPr>
              <w:t>pārņemta nacionālajā tiesību aktā</w:t>
            </w:r>
            <w:r w:rsidR="00003BF5">
              <w:rPr>
                <w:lang w:val="lv-LV"/>
              </w:rPr>
              <w:t>, tāpēc</w:t>
            </w:r>
            <w:r w:rsidR="00581E24" w:rsidRPr="00581E24">
              <w:rPr>
                <w:lang w:val="lv-LV"/>
              </w:rPr>
              <w:t xml:space="preserve"> precizē</w:t>
            </w:r>
            <w:r w:rsidR="00003BF5">
              <w:rPr>
                <w:lang w:val="lv-LV"/>
              </w:rPr>
              <w:t>jams</w:t>
            </w:r>
            <w:r w:rsidR="00581E24" w:rsidRPr="00581E24">
              <w:rPr>
                <w:lang w:val="lv-LV"/>
              </w:rPr>
              <w:t xml:space="preserve"> noteikumu Nr.880 18.1.apakšpunkt</w:t>
            </w:r>
            <w:r w:rsidR="00003BF5">
              <w:rPr>
                <w:lang w:val="lv-LV"/>
              </w:rPr>
              <w:t>s</w:t>
            </w:r>
            <w:r w:rsidR="00581E24">
              <w:rPr>
                <w:lang w:val="lv-LV"/>
              </w:rPr>
              <w:t>.</w:t>
            </w:r>
          </w:p>
          <w:p w:rsidR="00581E24" w:rsidRPr="00581E24" w:rsidRDefault="00581E24" w:rsidP="00581E24">
            <w:pPr>
              <w:jc w:val="both"/>
              <w:rPr>
                <w:lang w:val="lv-LV"/>
              </w:rPr>
            </w:pPr>
            <w:r>
              <w:rPr>
                <w:lang w:val="lv-LV"/>
              </w:rPr>
              <w:t>Noteikumu Nr.880 19.punkta ievaddaļā</w:t>
            </w:r>
            <w:r w:rsidR="00CF13F8">
              <w:rPr>
                <w:lang w:val="lv-LV"/>
              </w:rPr>
              <w:t xml:space="preserve"> noteikti gadījumi, kad</w:t>
            </w:r>
            <w:proofErr w:type="gramStart"/>
            <w:r w:rsidR="00CF13F8">
              <w:rPr>
                <w:lang w:val="lv-LV"/>
              </w:rPr>
              <w:t xml:space="preserve"> </w:t>
            </w:r>
            <w:r>
              <w:rPr>
                <w:lang w:val="lv-LV"/>
              </w:rPr>
              <w:t xml:space="preserve"> </w:t>
            </w:r>
            <w:proofErr w:type="gramEnd"/>
            <w:r w:rsidR="00CF13F8">
              <w:rPr>
                <w:lang w:val="lv-LV"/>
              </w:rPr>
              <w:t>novietne</w:t>
            </w:r>
            <w:r w:rsidR="00CF13F8" w:rsidRPr="00CF13F8">
              <w:rPr>
                <w:lang w:val="lv-LV"/>
              </w:rPr>
              <w:t xml:space="preserve"> </w:t>
            </w:r>
            <w:r w:rsidR="00CF13F8">
              <w:rPr>
                <w:lang w:val="lv-LV"/>
              </w:rPr>
              <w:t>zaudē</w:t>
            </w:r>
            <w:r w:rsidR="00CF13F8" w:rsidRPr="00CF13F8">
              <w:rPr>
                <w:lang w:val="lv-LV"/>
              </w:rPr>
              <w:t xml:space="preserve"> no govju enzootiskās leikozes oficiāli brīvas novietnes statusu</w:t>
            </w:r>
            <w:r w:rsidR="00CF13F8">
              <w:rPr>
                <w:lang w:val="lv-LV"/>
              </w:rPr>
              <w:t xml:space="preserve">. </w:t>
            </w:r>
            <w:r w:rsidR="00003BF5">
              <w:rPr>
                <w:lang w:val="lv-LV"/>
              </w:rPr>
              <w:t>P</w:t>
            </w:r>
            <w:r w:rsidR="00CF13F8">
              <w:rPr>
                <w:lang w:val="lv-LV"/>
              </w:rPr>
              <w:t>rasīb</w:t>
            </w:r>
            <w:r w:rsidR="00003BF5">
              <w:rPr>
                <w:lang w:val="lv-LV"/>
              </w:rPr>
              <w:t>ā</w:t>
            </w:r>
            <w:r w:rsidR="00CF13F8">
              <w:rPr>
                <w:lang w:val="lv-LV"/>
              </w:rPr>
              <w:t xml:space="preserve"> par statusa zaudēšanu</w:t>
            </w:r>
            <w:r w:rsidR="00CF13F8" w:rsidRPr="00CF13F8">
              <w:rPr>
                <w:lang w:val="lv-LV"/>
              </w:rPr>
              <w:t xml:space="preserve"> </w:t>
            </w:r>
            <w:r>
              <w:rPr>
                <w:lang w:val="lv-LV"/>
              </w:rPr>
              <w:t xml:space="preserve">tiek lietots </w:t>
            </w:r>
            <w:r>
              <w:rPr>
                <w:lang w:val="lv-LV"/>
              </w:rPr>
              <w:lastRenderedPageBreak/>
              <w:t>v</w:t>
            </w:r>
            <w:r w:rsidR="00C37E53">
              <w:rPr>
                <w:lang w:val="lv-LV"/>
              </w:rPr>
              <w:t xml:space="preserve">ārds „atņem”, kas netiek </w:t>
            </w:r>
            <w:r w:rsidR="00CF13F8">
              <w:rPr>
                <w:lang w:val="lv-LV"/>
              </w:rPr>
              <w:t>izmantots</w:t>
            </w:r>
            <w:r w:rsidR="00C37E53">
              <w:rPr>
                <w:lang w:val="lv-LV"/>
              </w:rPr>
              <w:t xml:space="preserve"> juridiskajā praksē, lai apzīmētu normatīvajos aktos noteiktās pilnvaras valsts iestādēm rīkoties neatbilstību gadījumā.</w:t>
            </w:r>
            <w:r>
              <w:rPr>
                <w:lang w:val="lv-LV"/>
              </w:rPr>
              <w:t xml:space="preserve"> </w:t>
            </w:r>
            <w:r w:rsidR="00003BF5">
              <w:rPr>
                <w:lang w:val="lv-LV"/>
              </w:rPr>
              <w:t>Tāpēc</w:t>
            </w:r>
            <w:r w:rsidR="005C73A8">
              <w:rPr>
                <w:lang w:val="lv-LV"/>
              </w:rPr>
              <w:t xml:space="preserve"> noteikumu Nr.880 19.punkt</w:t>
            </w:r>
            <w:r w:rsidR="00003BF5">
              <w:rPr>
                <w:lang w:val="lv-LV"/>
              </w:rPr>
              <w:t>ā</w:t>
            </w:r>
            <w:r w:rsidR="005C73A8">
              <w:rPr>
                <w:lang w:val="lv-LV"/>
              </w:rPr>
              <w:t xml:space="preserve"> vārd</w:t>
            </w:r>
            <w:r w:rsidR="00003BF5">
              <w:rPr>
                <w:lang w:val="lv-LV"/>
              </w:rPr>
              <w:t>s</w:t>
            </w:r>
            <w:r w:rsidR="005C73A8">
              <w:rPr>
                <w:lang w:val="lv-LV"/>
              </w:rPr>
              <w:t xml:space="preserve"> „atņem” </w:t>
            </w:r>
            <w:r w:rsidR="00003BF5">
              <w:rPr>
                <w:lang w:val="lv-LV"/>
              </w:rPr>
              <w:t xml:space="preserve">jāaizstāj </w:t>
            </w:r>
            <w:r w:rsidR="005C73A8">
              <w:rPr>
                <w:lang w:val="lv-LV"/>
              </w:rPr>
              <w:t>ar vārdu „anulē”.</w:t>
            </w:r>
          </w:p>
          <w:p w:rsidR="00FD0F4B" w:rsidRPr="009E2709" w:rsidRDefault="00003BF5" w:rsidP="00B27EC2">
            <w:pPr>
              <w:jc w:val="both"/>
              <w:rPr>
                <w:lang w:val="lv-LV"/>
              </w:rPr>
            </w:pPr>
            <w:r>
              <w:rPr>
                <w:lang w:val="lv-LV"/>
              </w:rPr>
              <w:t>Ar n</w:t>
            </w:r>
            <w:r w:rsidR="00C37E53">
              <w:rPr>
                <w:lang w:val="lv-LV"/>
              </w:rPr>
              <w:t>oteikumu</w:t>
            </w:r>
            <w:r w:rsidR="005E3082">
              <w:rPr>
                <w:lang w:val="lv-LV"/>
              </w:rPr>
              <w:t xml:space="preserve"> </w:t>
            </w:r>
            <w:r w:rsidR="00CF13F8">
              <w:rPr>
                <w:lang w:val="lv-LV"/>
              </w:rPr>
              <w:t xml:space="preserve">Nr.880 </w:t>
            </w:r>
            <w:r w:rsidR="00581E24">
              <w:rPr>
                <w:lang w:val="lv-LV"/>
              </w:rPr>
              <w:t>20.</w:t>
            </w:r>
            <w:r w:rsidR="00C37E53">
              <w:rPr>
                <w:lang w:val="lv-LV"/>
              </w:rPr>
              <w:t xml:space="preserve"> un 21.</w:t>
            </w:r>
            <w:r w:rsidR="008D7E62">
              <w:rPr>
                <w:lang w:val="lv-LV"/>
              </w:rPr>
              <w:t>punkt</w:t>
            </w:r>
            <w:r>
              <w:rPr>
                <w:lang w:val="lv-LV"/>
              </w:rPr>
              <w:t>u</w:t>
            </w:r>
            <w:r w:rsidR="008D7E62">
              <w:rPr>
                <w:lang w:val="lv-LV"/>
              </w:rPr>
              <w:t xml:space="preserve"> pārņem</w:t>
            </w:r>
            <w:r>
              <w:rPr>
                <w:lang w:val="lv-LV"/>
              </w:rPr>
              <w:t>ta</w:t>
            </w:r>
            <w:r w:rsidR="00581E24">
              <w:rPr>
                <w:lang w:val="lv-LV"/>
              </w:rPr>
              <w:t xml:space="preserve"> </w:t>
            </w:r>
            <w:r w:rsidR="00CF13F8">
              <w:rPr>
                <w:lang w:val="lv-LV"/>
              </w:rPr>
              <w:t>Direktīvas 64/432</w:t>
            </w:r>
            <w:r w:rsidR="008D7E62">
              <w:rPr>
                <w:lang w:val="lv-LV"/>
              </w:rPr>
              <w:t xml:space="preserve">/EEK D pielikuma I nodaļas D sadaļu, kurā </w:t>
            </w:r>
            <w:r w:rsidR="00CF13F8">
              <w:rPr>
                <w:lang w:val="lv-LV"/>
              </w:rPr>
              <w:t>ir</w:t>
            </w:r>
            <w:r w:rsidR="00C37E53">
              <w:rPr>
                <w:lang w:val="lv-LV"/>
              </w:rPr>
              <w:t xml:space="preserve"> noteikta</w:t>
            </w:r>
            <w:r w:rsidR="008D7E62">
              <w:rPr>
                <w:lang w:val="lv-LV"/>
              </w:rPr>
              <w:t>s divas dažādas</w:t>
            </w:r>
            <w:r w:rsidR="00C37E53">
              <w:rPr>
                <w:lang w:val="lv-LV"/>
              </w:rPr>
              <w:t xml:space="preserve"> kārtība</w:t>
            </w:r>
            <w:r w:rsidR="008D7E62">
              <w:rPr>
                <w:lang w:val="lv-LV"/>
              </w:rPr>
              <w:t>s</w:t>
            </w:r>
            <w:r w:rsidR="00C37E53">
              <w:rPr>
                <w:lang w:val="lv-LV"/>
              </w:rPr>
              <w:t>, ja laboratoriskajos izmeklējumos tiek konstatēta saslimšana ar govju enzootisko leikozi</w:t>
            </w:r>
            <w:r w:rsidR="008D7E62">
              <w:rPr>
                <w:lang w:val="lv-LV"/>
              </w:rPr>
              <w:t xml:space="preserve"> (vienā gadījumā, ja ganāmpulkā ir slims viens dzīvnieks, otrā – ja ganāmpulkā ir vairāk par vienu slimu dzīvnieku)</w:t>
            </w:r>
            <w:r w:rsidR="00C37E53">
              <w:rPr>
                <w:lang w:val="lv-LV"/>
              </w:rPr>
              <w:t>.</w:t>
            </w:r>
            <w:r w:rsidR="008D7E62">
              <w:rPr>
                <w:lang w:val="lv-LV"/>
              </w:rPr>
              <w:t xml:space="preserve"> </w:t>
            </w:r>
            <w:r>
              <w:rPr>
                <w:lang w:val="lv-LV"/>
              </w:rPr>
              <w:t>Tādējādi</w:t>
            </w:r>
            <w:r w:rsidR="008D7E62">
              <w:rPr>
                <w:lang w:val="lv-LV"/>
              </w:rPr>
              <w:t xml:space="preserve"> no noteikumu 20.punkta ievaddaļas</w:t>
            </w:r>
            <w:r>
              <w:rPr>
                <w:lang w:val="lv-LV"/>
              </w:rPr>
              <w:t xml:space="preserve"> jā</w:t>
            </w:r>
            <w:r w:rsidR="008D7E62">
              <w:rPr>
                <w:lang w:val="lv-LV"/>
              </w:rPr>
              <w:t>svītro vārd</w:t>
            </w:r>
            <w:r>
              <w:rPr>
                <w:lang w:val="lv-LV"/>
              </w:rPr>
              <w:t xml:space="preserve">s </w:t>
            </w:r>
            <w:r w:rsidR="008D7E62">
              <w:rPr>
                <w:lang w:val="lv-LV"/>
              </w:rPr>
              <w:t xml:space="preserve">„vismaz”. </w:t>
            </w:r>
          </w:p>
        </w:tc>
      </w:tr>
      <w:tr w:rsidR="005D73DE" w:rsidRPr="009E2709" w:rsidTr="00C21DCA">
        <w:tc>
          <w:tcPr>
            <w:tcW w:w="250" w:type="pct"/>
          </w:tcPr>
          <w:p w:rsidR="00A162FE" w:rsidRPr="009E2709" w:rsidRDefault="00A162FE" w:rsidP="00C21DCA">
            <w:pPr>
              <w:jc w:val="center"/>
              <w:rPr>
                <w:lang w:val="lv-LV" w:eastAsia="lv-LV"/>
              </w:rPr>
            </w:pPr>
            <w:r w:rsidRPr="009E2709">
              <w:rPr>
                <w:lang w:val="lv-LV" w:eastAsia="lv-LV"/>
              </w:rPr>
              <w:lastRenderedPageBreak/>
              <w:t>3.</w:t>
            </w:r>
          </w:p>
        </w:tc>
        <w:tc>
          <w:tcPr>
            <w:tcW w:w="1397" w:type="pct"/>
          </w:tcPr>
          <w:p w:rsidR="00A162FE" w:rsidRPr="009E2709" w:rsidRDefault="006A073E" w:rsidP="005D73DE">
            <w:pPr>
              <w:jc w:val="both"/>
              <w:rPr>
                <w:lang w:val="lv-LV" w:eastAsia="lv-LV"/>
              </w:rPr>
            </w:pPr>
            <w:r w:rsidRPr="009E2709">
              <w:rPr>
                <w:lang w:val="lv-LV" w:eastAsia="lv-LV"/>
              </w:rPr>
              <w:t>Projekta izstrādē iesaistītās institūcijas</w:t>
            </w:r>
          </w:p>
        </w:tc>
        <w:tc>
          <w:tcPr>
            <w:tcW w:w="3353" w:type="pct"/>
          </w:tcPr>
          <w:p w:rsidR="00A162FE" w:rsidRPr="009E2709" w:rsidRDefault="00B927B3" w:rsidP="005D73DE">
            <w:pPr>
              <w:jc w:val="both"/>
              <w:rPr>
                <w:highlight w:val="yellow"/>
                <w:lang w:val="lv-LV" w:eastAsia="lv-LV"/>
              </w:rPr>
            </w:pPr>
            <w:r w:rsidRPr="00B927B3">
              <w:rPr>
                <w:lang w:val="lv-LV" w:eastAsia="lv-LV"/>
              </w:rPr>
              <w:t>Pārtikas un veterinārais dienests</w:t>
            </w:r>
          </w:p>
        </w:tc>
      </w:tr>
      <w:tr w:rsidR="005D73DE" w:rsidRPr="007C3637" w:rsidTr="00C21DCA">
        <w:tc>
          <w:tcPr>
            <w:tcW w:w="250" w:type="pct"/>
          </w:tcPr>
          <w:p w:rsidR="00A162FE" w:rsidRPr="009E2709" w:rsidRDefault="00A162FE" w:rsidP="00C21DCA">
            <w:pPr>
              <w:jc w:val="center"/>
              <w:rPr>
                <w:lang w:val="lv-LV" w:eastAsia="lv-LV"/>
              </w:rPr>
            </w:pPr>
            <w:r w:rsidRPr="009E2709">
              <w:rPr>
                <w:lang w:val="lv-LV" w:eastAsia="lv-LV"/>
              </w:rPr>
              <w:t>4.</w:t>
            </w:r>
          </w:p>
        </w:tc>
        <w:tc>
          <w:tcPr>
            <w:tcW w:w="1397" w:type="pct"/>
          </w:tcPr>
          <w:p w:rsidR="00A162FE" w:rsidRPr="009E2709" w:rsidRDefault="006A073E" w:rsidP="005D73DE">
            <w:pPr>
              <w:jc w:val="both"/>
              <w:rPr>
                <w:lang w:val="lv-LV" w:eastAsia="lv-LV"/>
              </w:rPr>
            </w:pPr>
            <w:r w:rsidRPr="009E2709">
              <w:rPr>
                <w:lang w:val="lv-LV" w:eastAsia="lv-LV"/>
              </w:rPr>
              <w:t>Cita informācija</w:t>
            </w:r>
          </w:p>
        </w:tc>
        <w:tc>
          <w:tcPr>
            <w:tcW w:w="3353" w:type="pct"/>
          </w:tcPr>
          <w:p w:rsidR="00A162FE" w:rsidRPr="002D4CA7" w:rsidRDefault="002D4CA7" w:rsidP="002D4CA7">
            <w:pPr>
              <w:jc w:val="both"/>
              <w:rPr>
                <w:lang w:val="lv-LV"/>
              </w:rPr>
            </w:pPr>
            <w:r>
              <w:rPr>
                <w:lang w:val="lv-LV"/>
              </w:rPr>
              <w:t>Sagatavotajā Ministru kabineta noteikumu projekta</w:t>
            </w:r>
            <w:r w:rsidRPr="002D4CA7">
              <w:rPr>
                <w:b/>
                <w:bCs/>
                <w:sz w:val="28"/>
                <w:lang w:val="lv-LV"/>
              </w:rPr>
              <w:t xml:space="preserve"> </w:t>
            </w:r>
            <w:r w:rsidRPr="002D4CA7">
              <w:rPr>
                <w:bCs/>
                <w:lang w:val="lv-LV"/>
              </w:rPr>
              <w:t>“Grozījumi Ministru kabineta 2011.gada 15.novembra noteikumos Nr.880 „Govju enzootiskās leikozes uzraudzības, kontroles un apkarošanas kārtība””</w:t>
            </w:r>
            <w:r>
              <w:rPr>
                <w:lang w:val="lv-LV"/>
              </w:rPr>
              <w:t xml:space="preserve"> (turpmāk – noteikumu projekts) 13.punktā ir noteikta </w:t>
            </w:r>
            <w:r w:rsidR="00003BF5">
              <w:rPr>
                <w:lang w:val="lv-LV"/>
              </w:rPr>
              <w:t>citāda</w:t>
            </w:r>
            <w:r>
              <w:rPr>
                <w:lang w:val="lv-LV"/>
              </w:rPr>
              <w:t xml:space="preserve"> vaislas buļļu izmeklēšanas kārtība</w:t>
            </w:r>
            <w:r w:rsidR="00003BF5">
              <w:rPr>
                <w:lang w:val="lv-LV"/>
              </w:rPr>
              <w:t>,</w:t>
            </w:r>
            <w:r>
              <w:rPr>
                <w:lang w:val="lv-LV"/>
              </w:rPr>
              <w:t xml:space="preserve"> nekā to paredz </w:t>
            </w:r>
            <w:r w:rsidRPr="002D4CA7">
              <w:rPr>
                <w:lang w:val="lv-LV"/>
              </w:rPr>
              <w:t>Direktīvas 64/432/EEK D pielikuma I nodaļas F sadaļa</w:t>
            </w:r>
            <w:r>
              <w:rPr>
                <w:lang w:val="lv-LV"/>
              </w:rPr>
              <w:t>. Prasība vaislas buļļu izmeklēšanai noteikumu projektā noteikt</w:t>
            </w:r>
            <w:r w:rsidR="00003BF5">
              <w:rPr>
                <w:lang w:val="lv-LV"/>
              </w:rPr>
              <w:t>aj</w:t>
            </w:r>
            <w:r>
              <w:rPr>
                <w:lang w:val="lv-LV"/>
              </w:rPr>
              <w:t xml:space="preserve">ā kārtībā </w:t>
            </w:r>
            <w:r w:rsidR="00003BF5">
              <w:rPr>
                <w:lang w:val="lv-LV"/>
              </w:rPr>
              <w:t xml:space="preserve">ir </w:t>
            </w:r>
            <w:r>
              <w:rPr>
                <w:lang w:val="lv-LV"/>
              </w:rPr>
              <w:t xml:space="preserve">saskaņota ar </w:t>
            </w:r>
            <w:r w:rsidRPr="002D4CA7">
              <w:rPr>
                <w:bCs/>
                <w:lang w:val="lv-LV"/>
              </w:rPr>
              <w:t xml:space="preserve">Ministru kabineta </w:t>
            </w:r>
            <w:r w:rsidRPr="002D4CA7">
              <w:rPr>
                <w:lang w:val="lv-LV"/>
              </w:rPr>
              <w:t xml:space="preserve">2006.gada 27.jūnija </w:t>
            </w:r>
            <w:r w:rsidRPr="002D4CA7">
              <w:rPr>
                <w:bCs/>
                <w:lang w:val="lv-LV"/>
              </w:rPr>
              <w:t>noteikumu Nr.529</w:t>
            </w:r>
            <w:r w:rsidRPr="002D4CA7">
              <w:rPr>
                <w:lang w:val="lv-LV"/>
              </w:rPr>
              <w:t xml:space="preserve"> “</w:t>
            </w:r>
            <w:r w:rsidRPr="002D4CA7">
              <w:rPr>
                <w:bCs/>
                <w:lang w:val="lv-LV"/>
              </w:rPr>
              <w:t>Veterinārās prasības buļļu spermas tirdzniecībai Eiropas Savienības dalībvalstīs un ievešanai no trešajām valstīm” 62.3.apak</w:t>
            </w:r>
            <w:r>
              <w:rPr>
                <w:bCs/>
                <w:lang w:val="lv-LV"/>
              </w:rPr>
              <w:t>špunktā noteikto, kurā</w:t>
            </w:r>
            <w:r w:rsidRPr="002D4CA7">
              <w:rPr>
                <w:bCs/>
                <w:lang w:val="lv-LV"/>
              </w:rPr>
              <w:t xml:space="preserve"> paredz</w:t>
            </w:r>
            <w:r>
              <w:rPr>
                <w:bCs/>
                <w:lang w:val="lv-LV"/>
              </w:rPr>
              <w:t>ēta</w:t>
            </w:r>
            <w:r>
              <w:rPr>
                <w:b/>
                <w:bCs/>
                <w:lang w:val="lv-LV"/>
              </w:rPr>
              <w:t xml:space="preserve"> </w:t>
            </w:r>
            <w:r w:rsidRPr="002D4CA7">
              <w:rPr>
                <w:bCs/>
                <w:lang w:val="lv-LV"/>
              </w:rPr>
              <w:t xml:space="preserve">vaislas buļļu </w:t>
            </w:r>
            <w:r>
              <w:rPr>
                <w:bCs/>
                <w:lang w:val="lv-LV"/>
              </w:rPr>
              <w:t>izmeklēšana</w:t>
            </w:r>
            <w:r w:rsidRPr="002D4CA7">
              <w:rPr>
                <w:bCs/>
                <w:lang w:val="lv-LV"/>
              </w:rPr>
              <w:t xml:space="preserve"> uz govju enzootisko leikozi ne retāk kā vienu reizi 12 mēnešos.</w:t>
            </w:r>
          </w:p>
        </w:tc>
      </w:tr>
    </w:tbl>
    <w:p w:rsidR="00C21DCA" w:rsidRPr="009E2709" w:rsidRDefault="00C21DCA">
      <w:pPr>
        <w:rPr>
          <w:lang w:val="lv-LV"/>
        </w:rPr>
      </w:pPr>
    </w:p>
    <w:tbl>
      <w:tblPr>
        <w:tblW w:w="5000" w:type="pct"/>
        <w:tblInd w:w="-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42"/>
        <w:gridCol w:w="2547"/>
        <w:gridCol w:w="6192"/>
      </w:tblGrid>
      <w:tr w:rsidR="005D73DE" w:rsidRPr="007C3637" w:rsidTr="00354E85">
        <w:tc>
          <w:tcPr>
            <w:tcW w:w="5000" w:type="pct"/>
            <w:gridSpan w:val="3"/>
            <w:tcBorders>
              <w:top w:val="outset" w:sz="6" w:space="0" w:color="auto"/>
              <w:left w:val="outset" w:sz="6" w:space="0" w:color="auto"/>
              <w:bottom w:val="outset" w:sz="6" w:space="0" w:color="auto"/>
              <w:right w:val="outset" w:sz="6" w:space="0" w:color="auto"/>
            </w:tcBorders>
          </w:tcPr>
          <w:p w:rsidR="008F3459" w:rsidRPr="009E2709" w:rsidRDefault="008F3459" w:rsidP="005D73DE">
            <w:pPr>
              <w:jc w:val="center"/>
              <w:rPr>
                <w:b/>
                <w:sz w:val="28"/>
                <w:szCs w:val="28"/>
                <w:lang w:val="lv-LV"/>
              </w:rPr>
            </w:pPr>
            <w:r w:rsidRPr="009E2709">
              <w:rPr>
                <w:b/>
                <w:sz w:val="28"/>
                <w:szCs w:val="28"/>
                <w:lang w:val="lv-LV"/>
              </w:rPr>
              <w:t>II. Tiesību akta projekta ietekme uz sabiedrību</w:t>
            </w:r>
            <w:r w:rsidR="00D533EA" w:rsidRPr="009E2709">
              <w:rPr>
                <w:b/>
                <w:sz w:val="28"/>
                <w:szCs w:val="28"/>
                <w:lang w:val="lv-LV"/>
              </w:rPr>
              <w:t>,</w:t>
            </w:r>
            <w:r w:rsidR="00D533EA" w:rsidRPr="009E2709">
              <w:rPr>
                <w:b/>
                <w:bCs/>
                <w:sz w:val="28"/>
                <w:szCs w:val="28"/>
                <w:lang w:val="lv-LV"/>
              </w:rPr>
              <w:t xml:space="preserve"> tautsaimniecības attīstību un administratīvo slogu</w:t>
            </w:r>
          </w:p>
        </w:tc>
      </w:tr>
      <w:tr w:rsidR="005D73DE" w:rsidRPr="007C3637" w:rsidTr="00354E85">
        <w:tc>
          <w:tcPr>
            <w:tcW w:w="292" w:type="pct"/>
            <w:tcBorders>
              <w:top w:val="outset" w:sz="6" w:space="0" w:color="auto"/>
              <w:left w:val="outset" w:sz="6" w:space="0" w:color="auto"/>
              <w:right w:val="outset" w:sz="6" w:space="0" w:color="auto"/>
            </w:tcBorders>
          </w:tcPr>
          <w:p w:rsidR="00BE26B5" w:rsidRPr="009E2709" w:rsidRDefault="00BE26B5" w:rsidP="00C21DCA">
            <w:pPr>
              <w:jc w:val="center"/>
              <w:rPr>
                <w:lang w:val="lv-LV"/>
              </w:rPr>
            </w:pPr>
            <w:r w:rsidRPr="009E2709">
              <w:rPr>
                <w:lang w:val="lv-LV"/>
              </w:rPr>
              <w:t>1.</w:t>
            </w:r>
          </w:p>
        </w:tc>
        <w:tc>
          <w:tcPr>
            <w:tcW w:w="1372" w:type="pct"/>
            <w:tcBorders>
              <w:top w:val="outset" w:sz="6" w:space="0" w:color="auto"/>
              <w:left w:val="outset" w:sz="6" w:space="0" w:color="auto"/>
              <w:right w:val="outset" w:sz="6" w:space="0" w:color="auto"/>
            </w:tcBorders>
          </w:tcPr>
          <w:p w:rsidR="00BE26B5" w:rsidRPr="009E2709" w:rsidRDefault="00BE26B5" w:rsidP="00C21DCA">
            <w:pPr>
              <w:jc w:val="both"/>
              <w:rPr>
                <w:lang w:val="lv-LV"/>
              </w:rPr>
            </w:pPr>
            <w:r w:rsidRPr="009E2709">
              <w:rPr>
                <w:lang w:val="lv-LV"/>
              </w:rPr>
              <w:t xml:space="preserve">Sabiedrības </w:t>
            </w:r>
            <w:proofErr w:type="spellStart"/>
            <w:r w:rsidRPr="009E2709">
              <w:rPr>
                <w:lang w:val="lv-LV"/>
              </w:rPr>
              <w:t>mērķgrupa</w:t>
            </w:r>
            <w:r w:rsidR="00BA3E1C" w:rsidRPr="009E2709">
              <w:rPr>
                <w:lang w:val="lv-LV"/>
              </w:rPr>
              <w:t>s</w:t>
            </w:r>
            <w:proofErr w:type="spellEnd"/>
            <w:r w:rsidR="00BA3E1C" w:rsidRPr="009E2709">
              <w:rPr>
                <w:lang w:val="lv-LV"/>
              </w:rPr>
              <w:t>, kuras tiesiskais regulējums ietekmē vai varētu ietekmēt</w:t>
            </w:r>
          </w:p>
        </w:tc>
        <w:tc>
          <w:tcPr>
            <w:tcW w:w="3337" w:type="pct"/>
            <w:tcBorders>
              <w:top w:val="outset" w:sz="6" w:space="0" w:color="auto"/>
              <w:left w:val="outset" w:sz="6" w:space="0" w:color="auto"/>
              <w:right w:val="outset" w:sz="6" w:space="0" w:color="auto"/>
            </w:tcBorders>
          </w:tcPr>
          <w:p w:rsidR="008367BD" w:rsidRPr="008367BD" w:rsidRDefault="00B927B3" w:rsidP="008367BD">
            <w:pPr>
              <w:jc w:val="both"/>
              <w:rPr>
                <w:lang w:val="lv-LV"/>
              </w:rPr>
            </w:pPr>
            <w:r w:rsidRPr="00B927B3">
              <w:rPr>
                <w:lang w:val="lv-LV"/>
              </w:rPr>
              <w:t xml:space="preserve">Noteikumu projekta tiesiskais regulējums attiecas uz govju sugas dzīvnieku īpašniekiem vai turētājiem. </w:t>
            </w:r>
            <w:r w:rsidR="008F4708">
              <w:rPr>
                <w:lang w:val="lv-LV"/>
              </w:rPr>
              <w:t>Pēc</w:t>
            </w:r>
            <w:r w:rsidRPr="00B927B3">
              <w:rPr>
                <w:lang w:val="lv-LV"/>
              </w:rPr>
              <w:t xml:space="preserve"> Lauksaimniecības datu centra datiem</w:t>
            </w:r>
            <w:r w:rsidR="008F4708">
              <w:rPr>
                <w:lang w:val="lv-LV"/>
              </w:rPr>
              <w:t>,</w:t>
            </w:r>
            <w:r w:rsidRPr="00B927B3">
              <w:rPr>
                <w:lang w:val="lv-LV"/>
              </w:rPr>
              <w:t xml:space="preserve"> </w:t>
            </w:r>
            <w:r w:rsidR="008367BD">
              <w:rPr>
                <w:lang w:val="lv-LV"/>
              </w:rPr>
              <w:t xml:space="preserve">2014.gada </w:t>
            </w:r>
            <w:r w:rsidR="007209EA">
              <w:rPr>
                <w:lang w:val="lv-LV"/>
              </w:rPr>
              <w:t>1.janvār</w:t>
            </w:r>
            <w:r w:rsidR="008F4708">
              <w:rPr>
                <w:lang w:val="lv-LV"/>
              </w:rPr>
              <w:t>ī</w:t>
            </w:r>
            <w:r w:rsidR="007209EA">
              <w:rPr>
                <w:lang w:val="lv-LV"/>
              </w:rPr>
              <w:t xml:space="preserve"> Latvijā </w:t>
            </w:r>
            <w:r w:rsidR="008F4708">
              <w:rPr>
                <w:lang w:val="lv-LV"/>
              </w:rPr>
              <w:t>bija</w:t>
            </w:r>
            <w:r w:rsidR="007209EA">
              <w:rPr>
                <w:lang w:val="lv-LV"/>
              </w:rPr>
              <w:t xml:space="preserve"> reģistrēti 30</w:t>
            </w:r>
            <w:r w:rsidR="008F4708">
              <w:rPr>
                <w:lang w:val="lv-LV"/>
              </w:rPr>
              <w:t> </w:t>
            </w:r>
            <w:r w:rsidR="007209EA">
              <w:rPr>
                <w:lang w:val="lv-LV"/>
              </w:rPr>
              <w:t xml:space="preserve">568 </w:t>
            </w:r>
            <w:r w:rsidR="008367BD" w:rsidRPr="008367BD">
              <w:rPr>
                <w:lang w:val="lv-LV"/>
              </w:rPr>
              <w:t>govju su</w:t>
            </w:r>
            <w:r w:rsidR="007209EA">
              <w:rPr>
                <w:lang w:val="lv-LV"/>
              </w:rPr>
              <w:t>gas dzīvnieku īpašnieki.</w:t>
            </w:r>
          </w:p>
          <w:p w:rsidR="00101E0B" w:rsidRPr="008367BD" w:rsidRDefault="00101E0B" w:rsidP="008367BD">
            <w:pPr>
              <w:jc w:val="both"/>
              <w:rPr>
                <w:lang w:val="lv-LV"/>
              </w:rPr>
            </w:pPr>
          </w:p>
        </w:tc>
      </w:tr>
      <w:tr w:rsidR="005D73DE" w:rsidRPr="007C3637" w:rsidTr="00354E85">
        <w:tc>
          <w:tcPr>
            <w:tcW w:w="292" w:type="pct"/>
            <w:tcBorders>
              <w:top w:val="outset" w:sz="6" w:space="0" w:color="auto"/>
              <w:left w:val="outset" w:sz="6" w:space="0" w:color="auto"/>
              <w:right w:val="outset" w:sz="6" w:space="0" w:color="auto"/>
            </w:tcBorders>
          </w:tcPr>
          <w:p w:rsidR="00BE26B5" w:rsidRPr="009E2709" w:rsidRDefault="00BE26B5" w:rsidP="005D73DE">
            <w:pPr>
              <w:jc w:val="center"/>
              <w:rPr>
                <w:lang w:val="lv-LV"/>
              </w:rPr>
            </w:pPr>
            <w:r w:rsidRPr="009E2709">
              <w:rPr>
                <w:lang w:val="lv-LV"/>
              </w:rPr>
              <w:t>2.</w:t>
            </w:r>
          </w:p>
        </w:tc>
        <w:tc>
          <w:tcPr>
            <w:tcW w:w="1372" w:type="pct"/>
            <w:tcBorders>
              <w:top w:val="outset" w:sz="6" w:space="0" w:color="auto"/>
              <w:left w:val="outset" w:sz="6" w:space="0" w:color="auto"/>
              <w:right w:val="outset" w:sz="6" w:space="0" w:color="auto"/>
            </w:tcBorders>
          </w:tcPr>
          <w:p w:rsidR="00BE26B5" w:rsidRPr="009E2709" w:rsidRDefault="00BA3E1C" w:rsidP="00C21DCA">
            <w:pPr>
              <w:widowControl w:val="0"/>
              <w:jc w:val="both"/>
              <w:rPr>
                <w:lang w:val="lv-LV"/>
              </w:rPr>
            </w:pPr>
            <w:r w:rsidRPr="009E2709">
              <w:rPr>
                <w:lang w:val="lv-LV"/>
              </w:rPr>
              <w:t>Tiesiskā regulējuma ietekme uz tautsaimniecību un administratīvo slogu</w:t>
            </w:r>
          </w:p>
        </w:tc>
        <w:tc>
          <w:tcPr>
            <w:tcW w:w="3337" w:type="pct"/>
            <w:tcBorders>
              <w:top w:val="outset" w:sz="6" w:space="0" w:color="auto"/>
              <w:left w:val="outset" w:sz="6" w:space="0" w:color="auto"/>
              <w:right w:val="outset" w:sz="6" w:space="0" w:color="auto"/>
            </w:tcBorders>
          </w:tcPr>
          <w:p w:rsidR="00BE26B5" w:rsidRPr="009E2709" w:rsidRDefault="008F4708" w:rsidP="008367BD">
            <w:pPr>
              <w:widowControl w:val="0"/>
              <w:jc w:val="both"/>
              <w:rPr>
                <w:lang w:val="lv-LV"/>
              </w:rPr>
            </w:pPr>
            <w:r>
              <w:rPr>
                <w:lang w:val="lv-LV"/>
              </w:rPr>
              <w:t>Tā kā</w:t>
            </w:r>
            <w:r w:rsidR="00FD0F4B">
              <w:rPr>
                <w:lang w:val="lv-LV"/>
              </w:rPr>
              <w:t xml:space="preserve"> valstij saskaņā ar </w:t>
            </w:r>
            <w:r w:rsidR="008367BD">
              <w:rPr>
                <w:lang w:val="lv-LV"/>
              </w:rPr>
              <w:t>L</w:t>
            </w:r>
            <w:r w:rsidR="00FD0F4B" w:rsidRPr="00FD0F4B">
              <w:rPr>
                <w:lang w:val="lv-LV"/>
              </w:rPr>
              <w:t>ēmum</w:t>
            </w:r>
            <w:r w:rsidR="00FD0F4B">
              <w:rPr>
                <w:lang w:val="lv-LV"/>
              </w:rPr>
              <w:t>u</w:t>
            </w:r>
            <w:r w:rsidR="00FD0F4B" w:rsidRPr="00FD0F4B">
              <w:rPr>
                <w:lang w:val="lv-LV"/>
              </w:rPr>
              <w:t xml:space="preserve"> 2012/449/ES </w:t>
            </w:r>
            <w:r w:rsidR="00FD0F4B">
              <w:rPr>
                <w:lang w:val="lv-LV"/>
              </w:rPr>
              <w:t>piešķirts no govju enzootiskās leikozes brīvas valsts statuss, noteikumu projektā paredzēts</w:t>
            </w:r>
            <w:r>
              <w:rPr>
                <w:lang w:val="lv-LV"/>
              </w:rPr>
              <w:t>, ka</w:t>
            </w:r>
            <w:r w:rsidR="00FD0F4B">
              <w:rPr>
                <w:lang w:val="lv-LV"/>
              </w:rPr>
              <w:t xml:space="preserve"> </w:t>
            </w:r>
            <w:r>
              <w:rPr>
                <w:lang w:val="lv-LV"/>
              </w:rPr>
              <w:t>jā</w:t>
            </w:r>
            <w:r w:rsidR="008367BD">
              <w:rPr>
                <w:lang w:val="lv-LV"/>
              </w:rPr>
              <w:t>vei</w:t>
            </w:r>
            <w:r>
              <w:rPr>
                <w:lang w:val="lv-LV"/>
              </w:rPr>
              <w:t>c</w:t>
            </w:r>
            <w:r w:rsidR="008367BD">
              <w:rPr>
                <w:lang w:val="lv-LV"/>
              </w:rPr>
              <w:t xml:space="preserve"> </w:t>
            </w:r>
            <w:r w:rsidR="00FD0F4B">
              <w:rPr>
                <w:lang w:val="lv-LV"/>
              </w:rPr>
              <w:t xml:space="preserve">mazāk </w:t>
            </w:r>
            <w:proofErr w:type="gramStart"/>
            <w:r w:rsidR="00FD0F4B">
              <w:rPr>
                <w:lang w:val="lv-LV"/>
              </w:rPr>
              <w:t>laboratorisko izmeklējumu uz govju enzootisko leikozi</w:t>
            </w:r>
            <w:proofErr w:type="gramEnd"/>
            <w:r w:rsidR="00FD0F4B">
              <w:rPr>
                <w:lang w:val="lv-LV"/>
              </w:rPr>
              <w:t>.</w:t>
            </w:r>
          </w:p>
        </w:tc>
      </w:tr>
      <w:tr w:rsidR="005D73DE" w:rsidRPr="009E2709" w:rsidTr="00354E85">
        <w:tc>
          <w:tcPr>
            <w:tcW w:w="292" w:type="pct"/>
            <w:tcBorders>
              <w:top w:val="outset" w:sz="6" w:space="0" w:color="auto"/>
              <w:left w:val="outset" w:sz="6" w:space="0" w:color="auto"/>
              <w:right w:val="outset" w:sz="6" w:space="0" w:color="auto"/>
            </w:tcBorders>
          </w:tcPr>
          <w:p w:rsidR="00BE26B5" w:rsidRPr="009E2709" w:rsidRDefault="00BE26B5" w:rsidP="005D73DE">
            <w:pPr>
              <w:pStyle w:val="Paraststmeklis"/>
              <w:spacing w:before="0" w:beforeAutospacing="0" w:after="0" w:afterAutospacing="0"/>
              <w:rPr>
                <w:lang w:val="lv-LV"/>
              </w:rPr>
            </w:pPr>
            <w:r w:rsidRPr="009E2709">
              <w:rPr>
                <w:lang w:val="lv-LV"/>
              </w:rPr>
              <w:t>3.</w:t>
            </w:r>
          </w:p>
        </w:tc>
        <w:tc>
          <w:tcPr>
            <w:tcW w:w="1372" w:type="pct"/>
            <w:tcBorders>
              <w:top w:val="outset" w:sz="6" w:space="0" w:color="auto"/>
              <w:left w:val="outset" w:sz="6" w:space="0" w:color="auto"/>
              <w:right w:val="outset" w:sz="6" w:space="0" w:color="auto"/>
            </w:tcBorders>
          </w:tcPr>
          <w:p w:rsidR="00BE26B5" w:rsidRPr="009E2709" w:rsidRDefault="00153C68" w:rsidP="00C21DCA">
            <w:pPr>
              <w:pStyle w:val="Paraststmeklis"/>
              <w:spacing w:before="0" w:beforeAutospacing="0" w:after="0" w:afterAutospacing="0"/>
              <w:jc w:val="both"/>
              <w:rPr>
                <w:lang w:val="lv-LV"/>
              </w:rPr>
            </w:pPr>
            <w:r w:rsidRPr="009E2709">
              <w:rPr>
                <w:lang w:val="lv-LV"/>
              </w:rPr>
              <w:t>Administratīvo izmaksu monetārs novērtējums</w:t>
            </w:r>
          </w:p>
        </w:tc>
        <w:tc>
          <w:tcPr>
            <w:tcW w:w="3337" w:type="pct"/>
            <w:tcBorders>
              <w:top w:val="outset" w:sz="6" w:space="0" w:color="auto"/>
              <w:left w:val="outset" w:sz="6" w:space="0" w:color="auto"/>
              <w:right w:val="outset" w:sz="6" w:space="0" w:color="auto"/>
            </w:tcBorders>
          </w:tcPr>
          <w:p w:rsidR="002C59C1" w:rsidRPr="009E2709" w:rsidRDefault="00D400DE" w:rsidP="005D73DE">
            <w:pPr>
              <w:jc w:val="both"/>
              <w:rPr>
                <w:lang w:val="lv-LV"/>
              </w:rPr>
            </w:pPr>
            <w:r>
              <w:rPr>
                <w:lang w:val="lv-LV"/>
              </w:rPr>
              <w:t>Projekts šo jomu neskar</w:t>
            </w:r>
            <w:r w:rsidR="00FD0F4B">
              <w:rPr>
                <w:lang w:val="lv-LV"/>
              </w:rPr>
              <w:t>.</w:t>
            </w:r>
          </w:p>
        </w:tc>
      </w:tr>
      <w:tr w:rsidR="005D73DE" w:rsidRPr="009E2709" w:rsidTr="00354E85">
        <w:tc>
          <w:tcPr>
            <w:tcW w:w="292" w:type="pct"/>
            <w:tcBorders>
              <w:top w:val="outset" w:sz="6" w:space="0" w:color="auto"/>
              <w:left w:val="outset" w:sz="6" w:space="0" w:color="auto"/>
              <w:right w:val="outset" w:sz="6" w:space="0" w:color="auto"/>
            </w:tcBorders>
          </w:tcPr>
          <w:p w:rsidR="00BE26B5" w:rsidRPr="009E2709" w:rsidRDefault="00BE26B5" w:rsidP="005D73DE">
            <w:pPr>
              <w:pStyle w:val="Paraststmeklis"/>
              <w:spacing w:before="0" w:beforeAutospacing="0" w:after="0" w:afterAutospacing="0"/>
              <w:rPr>
                <w:lang w:val="lv-LV"/>
              </w:rPr>
            </w:pPr>
            <w:r w:rsidRPr="009E2709">
              <w:rPr>
                <w:lang w:val="lv-LV"/>
              </w:rPr>
              <w:t>4.</w:t>
            </w:r>
          </w:p>
        </w:tc>
        <w:tc>
          <w:tcPr>
            <w:tcW w:w="1372" w:type="pct"/>
            <w:tcBorders>
              <w:top w:val="outset" w:sz="6" w:space="0" w:color="auto"/>
              <w:left w:val="outset" w:sz="6" w:space="0" w:color="auto"/>
              <w:right w:val="outset" w:sz="6" w:space="0" w:color="auto"/>
            </w:tcBorders>
          </w:tcPr>
          <w:p w:rsidR="00BE26B5" w:rsidRPr="009E2709" w:rsidRDefault="00153C68" w:rsidP="00C21DCA">
            <w:pPr>
              <w:jc w:val="both"/>
              <w:rPr>
                <w:lang w:val="lv-LV"/>
              </w:rPr>
            </w:pPr>
            <w:r w:rsidRPr="009E2709">
              <w:rPr>
                <w:lang w:val="lv-LV"/>
              </w:rPr>
              <w:t>Cita informācija</w:t>
            </w:r>
          </w:p>
        </w:tc>
        <w:tc>
          <w:tcPr>
            <w:tcW w:w="3337" w:type="pct"/>
            <w:tcBorders>
              <w:top w:val="outset" w:sz="6" w:space="0" w:color="auto"/>
              <w:left w:val="outset" w:sz="6" w:space="0" w:color="auto"/>
              <w:right w:val="outset" w:sz="6" w:space="0" w:color="auto"/>
            </w:tcBorders>
            <w:shd w:val="clear" w:color="auto" w:fill="auto"/>
          </w:tcPr>
          <w:p w:rsidR="00BE26B5" w:rsidRPr="009E2709" w:rsidRDefault="00FD0F4B" w:rsidP="005D73DE">
            <w:pPr>
              <w:widowControl w:val="0"/>
              <w:jc w:val="both"/>
              <w:rPr>
                <w:lang w:val="lv-LV"/>
              </w:rPr>
            </w:pPr>
            <w:r>
              <w:rPr>
                <w:lang w:val="lv-LV"/>
              </w:rPr>
              <w:t>Nav.</w:t>
            </w:r>
          </w:p>
        </w:tc>
      </w:tr>
    </w:tbl>
    <w:p w:rsidR="00E919BE" w:rsidRPr="00E919BE" w:rsidRDefault="00E919BE" w:rsidP="00E919BE">
      <w:pPr>
        <w:jc w:val="both"/>
        <w:rPr>
          <w:i/>
          <w:lang w:val="lv-LV" w:eastAsia="lv-LV"/>
        </w:rPr>
      </w:pPr>
      <w:r>
        <w:rPr>
          <w:i/>
          <w:lang w:val="lv-LV" w:eastAsia="lv-LV"/>
        </w:rPr>
        <w:t>Anotācijas III un IV sadaļa – projekts šīs jomas</w:t>
      </w:r>
      <w:r w:rsidR="00B927B3" w:rsidRPr="00B927B3">
        <w:rPr>
          <w:i/>
          <w:lang w:val="lv-LV" w:eastAsia="lv-LV"/>
        </w:rPr>
        <w:t xml:space="preserve"> neskar.</w:t>
      </w: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
        <w:gridCol w:w="490"/>
        <w:gridCol w:w="2276"/>
        <w:gridCol w:w="377"/>
        <w:gridCol w:w="1751"/>
        <w:gridCol w:w="1059"/>
        <w:gridCol w:w="924"/>
        <w:gridCol w:w="2248"/>
        <w:gridCol w:w="15"/>
      </w:tblGrid>
      <w:tr w:rsidR="00E919BE" w:rsidRPr="00E919BE" w:rsidTr="00B503F6">
        <w:trPr>
          <w:gridAfter w:val="1"/>
          <w:wAfter w:w="8" w:type="pct"/>
        </w:trPr>
        <w:tc>
          <w:tcPr>
            <w:tcW w:w="4992" w:type="pct"/>
            <w:gridSpan w:val="8"/>
            <w:tcBorders>
              <w:top w:val="single" w:sz="4" w:space="0" w:color="auto"/>
              <w:left w:val="single" w:sz="4" w:space="0" w:color="auto"/>
              <w:bottom w:val="outset" w:sz="6" w:space="0" w:color="000000"/>
              <w:right w:val="single" w:sz="4" w:space="0" w:color="auto"/>
            </w:tcBorders>
          </w:tcPr>
          <w:p w:rsidR="00E919BE" w:rsidRPr="00E919BE" w:rsidRDefault="00E919BE" w:rsidP="00E919BE">
            <w:pPr>
              <w:jc w:val="both"/>
              <w:rPr>
                <w:b/>
                <w:bCs/>
                <w:lang w:val="lv-LV" w:eastAsia="lv-LV"/>
              </w:rPr>
            </w:pPr>
            <w:r w:rsidRPr="00E919BE">
              <w:rPr>
                <w:b/>
                <w:bCs/>
                <w:lang w:val="lv-LV" w:eastAsia="lv-LV"/>
              </w:rPr>
              <w:t>V. Tiesību akta projekta atbilstība Latvijas Republikas starptautiskajām saistībām</w:t>
            </w:r>
          </w:p>
        </w:tc>
      </w:tr>
      <w:tr w:rsidR="00E919BE" w:rsidRPr="007C3637" w:rsidTr="00B503F6">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E919BE" w:rsidRPr="00E919BE" w:rsidRDefault="00E919BE" w:rsidP="00E919BE">
            <w:pPr>
              <w:jc w:val="both"/>
              <w:rPr>
                <w:lang w:val="lv-LV" w:eastAsia="lv-LV"/>
              </w:rPr>
            </w:pPr>
            <w:r w:rsidRPr="00E919BE">
              <w:rPr>
                <w:lang w:val="lv-LV" w:eastAsia="lv-LV"/>
              </w:rPr>
              <w:lastRenderedPageBreak/>
              <w:t>1.</w:t>
            </w:r>
          </w:p>
        </w:tc>
        <w:tc>
          <w:tcPr>
            <w:tcW w:w="1450" w:type="pct"/>
            <w:gridSpan w:val="2"/>
            <w:tcBorders>
              <w:top w:val="outset" w:sz="6" w:space="0" w:color="000000"/>
              <w:left w:val="outset" w:sz="6" w:space="0" w:color="000000"/>
              <w:bottom w:val="outset" w:sz="6" w:space="0" w:color="000000"/>
              <w:right w:val="outset" w:sz="6" w:space="0" w:color="000000"/>
            </w:tcBorders>
          </w:tcPr>
          <w:p w:rsidR="00E919BE" w:rsidRPr="00E919BE" w:rsidRDefault="00E919BE" w:rsidP="00E919BE">
            <w:pPr>
              <w:jc w:val="both"/>
              <w:rPr>
                <w:lang w:val="lv-LV" w:eastAsia="lv-LV"/>
              </w:rPr>
            </w:pPr>
            <w:r w:rsidRPr="00E919BE">
              <w:rPr>
                <w:lang w:val="lv-LV" w:eastAsia="lv-LV"/>
              </w:rPr>
              <w:t>Saistības pret Eiropas Savienību</w:t>
            </w:r>
          </w:p>
        </w:tc>
        <w:tc>
          <w:tcPr>
            <w:tcW w:w="3270" w:type="pct"/>
            <w:gridSpan w:val="4"/>
            <w:tcBorders>
              <w:top w:val="outset" w:sz="6" w:space="0" w:color="000000"/>
              <w:left w:val="outset" w:sz="6" w:space="0" w:color="000000"/>
              <w:bottom w:val="outset" w:sz="6" w:space="0" w:color="000000"/>
              <w:right w:val="outset" w:sz="6" w:space="0" w:color="000000"/>
            </w:tcBorders>
          </w:tcPr>
          <w:p w:rsidR="00F71F5F" w:rsidRDefault="00F71F5F" w:rsidP="00E919BE">
            <w:pPr>
              <w:jc w:val="both"/>
              <w:rPr>
                <w:lang w:val="lv-LV" w:eastAsia="lv-LV"/>
              </w:rPr>
            </w:pPr>
            <w:r w:rsidRPr="00F71F5F">
              <w:rPr>
                <w:lang w:val="lv-LV" w:eastAsia="lv-LV"/>
              </w:rPr>
              <w:t>Eiropas Parlamenta un Pado</w:t>
            </w:r>
            <w:r>
              <w:rPr>
                <w:lang w:val="lv-LV" w:eastAsia="lv-LV"/>
              </w:rPr>
              <w:t>mes 2009.gada 21.oktobra Regula</w:t>
            </w:r>
            <w:r w:rsidRPr="00F71F5F">
              <w:rPr>
                <w:lang w:val="lv-LV" w:eastAsia="lv-LV"/>
              </w:rPr>
              <w:t xml:space="preserve"> (EK) Nr.1069/2009, ar ko nosaka veselības aizsardzības noteikumus attiecībā uz dzīvnieku izcelsmes blakusproduktiem un atvasinātajiem produktiem, kuri nav paredzēti cilvēku patēriņam, un ar ko atceļ Regulu (EK) Nr.1774/2002</w:t>
            </w:r>
            <w:r>
              <w:rPr>
                <w:lang w:val="lv-LV" w:eastAsia="lv-LV"/>
              </w:rPr>
              <w:t>;</w:t>
            </w:r>
          </w:p>
          <w:p w:rsidR="00E919BE" w:rsidRDefault="00F71F5F" w:rsidP="00E919BE">
            <w:pPr>
              <w:jc w:val="both"/>
              <w:rPr>
                <w:lang w:val="lv-LV" w:eastAsia="lv-LV"/>
              </w:rPr>
            </w:pPr>
            <w:r w:rsidRPr="00F71F5F">
              <w:rPr>
                <w:lang w:val="lv-LV" w:eastAsia="lv-LV"/>
              </w:rPr>
              <w:t>Eiropas Komisij</w:t>
            </w:r>
            <w:r>
              <w:rPr>
                <w:lang w:val="lv-LV" w:eastAsia="lv-LV"/>
              </w:rPr>
              <w:t>as 2011.gada 25.februāra Regula</w:t>
            </w:r>
            <w:r w:rsidRPr="00F71F5F">
              <w:rPr>
                <w:lang w:val="lv-LV" w:eastAsia="lv-LV"/>
              </w:rPr>
              <w:t xml:space="preserve"> (EK) Nr.142/2011, ar kuru īsteno Eiropas Parlamenta un Padomes Regulu (EK) Nr.1069/2009,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w:t>
            </w:r>
            <w:r>
              <w:rPr>
                <w:lang w:val="lv-LV" w:eastAsia="lv-LV"/>
              </w:rPr>
              <w:t>;</w:t>
            </w:r>
          </w:p>
          <w:p w:rsidR="00F71F5F" w:rsidRPr="00E919BE" w:rsidRDefault="00F71F5F" w:rsidP="00E919BE">
            <w:pPr>
              <w:jc w:val="both"/>
              <w:rPr>
                <w:lang w:val="lv-LV" w:eastAsia="lv-LV"/>
              </w:rPr>
            </w:pPr>
            <w:r w:rsidRPr="00F71F5F">
              <w:rPr>
                <w:lang w:val="lv-LV" w:eastAsia="lv-LV"/>
              </w:rPr>
              <w:t>Padome</w:t>
            </w:r>
            <w:r>
              <w:rPr>
                <w:lang w:val="lv-LV" w:eastAsia="lv-LV"/>
              </w:rPr>
              <w:t>s 1964.gada 26.jūnija Direktīva</w:t>
            </w:r>
            <w:r w:rsidRPr="00F71F5F">
              <w:rPr>
                <w:lang w:val="lv-LV" w:eastAsia="lv-LV"/>
              </w:rPr>
              <w:t xml:space="preserve"> 64/432/EEK par dzīvnieku veselības problēmām, kas ietekmē liello</w:t>
            </w:r>
            <w:r w:rsidR="00406878">
              <w:rPr>
                <w:lang w:val="lv-LV" w:eastAsia="lv-LV"/>
              </w:rPr>
              <w:t>pu un cūku tirdzniecību Kopienā</w:t>
            </w:r>
            <w:r>
              <w:rPr>
                <w:lang w:val="lv-LV" w:eastAsia="lv-LV"/>
              </w:rPr>
              <w:t>.</w:t>
            </w:r>
          </w:p>
        </w:tc>
      </w:tr>
      <w:tr w:rsidR="00E919BE" w:rsidRPr="00E919BE" w:rsidTr="00B503F6">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E919BE" w:rsidRPr="00E919BE" w:rsidRDefault="00E919BE" w:rsidP="00E919BE">
            <w:pPr>
              <w:jc w:val="both"/>
              <w:rPr>
                <w:lang w:val="lv-LV" w:eastAsia="lv-LV"/>
              </w:rPr>
            </w:pPr>
            <w:r w:rsidRPr="00E919BE">
              <w:rPr>
                <w:lang w:val="lv-LV" w:eastAsia="lv-LV"/>
              </w:rPr>
              <w:t>2.</w:t>
            </w:r>
          </w:p>
        </w:tc>
        <w:tc>
          <w:tcPr>
            <w:tcW w:w="1450" w:type="pct"/>
            <w:gridSpan w:val="2"/>
            <w:tcBorders>
              <w:top w:val="outset" w:sz="6" w:space="0" w:color="000000"/>
              <w:left w:val="outset" w:sz="6" w:space="0" w:color="000000"/>
              <w:bottom w:val="outset" w:sz="6" w:space="0" w:color="000000"/>
              <w:right w:val="outset" w:sz="6" w:space="0" w:color="000000"/>
            </w:tcBorders>
          </w:tcPr>
          <w:p w:rsidR="00E919BE" w:rsidRPr="00E919BE" w:rsidRDefault="00E919BE" w:rsidP="00E919BE">
            <w:pPr>
              <w:jc w:val="both"/>
              <w:rPr>
                <w:lang w:val="lv-LV" w:eastAsia="lv-LV"/>
              </w:rPr>
            </w:pPr>
            <w:r w:rsidRPr="00E919BE">
              <w:rPr>
                <w:lang w:val="lv-LV" w:eastAsia="lv-LV"/>
              </w:rPr>
              <w:t>Citas starptautiskās saistības</w:t>
            </w:r>
          </w:p>
        </w:tc>
        <w:tc>
          <w:tcPr>
            <w:tcW w:w="3270" w:type="pct"/>
            <w:gridSpan w:val="4"/>
            <w:tcBorders>
              <w:top w:val="outset" w:sz="6" w:space="0" w:color="000000"/>
              <w:left w:val="outset" w:sz="6" w:space="0" w:color="000000"/>
              <w:bottom w:val="outset" w:sz="6" w:space="0" w:color="000000"/>
              <w:right w:val="outset" w:sz="6" w:space="0" w:color="000000"/>
            </w:tcBorders>
          </w:tcPr>
          <w:p w:rsidR="00E919BE" w:rsidRPr="00E919BE" w:rsidRDefault="00406878" w:rsidP="00E919BE">
            <w:pPr>
              <w:jc w:val="both"/>
              <w:rPr>
                <w:lang w:val="lv-LV" w:eastAsia="lv-LV"/>
              </w:rPr>
            </w:pPr>
            <w:r w:rsidRPr="00406878">
              <w:rPr>
                <w:lang w:val="lv-LV" w:eastAsia="lv-LV"/>
              </w:rPr>
              <w:t>Projekts šo jomu neskar.</w:t>
            </w:r>
          </w:p>
        </w:tc>
      </w:tr>
      <w:tr w:rsidR="00E919BE" w:rsidRPr="00F50DAB" w:rsidTr="00B503F6">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E919BE" w:rsidRPr="00E919BE" w:rsidRDefault="00E919BE" w:rsidP="00E919BE">
            <w:pPr>
              <w:jc w:val="both"/>
              <w:rPr>
                <w:lang w:val="lv-LV" w:eastAsia="lv-LV"/>
              </w:rPr>
            </w:pPr>
            <w:r w:rsidRPr="00E919BE">
              <w:rPr>
                <w:lang w:val="lv-LV" w:eastAsia="lv-LV"/>
              </w:rPr>
              <w:t>3.</w:t>
            </w:r>
          </w:p>
        </w:tc>
        <w:tc>
          <w:tcPr>
            <w:tcW w:w="1450" w:type="pct"/>
            <w:gridSpan w:val="2"/>
            <w:tcBorders>
              <w:top w:val="outset" w:sz="6" w:space="0" w:color="000000"/>
              <w:left w:val="outset" w:sz="6" w:space="0" w:color="000000"/>
              <w:bottom w:val="outset" w:sz="6" w:space="0" w:color="000000"/>
              <w:right w:val="outset" w:sz="6" w:space="0" w:color="000000"/>
            </w:tcBorders>
          </w:tcPr>
          <w:p w:rsidR="00E919BE" w:rsidRPr="00E919BE" w:rsidRDefault="00E919BE" w:rsidP="00E919BE">
            <w:pPr>
              <w:jc w:val="both"/>
              <w:rPr>
                <w:lang w:val="lv-LV" w:eastAsia="lv-LV"/>
              </w:rPr>
            </w:pPr>
            <w:r w:rsidRPr="00E919BE">
              <w:rPr>
                <w:lang w:val="lv-LV" w:eastAsia="lv-LV"/>
              </w:rPr>
              <w:t>Cita informācija</w:t>
            </w:r>
          </w:p>
        </w:tc>
        <w:tc>
          <w:tcPr>
            <w:tcW w:w="3270" w:type="pct"/>
            <w:gridSpan w:val="4"/>
            <w:tcBorders>
              <w:top w:val="outset" w:sz="6" w:space="0" w:color="000000"/>
              <w:left w:val="outset" w:sz="6" w:space="0" w:color="000000"/>
              <w:bottom w:val="outset" w:sz="6" w:space="0" w:color="000000"/>
              <w:right w:val="outset" w:sz="6" w:space="0" w:color="000000"/>
            </w:tcBorders>
          </w:tcPr>
          <w:p w:rsidR="00F50DAB" w:rsidRDefault="00F50DAB" w:rsidP="00F50DAB">
            <w:pPr>
              <w:jc w:val="both"/>
              <w:rPr>
                <w:bCs/>
                <w:lang w:val="lv-LV" w:eastAsia="lv-LV"/>
              </w:rPr>
            </w:pPr>
            <w:r>
              <w:rPr>
                <w:lang w:val="lv-LV" w:eastAsia="lv-LV"/>
              </w:rPr>
              <w:t>Direktīvas 64/432/EEK prasības ieviestas šādos tiesību aktos: 1)</w:t>
            </w:r>
            <w:r w:rsidRPr="00F50DAB">
              <w:rPr>
                <w:rFonts w:ascii="Arial" w:hAnsi="Arial" w:cs="Arial"/>
                <w:b/>
                <w:bCs/>
                <w:color w:val="414142"/>
                <w:sz w:val="20"/>
                <w:szCs w:val="20"/>
                <w:lang w:val="lv-LV" w:eastAsia="lv-LV"/>
              </w:rPr>
              <w:t xml:space="preserve"> </w:t>
            </w:r>
            <w:r w:rsidRPr="00F50DAB">
              <w:rPr>
                <w:bCs/>
                <w:lang w:val="lv-LV" w:eastAsia="lv-LV"/>
              </w:rPr>
              <w:t xml:space="preserve">Ministru kabineta </w:t>
            </w:r>
            <w:r w:rsidRPr="00F50DAB">
              <w:rPr>
                <w:lang w:val="lv-LV" w:eastAsia="lv-LV"/>
              </w:rPr>
              <w:t xml:space="preserve">2009.gada 22.decembra </w:t>
            </w:r>
            <w:r w:rsidRPr="00F50DAB">
              <w:rPr>
                <w:bCs/>
                <w:lang w:val="lv-LV" w:eastAsia="lv-LV"/>
              </w:rPr>
              <w:t>noteikumos Nr.1647</w:t>
            </w:r>
            <w:r w:rsidRPr="00F50DAB">
              <w:rPr>
                <w:lang w:val="lv-LV" w:eastAsia="lv-LV"/>
              </w:rPr>
              <w:t xml:space="preserve"> “</w:t>
            </w:r>
            <w:r w:rsidRPr="00F50DAB">
              <w:rPr>
                <w:bCs/>
                <w:lang w:val="lv-LV" w:eastAsia="lv-LV"/>
              </w:rPr>
              <w:t>Veterinārās prasības govju un cūku apritei”</w:t>
            </w:r>
            <w:r>
              <w:rPr>
                <w:bCs/>
                <w:lang w:val="lv-LV" w:eastAsia="lv-LV"/>
              </w:rPr>
              <w:t>;</w:t>
            </w:r>
          </w:p>
          <w:p w:rsidR="00D27E33" w:rsidRPr="00D27E33" w:rsidRDefault="00F50DAB" w:rsidP="00D27E33">
            <w:pPr>
              <w:jc w:val="both"/>
              <w:rPr>
                <w:bCs/>
                <w:lang w:val="lv-LV" w:eastAsia="lv-LV"/>
              </w:rPr>
            </w:pPr>
            <w:r>
              <w:rPr>
                <w:bCs/>
                <w:lang w:val="lv-LV" w:eastAsia="lv-LV"/>
              </w:rPr>
              <w:t>2) Ministru kabineta</w:t>
            </w:r>
            <w:r w:rsidR="00D27E33" w:rsidRPr="00D27E33">
              <w:rPr>
                <w:b/>
                <w:bCs/>
                <w:lang w:val="lv-LV" w:eastAsia="lv-LV"/>
              </w:rPr>
              <w:t xml:space="preserve"> </w:t>
            </w:r>
            <w:r w:rsidR="00D27E33">
              <w:rPr>
                <w:bCs/>
                <w:lang w:val="lv-LV" w:eastAsia="lv-LV"/>
              </w:rPr>
              <w:t>2006.gada 18.aprīļa</w:t>
            </w:r>
            <w:r w:rsidR="00D27E33" w:rsidRPr="00D27E33">
              <w:rPr>
                <w:bCs/>
                <w:lang w:val="lv-LV" w:eastAsia="lv-LV"/>
              </w:rPr>
              <w:t xml:space="preserve"> noteikumos Nr.298 </w:t>
            </w:r>
            <w:r w:rsidR="00D27E33" w:rsidRPr="00D27E33">
              <w:rPr>
                <w:bCs/>
                <w:lang w:val="lv-LV" w:eastAsia="lv-LV"/>
              </w:rPr>
              <w:br/>
              <w:t>“Kārtība, kādā veic to infekcijas slimību profilaksi un apkarošanu, ar kurām slimo gan dzīvnieki, gan cilvēki”;</w:t>
            </w:r>
          </w:p>
          <w:p w:rsidR="00D27E33" w:rsidRDefault="00D27E33" w:rsidP="00D27E33">
            <w:pPr>
              <w:jc w:val="both"/>
              <w:rPr>
                <w:bCs/>
                <w:lang w:val="lv-LV" w:eastAsia="lv-LV"/>
              </w:rPr>
            </w:pPr>
            <w:r w:rsidRPr="00D27E33">
              <w:rPr>
                <w:bCs/>
                <w:lang w:val="lv-LV" w:eastAsia="lv-LV"/>
              </w:rPr>
              <w:t>3)</w:t>
            </w:r>
            <w:r w:rsidRPr="00D27E33">
              <w:rPr>
                <w:rFonts w:ascii="Arial" w:hAnsi="Arial" w:cs="Arial"/>
                <w:b/>
                <w:bCs/>
                <w:color w:val="414142"/>
                <w:sz w:val="20"/>
                <w:szCs w:val="20"/>
                <w:lang w:val="lv-LV" w:eastAsia="lv-LV"/>
              </w:rPr>
              <w:t xml:space="preserve"> </w:t>
            </w:r>
            <w:r w:rsidRPr="00D27E33">
              <w:rPr>
                <w:bCs/>
                <w:lang w:val="lv-LV" w:eastAsia="lv-LV"/>
              </w:rPr>
              <w:t>Ministru kabineta 2012.gada 18.decembra noteikumos Nr.881 “Kārtība, kādā veic brucelozes profilakses un apkarošanas pasākumus govīm”</w:t>
            </w:r>
            <w:r>
              <w:rPr>
                <w:bCs/>
                <w:lang w:val="lv-LV" w:eastAsia="lv-LV"/>
              </w:rPr>
              <w:t>;</w:t>
            </w:r>
          </w:p>
          <w:p w:rsidR="00E919BE" w:rsidRPr="00E919BE" w:rsidRDefault="00D27E33" w:rsidP="00D27E33">
            <w:pPr>
              <w:jc w:val="both"/>
              <w:rPr>
                <w:lang w:val="lv-LV" w:eastAsia="lv-LV"/>
              </w:rPr>
            </w:pPr>
            <w:r>
              <w:rPr>
                <w:bCs/>
                <w:lang w:val="lv-LV" w:eastAsia="lv-LV"/>
              </w:rPr>
              <w:t xml:space="preserve">4) </w:t>
            </w:r>
            <w:r w:rsidRPr="00D27E33">
              <w:rPr>
                <w:bCs/>
                <w:lang w:val="lv-LV" w:eastAsia="lv-LV"/>
              </w:rPr>
              <w:t xml:space="preserve">Ministru kabineta 2013.gada 20.augusta noteikumos Nr.621 “Noteikumi par </w:t>
            </w:r>
            <w:proofErr w:type="spellStart"/>
            <w:r w:rsidRPr="00D27E33">
              <w:rPr>
                <w:bCs/>
                <w:lang w:val="lv-LV" w:eastAsia="lv-LV"/>
              </w:rPr>
              <w:t>biodrošības</w:t>
            </w:r>
            <w:proofErr w:type="spellEnd"/>
            <w:r w:rsidRPr="00D27E33">
              <w:rPr>
                <w:bCs/>
                <w:lang w:val="lv-LV" w:eastAsia="lv-LV"/>
              </w:rPr>
              <w:t xml:space="preserve"> pasākumu kopumu dzīvnieku turēšanas vietām”</w:t>
            </w:r>
            <w:r w:rsidR="00406878" w:rsidRPr="00D27E33">
              <w:rPr>
                <w:lang w:val="lv-LV" w:eastAsia="lv-LV"/>
              </w:rPr>
              <w:t>.</w:t>
            </w:r>
          </w:p>
        </w:tc>
      </w:tr>
      <w:tr w:rsidR="00E919BE" w:rsidRPr="00F50DAB" w:rsidTr="00B503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523"/>
          <w:jc w:val="center"/>
        </w:trPr>
        <w:tc>
          <w:tcPr>
            <w:tcW w:w="4996" w:type="pct"/>
            <w:gridSpan w:val="8"/>
            <w:vAlign w:val="center"/>
          </w:tcPr>
          <w:p w:rsidR="00E919BE" w:rsidRPr="00E919BE" w:rsidRDefault="00E919BE" w:rsidP="00E919BE">
            <w:pPr>
              <w:jc w:val="both"/>
              <w:rPr>
                <w:b/>
                <w:bCs/>
                <w:lang w:val="lv-LV" w:eastAsia="lv-LV"/>
              </w:rPr>
            </w:pPr>
            <w:r w:rsidRPr="00E919BE">
              <w:rPr>
                <w:b/>
                <w:bCs/>
                <w:lang w:val="lv-LV" w:eastAsia="lv-LV"/>
              </w:rPr>
              <w:t>1.tabula</w:t>
            </w:r>
          </w:p>
          <w:p w:rsidR="00E919BE" w:rsidRPr="00E919BE" w:rsidRDefault="00E919BE" w:rsidP="00E919BE">
            <w:pPr>
              <w:jc w:val="both"/>
              <w:rPr>
                <w:b/>
                <w:bCs/>
                <w:i/>
                <w:lang w:val="lv-LV" w:eastAsia="lv-LV"/>
              </w:rPr>
            </w:pPr>
            <w:r w:rsidRPr="00E919BE">
              <w:rPr>
                <w:b/>
                <w:bCs/>
                <w:lang w:val="lv-LV" w:eastAsia="lv-LV"/>
              </w:rPr>
              <w:t>Tiesību akta projekta atbilstība ES tiesību aktiem</w:t>
            </w:r>
          </w:p>
        </w:tc>
      </w:tr>
      <w:tr w:rsidR="00E919BE" w:rsidRPr="007C3637" w:rsidTr="00B503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906"/>
          <w:jc w:val="center"/>
        </w:trPr>
        <w:tc>
          <w:tcPr>
            <w:tcW w:w="1512" w:type="pct"/>
            <w:gridSpan w:val="2"/>
            <w:vAlign w:val="center"/>
          </w:tcPr>
          <w:p w:rsidR="00E919BE" w:rsidRPr="00E919BE" w:rsidRDefault="00E919BE" w:rsidP="00E919BE">
            <w:pPr>
              <w:jc w:val="both"/>
              <w:rPr>
                <w:lang w:val="lv-LV" w:eastAsia="lv-LV"/>
              </w:rPr>
            </w:pPr>
            <w:r w:rsidRPr="00E919BE">
              <w:rPr>
                <w:lang w:val="lv-LV" w:eastAsia="lv-LV"/>
              </w:rPr>
              <w:t>Attiecīgā ES tiesību akta datums, numurs un nosaukums</w:t>
            </w:r>
          </w:p>
        </w:tc>
        <w:tc>
          <w:tcPr>
            <w:tcW w:w="3484" w:type="pct"/>
            <w:gridSpan w:val="6"/>
          </w:tcPr>
          <w:p w:rsidR="00406878" w:rsidRPr="00406878" w:rsidRDefault="00406878" w:rsidP="00406878">
            <w:pPr>
              <w:jc w:val="both"/>
              <w:rPr>
                <w:lang w:val="lv-LV" w:eastAsia="lv-LV"/>
              </w:rPr>
            </w:pPr>
            <w:r w:rsidRPr="00406878">
              <w:rPr>
                <w:lang w:val="lv-LV" w:eastAsia="lv-LV"/>
              </w:rPr>
              <w:t>Eiropas Parlamenta un Padomes 2009.gada 21.oktobra Regula (EK) Nr.1069/2009, ar ko nosaka veselības aizsardzības noteikumus attiecībā uz dzīvnieku izcelsmes blakusproduktiem un atvasinātajiem produktiem, kuri nav paredzēti cilvēku patēriņam, un ar ko atceļ Regulu (EK) Nr.1774/2002 (turpmāk – Regula Nr.1069/2009);</w:t>
            </w:r>
          </w:p>
          <w:p w:rsidR="00406878" w:rsidRPr="00406878" w:rsidRDefault="00406878" w:rsidP="00406878">
            <w:pPr>
              <w:jc w:val="both"/>
              <w:rPr>
                <w:lang w:val="lv-LV" w:eastAsia="lv-LV"/>
              </w:rPr>
            </w:pPr>
            <w:r w:rsidRPr="00406878">
              <w:rPr>
                <w:lang w:val="lv-LV" w:eastAsia="lv-LV"/>
              </w:rPr>
              <w:t>Eiropas Komisijas 2011.gada 25.februāra Regula (EK) Nr.142/2011, ar kuru īsteno Eiropas Parlamenta un Padomes Regulu (EK) Nr.1069/2009,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 (turpmāk – Regula Nr.142/2011);</w:t>
            </w:r>
          </w:p>
          <w:p w:rsidR="00E919BE" w:rsidRPr="00E919BE" w:rsidRDefault="00406878" w:rsidP="00406878">
            <w:pPr>
              <w:jc w:val="both"/>
              <w:rPr>
                <w:lang w:val="lv-LV" w:eastAsia="lv-LV"/>
              </w:rPr>
            </w:pPr>
            <w:r w:rsidRPr="00406878">
              <w:rPr>
                <w:lang w:val="lv-LV" w:eastAsia="lv-LV"/>
              </w:rPr>
              <w:lastRenderedPageBreak/>
              <w:t>Padomes 1964.gada 26.jūnija Direktīva 64/432/EEK par dzīvnieku veselības problēmām, kas ietekmē liellopu un cūku tirdzniecību Kopienā (turpmāk – Direktīva 64/432/EEK).</w:t>
            </w:r>
          </w:p>
        </w:tc>
      </w:tr>
      <w:tr w:rsidR="00E919BE" w:rsidRPr="00E919BE" w:rsidTr="00B503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vAlign w:val="center"/>
          </w:tcPr>
          <w:p w:rsidR="00E919BE" w:rsidRPr="00E919BE" w:rsidRDefault="00E919BE" w:rsidP="00E919BE">
            <w:pPr>
              <w:jc w:val="both"/>
              <w:rPr>
                <w:lang w:val="lv-LV" w:eastAsia="lv-LV"/>
              </w:rPr>
            </w:pPr>
            <w:r w:rsidRPr="00E919BE">
              <w:rPr>
                <w:lang w:val="lv-LV" w:eastAsia="lv-LV"/>
              </w:rPr>
              <w:lastRenderedPageBreak/>
              <w:t>A</w:t>
            </w:r>
          </w:p>
        </w:tc>
        <w:tc>
          <w:tcPr>
            <w:tcW w:w="1163" w:type="pct"/>
            <w:gridSpan w:val="2"/>
            <w:vAlign w:val="center"/>
          </w:tcPr>
          <w:p w:rsidR="00E919BE" w:rsidRPr="00E919BE" w:rsidRDefault="00E919BE" w:rsidP="00E919BE">
            <w:pPr>
              <w:jc w:val="both"/>
              <w:rPr>
                <w:lang w:val="lv-LV" w:eastAsia="lv-LV"/>
              </w:rPr>
            </w:pPr>
            <w:r w:rsidRPr="00E919BE">
              <w:rPr>
                <w:lang w:val="lv-LV" w:eastAsia="lv-LV"/>
              </w:rPr>
              <w:t>B</w:t>
            </w:r>
          </w:p>
        </w:tc>
        <w:tc>
          <w:tcPr>
            <w:tcW w:w="1084" w:type="pct"/>
            <w:gridSpan w:val="2"/>
            <w:vAlign w:val="center"/>
          </w:tcPr>
          <w:p w:rsidR="00E919BE" w:rsidRPr="00E919BE" w:rsidRDefault="00E919BE" w:rsidP="00E919BE">
            <w:pPr>
              <w:jc w:val="both"/>
              <w:rPr>
                <w:lang w:val="lv-LV" w:eastAsia="lv-LV"/>
              </w:rPr>
            </w:pPr>
            <w:r w:rsidRPr="00E919BE">
              <w:rPr>
                <w:lang w:val="lv-LV" w:eastAsia="lv-LV"/>
              </w:rPr>
              <w:t>C</w:t>
            </w:r>
          </w:p>
        </w:tc>
        <w:tc>
          <w:tcPr>
            <w:tcW w:w="1237" w:type="pct"/>
            <w:gridSpan w:val="2"/>
            <w:vAlign w:val="center"/>
          </w:tcPr>
          <w:p w:rsidR="00E919BE" w:rsidRPr="00E919BE" w:rsidRDefault="00E919BE" w:rsidP="00E919BE">
            <w:pPr>
              <w:jc w:val="both"/>
              <w:rPr>
                <w:lang w:val="lv-LV" w:eastAsia="lv-LV"/>
              </w:rPr>
            </w:pPr>
            <w:r w:rsidRPr="00E919BE">
              <w:rPr>
                <w:lang w:val="lv-LV" w:eastAsia="lv-LV"/>
              </w:rPr>
              <w:t>D</w:t>
            </w:r>
          </w:p>
        </w:tc>
      </w:tr>
      <w:tr w:rsidR="00E919BE" w:rsidRPr="007C3637" w:rsidTr="00B503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tcPr>
          <w:p w:rsidR="00E919BE" w:rsidRPr="00E919BE" w:rsidRDefault="00E919BE" w:rsidP="00E919BE">
            <w:pPr>
              <w:jc w:val="both"/>
              <w:rPr>
                <w:lang w:val="lv-LV" w:eastAsia="lv-LV"/>
              </w:rPr>
            </w:pPr>
            <w:r w:rsidRPr="00E919BE">
              <w:rPr>
                <w:lang w:val="lv-LV" w:eastAsia="lv-LV"/>
              </w:rPr>
              <w:t>Attiecīgā ES tiesību akta panta numurs (uzskaitot katru tiesību akta vienību – pantu, daļu, punktu, apakšpunktu)</w:t>
            </w:r>
          </w:p>
        </w:tc>
        <w:tc>
          <w:tcPr>
            <w:tcW w:w="1163" w:type="pct"/>
            <w:gridSpan w:val="2"/>
          </w:tcPr>
          <w:p w:rsidR="00E919BE" w:rsidRPr="00E919BE" w:rsidRDefault="00E919BE" w:rsidP="00E919BE">
            <w:pPr>
              <w:jc w:val="both"/>
              <w:rPr>
                <w:lang w:val="lv-LV" w:eastAsia="lv-LV"/>
              </w:rPr>
            </w:pPr>
            <w:r w:rsidRPr="00E919BE">
              <w:rPr>
                <w:lang w:val="lv-LV" w:eastAsia="lv-LV"/>
              </w:rPr>
              <w:t>Projekta vienība, kas pārņem vai ievieš katru šīs tabulas A ailē minēto ES tiesību akta vienību, vai tiesību akts, kur attiecīgā ES tiesību akta vienība pārņemta vai ieviesta</w:t>
            </w:r>
          </w:p>
        </w:tc>
        <w:tc>
          <w:tcPr>
            <w:tcW w:w="1084" w:type="pct"/>
            <w:gridSpan w:val="2"/>
          </w:tcPr>
          <w:p w:rsidR="00E919BE" w:rsidRPr="00E919BE" w:rsidRDefault="00E919BE" w:rsidP="00E919BE">
            <w:pPr>
              <w:jc w:val="both"/>
              <w:rPr>
                <w:lang w:val="lv-LV" w:eastAsia="lv-LV"/>
              </w:rPr>
            </w:pPr>
            <w:r w:rsidRPr="00E919BE">
              <w:rPr>
                <w:lang w:val="lv-LV" w:eastAsia="lv-LV"/>
              </w:rPr>
              <w:t>Informācija par to, vai šīs tabulas A ailē minētās ES tiesību akta vienības tiek pārņemtas vai ieviestas pilnībā vai daļēji.</w:t>
            </w:r>
          </w:p>
          <w:p w:rsidR="00E919BE" w:rsidRPr="00E919BE" w:rsidRDefault="00E919BE" w:rsidP="00E919BE">
            <w:pPr>
              <w:jc w:val="both"/>
              <w:rPr>
                <w:lang w:val="lv-LV" w:eastAsia="lv-LV"/>
              </w:rPr>
            </w:pPr>
            <w:r w:rsidRPr="00E919BE">
              <w:rPr>
                <w:lang w:val="lv-LV" w:eastAsia="lv-LV"/>
              </w:rPr>
              <w:t>Ja attiecīgā ES tiesību akta vienība tiek pārņemta vai ieviesta daļēji,</w:t>
            </w:r>
            <w:proofErr w:type="gramStart"/>
            <w:r w:rsidRPr="00E919BE">
              <w:rPr>
                <w:lang w:val="lv-LV" w:eastAsia="lv-LV"/>
              </w:rPr>
              <w:t xml:space="preserve">  </w:t>
            </w:r>
            <w:proofErr w:type="gramEnd"/>
            <w:r w:rsidRPr="00E919BE">
              <w:rPr>
                <w:lang w:val="lv-LV" w:eastAsia="lv-LV"/>
              </w:rPr>
              <w:t>sniedz attiecīgu skaidrojumu, kā arī precīzi norāda, kad un kādā veidā ES tiesību akta vienība tiks pārņemta vai ieviesta pilnībā.</w:t>
            </w:r>
          </w:p>
          <w:p w:rsidR="00E919BE" w:rsidRPr="00E919BE" w:rsidRDefault="00E919BE" w:rsidP="00E919BE">
            <w:pPr>
              <w:jc w:val="both"/>
              <w:rPr>
                <w:lang w:val="lv-LV" w:eastAsia="lv-LV"/>
              </w:rPr>
            </w:pPr>
            <w:r w:rsidRPr="00E919BE">
              <w:rPr>
                <w:lang w:val="lv-LV" w:eastAsia="lv-LV"/>
              </w:rPr>
              <w:t>Norāda institūciju, kas ir atbildīga par šo saistību izpildi pilnībā</w:t>
            </w:r>
          </w:p>
        </w:tc>
        <w:tc>
          <w:tcPr>
            <w:tcW w:w="1237" w:type="pct"/>
            <w:gridSpan w:val="2"/>
            <w:vAlign w:val="center"/>
          </w:tcPr>
          <w:p w:rsidR="00E919BE" w:rsidRPr="00E919BE" w:rsidRDefault="00E919BE" w:rsidP="00E919BE">
            <w:pPr>
              <w:jc w:val="both"/>
              <w:rPr>
                <w:lang w:val="lv-LV" w:eastAsia="lv-LV"/>
              </w:rPr>
            </w:pPr>
            <w:r w:rsidRPr="00E919BE">
              <w:rPr>
                <w:lang w:val="lv-LV" w:eastAsia="lv-LV"/>
              </w:rPr>
              <w:t>Informācija par to, vai šīs tabulas B ailē minētās projekta vienības paredz stingrākas prasības nekā šīs tabulas A ailē minētās ES tiesību akta vienības.</w:t>
            </w:r>
          </w:p>
          <w:p w:rsidR="00E919BE" w:rsidRPr="00E919BE" w:rsidRDefault="00E919BE" w:rsidP="00E919BE">
            <w:pPr>
              <w:jc w:val="both"/>
              <w:rPr>
                <w:lang w:val="lv-LV" w:eastAsia="lv-LV"/>
              </w:rPr>
            </w:pPr>
            <w:r w:rsidRPr="00E919BE">
              <w:rPr>
                <w:lang w:val="lv-LV" w:eastAsia="lv-LV"/>
              </w:rPr>
              <w:t>Ja projekts satur stingrākas prasības nekā attiecīgais ES tiesību akts, norāda pamatojumu un samērīgumu.</w:t>
            </w:r>
          </w:p>
          <w:p w:rsidR="00E919BE" w:rsidRPr="00E919BE" w:rsidRDefault="00E919BE" w:rsidP="00E919BE">
            <w:pPr>
              <w:jc w:val="both"/>
              <w:rPr>
                <w:lang w:val="lv-LV" w:eastAsia="lv-LV"/>
              </w:rPr>
            </w:pPr>
            <w:r w:rsidRPr="00E919BE">
              <w:rPr>
                <w:lang w:val="lv-LV" w:eastAsia="lv-LV"/>
              </w:rPr>
              <w:t>Norāda iespējamās alternatīvas (</w:t>
            </w:r>
            <w:proofErr w:type="spellStart"/>
            <w:r w:rsidRPr="00E919BE">
              <w:rPr>
                <w:lang w:val="lv-LV" w:eastAsia="lv-LV"/>
              </w:rPr>
              <w:t>t.sk</w:t>
            </w:r>
            <w:proofErr w:type="spellEnd"/>
            <w:r w:rsidRPr="00E919BE">
              <w:rPr>
                <w:lang w:val="lv-LV" w:eastAsia="lv-LV"/>
              </w:rPr>
              <w:t>. alternatīvas, kas neparedz tiesiskā regulējuma izstrādi) – kādos gadījumos būtu iespējams izvairīties no stingrāku prasību noteikšanas, nekā paredzēts attiecīgajos ES tiesību aktos</w:t>
            </w:r>
          </w:p>
        </w:tc>
      </w:tr>
      <w:tr w:rsidR="00E919BE" w:rsidRPr="007C3637" w:rsidTr="00B503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E919BE" w:rsidRPr="00E919BE" w:rsidRDefault="00AF1072" w:rsidP="00E919BE">
            <w:pPr>
              <w:jc w:val="both"/>
              <w:rPr>
                <w:lang w:val="lv-LV" w:eastAsia="lv-LV"/>
              </w:rPr>
            </w:pPr>
            <w:r>
              <w:rPr>
                <w:lang w:val="lv-LV" w:eastAsia="lv-LV"/>
              </w:rPr>
              <w:t>Regulas</w:t>
            </w:r>
            <w:r w:rsidRPr="00AF1072">
              <w:rPr>
                <w:lang w:val="lv-LV" w:eastAsia="lv-LV"/>
              </w:rPr>
              <w:t xml:space="preserve"> Nr.142/2011</w:t>
            </w:r>
            <w:r>
              <w:rPr>
                <w:lang w:val="lv-LV" w:eastAsia="lv-LV"/>
              </w:rPr>
              <w:t xml:space="preserve"> un </w:t>
            </w:r>
            <w:r w:rsidRPr="00AF1072">
              <w:rPr>
                <w:lang w:val="lv-LV" w:eastAsia="lv-LV"/>
              </w:rPr>
              <w:t>Regulas (EK) Nr.1069/2009</w:t>
            </w:r>
            <w:r w:rsidR="00417E08">
              <w:rPr>
                <w:lang w:val="lv-LV" w:eastAsia="lv-LV"/>
              </w:rPr>
              <w:t xml:space="preserve"> visi nosacījumi</w:t>
            </w:r>
          </w:p>
        </w:tc>
        <w:tc>
          <w:tcPr>
            <w:tcW w:w="1163" w:type="pct"/>
            <w:gridSpan w:val="2"/>
            <w:vAlign w:val="center"/>
          </w:tcPr>
          <w:p w:rsidR="00E919BE" w:rsidRPr="00E919BE" w:rsidRDefault="00B503F6" w:rsidP="00E919BE">
            <w:pPr>
              <w:jc w:val="both"/>
              <w:rPr>
                <w:lang w:val="lv-LV" w:eastAsia="lv-LV"/>
              </w:rPr>
            </w:pPr>
            <w:r>
              <w:rPr>
                <w:lang w:val="lv-LV" w:eastAsia="lv-LV"/>
              </w:rPr>
              <w:t>7.punkts</w:t>
            </w:r>
          </w:p>
        </w:tc>
        <w:tc>
          <w:tcPr>
            <w:tcW w:w="1084" w:type="pct"/>
            <w:gridSpan w:val="2"/>
          </w:tcPr>
          <w:p w:rsidR="00E919BE" w:rsidRPr="00E919BE" w:rsidRDefault="00406878" w:rsidP="00E919BE">
            <w:pPr>
              <w:jc w:val="both"/>
              <w:rPr>
                <w:lang w:val="lv-LV" w:eastAsia="lv-LV"/>
              </w:rPr>
            </w:pPr>
            <w:r w:rsidRPr="00406878">
              <w:rPr>
                <w:lang w:val="lv-LV" w:eastAsia="lv-LV"/>
              </w:rPr>
              <w:t>ES tiesību akta vienība tiek ieviesta pilnībā.</w:t>
            </w:r>
          </w:p>
        </w:tc>
        <w:tc>
          <w:tcPr>
            <w:tcW w:w="1237" w:type="pct"/>
            <w:gridSpan w:val="2"/>
          </w:tcPr>
          <w:p w:rsidR="00E919BE" w:rsidRPr="00E919BE" w:rsidRDefault="00406878" w:rsidP="00E919BE">
            <w:pPr>
              <w:jc w:val="both"/>
              <w:rPr>
                <w:lang w:val="lv-LV" w:eastAsia="lv-LV"/>
              </w:rPr>
            </w:pPr>
            <w:r w:rsidRPr="00406878">
              <w:rPr>
                <w:lang w:val="lv-LV" w:eastAsia="lv-LV"/>
              </w:rPr>
              <w:t>Attiecīgais noteikumu projekta punkts neparedz stingrākas prasības kā ES tiesību aktā.</w:t>
            </w:r>
          </w:p>
        </w:tc>
      </w:tr>
      <w:tr w:rsidR="00E919BE" w:rsidRPr="007C3637" w:rsidTr="00B503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E919BE" w:rsidRPr="00E919BE" w:rsidRDefault="00AF1072" w:rsidP="00E919BE">
            <w:pPr>
              <w:jc w:val="both"/>
              <w:rPr>
                <w:lang w:val="lv-LV" w:eastAsia="lv-LV"/>
              </w:rPr>
            </w:pPr>
            <w:r>
              <w:rPr>
                <w:lang w:val="lv-LV" w:eastAsia="lv-LV"/>
              </w:rPr>
              <w:t>Direktīvas 64/432/EEK</w:t>
            </w:r>
            <w:r w:rsidR="00417E08">
              <w:rPr>
                <w:lang w:val="lv-LV" w:eastAsia="lv-LV"/>
              </w:rPr>
              <w:t xml:space="preserve"> D pielikuma I nodaļas A daļa</w:t>
            </w:r>
            <w:r>
              <w:rPr>
                <w:lang w:val="lv-LV" w:eastAsia="lv-LV"/>
              </w:rPr>
              <w:t xml:space="preserve"> </w:t>
            </w:r>
          </w:p>
        </w:tc>
        <w:tc>
          <w:tcPr>
            <w:tcW w:w="1163" w:type="pct"/>
            <w:gridSpan w:val="2"/>
            <w:vAlign w:val="center"/>
          </w:tcPr>
          <w:p w:rsidR="00E919BE" w:rsidRPr="00E919BE" w:rsidRDefault="00B503F6" w:rsidP="00E919BE">
            <w:pPr>
              <w:jc w:val="both"/>
              <w:rPr>
                <w:lang w:val="lv-LV" w:eastAsia="lv-LV"/>
              </w:rPr>
            </w:pPr>
            <w:r>
              <w:rPr>
                <w:lang w:val="lv-LV" w:eastAsia="lv-LV"/>
              </w:rPr>
              <w:t>8.punkts</w:t>
            </w:r>
          </w:p>
        </w:tc>
        <w:tc>
          <w:tcPr>
            <w:tcW w:w="1084" w:type="pct"/>
            <w:gridSpan w:val="2"/>
          </w:tcPr>
          <w:p w:rsidR="00E919BE" w:rsidRPr="00E919BE" w:rsidRDefault="00406878" w:rsidP="00E919BE">
            <w:pPr>
              <w:jc w:val="both"/>
              <w:rPr>
                <w:lang w:val="lv-LV" w:eastAsia="lv-LV"/>
              </w:rPr>
            </w:pPr>
            <w:r w:rsidRPr="00406878">
              <w:rPr>
                <w:lang w:val="lv-LV" w:eastAsia="lv-LV"/>
              </w:rPr>
              <w:t>ES tiesību akta vienība tiek ieviesta pilnībā.</w:t>
            </w:r>
          </w:p>
        </w:tc>
        <w:tc>
          <w:tcPr>
            <w:tcW w:w="1237" w:type="pct"/>
            <w:gridSpan w:val="2"/>
          </w:tcPr>
          <w:p w:rsidR="00E919BE" w:rsidRPr="00E919BE" w:rsidRDefault="00406878" w:rsidP="00E919BE">
            <w:pPr>
              <w:jc w:val="both"/>
              <w:rPr>
                <w:lang w:val="lv-LV" w:eastAsia="lv-LV"/>
              </w:rPr>
            </w:pPr>
            <w:r w:rsidRPr="00406878">
              <w:rPr>
                <w:lang w:val="lv-LV" w:eastAsia="lv-LV"/>
              </w:rPr>
              <w:t>Attiecīgais noteikumu projekta punkts neparedz stingrākas prasības kā ES tiesību aktā.</w:t>
            </w:r>
          </w:p>
        </w:tc>
      </w:tr>
      <w:tr w:rsidR="00406878" w:rsidRPr="007C3637" w:rsidTr="00B503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406878" w:rsidRPr="00E919BE" w:rsidRDefault="00AF1072" w:rsidP="00E919BE">
            <w:pPr>
              <w:jc w:val="both"/>
              <w:rPr>
                <w:lang w:val="lv-LV" w:eastAsia="lv-LV"/>
              </w:rPr>
            </w:pPr>
            <w:r w:rsidRPr="00AF1072">
              <w:rPr>
                <w:lang w:val="lv-LV" w:eastAsia="lv-LV"/>
              </w:rPr>
              <w:t>Direktīvas 64/432/EEK</w:t>
            </w:r>
            <w:r w:rsidR="00417E08">
              <w:rPr>
                <w:lang w:val="lv-LV" w:eastAsia="lv-LV"/>
              </w:rPr>
              <w:t xml:space="preserve"> D pielikuma I nodaļas B daļas </w:t>
            </w:r>
            <w:r w:rsidR="008F4708">
              <w:rPr>
                <w:lang w:val="lv-LV" w:eastAsia="lv-LV"/>
              </w:rPr>
              <w:t>„</w:t>
            </w:r>
            <w:r w:rsidR="00417E08">
              <w:rPr>
                <w:lang w:val="lv-LV" w:eastAsia="lv-LV"/>
              </w:rPr>
              <w:t>i</w:t>
            </w:r>
            <w:r w:rsidR="008F4708">
              <w:rPr>
                <w:lang w:val="lv-LV" w:eastAsia="lv-LV"/>
              </w:rPr>
              <w:t>” punkts</w:t>
            </w:r>
          </w:p>
        </w:tc>
        <w:tc>
          <w:tcPr>
            <w:tcW w:w="1163" w:type="pct"/>
            <w:gridSpan w:val="2"/>
            <w:vAlign w:val="center"/>
          </w:tcPr>
          <w:p w:rsidR="00406878" w:rsidRPr="00E919BE" w:rsidRDefault="00B503F6" w:rsidP="00E919BE">
            <w:pPr>
              <w:jc w:val="both"/>
              <w:rPr>
                <w:lang w:val="lv-LV" w:eastAsia="lv-LV"/>
              </w:rPr>
            </w:pPr>
            <w:r>
              <w:rPr>
                <w:lang w:val="lv-LV" w:eastAsia="lv-LV"/>
              </w:rPr>
              <w:t>9.punkts</w:t>
            </w:r>
          </w:p>
        </w:tc>
        <w:tc>
          <w:tcPr>
            <w:tcW w:w="1084" w:type="pct"/>
            <w:gridSpan w:val="2"/>
          </w:tcPr>
          <w:p w:rsidR="00406878" w:rsidRPr="00406878" w:rsidRDefault="00406878" w:rsidP="00E919BE">
            <w:pPr>
              <w:jc w:val="both"/>
              <w:rPr>
                <w:lang w:val="lv-LV" w:eastAsia="lv-LV"/>
              </w:rPr>
            </w:pPr>
            <w:r w:rsidRPr="00406878">
              <w:rPr>
                <w:lang w:val="lv-LV" w:eastAsia="lv-LV"/>
              </w:rPr>
              <w:t>ES tiesību akta vienība tiek ieviesta pilnībā.</w:t>
            </w:r>
          </w:p>
        </w:tc>
        <w:tc>
          <w:tcPr>
            <w:tcW w:w="1237" w:type="pct"/>
            <w:gridSpan w:val="2"/>
          </w:tcPr>
          <w:p w:rsidR="00406878" w:rsidRPr="00406878" w:rsidRDefault="00406878" w:rsidP="00E919BE">
            <w:pPr>
              <w:jc w:val="both"/>
              <w:rPr>
                <w:lang w:val="lv-LV" w:eastAsia="lv-LV"/>
              </w:rPr>
            </w:pPr>
            <w:r w:rsidRPr="00406878">
              <w:rPr>
                <w:lang w:val="lv-LV" w:eastAsia="lv-LV"/>
              </w:rPr>
              <w:t>Attiecīgais noteikumu projekta punkts neparedz stingrākas prasības kā ES tiesību aktā.</w:t>
            </w:r>
          </w:p>
        </w:tc>
      </w:tr>
      <w:tr w:rsidR="00406878" w:rsidRPr="007C3637" w:rsidTr="00B503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406878" w:rsidRPr="00E919BE" w:rsidRDefault="00AF1072" w:rsidP="00E919BE">
            <w:pPr>
              <w:jc w:val="both"/>
              <w:rPr>
                <w:lang w:val="lv-LV" w:eastAsia="lv-LV"/>
              </w:rPr>
            </w:pPr>
            <w:r w:rsidRPr="00AF1072">
              <w:rPr>
                <w:lang w:val="lv-LV" w:eastAsia="lv-LV"/>
              </w:rPr>
              <w:t>Direktīvas 64/432/EEK</w:t>
            </w:r>
            <w:r w:rsidR="00417E08">
              <w:rPr>
                <w:lang w:val="lv-LV" w:eastAsia="lv-LV"/>
              </w:rPr>
              <w:t xml:space="preserve"> D pielikuma I nodaļas C daļa</w:t>
            </w:r>
          </w:p>
        </w:tc>
        <w:tc>
          <w:tcPr>
            <w:tcW w:w="1163" w:type="pct"/>
            <w:gridSpan w:val="2"/>
            <w:vAlign w:val="center"/>
          </w:tcPr>
          <w:p w:rsidR="00406878" w:rsidRPr="00E919BE" w:rsidRDefault="00B503F6" w:rsidP="00E919BE">
            <w:pPr>
              <w:jc w:val="both"/>
              <w:rPr>
                <w:lang w:val="lv-LV" w:eastAsia="lv-LV"/>
              </w:rPr>
            </w:pPr>
            <w:r>
              <w:rPr>
                <w:lang w:val="lv-LV" w:eastAsia="lv-LV"/>
              </w:rPr>
              <w:t>10.punkts</w:t>
            </w:r>
          </w:p>
        </w:tc>
        <w:tc>
          <w:tcPr>
            <w:tcW w:w="1084" w:type="pct"/>
            <w:gridSpan w:val="2"/>
          </w:tcPr>
          <w:p w:rsidR="00406878" w:rsidRPr="00406878" w:rsidRDefault="00406878" w:rsidP="00E919BE">
            <w:pPr>
              <w:jc w:val="both"/>
              <w:rPr>
                <w:lang w:val="lv-LV" w:eastAsia="lv-LV"/>
              </w:rPr>
            </w:pPr>
            <w:r w:rsidRPr="00406878">
              <w:rPr>
                <w:lang w:val="lv-LV" w:eastAsia="lv-LV"/>
              </w:rPr>
              <w:t>ES tiesību akta vienība tiek ieviesta pilnībā.</w:t>
            </w:r>
          </w:p>
        </w:tc>
        <w:tc>
          <w:tcPr>
            <w:tcW w:w="1237" w:type="pct"/>
            <w:gridSpan w:val="2"/>
          </w:tcPr>
          <w:p w:rsidR="00406878" w:rsidRPr="00406878" w:rsidRDefault="00406878" w:rsidP="00E919BE">
            <w:pPr>
              <w:jc w:val="both"/>
              <w:rPr>
                <w:lang w:val="lv-LV" w:eastAsia="lv-LV"/>
              </w:rPr>
            </w:pPr>
            <w:r w:rsidRPr="00406878">
              <w:rPr>
                <w:lang w:val="lv-LV" w:eastAsia="lv-LV"/>
              </w:rPr>
              <w:t xml:space="preserve">Attiecīgais noteikumu projekta punkts neparedz stingrākas prasības kā ES tiesību </w:t>
            </w:r>
            <w:r w:rsidRPr="00406878">
              <w:rPr>
                <w:lang w:val="lv-LV" w:eastAsia="lv-LV"/>
              </w:rPr>
              <w:lastRenderedPageBreak/>
              <w:t>aktā.</w:t>
            </w:r>
          </w:p>
        </w:tc>
      </w:tr>
      <w:tr w:rsidR="00406878" w:rsidRPr="007C3637" w:rsidTr="00B503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406878" w:rsidRPr="00E919BE" w:rsidRDefault="00AF1072" w:rsidP="00E919BE">
            <w:pPr>
              <w:jc w:val="both"/>
              <w:rPr>
                <w:lang w:val="lv-LV" w:eastAsia="lv-LV"/>
              </w:rPr>
            </w:pPr>
            <w:r w:rsidRPr="00AF1072">
              <w:rPr>
                <w:lang w:val="lv-LV" w:eastAsia="lv-LV"/>
              </w:rPr>
              <w:lastRenderedPageBreak/>
              <w:t>Direktīvas 64/432/EEK</w:t>
            </w:r>
            <w:r w:rsidR="00417E08">
              <w:rPr>
                <w:lang w:val="lv-LV" w:eastAsia="lv-LV"/>
              </w:rPr>
              <w:t xml:space="preserve"> D pielikuma I nodaļas D daļas 2.punkta </w:t>
            </w:r>
            <w:r w:rsidR="008F4708">
              <w:rPr>
                <w:lang w:val="lv-LV" w:eastAsia="lv-LV"/>
              </w:rPr>
              <w:t>„</w:t>
            </w:r>
            <w:proofErr w:type="spellStart"/>
            <w:r w:rsidR="00417E08">
              <w:rPr>
                <w:lang w:val="lv-LV" w:eastAsia="lv-LV"/>
              </w:rPr>
              <w:t>iii</w:t>
            </w:r>
            <w:proofErr w:type="spellEnd"/>
            <w:r w:rsidR="008F4708">
              <w:rPr>
                <w:lang w:val="lv-LV" w:eastAsia="lv-LV"/>
              </w:rPr>
              <w:t>” punkts</w:t>
            </w:r>
          </w:p>
        </w:tc>
        <w:tc>
          <w:tcPr>
            <w:tcW w:w="1163" w:type="pct"/>
            <w:gridSpan w:val="2"/>
            <w:vAlign w:val="center"/>
          </w:tcPr>
          <w:p w:rsidR="00406878" w:rsidRPr="00E919BE" w:rsidRDefault="00B503F6" w:rsidP="00E919BE">
            <w:pPr>
              <w:jc w:val="both"/>
              <w:rPr>
                <w:lang w:val="lv-LV" w:eastAsia="lv-LV"/>
              </w:rPr>
            </w:pPr>
            <w:r>
              <w:rPr>
                <w:lang w:val="lv-LV" w:eastAsia="lv-LV"/>
              </w:rPr>
              <w:t>12.punkts</w:t>
            </w:r>
          </w:p>
        </w:tc>
        <w:tc>
          <w:tcPr>
            <w:tcW w:w="1084" w:type="pct"/>
            <w:gridSpan w:val="2"/>
          </w:tcPr>
          <w:p w:rsidR="00406878" w:rsidRPr="00406878" w:rsidRDefault="00406878" w:rsidP="00E919BE">
            <w:pPr>
              <w:jc w:val="both"/>
              <w:rPr>
                <w:lang w:val="lv-LV" w:eastAsia="lv-LV"/>
              </w:rPr>
            </w:pPr>
            <w:r w:rsidRPr="00406878">
              <w:rPr>
                <w:lang w:val="lv-LV" w:eastAsia="lv-LV"/>
              </w:rPr>
              <w:t>ES tiesību akta vienība tiek ieviesta pilnībā.</w:t>
            </w:r>
          </w:p>
        </w:tc>
        <w:tc>
          <w:tcPr>
            <w:tcW w:w="1237" w:type="pct"/>
            <w:gridSpan w:val="2"/>
          </w:tcPr>
          <w:p w:rsidR="00406878" w:rsidRPr="00406878" w:rsidRDefault="00406878" w:rsidP="00E919BE">
            <w:pPr>
              <w:jc w:val="both"/>
              <w:rPr>
                <w:lang w:val="lv-LV" w:eastAsia="lv-LV"/>
              </w:rPr>
            </w:pPr>
            <w:r w:rsidRPr="00406878">
              <w:rPr>
                <w:lang w:val="lv-LV" w:eastAsia="lv-LV"/>
              </w:rPr>
              <w:t>Attiecīgais noteikumu projekta punkts neparedz stingrākas prasības kā ES tiesību aktā.</w:t>
            </w:r>
          </w:p>
        </w:tc>
      </w:tr>
      <w:tr w:rsidR="00406878" w:rsidRPr="007C3637" w:rsidTr="00B503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406878" w:rsidRPr="00E919BE" w:rsidRDefault="00AF1072" w:rsidP="00E919BE">
            <w:pPr>
              <w:jc w:val="both"/>
              <w:rPr>
                <w:lang w:val="lv-LV" w:eastAsia="lv-LV"/>
              </w:rPr>
            </w:pPr>
            <w:r w:rsidRPr="00AF1072">
              <w:rPr>
                <w:lang w:val="lv-LV" w:eastAsia="lv-LV"/>
              </w:rPr>
              <w:t>Direktīvas 64/432/EEK</w:t>
            </w:r>
            <w:r w:rsidR="00417E08">
              <w:rPr>
                <w:lang w:val="lv-LV" w:eastAsia="lv-LV"/>
              </w:rPr>
              <w:t xml:space="preserve"> D pielikuma I nodaļas F daļa</w:t>
            </w:r>
          </w:p>
        </w:tc>
        <w:tc>
          <w:tcPr>
            <w:tcW w:w="1163" w:type="pct"/>
            <w:gridSpan w:val="2"/>
            <w:vAlign w:val="center"/>
          </w:tcPr>
          <w:p w:rsidR="00406878" w:rsidRPr="00E919BE" w:rsidRDefault="00B503F6" w:rsidP="00E919BE">
            <w:pPr>
              <w:jc w:val="both"/>
              <w:rPr>
                <w:lang w:val="lv-LV" w:eastAsia="lv-LV"/>
              </w:rPr>
            </w:pPr>
            <w:r>
              <w:rPr>
                <w:lang w:val="lv-LV" w:eastAsia="lv-LV"/>
              </w:rPr>
              <w:t>13.punkts</w:t>
            </w:r>
          </w:p>
        </w:tc>
        <w:tc>
          <w:tcPr>
            <w:tcW w:w="1084" w:type="pct"/>
            <w:gridSpan w:val="2"/>
          </w:tcPr>
          <w:p w:rsidR="00406878" w:rsidRPr="00406878" w:rsidRDefault="00406878" w:rsidP="00E919BE">
            <w:pPr>
              <w:jc w:val="both"/>
              <w:rPr>
                <w:lang w:val="lv-LV" w:eastAsia="lv-LV"/>
              </w:rPr>
            </w:pPr>
            <w:r w:rsidRPr="00406878">
              <w:rPr>
                <w:lang w:val="lv-LV" w:eastAsia="lv-LV"/>
              </w:rPr>
              <w:t>ES tiesību akta vienība tiek ieviesta pilnībā.</w:t>
            </w:r>
          </w:p>
        </w:tc>
        <w:tc>
          <w:tcPr>
            <w:tcW w:w="1237" w:type="pct"/>
            <w:gridSpan w:val="2"/>
          </w:tcPr>
          <w:p w:rsidR="00406878" w:rsidRPr="00406878" w:rsidRDefault="00406878" w:rsidP="00E919BE">
            <w:pPr>
              <w:jc w:val="both"/>
              <w:rPr>
                <w:lang w:val="lv-LV" w:eastAsia="lv-LV"/>
              </w:rPr>
            </w:pPr>
            <w:r w:rsidRPr="00406878">
              <w:rPr>
                <w:lang w:val="lv-LV" w:eastAsia="lv-LV"/>
              </w:rPr>
              <w:t>Attiecīgais noteikumu projekta punkts neparedz stingrākas prasības kā ES tiesību aktā.</w:t>
            </w:r>
          </w:p>
        </w:tc>
      </w:tr>
      <w:tr w:rsidR="00E919BE" w:rsidRPr="008F4708" w:rsidTr="00B503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81"/>
          <w:jc w:val="center"/>
        </w:trPr>
        <w:tc>
          <w:tcPr>
            <w:tcW w:w="1512" w:type="pct"/>
            <w:gridSpan w:val="2"/>
            <w:vAlign w:val="center"/>
          </w:tcPr>
          <w:p w:rsidR="00E919BE" w:rsidRPr="00E919BE" w:rsidRDefault="00E919BE" w:rsidP="00E919BE">
            <w:pPr>
              <w:jc w:val="both"/>
              <w:rPr>
                <w:lang w:val="lv-LV" w:eastAsia="lv-LV"/>
              </w:rPr>
            </w:pPr>
            <w:proofErr w:type="gramStart"/>
            <w:r w:rsidRPr="00E919BE">
              <w:rPr>
                <w:lang w:val="lv-LV" w:eastAsia="lv-LV"/>
              </w:rPr>
              <w:t>Kā</w:t>
            </w:r>
            <w:proofErr w:type="gramEnd"/>
            <w:r w:rsidRPr="00E919BE">
              <w:rPr>
                <w:lang w:val="lv-LV" w:eastAsia="lv-LV"/>
              </w:rPr>
              <w:t xml:space="preserve"> ir izmantota ES tiesību aktā paredzētā rīcības brīvība dalībvalstij pārņemt vai ieviest noteiktas ES tiesību akta normas. Kādēļ?</w:t>
            </w:r>
          </w:p>
        </w:tc>
        <w:tc>
          <w:tcPr>
            <w:tcW w:w="3484" w:type="pct"/>
            <w:gridSpan w:val="6"/>
          </w:tcPr>
          <w:p w:rsidR="00E919BE" w:rsidRPr="00E919BE" w:rsidRDefault="00AF1072" w:rsidP="00AF1072">
            <w:pPr>
              <w:jc w:val="both"/>
              <w:rPr>
                <w:lang w:val="lv-LV" w:eastAsia="lv-LV"/>
              </w:rPr>
            </w:pPr>
            <w:r w:rsidRPr="00AF1072">
              <w:rPr>
                <w:lang w:val="lv-LV" w:eastAsia="lv-LV"/>
              </w:rPr>
              <w:t>Direktīv</w:t>
            </w:r>
            <w:r>
              <w:rPr>
                <w:lang w:val="lv-LV" w:eastAsia="lv-LV"/>
              </w:rPr>
              <w:t>ā 64/432/EEK</w:t>
            </w:r>
            <w:r w:rsidR="008F4708">
              <w:rPr>
                <w:lang w:val="lv-LV" w:eastAsia="lv-LV"/>
              </w:rPr>
              <w:t xml:space="preserve"> un</w:t>
            </w:r>
            <w:r>
              <w:rPr>
                <w:lang w:val="lv-LV" w:eastAsia="lv-LV"/>
              </w:rPr>
              <w:t xml:space="preserve"> </w:t>
            </w:r>
            <w:r w:rsidR="00B503F6" w:rsidRPr="00B503F6">
              <w:rPr>
                <w:lang w:val="lv-LV" w:eastAsia="lv-LV"/>
              </w:rPr>
              <w:t xml:space="preserve">Regulā Nr.142/2011 nav paredzēta rīcības brīvība dalībvalstij ieviest tiesību normas. Regulas (EK) Nr.1069/2009 21.panta 3.punkta otrajā paragrāfā dota rīcības brīvība dalībvalstij gadījumos, ja dzīvnieku izcelsmes blakusprodukti vai atvasināti produkti tiek transportēti dalībvalsts teritorijā, </w:t>
            </w:r>
            <w:r w:rsidR="008F4708">
              <w:rPr>
                <w:lang w:val="lv-LV" w:eastAsia="lv-LV"/>
              </w:rPr>
              <w:t xml:space="preserve">jo tad </w:t>
            </w:r>
            <w:r w:rsidR="00B503F6" w:rsidRPr="00B503F6">
              <w:rPr>
                <w:lang w:val="lv-LV" w:eastAsia="lv-LV"/>
              </w:rPr>
              <w:t>kompetentā iestāde var apstiprināt pirmajā paragrāfā minētās informācijas pievienošanu, izmanto</w:t>
            </w:r>
            <w:r w:rsidR="008F4708">
              <w:rPr>
                <w:lang w:val="lv-LV" w:eastAsia="lv-LV"/>
              </w:rPr>
              <w:t>jot</w:t>
            </w:r>
            <w:r w:rsidR="00B503F6" w:rsidRPr="00B503F6">
              <w:rPr>
                <w:lang w:val="lv-LV" w:eastAsia="lv-LV"/>
              </w:rPr>
              <w:t xml:space="preserve"> alternatīvu sistēmu. </w:t>
            </w:r>
            <w:r w:rsidR="00B503F6" w:rsidRPr="00AF1072">
              <w:rPr>
                <w:lang w:val="lv-LV" w:eastAsia="lv-LV"/>
              </w:rPr>
              <w:t>Noteikumu projektā netiek izmantota šī alternatīva</w:t>
            </w:r>
            <w:r w:rsidR="00B503F6" w:rsidRPr="00193E2B">
              <w:rPr>
                <w:lang w:val="lv-LV" w:eastAsia="lv-LV"/>
              </w:rPr>
              <w:t>.</w:t>
            </w:r>
          </w:p>
        </w:tc>
      </w:tr>
      <w:tr w:rsidR="00E919BE" w:rsidRPr="00E919BE" w:rsidTr="00B503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46"/>
          <w:jc w:val="center"/>
        </w:trPr>
        <w:tc>
          <w:tcPr>
            <w:tcW w:w="1512" w:type="pct"/>
            <w:gridSpan w:val="2"/>
            <w:vAlign w:val="center"/>
          </w:tcPr>
          <w:p w:rsidR="00E919BE" w:rsidRPr="00E919BE" w:rsidRDefault="00E919BE" w:rsidP="00E919BE">
            <w:pPr>
              <w:jc w:val="both"/>
              <w:rPr>
                <w:i/>
                <w:lang w:val="lv-LV" w:eastAsia="lv-LV"/>
              </w:rPr>
            </w:pPr>
            <w:r w:rsidRPr="00E919BE">
              <w:rPr>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4" w:type="pct"/>
            <w:gridSpan w:val="6"/>
          </w:tcPr>
          <w:p w:rsidR="00E919BE" w:rsidRPr="00E919BE" w:rsidRDefault="00406878" w:rsidP="00E919BE">
            <w:pPr>
              <w:jc w:val="both"/>
              <w:rPr>
                <w:lang w:val="lv-LV" w:eastAsia="lv-LV"/>
              </w:rPr>
            </w:pPr>
            <w:r w:rsidRPr="00406878">
              <w:rPr>
                <w:lang w:val="lv-LV" w:eastAsia="lv-LV"/>
              </w:rPr>
              <w:t>Projekts šo jomu neskar.</w:t>
            </w:r>
          </w:p>
        </w:tc>
      </w:tr>
      <w:tr w:rsidR="00E919BE" w:rsidRPr="00E919BE" w:rsidTr="00B503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47"/>
          <w:jc w:val="center"/>
        </w:trPr>
        <w:tc>
          <w:tcPr>
            <w:tcW w:w="1512" w:type="pct"/>
            <w:gridSpan w:val="2"/>
          </w:tcPr>
          <w:p w:rsidR="00E919BE" w:rsidRPr="00E919BE" w:rsidRDefault="00E919BE" w:rsidP="00E919BE">
            <w:pPr>
              <w:jc w:val="both"/>
              <w:rPr>
                <w:lang w:val="lv-LV" w:eastAsia="lv-LV"/>
              </w:rPr>
            </w:pPr>
            <w:r w:rsidRPr="00E919BE">
              <w:rPr>
                <w:lang w:val="lv-LV" w:eastAsia="lv-LV"/>
              </w:rPr>
              <w:t>Cita informācija</w:t>
            </w:r>
          </w:p>
        </w:tc>
        <w:tc>
          <w:tcPr>
            <w:tcW w:w="3484" w:type="pct"/>
            <w:gridSpan w:val="6"/>
          </w:tcPr>
          <w:p w:rsidR="00E919BE" w:rsidRPr="00E919BE" w:rsidRDefault="00406878" w:rsidP="00E919BE">
            <w:pPr>
              <w:jc w:val="both"/>
              <w:rPr>
                <w:lang w:val="lv-LV" w:eastAsia="lv-LV"/>
              </w:rPr>
            </w:pPr>
            <w:r>
              <w:rPr>
                <w:lang w:val="lv-LV" w:eastAsia="lv-LV"/>
              </w:rPr>
              <w:t>Nav.</w:t>
            </w:r>
          </w:p>
        </w:tc>
      </w:tr>
      <w:tr w:rsidR="00E919BE" w:rsidRPr="00E919BE" w:rsidTr="00B503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4996" w:type="pct"/>
            <w:gridSpan w:val="8"/>
          </w:tcPr>
          <w:p w:rsidR="00E919BE" w:rsidRPr="00E919BE" w:rsidRDefault="00E919BE" w:rsidP="00E919BE">
            <w:pPr>
              <w:jc w:val="both"/>
              <w:rPr>
                <w:lang w:val="lv-LV" w:eastAsia="lv-LV"/>
              </w:rPr>
            </w:pPr>
            <w:r w:rsidRPr="00E919BE">
              <w:rPr>
                <w:b/>
                <w:bCs/>
                <w:lang w:val="lv-LV" w:eastAsia="lv-LV"/>
              </w:rPr>
              <w:t>2.tabula</w:t>
            </w:r>
            <w:r w:rsidRPr="00E919BE">
              <w:rPr>
                <w:b/>
                <w:bCs/>
                <w:lang w:val="lv-LV" w:eastAsia="lv-LV"/>
              </w:rPr>
              <w:br/>
              <w:t>Ar tiesību akta projektu izpildītās vai uzņemtās saistības, kas izriet no starptautiskajiem tiesību aktiem vai starptautiskas institūcijas vai organizācijas dokumentiem.</w:t>
            </w:r>
            <w:r w:rsidRPr="00E919BE">
              <w:rPr>
                <w:b/>
                <w:bCs/>
                <w:lang w:val="lv-LV" w:eastAsia="lv-LV"/>
              </w:rPr>
              <w:br/>
              <w:t>Pasākumi šo saistību izpildei</w:t>
            </w:r>
          </w:p>
        </w:tc>
      </w:tr>
      <w:tr w:rsidR="00E919BE" w:rsidRPr="00E919BE" w:rsidTr="00B503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1512" w:type="pct"/>
            <w:gridSpan w:val="2"/>
          </w:tcPr>
          <w:p w:rsidR="00E919BE" w:rsidRPr="00E919BE" w:rsidRDefault="00E919BE" w:rsidP="00E919BE">
            <w:pPr>
              <w:jc w:val="both"/>
              <w:rPr>
                <w:lang w:val="lv-LV" w:eastAsia="lv-LV"/>
              </w:rPr>
            </w:pPr>
            <w:r w:rsidRPr="00E919BE">
              <w:rPr>
                <w:lang w:val="lv-LV" w:eastAsia="lv-LV"/>
              </w:rPr>
              <w:t>Attiecīgā starptautiskā tiesību akta vai starptautiskas institūcijas vai organizācijas dokumenta (turpmāk - starptautiskais dokuments) datums, numurs un nosaukums</w:t>
            </w:r>
          </w:p>
        </w:tc>
        <w:tc>
          <w:tcPr>
            <w:tcW w:w="3484" w:type="pct"/>
            <w:gridSpan w:val="6"/>
          </w:tcPr>
          <w:p w:rsidR="00E919BE" w:rsidRPr="00E919BE" w:rsidRDefault="00406878" w:rsidP="00E919BE">
            <w:pPr>
              <w:jc w:val="both"/>
              <w:rPr>
                <w:lang w:val="lv-LV" w:eastAsia="lv-LV"/>
              </w:rPr>
            </w:pPr>
            <w:r w:rsidRPr="00406878">
              <w:rPr>
                <w:lang w:val="lv-LV" w:eastAsia="lv-LV"/>
              </w:rPr>
              <w:t>Projekts šo jomu neskar.</w:t>
            </w:r>
          </w:p>
        </w:tc>
      </w:tr>
      <w:tr w:rsidR="00E919BE" w:rsidRPr="00E919BE" w:rsidTr="00B503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1512" w:type="pct"/>
            <w:gridSpan w:val="2"/>
            <w:vAlign w:val="center"/>
          </w:tcPr>
          <w:p w:rsidR="00E919BE" w:rsidRPr="00E919BE" w:rsidRDefault="00E919BE" w:rsidP="00E919BE">
            <w:pPr>
              <w:jc w:val="both"/>
              <w:rPr>
                <w:lang w:val="lv-LV" w:eastAsia="lv-LV"/>
              </w:rPr>
            </w:pPr>
            <w:r w:rsidRPr="00E919BE">
              <w:rPr>
                <w:lang w:val="lv-LV" w:eastAsia="lv-LV"/>
              </w:rPr>
              <w:t>A</w:t>
            </w:r>
          </w:p>
        </w:tc>
        <w:tc>
          <w:tcPr>
            <w:tcW w:w="1742" w:type="pct"/>
            <w:gridSpan w:val="3"/>
            <w:vAlign w:val="center"/>
          </w:tcPr>
          <w:p w:rsidR="00E919BE" w:rsidRPr="00E919BE" w:rsidRDefault="00E919BE" w:rsidP="00E919BE">
            <w:pPr>
              <w:jc w:val="both"/>
              <w:rPr>
                <w:lang w:val="lv-LV" w:eastAsia="lv-LV"/>
              </w:rPr>
            </w:pPr>
            <w:r w:rsidRPr="00E919BE">
              <w:rPr>
                <w:lang w:val="lv-LV" w:eastAsia="lv-LV"/>
              </w:rPr>
              <w:t>B</w:t>
            </w:r>
          </w:p>
        </w:tc>
        <w:tc>
          <w:tcPr>
            <w:tcW w:w="1742" w:type="pct"/>
            <w:gridSpan w:val="3"/>
            <w:vAlign w:val="center"/>
          </w:tcPr>
          <w:p w:rsidR="00E919BE" w:rsidRPr="00E919BE" w:rsidRDefault="00E919BE" w:rsidP="00E919BE">
            <w:pPr>
              <w:jc w:val="both"/>
              <w:rPr>
                <w:lang w:val="lv-LV" w:eastAsia="lv-LV"/>
              </w:rPr>
            </w:pPr>
            <w:r w:rsidRPr="00E919BE">
              <w:rPr>
                <w:lang w:val="lv-LV" w:eastAsia="lv-LV"/>
              </w:rPr>
              <w:t>C</w:t>
            </w:r>
          </w:p>
        </w:tc>
      </w:tr>
      <w:tr w:rsidR="00E919BE" w:rsidRPr="007C3637" w:rsidTr="00B503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1512" w:type="pct"/>
            <w:gridSpan w:val="2"/>
          </w:tcPr>
          <w:p w:rsidR="00E919BE" w:rsidRPr="00E919BE" w:rsidRDefault="00E919BE" w:rsidP="00E919BE">
            <w:pPr>
              <w:jc w:val="both"/>
              <w:rPr>
                <w:lang w:val="lv-LV" w:eastAsia="lv-LV"/>
              </w:rPr>
            </w:pPr>
            <w:r w:rsidRPr="00E919BE">
              <w:rPr>
                <w:lang w:val="lv-LV" w:eastAsia="lv-LV"/>
              </w:rPr>
              <w:t xml:space="preserve">Starptautiskās saistības (pēc būtības), kas izriet no norādītā starptautiskā </w:t>
            </w:r>
            <w:r w:rsidRPr="00E919BE">
              <w:rPr>
                <w:lang w:val="lv-LV" w:eastAsia="lv-LV"/>
              </w:rPr>
              <w:lastRenderedPageBreak/>
              <w:t xml:space="preserve">dokumenta. </w:t>
            </w:r>
          </w:p>
          <w:p w:rsidR="00E919BE" w:rsidRPr="00E919BE" w:rsidRDefault="00E919BE" w:rsidP="00E919BE">
            <w:pPr>
              <w:jc w:val="both"/>
              <w:rPr>
                <w:lang w:val="lv-LV" w:eastAsia="lv-LV"/>
              </w:rPr>
            </w:pPr>
            <w:r w:rsidRPr="00E919BE">
              <w:rPr>
                <w:lang w:val="lv-LV" w:eastAsia="lv-LV"/>
              </w:rPr>
              <w:t>Konkrēti veicamie pasākumi vai uzdevumi, kas nepieciešami šo starptautisko saistību izpildei</w:t>
            </w:r>
          </w:p>
        </w:tc>
        <w:tc>
          <w:tcPr>
            <w:tcW w:w="1742" w:type="pct"/>
            <w:gridSpan w:val="3"/>
          </w:tcPr>
          <w:p w:rsidR="00E919BE" w:rsidRPr="00E919BE" w:rsidRDefault="00E919BE" w:rsidP="00E919BE">
            <w:pPr>
              <w:jc w:val="both"/>
              <w:rPr>
                <w:lang w:val="lv-LV" w:eastAsia="lv-LV"/>
              </w:rPr>
            </w:pPr>
            <w:r w:rsidRPr="00E919BE">
              <w:rPr>
                <w:lang w:val="lv-LV" w:eastAsia="lv-LV"/>
              </w:rPr>
              <w:lastRenderedPageBreak/>
              <w:t xml:space="preserve">Ja pasākumi vai uzdevumi, ar ko tiks izpildītas starptautiskās saistības, tiek noteikti projektā, </w:t>
            </w:r>
            <w:r w:rsidRPr="00E919BE">
              <w:rPr>
                <w:lang w:val="lv-LV" w:eastAsia="lv-LV"/>
              </w:rPr>
              <w:lastRenderedPageBreak/>
              <w:t>norāda attiecīgo projekta vienību vai dokumentu, kurā sniegts izvērsts skaidrojums, kādā veidā tiks nodrošināta starptautisko saistību izpilde</w:t>
            </w:r>
          </w:p>
        </w:tc>
        <w:tc>
          <w:tcPr>
            <w:tcW w:w="1742" w:type="pct"/>
            <w:gridSpan w:val="3"/>
          </w:tcPr>
          <w:p w:rsidR="00E919BE" w:rsidRPr="00E919BE" w:rsidRDefault="00E919BE" w:rsidP="00E919BE">
            <w:pPr>
              <w:jc w:val="both"/>
              <w:rPr>
                <w:lang w:val="lv-LV" w:eastAsia="lv-LV"/>
              </w:rPr>
            </w:pPr>
            <w:r w:rsidRPr="00E919BE">
              <w:rPr>
                <w:lang w:val="lv-LV" w:eastAsia="lv-LV"/>
              </w:rPr>
              <w:lastRenderedPageBreak/>
              <w:t xml:space="preserve">Informācija par to, vai starptautiskās saistības, kas minētas šīs tabulas A ailē, tiek </w:t>
            </w:r>
            <w:r w:rsidRPr="00E919BE">
              <w:rPr>
                <w:lang w:val="lv-LV" w:eastAsia="lv-LV"/>
              </w:rPr>
              <w:lastRenderedPageBreak/>
              <w:t xml:space="preserve">izpildītas pilnībā vai daļēji. </w:t>
            </w:r>
          </w:p>
          <w:p w:rsidR="00E919BE" w:rsidRPr="00E919BE" w:rsidRDefault="00E919BE" w:rsidP="00E919BE">
            <w:pPr>
              <w:jc w:val="both"/>
              <w:rPr>
                <w:lang w:val="lv-LV" w:eastAsia="lv-LV"/>
              </w:rPr>
            </w:pPr>
            <w:r w:rsidRPr="00E919BE">
              <w:rPr>
                <w:lang w:val="lv-LV" w:eastAsia="lv-LV"/>
              </w:rPr>
              <w:t>Ja attiecīgās starptautiskās saistības tiek izpildītas daļēji, sniedz skaidrojumu, kā arī precīzi norāda, kad un kādā veidā starptautiskās saistības tiks izpildītas pilnībā.</w:t>
            </w:r>
          </w:p>
          <w:p w:rsidR="00E919BE" w:rsidRPr="00E919BE" w:rsidRDefault="00E919BE" w:rsidP="00E919BE">
            <w:pPr>
              <w:jc w:val="both"/>
              <w:rPr>
                <w:lang w:val="lv-LV" w:eastAsia="lv-LV"/>
              </w:rPr>
            </w:pPr>
            <w:r w:rsidRPr="00E919BE">
              <w:rPr>
                <w:lang w:val="lv-LV" w:eastAsia="lv-LV"/>
              </w:rPr>
              <w:t>Norāda institūciju, kas ir atbildīga par šo saistību izpildi pilnībā</w:t>
            </w:r>
          </w:p>
        </w:tc>
      </w:tr>
      <w:tr w:rsidR="00E919BE" w:rsidRPr="007C3637" w:rsidTr="00B503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1512" w:type="pct"/>
            <w:gridSpan w:val="2"/>
          </w:tcPr>
          <w:p w:rsidR="00E919BE" w:rsidRPr="00E919BE" w:rsidRDefault="00E919BE" w:rsidP="00E919BE">
            <w:pPr>
              <w:jc w:val="both"/>
              <w:rPr>
                <w:lang w:val="lv-LV" w:eastAsia="lv-LV"/>
              </w:rPr>
            </w:pPr>
          </w:p>
        </w:tc>
        <w:tc>
          <w:tcPr>
            <w:tcW w:w="1742" w:type="pct"/>
            <w:gridSpan w:val="3"/>
          </w:tcPr>
          <w:p w:rsidR="00E919BE" w:rsidRPr="00E919BE" w:rsidRDefault="00E919BE" w:rsidP="00E919BE">
            <w:pPr>
              <w:jc w:val="both"/>
              <w:rPr>
                <w:lang w:val="lv-LV" w:eastAsia="lv-LV"/>
              </w:rPr>
            </w:pPr>
          </w:p>
        </w:tc>
        <w:tc>
          <w:tcPr>
            <w:tcW w:w="1742" w:type="pct"/>
            <w:gridSpan w:val="3"/>
          </w:tcPr>
          <w:p w:rsidR="00E919BE" w:rsidRPr="00E919BE" w:rsidRDefault="00E919BE" w:rsidP="00E919BE">
            <w:pPr>
              <w:jc w:val="both"/>
              <w:rPr>
                <w:lang w:val="lv-LV" w:eastAsia="lv-LV"/>
              </w:rPr>
            </w:pPr>
          </w:p>
        </w:tc>
      </w:tr>
      <w:tr w:rsidR="00E919BE" w:rsidRPr="00E919BE" w:rsidTr="00B503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1512" w:type="pct"/>
            <w:gridSpan w:val="2"/>
          </w:tcPr>
          <w:p w:rsidR="00E919BE" w:rsidRPr="00E919BE" w:rsidRDefault="00E919BE" w:rsidP="00E919BE">
            <w:pPr>
              <w:jc w:val="both"/>
              <w:rPr>
                <w:lang w:val="lv-LV" w:eastAsia="lv-LV"/>
              </w:rPr>
            </w:pPr>
            <w:r w:rsidRPr="00E919BE">
              <w:rPr>
                <w:lang w:val="lv-LV" w:eastAsia="lv-LV"/>
              </w:rPr>
              <w:t>Vai starptautiskajā dokumentā paredzētās saistības nav pretrunā ar jau esošajām Latvijas Republikas starptautiskajām saistībām</w:t>
            </w:r>
          </w:p>
        </w:tc>
        <w:tc>
          <w:tcPr>
            <w:tcW w:w="3484" w:type="pct"/>
            <w:gridSpan w:val="6"/>
          </w:tcPr>
          <w:p w:rsidR="00E919BE" w:rsidRPr="00E919BE" w:rsidRDefault="00406878" w:rsidP="00E919BE">
            <w:pPr>
              <w:jc w:val="both"/>
              <w:rPr>
                <w:lang w:val="lv-LV" w:eastAsia="lv-LV"/>
              </w:rPr>
            </w:pPr>
            <w:r w:rsidRPr="00406878">
              <w:rPr>
                <w:lang w:val="lv-LV" w:eastAsia="lv-LV"/>
              </w:rPr>
              <w:t>Projekts šo jomu neskar.</w:t>
            </w:r>
          </w:p>
        </w:tc>
      </w:tr>
      <w:tr w:rsidR="00E919BE" w:rsidRPr="00E919BE" w:rsidTr="00B503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1512" w:type="pct"/>
            <w:gridSpan w:val="2"/>
          </w:tcPr>
          <w:p w:rsidR="00E919BE" w:rsidRPr="00E919BE" w:rsidRDefault="00E919BE" w:rsidP="00E919BE">
            <w:pPr>
              <w:jc w:val="both"/>
              <w:rPr>
                <w:lang w:val="lv-LV" w:eastAsia="lv-LV"/>
              </w:rPr>
            </w:pPr>
            <w:r w:rsidRPr="00E919BE">
              <w:rPr>
                <w:lang w:val="lv-LV" w:eastAsia="lv-LV"/>
              </w:rPr>
              <w:t>Cita informācija</w:t>
            </w:r>
          </w:p>
        </w:tc>
        <w:tc>
          <w:tcPr>
            <w:tcW w:w="3484" w:type="pct"/>
            <w:gridSpan w:val="6"/>
          </w:tcPr>
          <w:p w:rsidR="00E919BE" w:rsidRPr="00E919BE" w:rsidRDefault="00406878" w:rsidP="00E919BE">
            <w:pPr>
              <w:jc w:val="both"/>
              <w:rPr>
                <w:lang w:val="lv-LV" w:eastAsia="lv-LV"/>
              </w:rPr>
            </w:pPr>
            <w:r>
              <w:rPr>
                <w:lang w:val="lv-LV" w:eastAsia="lv-LV"/>
              </w:rPr>
              <w:t>Nav.</w:t>
            </w:r>
          </w:p>
        </w:tc>
      </w:tr>
    </w:tbl>
    <w:p w:rsidR="00E919BE" w:rsidRPr="00E919BE" w:rsidRDefault="00E919BE" w:rsidP="005D73DE">
      <w:pPr>
        <w:jc w:val="both"/>
        <w:rPr>
          <w:lang w:val="lv-LV" w:eastAsia="lv-LV"/>
        </w:rPr>
      </w:pPr>
    </w:p>
    <w:tbl>
      <w:tblPr>
        <w:tblW w:w="4977" w:type="pct"/>
        <w:tblInd w:w="2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65"/>
        <w:gridCol w:w="132"/>
        <w:gridCol w:w="808"/>
        <w:gridCol w:w="808"/>
        <w:gridCol w:w="1971"/>
        <w:gridCol w:w="3168"/>
        <w:gridCol w:w="1937"/>
      </w:tblGrid>
      <w:tr w:rsidR="005D73DE" w:rsidRPr="007C3637" w:rsidTr="005C3FC3">
        <w:trPr>
          <w:gridBefore w:val="1"/>
          <w:wBefore w:w="265" w:type="dxa"/>
          <w:trHeight w:val="222"/>
        </w:trPr>
        <w:tc>
          <w:tcPr>
            <w:tcW w:w="5000" w:type="pct"/>
            <w:gridSpan w:val="6"/>
            <w:tcBorders>
              <w:top w:val="outset" w:sz="6" w:space="0" w:color="000000"/>
              <w:left w:val="outset" w:sz="6" w:space="0" w:color="000000"/>
              <w:bottom w:val="outset" w:sz="6" w:space="0" w:color="000000"/>
              <w:right w:val="outset" w:sz="6" w:space="0" w:color="000000"/>
            </w:tcBorders>
          </w:tcPr>
          <w:p w:rsidR="00E35982" w:rsidRPr="009E2709" w:rsidRDefault="00E35982" w:rsidP="005D73DE">
            <w:pPr>
              <w:jc w:val="center"/>
              <w:rPr>
                <w:b/>
                <w:bCs/>
                <w:sz w:val="28"/>
                <w:szCs w:val="28"/>
                <w:lang w:val="lv-LV" w:eastAsia="lv-LV"/>
              </w:rPr>
            </w:pPr>
            <w:r w:rsidRPr="009E2709">
              <w:rPr>
                <w:b/>
                <w:bCs/>
                <w:sz w:val="28"/>
                <w:szCs w:val="28"/>
                <w:lang w:val="lv-LV" w:eastAsia="lv-LV"/>
              </w:rPr>
              <w:t xml:space="preserve">VI. Sabiedrības līdzdalība </w:t>
            </w:r>
            <w:r w:rsidR="00AC0691" w:rsidRPr="009E2709">
              <w:rPr>
                <w:b/>
                <w:bCs/>
                <w:sz w:val="28"/>
                <w:szCs w:val="28"/>
                <w:lang w:val="lv-LV"/>
              </w:rPr>
              <w:t>un komunikācijas aktivitātes</w:t>
            </w:r>
          </w:p>
        </w:tc>
      </w:tr>
      <w:tr w:rsidR="005D73DE" w:rsidRPr="007C3637" w:rsidTr="005C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78" w:type="dxa"/>
        </w:trPr>
        <w:tc>
          <w:tcPr>
            <w:tcW w:w="308" w:type="pct"/>
            <w:gridSpan w:val="2"/>
          </w:tcPr>
          <w:p w:rsidR="0013088C" w:rsidRPr="009E2709" w:rsidRDefault="0013088C" w:rsidP="005D73DE">
            <w:pPr>
              <w:pStyle w:val="naiskr"/>
              <w:spacing w:before="0" w:beforeAutospacing="0" w:after="0" w:afterAutospacing="0"/>
            </w:pPr>
            <w:r w:rsidRPr="009E2709">
              <w:t>1.</w:t>
            </w:r>
          </w:p>
        </w:tc>
        <w:tc>
          <w:tcPr>
            <w:tcW w:w="1406" w:type="pct"/>
            <w:gridSpan w:val="2"/>
          </w:tcPr>
          <w:p w:rsidR="0013088C" w:rsidRPr="009E2709" w:rsidRDefault="00A96BC5" w:rsidP="005D73DE">
            <w:pPr>
              <w:pStyle w:val="naiskr"/>
              <w:spacing w:before="0" w:beforeAutospacing="0" w:after="0" w:afterAutospacing="0"/>
              <w:jc w:val="both"/>
            </w:pPr>
            <w:r w:rsidRPr="009E2709">
              <w:t>Plānotās sabiedrības līdzdalības un komunikācijas aktivitātes saistībā ar projektu</w:t>
            </w:r>
          </w:p>
        </w:tc>
        <w:tc>
          <w:tcPr>
            <w:tcW w:w="3286" w:type="pct"/>
            <w:gridSpan w:val="2"/>
          </w:tcPr>
          <w:p w:rsidR="00AA1496" w:rsidRPr="009E2709" w:rsidRDefault="008F4708" w:rsidP="008F4708">
            <w:pPr>
              <w:jc w:val="both"/>
              <w:rPr>
                <w:lang w:val="lv-LV"/>
              </w:rPr>
            </w:pPr>
            <w:r>
              <w:rPr>
                <w:lang w:val="lv-LV"/>
              </w:rPr>
              <w:t>2014.gada 3</w:t>
            </w:r>
            <w:r w:rsidRPr="00FD0F4B">
              <w:rPr>
                <w:lang w:val="lv-LV"/>
              </w:rPr>
              <w:t>.</w:t>
            </w:r>
            <w:r>
              <w:rPr>
                <w:lang w:val="lv-LV"/>
              </w:rPr>
              <w:t>martā n</w:t>
            </w:r>
            <w:r w:rsidR="00FD0F4B">
              <w:rPr>
                <w:lang w:val="lv-LV"/>
              </w:rPr>
              <w:t>oteikumu projekt</w:t>
            </w:r>
            <w:r>
              <w:rPr>
                <w:lang w:val="lv-LV"/>
              </w:rPr>
              <w:t>s</w:t>
            </w:r>
            <w:r w:rsidR="00FD0F4B">
              <w:rPr>
                <w:lang w:val="lv-LV"/>
              </w:rPr>
              <w:t xml:space="preserve"> </w:t>
            </w:r>
            <w:r w:rsidRPr="00FD0F4B">
              <w:rPr>
                <w:lang w:val="lv-LV"/>
              </w:rPr>
              <w:t xml:space="preserve">elektroniski </w:t>
            </w:r>
            <w:r>
              <w:rPr>
                <w:lang w:val="lv-LV"/>
              </w:rPr>
              <w:t xml:space="preserve">nosūtīts </w:t>
            </w:r>
            <w:r w:rsidR="008367BD">
              <w:rPr>
                <w:lang w:val="lv-LV"/>
              </w:rPr>
              <w:t>biedrīb</w:t>
            </w:r>
            <w:r>
              <w:rPr>
                <w:lang w:val="lv-LV"/>
              </w:rPr>
              <w:t>ām</w:t>
            </w:r>
            <w:r w:rsidR="008367BD">
              <w:rPr>
                <w:lang w:val="lv-LV"/>
              </w:rPr>
              <w:t xml:space="preserve"> „</w:t>
            </w:r>
            <w:r w:rsidR="00FD0F4B" w:rsidRPr="00FD0F4B">
              <w:rPr>
                <w:lang w:val="lv-LV"/>
              </w:rPr>
              <w:t>Lauksaimniek</w:t>
            </w:r>
            <w:r w:rsidR="008367BD">
              <w:rPr>
                <w:lang w:val="lv-LV"/>
              </w:rPr>
              <w:t>u organizāciju savdabības padome”</w:t>
            </w:r>
            <w:r w:rsidR="00546012">
              <w:rPr>
                <w:lang w:val="lv-LV"/>
              </w:rPr>
              <w:t xml:space="preserve">, </w:t>
            </w:r>
            <w:r w:rsidR="008367BD">
              <w:rPr>
                <w:lang w:val="lv-LV"/>
              </w:rPr>
              <w:t>„Zemnieku saeima”</w:t>
            </w:r>
            <w:r>
              <w:rPr>
                <w:lang w:val="lv-LV"/>
              </w:rPr>
              <w:t xml:space="preserve"> un</w:t>
            </w:r>
            <w:r w:rsidR="00FD0F4B" w:rsidRPr="00FD0F4B">
              <w:rPr>
                <w:lang w:val="lv-LV"/>
              </w:rPr>
              <w:t xml:space="preserve"> </w:t>
            </w:r>
            <w:r w:rsidR="008367BD">
              <w:rPr>
                <w:lang w:val="lv-LV"/>
              </w:rPr>
              <w:t>„</w:t>
            </w:r>
            <w:r w:rsidR="00FD0F4B" w:rsidRPr="00FD0F4B">
              <w:rPr>
                <w:lang w:val="lv-LV"/>
              </w:rPr>
              <w:t>Latvijas Lauksaim</w:t>
            </w:r>
            <w:r w:rsidR="008367BD">
              <w:rPr>
                <w:lang w:val="lv-LV"/>
              </w:rPr>
              <w:t>niecības kooperatīvu asociācija”</w:t>
            </w:r>
            <w:r>
              <w:rPr>
                <w:lang w:val="lv-LV"/>
              </w:rPr>
              <w:t xml:space="preserve">, kā arī </w:t>
            </w:r>
            <w:r w:rsidR="00FD0F4B" w:rsidRPr="00FD0F4B">
              <w:rPr>
                <w:lang w:val="lv-LV"/>
              </w:rPr>
              <w:t>ievietots Zemkopības minist</w:t>
            </w:r>
            <w:r w:rsidR="008367BD">
              <w:rPr>
                <w:lang w:val="lv-LV"/>
              </w:rPr>
              <w:t>rijas tīmekļa vietnē</w:t>
            </w:r>
            <w:r w:rsidR="00FD0F4B" w:rsidRPr="00FD0F4B">
              <w:rPr>
                <w:lang w:val="lv-LV"/>
              </w:rPr>
              <w:t>.</w:t>
            </w:r>
            <w:r w:rsidR="00FD0F4B">
              <w:rPr>
                <w:lang w:val="lv-LV"/>
              </w:rPr>
              <w:t xml:space="preserve"> </w:t>
            </w:r>
          </w:p>
        </w:tc>
      </w:tr>
      <w:tr w:rsidR="005D73DE" w:rsidRPr="007C3637" w:rsidTr="005C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78" w:type="dxa"/>
        </w:trPr>
        <w:tc>
          <w:tcPr>
            <w:tcW w:w="308" w:type="pct"/>
            <w:gridSpan w:val="2"/>
          </w:tcPr>
          <w:p w:rsidR="0013088C" w:rsidRPr="009E2709" w:rsidRDefault="0013088C" w:rsidP="005D73DE">
            <w:pPr>
              <w:pStyle w:val="naiskr"/>
              <w:spacing w:before="0" w:beforeAutospacing="0" w:after="0" w:afterAutospacing="0"/>
            </w:pPr>
            <w:r w:rsidRPr="009E2709">
              <w:t>2.</w:t>
            </w:r>
          </w:p>
        </w:tc>
        <w:tc>
          <w:tcPr>
            <w:tcW w:w="1406" w:type="pct"/>
            <w:gridSpan w:val="2"/>
          </w:tcPr>
          <w:p w:rsidR="0013088C" w:rsidRPr="009E2709" w:rsidRDefault="0013088C" w:rsidP="005D73DE">
            <w:pPr>
              <w:pStyle w:val="naiskr"/>
              <w:spacing w:before="0" w:beforeAutospacing="0" w:after="0" w:afterAutospacing="0"/>
              <w:jc w:val="both"/>
            </w:pPr>
            <w:r w:rsidRPr="009E2709">
              <w:t>Sabiedrības līdzdalība projekta izstrādē</w:t>
            </w:r>
          </w:p>
        </w:tc>
        <w:tc>
          <w:tcPr>
            <w:tcW w:w="3286" w:type="pct"/>
            <w:gridSpan w:val="2"/>
          </w:tcPr>
          <w:p w:rsidR="0013088C" w:rsidRPr="00D27C68" w:rsidRDefault="00D27C68" w:rsidP="005D73DE">
            <w:pPr>
              <w:pStyle w:val="naiskr"/>
              <w:spacing w:before="0" w:beforeAutospacing="0" w:after="0" w:afterAutospacing="0"/>
              <w:jc w:val="both"/>
            </w:pPr>
            <w:r>
              <w:t>Biedrības</w:t>
            </w:r>
            <w:r w:rsidRPr="00D27C68">
              <w:t xml:space="preserve"> „Lauksaimnieku organizāciju savdabības padome”, „Zemnieku saeima”</w:t>
            </w:r>
            <w:r w:rsidR="008F4708">
              <w:t xml:space="preserve"> un</w:t>
            </w:r>
            <w:r w:rsidRPr="00D27C68">
              <w:t xml:space="preserve"> „Latvijas Lauksaimniecības kooperatīvu asociācija”</w:t>
            </w:r>
            <w:r>
              <w:t xml:space="preserve"> sniedz</w:t>
            </w:r>
            <w:r w:rsidR="00BA181E">
              <w:t>a</w:t>
            </w:r>
            <w:r>
              <w:t xml:space="preserve"> atzinumu par noteikumu projektu.</w:t>
            </w:r>
          </w:p>
        </w:tc>
      </w:tr>
      <w:tr w:rsidR="005D73DE" w:rsidRPr="007C3637" w:rsidTr="005C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78" w:type="dxa"/>
        </w:trPr>
        <w:tc>
          <w:tcPr>
            <w:tcW w:w="308" w:type="pct"/>
            <w:gridSpan w:val="2"/>
          </w:tcPr>
          <w:p w:rsidR="0013088C" w:rsidRPr="009E2709" w:rsidRDefault="0013088C" w:rsidP="005D73DE">
            <w:pPr>
              <w:pStyle w:val="naiskr"/>
              <w:spacing w:before="0" w:beforeAutospacing="0" w:after="0" w:afterAutospacing="0"/>
            </w:pPr>
            <w:r w:rsidRPr="009E2709">
              <w:t>3.</w:t>
            </w:r>
          </w:p>
        </w:tc>
        <w:tc>
          <w:tcPr>
            <w:tcW w:w="1406" w:type="pct"/>
            <w:gridSpan w:val="2"/>
          </w:tcPr>
          <w:p w:rsidR="0013088C" w:rsidRPr="009E2709" w:rsidRDefault="0013088C" w:rsidP="005D73DE">
            <w:pPr>
              <w:pStyle w:val="naiskr"/>
              <w:spacing w:before="0" w:beforeAutospacing="0" w:after="0" w:afterAutospacing="0"/>
              <w:jc w:val="both"/>
            </w:pPr>
            <w:r w:rsidRPr="009E2709">
              <w:t>Sabiedrības līdzdalības rezultāti</w:t>
            </w:r>
          </w:p>
        </w:tc>
        <w:tc>
          <w:tcPr>
            <w:tcW w:w="3286" w:type="pct"/>
            <w:gridSpan w:val="2"/>
          </w:tcPr>
          <w:p w:rsidR="00AC7264" w:rsidRPr="00D27C68" w:rsidRDefault="00D27C68" w:rsidP="00D27C68">
            <w:pPr>
              <w:pStyle w:val="naiskr"/>
              <w:spacing w:before="0" w:beforeAutospacing="0" w:after="0" w:afterAutospacing="0"/>
              <w:jc w:val="both"/>
              <w:rPr>
                <w:rFonts w:eastAsia="Arial Unicode MS"/>
              </w:rPr>
            </w:pPr>
            <w:r>
              <w:rPr>
                <w:rFonts w:eastAsia="Arial Unicode MS"/>
              </w:rPr>
              <w:t>B</w:t>
            </w:r>
            <w:r w:rsidRPr="00D27C68">
              <w:rPr>
                <w:rFonts w:eastAsia="Arial Unicode MS"/>
              </w:rPr>
              <w:t>iedrīb</w:t>
            </w:r>
            <w:r>
              <w:rPr>
                <w:rFonts w:eastAsia="Arial Unicode MS"/>
              </w:rPr>
              <w:t>as</w:t>
            </w:r>
            <w:r w:rsidRPr="00D27C68">
              <w:rPr>
                <w:rFonts w:eastAsia="Arial Unicode MS"/>
              </w:rPr>
              <w:t xml:space="preserve"> „Lauksaimnieku organizāciju savdabības padome”, „Zemnieku saeima”</w:t>
            </w:r>
            <w:r w:rsidR="008F4708">
              <w:rPr>
                <w:rFonts w:eastAsia="Arial Unicode MS"/>
              </w:rPr>
              <w:t xml:space="preserve"> un</w:t>
            </w:r>
            <w:r w:rsidRPr="00D27C68">
              <w:rPr>
                <w:rFonts w:eastAsia="Arial Unicode MS"/>
              </w:rPr>
              <w:t xml:space="preserve"> „Latvijas Lauksaimniecības kooperatīvu asociācija”</w:t>
            </w:r>
            <w:r>
              <w:rPr>
                <w:rFonts w:eastAsia="Arial Unicode MS"/>
              </w:rPr>
              <w:t xml:space="preserve"> neiebilst pret noteikumu projekta turpmāku virzību.</w:t>
            </w:r>
          </w:p>
        </w:tc>
      </w:tr>
      <w:tr w:rsidR="005D73DE" w:rsidRPr="009E2709" w:rsidTr="005C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78" w:type="dxa"/>
        </w:trPr>
        <w:tc>
          <w:tcPr>
            <w:tcW w:w="308" w:type="pct"/>
            <w:gridSpan w:val="2"/>
          </w:tcPr>
          <w:p w:rsidR="0013088C" w:rsidRPr="009E2709" w:rsidRDefault="00A96BC5" w:rsidP="005D73DE">
            <w:pPr>
              <w:pStyle w:val="naiskr"/>
              <w:spacing w:before="0" w:beforeAutospacing="0" w:after="0" w:afterAutospacing="0"/>
            </w:pPr>
            <w:r w:rsidRPr="009E2709">
              <w:t>4</w:t>
            </w:r>
            <w:r w:rsidR="0013088C" w:rsidRPr="009E2709">
              <w:t>.</w:t>
            </w:r>
          </w:p>
        </w:tc>
        <w:tc>
          <w:tcPr>
            <w:tcW w:w="1406" w:type="pct"/>
            <w:gridSpan w:val="2"/>
          </w:tcPr>
          <w:p w:rsidR="0013088C" w:rsidRPr="009E2709" w:rsidRDefault="0013088C" w:rsidP="005D73DE">
            <w:pPr>
              <w:pStyle w:val="naiskr"/>
              <w:spacing w:before="0" w:beforeAutospacing="0" w:after="0" w:afterAutospacing="0"/>
              <w:jc w:val="both"/>
            </w:pPr>
            <w:r w:rsidRPr="009E2709">
              <w:t>Cita informācija</w:t>
            </w:r>
          </w:p>
        </w:tc>
        <w:tc>
          <w:tcPr>
            <w:tcW w:w="3286" w:type="pct"/>
            <w:gridSpan w:val="2"/>
          </w:tcPr>
          <w:p w:rsidR="0013088C" w:rsidRPr="009E2709" w:rsidRDefault="00546012" w:rsidP="005D73DE">
            <w:pPr>
              <w:pStyle w:val="naisc"/>
              <w:spacing w:before="0" w:beforeAutospacing="0" w:after="0" w:afterAutospacing="0"/>
              <w:jc w:val="left"/>
              <w:rPr>
                <w:sz w:val="24"/>
                <w:szCs w:val="24"/>
                <w:lang w:val="lv-LV"/>
              </w:rPr>
            </w:pPr>
            <w:r>
              <w:rPr>
                <w:sz w:val="24"/>
                <w:szCs w:val="24"/>
                <w:lang w:val="lv-LV"/>
              </w:rPr>
              <w:t>Nav.</w:t>
            </w:r>
          </w:p>
        </w:tc>
      </w:tr>
      <w:tr w:rsidR="005D73DE" w:rsidRPr="009E2709" w:rsidTr="005C3FC3">
        <w:trPr>
          <w:gridBefore w:val="1"/>
          <w:wBefore w:w="265" w:type="dxa"/>
          <w:trHeight w:val="222"/>
        </w:trPr>
        <w:tc>
          <w:tcPr>
            <w:tcW w:w="5000" w:type="pct"/>
            <w:gridSpan w:val="6"/>
            <w:tcBorders>
              <w:top w:val="outset" w:sz="6" w:space="0" w:color="000000"/>
              <w:left w:val="outset" w:sz="6" w:space="0" w:color="000000"/>
              <w:bottom w:val="outset" w:sz="6" w:space="0" w:color="000000"/>
              <w:right w:val="outset" w:sz="6" w:space="0" w:color="000000"/>
            </w:tcBorders>
          </w:tcPr>
          <w:p w:rsidR="00A162FE" w:rsidRPr="009E2709" w:rsidRDefault="00A162FE" w:rsidP="005D73DE">
            <w:pPr>
              <w:jc w:val="center"/>
              <w:rPr>
                <w:b/>
                <w:bCs/>
                <w:sz w:val="28"/>
                <w:lang w:val="lv-LV" w:eastAsia="lv-LV"/>
              </w:rPr>
            </w:pPr>
            <w:r w:rsidRPr="009E2709">
              <w:rPr>
                <w:b/>
                <w:bCs/>
                <w:sz w:val="28"/>
                <w:lang w:val="lv-LV" w:eastAsia="lv-LV"/>
              </w:rPr>
              <w:t>VII. Tiesību akta projekta izpildes nodrošināšana un tās ietekme uz institūcijām</w:t>
            </w:r>
          </w:p>
        </w:tc>
      </w:tr>
      <w:tr w:rsidR="005D73DE" w:rsidRPr="009E2709" w:rsidTr="005C3FC3">
        <w:trPr>
          <w:gridBefore w:val="1"/>
          <w:wBefore w:w="265" w:type="dxa"/>
        </w:trPr>
        <w:tc>
          <w:tcPr>
            <w:tcW w:w="0" w:type="auto"/>
            <w:gridSpan w:val="2"/>
            <w:tcBorders>
              <w:top w:val="outset" w:sz="6" w:space="0" w:color="000000"/>
              <w:left w:val="outset" w:sz="6" w:space="0" w:color="000000"/>
              <w:bottom w:val="outset" w:sz="6" w:space="0" w:color="000000"/>
              <w:right w:val="outset" w:sz="6" w:space="0" w:color="000000"/>
            </w:tcBorders>
          </w:tcPr>
          <w:p w:rsidR="002C46AC" w:rsidRPr="009E2709" w:rsidRDefault="002C46AC" w:rsidP="005D73DE">
            <w:pPr>
              <w:rPr>
                <w:lang w:val="lv-LV" w:eastAsia="lv-LV"/>
              </w:rPr>
            </w:pPr>
            <w:r w:rsidRPr="009E2709">
              <w:rPr>
                <w:lang w:val="lv-LV" w:eastAsia="lv-LV"/>
              </w:rPr>
              <w:t>1.</w:t>
            </w:r>
          </w:p>
        </w:tc>
        <w:tc>
          <w:tcPr>
            <w:tcW w:w="1406" w:type="pct"/>
            <w:gridSpan w:val="2"/>
            <w:tcBorders>
              <w:top w:val="outset" w:sz="6" w:space="0" w:color="000000"/>
              <w:left w:val="outset" w:sz="6" w:space="0" w:color="000000"/>
              <w:bottom w:val="outset" w:sz="6" w:space="0" w:color="000000"/>
              <w:right w:val="outset" w:sz="6" w:space="0" w:color="000000"/>
            </w:tcBorders>
          </w:tcPr>
          <w:p w:rsidR="002C46AC" w:rsidRPr="009E2709" w:rsidRDefault="002C46AC" w:rsidP="009E2709">
            <w:pPr>
              <w:jc w:val="both"/>
              <w:rPr>
                <w:lang w:val="lv-LV" w:eastAsia="lv-LV"/>
              </w:rPr>
            </w:pPr>
            <w:r w:rsidRPr="009E2709">
              <w:rPr>
                <w:lang w:val="lv-LV" w:eastAsia="lv-LV"/>
              </w:rPr>
              <w:t>Projekta izpildē iesaistītās institūcijas</w:t>
            </w:r>
          </w:p>
        </w:tc>
        <w:tc>
          <w:tcPr>
            <w:tcW w:w="3286" w:type="pct"/>
            <w:gridSpan w:val="2"/>
            <w:tcBorders>
              <w:top w:val="outset" w:sz="6" w:space="0" w:color="000000"/>
              <w:left w:val="outset" w:sz="6" w:space="0" w:color="000000"/>
              <w:bottom w:val="outset" w:sz="6" w:space="0" w:color="000000"/>
              <w:right w:val="outset" w:sz="6" w:space="0" w:color="000000"/>
            </w:tcBorders>
          </w:tcPr>
          <w:p w:rsidR="002C46AC" w:rsidRPr="009E2709" w:rsidRDefault="00546012" w:rsidP="005D73DE">
            <w:pPr>
              <w:pStyle w:val="Kjene"/>
              <w:tabs>
                <w:tab w:val="clear" w:pos="4153"/>
                <w:tab w:val="clear" w:pos="8306"/>
              </w:tabs>
              <w:snapToGrid/>
              <w:jc w:val="both"/>
              <w:rPr>
                <w:rFonts w:ascii="Times New Roman" w:hAnsi="Times New Roman"/>
                <w:sz w:val="24"/>
                <w:szCs w:val="24"/>
              </w:rPr>
            </w:pPr>
            <w:r>
              <w:rPr>
                <w:rFonts w:ascii="Times New Roman" w:hAnsi="Times New Roman"/>
                <w:sz w:val="24"/>
                <w:szCs w:val="24"/>
              </w:rPr>
              <w:t>Pārtikas un veterinārais dienests</w:t>
            </w:r>
            <w:r w:rsidR="008F4708">
              <w:rPr>
                <w:rFonts w:ascii="Times New Roman" w:hAnsi="Times New Roman"/>
                <w:sz w:val="24"/>
                <w:szCs w:val="24"/>
              </w:rPr>
              <w:t xml:space="preserve"> un</w:t>
            </w:r>
            <w:r>
              <w:rPr>
                <w:rFonts w:ascii="Times New Roman" w:hAnsi="Times New Roman"/>
                <w:sz w:val="24"/>
                <w:szCs w:val="24"/>
              </w:rPr>
              <w:t xml:space="preserve"> Lauksaimniecības datu centrs</w:t>
            </w:r>
          </w:p>
        </w:tc>
      </w:tr>
      <w:tr w:rsidR="005D73DE" w:rsidRPr="00094BB3" w:rsidTr="005C3FC3">
        <w:trPr>
          <w:gridBefore w:val="1"/>
          <w:wBefore w:w="265" w:type="dxa"/>
        </w:trPr>
        <w:tc>
          <w:tcPr>
            <w:tcW w:w="0" w:type="auto"/>
            <w:gridSpan w:val="2"/>
            <w:tcBorders>
              <w:top w:val="outset" w:sz="6" w:space="0" w:color="000000"/>
              <w:left w:val="outset" w:sz="6" w:space="0" w:color="000000"/>
              <w:bottom w:val="outset" w:sz="6" w:space="0" w:color="000000"/>
              <w:right w:val="outset" w:sz="6" w:space="0" w:color="000000"/>
            </w:tcBorders>
          </w:tcPr>
          <w:p w:rsidR="002C46AC" w:rsidRPr="009E2709" w:rsidRDefault="002C46AC" w:rsidP="005D73DE">
            <w:pPr>
              <w:rPr>
                <w:lang w:val="lv-LV" w:eastAsia="lv-LV"/>
              </w:rPr>
            </w:pPr>
            <w:r w:rsidRPr="009E2709">
              <w:rPr>
                <w:lang w:val="lv-LV" w:eastAsia="lv-LV"/>
              </w:rPr>
              <w:t>2.</w:t>
            </w:r>
          </w:p>
        </w:tc>
        <w:tc>
          <w:tcPr>
            <w:tcW w:w="1406" w:type="pct"/>
            <w:gridSpan w:val="2"/>
            <w:tcBorders>
              <w:top w:val="outset" w:sz="6" w:space="0" w:color="000000"/>
              <w:left w:val="outset" w:sz="6" w:space="0" w:color="000000"/>
              <w:bottom w:val="outset" w:sz="6" w:space="0" w:color="000000"/>
              <w:right w:val="outset" w:sz="6" w:space="0" w:color="000000"/>
            </w:tcBorders>
          </w:tcPr>
          <w:p w:rsidR="00713C15" w:rsidRPr="009E2709" w:rsidRDefault="00713C15" w:rsidP="009E2709">
            <w:pPr>
              <w:jc w:val="both"/>
              <w:rPr>
                <w:lang w:val="lv-LV"/>
              </w:rPr>
            </w:pPr>
            <w:r w:rsidRPr="009E2709">
              <w:rPr>
                <w:lang w:val="lv-LV"/>
              </w:rPr>
              <w:t xml:space="preserve">Projekta izpildes ietekme uz pārvaldes funkcijām un institucionālo struktūru. </w:t>
            </w:r>
          </w:p>
          <w:p w:rsidR="002C46AC" w:rsidRPr="009E2709" w:rsidRDefault="00713C15" w:rsidP="005C3FC3">
            <w:pPr>
              <w:jc w:val="both"/>
              <w:rPr>
                <w:lang w:val="lv-LV"/>
              </w:rPr>
            </w:pPr>
            <w:r w:rsidRPr="009E2709">
              <w:rPr>
                <w:lang w:val="lv-LV"/>
              </w:rPr>
              <w:t xml:space="preserve">Jaunu institūciju izveide, </w:t>
            </w:r>
            <w:r w:rsidRPr="009E2709">
              <w:rPr>
                <w:lang w:val="lv-LV"/>
              </w:rPr>
              <w:lastRenderedPageBreak/>
              <w:t>esošu institūciju likvidācija vai reorganizācija, to ietekme uz institūcijas cilvēkresursiem</w:t>
            </w:r>
          </w:p>
        </w:tc>
        <w:tc>
          <w:tcPr>
            <w:tcW w:w="3286" w:type="pct"/>
            <w:gridSpan w:val="2"/>
            <w:tcBorders>
              <w:top w:val="outset" w:sz="6" w:space="0" w:color="000000"/>
              <w:left w:val="outset" w:sz="6" w:space="0" w:color="000000"/>
              <w:bottom w:val="outset" w:sz="6" w:space="0" w:color="000000"/>
              <w:right w:val="outset" w:sz="6" w:space="0" w:color="000000"/>
            </w:tcBorders>
          </w:tcPr>
          <w:p w:rsidR="005F1986" w:rsidRPr="009E2709" w:rsidRDefault="00546012" w:rsidP="005D73DE">
            <w:pPr>
              <w:pStyle w:val="naiskr"/>
              <w:spacing w:before="0" w:beforeAutospacing="0" w:after="0" w:afterAutospacing="0"/>
              <w:jc w:val="both"/>
            </w:pPr>
            <w:r>
              <w:lastRenderedPageBreak/>
              <w:t>Projekts šo jomu neskar.</w:t>
            </w:r>
          </w:p>
        </w:tc>
      </w:tr>
      <w:tr w:rsidR="005D73DE" w:rsidRPr="009E2709" w:rsidTr="005C3FC3">
        <w:trPr>
          <w:gridBefore w:val="1"/>
          <w:wBefore w:w="265" w:type="dxa"/>
        </w:trPr>
        <w:tc>
          <w:tcPr>
            <w:tcW w:w="0" w:type="auto"/>
            <w:gridSpan w:val="2"/>
            <w:tcBorders>
              <w:top w:val="outset" w:sz="6" w:space="0" w:color="000000"/>
              <w:left w:val="outset" w:sz="6" w:space="0" w:color="000000"/>
              <w:bottom w:val="outset" w:sz="6" w:space="0" w:color="000000"/>
              <w:right w:val="outset" w:sz="6" w:space="0" w:color="000000"/>
            </w:tcBorders>
          </w:tcPr>
          <w:p w:rsidR="002C46AC" w:rsidRPr="009E2709" w:rsidRDefault="002C46AC" w:rsidP="005D73DE">
            <w:pPr>
              <w:rPr>
                <w:lang w:val="lv-LV" w:eastAsia="lv-LV"/>
              </w:rPr>
            </w:pPr>
            <w:r w:rsidRPr="009E2709">
              <w:rPr>
                <w:lang w:val="lv-LV" w:eastAsia="lv-LV"/>
              </w:rPr>
              <w:lastRenderedPageBreak/>
              <w:t>3.</w:t>
            </w:r>
          </w:p>
        </w:tc>
        <w:tc>
          <w:tcPr>
            <w:tcW w:w="1406" w:type="pct"/>
            <w:gridSpan w:val="2"/>
            <w:tcBorders>
              <w:top w:val="outset" w:sz="6" w:space="0" w:color="000000"/>
              <w:left w:val="outset" w:sz="6" w:space="0" w:color="000000"/>
              <w:bottom w:val="outset" w:sz="6" w:space="0" w:color="000000"/>
              <w:right w:val="outset" w:sz="6" w:space="0" w:color="000000"/>
            </w:tcBorders>
          </w:tcPr>
          <w:p w:rsidR="002C46AC" w:rsidRPr="009E2709" w:rsidRDefault="00713C15" w:rsidP="005D73DE">
            <w:pPr>
              <w:jc w:val="both"/>
              <w:rPr>
                <w:lang w:val="lv-LV" w:eastAsia="lv-LV"/>
              </w:rPr>
            </w:pPr>
            <w:r w:rsidRPr="009E2709">
              <w:rPr>
                <w:lang w:val="lv-LV" w:eastAsia="lv-LV"/>
              </w:rPr>
              <w:t>Cita informācija</w:t>
            </w:r>
          </w:p>
        </w:tc>
        <w:tc>
          <w:tcPr>
            <w:tcW w:w="3286" w:type="pct"/>
            <w:gridSpan w:val="2"/>
            <w:tcBorders>
              <w:top w:val="outset" w:sz="6" w:space="0" w:color="000000"/>
              <w:left w:val="outset" w:sz="6" w:space="0" w:color="000000"/>
              <w:bottom w:val="outset" w:sz="6" w:space="0" w:color="000000"/>
              <w:right w:val="outset" w:sz="6" w:space="0" w:color="000000"/>
            </w:tcBorders>
          </w:tcPr>
          <w:p w:rsidR="002C46AC" w:rsidRPr="009E2709" w:rsidRDefault="00546012" w:rsidP="005D73DE">
            <w:pPr>
              <w:pStyle w:val="Kjene"/>
              <w:tabs>
                <w:tab w:val="clear" w:pos="4153"/>
                <w:tab w:val="clear" w:pos="8306"/>
              </w:tabs>
              <w:snapToGrid/>
              <w:jc w:val="both"/>
              <w:rPr>
                <w:rFonts w:ascii="Times New Roman" w:hAnsi="Times New Roman"/>
                <w:sz w:val="24"/>
                <w:szCs w:val="24"/>
              </w:rPr>
            </w:pPr>
            <w:r>
              <w:rPr>
                <w:rFonts w:ascii="Times New Roman" w:hAnsi="Times New Roman"/>
                <w:sz w:val="24"/>
                <w:szCs w:val="24"/>
              </w:rPr>
              <w:t>Nav.</w:t>
            </w:r>
          </w:p>
        </w:tc>
      </w:tr>
    </w:tbl>
    <w:p w:rsidR="009E2709" w:rsidRDefault="009E2709" w:rsidP="005D73DE">
      <w:pPr>
        <w:pStyle w:val="naisf"/>
        <w:spacing w:before="0" w:beforeAutospacing="0" w:after="0" w:afterAutospacing="0"/>
        <w:rPr>
          <w:sz w:val="28"/>
          <w:lang w:val="lv-LV"/>
        </w:rPr>
      </w:pPr>
    </w:p>
    <w:p w:rsidR="00D400DE" w:rsidRPr="009E2709" w:rsidRDefault="00D400DE" w:rsidP="005D73DE">
      <w:pPr>
        <w:pStyle w:val="naisf"/>
        <w:spacing w:before="0" w:beforeAutospacing="0" w:after="0" w:afterAutospacing="0"/>
        <w:rPr>
          <w:sz w:val="28"/>
          <w:lang w:val="lv-LV"/>
        </w:rPr>
      </w:pPr>
    </w:p>
    <w:p w:rsidR="00105AE2" w:rsidRPr="009E2709" w:rsidRDefault="00207072" w:rsidP="005D73DE">
      <w:pPr>
        <w:pStyle w:val="Virsraksts1"/>
        <w:keepNext w:val="0"/>
        <w:widowControl w:val="0"/>
        <w:ind w:firstLine="720"/>
        <w:jc w:val="left"/>
        <w:rPr>
          <w:b w:val="0"/>
          <w:szCs w:val="28"/>
        </w:rPr>
      </w:pPr>
      <w:r>
        <w:rPr>
          <w:b w:val="0"/>
          <w:szCs w:val="28"/>
        </w:rPr>
        <w:t>Zemkopības ministrs</w:t>
      </w:r>
      <w:r w:rsidR="00105AE2" w:rsidRPr="009E2709">
        <w:rPr>
          <w:b w:val="0"/>
          <w:szCs w:val="28"/>
        </w:rPr>
        <w:tab/>
      </w:r>
      <w:r w:rsidR="00A22819" w:rsidRPr="009E2709">
        <w:rPr>
          <w:b w:val="0"/>
          <w:szCs w:val="28"/>
        </w:rPr>
        <w:tab/>
      </w:r>
      <w:r w:rsidR="00A22819" w:rsidRPr="009E2709">
        <w:rPr>
          <w:b w:val="0"/>
          <w:szCs w:val="28"/>
        </w:rPr>
        <w:tab/>
      </w:r>
      <w:r w:rsidR="00A22819" w:rsidRPr="009E2709">
        <w:rPr>
          <w:b w:val="0"/>
          <w:szCs w:val="28"/>
        </w:rPr>
        <w:tab/>
      </w:r>
      <w:r w:rsidR="00A22819" w:rsidRPr="009E2709">
        <w:rPr>
          <w:b w:val="0"/>
          <w:szCs w:val="28"/>
        </w:rPr>
        <w:tab/>
      </w:r>
      <w:r w:rsidR="00105AE2" w:rsidRPr="009E2709">
        <w:rPr>
          <w:b w:val="0"/>
          <w:szCs w:val="28"/>
        </w:rPr>
        <w:tab/>
      </w:r>
      <w:proofErr w:type="spellStart"/>
      <w:r>
        <w:rPr>
          <w:b w:val="0"/>
          <w:szCs w:val="28"/>
        </w:rPr>
        <w:t>J.Dūklavs</w:t>
      </w:r>
      <w:proofErr w:type="spellEnd"/>
    </w:p>
    <w:p w:rsidR="002B24A9" w:rsidRPr="009E2709" w:rsidRDefault="002B24A9" w:rsidP="005D73DE">
      <w:pPr>
        <w:rPr>
          <w:lang w:val="lv-LV"/>
        </w:rPr>
      </w:pPr>
    </w:p>
    <w:p w:rsidR="002B24A9" w:rsidRPr="009E2709" w:rsidRDefault="002B24A9" w:rsidP="005D73DE">
      <w:pPr>
        <w:rPr>
          <w:lang w:val="lv-LV"/>
        </w:rPr>
      </w:pPr>
    </w:p>
    <w:p w:rsidR="001C09FC" w:rsidRDefault="001C09FC" w:rsidP="005D73DE">
      <w:pPr>
        <w:jc w:val="both"/>
        <w:rPr>
          <w:lang w:val="lv-LV"/>
        </w:rPr>
      </w:pPr>
    </w:p>
    <w:p w:rsidR="007C3637" w:rsidRDefault="007C3637" w:rsidP="005D73DE">
      <w:pPr>
        <w:jc w:val="both"/>
        <w:rPr>
          <w:lang w:val="lv-LV"/>
        </w:rPr>
      </w:pPr>
    </w:p>
    <w:p w:rsidR="007C3637" w:rsidRDefault="007C3637" w:rsidP="005D73DE">
      <w:pPr>
        <w:jc w:val="both"/>
        <w:rPr>
          <w:lang w:val="lv-LV"/>
        </w:rPr>
      </w:pPr>
    </w:p>
    <w:p w:rsidR="007C3637" w:rsidRDefault="007C3637" w:rsidP="005D73DE">
      <w:pPr>
        <w:jc w:val="both"/>
        <w:rPr>
          <w:lang w:val="lv-LV"/>
        </w:rPr>
      </w:pPr>
    </w:p>
    <w:p w:rsidR="007C3637" w:rsidRDefault="007C3637" w:rsidP="005D73DE">
      <w:pPr>
        <w:jc w:val="both"/>
        <w:rPr>
          <w:lang w:val="lv-LV"/>
        </w:rPr>
      </w:pPr>
    </w:p>
    <w:p w:rsidR="007C3637" w:rsidRDefault="007C3637" w:rsidP="005D73DE">
      <w:pPr>
        <w:jc w:val="both"/>
        <w:rPr>
          <w:lang w:val="lv-LV"/>
        </w:rPr>
      </w:pPr>
    </w:p>
    <w:p w:rsidR="007C3637" w:rsidRDefault="007C3637" w:rsidP="005D73DE">
      <w:pPr>
        <w:jc w:val="both"/>
        <w:rPr>
          <w:lang w:val="lv-LV"/>
        </w:rPr>
      </w:pPr>
    </w:p>
    <w:p w:rsidR="007C3637" w:rsidRDefault="007C3637" w:rsidP="005D73DE">
      <w:pPr>
        <w:jc w:val="both"/>
        <w:rPr>
          <w:lang w:val="lv-LV"/>
        </w:rPr>
      </w:pPr>
    </w:p>
    <w:p w:rsidR="007C3637" w:rsidRDefault="007C3637" w:rsidP="005D73DE">
      <w:pPr>
        <w:jc w:val="both"/>
        <w:rPr>
          <w:lang w:val="lv-LV"/>
        </w:rPr>
      </w:pPr>
    </w:p>
    <w:p w:rsidR="007C3637" w:rsidRDefault="007C3637" w:rsidP="005D73DE">
      <w:pPr>
        <w:jc w:val="both"/>
        <w:rPr>
          <w:lang w:val="lv-LV"/>
        </w:rPr>
      </w:pPr>
    </w:p>
    <w:p w:rsidR="007C3637" w:rsidRDefault="007C3637" w:rsidP="005D73DE">
      <w:pPr>
        <w:jc w:val="both"/>
        <w:rPr>
          <w:lang w:val="lv-LV"/>
        </w:rPr>
      </w:pPr>
    </w:p>
    <w:p w:rsidR="007C3637" w:rsidRDefault="007C3637" w:rsidP="005D73DE">
      <w:pPr>
        <w:jc w:val="both"/>
        <w:rPr>
          <w:lang w:val="lv-LV"/>
        </w:rPr>
      </w:pPr>
    </w:p>
    <w:p w:rsidR="007C3637" w:rsidRDefault="007C3637" w:rsidP="005D73DE">
      <w:pPr>
        <w:jc w:val="both"/>
        <w:rPr>
          <w:lang w:val="lv-LV"/>
        </w:rPr>
      </w:pPr>
    </w:p>
    <w:p w:rsidR="007C3637" w:rsidRDefault="007C3637" w:rsidP="005D73DE">
      <w:pPr>
        <w:jc w:val="both"/>
        <w:rPr>
          <w:lang w:val="lv-LV"/>
        </w:rPr>
      </w:pPr>
    </w:p>
    <w:p w:rsidR="007C3637" w:rsidRDefault="007C3637" w:rsidP="005D73DE">
      <w:pPr>
        <w:jc w:val="both"/>
        <w:rPr>
          <w:lang w:val="lv-LV"/>
        </w:rPr>
      </w:pPr>
    </w:p>
    <w:p w:rsidR="007C3637" w:rsidRDefault="007C3637" w:rsidP="005D73DE">
      <w:pPr>
        <w:jc w:val="both"/>
        <w:rPr>
          <w:lang w:val="lv-LV"/>
        </w:rPr>
      </w:pPr>
    </w:p>
    <w:p w:rsidR="007C3637" w:rsidRDefault="007C3637" w:rsidP="005D73DE">
      <w:pPr>
        <w:jc w:val="both"/>
        <w:rPr>
          <w:lang w:val="lv-LV"/>
        </w:rPr>
      </w:pPr>
    </w:p>
    <w:p w:rsidR="007C3637" w:rsidRDefault="007C3637" w:rsidP="005D73DE">
      <w:pPr>
        <w:jc w:val="both"/>
        <w:rPr>
          <w:lang w:val="lv-LV"/>
        </w:rPr>
      </w:pPr>
    </w:p>
    <w:p w:rsidR="007C3637" w:rsidRDefault="007C3637" w:rsidP="005D73DE">
      <w:pPr>
        <w:jc w:val="both"/>
        <w:rPr>
          <w:lang w:val="lv-LV"/>
        </w:rPr>
      </w:pPr>
    </w:p>
    <w:p w:rsidR="007C3637" w:rsidRDefault="007C3637" w:rsidP="005D73DE">
      <w:pPr>
        <w:jc w:val="both"/>
        <w:rPr>
          <w:lang w:val="lv-LV"/>
        </w:rPr>
      </w:pPr>
    </w:p>
    <w:p w:rsidR="007C3637" w:rsidRDefault="007C3637" w:rsidP="005D73DE">
      <w:pPr>
        <w:jc w:val="both"/>
        <w:rPr>
          <w:lang w:val="lv-LV"/>
        </w:rPr>
      </w:pPr>
    </w:p>
    <w:p w:rsidR="007C3637" w:rsidRDefault="007C3637" w:rsidP="005D73DE">
      <w:pPr>
        <w:jc w:val="both"/>
        <w:rPr>
          <w:lang w:val="lv-LV"/>
        </w:rPr>
      </w:pPr>
    </w:p>
    <w:p w:rsidR="007C3637" w:rsidRDefault="007C3637" w:rsidP="005D73DE">
      <w:pPr>
        <w:jc w:val="both"/>
        <w:rPr>
          <w:lang w:val="lv-LV"/>
        </w:rPr>
      </w:pPr>
    </w:p>
    <w:p w:rsidR="007C3637" w:rsidRDefault="007C3637" w:rsidP="005D73DE">
      <w:pPr>
        <w:jc w:val="both"/>
        <w:rPr>
          <w:lang w:val="lv-LV"/>
        </w:rPr>
      </w:pPr>
    </w:p>
    <w:p w:rsidR="007C3637" w:rsidRDefault="007C3637" w:rsidP="005D73DE">
      <w:pPr>
        <w:jc w:val="both"/>
        <w:rPr>
          <w:lang w:val="lv-LV"/>
        </w:rPr>
      </w:pPr>
    </w:p>
    <w:p w:rsidR="007C3637" w:rsidRDefault="007C3637" w:rsidP="005D73DE">
      <w:pPr>
        <w:jc w:val="both"/>
        <w:rPr>
          <w:lang w:val="lv-LV"/>
        </w:rPr>
      </w:pPr>
    </w:p>
    <w:p w:rsidR="007C3637" w:rsidRDefault="007C3637" w:rsidP="005D73DE">
      <w:pPr>
        <w:jc w:val="both"/>
        <w:rPr>
          <w:lang w:val="lv-LV"/>
        </w:rPr>
      </w:pPr>
    </w:p>
    <w:p w:rsidR="007C3637" w:rsidRDefault="007C3637" w:rsidP="005D73DE">
      <w:pPr>
        <w:jc w:val="both"/>
        <w:rPr>
          <w:lang w:val="lv-LV"/>
        </w:rPr>
      </w:pPr>
    </w:p>
    <w:p w:rsidR="007C3637" w:rsidRDefault="007C3637" w:rsidP="005D73DE">
      <w:pPr>
        <w:jc w:val="both"/>
        <w:rPr>
          <w:lang w:val="lv-LV"/>
        </w:rPr>
      </w:pPr>
    </w:p>
    <w:p w:rsidR="007C3637" w:rsidRDefault="007C3637" w:rsidP="005D73DE">
      <w:pPr>
        <w:jc w:val="both"/>
        <w:rPr>
          <w:lang w:val="lv-LV"/>
        </w:rPr>
      </w:pPr>
    </w:p>
    <w:p w:rsidR="007C3637" w:rsidRDefault="007C3637" w:rsidP="005D73DE">
      <w:pPr>
        <w:jc w:val="both"/>
        <w:rPr>
          <w:lang w:val="lv-LV"/>
        </w:rPr>
      </w:pPr>
    </w:p>
    <w:p w:rsidR="007C3637" w:rsidRDefault="007C3637" w:rsidP="005D73DE">
      <w:pPr>
        <w:jc w:val="both"/>
        <w:rPr>
          <w:lang w:val="lv-LV"/>
        </w:rPr>
      </w:pPr>
    </w:p>
    <w:p w:rsidR="007C3637" w:rsidRDefault="007C3637" w:rsidP="005D73DE">
      <w:pPr>
        <w:jc w:val="both"/>
        <w:rPr>
          <w:lang w:val="lv-LV"/>
        </w:rPr>
      </w:pPr>
    </w:p>
    <w:p w:rsidR="001C09FC" w:rsidRDefault="001C09FC" w:rsidP="005D73DE">
      <w:pPr>
        <w:jc w:val="both"/>
        <w:rPr>
          <w:lang w:val="lv-LV"/>
        </w:rPr>
      </w:pPr>
    </w:p>
    <w:p w:rsidR="007C3637" w:rsidRDefault="007C3637" w:rsidP="00D400DE">
      <w:pPr>
        <w:jc w:val="both"/>
        <w:rPr>
          <w:sz w:val="20"/>
          <w:szCs w:val="20"/>
          <w:lang w:val="lv-LV"/>
        </w:rPr>
      </w:pPr>
      <w:r>
        <w:rPr>
          <w:sz w:val="20"/>
          <w:szCs w:val="20"/>
          <w:lang w:val="lv-LV"/>
        </w:rPr>
        <w:t>2014.06.12. 13:28</w:t>
      </w:r>
    </w:p>
    <w:p w:rsidR="007C3637" w:rsidRDefault="007C3637" w:rsidP="00D400DE">
      <w:pPr>
        <w:jc w:val="both"/>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2067</w:t>
      </w:r>
      <w:r>
        <w:rPr>
          <w:sz w:val="20"/>
          <w:szCs w:val="20"/>
          <w:lang w:val="lv-LV"/>
        </w:rPr>
        <w:fldChar w:fldCharType="end"/>
      </w:r>
    </w:p>
    <w:p w:rsidR="00D400DE" w:rsidRPr="00D400DE" w:rsidRDefault="00D400DE" w:rsidP="00D400DE">
      <w:pPr>
        <w:jc w:val="both"/>
        <w:rPr>
          <w:sz w:val="20"/>
          <w:szCs w:val="20"/>
          <w:lang w:val="lv-LV"/>
        </w:rPr>
      </w:pPr>
      <w:bookmarkStart w:id="2" w:name="_GoBack"/>
      <w:bookmarkEnd w:id="2"/>
      <w:r w:rsidRPr="00D400DE">
        <w:rPr>
          <w:sz w:val="20"/>
          <w:szCs w:val="20"/>
          <w:lang w:val="lv-LV"/>
        </w:rPr>
        <w:t>O.Vecuma-Veco</w:t>
      </w:r>
    </w:p>
    <w:p w:rsidR="00C20792" w:rsidRPr="00D400DE" w:rsidRDefault="00D400DE" w:rsidP="00D400DE">
      <w:pPr>
        <w:jc w:val="both"/>
        <w:rPr>
          <w:sz w:val="20"/>
          <w:szCs w:val="20"/>
          <w:lang w:val="lv-LV"/>
        </w:rPr>
      </w:pPr>
      <w:r w:rsidRPr="00D400DE">
        <w:rPr>
          <w:sz w:val="20"/>
          <w:szCs w:val="20"/>
          <w:lang w:val="lv-LV"/>
        </w:rPr>
        <w:t>67027551, Olita.Vecuma-Veco@zm.gov.lv</w:t>
      </w:r>
    </w:p>
    <w:sectPr w:rsidR="00C20792" w:rsidRPr="00D400DE" w:rsidSect="00766002">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EDF" w:rsidRDefault="00F03EDF">
      <w:r>
        <w:separator/>
      </w:r>
    </w:p>
  </w:endnote>
  <w:endnote w:type="continuationSeparator" w:id="0">
    <w:p w:rsidR="00F03EDF" w:rsidRDefault="00F0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52" w:rsidRPr="00FA28CA" w:rsidRDefault="00962D0E" w:rsidP="00546012">
    <w:pPr>
      <w:widowControl w:val="0"/>
      <w:autoSpaceDE w:val="0"/>
      <w:autoSpaceDN w:val="0"/>
      <w:adjustRightInd w:val="0"/>
      <w:jc w:val="both"/>
      <w:rPr>
        <w:sz w:val="20"/>
        <w:szCs w:val="20"/>
        <w:lang w:val="lv-LV"/>
      </w:rPr>
    </w:pPr>
    <w:r w:rsidRPr="00A17DD9">
      <w:rPr>
        <w:sz w:val="20"/>
        <w:szCs w:val="20"/>
        <w:lang w:val="lv-LV"/>
      </w:rPr>
      <w:t>ZM</w:t>
    </w:r>
    <w:r w:rsidR="00D86FF2">
      <w:rPr>
        <w:sz w:val="20"/>
        <w:szCs w:val="20"/>
        <w:lang w:val="lv-LV"/>
      </w:rPr>
      <w:t>a</w:t>
    </w:r>
    <w:r w:rsidRPr="00A17DD9">
      <w:rPr>
        <w:sz w:val="20"/>
        <w:szCs w:val="20"/>
        <w:lang w:val="lv-LV"/>
      </w:rPr>
      <w:t>not_</w:t>
    </w:r>
    <w:r w:rsidR="002A7766">
      <w:rPr>
        <w:sz w:val="20"/>
        <w:szCs w:val="20"/>
        <w:lang w:val="lv-LV"/>
      </w:rPr>
      <w:t>11</w:t>
    </w:r>
    <w:r w:rsidR="001B55EA">
      <w:rPr>
        <w:sz w:val="20"/>
        <w:szCs w:val="20"/>
        <w:lang w:val="lv-LV"/>
      </w:rPr>
      <w:t>06</w:t>
    </w:r>
    <w:r w:rsidRPr="00A17DD9">
      <w:rPr>
        <w:sz w:val="20"/>
        <w:szCs w:val="20"/>
        <w:lang w:val="lv-LV"/>
      </w:rPr>
      <w:t>1</w:t>
    </w:r>
    <w:r w:rsidR="00001C72">
      <w:rPr>
        <w:sz w:val="20"/>
        <w:szCs w:val="20"/>
        <w:lang w:val="lv-LV"/>
      </w:rPr>
      <w:t>4</w:t>
    </w:r>
    <w:r w:rsidR="00546012">
      <w:rPr>
        <w:sz w:val="20"/>
        <w:szCs w:val="20"/>
        <w:lang w:val="lv-LV"/>
      </w:rPr>
      <w:t>_govju leikoze</w:t>
    </w:r>
    <w:r w:rsidRPr="00A17DD9">
      <w:rPr>
        <w:sz w:val="20"/>
        <w:szCs w:val="20"/>
        <w:lang w:val="lv-LV"/>
      </w:rPr>
      <w:t xml:space="preserve">; </w:t>
    </w:r>
    <w:r w:rsidR="00D86FF2">
      <w:rPr>
        <w:sz w:val="20"/>
        <w:szCs w:val="20"/>
        <w:lang w:val="lv-LV"/>
      </w:rPr>
      <w:t xml:space="preserve">Ministru kabineta noteikumu projekta </w:t>
    </w:r>
    <w:r w:rsidR="00546012">
      <w:rPr>
        <w:sz w:val="20"/>
        <w:szCs w:val="20"/>
        <w:lang w:val="lv-LV"/>
      </w:rPr>
      <w:t xml:space="preserve">„Grozījumi Ministru kabineta 2011.gada 15.novembra </w:t>
    </w:r>
    <w:r w:rsidR="00546012" w:rsidRPr="00546012">
      <w:rPr>
        <w:sz w:val="20"/>
        <w:szCs w:val="20"/>
        <w:lang w:val="lv-LV"/>
      </w:rPr>
      <w:t>noteikumos Nr.880 „Govju enzootiskās leikozes uzraudzības, kontroles un apkarošanas kārtība””</w:t>
    </w:r>
    <w:r w:rsidR="00546012">
      <w:rPr>
        <w:sz w:val="20"/>
        <w:szCs w:val="20"/>
        <w:lang w:val="lv-LV"/>
      </w:rPr>
      <w:t xml:space="preserve"> </w:t>
    </w:r>
    <w:r w:rsidR="00FA28CA" w:rsidRPr="00FA28CA">
      <w:rPr>
        <w:sz w:val="20"/>
        <w:szCs w:val="20"/>
        <w:lang w:val="lv-LV"/>
      </w:rPr>
      <w:t>sākotnējās ietekmes novērtējuma ziņojums</w:t>
    </w:r>
    <w:r w:rsidR="00FA28CA" w:rsidRPr="00FA28CA">
      <w:rPr>
        <w:bCs/>
        <w:sz w:val="20"/>
        <w:szCs w:val="20"/>
        <w:lang w:val="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52" w:rsidRPr="00546012" w:rsidRDefault="00546012" w:rsidP="00546012">
    <w:pPr>
      <w:pStyle w:val="Kjene"/>
    </w:pPr>
    <w:r w:rsidRPr="00546012">
      <w:rPr>
        <w:rFonts w:ascii="Times New Roman" w:hAnsi="Times New Roman"/>
        <w:sz w:val="20"/>
      </w:rPr>
      <w:t>Z</w:t>
    </w:r>
    <w:r w:rsidR="002A7766">
      <w:rPr>
        <w:rFonts w:ascii="Times New Roman" w:hAnsi="Times New Roman"/>
        <w:sz w:val="20"/>
      </w:rPr>
      <w:t>Manot_11</w:t>
    </w:r>
    <w:r w:rsidR="001B55EA">
      <w:rPr>
        <w:rFonts w:ascii="Times New Roman" w:hAnsi="Times New Roman"/>
        <w:sz w:val="20"/>
      </w:rPr>
      <w:t>06</w:t>
    </w:r>
    <w:r w:rsidR="00001C72">
      <w:rPr>
        <w:rFonts w:ascii="Times New Roman" w:hAnsi="Times New Roman"/>
        <w:sz w:val="20"/>
      </w:rPr>
      <w:t>14</w:t>
    </w:r>
    <w:r w:rsidRPr="00546012">
      <w:rPr>
        <w:rFonts w:ascii="Times New Roman" w:hAnsi="Times New Roman"/>
        <w:sz w:val="20"/>
      </w:rPr>
      <w:t>_govju leikoze; Ministru kabineta noteikumu projekta „Grozījumi Ministru kabineta 2011.gada 15.novembra noteikumos Nr.880 „Govju enzootiskās leikozes uzraudzības, kontroles un apkarošanas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EDF" w:rsidRDefault="00F03EDF">
      <w:r>
        <w:separator/>
      </w:r>
    </w:p>
  </w:footnote>
  <w:footnote w:type="continuationSeparator" w:id="0">
    <w:p w:rsidR="00F03EDF" w:rsidRDefault="00F03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rsidR="00D27E52" w:rsidRDefault="00D27E5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7C3637">
      <w:rPr>
        <w:rStyle w:val="Lappusesnumurs"/>
        <w:noProof/>
      </w:rPr>
      <w:t>6</w:t>
    </w:r>
    <w:r>
      <w:rPr>
        <w:rStyle w:val="Lappusesnumurs"/>
      </w:rPr>
      <w:fldChar w:fldCharType="end"/>
    </w:r>
  </w:p>
  <w:p w:rsidR="00D27E52" w:rsidRDefault="00D27E5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56462A"/>
    <w:multiLevelType w:val="hybridMultilevel"/>
    <w:tmpl w:val="26C8400E"/>
    <w:lvl w:ilvl="0" w:tplc="578E61C4">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6">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9"/>
  </w:num>
  <w:num w:numId="4">
    <w:abstractNumId w:val="6"/>
  </w:num>
  <w:num w:numId="5">
    <w:abstractNumId w:val="3"/>
  </w:num>
  <w:num w:numId="6">
    <w:abstractNumId w:val="2"/>
  </w:num>
  <w:num w:numId="7">
    <w:abstractNumId w:val="5"/>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C72"/>
    <w:rsid w:val="00001CFA"/>
    <w:rsid w:val="000030F6"/>
    <w:rsid w:val="00003470"/>
    <w:rsid w:val="00003BF5"/>
    <w:rsid w:val="00004B99"/>
    <w:rsid w:val="00011500"/>
    <w:rsid w:val="0001274B"/>
    <w:rsid w:val="000168B7"/>
    <w:rsid w:val="0002330F"/>
    <w:rsid w:val="0002456C"/>
    <w:rsid w:val="00026D31"/>
    <w:rsid w:val="0003130D"/>
    <w:rsid w:val="000323C9"/>
    <w:rsid w:val="00032DD1"/>
    <w:rsid w:val="00034F8D"/>
    <w:rsid w:val="00035AEC"/>
    <w:rsid w:val="00037C03"/>
    <w:rsid w:val="00040105"/>
    <w:rsid w:val="00042DEB"/>
    <w:rsid w:val="00043915"/>
    <w:rsid w:val="000463AC"/>
    <w:rsid w:val="00054536"/>
    <w:rsid w:val="00054939"/>
    <w:rsid w:val="00056991"/>
    <w:rsid w:val="00057FBC"/>
    <w:rsid w:val="0006719B"/>
    <w:rsid w:val="0007255F"/>
    <w:rsid w:val="00072622"/>
    <w:rsid w:val="00074423"/>
    <w:rsid w:val="00074D2A"/>
    <w:rsid w:val="0007562F"/>
    <w:rsid w:val="00075C44"/>
    <w:rsid w:val="0007746D"/>
    <w:rsid w:val="00077EA4"/>
    <w:rsid w:val="00081283"/>
    <w:rsid w:val="000817A3"/>
    <w:rsid w:val="000828B5"/>
    <w:rsid w:val="0008293B"/>
    <w:rsid w:val="00082B53"/>
    <w:rsid w:val="00083281"/>
    <w:rsid w:val="00083CAC"/>
    <w:rsid w:val="0008664A"/>
    <w:rsid w:val="0009142B"/>
    <w:rsid w:val="000919A8"/>
    <w:rsid w:val="00093E3F"/>
    <w:rsid w:val="00094BB3"/>
    <w:rsid w:val="00095D8C"/>
    <w:rsid w:val="00096D79"/>
    <w:rsid w:val="000A19E2"/>
    <w:rsid w:val="000A2AA7"/>
    <w:rsid w:val="000A2CED"/>
    <w:rsid w:val="000A5652"/>
    <w:rsid w:val="000A67CD"/>
    <w:rsid w:val="000B076F"/>
    <w:rsid w:val="000B32EF"/>
    <w:rsid w:val="000B3D3E"/>
    <w:rsid w:val="000B5EAD"/>
    <w:rsid w:val="000B77B7"/>
    <w:rsid w:val="000B7AB8"/>
    <w:rsid w:val="000C0FA7"/>
    <w:rsid w:val="000C1E85"/>
    <w:rsid w:val="000C5D0D"/>
    <w:rsid w:val="000D0329"/>
    <w:rsid w:val="000D0616"/>
    <w:rsid w:val="000D3B4D"/>
    <w:rsid w:val="000D51C7"/>
    <w:rsid w:val="000D57DA"/>
    <w:rsid w:val="000E3DB2"/>
    <w:rsid w:val="000E4067"/>
    <w:rsid w:val="000E47D5"/>
    <w:rsid w:val="000E5F80"/>
    <w:rsid w:val="000E6933"/>
    <w:rsid w:val="000E75D1"/>
    <w:rsid w:val="000F01FC"/>
    <w:rsid w:val="000F0966"/>
    <w:rsid w:val="000F2EB4"/>
    <w:rsid w:val="000F32C8"/>
    <w:rsid w:val="000F736E"/>
    <w:rsid w:val="00100B1F"/>
    <w:rsid w:val="00100FE3"/>
    <w:rsid w:val="001017AD"/>
    <w:rsid w:val="00101DE0"/>
    <w:rsid w:val="00101E0B"/>
    <w:rsid w:val="00103AD7"/>
    <w:rsid w:val="00103D1B"/>
    <w:rsid w:val="00104349"/>
    <w:rsid w:val="00105AE2"/>
    <w:rsid w:val="0010612F"/>
    <w:rsid w:val="00106E4A"/>
    <w:rsid w:val="0011310D"/>
    <w:rsid w:val="00116784"/>
    <w:rsid w:val="001177FE"/>
    <w:rsid w:val="001178E3"/>
    <w:rsid w:val="001304F1"/>
    <w:rsid w:val="0013088C"/>
    <w:rsid w:val="00131D05"/>
    <w:rsid w:val="00132004"/>
    <w:rsid w:val="001324A4"/>
    <w:rsid w:val="001345CB"/>
    <w:rsid w:val="001347E9"/>
    <w:rsid w:val="00136C98"/>
    <w:rsid w:val="00137B2C"/>
    <w:rsid w:val="00140B4C"/>
    <w:rsid w:val="0014129D"/>
    <w:rsid w:val="0014319C"/>
    <w:rsid w:val="001466B6"/>
    <w:rsid w:val="00150011"/>
    <w:rsid w:val="0015254E"/>
    <w:rsid w:val="00153C68"/>
    <w:rsid w:val="0015551E"/>
    <w:rsid w:val="00155B89"/>
    <w:rsid w:val="001608F4"/>
    <w:rsid w:val="0016266C"/>
    <w:rsid w:val="00162E14"/>
    <w:rsid w:val="00164B42"/>
    <w:rsid w:val="00164C6B"/>
    <w:rsid w:val="001663CF"/>
    <w:rsid w:val="001665DD"/>
    <w:rsid w:val="00171315"/>
    <w:rsid w:val="00171BA0"/>
    <w:rsid w:val="001739AD"/>
    <w:rsid w:val="001751F5"/>
    <w:rsid w:val="00176E50"/>
    <w:rsid w:val="00182848"/>
    <w:rsid w:val="00182C1E"/>
    <w:rsid w:val="001919A5"/>
    <w:rsid w:val="00193E2B"/>
    <w:rsid w:val="001942B7"/>
    <w:rsid w:val="0019798B"/>
    <w:rsid w:val="001A10EA"/>
    <w:rsid w:val="001A3B92"/>
    <w:rsid w:val="001A3FFF"/>
    <w:rsid w:val="001A6148"/>
    <w:rsid w:val="001A7C43"/>
    <w:rsid w:val="001B2F73"/>
    <w:rsid w:val="001B3B95"/>
    <w:rsid w:val="001B4882"/>
    <w:rsid w:val="001B55EA"/>
    <w:rsid w:val="001C09FC"/>
    <w:rsid w:val="001C2A17"/>
    <w:rsid w:val="001C4904"/>
    <w:rsid w:val="001C5F46"/>
    <w:rsid w:val="001C7CA2"/>
    <w:rsid w:val="001D06A3"/>
    <w:rsid w:val="001D1287"/>
    <w:rsid w:val="001D180D"/>
    <w:rsid w:val="001D5DAF"/>
    <w:rsid w:val="001D77D5"/>
    <w:rsid w:val="001E14E1"/>
    <w:rsid w:val="001E264B"/>
    <w:rsid w:val="001E40A1"/>
    <w:rsid w:val="001E7670"/>
    <w:rsid w:val="001F1642"/>
    <w:rsid w:val="001F373B"/>
    <w:rsid w:val="001F5256"/>
    <w:rsid w:val="001F5C16"/>
    <w:rsid w:val="002027AF"/>
    <w:rsid w:val="00203134"/>
    <w:rsid w:val="002043DB"/>
    <w:rsid w:val="00205C1E"/>
    <w:rsid w:val="0020639A"/>
    <w:rsid w:val="00206471"/>
    <w:rsid w:val="00207072"/>
    <w:rsid w:val="00210E44"/>
    <w:rsid w:val="0021306B"/>
    <w:rsid w:val="0021364F"/>
    <w:rsid w:val="002234A1"/>
    <w:rsid w:val="00224CE4"/>
    <w:rsid w:val="00230D6B"/>
    <w:rsid w:val="00231888"/>
    <w:rsid w:val="0023257C"/>
    <w:rsid w:val="0023303C"/>
    <w:rsid w:val="00243F66"/>
    <w:rsid w:val="0024492F"/>
    <w:rsid w:val="002465D1"/>
    <w:rsid w:val="00247ADA"/>
    <w:rsid w:val="00247BF7"/>
    <w:rsid w:val="00247D93"/>
    <w:rsid w:val="002509B6"/>
    <w:rsid w:val="00252CBC"/>
    <w:rsid w:val="00260328"/>
    <w:rsid w:val="002606D3"/>
    <w:rsid w:val="00262617"/>
    <w:rsid w:val="002669C3"/>
    <w:rsid w:val="00267A04"/>
    <w:rsid w:val="00270E29"/>
    <w:rsid w:val="002740B7"/>
    <w:rsid w:val="00274350"/>
    <w:rsid w:val="00274907"/>
    <w:rsid w:val="00276098"/>
    <w:rsid w:val="002766EE"/>
    <w:rsid w:val="00277E51"/>
    <w:rsid w:val="00281011"/>
    <w:rsid w:val="00281E8A"/>
    <w:rsid w:val="00282F68"/>
    <w:rsid w:val="002849D1"/>
    <w:rsid w:val="00286469"/>
    <w:rsid w:val="002915A2"/>
    <w:rsid w:val="00294063"/>
    <w:rsid w:val="0029410D"/>
    <w:rsid w:val="00294367"/>
    <w:rsid w:val="0029700C"/>
    <w:rsid w:val="00297244"/>
    <w:rsid w:val="002A096C"/>
    <w:rsid w:val="002A16EB"/>
    <w:rsid w:val="002A227F"/>
    <w:rsid w:val="002A46BA"/>
    <w:rsid w:val="002A7766"/>
    <w:rsid w:val="002A7CB6"/>
    <w:rsid w:val="002B1905"/>
    <w:rsid w:val="002B24A9"/>
    <w:rsid w:val="002B3D70"/>
    <w:rsid w:val="002B4F76"/>
    <w:rsid w:val="002B7F1D"/>
    <w:rsid w:val="002C0839"/>
    <w:rsid w:val="002C11B3"/>
    <w:rsid w:val="002C2235"/>
    <w:rsid w:val="002C45E2"/>
    <w:rsid w:val="002C46AC"/>
    <w:rsid w:val="002C59C1"/>
    <w:rsid w:val="002C72FB"/>
    <w:rsid w:val="002D06D5"/>
    <w:rsid w:val="002D1A3D"/>
    <w:rsid w:val="002D1D38"/>
    <w:rsid w:val="002D462C"/>
    <w:rsid w:val="002D4981"/>
    <w:rsid w:val="002D4CA7"/>
    <w:rsid w:val="002E1E2F"/>
    <w:rsid w:val="002E284E"/>
    <w:rsid w:val="002E3FFA"/>
    <w:rsid w:val="002F01BA"/>
    <w:rsid w:val="002F0C7E"/>
    <w:rsid w:val="002F10A4"/>
    <w:rsid w:val="002F10C7"/>
    <w:rsid w:val="002F19B5"/>
    <w:rsid w:val="002F248E"/>
    <w:rsid w:val="002F3142"/>
    <w:rsid w:val="002F35FD"/>
    <w:rsid w:val="002F4716"/>
    <w:rsid w:val="002F48D2"/>
    <w:rsid w:val="002F5119"/>
    <w:rsid w:val="002F77F1"/>
    <w:rsid w:val="003025C8"/>
    <w:rsid w:val="00303999"/>
    <w:rsid w:val="003078B5"/>
    <w:rsid w:val="003078BF"/>
    <w:rsid w:val="00312474"/>
    <w:rsid w:val="003124EE"/>
    <w:rsid w:val="00315C3F"/>
    <w:rsid w:val="0031720E"/>
    <w:rsid w:val="0032141D"/>
    <w:rsid w:val="00326D8C"/>
    <w:rsid w:val="003309B4"/>
    <w:rsid w:val="0033350D"/>
    <w:rsid w:val="00333737"/>
    <w:rsid w:val="003353AA"/>
    <w:rsid w:val="003420C9"/>
    <w:rsid w:val="00342541"/>
    <w:rsid w:val="003431FA"/>
    <w:rsid w:val="003436A4"/>
    <w:rsid w:val="00343E77"/>
    <w:rsid w:val="00344162"/>
    <w:rsid w:val="00346536"/>
    <w:rsid w:val="00347FD4"/>
    <w:rsid w:val="0035318B"/>
    <w:rsid w:val="00353D62"/>
    <w:rsid w:val="00354E85"/>
    <w:rsid w:val="003552B9"/>
    <w:rsid w:val="003559CE"/>
    <w:rsid w:val="00356DA0"/>
    <w:rsid w:val="00356E2C"/>
    <w:rsid w:val="0036198C"/>
    <w:rsid w:val="00363ADB"/>
    <w:rsid w:val="00366C0D"/>
    <w:rsid w:val="00366CAA"/>
    <w:rsid w:val="00366E84"/>
    <w:rsid w:val="0037053D"/>
    <w:rsid w:val="00370ED5"/>
    <w:rsid w:val="00370F96"/>
    <w:rsid w:val="00371C48"/>
    <w:rsid w:val="003750BF"/>
    <w:rsid w:val="003769E4"/>
    <w:rsid w:val="00376BBB"/>
    <w:rsid w:val="0038045D"/>
    <w:rsid w:val="00381A6C"/>
    <w:rsid w:val="00382167"/>
    <w:rsid w:val="00384564"/>
    <w:rsid w:val="00386887"/>
    <w:rsid w:val="0038793B"/>
    <w:rsid w:val="00390386"/>
    <w:rsid w:val="00390C21"/>
    <w:rsid w:val="00394F91"/>
    <w:rsid w:val="00396612"/>
    <w:rsid w:val="00396735"/>
    <w:rsid w:val="003A4522"/>
    <w:rsid w:val="003A58B9"/>
    <w:rsid w:val="003A5A85"/>
    <w:rsid w:val="003B4687"/>
    <w:rsid w:val="003B6C47"/>
    <w:rsid w:val="003C2517"/>
    <w:rsid w:val="003C2B26"/>
    <w:rsid w:val="003C2C1B"/>
    <w:rsid w:val="003C40EB"/>
    <w:rsid w:val="003C4AC2"/>
    <w:rsid w:val="003C4FAD"/>
    <w:rsid w:val="003C7F18"/>
    <w:rsid w:val="003D0D4F"/>
    <w:rsid w:val="003D1F11"/>
    <w:rsid w:val="003D62B2"/>
    <w:rsid w:val="003D676D"/>
    <w:rsid w:val="003E1930"/>
    <w:rsid w:val="003E1A05"/>
    <w:rsid w:val="003E36E3"/>
    <w:rsid w:val="003E745F"/>
    <w:rsid w:val="003F02D7"/>
    <w:rsid w:val="003F1B23"/>
    <w:rsid w:val="003F29A1"/>
    <w:rsid w:val="003F2F3C"/>
    <w:rsid w:val="003F3FBE"/>
    <w:rsid w:val="003F4446"/>
    <w:rsid w:val="0040262E"/>
    <w:rsid w:val="00402AE9"/>
    <w:rsid w:val="0040578E"/>
    <w:rsid w:val="0040663B"/>
    <w:rsid w:val="004067FF"/>
    <w:rsid w:val="00406878"/>
    <w:rsid w:val="004071C3"/>
    <w:rsid w:val="00410684"/>
    <w:rsid w:val="00412458"/>
    <w:rsid w:val="00413A82"/>
    <w:rsid w:val="00414016"/>
    <w:rsid w:val="00415584"/>
    <w:rsid w:val="0041773E"/>
    <w:rsid w:val="00417E08"/>
    <w:rsid w:val="004208C4"/>
    <w:rsid w:val="00421F53"/>
    <w:rsid w:val="004249A6"/>
    <w:rsid w:val="00424AE1"/>
    <w:rsid w:val="0042741C"/>
    <w:rsid w:val="00430B69"/>
    <w:rsid w:val="004311F3"/>
    <w:rsid w:val="004326DF"/>
    <w:rsid w:val="00433382"/>
    <w:rsid w:val="004364EB"/>
    <w:rsid w:val="00437C04"/>
    <w:rsid w:val="004412D9"/>
    <w:rsid w:val="00443182"/>
    <w:rsid w:val="0044545F"/>
    <w:rsid w:val="004477F4"/>
    <w:rsid w:val="00453031"/>
    <w:rsid w:val="00454E19"/>
    <w:rsid w:val="00457FF3"/>
    <w:rsid w:val="00460952"/>
    <w:rsid w:val="0046268C"/>
    <w:rsid w:val="0046446B"/>
    <w:rsid w:val="004645B8"/>
    <w:rsid w:val="00467FF3"/>
    <w:rsid w:val="004706C4"/>
    <w:rsid w:val="004727CF"/>
    <w:rsid w:val="00473AB2"/>
    <w:rsid w:val="00473DBB"/>
    <w:rsid w:val="00474A28"/>
    <w:rsid w:val="00480136"/>
    <w:rsid w:val="0048030D"/>
    <w:rsid w:val="00480D9E"/>
    <w:rsid w:val="004813EF"/>
    <w:rsid w:val="0048533B"/>
    <w:rsid w:val="0048641E"/>
    <w:rsid w:val="00486F47"/>
    <w:rsid w:val="004878C7"/>
    <w:rsid w:val="00487CE5"/>
    <w:rsid w:val="00490A06"/>
    <w:rsid w:val="0049221B"/>
    <w:rsid w:val="0049485B"/>
    <w:rsid w:val="00494EE6"/>
    <w:rsid w:val="00497E35"/>
    <w:rsid w:val="004A19ED"/>
    <w:rsid w:val="004A4BC4"/>
    <w:rsid w:val="004A54FF"/>
    <w:rsid w:val="004A62E4"/>
    <w:rsid w:val="004A7293"/>
    <w:rsid w:val="004B0C51"/>
    <w:rsid w:val="004B3171"/>
    <w:rsid w:val="004B6F89"/>
    <w:rsid w:val="004B7338"/>
    <w:rsid w:val="004C07F8"/>
    <w:rsid w:val="004C1820"/>
    <w:rsid w:val="004C277C"/>
    <w:rsid w:val="004C4BAD"/>
    <w:rsid w:val="004C5C71"/>
    <w:rsid w:val="004D0202"/>
    <w:rsid w:val="004D120C"/>
    <w:rsid w:val="004D283F"/>
    <w:rsid w:val="004D29AD"/>
    <w:rsid w:val="004D2FD5"/>
    <w:rsid w:val="004D414B"/>
    <w:rsid w:val="004E0F9E"/>
    <w:rsid w:val="004E202E"/>
    <w:rsid w:val="004E78C9"/>
    <w:rsid w:val="004F158A"/>
    <w:rsid w:val="004F1BDB"/>
    <w:rsid w:val="004F2EFC"/>
    <w:rsid w:val="004F407F"/>
    <w:rsid w:val="005038E6"/>
    <w:rsid w:val="005048A0"/>
    <w:rsid w:val="00504D62"/>
    <w:rsid w:val="00505064"/>
    <w:rsid w:val="00506458"/>
    <w:rsid w:val="005077CF"/>
    <w:rsid w:val="00507A3B"/>
    <w:rsid w:val="00507E40"/>
    <w:rsid w:val="0051051E"/>
    <w:rsid w:val="00512A7E"/>
    <w:rsid w:val="0051661B"/>
    <w:rsid w:val="00517314"/>
    <w:rsid w:val="005206CF"/>
    <w:rsid w:val="00521C50"/>
    <w:rsid w:val="00526F5F"/>
    <w:rsid w:val="0053651B"/>
    <w:rsid w:val="00537316"/>
    <w:rsid w:val="005402D9"/>
    <w:rsid w:val="005403CF"/>
    <w:rsid w:val="00541ED4"/>
    <w:rsid w:val="005433EB"/>
    <w:rsid w:val="005434A2"/>
    <w:rsid w:val="005448AB"/>
    <w:rsid w:val="00544E6B"/>
    <w:rsid w:val="00546012"/>
    <w:rsid w:val="00550CD0"/>
    <w:rsid w:val="00551DD5"/>
    <w:rsid w:val="00552C28"/>
    <w:rsid w:val="00556FB2"/>
    <w:rsid w:val="005601FE"/>
    <w:rsid w:val="00563687"/>
    <w:rsid w:val="00567B70"/>
    <w:rsid w:val="00571E48"/>
    <w:rsid w:val="00572114"/>
    <w:rsid w:val="00572BC9"/>
    <w:rsid w:val="0057449E"/>
    <w:rsid w:val="00575B15"/>
    <w:rsid w:val="00581A16"/>
    <w:rsid w:val="00581E24"/>
    <w:rsid w:val="005820CE"/>
    <w:rsid w:val="00584C4B"/>
    <w:rsid w:val="005858F2"/>
    <w:rsid w:val="00585BD7"/>
    <w:rsid w:val="00585EF5"/>
    <w:rsid w:val="00591B88"/>
    <w:rsid w:val="005A061F"/>
    <w:rsid w:val="005A0978"/>
    <w:rsid w:val="005A3B29"/>
    <w:rsid w:val="005A6AF8"/>
    <w:rsid w:val="005A71C2"/>
    <w:rsid w:val="005A7D0E"/>
    <w:rsid w:val="005B0543"/>
    <w:rsid w:val="005B1B7C"/>
    <w:rsid w:val="005B34A4"/>
    <w:rsid w:val="005B4287"/>
    <w:rsid w:val="005B6F87"/>
    <w:rsid w:val="005B7245"/>
    <w:rsid w:val="005B772E"/>
    <w:rsid w:val="005C3FC3"/>
    <w:rsid w:val="005C73A8"/>
    <w:rsid w:val="005C7AAB"/>
    <w:rsid w:val="005D2108"/>
    <w:rsid w:val="005D29F6"/>
    <w:rsid w:val="005D619A"/>
    <w:rsid w:val="005D73DE"/>
    <w:rsid w:val="005E14A7"/>
    <w:rsid w:val="005E2038"/>
    <w:rsid w:val="005E3082"/>
    <w:rsid w:val="005E3C44"/>
    <w:rsid w:val="005E5056"/>
    <w:rsid w:val="005E61B9"/>
    <w:rsid w:val="005F1986"/>
    <w:rsid w:val="005F548A"/>
    <w:rsid w:val="00602628"/>
    <w:rsid w:val="00604DA3"/>
    <w:rsid w:val="006116E9"/>
    <w:rsid w:val="00613168"/>
    <w:rsid w:val="00616FA0"/>
    <w:rsid w:val="00620830"/>
    <w:rsid w:val="006208EC"/>
    <w:rsid w:val="00620FF4"/>
    <w:rsid w:val="0062238B"/>
    <w:rsid w:val="00624CFE"/>
    <w:rsid w:val="00624E81"/>
    <w:rsid w:val="006310BB"/>
    <w:rsid w:val="00631891"/>
    <w:rsid w:val="00633C24"/>
    <w:rsid w:val="00634084"/>
    <w:rsid w:val="006342C4"/>
    <w:rsid w:val="00634701"/>
    <w:rsid w:val="00637747"/>
    <w:rsid w:val="006409CE"/>
    <w:rsid w:val="00645761"/>
    <w:rsid w:val="00651925"/>
    <w:rsid w:val="00653C1C"/>
    <w:rsid w:val="00655ACE"/>
    <w:rsid w:val="00655EBB"/>
    <w:rsid w:val="00656C23"/>
    <w:rsid w:val="00657962"/>
    <w:rsid w:val="00660CB0"/>
    <w:rsid w:val="0066452D"/>
    <w:rsid w:val="006662B5"/>
    <w:rsid w:val="0067321A"/>
    <w:rsid w:val="00673642"/>
    <w:rsid w:val="00673C53"/>
    <w:rsid w:val="00674D5D"/>
    <w:rsid w:val="00675331"/>
    <w:rsid w:val="00677712"/>
    <w:rsid w:val="00680B20"/>
    <w:rsid w:val="00680E5A"/>
    <w:rsid w:val="0068171E"/>
    <w:rsid w:val="00681AA8"/>
    <w:rsid w:val="00683A17"/>
    <w:rsid w:val="00684DF8"/>
    <w:rsid w:val="0069043D"/>
    <w:rsid w:val="00691CB0"/>
    <w:rsid w:val="0069612C"/>
    <w:rsid w:val="00696562"/>
    <w:rsid w:val="006A073E"/>
    <w:rsid w:val="006A1F3F"/>
    <w:rsid w:val="006A3CD4"/>
    <w:rsid w:val="006A699B"/>
    <w:rsid w:val="006A729F"/>
    <w:rsid w:val="006B07C9"/>
    <w:rsid w:val="006B08AF"/>
    <w:rsid w:val="006B0A0D"/>
    <w:rsid w:val="006B0AC4"/>
    <w:rsid w:val="006B0D5C"/>
    <w:rsid w:val="006B1642"/>
    <w:rsid w:val="006B3F60"/>
    <w:rsid w:val="006B581B"/>
    <w:rsid w:val="006B6730"/>
    <w:rsid w:val="006B7B67"/>
    <w:rsid w:val="006B7EA9"/>
    <w:rsid w:val="006C0A3A"/>
    <w:rsid w:val="006C172A"/>
    <w:rsid w:val="006C21FF"/>
    <w:rsid w:val="006C6551"/>
    <w:rsid w:val="006D42DC"/>
    <w:rsid w:val="006D4AD9"/>
    <w:rsid w:val="006D5174"/>
    <w:rsid w:val="006E0585"/>
    <w:rsid w:val="006E3915"/>
    <w:rsid w:val="006E4A20"/>
    <w:rsid w:val="006E63AB"/>
    <w:rsid w:val="006E6F98"/>
    <w:rsid w:val="006F4812"/>
    <w:rsid w:val="006F630C"/>
    <w:rsid w:val="00701EAF"/>
    <w:rsid w:val="00703C2C"/>
    <w:rsid w:val="00705B9B"/>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09EA"/>
    <w:rsid w:val="007231F3"/>
    <w:rsid w:val="00723EB9"/>
    <w:rsid w:val="007240D8"/>
    <w:rsid w:val="007247AE"/>
    <w:rsid w:val="00724D06"/>
    <w:rsid w:val="00725D38"/>
    <w:rsid w:val="007264EF"/>
    <w:rsid w:val="00726C07"/>
    <w:rsid w:val="00727092"/>
    <w:rsid w:val="007270D1"/>
    <w:rsid w:val="007309DE"/>
    <w:rsid w:val="00733FEB"/>
    <w:rsid w:val="007410CE"/>
    <w:rsid w:val="00741C8B"/>
    <w:rsid w:val="007443E2"/>
    <w:rsid w:val="00744CBE"/>
    <w:rsid w:val="00744E91"/>
    <w:rsid w:val="007473F9"/>
    <w:rsid w:val="00750AF4"/>
    <w:rsid w:val="00751995"/>
    <w:rsid w:val="00751C2C"/>
    <w:rsid w:val="00752674"/>
    <w:rsid w:val="007565EA"/>
    <w:rsid w:val="00757B05"/>
    <w:rsid w:val="00766002"/>
    <w:rsid w:val="007671F2"/>
    <w:rsid w:val="0076750E"/>
    <w:rsid w:val="007677EC"/>
    <w:rsid w:val="00773A0C"/>
    <w:rsid w:val="00774566"/>
    <w:rsid w:val="00775801"/>
    <w:rsid w:val="00775F62"/>
    <w:rsid w:val="007762A2"/>
    <w:rsid w:val="00780F76"/>
    <w:rsid w:val="0078183B"/>
    <w:rsid w:val="00782D80"/>
    <w:rsid w:val="00784E48"/>
    <w:rsid w:val="00785231"/>
    <w:rsid w:val="007A0796"/>
    <w:rsid w:val="007A1125"/>
    <w:rsid w:val="007A2810"/>
    <w:rsid w:val="007A3791"/>
    <w:rsid w:val="007A3B9F"/>
    <w:rsid w:val="007A514C"/>
    <w:rsid w:val="007A5B59"/>
    <w:rsid w:val="007A6FA0"/>
    <w:rsid w:val="007B4D27"/>
    <w:rsid w:val="007B665B"/>
    <w:rsid w:val="007C1935"/>
    <w:rsid w:val="007C3637"/>
    <w:rsid w:val="007C3E31"/>
    <w:rsid w:val="007C4B74"/>
    <w:rsid w:val="007C77C6"/>
    <w:rsid w:val="007D0664"/>
    <w:rsid w:val="007D4BDE"/>
    <w:rsid w:val="007D62BD"/>
    <w:rsid w:val="007D677C"/>
    <w:rsid w:val="007D6FDC"/>
    <w:rsid w:val="007D7C06"/>
    <w:rsid w:val="007E234A"/>
    <w:rsid w:val="007E2F36"/>
    <w:rsid w:val="007E515D"/>
    <w:rsid w:val="007E6A41"/>
    <w:rsid w:val="007E6C81"/>
    <w:rsid w:val="007E6FC7"/>
    <w:rsid w:val="007F11E2"/>
    <w:rsid w:val="007F7D05"/>
    <w:rsid w:val="00801836"/>
    <w:rsid w:val="00805453"/>
    <w:rsid w:val="00807460"/>
    <w:rsid w:val="00810D6E"/>
    <w:rsid w:val="00811084"/>
    <w:rsid w:val="0081203D"/>
    <w:rsid w:val="00813764"/>
    <w:rsid w:val="00813C57"/>
    <w:rsid w:val="00814C6A"/>
    <w:rsid w:val="008173F0"/>
    <w:rsid w:val="008208D0"/>
    <w:rsid w:val="008220EA"/>
    <w:rsid w:val="0082265D"/>
    <w:rsid w:val="00822F01"/>
    <w:rsid w:val="008231FE"/>
    <w:rsid w:val="00833431"/>
    <w:rsid w:val="00835193"/>
    <w:rsid w:val="008367BD"/>
    <w:rsid w:val="00836F29"/>
    <w:rsid w:val="00843128"/>
    <w:rsid w:val="00843DF3"/>
    <w:rsid w:val="0084563D"/>
    <w:rsid w:val="00846711"/>
    <w:rsid w:val="00846F1D"/>
    <w:rsid w:val="00854598"/>
    <w:rsid w:val="00856738"/>
    <w:rsid w:val="00856DA5"/>
    <w:rsid w:val="00863961"/>
    <w:rsid w:val="0086556F"/>
    <w:rsid w:val="008665A4"/>
    <w:rsid w:val="0086732B"/>
    <w:rsid w:val="00872599"/>
    <w:rsid w:val="00872E8D"/>
    <w:rsid w:val="00875E5C"/>
    <w:rsid w:val="008762A7"/>
    <w:rsid w:val="00877AFB"/>
    <w:rsid w:val="00880407"/>
    <w:rsid w:val="00881F41"/>
    <w:rsid w:val="00881F47"/>
    <w:rsid w:val="008828B3"/>
    <w:rsid w:val="00883A11"/>
    <w:rsid w:val="00883BFB"/>
    <w:rsid w:val="008849BC"/>
    <w:rsid w:val="0088733F"/>
    <w:rsid w:val="00887C72"/>
    <w:rsid w:val="00891B25"/>
    <w:rsid w:val="00892DFD"/>
    <w:rsid w:val="00892F79"/>
    <w:rsid w:val="00895210"/>
    <w:rsid w:val="0089539C"/>
    <w:rsid w:val="008A4B6E"/>
    <w:rsid w:val="008A54A5"/>
    <w:rsid w:val="008B0F1E"/>
    <w:rsid w:val="008B248C"/>
    <w:rsid w:val="008C33A0"/>
    <w:rsid w:val="008C6F66"/>
    <w:rsid w:val="008D05D4"/>
    <w:rsid w:val="008D28CB"/>
    <w:rsid w:val="008D336F"/>
    <w:rsid w:val="008D3438"/>
    <w:rsid w:val="008D5DC0"/>
    <w:rsid w:val="008D7832"/>
    <w:rsid w:val="008D7C17"/>
    <w:rsid w:val="008D7CB8"/>
    <w:rsid w:val="008D7E62"/>
    <w:rsid w:val="008E0C51"/>
    <w:rsid w:val="008E1329"/>
    <w:rsid w:val="008E28DC"/>
    <w:rsid w:val="008E384F"/>
    <w:rsid w:val="008E4991"/>
    <w:rsid w:val="008E4D21"/>
    <w:rsid w:val="008E76CE"/>
    <w:rsid w:val="008E7C94"/>
    <w:rsid w:val="008F0DDD"/>
    <w:rsid w:val="008F239E"/>
    <w:rsid w:val="008F2C3C"/>
    <w:rsid w:val="008F3459"/>
    <w:rsid w:val="008F3942"/>
    <w:rsid w:val="008F4708"/>
    <w:rsid w:val="008F7098"/>
    <w:rsid w:val="009003B8"/>
    <w:rsid w:val="0091356D"/>
    <w:rsid w:val="0091545F"/>
    <w:rsid w:val="00915777"/>
    <w:rsid w:val="00922501"/>
    <w:rsid w:val="00922CC9"/>
    <w:rsid w:val="0092335B"/>
    <w:rsid w:val="00925C16"/>
    <w:rsid w:val="009278E8"/>
    <w:rsid w:val="00930777"/>
    <w:rsid w:val="00932024"/>
    <w:rsid w:val="00933742"/>
    <w:rsid w:val="009340A8"/>
    <w:rsid w:val="009402E4"/>
    <w:rsid w:val="00942028"/>
    <w:rsid w:val="009456AA"/>
    <w:rsid w:val="0094583B"/>
    <w:rsid w:val="00945AD3"/>
    <w:rsid w:val="0095029E"/>
    <w:rsid w:val="00951A15"/>
    <w:rsid w:val="00952E78"/>
    <w:rsid w:val="00953D50"/>
    <w:rsid w:val="0096030D"/>
    <w:rsid w:val="00962D0E"/>
    <w:rsid w:val="00962D51"/>
    <w:rsid w:val="00965105"/>
    <w:rsid w:val="00965F99"/>
    <w:rsid w:val="00967B46"/>
    <w:rsid w:val="00970789"/>
    <w:rsid w:val="0097195C"/>
    <w:rsid w:val="00975D4C"/>
    <w:rsid w:val="009816F5"/>
    <w:rsid w:val="0098399E"/>
    <w:rsid w:val="0099066A"/>
    <w:rsid w:val="0099390A"/>
    <w:rsid w:val="00996A3D"/>
    <w:rsid w:val="009A24CA"/>
    <w:rsid w:val="009A49E1"/>
    <w:rsid w:val="009A678E"/>
    <w:rsid w:val="009A7AFC"/>
    <w:rsid w:val="009B3D43"/>
    <w:rsid w:val="009B4F7D"/>
    <w:rsid w:val="009B7FF9"/>
    <w:rsid w:val="009C2A21"/>
    <w:rsid w:val="009C6B02"/>
    <w:rsid w:val="009C7611"/>
    <w:rsid w:val="009C7745"/>
    <w:rsid w:val="009D0D27"/>
    <w:rsid w:val="009D2A06"/>
    <w:rsid w:val="009D379B"/>
    <w:rsid w:val="009D3A54"/>
    <w:rsid w:val="009D6967"/>
    <w:rsid w:val="009E04D3"/>
    <w:rsid w:val="009E1934"/>
    <w:rsid w:val="009E2709"/>
    <w:rsid w:val="009E76E9"/>
    <w:rsid w:val="009F3D1F"/>
    <w:rsid w:val="009F4C7E"/>
    <w:rsid w:val="009F5B68"/>
    <w:rsid w:val="00A01405"/>
    <w:rsid w:val="00A02244"/>
    <w:rsid w:val="00A06C99"/>
    <w:rsid w:val="00A0792E"/>
    <w:rsid w:val="00A07DDC"/>
    <w:rsid w:val="00A113CA"/>
    <w:rsid w:val="00A122C9"/>
    <w:rsid w:val="00A14303"/>
    <w:rsid w:val="00A162FE"/>
    <w:rsid w:val="00A1776A"/>
    <w:rsid w:val="00A17941"/>
    <w:rsid w:val="00A17DD9"/>
    <w:rsid w:val="00A2013F"/>
    <w:rsid w:val="00A203E6"/>
    <w:rsid w:val="00A220DD"/>
    <w:rsid w:val="00A22819"/>
    <w:rsid w:val="00A262F2"/>
    <w:rsid w:val="00A26A95"/>
    <w:rsid w:val="00A26D42"/>
    <w:rsid w:val="00A3317E"/>
    <w:rsid w:val="00A37939"/>
    <w:rsid w:val="00A40717"/>
    <w:rsid w:val="00A44457"/>
    <w:rsid w:val="00A44EA9"/>
    <w:rsid w:val="00A604F2"/>
    <w:rsid w:val="00A618F6"/>
    <w:rsid w:val="00A6353D"/>
    <w:rsid w:val="00A7445D"/>
    <w:rsid w:val="00A74DE3"/>
    <w:rsid w:val="00A7681E"/>
    <w:rsid w:val="00A8008A"/>
    <w:rsid w:val="00A82758"/>
    <w:rsid w:val="00A82960"/>
    <w:rsid w:val="00A83040"/>
    <w:rsid w:val="00A83A70"/>
    <w:rsid w:val="00A8466D"/>
    <w:rsid w:val="00A84A94"/>
    <w:rsid w:val="00A856EA"/>
    <w:rsid w:val="00A867C0"/>
    <w:rsid w:val="00A90B4D"/>
    <w:rsid w:val="00A92A68"/>
    <w:rsid w:val="00A92FD6"/>
    <w:rsid w:val="00A95A1F"/>
    <w:rsid w:val="00A95BDF"/>
    <w:rsid w:val="00A96BC5"/>
    <w:rsid w:val="00A97C2F"/>
    <w:rsid w:val="00AA113F"/>
    <w:rsid w:val="00AA1496"/>
    <w:rsid w:val="00AA4615"/>
    <w:rsid w:val="00AA50DE"/>
    <w:rsid w:val="00AA5FBC"/>
    <w:rsid w:val="00AB5A60"/>
    <w:rsid w:val="00AC0691"/>
    <w:rsid w:val="00AC2439"/>
    <w:rsid w:val="00AC7264"/>
    <w:rsid w:val="00AD3AF0"/>
    <w:rsid w:val="00AD3FDA"/>
    <w:rsid w:val="00AE02A3"/>
    <w:rsid w:val="00AE3ECB"/>
    <w:rsid w:val="00AE500B"/>
    <w:rsid w:val="00AF1072"/>
    <w:rsid w:val="00AF1735"/>
    <w:rsid w:val="00AF66A5"/>
    <w:rsid w:val="00B00ADB"/>
    <w:rsid w:val="00B01566"/>
    <w:rsid w:val="00B02802"/>
    <w:rsid w:val="00B02ED1"/>
    <w:rsid w:val="00B03835"/>
    <w:rsid w:val="00B04412"/>
    <w:rsid w:val="00B05949"/>
    <w:rsid w:val="00B14407"/>
    <w:rsid w:val="00B158D4"/>
    <w:rsid w:val="00B226E6"/>
    <w:rsid w:val="00B2516E"/>
    <w:rsid w:val="00B25C20"/>
    <w:rsid w:val="00B27EC2"/>
    <w:rsid w:val="00B3133E"/>
    <w:rsid w:val="00B3698C"/>
    <w:rsid w:val="00B36DAD"/>
    <w:rsid w:val="00B40B98"/>
    <w:rsid w:val="00B42144"/>
    <w:rsid w:val="00B47275"/>
    <w:rsid w:val="00B47B5C"/>
    <w:rsid w:val="00B50388"/>
    <w:rsid w:val="00B503F6"/>
    <w:rsid w:val="00B51624"/>
    <w:rsid w:val="00B55EA8"/>
    <w:rsid w:val="00B6023B"/>
    <w:rsid w:val="00B63B5F"/>
    <w:rsid w:val="00B64EEF"/>
    <w:rsid w:val="00B65FEE"/>
    <w:rsid w:val="00B66D04"/>
    <w:rsid w:val="00B67002"/>
    <w:rsid w:val="00B71D8C"/>
    <w:rsid w:val="00B736F5"/>
    <w:rsid w:val="00B75F5C"/>
    <w:rsid w:val="00B77BE8"/>
    <w:rsid w:val="00B82F71"/>
    <w:rsid w:val="00B84E28"/>
    <w:rsid w:val="00B85613"/>
    <w:rsid w:val="00B85F3C"/>
    <w:rsid w:val="00B87389"/>
    <w:rsid w:val="00B90FB8"/>
    <w:rsid w:val="00B927B3"/>
    <w:rsid w:val="00B9449B"/>
    <w:rsid w:val="00BA181E"/>
    <w:rsid w:val="00BA299F"/>
    <w:rsid w:val="00BA2FEA"/>
    <w:rsid w:val="00BA3C5D"/>
    <w:rsid w:val="00BA3E1C"/>
    <w:rsid w:val="00BA41FC"/>
    <w:rsid w:val="00BA6631"/>
    <w:rsid w:val="00BA7758"/>
    <w:rsid w:val="00BB2CA5"/>
    <w:rsid w:val="00BB4D9B"/>
    <w:rsid w:val="00BB5197"/>
    <w:rsid w:val="00BC0D6B"/>
    <w:rsid w:val="00BC15F0"/>
    <w:rsid w:val="00BC1700"/>
    <w:rsid w:val="00BC33D0"/>
    <w:rsid w:val="00BC7BCD"/>
    <w:rsid w:val="00BD03CE"/>
    <w:rsid w:val="00BD44C9"/>
    <w:rsid w:val="00BD452D"/>
    <w:rsid w:val="00BD5018"/>
    <w:rsid w:val="00BD6039"/>
    <w:rsid w:val="00BD6E6E"/>
    <w:rsid w:val="00BD7395"/>
    <w:rsid w:val="00BE26B5"/>
    <w:rsid w:val="00BE2EDE"/>
    <w:rsid w:val="00BE4408"/>
    <w:rsid w:val="00BE594B"/>
    <w:rsid w:val="00BE7E71"/>
    <w:rsid w:val="00BF0AB8"/>
    <w:rsid w:val="00BF407A"/>
    <w:rsid w:val="00BF49C9"/>
    <w:rsid w:val="00C018B4"/>
    <w:rsid w:val="00C01D97"/>
    <w:rsid w:val="00C0292C"/>
    <w:rsid w:val="00C11917"/>
    <w:rsid w:val="00C11C1B"/>
    <w:rsid w:val="00C11E8B"/>
    <w:rsid w:val="00C124C7"/>
    <w:rsid w:val="00C135BF"/>
    <w:rsid w:val="00C146DA"/>
    <w:rsid w:val="00C14814"/>
    <w:rsid w:val="00C155EA"/>
    <w:rsid w:val="00C20792"/>
    <w:rsid w:val="00C21DCA"/>
    <w:rsid w:val="00C22A36"/>
    <w:rsid w:val="00C22FAC"/>
    <w:rsid w:val="00C23008"/>
    <w:rsid w:val="00C24FF0"/>
    <w:rsid w:val="00C25B5A"/>
    <w:rsid w:val="00C30D24"/>
    <w:rsid w:val="00C31253"/>
    <w:rsid w:val="00C313BE"/>
    <w:rsid w:val="00C32D09"/>
    <w:rsid w:val="00C33C92"/>
    <w:rsid w:val="00C37E53"/>
    <w:rsid w:val="00C41D53"/>
    <w:rsid w:val="00C42EA9"/>
    <w:rsid w:val="00C445FD"/>
    <w:rsid w:val="00C44D1B"/>
    <w:rsid w:val="00C47F77"/>
    <w:rsid w:val="00C50C7E"/>
    <w:rsid w:val="00C53289"/>
    <w:rsid w:val="00C5388E"/>
    <w:rsid w:val="00C55582"/>
    <w:rsid w:val="00C60365"/>
    <w:rsid w:val="00C61538"/>
    <w:rsid w:val="00C61A54"/>
    <w:rsid w:val="00C63C55"/>
    <w:rsid w:val="00C71547"/>
    <w:rsid w:val="00C715FC"/>
    <w:rsid w:val="00C7191B"/>
    <w:rsid w:val="00C727B6"/>
    <w:rsid w:val="00C76CD0"/>
    <w:rsid w:val="00C85020"/>
    <w:rsid w:val="00C86BD2"/>
    <w:rsid w:val="00C8717F"/>
    <w:rsid w:val="00C87AFB"/>
    <w:rsid w:val="00C87B21"/>
    <w:rsid w:val="00C9138E"/>
    <w:rsid w:val="00C9293F"/>
    <w:rsid w:val="00C9386D"/>
    <w:rsid w:val="00C93C7D"/>
    <w:rsid w:val="00C94230"/>
    <w:rsid w:val="00C96A52"/>
    <w:rsid w:val="00CA1F22"/>
    <w:rsid w:val="00CB0289"/>
    <w:rsid w:val="00CB1453"/>
    <w:rsid w:val="00CB2125"/>
    <w:rsid w:val="00CB2E57"/>
    <w:rsid w:val="00CB3495"/>
    <w:rsid w:val="00CB3C4A"/>
    <w:rsid w:val="00CB4237"/>
    <w:rsid w:val="00CB575A"/>
    <w:rsid w:val="00CB6F1D"/>
    <w:rsid w:val="00CC005F"/>
    <w:rsid w:val="00CC26BC"/>
    <w:rsid w:val="00CC55EC"/>
    <w:rsid w:val="00CC5A4B"/>
    <w:rsid w:val="00CC6D1C"/>
    <w:rsid w:val="00CC709B"/>
    <w:rsid w:val="00CD02E8"/>
    <w:rsid w:val="00CD3C3D"/>
    <w:rsid w:val="00CD4E19"/>
    <w:rsid w:val="00CD5AA6"/>
    <w:rsid w:val="00CD5C37"/>
    <w:rsid w:val="00CE1C82"/>
    <w:rsid w:val="00CE2A89"/>
    <w:rsid w:val="00CE3027"/>
    <w:rsid w:val="00CE6072"/>
    <w:rsid w:val="00CE6F05"/>
    <w:rsid w:val="00CF13F8"/>
    <w:rsid w:val="00CF2337"/>
    <w:rsid w:val="00CF32C2"/>
    <w:rsid w:val="00D005C1"/>
    <w:rsid w:val="00D0116A"/>
    <w:rsid w:val="00D016CE"/>
    <w:rsid w:val="00D03D95"/>
    <w:rsid w:val="00D042D0"/>
    <w:rsid w:val="00D069FC"/>
    <w:rsid w:val="00D1050C"/>
    <w:rsid w:val="00D12371"/>
    <w:rsid w:val="00D133F1"/>
    <w:rsid w:val="00D1756F"/>
    <w:rsid w:val="00D17E16"/>
    <w:rsid w:val="00D17F4D"/>
    <w:rsid w:val="00D20510"/>
    <w:rsid w:val="00D21018"/>
    <w:rsid w:val="00D2546F"/>
    <w:rsid w:val="00D25A3E"/>
    <w:rsid w:val="00D27C68"/>
    <w:rsid w:val="00D27E33"/>
    <w:rsid w:val="00D27E52"/>
    <w:rsid w:val="00D31091"/>
    <w:rsid w:val="00D31E5B"/>
    <w:rsid w:val="00D34862"/>
    <w:rsid w:val="00D400DE"/>
    <w:rsid w:val="00D45515"/>
    <w:rsid w:val="00D509B4"/>
    <w:rsid w:val="00D52BBF"/>
    <w:rsid w:val="00D533EA"/>
    <w:rsid w:val="00D54624"/>
    <w:rsid w:val="00D54AA4"/>
    <w:rsid w:val="00D57613"/>
    <w:rsid w:val="00D60B64"/>
    <w:rsid w:val="00D62B78"/>
    <w:rsid w:val="00D63049"/>
    <w:rsid w:val="00D6499C"/>
    <w:rsid w:val="00D70937"/>
    <w:rsid w:val="00D70B5F"/>
    <w:rsid w:val="00D72CFE"/>
    <w:rsid w:val="00D730D2"/>
    <w:rsid w:val="00D749A7"/>
    <w:rsid w:val="00D74DA3"/>
    <w:rsid w:val="00D7509A"/>
    <w:rsid w:val="00D75468"/>
    <w:rsid w:val="00D76273"/>
    <w:rsid w:val="00D778DF"/>
    <w:rsid w:val="00D832DE"/>
    <w:rsid w:val="00D850E8"/>
    <w:rsid w:val="00D85F84"/>
    <w:rsid w:val="00D861C7"/>
    <w:rsid w:val="00D86FF2"/>
    <w:rsid w:val="00D87C45"/>
    <w:rsid w:val="00D92523"/>
    <w:rsid w:val="00D9475E"/>
    <w:rsid w:val="00D96580"/>
    <w:rsid w:val="00D97434"/>
    <w:rsid w:val="00DA138A"/>
    <w:rsid w:val="00DB023D"/>
    <w:rsid w:val="00DB57D4"/>
    <w:rsid w:val="00DB6521"/>
    <w:rsid w:val="00DB6661"/>
    <w:rsid w:val="00DB6892"/>
    <w:rsid w:val="00DB6E53"/>
    <w:rsid w:val="00DC1E01"/>
    <w:rsid w:val="00DC537A"/>
    <w:rsid w:val="00DC5DA0"/>
    <w:rsid w:val="00DC5E91"/>
    <w:rsid w:val="00DC707E"/>
    <w:rsid w:val="00DD1D3A"/>
    <w:rsid w:val="00DD4605"/>
    <w:rsid w:val="00DD4BEF"/>
    <w:rsid w:val="00DD4DBC"/>
    <w:rsid w:val="00DD60C1"/>
    <w:rsid w:val="00DD7C4D"/>
    <w:rsid w:val="00DE180C"/>
    <w:rsid w:val="00DE295E"/>
    <w:rsid w:val="00DE36D3"/>
    <w:rsid w:val="00DE5976"/>
    <w:rsid w:val="00DE5FE6"/>
    <w:rsid w:val="00DE6046"/>
    <w:rsid w:val="00DE74D3"/>
    <w:rsid w:val="00DF1481"/>
    <w:rsid w:val="00DF162F"/>
    <w:rsid w:val="00DF2CB4"/>
    <w:rsid w:val="00DF330D"/>
    <w:rsid w:val="00DF34C1"/>
    <w:rsid w:val="00DF3C7F"/>
    <w:rsid w:val="00DF4D99"/>
    <w:rsid w:val="00DF7713"/>
    <w:rsid w:val="00DF7C16"/>
    <w:rsid w:val="00E01B29"/>
    <w:rsid w:val="00E029E7"/>
    <w:rsid w:val="00E06F9B"/>
    <w:rsid w:val="00E14CDF"/>
    <w:rsid w:val="00E2125C"/>
    <w:rsid w:val="00E2273F"/>
    <w:rsid w:val="00E22EFF"/>
    <w:rsid w:val="00E34C56"/>
    <w:rsid w:val="00E34D2F"/>
    <w:rsid w:val="00E34F56"/>
    <w:rsid w:val="00E351EE"/>
    <w:rsid w:val="00E35982"/>
    <w:rsid w:val="00E36952"/>
    <w:rsid w:val="00E36E68"/>
    <w:rsid w:val="00E37FE3"/>
    <w:rsid w:val="00E40BD9"/>
    <w:rsid w:val="00E46A87"/>
    <w:rsid w:val="00E4715A"/>
    <w:rsid w:val="00E473FE"/>
    <w:rsid w:val="00E52DD4"/>
    <w:rsid w:val="00E53567"/>
    <w:rsid w:val="00E56B01"/>
    <w:rsid w:val="00E57F7B"/>
    <w:rsid w:val="00E61540"/>
    <w:rsid w:val="00E61AD5"/>
    <w:rsid w:val="00E63114"/>
    <w:rsid w:val="00E664C7"/>
    <w:rsid w:val="00E73750"/>
    <w:rsid w:val="00E800E6"/>
    <w:rsid w:val="00E81221"/>
    <w:rsid w:val="00E82751"/>
    <w:rsid w:val="00E850A5"/>
    <w:rsid w:val="00E85136"/>
    <w:rsid w:val="00E8584F"/>
    <w:rsid w:val="00E90845"/>
    <w:rsid w:val="00E919BE"/>
    <w:rsid w:val="00E94440"/>
    <w:rsid w:val="00E94E94"/>
    <w:rsid w:val="00E952E0"/>
    <w:rsid w:val="00E96623"/>
    <w:rsid w:val="00E96929"/>
    <w:rsid w:val="00E975A7"/>
    <w:rsid w:val="00EA2490"/>
    <w:rsid w:val="00EA2A61"/>
    <w:rsid w:val="00EA2C74"/>
    <w:rsid w:val="00EA4AD5"/>
    <w:rsid w:val="00EB0335"/>
    <w:rsid w:val="00EB078B"/>
    <w:rsid w:val="00EB346F"/>
    <w:rsid w:val="00EB395A"/>
    <w:rsid w:val="00EB4DFC"/>
    <w:rsid w:val="00EB59AA"/>
    <w:rsid w:val="00EB64BA"/>
    <w:rsid w:val="00EB6920"/>
    <w:rsid w:val="00EB6A46"/>
    <w:rsid w:val="00EB722D"/>
    <w:rsid w:val="00EB73E8"/>
    <w:rsid w:val="00EC39D3"/>
    <w:rsid w:val="00EC4E89"/>
    <w:rsid w:val="00EC60D4"/>
    <w:rsid w:val="00EC74AC"/>
    <w:rsid w:val="00EE0E6E"/>
    <w:rsid w:val="00EE34B2"/>
    <w:rsid w:val="00EE5A45"/>
    <w:rsid w:val="00EE5B1D"/>
    <w:rsid w:val="00EE6AA3"/>
    <w:rsid w:val="00EF22FA"/>
    <w:rsid w:val="00EF3C41"/>
    <w:rsid w:val="00F01AFC"/>
    <w:rsid w:val="00F03EDF"/>
    <w:rsid w:val="00F040F5"/>
    <w:rsid w:val="00F0454C"/>
    <w:rsid w:val="00F10386"/>
    <w:rsid w:val="00F10CA9"/>
    <w:rsid w:val="00F13546"/>
    <w:rsid w:val="00F15953"/>
    <w:rsid w:val="00F15B4A"/>
    <w:rsid w:val="00F20FEC"/>
    <w:rsid w:val="00F21D44"/>
    <w:rsid w:val="00F238D5"/>
    <w:rsid w:val="00F27286"/>
    <w:rsid w:val="00F2763C"/>
    <w:rsid w:val="00F31BD0"/>
    <w:rsid w:val="00F32B1E"/>
    <w:rsid w:val="00F34B64"/>
    <w:rsid w:val="00F363E9"/>
    <w:rsid w:val="00F431E3"/>
    <w:rsid w:val="00F43267"/>
    <w:rsid w:val="00F50DAB"/>
    <w:rsid w:val="00F517A7"/>
    <w:rsid w:val="00F53357"/>
    <w:rsid w:val="00F53ADF"/>
    <w:rsid w:val="00F57AC9"/>
    <w:rsid w:val="00F57B84"/>
    <w:rsid w:val="00F629B9"/>
    <w:rsid w:val="00F6312D"/>
    <w:rsid w:val="00F639BB"/>
    <w:rsid w:val="00F64F2F"/>
    <w:rsid w:val="00F67876"/>
    <w:rsid w:val="00F67FA1"/>
    <w:rsid w:val="00F71F5F"/>
    <w:rsid w:val="00F72274"/>
    <w:rsid w:val="00F776DA"/>
    <w:rsid w:val="00F80D92"/>
    <w:rsid w:val="00F83BA3"/>
    <w:rsid w:val="00F8738D"/>
    <w:rsid w:val="00F902F6"/>
    <w:rsid w:val="00F9180B"/>
    <w:rsid w:val="00F924E2"/>
    <w:rsid w:val="00F9556A"/>
    <w:rsid w:val="00F959A2"/>
    <w:rsid w:val="00F95C7C"/>
    <w:rsid w:val="00F973B4"/>
    <w:rsid w:val="00FA020C"/>
    <w:rsid w:val="00FA02B3"/>
    <w:rsid w:val="00FA08DA"/>
    <w:rsid w:val="00FA28CA"/>
    <w:rsid w:val="00FA2FBB"/>
    <w:rsid w:val="00FA53DE"/>
    <w:rsid w:val="00FA6BDD"/>
    <w:rsid w:val="00FB0DFB"/>
    <w:rsid w:val="00FB12AC"/>
    <w:rsid w:val="00FB20CF"/>
    <w:rsid w:val="00FB4839"/>
    <w:rsid w:val="00FB6B3F"/>
    <w:rsid w:val="00FC1248"/>
    <w:rsid w:val="00FC13D5"/>
    <w:rsid w:val="00FC1AAF"/>
    <w:rsid w:val="00FC25E0"/>
    <w:rsid w:val="00FC58EA"/>
    <w:rsid w:val="00FC674E"/>
    <w:rsid w:val="00FC73F6"/>
    <w:rsid w:val="00FD0941"/>
    <w:rsid w:val="00FD0F4B"/>
    <w:rsid w:val="00FD1137"/>
    <w:rsid w:val="00FD1610"/>
    <w:rsid w:val="00FD194D"/>
    <w:rsid w:val="00FD1AE2"/>
    <w:rsid w:val="00FD1D47"/>
    <w:rsid w:val="00FD247B"/>
    <w:rsid w:val="00FD27DC"/>
    <w:rsid w:val="00FD3CB9"/>
    <w:rsid w:val="00FD51CF"/>
    <w:rsid w:val="00FD61A0"/>
    <w:rsid w:val="00FE13C3"/>
    <w:rsid w:val="00FE3BBD"/>
    <w:rsid w:val="00FE6202"/>
    <w:rsid w:val="00FE72BC"/>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64920">
      <w:bodyDiv w:val="1"/>
      <w:marLeft w:val="0"/>
      <w:marRight w:val="0"/>
      <w:marTop w:val="0"/>
      <w:marBottom w:val="0"/>
      <w:divBdr>
        <w:top w:val="none" w:sz="0" w:space="0" w:color="auto"/>
        <w:left w:val="none" w:sz="0" w:space="0" w:color="auto"/>
        <w:bottom w:val="none" w:sz="0" w:space="0" w:color="auto"/>
        <w:right w:val="none" w:sz="0" w:space="0" w:color="auto"/>
      </w:divBdr>
      <w:divsChild>
        <w:div w:id="2013951605">
          <w:marLeft w:val="0"/>
          <w:marRight w:val="0"/>
          <w:marTop w:val="0"/>
          <w:marBottom w:val="0"/>
          <w:divBdr>
            <w:top w:val="none" w:sz="0" w:space="0" w:color="auto"/>
            <w:left w:val="none" w:sz="0" w:space="0" w:color="auto"/>
            <w:bottom w:val="none" w:sz="0" w:space="0" w:color="auto"/>
            <w:right w:val="none" w:sz="0" w:space="0" w:color="auto"/>
          </w:divBdr>
          <w:divsChild>
            <w:div w:id="353730132">
              <w:marLeft w:val="0"/>
              <w:marRight w:val="0"/>
              <w:marTop w:val="0"/>
              <w:marBottom w:val="0"/>
              <w:divBdr>
                <w:top w:val="none" w:sz="0" w:space="0" w:color="auto"/>
                <w:left w:val="none" w:sz="0" w:space="0" w:color="auto"/>
                <w:bottom w:val="none" w:sz="0" w:space="0" w:color="auto"/>
                <w:right w:val="none" w:sz="0" w:space="0" w:color="auto"/>
              </w:divBdr>
              <w:divsChild>
                <w:div w:id="1826821752">
                  <w:marLeft w:val="0"/>
                  <w:marRight w:val="0"/>
                  <w:marTop w:val="0"/>
                  <w:marBottom w:val="0"/>
                  <w:divBdr>
                    <w:top w:val="none" w:sz="0" w:space="0" w:color="auto"/>
                    <w:left w:val="none" w:sz="0" w:space="0" w:color="auto"/>
                    <w:bottom w:val="none" w:sz="0" w:space="0" w:color="auto"/>
                    <w:right w:val="none" w:sz="0" w:space="0" w:color="auto"/>
                  </w:divBdr>
                  <w:divsChild>
                    <w:div w:id="463355561">
                      <w:marLeft w:val="0"/>
                      <w:marRight w:val="0"/>
                      <w:marTop w:val="0"/>
                      <w:marBottom w:val="0"/>
                      <w:divBdr>
                        <w:top w:val="none" w:sz="0" w:space="0" w:color="auto"/>
                        <w:left w:val="none" w:sz="0" w:space="0" w:color="auto"/>
                        <w:bottom w:val="none" w:sz="0" w:space="0" w:color="auto"/>
                        <w:right w:val="none" w:sz="0" w:space="0" w:color="auto"/>
                      </w:divBdr>
                      <w:divsChild>
                        <w:div w:id="241988657">
                          <w:marLeft w:val="0"/>
                          <w:marRight w:val="0"/>
                          <w:marTop w:val="0"/>
                          <w:marBottom w:val="0"/>
                          <w:divBdr>
                            <w:top w:val="none" w:sz="0" w:space="0" w:color="auto"/>
                            <w:left w:val="none" w:sz="0" w:space="0" w:color="auto"/>
                            <w:bottom w:val="none" w:sz="0" w:space="0" w:color="auto"/>
                            <w:right w:val="none" w:sz="0" w:space="0" w:color="auto"/>
                          </w:divBdr>
                          <w:divsChild>
                            <w:div w:id="186883735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298957">
      <w:bodyDiv w:val="1"/>
      <w:marLeft w:val="0"/>
      <w:marRight w:val="0"/>
      <w:marTop w:val="0"/>
      <w:marBottom w:val="0"/>
      <w:divBdr>
        <w:top w:val="none" w:sz="0" w:space="0" w:color="auto"/>
        <w:left w:val="none" w:sz="0" w:space="0" w:color="auto"/>
        <w:bottom w:val="none" w:sz="0" w:space="0" w:color="auto"/>
        <w:right w:val="none" w:sz="0" w:space="0" w:color="auto"/>
      </w:divBdr>
      <w:divsChild>
        <w:div w:id="109054298">
          <w:marLeft w:val="0"/>
          <w:marRight w:val="0"/>
          <w:marTop w:val="0"/>
          <w:marBottom w:val="0"/>
          <w:divBdr>
            <w:top w:val="none" w:sz="0" w:space="0" w:color="auto"/>
            <w:left w:val="none" w:sz="0" w:space="0" w:color="auto"/>
            <w:bottom w:val="none" w:sz="0" w:space="0" w:color="auto"/>
            <w:right w:val="none" w:sz="0" w:space="0" w:color="auto"/>
          </w:divBdr>
          <w:divsChild>
            <w:div w:id="527648132">
              <w:marLeft w:val="0"/>
              <w:marRight w:val="0"/>
              <w:marTop w:val="0"/>
              <w:marBottom w:val="0"/>
              <w:divBdr>
                <w:top w:val="none" w:sz="0" w:space="0" w:color="auto"/>
                <w:left w:val="none" w:sz="0" w:space="0" w:color="auto"/>
                <w:bottom w:val="none" w:sz="0" w:space="0" w:color="auto"/>
                <w:right w:val="none" w:sz="0" w:space="0" w:color="auto"/>
              </w:divBdr>
              <w:divsChild>
                <w:div w:id="78643935">
                  <w:marLeft w:val="0"/>
                  <w:marRight w:val="0"/>
                  <w:marTop w:val="0"/>
                  <w:marBottom w:val="0"/>
                  <w:divBdr>
                    <w:top w:val="none" w:sz="0" w:space="0" w:color="auto"/>
                    <w:left w:val="none" w:sz="0" w:space="0" w:color="auto"/>
                    <w:bottom w:val="none" w:sz="0" w:space="0" w:color="auto"/>
                    <w:right w:val="none" w:sz="0" w:space="0" w:color="auto"/>
                  </w:divBdr>
                  <w:divsChild>
                    <w:div w:id="787091414">
                      <w:marLeft w:val="0"/>
                      <w:marRight w:val="0"/>
                      <w:marTop w:val="0"/>
                      <w:marBottom w:val="0"/>
                      <w:divBdr>
                        <w:top w:val="none" w:sz="0" w:space="0" w:color="auto"/>
                        <w:left w:val="none" w:sz="0" w:space="0" w:color="auto"/>
                        <w:bottom w:val="none" w:sz="0" w:space="0" w:color="auto"/>
                        <w:right w:val="none" w:sz="0" w:space="0" w:color="auto"/>
                      </w:divBdr>
                      <w:divsChild>
                        <w:div w:id="468591132">
                          <w:marLeft w:val="0"/>
                          <w:marRight w:val="0"/>
                          <w:marTop w:val="0"/>
                          <w:marBottom w:val="0"/>
                          <w:divBdr>
                            <w:top w:val="none" w:sz="0" w:space="0" w:color="auto"/>
                            <w:left w:val="none" w:sz="0" w:space="0" w:color="auto"/>
                            <w:bottom w:val="none" w:sz="0" w:space="0" w:color="auto"/>
                            <w:right w:val="none" w:sz="0" w:space="0" w:color="auto"/>
                          </w:divBdr>
                          <w:divsChild>
                            <w:div w:id="160853615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544673">
      <w:bodyDiv w:val="1"/>
      <w:marLeft w:val="0"/>
      <w:marRight w:val="0"/>
      <w:marTop w:val="0"/>
      <w:marBottom w:val="0"/>
      <w:divBdr>
        <w:top w:val="none" w:sz="0" w:space="0" w:color="auto"/>
        <w:left w:val="none" w:sz="0" w:space="0" w:color="auto"/>
        <w:bottom w:val="none" w:sz="0" w:space="0" w:color="auto"/>
        <w:right w:val="none" w:sz="0" w:space="0" w:color="auto"/>
      </w:divBdr>
      <w:divsChild>
        <w:div w:id="1382096717">
          <w:marLeft w:val="0"/>
          <w:marRight w:val="0"/>
          <w:marTop w:val="0"/>
          <w:marBottom w:val="0"/>
          <w:divBdr>
            <w:top w:val="none" w:sz="0" w:space="0" w:color="auto"/>
            <w:left w:val="none" w:sz="0" w:space="0" w:color="auto"/>
            <w:bottom w:val="none" w:sz="0" w:space="0" w:color="auto"/>
            <w:right w:val="none" w:sz="0" w:space="0" w:color="auto"/>
          </w:divBdr>
          <w:divsChild>
            <w:div w:id="1141196040">
              <w:marLeft w:val="0"/>
              <w:marRight w:val="0"/>
              <w:marTop w:val="0"/>
              <w:marBottom w:val="0"/>
              <w:divBdr>
                <w:top w:val="none" w:sz="0" w:space="0" w:color="auto"/>
                <w:left w:val="none" w:sz="0" w:space="0" w:color="auto"/>
                <w:bottom w:val="none" w:sz="0" w:space="0" w:color="auto"/>
                <w:right w:val="none" w:sz="0" w:space="0" w:color="auto"/>
              </w:divBdr>
              <w:divsChild>
                <w:div w:id="1232546604">
                  <w:marLeft w:val="0"/>
                  <w:marRight w:val="0"/>
                  <w:marTop w:val="0"/>
                  <w:marBottom w:val="0"/>
                  <w:divBdr>
                    <w:top w:val="none" w:sz="0" w:space="0" w:color="auto"/>
                    <w:left w:val="none" w:sz="0" w:space="0" w:color="auto"/>
                    <w:bottom w:val="none" w:sz="0" w:space="0" w:color="auto"/>
                    <w:right w:val="none" w:sz="0" w:space="0" w:color="auto"/>
                  </w:divBdr>
                  <w:divsChild>
                    <w:div w:id="99105221">
                      <w:marLeft w:val="0"/>
                      <w:marRight w:val="0"/>
                      <w:marTop w:val="0"/>
                      <w:marBottom w:val="0"/>
                      <w:divBdr>
                        <w:top w:val="none" w:sz="0" w:space="0" w:color="auto"/>
                        <w:left w:val="none" w:sz="0" w:space="0" w:color="auto"/>
                        <w:bottom w:val="none" w:sz="0" w:space="0" w:color="auto"/>
                        <w:right w:val="none" w:sz="0" w:space="0" w:color="auto"/>
                      </w:divBdr>
                      <w:divsChild>
                        <w:div w:id="145316843">
                          <w:marLeft w:val="0"/>
                          <w:marRight w:val="0"/>
                          <w:marTop w:val="0"/>
                          <w:marBottom w:val="0"/>
                          <w:divBdr>
                            <w:top w:val="none" w:sz="0" w:space="0" w:color="auto"/>
                            <w:left w:val="none" w:sz="0" w:space="0" w:color="auto"/>
                            <w:bottom w:val="none" w:sz="0" w:space="0" w:color="auto"/>
                            <w:right w:val="none" w:sz="0" w:space="0" w:color="auto"/>
                          </w:divBdr>
                          <w:divsChild>
                            <w:div w:id="17970555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557159378">
      <w:bodyDiv w:val="1"/>
      <w:marLeft w:val="0"/>
      <w:marRight w:val="0"/>
      <w:marTop w:val="0"/>
      <w:marBottom w:val="0"/>
      <w:divBdr>
        <w:top w:val="none" w:sz="0" w:space="0" w:color="auto"/>
        <w:left w:val="none" w:sz="0" w:space="0" w:color="auto"/>
        <w:bottom w:val="none" w:sz="0" w:space="0" w:color="auto"/>
        <w:right w:val="none" w:sz="0" w:space="0" w:color="auto"/>
      </w:divBdr>
      <w:divsChild>
        <w:div w:id="1927112457">
          <w:marLeft w:val="0"/>
          <w:marRight w:val="0"/>
          <w:marTop w:val="0"/>
          <w:marBottom w:val="0"/>
          <w:divBdr>
            <w:top w:val="none" w:sz="0" w:space="0" w:color="auto"/>
            <w:left w:val="none" w:sz="0" w:space="0" w:color="auto"/>
            <w:bottom w:val="none" w:sz="0" w:space="0" w:color="auto"/>
            <w:right w:val="none" w:sz="0" w:space="0" w:color="auto"/>
          </w:divBdr>
          <w:divsChild>
            <w:div w:id="1925260647">
              <w:marLeft w:val="0"/>
              <w:marRight w:val="0"/>
              <w:marTop w:val="0"/>
              <w:marBottom w:val="0"/>
              <w:divBdr>
                <w:top w:val="none" w:sz="0" w:space="0" w:color="auto"/>
                <w:left w:val="none" w:sz="0" w:space="0" w:color="auto"/>
                <w:bottom w:val="none" w:sz="0" w:space="0" w:color="auto"/>
                <w:right w:val="none" w:sz="0" w:space="0" w:color="auto"/>
              </w:divBdr>
              <w:divsChild>
                <w:div w:id="1062173714">
                  <w:marLeft w:val="0"/>
                  <w:marRight w:val="0"/>
                  <w:marTop w:val="0"/>
                  <w:marBottom w:val="0"/>
                  <w:divBdr>
                    <w:top w:val="none" w:sz="0" w:space="0" w:color="auto"/>
                    <w:left w:val="none" w:sz="0" w:space="0" w:color="auto"/>
                    <w:bottom w:val="none" w:sz="0" w:space="0" w:color="auto"/>
                    <w:right w:val="none" w:sz="0" w:space="0" w:color="auto"/>
                  </w:divBdr>
                  <w:divsChild>
                    <w:div w:id="690376107">
                      <w:marLeft w:val="0"/>
                      <w:marRight w:val="0"/>
                      <w:marTop w:val="0"/>
                      <w:marBottom w:val="0"/>
                      <w:divBdr>
                        <w:top w:val="none" w:sz="0" w:space="0" w:color="auto"/>
                        <w:left w:val="none" w:sz="0" w:space="0" w:color="auto"/>
                        <w:bottom w:val="none" w:sz="0" w:space="0" w:color="auto"/>
                        <w:right w:val="none" w:sz="0" w:space="0" w:color="auto"/>
                      </w:divBdr>
                      <w:divsChild>
                        <w:div w:id="498543174">
                          <w:marLeft w:val="0"/>
                          <w:marRight w:val="0"/>
                          <w:marTop w:val="0"/>
                          <w:marBottom w:val="0"/>
                          <w:divBdr>
                            <w:top w:val="none" w:sz="0" w:space="0" w:color="auto"/>
                            <w:left w:val="none" w:sz="0" w:space="0" w:color="auto"/>
                            <w:bottom w:val="none" w:sz="0" w:space="0" w:color="auto"/>
                            <w:right w:val="none" w:sz="0" w:space="0" w:color="auto"/>
                          </w:divBdr>
                          <w:divsChild>
                            <w:div w:id="45463944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098057">
      <w:bodyDiv w:val="1"/>
      <w:marLeft w:val="0"/>
      <w:marRight w:val="0"/>
      <w:marTop w:val="0"/>
      <w:marBottom w:val="0"/>
      <w:divBdr>
        <w:top w:val="none" w:sz="0" w:space="0" w:color="auto"/>
        <w:left w:val="none" w:sz="0" w:space="0" w:color="auto"/>
        <w:bottom w:val="none" w:sz="0" w:space="0" w:color="auto"/>
        <w:right w:val="none" w:sz="0" w:space="0" w:color="auto"/>
      </w:divBdr>
      <w:divsChild>
        <w:div w:id="336691004">
          <w:marLeft w:val="0"/>
          <w:marRight w:val="0"/>
          <w:marTop w:val="0"/>
          <w:marBottom w:val="0"/>
          <w:divBdr>
            <w:top w:val="none" w:sz="0" w:space="0" w:color="auto"/>
            <w:left w:val="none" w:sz="0" w:space="0" w:color="auto"/>
            <w:bottom w:val="none" w:sz="0" w:space="0" w:color="auto"/>
            <w:right w:val="none" w:sz="0" w:space="0" w:color="auto"/>
          </w:divBdr>
          <w:divsChild>
            <w:div w:id="1609315365">
              <w:marLeft w:val="0"/>
              <w:marRight w:val="0"/>
              <w:marTop w:val="0"/>
              <w:marBottom w:val="0"/>
              <w:divBdr>
                <w:top w:val="none" w:sz="0" w:space="0" w:color="auto"/>
                <w:left w:val="none" w:sz="0" w:space="0" w:color="auto"/>
                <w:bottom w:val="none" w:sz="0" w:space="0" w:color="auto"/>
                <w:right w:val="none" w:sz="0" w:space="0" w:color="auto"/>
              </w:divBdr>
              <w:divsChild>
                <w:div w:id="1131823928">
                  <w:marLeft w:val="0"/>
                  <w:marRight w:val="0"/>
                  <w:marTop w:val="0"/>
                  <w:marBottom w:val="0"/>
                  <w:divBdr>
                    <w:top w:val="none" w:sz="0" w:space="0" w:color="auto"/>
                    <w:left w:val="none" w:sz="0" w:space="0" w:color="auto"/>
                    <w:bottom w:val="none" w:sz="0" w:space="0" w:color="auto"/>
                    <w:right w:val="none" w:sz="0" w:space="0" w:color="auto"/>
                  </w:divBdr>
                  <w:divsChild>
                    <w:div w:id="836655722">
                      <w:marLeft w:val="0"/>
                      <w:marRight w:val="0"/>
                      <w:marTop w:val="0"/>
                      <w:marBottom w:val="0"/>
                      <w:divBdr>
                        <w:top w:val="none" w:sz="0" w:space="0" w:color="auto"/>
                        <w:left w:val="none" w:sz="0" w:space="0" w:color="auto"/>
                        <w:bottom w:val="none" w:sz="0" w:space="0" w:color="auto"/>
                        <w:right w:val="none" w:sz="0" w:space="0" w:color="auto"/>
                      </w:divBdr>
                      <w:divsChild>
                        <w:div w:id="521818040">
                          <w:marLeft w:val="0"/>
                          <w:marRight w:val="0"/>
                          <w:marTop w:val="0"/>
                          <w:marBottom w:val="0"/>
                          <w:divBdr>
                            <w:top w:val="none" w:sz="0" w:space="0" w:color="auto"/>
                            <w:left w:val="none" w:sz="0" w:space="0" w:color="auto"/>
                            <w:bottom w:val="none" w:sz="0" w:space="0" w:color="auto"/>
                            <w:right w:val="none" w:sz="0" w:space="0" w:color="auto"/>
                          </w:divBdr>
                          <w:divsChild>
                            <w:div w:id="54172106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2088</Words>
  <Characters>14702</Characters>
  <Application>Microsoft Office Word</Application>
  <DocSecurity>0</DocSecurity>
  <Lines>565</Lines>
  <Paragraphs>171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Grozījumi MK 28.12.2010. noteikumos Nr.1231 "Noteikumi par PVD veikto valsts uzraudzības un kontroles darbību un sniegto maksas pakalpojumu samaksu"</vt:lpstr>
    </vt:vector>
  </TitlesOfParts>
  <Manager/>
  <Company>Zemkopības ministrija</Company>
  <LinksUpToDate>false</LinksUpToDate>
  <CharactersWithSpaces>16619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projekta anotācija</dc:subject>
  <dc:creator>Olita Vecuma-Veco</dc:creator>
  <dc:description>___________.___________@zm.gov.lv
tālr. ________________</dc:description>
  <cp:lastModifiedBy>Ineta Lakstigala</cp:lastModifiedBy>
  <cp:revision>3</cp:revision>
  <cp:lastPrinted>2010-10-15T13:18:00Z</cp:lastPrinted>
  <dcterms:created xsi:type="dcterms:W3CDTF">2014-06-12T10:13:00Z</dcterms:created>
  <dcterms:modified xsi:type="dcterms:W3CDTF">2014-06-12T10:29:00Z</dcterms:modified>
</cp:coreProperties>
</file>