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F6" w:rsidRDefault="009723F6">
      <w:pPr>
        <w:spacing w:after="0" w:line="240" w:lineRule="auto"/>
        <w:jc w:val="center"/>
        <w:rPr>
          <w:rFonts w:ascii="Times New Roman" w:hAnsi="Times New Roman"/>
          <w:b/>
          <w:sz w:val="28"/>
          <w:szCs w:val="28"/>
        </w:rPr>
      </w:pPr>
    </w:p>
    <w:p w:rsidR="005A6601" w:rsidRPr="004941BF" w:rsidRDefault="005A6601">
      <w:pPr>
        <w:spacing w:after="0" w:line="240" w:lineRule="auto"/>
        <w:jc w:val="center"/>
        <w:rPr>
          <w:rFonts w:ascii="Times New Roman" w:hAnsi="Times New Roman"/>
          <w:b/>
          <w:sz w:val="28"/>
          <w:szCs w:val="28"/>
        </w:rPr>
      </w:pPr>
      <w:r w:rsidRPr="004941BF">
        <w:rPr>
          <w:rFonts w:ascii="Times New Roman" w:hAnsi="Times New Roman"/>
          <w:b/>
          <w:sz w:val="28"/>
          <w:szCs w:val="28"/>
        </w:rPr>
        <w:t xml:space="preserve">Ministru kabineta noteikumu projekta „Grozījumi Ministru kabineta 2009.gada 8.septembra noteikumos Nr.1040 „Piena kvotu administrēšanas noteikumi”” sākotnējās ietekmes novērtējuma </w:t>
      </w:r>
      <w:smartTag w:uri="schemas-tilde-lv/tildestengine" w:element="veidnes">
        <w:smartTagPr>
          <w:attr w:name="text" w:val="ziņojums"/>
          <w:attr w:name="baseform" w:val="ziņojums"/>
          <w:attr w:name="id" w:val="-1"/>
        </w:smartTagPr>
        <w:r w:rsidRPr="004941BF">
          <w:rPr>
            <w:rFonts w:ascii="Times New Roman" w:hAnsi="Times New Roman"/>
            <w:b/>
            <w:sz w:val="28"/>
            <w:szCs w:val="28"/>
          </w:rPr>
          <w:t>ziņojums</w:t>
        </w:r>
      </w:smartTag>
    </w:p>
    <w:p w:rsidR="005A6601" w:rsidRPr="004941BF" w:rsidRDefault="005A6601">
      <w:pPr>
        <w:spacing w:after="0" w:line="240" w:lineRule="auto"/>
        <w:jc w:val="center"/>
        <w:rPr>
          <w:rFonts w:ascii="Times New Roman" w:hAnsi="Times New Roman"/>
          <w:b/>
          <w:sz w:val="28"/>
          <w:szCs w:val="28"/>
        </w:rPr>
      </w:pPr>
      <w:r w:rsidRPr="004941BF">
        <w:rPr>
          <w:rFonts w:ascii="Times New Roman" w:hAnsi="Times New Roman"/>
          <w:b/>
          <w:sz w:val="28"/>
          <w:szCs w:val="28"/>
        </w:rPr>
        <w:t>(anotācija)</w:t>
      </w:r>
      <w:bookmarkStart w:id="0" w:name="468683"/>
      <w:bookmarkEnd w:id="0"/>
    </w:p>
    <w:p w:rsidR="005A6601" w:rsidRDefault="005A6601">
      <w:pPr>
        <w:spacing w:after="0" w:line="240" w:lineRule="auto"/>
        <w:jc w:val="center"/>
        <w:rPr>
          <w:rFonts w:ascii="Times New Roman" w:hAnsi="Times New Roman"/>
          <w:iCs/>
          <w:sz w:val="24"/>
          <w:szCs w:val="24"/>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2841"/>
        <w:gridCol w:w="5849"/>
      </w:tblGrid>
      <w:tr w:rsidR="005A6601" w:rsidRPr="00BA6D11" w:rsidTr="00A17A80">
        <w:trPr>
          <w:trHeight w:val="324"/>
          <w:tblCellSpacing w:w="15" w:type="dxa"/>
        </w:trPr>
        <w:tc>
          <w:tcPr>
            <w:tcW w:w="0" w:type="auto"/>
            <w:gridSpan w:val="3"/>
            <w:vAlign w:val="center"/>
          </w:tcPr>
          <w:p w:rsidR="005A6601" w:rsidRPr="00BA6D11" w:rsidRDefault="005A6601">
            <w:pPr>
              <w:spacing w:after="0" w:line="240" w:lineRule="auto"/>
              <w:jc w:val="center"/>
              <w:rPr>
                <w:rFonts w:ascii="Times New Roman" w:hAnsi="Times New Roman"/>
                <w:b/>
                <w:bCs/>
                <w:sz w:val="24"/>
                <w:szCs w:val="24"/>
              </w:rPr>
            </w:pPr>
            <w:r w:rsidRPr="00BA6D11">
              <w:rPr>
                <w:rFonts w:ascii="Times New Roman" w:hAnsi="Times New Roman"/>
                <w:b/>
                <w:bCs/>
                <w:sz w:val="24"/>
                <w:szCs w:val="24"/>
              </w:rPr>
              <w:t>I. Tiesību akta projekta izstrādes nepieciešamība</w:t>
            </w:r>
          </w:p>
        </w:tc>
      </w:tr>
      <w:tr w:rsidR="005A6601" w:rsidRPr="00BA6D11" w:rsidTr="00A17A80">
        <w:trPr>
          <w:trHeight w:val="324"/>
          <w:tblCellSpacing w:w="15" w:type="dxa"/>
        </w:trPr>
        <w:tc>
          <w:tcPr>
            <w:tcW w:w="247"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1.</w:t>
            </w:r>
          </w:p>
        </w:tc>
        <w:tc>
          <w:tcPr>
            <w:tcW w:w="1530"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Pamatojums</w:t>
            </w:r>
          </w:p>
        </w:tc>
        <w:tc>
          <w:tcPr>
            <w:tcW w:w="3158" w:type="pct"/>
          </w:tcPr>
          <w:p w:rsidR="005A6601" w:rsidRPr="00BA6D11" w:rsidRDefault="005A6601">
            <w:pPr>
              <w:spacing w:after="0" w:line="240" w:lineRule="auto"/>
              <w:ind w:firstLine="426"/>
              <w:jc w:val="both"/>
              <w:rPr>
                <w:rFonts w:ascii="Times New Roman" w:hAnsi="Times New Roman"/>
                <w:sz w:val="24"/>
                <w:szCs w:val="24"/>
              </w:rPr>
            </w:pPr>
            <w:r w:rsidRPr="00BA6D11">
              <w:rPr>
                <w:rFonts w:ascii="Times New Roman" w:hAnsi="Times New Roman"/>
                <w:sz w:val="24"/>
                <w:szCs w:val="24"/>
              </w:rPr>
              <w:t xml:space="preserve">Ministru kabineta noteikumu projekts „Grozījumi Ministru kabineta 2009.gada 8.septembra noteikumos Nr.1040 „Piena kvotu administrēšanas noteikumi”” </w:t>
            </w:r>
            <w:r w:rsidRPr="00BA6D11">
              <w:rPr>
                <w:rFonts w:ascii="Times New Roman" w:hAnsi="Times New Roman"/>
                <w:bCs/>
                <w:sz w:val="24"/>
                <w:szCs w:val="24"/>
              </w:rPr>
              <w:t xml:space="preserve">(turpmāk – noteikumu projekts) sagatavots, pamatojoties uz </w:t>
            </w:r>
            <w:r w:rsidRPr="00BA6D11">
              <w:rPr>
                <w:rFonts w:ascii="Times New Roman" w:hAnsi="Times New Roman"/>
                <w:sz w:val="24"/>
                <w:szCs w:val="24"/>
              </w:rPr>
              <w:t>Lauksaimniecības un lauku attīstības likuma 7.panta otro daļu.</w:t>
            </w:r>
          </w:p>
        </w:tc>
      </w:tr>
      <w:tr w:rsidR="005A6601" w:rsidRPr="00BA6D11" w:rsidTr="00A17A80">
        <w:trPr>
          <w:trHeight w:val="372"/>
          <w:tblCellSpacing w:w="15" w:type="dxa"/>
        </w:trPr>
        <w:tc>
          <w:tcPr>
            <w:tcW w:w="247"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2.</w:t>
            </w:r>
          </w:p>
        </w:tc>
        <w:tc>
          <w:tcPr>
            <w:tcW w:w="1530"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Pašreizējā situācija un problēmas, kuru risināšanai tiesību akta projekts izstrādāts, tiesiskā regulējuma mērķis un būtība</w:t>
            </w:r>
          </w:p>
        </w:tc>
        <w:tc>
          <w:tcPr>
            <w:tcW w:w="3158" w:type="pct"/>
          </w:tcPr>
          <w:p w:rsidR="005A6601" w:rsidRPr="00B94917" w:rsidRDefault="005A6601" w:rsidP="009D0FF3">
            <w:pPr>
              <w:spacing w:after="0" w:line="240" w:lineRule="auto"/>
              <w:ind w:firstLine="426"/>
              <w:jc w:val="both"/>
              <w:rPr>
                <w:rFonts w:ascii="Times New Roman" w:hAnsi="Times New Roman"/>
                <w:sz w:val="24"/>
                <w:szCs w:val="24"/>
              </w:rPr>
            </w:pPr>
            <w:r w:rsidRPr="00B94917">
              <w:rPr>
                <w:rFonts w:ascii="Times New Roman" w:hAnsi="Times New Roman"/>
                <w:sz w:val="24"/>
                <w:szCs w:val="24"/>
              </w:rPr>
              <w:t>Piena kvotu jomu Eiropas Savienībā pašlaik nosaka Padomes 2007.gada 22.oktobra Regula (EK) Nr.1234/2007, ar ko izveido lauksaimniecības tirgu kopīgu organizāciju un paredz konkrētus noteikumus dažiem lauksaimniecības produktiem (Vienotā KTO regula), (turpmāk – Regula Nr. 1234/2007) un Komisijas 2004.gada 30.marta Regula (EK) Nr.595/2004, ar kuru paredz sīki izstrādātus noteikumus par to, kā piemērojama Padomes Regula (EK) Nr.1788/2003, ar ko nosaka maksājumu piena un piena produktu nozarē (turpmāk – Regula Nr. 595/2004).</w:t>
            </w:r>
          </w:p>
          <w:p w:rsidR="005A6601" w:rsidRPr="00B94917" w:rsidRDefault="005A6601">
            <w:pPr>
              <w:spacing w:after="0" w:line="240" w:lineRule="auto"/>
              <w:ind w:firstLine="426"/>
              <w:jc w:val="both"/>
              <w:rPr>
                <w:rFonts w:ascii="Times New Roman" w:hAnsi="Times New Roman"/>
                <w:sz w:val="24"/>
                <w:szCs w:val="24"/>
              </w:rPr>
            </w:pPr>
            <w:r w:rsidRPr="00B94917">
              <w:rPr>
                <w:rFonts w:ascii="Times New Roman" w:hAnsi="Times New Roman"/>
                <w:sz w:val="24"/>
                <w:szCs w:val="24"/>
              </w:rPr>
              <w:t xml:space="preserve">Piena kvotas administrēšanas un kontroles kārtību Latvijā nosaka Ministru kabineta 2009.gada 8.septembra noteikumi Nr.1040 „Piena kvotu administrēšanas noteikumi” (turpmāk – noteikumi). </w:t>
            </w:r>
          </w:p>
          <w:p w:rsidR="005A6601" w:rsidRPr="00B94917" w:rsidRDefault="005A6601">
            <w:pPr>
              <w:spacing w:after="0" w:line="240" w:lineRule="auto"/>
              <w:ind w:firstLine="426"/>
              <w:jc w:val="both"/>
              <w:rPr>
                <w:rFonts w:ascii="Times New Roman" w:hAnsi="Times New Roman"/>
                <w:sz w:val="24"/>
                <w:szCs w:val="24"/>
              </w:rPr>
            </w:pPr>
            <w:r w:rsidRPr="00B94917">
              <w:rPr>
                <w:rFonts w:ascii="Times New Roman" w:hAnsi="Times New Roman"/>
                <w:sz w:val="24"/>
                <w:szCs w:val="24"/>
              </w:rPr>
              <w:t xml:space="preserve">Noteikumi nosaka kārtību, kādā notiek piena kvotu administrēšanas un kontrole, kā tiek veikti darījumi ar piena kvotām, tostarp papildināta valsts rezerve un piešķirta valsts rezervē esošā piena kvota ražotājiem; tāpat ir noteikts, kā notiek informācijas apmaiņa, iesniegumu un gada deklarāciju iesniegšana un kā tiek veikta samaksa par pārsniegto piena kvotu vai termiņā neiesniegtu kvotu gada deklarāciju. </w:t>
            </w:r>
            <w:r w:rsidRPr="00B94917">
              <w:rPr>
                <w:rFonts w:ascii="Times New Roman" w:hAnsi="Times New Roman"/>
                <w:bCs/>
                <w:sz w:val="24"/>
                <w:szCs w:val="24"/>
              </w:rPr>
              <w:t>Piena kvotas administrē</w:t>
            </w:r>
            <w:r w:rsidRPr="00B94917">
              <w:rPr>
                <w:rFonts w:ascii="Times New Roman" w:hAnsi="Times New Roman"/>
                <w:sz w:val="24"/>
                <w:szCs w:val="24"/>
              </w:rPr>
              <w:t xml:space="preserve"> Lauksaimniecības datu centrs (turpmāk – Datu centrs), kontroles funkcijas pilda Pārtikas un veterinārais dienests, bet Lauku atbalsta dienests (turpmāk – LAD) nodrošina maksājumu par pārsniegto piena kvotu ieskaitīšanu Eiropas Lauksaimniecības garantiju fondā.</w:t>
            </w:r>
          </w:p>
          <w:p w:rsidR="005A6601" w:rsidRPr="00B94917" w:rsidRDefault="005A6601" w:rsidP="00A26BC3">
            <w:pPr>
              <w:suppressLineNumbers/>
              <w:spacing w:after="120" w:line="240" w:lineRule="auto"/>
              <w:jc w:val="both"/>
              <w:rPr>
                <w:rFonts w:ascii="Times New Roman" w:hAnsi="Times New Roman"/>
                <w:sz w:val="24"/>
                <w:szCs w:val="24"/>
              </w:rPr>
            </w:pPr>
            <w:r w:rsidRPr="00B94917">
              <w:rPr>
                <w:rFonts w:ascii="Times New Roman" w:hAnsi="Times New Roman"/>
                <w:sz w:val="24"/>
                <w:szCs w:val="24"/>
              </w:rPr>
              <w:t>Piensaimniecības nozare valstī aktīvi attīstās, un ik gadu pārstrādei piegādātā piena apjoms pieaug, līdz ar to  valsts piena kvota pildās aizvien intensīvāk un šajā kvotas gadā pastāv reāls risks to pārsniegt un maksāt sodu par pārsniegto piena kvotas apjomu</w:t>
            </w:r>
            <w:r w:rsidR="00A26BC3">
              <w:rPr>
                <w:rFonts w:ascii="Times New Roman" w:hAnsi="Times New Roman"/>
                <w:sz w:val="24"/>
                <w:szCs w:val="24"/>
              </w:rPr>
              <w:t xml:space="preserve"> </w:t>
            </w:r>
            <w:r w:rsidR="00A26BC3" w:rsidRPr="00A26BC3">
              <w:rPr>
                <w:rFonts w:ascii="Times New Roman" w:hAnsi="Times New Roman"/>
                <w:sz w:val="24"/>
                <w:szCs w:val="24"/>
              </w:rPr>
              <w:t>(iepriekšējā kvotas gadā izpilde bija 99,10%)</w:t>
            </w:r>
            <w:r w:rsidRPr="00A26BC3">
              <w:rPr>
                <w:rFonts w:ascii="Times New Roman" w:hAnsi="Times New Roman"/>
                <w:sz w:val="24"/>
                <w:szCs w:val="24"/>
              </w:rPr>
              <w:t>.</w:t>
            </w:r>
            <w:r w:rsidRPr="00B94917">
              <w:rPr>
                <w:rFonts w:ascii="Times New Roman" w:hAnsi="Times New Roman"/>
                <w:sz w:val="24"/>
                <w:szCs w:val="24"/>
              </w:rPr>
              <w:t xml:space="preserve"> Šobrīd situācija piensaimniecības nozarē ir s</w:t>
            </w:r>
            <w:r w:rsidR="00E74BD5">
              <w:rPr>
                <w:rFonts w:ascii="Times New Roman" w:hAnsi="Times New Roman"/>
                <w:sz w:val="24"/>
                <w:szCs w:val="24"/>
              </w:rPr>
              <w:t>arežģīta</w:t>
            </w:r>
            <w:r w:rsidRPr="00B94917">
              <w:rPr>
                <w:rFonts w:ascii="Times New Roman" w:hAnsi="Times New Roman"/>
                <w:sz w:val="24"/>
                <w:szCs w:val="24"/>
              </w:rPr>
              <w:t>, piena iepirkuma cen</w:t>
            </w:r>
            <w:r w:rsidR="00E74BD5">
              <w:rPr>
                <w:rFonts w:ascii="Times New Roman" w:hAnsi="Times New Roman"/>
                <w:sz w:val="24"/>
                <w:szCs w:val="24"/>
              </w:rPr>
              <w:t xml:space="preserve">ām krasa samazināšanās </w:t>
            </w:r>
            <w:r w:rsidRPr="00B94917">
              <w:rPr>
                <w:rFonts w:ascii="Times New Roman" w:hAnsi="Times New Roman"/>
                <w:sz w:val="24"/>
                <w:szCs w:val="24"/>
              </w:rPr>
              <w:t xml:space="preserve">tendence </w:t>
            </w:r>
            <w:r w:rsidR="00E74BD5">
              <w:rPr>
                <w:rFonts w:ascii="Times New Roman" w:hAnsi="Times New Roman"/>
                <w:sz w:val="24"/>
                <w:szCs w:val="24"/>
              </w:rPr>
              <w:t xml:space="preserve">ir vērojama kopš augusta </w:t>
            </w:r>
            <w:r w:rsidRPr="00B94917">
              <w:rPr>
                <w:rFonts w:ascii="Times New Roman" w:hAnsi="Times New Roman"/>
                <w:sz w:val="24"/>
                <w:szCs w:val="24"/>
              </w:rPr>
              <w:t xml:space="preserve">un </w:t>
            </w:r>
            <w:r w:rsidR="00E74BD5">
              <w:rPr>
                <w:rFonts w:ascii="Times New Roman" w:hAnsi="Times New Roman"/>
                <w:sz w:val="24"/>
                <w:szCs w:val="24"/>
              </w:rPr>
              <w:t xml:space="preserve">oktobrī tā jau sasniedza 233,42 EUR par tonnu piena, </w:t>
            </w:r>
            <w:r w:rsidR="00E74BD5">
              <w:rPr>
                <w:rFonts w:ascii="Times New Roman" w:hAnsi="Times New Roman"/>
                <w:sz w:val="24"/>
                <w:szCs w:val="24"/>
              </w:rPr>
              <w:lastRenderedPageBreak/>
              <w:t xml:space="preserve">savukārt soda nauda par 100kg virskvotas piena ir 27,83 EUR un tas </w:t>
            </w:r>
            <w:r w:rsidRPr="00B94917">
              <w:rPr>
                <w:rFonts w:ascii="Times New Roman" w:hAnsi="Times New Roman"/>
                <w:sz w:val="24"/>
                <w:szCs w:val="24"/>
              </w:rPr>
              <w:t>nozīmē, ka piena kvotas pārsniegšanas gadījumā ražotājiem</w:t>
            </w:r>
            <w:r w:rsidR="00E74BD5">
              <w:rPr>
                <w:rFonts w:ascii="Times New Roman" w:hAnsi="Times New Roman"/>
                <w:sz w:val="24"/>
                <w:szCs w:val="24"/>
              </w:rPr>
              <w:t xml:space="preserve">, kuriem nav </w:t>
            </w:r>
            <w:r w:rsidR="00E74BD5" w:rsidRPr="00A26BC3">
              <w:rPr>
                <w:rFonts w:ascii="Times New Roman" w:hAnsi="Times New Roman"/>
                <w:sz w:val="24"/>
                <w:szCs w:val="24"/>
              </w:rPr>
              <w:t xml:space="preserve">naudas uzkrājumi, </w:t>
            </w:r>
            <w:r w:rsidRPr="00A26BC3">
              <w:rPr>
                <w:rFonts w:ascii="Times New Roman" w:hAnsi="Times New Roman"/>
                <w:sz w:val="24"/>
                <w:szCs w:val="24"/>
              </w:rPr>
              <w:t xml:space="preserve"> nomaksāt soda naudas būs ļoti </w:t>
            </w:r>
            <w:r w:rsidR="00E74BD5" w:rsidRPr="00A26BC3">
              <w:rPr>
                <w:rFonts w:ascii="Times New Roman" w:hAnsi="Times New Roman"/>
                <w:sz w:val="24"/>
                <w:szCs w:val="24"/>
              </w:rPr>
              <w:t>grūti.</w:t>
            </w:r>
            <w:r w:rsidRPr="00A26BC3">
              <w:rPr>
                <w:rFonts w:ascii="Times New Roman" w:hAnsi="Times New Roman"/>
                <w:sz w:val="24"/>
                <w:szCs w:val="24"/>
              </w:rPr>
              <w:t xml:space="preserve"> </w:t>
            </w:r>
            <w:r w:rsidR="00A26BC3" w:rsidRPr="00A26BC3">
              <w:rPr>
                <w:rFonts w:ascii="Times New Roman" w:hAnsi="Times New Roman"/>
                <w:sz w:val="24"/>
                <w:szCs w:val="24"/>
              </w:rPr>
              <w:t>Uz šo brīdi pēc Lauksaimniecības datu centra datiem piena kvotu pārsnieguši ir 533 piena ražotāji.</w:t>
            </w:r>
            <w:r w:rsidR="00A26BC3">
              <w:rPr>
                <w:rFonts w:ascii="Times New Roman" w:hAnsi="Times New Roman"/>
                <w:sz w:val="24"/>
                <w:szCs w:val="24"/>
              </w:rPr>
              <w:t xml:space="preserve"> </w:t>
            </w:r>
            <w:r w:rsidRPr="00B94917">
              <w:rPr>
                <w:rFonts w:ascii="Times New Roman" w:hAnsi="Times New Roman"/>
                <w:sz w:val="24"/>
                <w:szCs w:val="24"/>
              </w:rPr>
              <w:t xml:space="preserve">Saskaņā ar Regulas Nr. 1234/2007 79. pantu piena ražotājs ir atbildīgs par soda naudas samaksāšanu, ja ir pārsniedzis savu pieejamo piena kvotu un jebkādu citu maksājumu novirzīšana soda naudu segšanai </w:t>
            </w:r>
            <w:r w:rsidR="00E74BD5">
              <w:rPr>
                <w:rFonts w:ascii="Times New Roman" w:hAnsi="Times New Roman"/>
                <w:sz w:val="24"/>
                <w:szCs w:val="24"/>
              </w:rPr>
              <w:t xml:space="preserve">saskaņā ar Eiropas Savienības likumdošanu </w:t>
            </w:r>
            <w:r w:rsidRPr="00B94917">
              <w:rPr>
                <w:rFonts w:ascii="Times New Roman" w:hAnsi="Times New Roman"/>
                <w:sz w:val="24"/>
                <w:szCs w:val="24"/>
              </w:rPr>
              <w:t>n</w:t>
            </w:r>
            <w:r w:rsidR="00E74BD5">
              <w:rPr>
                <w:rFonts w:ascii="Times New Roman" w:hAnsi="Times New Roman"/>
                <w:sz w:val="24"/>
                <w:szCs w:val="24"/>
              </w:rPr>
              <w:t>etiek pieļauta</w:t>
            </w:r>
            <w:r w:rsidRPr="00B94917">
              <w:rPr>
                <w:rFonts w:ascii="Times New Roman" w:hAnsi="Times New Roman"/>
                <w:sz w:val="24"/>
                <w:szCs w:val="24"/>
              </w:rPr>
              <w:t xml:space="preserve">. Līdz ar to, lai ražotājam valsts kopējās piena kvotas pārsniegšanas gadījumā uzreiz nebūtu jāsamaksā visa aprēķinātā soda naudas summa, </w:t>
            </w:r>
            <w:r w:rsidR="00E74BD5">
              <w:rPr>
                <w:rFonts w:ascii="Times New Roman" w:hAnsi="Times New Roman"/>
                <w:sz w:val="24"/>
                <w:szCs w:val="24"/>
              </w:rPr>
              <w:t xml:space="preserve">tad ņemot vērā </w:t>
            </w:r>
            <w:r w:rsidRPr="00B94917">
              <w:rPr>
                <w:rFonts w:ascii="Times New Roman" w:hAnsi="Times New Roman"/>
                <w:sz w:val="24"/>
                <w:szCs w:val="24"/>
              </w:rPr>
              <w:t>Regulas Nr. 1234/2007 81. panta nosacījum</w:t>
            </w:r>
            <w:r w:rsidR="00E74BD5">
              <w:rPr>
                <w:rFonts w:ascii="Times New Roman" w:hAnsi="Times New Roman"/>
                <w:sz w:val="24"/>
                <w:szCs w:val="24"/>
              </w:rPr>
              <w:t xml:space="preserve">us </w:t>
            </w:r>
            <w:r w:rsidRPr="00B94917">
              <w:rPr>
                <w:rFonts w:ascii="Times New Roman" w:hAnsi="Times New Roman"/>
                <w:sz w:val="24"/>
                <w:szCs w:val="24"/>
              </w:rPr>
              <w:t xml:space="preserve">tiek izdarīta dalībvalsts izvēle par avansa maksājumu ieturēšanu, no tiem ražotājiem, kas jau ir pārsnieguši savu pieejamo piena kvotu. </w:t>
            </w:r>
            <w:r w:rsidR="009C4B11">
              <w:rPr>
                <w:rFonts w:ascii="Times New Roman" w:hAnsi="Times New Roman"/>
                <w:sz w:val="24"/>
                <w:szCs w:val="24"/>
              </w:rPr>
              <w:t xml:space="preserve">Noteikumu </w:t>
            </w:r>
            <w:r w:rsidRPr="00B94917">
              <w:rPr>
                <w:rFonts w:ascii="Times New Roman" w:hAnsi="Times New Roman"/>
                <w:sz w:val="24"/>
                <w:szCs w:val="24"/>
              </w:rPr>
              <w:t xml:space="preserve">projekts tiek papildināts ar normu, kas dod izvēles iespēju piena pircējam iekasēt vai neiekasēt avansa maksājumu no piena ražotāja par pārsniegto kvotas apjomu līdz pilnīgai saistību izpildei, ieturot ne vairāk par 50% no piena līgumcenas norēķinu periodā, kas pienākas ražotājam. Norēķina periods par pienu ir divas reizes mēnesī, samaksa tiek veikta ik pēc trīsdesmit dienām. Līdz ar to ražotājam valsts kopējās piena kvotas pārsniegšanas gadījumā uzreiz nebūs jāmaksā visa soda naudas summa, jo daļa jau būs samaksāta ar avansa maksājumu. </w:t>
            </w:r>
            <w:r w:rsidR="009C4B11">
              <w:rPr>
                <w:rFonts w:ascii="Times New Roman" w:hAnsi="Times New Roman"/>
                <w:sz w:val="24"/>
                <w:szCs w:val="24"/>
              </w:rPr>
              <w:t>Noteikumu projektā ir paredzēts, ka p</w:t>
            </w:r>
            <w:r w:rsidRPr="00B94917">
              <w:rPr>
                <w:rFonts w:ascii="Times New Roman" w:hAnsi="Times New Roman"/>
                <w:sz w:val="24"/>
                <w:szCs w:val="24"/>
              </w:rPr>
              <w:t xml:space="preserve">ircējam </w:t>
            </w:r>
            <w:r w:rsidR="009C4B11">
              <w:rPr>
                <w:rFonts w:ascii="Times New Roman" w:hAnsi="Times New Roman"/>
                <w:sz w:val="24"/>
                <w:szCs w:val="24"/>
              </w:rPr>
              <w:t>j</w:t>
            </w:r>
            <w:r w:rsidRPr="00B94917">
              <w:rPr>
                <w:rFonts w:ascii="Times New Roman" w:hAnsi="Times New Roman"/>
                <w:sz w:val="24"/>
                <w:szCs w:val="24"/>
              </w:rPr>
              <w:t>ānodrošina caurskatāmība iekasētajai avansa maksājuma summai un katru mēnesi jāinformē katrs ražotājs un datu centrs par kopējo iekasēto naudas apjomu, kā arī tiek paredzēta pircēja rīcība gadījumos, ja piena kvota nebūs pārsniegta. Noteikumu projekts paredz, ja ražotājs kvotas gada laikā jau ir pārsniedzis savu pieejamo piena kvotu un maksā pircējam avansa maksājumu, tad pie cita pircēja var pāriet tikai pēc saistību, kas attiecās uz soda naudas nomaksu par pārsniegto piena kvotu, izpildīšanas ar esošo pircēju.</w:t>
            </w:r>
          </w:p>
          <w:p w:rsidR="005A6601" w:rsidRPr="00B94917" w:rsidRDefault="009D419F" w:rsidP="00432DC2">
            <w:pPr>
              <w:spacing w:after="0" w:line="240" w:lineRule="auto"/>
              <w:ind w:firstLine="426"/>
              <w:jc w:val="both"/>
              <w:rPr>
                <w:rFonts w:ascii="Times New Roman" w:hAnsi="Times New Roman"/>
                <w:sz w:val="24"/>
                <w:szCs w:val="24"/>
              </w:rPr>
            </w:pPr>
            <w:r>
              <w:rPr>
                <w:rFonts w:ascii="Times New Roman" w:hAnsi="Times New Roman"/>
                <w:sz w:val="24"/>
                <w:szCs w:val="24"/>
              </w:rPr>
              <w:t>Noteikumu projekts paredz nosacījumu pircējam</w:t>
            </w:r>
            <w:r w:rsidR="005A6601" w:rsidRPr="00B94917">
              <w:rPr>
                <w:rFonts w:ascii="Times New Roman" w:hAnsi="Times New Roman"/>
                <w:sz w:val="24"/>
                <w:szCs w:val="24"/>
              </w:rPr>
              <w:t xml:space="preserve">, ja valsts kopējā piena kvota pēc izlīdzināšanas nebūs pārsniegta, pircējs līdz 2015. gada 1. jūlijam atmaksās ražotājam no tā iekasēto avansa maksājuma summu. </w:t>
            </w:r>
          </w:p>
          <w:p w:rsidR="009D419F" w:rsidRDefault="009D419F" w:rsidP="009D419F">
            <w:pPr>
              <w:spacing w:line="240" w:lineRule="auto"/>
              <w:jc w:val="both"/>
              <w:rPr>
                <w:rFonts w:ascii="Times New Roman" w:hAnsi="Times New Roman"/>
                <w:sz w:val="24"/>
                <w:szCs w:val="24"/>
              </w:rPr>
            </w:pPr>
            <w:r w:rsidRPr="005273F3">
              <w:rPr>
                <w:rFonts w:ascii="Times New Roman" w:hAnsi="Times New Roman"/>
                <w:sz w:val="24"/>
                <w:szCs w:val="24"/>
              </w:rPr>
              <w:t xml:space="preserve">Izvērtējot svaigpiena datubāzes datus svaigpiena paraugos noteiktā tauku procenta saturs pēdējos mēnešos </w:t>
            </w:r>
            <w:r w:rsidR="00E31723">
              <w:rPr>
                <w:rFonts w:ascii="Times New Roman" w:hAnsi="Times New Roman"/>
                <w:sz w:val="24"/>
                <w:szCs w:val="24"/>
              </w:rPr>
              <w:t>uzrāda  nepamatoti</w:t>
            </w:r>
            <w:r w:rsidRPr="005273F3">
              <w:rPr>
                <w:rFonts w:ascii="Times New Roman" w:hAnsi="Times New Roman"/>
                <w:sz w:val="24"/>
                <w:szCs w:val="24"/>
              </w:rPr>
              <w:t xml:space="preserve"> lielu svārstības amplitūdu, līdz ar to</w:t>
            </w:r>
            <w:r w:rsidR="005273F3" w:rsidRPr="005273F3">
              <w:rPr>
                <w:rFonts w:ascii="Times New Roman" w:hAnsi="Times New Roman"/>
                <w:sz w:val="24"/>
                <w:szCs w:val="24"/>
              </w:rPr>
              <w:t xml:space="preserve"> </w:t>
            </w:r>
            <w:r w:rsidRPr="005273F3">
              <w:rPr>
                <w:rFonts w:ascii="Times New Roman" w:hAnsi="Times New Roman"/>
                <w:sz w:val="24"/>
                <w:szCs w:val="24"/>
              </w:rPr>
              <w:t>noteikumu projekts tiek papildināts ar normu, kas paredz, kādos gadījumos svaigpiena paraugs tiek uzskatīts par neatbilstošu, kā arī tiek papildināt</w:t>
            </w:r>
            <w:r w:rsidR="006930CC" w:rsidRPr="005273F3">
              <w:rPr>
                <w:rFonts w:ascii="Times New Roman" w:hAnsi="Times New Roman"/>
                <w:sz w:val="24"/>
                <w:szCs w:val="24"/>
              </w:rPr>
              <w:t xml:space="preserve">s noteikumu 29.14.apakšpunkts ar nosacījumu datu </w:t>
            </w:r>
            <w:r w:rsidRPr="005273F3">
              <w:rPr>
                <w:rFonts w:ascii="Times New Roman" w:hAnsi="Times New Roman"/>
                <w:sz w:val="24"/>
                <w:szCs w:val="24"/>
              </w:rPr>
              <w:t>centra</w:t>
            </w:r>
            <w:r w:rsidR="006930CC" w:rsidRPr="005273F3">
              <w:rPr>
                <w:rFonts w:ascii="Times New Roman" w:hAnsi="Times New Roman"/>
                <w:sz w:val="24"/>
                <w:szCs w:val="24"/>
              </w:rPr>
              <w:t>m,</w:t>
            </w:r>
            <w:r w:rsidRPr="005273F3">
              <w:rPr>
                <w:rStyle w:val="Lappusesnumurs"/>
                <w:rFonts w:ascii="Times New Roman" w:hAnsi="Times New Roman"/>
                <w:sz w:val="24"/>
                <w:szCs w:val="24"/>
              </w:rPr>
              <w:t xml:space="preserve"> ja datubāzē ražotājam</w:t>
            </w:r>
            <w:r w:rsidR="005273F3">
              <w:rPr>
                <w:rStyle w:val="Lappusesnumurs"/>
                <w:rFonts w:ascii="Times New Roman" w:hAnsi="Times New Roman"/>
                <w:sz w:val="24"/>
                <w:szCs w:val="24"/>
              </w:rPr>
              <w:t>,</w:t>
            </w:r>
            <w:r w:rsidRPr="005273F3">
              <w:rPr>
                <w:rStyle w:val="Lappusesnumurs"/>
                <w:rFonts w:ascii="Times New Roman" w:hAnsi="Times New Roman"/>
                <w:sz w:val="24"/>
                <w:szCs w:val="24"/>
              </w:rPr>
              <w:t xml:space="preserve"> atk</w:t>
            </w:r>
            <w:r w:rsidRPr="005273F3">
              <w:rPr>
                <w:rFonts w:ascii="Times New Roman" w:hAnsi="Times New Roman"/>
                <w:sz w:val="24"/>
                <w:szCs w:val="24"/>
              </w:rPr>
              <w:t xml:space="preserve">ārtoti tiek konstatēts neatbilstošs svaigpiena paraugs.  </w:t>
            </w:r>
            <w:r w:rsidR="00E31723">
              <w:rPr>
                <w:rFonts w:ascii="Times New Roman" w:hAnsi="Times New Roman"/>
                <w:sz w:val="24"/>
                <w:szCs w:val="24"/>
              </w:rPr>
              <w:t>Normas tiek iestrādātas p</w:t>
            </w:r>
            <w:r w:rsidR="00D84985" w:rsidRPr="005273F3">
              <w:rPr>
                <w:rFonts w:ascii="Times New Roman" w:hAnsi="Times New Roman"/>
                <w:sz w:val="24"/>
                <w:szCs w:val="24"/>
              </w:rPr>
              <w:t xml:space="preserve">amatojoties uz zinātnisko pētījumu „Svaigpiena kvalitātes rādītāju diapazona noteikšana laboratorijās testēšanai </w:t>
            </w:r>
            <w:r w:rsidR="00D84985" w:rsidRPr="005273F3">
              <w:rPr>
                <w:rFonts w:ascii="Times New Roman" w:hAnsi="Times New Roman"/>
                <w:sz w:val="24"/>
                <w:szCs w:val="24"/>
              </w:rPr>
              <w:lastRenderedPageBreak/>
              <w:t>izmantojamiem svaigpiena paraugiem” (Lauku atbalsta</w:t>
            </w:r>
            <w:r w:rsidR="00D84985" w:rsidRPr="00D84985">
              <w:rPr>
                <w:rFonts w:ascii="Times New Roman" w:hAnsi="Times New Roman"/>
                <w:sz w:val="24"/>
                <w:szCs w:val="24"/>
              </w:rPr>
              <w:t xml:space="preserve"> dienesta līgums Nr.2503414/S62) (turpmāk – zinātniskais pētījums), ir zinātniski noteikti un pamatoti kritēriji svaigpiena testēšanas paraugu autentiskuma nodrošināšanai</w:t>
            </w:r>
            <w:r w:rsidR="00E31723">
              <w:rPr>
                <w:rFonts w:ascii="Times New Roman" w:hAnsi="Times New Roman"/>
                <w:sz w:val="24"/>
                <w:szCs w:val="24"/>
              </w:rPr>
              <w:t xml:space="preserve"> un saskaņā ar Starptautiskās dzīvnieku pārraudzības komitejas (ICAR) vadlīnijām. </w:t>
            </w:r>
            <w:r w:rsidR="00D84985" w:rsidRPr="00D84985">
              <w:rPr>
                <w:rFonts w:ascii="Times New Roman" w:hAnsi="Times New Roman"/>
                <w:sz w:val="24"/>
                <w:szCs w:val="24"/>
              </w:rPr>
              <w:t>Saskaņā ar zinātnisko pētījumu par neatbilstošiem svaigpiena paraugiem tiek uzskatīti paraugi, ja tauku saturs govs pienā ir zemāks par 2% un augstāks par 7%, bet olbaltumvielu saturs govs pienā i</w:t>
            </w:r>
            <w:r w:rsidR="00D84985">
              <w:rPr>
                <w:rFonts w:ascii="Times New Roman" w:hAnsi="Times New Roman"/>
                <w:sz w:val="24"/>
                <w:szCs w:val="24"/>
              </w:rPr>
              <w:t>r</w:t>
            </w:r>
            <w:r w:rsidR="00D84985" w:rsidRPr="00D84985">
              <w:rPr>
                <w:rFonts w:ascii="Times New Roman" w:hAnsi="Times New Roman"/>
                <w:sz w:val="24"/>
                <w:szCs w:val="24"/>
              </w:rPr>
              <w:t xml:space="preserve"> zemāks par 2,5 % un augstāks par 5%. Ja govs piena paraugā tauku un olbaltumvielu saturs ir zemāks par iepriekš minētajiem lielumiem, tad atkārtotajā paraugā jānosaka arī piena sasalšanas punkts, lai pārliecinātos, ka rādītāji nav pazeminājušies pievienotā ūdens dēļ. Ir zinātniski pamatots, ka svaigpiena paraugu arī tad uzskata par neatbilstošu, ja parauga pH ir zemāks par 6,4 un ja vairāk nekā 3 novietnēs vienā datumā un maršrutā ņemtajiem paraugiem ir praktiski vienāds tauku un olbaltumvielu saturs.</w:t>
            </w:r>
            <w:r w:rsidR="00D84985">
              <w:rPr>
                <w:rFonts w:ascii="Times New Roman" w:hAnsi="Times New Roman"/>
                <w:sz w:val="24"/>
                <w:szCs w:val="24"/>
              </w:rPr>
              <w:t xml:space="preserve"> </w:t>
            </w:r>
          </w:p>
          <w:p w:rsidR="005A6601" w:rsidRDefault="005A6601" w:rsidP="009D419F">
            <w:pPr>
              <w:spacing w:line="240" w:lineRule="auto"/>
              <w:jc w:val="both"/>
              <w:rPr>
                <w:rFonts w:ascii="Times New Roman" w:hAnsi="Times New Roman"/>
                <w:sz w:val="24"/>
                <w:szCs w:val="24"/>
              </w:rPr>
            </w:pPr>
            <w:r w:rsidRPr="00B94917">
              <w:rPr>
                <w:rFonts w:ascii="Times New Roman" w:hAnsi="Times New Roman"/>
                <w:sz w:val="24"/>
                <w:szCs w:val="24"/>
              </w:rPr>
              <w:t xml:space="preserve">Izvērtējot noteikumus tika konstatēts, ka piena kvotas pārsniegšanas gadījumā soda naudas sekmīgai  administrēšanai </w:t>
            </w:r>
            <w:r>
              <w:rPr>
                <w:rFonts w:ascii="Times New Roman" w:hAnsi="Times New Roman"/>
                <w:sz w:val="24"/>
                <w:szCs w:val="24"/>
              </w:rPr>
              <w:t xml:space="preserve">jāprecizē </w:t>
            </w:r>
            <w:r w:rsidRPr="00B94917">
              <w:rPr>
                <w:rFonts w:ascii="Times New Roman" w:hAnsi="Times New Roman"/>
                <w:sz w:val="24"/>
                <w:szCs w:val="24"/>
              </w:rPr>
              <w:t xml:space="preserve">normatīvais regulējums attiecībā uz lēmuma izdošanu un soda naudas iekasēšanu no ražotāja un pircēja. </w:t>
            </w:r>
            <w:r>
              <w:rPr>
                <w:rFonts w:ascii="Times New Roman" w:hAnsi="Times New Roman"/>
                <w:sz w:val="24"/>
                <w:szCs w:val="24"/>
              </w:rPr>
              <w:t>N</w:t>
            </w:r>
            <w:r w:rsidRPr="00B94917">
              <w:rPr>
                <w:rFonts w:ascii="Times New Roman" w:hAnsi="Times New Roman"/>
                <w:sz w:val="24"/>
                <w:szCs w:val="24"/>
              </w:rPr>
              <w:t>oteikumos ir jāprecizē piena ražotāj</w:t>
            </w:r>
            <w:r>
              <w:rPr>
                <w:rFonts w:ascii="Times New Roman" w:hAnsi="Times New Roman"/>
                <w:sz w:val="24"/>
                <w:szCs w:val="24"/>
              </w:rPr>
              <w:t>a</w:t>
            </w:r>
            <w:r w:rsidRPr="00B94917">
              <w:rPr>
                <w:rFonts w:ascii="Times New Roman" w:hAnsi="Times New Roman"/>
                <w:sz w:val="24"/>
                <w:szCs w:val="24"/>
              </w:rPr>
              <w:t>, piena pircēj</w:t>
            </w:r>
            <w:r>
              <w:rPr>
                <w:rFonts w:ascii="Times New Roman" w:hAnsi="Times New Roman"/>
                <w:sz w:val="24"/>
                <w:szCs w:val="24"/>
              </w:rPr>
              <w:t>a</w:t>
            </w:r>
            <w:r w:rsidRPr="00B94917">
              <w:rPr>
                <w:rFonts w:ascii="Times New Roman" w:hAnsi="Times New Roman"/>
                <w:sz w:val="24"/>
                <w:szCs w:val="24"/>
              </w:rPr>
              <w:t>, datu centra un LAD pienākumi. Līdz ar to ir jāizdara grozījums noteikumu 29.7.apakšpunktā un jāp</w:t>
            </w:r>
            <w:r>
              <w:rPr>
                <w:rFonts w:ascii="Times New Roman" w:hAnsi="Times New Roman"/>
                <w:sz w:val="24"/>
                <w:szCs w:val="24"/>
              </w:rPr>
              <w:t>recizē nosacījumi attiecībā uz lēmuma izdošanu un informācijas nosūtīšanu iesaistītajām pusēm.</w:t>
            </w:r>
          </w:p>
          <w:p w:rsidR="005A6601" w:rsidRPr="00B94917" w:rsidRDefault="005A6601" w:rsidP="0018561B">
            <w:pPr>
              <w:spacing w:after="0" w:line="240" w:lineRule="auto"/>
              <w:ind w:firstLine="426"/>
              <w:jc w:val="both"/>
              <w:rPr>
                <w:rFonts w:ascii="Times New Roman" w:hAnsi="Times New Roman"/>
                <w:sz w:val="24"/>
                <w:szCs w:val="24"/>
              </w:rPr>
            </w:pPr>
            <w:r>
              <w:rPr>
                <w:rFonts w:ascii="Times New Roman" w:hAnsi="Times New Roman"/>
                <w:sz w:val="24"/>
                <w:szCs w:val="24"/>
              </w:rPr>
              <w:t xml:space="preserve">Lai nerastos domstarpības par lēmumā norādīto pārsniegtās piena kvotas apjomu un aprēķināto maksājuma summu, noteikumu projekts paredz, ka ražotājam, pirms piegādes kvotas gada deklarācijas iesniegšanas datuma (iesniedz pircējs), ir jāsalīdzina savi nodotā piena apjoma dati ar </w:t>
            </w:r>
            <w:r w:rsidRPr="006B2D45">
              <w:rPr>
                <w:rStyle w:val="Lappusesnumurs"/>
                <w:rFonts w:ascii="Times New Roman" w:hAnsi="Times New Roman"/>
                <w:sz w:val="24"/>
                <w:szCs w:val="24"/>
              </w:rPr>
              <w:t>pi</w:t>
            </w:r>
            <w:r w:rsidRPr="006B2D45">
              <w:rPr>
                <w:rFonts w:ascii="Times New Roman" w:hAnsi="Times New Roman"/>
                <w:sz w:val="24"/>
                <w:szCs w:val="24"/>
              </w:rPr>
              <w:t xml:space="preserve">ena </w:t>
            </w:r>
            <w:r>
              <w:rPr>
                <w:rFonts w:ascii="Times New Roman" w:hAnsi="Times New Roman"/>
                <w:sz w:val="24"/>
                <w:szCs w:val="24"/>
              </w:rPr>
              <w:t>pircēja datiem un datu centra datiem.</w:t>
            </w:r>
          </w:p>
          <w:p w:rsidR="005A6601" w:rsidRPr="00B94917" w:rsidRDefault="005A6601" w:rsidP="00432DC2">
            <w:pPr>
              <w:spacing w:after="0" w:line="240" w:lineRule="auto"/>
              <w:ind w:firstLine="426"/>
              <w:jc w:val="both"/>
              <w:rPr>
                <w:rFonts w:ascii="Times New Roman" w:hAnsi="Times New Roman"/>
                <w:sz w:val="24"/>
                <w:szCs w:val="24"/>
              </w:rPr>
            </w:pPr>
            <w:r w:rsidRPr="00B94917">
              <w:rPr>
                <w:rFonts w:ascii="Times New Roman" w:hAnsi="Times New Roman"/>
                <w:sz w:val="24"/>
                <w:szCs w:val="24"/>
              </w:rPr>
              <w:t>Saskaņā ar Regulas Nr. 1234/2007 79. pantu piena ražotājs ir atbildīgs par soda naudas samaksāšanu, ja ir pārsniedzis savu pieejamo piena kvotu, līdz ar to noteikumos ir nepieciešams grozīt 9.5.apakšpunktu ietverot tajā a</w:t>
            </w:r>
            <w:r w:rsidR="006930CC">
              <w:rPr>
                <w:rFonts w:ascii="Times New Roman" w:hAnsi="Times New Roman"/>
                <w:sz w:val="24"/>
                <w:szCs w:val="24"/>
              </w:rPr>
              <w:t>tsauci uz minētās regulas pantu, kā arī ir jāparedz</w:t>
            </w:r>
            <w:r w:rsidR="002D3C1E">
              <w:rPr>
                <w:rFonts w:ascii="Times New Roman" w:hAnsi="Times New Roman"/>
                <w:sz w:val="24"/>
                <w:szCs w:val="24"/>
              </w:rPr>
              <w:t xml:space="preserve"> nosacījumi ražotājam, ja tas nav veicis maksājumu saskaņā ar šo noteikumu 9.5.1.apakšpunktu, ietverot noteikumu projektā atsauci uz </w:t>
            </w:r>
            <w:r w:rsidR="002D3C1E" w:rsidRPr="00B94917">
              <w:rPr>
                <w:rFonts w:ascii="Times New Roman" w:hAnsi="Times New Roman"/>
                <w:sz w:val="24"/>
                <w:szCs w:val="24"/>
              </w:rPr>
              <w:t>1234/2007 8</w:t>
            </w:r>
            <w:r w:rsidR="002D3C1E">
              <w:rPr>
                <w:rFonts w:ascii="Times New Roman" w:hAnsi="Times New Roman"/>
                <w:sz w:val="24"/>
                <w:szCs w:val="24"/>
              </w:rPr>
              <w:t>4</w:t>
            </w:r>
            <w:r w:rsidR="002D3C1E" w:rsidRPr="00B94917">
              <w:rPr>
                <w:rFonts w:ascii="Times New Roman" w:hAnsi="Times New Roman"/>
                <w:sz w:val="24"/>
                <w:szCs w:val="24"/>
              </w:rPr>
              <w:t>. Pant</w:t>
            </w:r>
            <w:r w:rsidR="002D3C1E">
              <w:rPr>
                <w:rFonts w:ascii="Times New Roman" w:hAnsi="Times New Roman"/>
                <w:sz w:val="24"/>
                <w:szCs w:val="24"/>
              </w:rPr>
              <w:t>a 3.punktu.</w:t>
            </w:r>
          </w:p>
          <w:p w:rsidR="005A6601" w:rsidRDefault="005A6601" w:rsidP="00CD3D7B">
            <w:pPr>
              <w:spacing w:line="240" w:lineRule="auto"/>
              <w:jc w:val="both"/>
              <w:rPr>
                <w:rFonts w:ascii="Times New Roman" w:hAnsi="Times New Roman"/>
                <w:sz w:val="24"/>
                <w:szCs w:val="24"/>
              </w:rPr>
            </w:pPr>
            <w:r w:rsidRPr="00B94917">
              <w:rPr>
                <w:rFonts w:ascii="Times New Roman" w:hAnsi="Times New Roman"/>
                <w:sz w:val="24"/>
                <w:szCs w:val="24"/>
              </w:rPr>
              <w:t>Saskaņā ar Regulas Nr. 1234/2007 81. pantu piena pircējs ir atbildīgs par soda naudas iekasēšanu no piena ražotājiem, kuri ir pārsnieguši piegādes piena kvotu, un iekasētās soda naudas pārskaitīšanu LAD saskaņā ar Datu centra lēmumu. Līdz ar to noteikumos ir nepieciešams grozīt 26.2.apakšpunktu ietverot tajā atsauci uz minētās regulas pantu</w:t>
            </w:r>
            <w:r w:rsidR="006930CC">
              <w:rPr>
                <w:rFonts w:ascii="Times New Roman" w:hAnsi="Times New Roman"/>
                <w:sz w:val="24"/>
                <w:szCs w:val="24"/>
              </w:rPr>
              <w:t>. Piena kvotas pārsniegšanas gadījumā dalībvalst</w:t>
            </w:r>
            <w:r w:rsidR="00697858">
              <w:rPr>
                <w:rFonts w:ascii="Times New Roman" w:hAnsi="Times New Roman"/>
                <w:sz w:val="24"/>
                <w:szCs w:val="24"/>
              </w:rPr>
              <w:t>s</w:t>
            </w:r>
            <w:r w:rsidR="006930CC">
              <w:rPr>
                <w:rFonts w:ascii="Times New Roman" w:hAnsi="Times New Roman"/>
                <w:sz w:val="24"/>
                <w:szCs w:val="24"/>
              </w:rPr>
              <w:t xml:space="preserve"> Eiropas Komisijai iesniedz informācij</w:t>
            </w:r>
            <w:r w:rsidR="00697858">
              <w:rPr>
                <w:rFonts w:ascii="Times New Roman" w:hAnsi="Times New Roman"/>
                <w:sz w:val="24"/>
                <w:szCs w:val="24"/>
              </w:rPr>
              <w:t>u</w:t>
            </w:r>
            <w:r w:rsidR="006930CC">
              <w:rPr>
                <w:rFonts w:ascii="Times New Roman" w:hAnsi="Times New Roman"/>
                <w:sz w:val="24"/>
                <w:szCs w:val="24"/>
              </w:rPr>
              <w:t xml:space="preserve"> par ražotāju veiktajiem soda naudas maksājumiem, līdz ar to noteikumu </w:t>
            </w:r>
            <w:r w:rsidR="006930CC">
              <w:rPr>
                <w:rFonts w:ascii="Times New Roman" w:hAnsi="Times New Roman"/>
                <w:sz w:val="24"/>
                <w:szCs w:val="24"/>
              </w:rPr>
              <w:lastRenderedPageBreak/>
              <w:t>projektā tiek paredzēts</w:t>
            </w:r>
            <w:r>
              <w:rPr>
                <w:rFonts w:ascii="Times New Roman" w:hAnsi="Times New Roman"/>
                <w:sz w:val="24"/>
                <w:szCs w:val="24"/>
              </w:rPr>
              <w:t xml:space="preserve">, ka </w:t>
            </w:r>
            <w:r w:rsidRPr="00B94917">
              <w:rPr>
                <w:rFonts w:ascii="Times New Roman" w:hAnsi="Times New Roman"/>
                <w:sz w:val="24"/>
                <w:szCs w:val="24"/>
              </w:rPr>
              <w:t xml:space="preserve">pircējs </w:t>
            </w:r>
            <w:r w:rsidR="005E7DEE">
              <w:rPr>
                <w:rFonts w:ascii="Times New Roman" w:hAnsi="Times New Roman"/>
                <w:sz w:val="24"/>
                <w:szCs w:val="24"/>
              </w:rPr>
              <w:t xml:space="preserve">noteiktā termiņā sagatavo un </w:t>
            </w:r>
            <w:r w:rsidRPr="00B94917">
              <w:rPr>
                <w:rFonts w:ascii="Times New Roman" w:hAnsi="Times New Roman"/>
                <w:sz w:val="24"/>
                <w:szCs w:val="24"/>
              </w:rPr>
              <w:t xml:space="preserve">iesniedz LAD </w:t>
            </w:r>
            <w:r>
              <w:rPr>
                <w:rFonts w:ascii="Times New Roman" w:hAnsi="Times New Roman"/>
                <w:sz w:val="24"/>
                <w:szCs w:val="24"/>
              </w:rPr>
              <w:t xml:space="preserve">informāciju </w:t>
            </w:r>
            <w:r w:rsidRPr="00B94917">
              <w:rPr>
                <w:rFonts w:ascii="Times New Roman" w:hAnsi="Times New Roman"/>
                <w:sz w:val="24"/>
                <w:szCs w:val="24"/>
              </w:rPr>
              <w:t>par ražotāju veiktajiem soda naudas maksājumiem</w:t>
            </w:r>
            <w:r w:rsidR="006930CC">
              <w:rPr>
                <w:rFonts w:ascii="Times New Roman" w:hAnsi="Times New Roman"/>
                <w:sz w:val="24"/>
                <w:szCs w:val="24"/>
              </w:rPr>
              <w:t xml:space="preserve"> saskaņā ar </w:t>
            </w:r>
            <w:r>
              <w:rPr>
                <w:rFonts w:ascii="Times New Roman" w:hAnsi="Times New Roman"/>
                <w:sz w:val="24"/>
                <w:szCs w:val="24"/>
              </w:rPr>
              <w:t>6.pielikum</w:t>
            </w:r>
            <w:r w:rsidR="006930CC">
              <w:rPr>
                <w:rFonts w:ascii="Times New Roman" w:hAnsi="Times New Roman"/>
                <w:sz w:val="24"/>
                <w:szCs w:val="24"/>
              </w:rPr>
              <w:t>a veidlapu</w:t>
            </w:r>
            <w:r w:rsidR="00697858">
              <w:rPr>
                <w:rFonts w:ascii="Times New Roman" w:hAnsi="Times New Roman"/>
                <w:sz w:val="24"/>
                <w:szCs w:val="24"/>
              </w:rPr>
              <w:t xml:space="preserve">, bet </w:t>
            </w:r>
            <w:r w:rsidR="002D3C1E">
              <w:rPr>
                <w:rFonts w:ascii="Times New Roman" w:hAnsi="Times New Roman"/>
                <w:sz w:val="24"/>
                <w:szCs w:val="24"/>
              </w:rPr>
              <w:t xml:space="preserve">LAD apkopo šo informāciju un </w:t>
            </w:r>
            <w:r w:rsidR="00697858">
              <w:rPr>
                <w:rFonts w:ascii="Times New Roman" w:hAnsi="Times New Roman"/>
                <w:sz w:val="24"/>
                <w:szCs w:val="24"/>
              </w:rPr>
              <w:t xml:space="preserve">nosūta </w:t>
            </w:r>
            <w:r w:rsidR="002D3C1E">
              <w:rPr>
                <w:rFonts w:ascii="Times New Roman" w:hAnsi="Times New Roman"/>
                <w:sz w:val="24"/>
                <w:szCs w:val="24"/>
              </w:rPr>
              <w:t>Eiropas Komisijai</w:t>
            </w:r>
            <w:r w:rsidR="00697858">
              <w:rPr>
                <w:rFonts w:ascii="Times New Roman" w:hAnsi="Times New Roman"/>
                <w:sz w:val="24"/>
                <w:szCs w:val="24"/>
              </w:rPr>
              <w:t xml:space="preserve"> ievērojot Regulas </w:t>
            </w:r>
            <w:r w:rsidR="00697858" w:rsidRPr="00697858">
              <w:rPr>
                <w:rFonts w:ascii="Times New Roman" w:hAnsi="Times New Roman"/>
                <w:color w:val="414142"/>
                <w:sz w:val="24"/>
                <w:szCs w:val="24"/>
              </w:rPr>
              <w:t>Nr. 595/2004 27.panta 4. un 6.punktu</w:t>
            </w:r>
            <w:r w:rsidR="002D3C1E">
              <w:rPr>
                <w:rFonts w:ascii="Times New Roman" w:hAnsi="Times New Roman"/>
                <w:sz w:val="24"/>
                <w:szCs w:val="24"/>
              </w:rPr>
              <w:t xml:space="preserve">. </w:t>
            </w:r>
          </w:p>
          <w:p w:rsidR="00D6308F" w:rsidRDefault="005A6601" w:rsidP="00384CE2">
            <w:pPr>
              <w:spacing w:line="240" w:lineRule="auto"/>
              <w:jc w:val="both"/>
              <w:rPr>
                <w:rFonts w:ascii="Times New Roman" w:hAnsi="Times New Roman"/>
                <w:sz w:val="24"/>
                <w:szCs w:val="24"/>
              </w:rPr>
            </w:pPr>
            <w:r w:rsidRPr="00B94917">
              <w:rPr>
                <w:rFonts w:ascii="Times New Roman" w:hAnsi="Times New Roman"/>
                <w:sz w:val="24"/>
                <w:szCs w:val="24"/>
              </w:rPr>
              <w:t>Noteikumi paredz, ka pircējs katru mēnesi saskaņā ar noteikumu 4.pielikumu nosūta Datu centram piena bilanci. Lai ievērotu 2014. gada 17. oktobra Komisijas Īstenošanas Regulas (ES) Nr.1097/2014 (turpmāk – Regula Nr.1097/2014) ar ko groza regulu (ES) Nr.479/2010 attiecībā uz dalībvalstu paziņojumiem Komisijai piena un piena produktu nozarē 1.a.panta 3.punkta prasības,</w:t>
            </w:r>
            <w:r>
              <w:rPr>
                <w:rFonts w:ascii="Times New Roman" w:hAnsi="Times New Roman"/>
                <w:sz w:val="24"/>
                <w:szCs w:val="24"/>
              </w:rPr>
              <w:t xml:space="preserve"> kas stājas spēkā 2014. gada 1.</w:t>
            </w:r>
            <w:r w:rsidRPr="00B94917">
              <w:rPr>
                <w:rFonts w:ascii="Times New Roman" w:hAnsi="Times New Roman"/>
                <w:sz w:val="24"/>
                <w:szCs w:val="24"/>
              </w:rPr>
              <w:t xml:space="preserve">novembrī, ir jāpapildina noteikumu 25.2.1.apakšpunkts ar nosacījumu pircējam, kuram turpmāk būs jāziņo arī plānotā piena iepirkuma vērtība bez pievienotās vērtības nodokļa likmes. Tā kā noteikumu projekts paredz grozīt noteikumu 25.2.1.apakšpunktu, tad 4.pielikums ir jāpapildina ar sadaļu par plānotā piena iepirkuma vērtību bez pievienotās vērtības nodokļa likmes. </w:t>
            </w:r>
          </w:p>
          <w:p w:rsidR="005A6601" w:rsidRPr="00B94917" w:rsidRDefault="005A6601" w:rsidP="00384CE2">
            <w:pPr>
              <w:spacing w:line="240" w:lineRule="auto"/>
              <w:jc w:val="both"/>
              <w:rPr>
                <w:rFonts w:ascii="Times New Roman" w:hAnsi="Times New Roman"/>
                <w:sz w:val="24"/>
                <w:szCs w:val="24"/>
              </w:rPr>
            </w:pPr>
            <w:r w:rsidRPr="00B94917">
              <w:rPr>
                <w:rFonts w:ascii="Times New Roman" w:hAnsi="Times New Roman"/>
                <w:sz w:val="24"/>
                <w:szCs w:val="24"/>
              </w:rPr>
              <w:t xml:space="preserve">Noteikumu 9.1. apakšpunktā ir jāveic redakcionāls precizējums, jo ir nepieciešams atrunāt Padomes 2007. gada 22. oktobra Regulas (EK) Nr. </w:t>
            </w:r>
            <w:hyperlink r:id="rId7" w:tgtFrame="_blank" w:history="1">
              <w:r w:rsidRPr="00B94917">
                <w:rPr>
                  <w:rFonts w:ascii="Times New Roman" w:hAnsi="Times New Roman"/>
                  <w:sz w:val="24"/>
                  <w:szCs w:val="24"/>
                </w:rPr>
                <w:t>1234/2007</w:t>
              </w:r>
            </w:hyperlink>
            <w:r w:rsidRPr="00B94917">
              <w:rPr>
                <w:rFonts w:ascii="Times New Roman" w:hAnsi="Times New Roman"/>
                <w:sz w:val="24"/>
                <w:szCs w:val="24"/>
              </w:rPr>
              <w:t xml:space="preserve">, ar ko izveido lauksaimniecības tirgus kopīgu organizāciju un paredz īpašus noteikumus dažiem lauksaimniecības produktiem (Vienotā TKO regula) saīsinājumu.   </w:t>
            </w:r>
          </w:p>
        </w:tc>
      </w:tr>
      <w:tr w:rsidR="005A6601" w:rsidRPr="00BA6D11" w:rsidTr="00A17A80">
        <w:trPr>
          <w:trHeight w:val="372"/>
          <w:tblCellSpacing w:w="15" w:type="dxa"/>
        </w:trPr>
        <w:tc>
          <w:tcPr>
            <w:tcW w:w="247"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lastRenderedPageBreak/>
              <w:t>3.</w:t>
            </w:r>
          </w:p>
        </w:tc>
        <w:tc>
          <w:tcPr>
            <w:tcW w:w="1530"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Projekta izstrādē iesaistītās institūcijas</w:t>
            </w:r>
          </w:p>
        </w:tc>
        <w:tc>
          <w:tcPr>
            <w:tcW w:w="3158" w:type="pct"/>
          </w:tcPr>
          <w:p w:rsidR="005A6601" w:rsidRPr="00B94917" w:rsidRDefault="005A6601" w:rsidP="002F5DA7">
            <w:pPr>
              <w:spacing w:after="0" w:line="240" w:lineRule="auto"/>
              <w:rPr>
                <w:rFonts w:ascii="Times New Roman" w:hAnsi="Times New Roman"/>
                <w:sz w:val="24"/>
                <w:szCs w:val="24"/>
              </w:rPr>
            </w:pPr>
            <w:r w:rsidRPr="00B94917">
              <w:rPr>
                <w:rFonts w:ascii="Times New Roman" w:hAnsi="Times New Roman"/>
                <w:sz w:val="24"/>
                <w:szCs w:val="24"/>
              </w:rPr>
              <w:t>Zemkopības ministrija, Lauksaimniecības datu centrs, Lauku atbalsta dienests</w:t>
            </w:r>
          </w:p>
        </w:tc>
      </w:tr>
      <w:tr w:rsidR="005A6601" w:rsidRPr="00BA6D11" w:rsidTr="00A17A80">
        <w:trPr>
          <w:tblCellSpacing w:w="15" w:type="dxa"/>
        </w:trPr>
        <w:tc>
          <w:tcPr>
            <w:tcW w:w="247"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4.</w:t>
            </w:r>
          </w:p>
        </w:tc>
        <w:tc>
          <w:tcPr>
            <w:tcW w:w="1530"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Cita informācija</w:t>
            </w:r>
          </w:p>
        </w:tc>
        <w:tc>
          <w:tcPr>
            <w:tcW w:w="3158"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Noteikumu projekts tiks īstenots, izmantojot esošo finansējumu, tāpēc papildu finansējums no valsts budžeta nav nepieciešams.</w:t>
            </w:r>
          </w:p>
        </w:tc>
      </w:tr>
    </w:tbl>
    <w:p w:rsidR="005A6601" w:rsidRDefault="005A6601">
      <w:pPr>
        <w:spacing w:after="0" w:line="240" w:lineRule="auto"/>
        <w:rPr>
          <w:rFonts w:ascii="Times New Roman" w:hAnsi="Times New Roman"/>
          <w:iCs/>
          <w:sz w:val="24"/>
          <w:szCs w:val="24"/>
        </w:rPr>
      </w:pPr>
    </w:p>
    <w:tbl>
      <w:tblPr>
        <w:tblW w:w="5091" w:type="pct"/>
        <w:tblCellSpacing w:w="15"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513"/>
        <w:gridCol w:w="2346"/>
        <w:gridCol w:w="6497"/>
      </w:tblGrid>
      <w:tr w:rsidR="005A6601" w:rsidRPr="00BA6D11" w:rsidTr="00A17A80">
        <w:trPr>
          <w:trHeight w:val="394"/>
          <w:tblCellSpacing w:w="15" w:type="dxa"/>
        </w:trPr>
        <w:tc>
          <w:tcPr>
            <w:tcW w:w="4968" w:type="pct"/>
            <w:gridSpan w:val="3"/>
            <w:vAlign w:val="center"/>
          </w:tcPr>
          <w:p w:rsidR="005A6601" w:rsidRPr="00BA6D11" w:rsidRDefault="005A6601">
            <w:pPr>
              <w:spacing w:after="0" w:line="240" w:lineRule="auto"/>
              <w:rPr>
                <w:rFonts w:ascii="Times New Roman" w:hAnsi="Times New Roman"/>
                <w:b/>
                <w:bCs/>
                <w:sz w:val="24"/>
                <w:szCs w:val="24"/>
              </w:rPr>
            </w:pPr>
            <w:r w:rsidRPr="00BA6D11">
              <w:rPr>
                <w:rFonts w:ascii="Times New Roman" w:hAnsi="Times New Roman"/>
                <w:b/>
                <w:bCs/>
                <w:sz w:val="24"/>
                <w:szCs w:val="24"/>
              </w:rPr>
              <w:t>II. Tiesību akta projekta ietekme uz sabiedrību, tautsaimniecības attīstību un administratīvo slogu</w:t>
            </w:r>
          </w:p>
        </w:tc>
      </w:tr>
      <w:tr w:rsidR="005A6601" w:rsidRPr="00BA6D11" w:rsidTr="00EF4666">
        <w:trPr>
          <w:trHeight w:val="331"/>
          <w:tblCellSpacing w:w="15" w:type="dxa"/>
        </w:trPr>
        <w:tc>
          <w:tcPr>
            <w:tcW w:w="251"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1.</w:t>
            </w:r>
          </w:p>
        </w:tc>
        <w:tc>
          <w:tcPr>
            <w:tcW w:w="1246"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Sabiedrības mērķgrupas, kuras tiesiskais regulējums ietekmē vai varētu ietekmēt</w:t>
            </w:r>
          </w:p>
        </w:tc>
        <w:tc>
          <w:tcPr>
            <w:tcW w:w="3440" w:type="pct"/>
          </w:tcPr>
          <w:p w:rsidR="005A6601" w:rsidRPr="00BA6D11" w:rsidRDefault="005A6601" w:rsidP="00785446">
            <w:pPr>
              <w:spacing w:after="0" w:line="240" w:lineRule="auto"/>
              <w:jc w:val="both"/>
              <w:rPr>
                <w:rFonts w:ascii="Times New Roman" w:hAnsi="Times New Roman"/>
                <w:sz w:val="24"/>
                <w:szCs w:val="24"/>
              </w:rPr>
            </w:pPr>
            <w:r w:rsidRPr="00BA6D11">
              <w:rPr>
                <w:rFonts w:ascii="Times New Roman" w:hAnsi="Times New Roman"/>
                <w:sz w:val="24"/>
                <w:szCs w:val="24"/>
              </w:rPr>
              <w:t xml:space="preserve">Piena kvotu īpašnieki (piena ražotāji) un piena pircēji. Pēc Datu centra datiem, 2014. gadā Latvijā ir 63 apstiprinātie piena pircēji un 10 335 kvotas īpašnieki, no tiem 9977 piegādes kvotu īpašnieks un 670 tiešās tirdzniecības kvotu īpašnieki. </w:t>
            </w:r>
          </w:p>
        </w:tc>
      </w:tr>
      <w:tr w:rsidR="005A6601" w:rsidRPr="00BA6D11" w:rsidTr="00EF4666">
        <w:trPr>
          <w:trHeight w:val="361"/>
          <w:tblCellSpacing w:w="15" w:type="dxa"/>
        </w:trPr>
        <w:tc>
          <w:tcPr>
            <w:tcW w:w="251"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2.</w:t>
            </w:r>
          </w:p>
        </w:tc>
        <w:tc>
          <w:tcPr>
            <w:tcW w:w="1246"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Tiesiskā regulējuma ietekme uz tautsaimniecību un administratīvo slogu</w:t>
            </w:r>
          </w:p>
        </w:tc>
        <w:tc>
          <w:tcPr>
            <w:tcW w:w="3440" w:type="pct"/>
          </w:tcPr>
          <w:p w:rsidR="005A6601" w:rsidRPr="00BA6D11" w:rsidRDefault="005A6601" w:rsidP="00785446">
            <w:pPr>
              <w:spacing w:after="0" w:line="240" w:lineRule="auto"/>
              <w:rPr>
                <w:rFonts w:ascii="Times New Roman" w:hAnsi="Times New Roman"/>
                <w:sz w:val="24"/>
                <w:szCs w:val="24"/>
              </w:rPr>
            </w:pPr>
            <w:r w:rsidRPr="00BA6D11">
              <w:rPr>
                <w:rFonts w:ascii="Times New Roman" w:hAnsi="Times New Roman"/>
                <w:sz w:val="24"/>
                <w:szCs w:val="24"/>
              </w:rPr>
              <w:t>Institūcijām projekta tiesiskais regulējums precizē jau iepriekš noteiktās tiesības un pienākumus, kā arī veicamās darbības</w:t>
            </w:r>
            <w:r w:rsidR="005E7DEE">
              <w:rPr>
                <w:rFonts w:ascii="Times New Roman" w:hAnsi="Times New Roman"/>
                <w:sz w:val="24"/>
                <w:szCs w:val="24"/>
              </w:rPr>
              <w:t xml:space="preserve"> un papildus uzliek pienākumu datu centram informēt dienestu par datu bāzē atkārtoti konstatētiem neatbilstošiem piena paraugiem.</w:t>
            </w:r>
            <w:r w:rsidRPr="00BA6D11">
              <w:rPr>
                <w:rFonts w:ascii="Times New Roman" w:hAnsi="Times New Roman"/>
                <w:sz w:val="24"/>
                <w:szCs w:val="24"/>
              </w:rPr>
              <w:t xml:space="preserve"> </w:t>
            </w:r>
            <w:r w:rsidR="005E7DEE">
              <w:rPr>
                <w:rFonts w:ascii="Times New Roman" w:hAnsi="Times New Roman"/>
                <w:sz w:val="24"/>
                <w:szCs w:val="24"/>
              </w:rPr>
              <w:t xml:space="preserve">Noteikumu projekts tiek papildināts ar pienākumu LAD sagatavot un iesniegt datu centram informāciju par ražotāju veiktajiem soda naudas maksājumiem. </w:t>
            </w:r>
            <w:r w:rsidRPr="00BA6D11">
              <w:rPr>
                <w:rFonts w:ascii="Times New Roman" w:hAnsi="Times New Roman"/>
                <w:sz w:val="24"/>
                <w:szCs w:val="24"/>
              </w:rPr>
              <w:t xml:space="preserve">Piena ražotājiem projekta tiesiskais regulējums precizē jau iepriekš noteiktās tiesības un pienākumus, kā arī veicamās darbības. </w:t>
            </w:r>
          </w:p>
          <w:p w:rsidR="005273F3" w:rsidRPr="005273F3" w:rsidRDefault="005A6601" w:rsidP="005273F3">
            <w:pPr>
              <w:spacing w:after="0" w:line="240" w:lineRule="auto"/>
              <w:jc w:val="both"/>
              <w:rPr>
                <w:rFonts w:ascii="Times New Roman" w:hAnsi="Times New Roman"/>
                <w:sz w:val="24"/>
                <w:szCs w:val="24"/>
              </w:rPr>
            </w:pPr>
            <w:r w:rsidRPr="00BA6D11">
              <w:rPr>
                <w:rFonts w:ascii="Times New Roman" w:hAnsi="Times New Roman"/>
                <w:sz w:val="24"/>
                <w:szCs w:val="24"/>
              </w:rPr>
              <w:lastRenderedPageBreak/>
              <w:t xml:space="preserve">Piena pircējiem projekta tiesiskais regulējums precizē jau iepriekš noteiktās tiesības, pienākumus un veicamās darbības, un nosaka jaunu pienākumu attiecībā uz avansa maksājuma ieturēšanu no piena ražotāja, ja tā piegādes piena kvotas apjoms tiek pārsniegts, kā arī pienākumu </w:t>
            </w:r>
            <w:r w:rsidR="005E7DEE">
              <w:rPr>
                <w:rFonts w:ascii="Times New Roman" w:hAnsi="Times New Roman"/>
                <w:sz w:val="24"/>
                <w:szCs w:val="24"/>
              </w:rPr>
              <w:t>informēt ražotāju par piena kvotas izpildi</w:t>
            </w:r>
            <w:r w:rsidR="00DC2A69">
              <w:rPr>
                <w:rFonts w:ascii="Times New Roman" w:hAnsi="Times New Roman"/>
                <w:sz w:val="24"/>
                <w:szCs w:val="24"/>
              </w:rPr>
              <w:t>, informēt ražotāju un datu centru</w:t>
            </w:r>
            <w:r w:rsidR="005E7DEE">
              <w:rPr>
                <w:rFonts w:ascii="Times New Roman" w:hAnsi="Times New Roman"/>
                <w:sz w:val="24"/>
                <w:szCs w:val="24"/>
              </w:rPr>
              <w:t xml:space="preserve"> par avansā ieturēto naudas summu</w:t>
            </w:r>
            <w:r w:rsidR="00DC2A69">
              <w:rPr>
                <w:rFonts w:ascii="Times New Roman" w:hAnsi="Times New Roman"/>
                <w:sz w:val="24"/>
                <w:szCs w:val="24"/>
              </w:rPr>
              <w:t>,</w:t>
            </w:r>
            <w:r w:rsidR="005E7DEE">
              <w:rPr>
                <w:rFonts w:ascii="Times New Roman" w:hAnsi="Times New Roman"/>
                <w:sz w:val="24"/>
                <w:szCs w:val="24"/>
              </w:rPr>
              <w:t xml:space="preserve"> a</w:t>
            </w:r>
            <w:r w:rsidRPr="00BA6D11">
              <w:rPr>
                <w:rFonts w:ascii="Times New Roman" w:hAnsi="Times New Roman"/>
                <w:sz w:val="24"/>
                <w:szCs w:val="24"/>
              </w:rPr>
              <w:t xml:space="preserve">tmaksāt piena ražotājam ieturēto maksājuma summu, ja </w:t>
            </w:r>
            <w:r w:rsidRPr="005273F3">
              <w:rPr>
                <w:rFonts w:ascii="Times New Roman" w:hAnsi="Times New Roman"/>
                <w:sz w:val="24"/>
                <w:szCs w:val="24"/>
              </w:rPr>
              <w:t>valsts kopējā piena kvota pēc izlīdzināšanas nebūs pārsniegta.</w:t>
            </w:r>
          </w:p>
          <w:p w:rsidR="005A6601" w:rsidRPr="00BA6D11" w:rsidRDefault="005273F3" w:rsidP="00604A18">
            <w:pPr>
              <w:spacing w:after="0" w:line="240" w:lineRule="auto"/>
              <w:jc w:val="both"/>
              <w:rPr>
                <w:rFonts w:ascii="Times New Roman" w:hAnsi="Times New Roman"/>
                <w:sz w:val="24"/>
                <w:szCs w:val="24"/>
              </w:rPr>
            </w:pPr>
            <w:r w:rsidRPr="005273F3">
              <w:rPr>
                <w:rFonts w:ascii="Times New Roman" w:hAnsi="Times New Roman"/>
                <w:sz w:val="24"/>
                <w:szCs w:val="24"/>
              </w:rPr>
              <w:t>Noteikumos tiek svītrot 9.6.apakšpunkts, jo tā kā noteikumu projektā ir paredzēta avansa maksājuma iekasēšana, tad vairs nav nepieciešams informēt datu centru par pircēju, kurš maksās soda naudu. Noteikum</w:t>
            </w:r>
            <w:r w:rsidR="00604A18">
              <w:rPr>
                <w:rFonts w:ascii="Times New Roman" w:hAnsi="Times New Roman"/>
                <w:sz w:val="24"/>
                <w:szCs w:val="24"/>
              </w:rPr>
              <w:t>u</w:t>
            </w:r>
            <w:r w:rsidRPr="005273F3">
              <w:rPr>
                <w:rFonts w:ascii="Times New Roman" w:hAnsi="Times New Roman"/>
                <w:sz w:val="24"/>
                <w:szCs w:val="24"/>
              </w:rPr>
              <w:t xml:space="preserve"> </w:t>
            </w:r>
            <w:r w:rsidR="00604A18">
              <w:rPr>
                <w:rFonts w:ascii="Times New Roman" w:hAnsi="Times New Roman"/>
                <w:sz w:val="24"/>
                <w:szCs w:val="24"/>
              </w:rPr>
              <w:t>1</w:t>
            </w:r>
            <w:r w:rsidRPr="005273F3">
              <w:rPr>
                <w:rFonts w:ascii="Times New Roman" w:hAnsi="Times New Roman"/>
                <w:sz w:val="24"/>
                <w:szCs w:val="24"/>
              </w:rPr>
              <w:t>8.punktu</w:t>
            </w:r>
            <w:r w:rsidR="00604A18">
              <w:rPr>
                <w:rFonts w:ascii="Times New Roman" w:hAnsi="Times New Roman"/>
                <w:sz w:val="24"/>
                <w:szCs w:val="24"/>
              </w:rPr>
              <w:t xml:space="preserve"> vairs nepiemēro ar 2015.gada 1.februāri</w:t>
            </w:r>
            <w:r w:rsidRPr="005273F3">
              <w:rPr>
                <w:rFonts w:ascii="Times New Roman" w:hAnsi="Times New Roman"/>
                <w:sz w:val="24"/>
                <w:szCs w:val="24"/>
              </w:rPr>
              <w:t>, jo, ja ražotājs pēdējā kvotas gad</w:t>
            </w:r>
            <w:r w:rsidR="00604A18">
              <w:rPr>
                <w:rFonts w:ascii="Times New Roman" w:hAnsi="Times New Roman"/>
                <w:sz w:val="24"/>
                <w:szCs w:val="24"/>
              </w:rPr>
              <w:t>a mēnesī</w:t>
            </w:r>
            <w:r w:rsidRPr="005273F3">
              <w:rPr>
                <w:rFonts w:ascii="Times New Roman" w:hAnsi="Times New Roman"/>
                <w:sz w:val="24"/>
                <w:szCs w:val="24"/>
              </w:rPr>
              <w:t xml:space="preserve"> pērk piena kvotu, tad viena procenta novirzīšana valsts rezervei vairs nav nepieciešama.</w:t>
            </w:r>
            <w:r>
              <w:rPr>
                <w:rFonts w:ascii="Times New Roman" w:hAnsi="Times New Roman"/>
                <w:color w:val="7F7F7F"/>
                <w:sz w:val="24"/>
                <w:szCs w:val="24"/>
              </w:rPr>
              <w:t xml:space="preserve"> </w:t>
            </w:r>
            <w:r w:rsidR="005A6601" w:rsidRPr="00BA6D11">
              <w:rPr>
                <w:rFonts w:ascii="Times New Roman" w:hAnsi="Times New Roman"/>
                <w:sz w:val="24"/>
                <w:szCs w:val="24"/>
              </w:rPr>
              <w:t xml:space="preserve"> </w:t>
            </w:r>
          </w:p>
        </w:tc>
      </w:tr>
      <w:tr w:rsidR="005A6601" w:rsidRPr="00BA6D11" w:rsidTr="00EF4666">
        <w:trPr>
          <w:trHeight w:val="361"/>
          <w:tblCellSpacing w:w="15" w:type="dxa"/>
        </w:trPr>
        <w:tc>
          <w:tcPr>
            <w:tcW w:w="251"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lastRenderedPageBreak/>
              <w:t>3.</w:t>
            </w:r>
          </w:p>
        </w:tc>
        <w:tc>
          <w:tcPr>
            <w:tcW w:w="1246"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Administratīvo izmaksu monetārs novērtējums</w:t>
            </w:r>
          </w:p>
        </w:tc>
        <w:tc>
          <w:tcPr>
            <w:tcW w:w="3440" w:type="pct"/>
          </w:tcPr>
          <w:p w:rsidR="005A6601" w:rsidRPr="00BA6D11" w:rsidRDefault="005A6601" w:rsidP="00384CE2">
            <w:pPr>
              <w:spacing w:after="0" w:line="240" w:lineRule="auto"/>
              <w:rPr>
                <w:rFonts w:ascii="Times New Roman" w:hAnsi="Times New Roman"/>
                <w:sz w:val="24"/>
                <w:szCs w:val="24"/>
              </w:rPr>
            </w:pPr>
            <w:r w:rsidRPr="00BA6D11">
              <w:rPr>
                <w:rFonts w:ascii="Times New Roman" w:hAnsi="Times New Roman"/>
                <w:sz w:val="24"/>
                <w:szCs w:val="24"/>
              </w:rPr>
              <w:t>Administratīvo izmaksu novērtējums mērķgrupai, ko veido juridiskas personas, nepārsniedz 2000 EUR gadā.</w:t>
            </w:r>
          </w:p>
        </w:tc>
      </w:tr>
      <w:tr w:rsidR="005A6601" w:rsidRPr="00BA6D11" w:rsidTr="00EF4666">
        <w:trPr>
          <w:trHeight w:val="421"/>
          <w:tblCellSpacing w:w="15" w:type="dxa"/>
        </w:trPr>
        <w:tc>
          <w:tcPr>
            <w:tcW w:w="251"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4.</w:t>
            </w:r>
          </w:p>
        </w:tc>
        <w:tc>
          <w:tcPr>
            <w:tcW w:w="1246"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Cita informācija</w:t>
            </w:r>
          </w:p>
        </w:tc>
        <w:tc>
          <w:tcPr>
            <w:tcW w:w="3440"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Nav</w:t>
            </w:r>
          </w:p>
        </w:tc>
      </w:tr>
    </w:tbl>
    <w:p w:rsidR="005A6601" w:rsidRDefault="005A6601" w:rsidP="003608D5">
      <w:pPr>
        <w:pStyle w:val="naisf"/>
        <w:spacing w:before="0" w:after="0"/>
      </w:pPr>
    </w:p>
    <w:p w:rsidR="005A6601" w:rsidRDefault="005A6601" w:rsidP="003608D5">
      <w:pPr>
        <w:pStyle w:val="naisf"/>
        <w:spacing w:before="0" w:after="0"/>
      </w:pPr>
      <w:r w:rsidRPr="00802B56">
        <w:t>Anotācijas III</w:t>
      </w:r>
      <w:r>
        <w:t xml:space="preserve"> un I</w:t>
      </w:r>
      <w:r w:rsidRPr="00802B56">
        <w:t>V sadaļa – projekts šo jomu neskar.</w:t>
      </w:r>
    </w:p>
    <w:p w:rsidR="005A6601" w:rsidRDefault="005A6601" w:rsidP="003608D5">
      <w:pPr>
        <w:pStyle w:val="naisf"/>
        <w:spacing w:before="0" w:after="0"/>
      </w:pPr>
    </w:p>
    <w:tbl>
      <w:tblPr>
        <w:tblW w:w="5000" w:type="pct"/>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1895"/>
        <w:gridCol w:w="4025"/>
        <w:gridCol w:w="3367"/>
      </w:tblGrid>
      <w:tr w:rsidR="005A6601" w:rsidRPr="00BA6D11" w:rsidTr="00A17A80">
        <w:trPr>
          <w:jc w:val="center"/>
        </w:trPr>
        <w:tc>
          <w:tcPr>
            <w:tcW w:w="4968" w:type="pct"/>
            <w:gridSpan w:val="3"/>
          </w:tcPr>
          <w:p w:rsidR="005A6601" w:rsidRDefault="005A6601" w:rsidP="00057C28">
            <w:pPr>
              <w:pStyle w:val="naisnod"/>
              <w:spacing w:before="0" w:after="0"/>
              <w:jc w:val="both"/>
            </w:pPr>
          </w:p>
          <w:p w:rsidR="005A6601" w:rsidRPr="009F0A6A" w:rsidRDefault="005A6601" w:rsidP="00057C28">
            <w:pPr>
              <w:pStyle w:val="naisnod"/>
              <w:spacing w:before="0" w:after="0"/>
              <w:jc w:val="both"/>
            </w:pPr>
            <w:r w:rsidRPr="009F0A6A">
              <w:t>V. Tiesību akta projekta atbilstība Latvijas Republikas starptautiskajām saistībām</w:t>
            </w:r>
          </w:p>
        </w:tc>
      </w:tr>
      <w:tr w:rsidR="005A6601" w:rsidRPr="00BA6D11" w:rsidTr="00A17A80">
        <w:trPr>
          <w:jc w:val="center"/>
        </w:trPr>
        <w:tc>
          <w:tcPr>
            <w:tcW w:w="1014" w:type="pct"/>
          </w:tcPr>
          <w:p w:rsidR="005A6601" w:rsidRPr="009F0A6A" w:rsidRDefault="005A6601" w:rsidP="00057C28">
            <w:pPr>
              <w:pStyle w:val="naiskr"/>
              <w:tabs>
                <w:tab w:val="left" w:pos="2628"/>
              </w:tabs>
              <w:spacing w:before="0" w:after="0"/>
              <w:jc w:val="both"/>
              <w:rPr>
                <w:iCs/>
              </w:rPr>
            </w:pPr>
            <w:r w:rsidRPr="009F0A6A">
              <w:rPr>
                <w:iCs/>
              </w:rPr>
              <w:t>1.</w:t>
            </w:r>
          </w:p>
        </w:tc>
        <w:tc>
          <w:tcPr>
            <w:tcW w:w="2153" w:type="pct"/>
          </w:tcPr>
          <w:p w:rsidR="005A6601" w:rsidRPr="009F0A6A" w:rsidRDefault="005A6601" w:rsidP="00057C28">
            <w:pPr>
              <w:pStyle w:val="naiskr"/>
              <w:tabs>
                <w:tab w:val="left" w:pos="2628"/>
              </w:tabs>
              <w:spacing w:before="0" w:after="0"/>
              <w:jc w:val="both"/>
              <w:rPr>
                <w:iCs/>
              </w:rPr>
            </w:pPr>
            <w:r w:rsidRPr="009F0A6A">
              <w:t>Saistības pret Eiropas Savienību</w:t>
            </w:r>
          </w:p>
        </w:tc>
        <w:tc>
          <w:tcPr>
            <w:tcW w:w="1768" w:type="pct"/>
          </w:tcPr>
          <w:p w:rsidR="005A6601" w:rsidRPr="00BA6D11" w:rsidRDefault="005A6601" w:rsidP="00057C28">
            <w:pPr>
              <w:tabs>
                <w:tab w:val="center" w:pos="4153"/>
                <w:tab w:val="right" w:pos="8306"/>
              </w:tabs>
              <w:spacing w:after="0" w:line="240" w:lineRule="auto"/>
              <w:jc w:val="both"/>
              <w:rPr>
                <w:rFonts w:ascii="Times New Roman" w:hAnsi="Times New Roman"/>
                <w:sz w:val="24"/>
                <w:szCs w:val="24"/>
              </w:rPr>
            </w:pPr>
            <w:r w:rsidRPr="00BA6D11">
              <w:rPr>
                <w:rFonts w:ascii="Times New Roman" w:hAnsi="Times New Roman"/>
                <w:sz w:val="24"/>
                <w:szCs w:val="24"/>
              </w:rPr>
              <w:t>Regula Nr.1234/2007;</w:t>
            </w:r>
          </w:p>
          <w:p w:rsidR="005A6601" w:rsidRPr="00BA6D11" w:rsidRDefault="005A6601" w:rsidP="00057C28">
            <w:pPr>
              <w:tabs>
                <w:tab w:val="center" w:pos="4153"/>
                <w:tab w:val="right" w:pos="8306"/>
              </w:tabs>
              <w:spacing w:after="0" w:line="240" w:lineRule="auto"/>
              <w:jc w:val="both"/>
              <w:rPr>
                <w:rFonts w:ascii="Times New Roman" w:hAnsi="Times New Roman"/>
                <w:sz w:val="24"/>
                <w:szCs w:val="24"/>
              </w:rPr>
            </w:pPr>
            <w:r w:rsidRPr="00BA6D11">
              <w:rPr>
                <w:rFonts w:ascii="Times New Roman" w:hAnsi="Times New Roman"/>
                <w:sz w:val="24"/>
                <w:szCs w:val="24"/>
              </w:rPr>
              <w:t>Regula Nr.595/2004.</w:t>
            </w:r>
          </w:p>
          <w:p w:rsidR="005A6601" w:rsidRPr="009F0A6A" w:rsidRDefault="005A6601" w:rsidP="00057C28">
            <w:pPr>
              <w:pStyle w:val="naiskr"/>
              <w:tabs>
                <w:tab w:val="left" w:pos="2628"/>
              </w:tabs>
              <w:spacing w:before="0" w:after="0"/>
              <w:jc w:val="both"/>
            </w:pPr>
            <w:r>
              <w:t xml:space="preserve">Regula </w:t>
            </w:r>
            <w:r w:rsidRPr="00FD0558">
              <w:t>Nr.1097/2014</w:t>
            </w:r>
          </w:p>
        </w:tc>
      </w:tr>
      <w:tr w:rsidR="005A6601" w:rsidRPr="00BA6D11" w:rsidTr="00A17A80">
        <w:trPr>
          <w:jc w:val="center"/>
        </w:trPr>
        <w:tc>
          <w:tcPr>
            <w:tcW w:w="1014" w:type="pct"/>
          </w:tcPr>
          <w:p w:rsidR="005A6601" w:rsidRPr="009F0A6A" w:rsidRDefault="005A6601" w:rsidP="00057C28">
            <w:pPr>
              <w:pStyle w:val="naiskr"/>
              <w:tabs>
                <w:tab w:val="left" w:pos="2628"/>
              </w:tabs>
              <w:spacing w:before="0" w:after="0"/>
              <w:jc w:val="both"/>
              <w:rPr>
                <w:iCs/>
              </w:rPr>
            </w:pPr>
            <w:r w:rsidRPr="009F0A6A">
              <w:rPr>
                <w:iCs/>
              </w:rPr>
              <w:t>2.</w:t>
            </w:r>
          </w:p>
        </w:tc>
        <w:tc>
          <w:tcPr>
            <w:tcW w:w="2153" w:type="pct"/>
          </w:tcPr>
          <w:p w:rsidR="005A6601" w:rsidRPr="009F0A6A" w:rsidRDefault="005A6601" w:rsidP="00057C28">
            <w:pPr>
              <w:pStyle w:val="naiskr"/>
              <w:tabs>
                <w:tab w:val="left" w:pos="2628"/>
              </w:tabs>
              <w:spacing w:before="0" w:after="0"/>
              <w:jc w:val="both"/>
              <w:rPr>
                <w:iCs/>
              </w:rPr>
            </w:pPr>
            <w:r w:rsidRPr="009F0A6A">
              <w:t>Citas starptautiskās saistības</w:t>
            </w:r>
          </w:p>
        </w:tc>
        <w:tc>
          <w:tcPr>
            <w:tcW w:w="1768" w:type="pct"/>
          </w:tcPr>
          <w:p w:rsidR="005A6601" w:rsidRPr="009F0A6A" w:rsidRDefault="005A6601" w:rsidP="00057C28">
            <w:pPr>
              <w:pStyle w:val="naiskr"/>
              <w:tabs>
                <w:tab w:val="left" w:pos="2628"/>
              </w:tabs>
              <w:spacing w:before="0" w:after="0"/>
              <w:jc w:val="both"/>
              <w:rPr>
                <w:iCs/>
              </w:rPr>
            </w:pPr>
            <w:r>
              <w:rPr>
                <w:color w:val="000000"/>
              </w:rPr>
              <w:t>Projekts šo jomu neskar.</w:t>
            </w:r>
          </w:p>
        </w:tc>
      </w:tr>
      <w:tr w:rsidR="005A6601" w:rsidRPr="00BA6D11" w:rsidTr="00A17A80">
        <w:trPr>
          <w:trHeight w:val="521"/>
          <w:jc w:val="center"/>
        </w:trPr>
        <w:tc>
          <w:tcPr>
            <w:tcW w:w="1014" w:type="pct"/>
          </w:tcPr>
          <w:p w:rsidR="005A6601" w:rsidRPr="009F0A6A" w:rsidRDefault="005A6601" w:rsidP="00057C28">
            <w:pPr>
              <w:pStyle w:val="naiskr"/>
              <w:tabs>
                <w:tab w:val="left" w:pos="2628"/>
              </w:tabs>
              <w:spacing w:before="0" w:after="0"/>
              <w:jc w:val="both"/>
              <w:rPr>
                <w:iCs/>
              </w:rPr>
            </w:pPr>
            <w:r w:rsidRPr="009F0A6A">
              <w:rPr>
                <w:iCs/>
              </w:rPr>
              <w:t>3.</w:t>
            </w:r>
          </w:p>
        </w:tc>
        <w:tc>
          <w:tcPr>
            <w:tcW w:w="2153" w:type="pct"/>
          </w:tcPr>
          <w:p w:rsidR="005A6601" w:rsidRPr="009F0A6A" w:rsidRDefault="005A6601" w:rsidP="00057C28">
            <w:pPr>
              <w:pStyle w:val="naiskr"/>
              <w:tabs>
                <w:tab w:val="left" w:pos="2628"/>
              </w:tabs>
              <w:spacing w:before="0" w:after="0"/>
              <w:jc w:val="both"/>
            </w:pPr>
            <w:r w:rsidRPr="009F0A6A">
              <w:t>Cita informācija</w:t>
            </w:r>
          </w:p>
        </w:tc>
        <w:tc>
          <w:tcPr>
            <w:tcW w:w="1768" w:type="pct"/>
          </w:tcPr>
          <w:p w:rsidR="005A6601" w:rsidRPr="009F0A6A" w:rsidRDefault="005A6601" w:rsidP="00057C28">
            <w:pPr>
              <w:pStyle w:val="naiskr"/>
              <w:tabs>
                <w:tab w:val="left" w:pos="2628"/>
              </w:tabs>
              <w:spacing w:before="0" w:after="0"/>
              <w:jc w:val="both"/>
              <w:rPr>
                <w:iCs/>
              </w:rPr>
            </w:pPr>
            <w:r w:rsidRPr="009F0A6A">
              <w:t>Nav</w:t>
            </w:r>
          </w:p>
        </w:tc>
      </w:tr>
    </w:tbl>
    <w:p w:rsidR="005A6601" w:rsidRPr="009F0A6A" w:rsidRDefault="005A6601" w:rsidP="003608D5">
      <w:pPr>
        <w:pStyle w:val="naisf"/>
        <w:spacing w:before="0" w:after="0"/>
      </w:pPr>
    </w:p>
    <w:tbl>
      <w:tblPr>
        <w:tblW w:w="9379"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28" w:type="dxa"/>
          <w:left w:w="28" w:type="dxa"/>
          <w:bottom w:w="28" w:type="dxa"/>
          <w:right w:w="28" w:type="dxa"/>
        </w:tblCellMar>
        <w:tblLook w:val="0000" w:firstRow="0" w:lastRow="0" w:firstColumn="0" w:lastColumn="0" w:noHBand="0" w:noVBand="0"/>
      </w:tblPr>
      <w:tblGrid>
        <w:gridCol w:w="1728"/>
        <w:gridCol w:w="1927"/>
        <w:gridCol w:w="3149"/>
        <w:gridCol w:w="2575"/>
      </w:tblGrid>
      <w:tr w:rsidR="005A6601" w:rsidRPr="00BA6D11" w:rsidTr="00A17A80">
        <w:trPr>
          <w:trHeight w:val="523"/>
          <w:jc w:val="center"/>
        </w:trPr>
        <w:tc>
          <w:tcPr>
            <w:tcW w:w="9379" w:type="dxa"/>
            <w:gridSpan w:val="4"/>
            <w:vAlign w:val="center"/>
          </w:tcPr>
          <w:p w:rsidR="005A6601" w:rsidRPr="009F0A6A" w:rsidRDefault="005A6601" w:rsidP="00B33D8C">
            <w:pPr>
              <w:pStyle w:val="naisnod"/>
              <w:spacing w:before="0" w:after="0"/>
            </w:pPr>
            <w:r w:rsidRPr="009F0A6A">
              <w:t xml:space="preserve">1.tabula </w:t>
            </w:r>
          </w:p>
          <w:p w:rsidR="005A6601" w:rsidRPr="009F0A6A" w:rsidRDefault="005A6601" w:rsidP="00B33D8C">
            <w:pPr>
              <w:pStyle w:val="naisnod"/>
              <w:spacing w:before="0" w:after="0"/>
            </w:pPr>
            <w:r w:rsidRPr="009F0A6A">
              <w:t>Tiesību akta projekta atbilstība ES tiesību aktiem</w:t>
            </w:r>
          </w:p>
        </w:tc>
      </w:tr>
      <w:tr w:rsidR="005A6601" w:rsidRPr="00BA6D11" w:rsidTr="00A17A80">
        <w:trPr>
          <w:trHeight w:val="1252"/>
          <w:jc w:val="center"/>
        </w:trPr>
        <w:tc>
          <w:tcPr>
            <w:tcW w:w="1728" w:type="dxa"/>
            <w:vAlign w:val="center"/>
          </w:tcPr>
          <w:p w:rsidR="005A6601" w:rsidRPr="009F0A6A" w:rsidRDefault="005A6601" w:rsidP="00B33D8C">
            <w:pPr>
              <w:pStyle w:val="naiskr"/>
              <w:spacing w:before="0" w:after="0"/>
              <w:ind w:hanging="10"/>
              <w:jc w:val="center"/>
            </w:pPr>
            <w:r w:rsidRPr="009F0A6A">
              <w:t>Attiecīgā ES tiesību akta datums, numurs un nosaukums</w:t>
            </w:r>
          </w:p>
        </w:tc>
        <w:tc>
          <w:tcPr>
            <w:tcW w:w="7651" w:type="dxa"/>
            <w:gridSpan w:val="3"/>
            <w:vAlign w:val="center"/>
          </w:tcPr>
          <w:p w:rsidR="005A6601" w:rsidRPr="009F0A6A" w:rsidRDefault="005A6601" w:rsidP="00B33D8C">
            <w:pPr>
              <w:pStyle w:val="naiskr"/>
              <w:spacing w:before="0" w:after="0"/>
            </w:pPr>
            <w:r w:rsidRPr="009F0A6A">
              <w:t>Regula Nr.1234/2007.</w:t>
            </w:r>
          </w:p>
          <w:p w:rsidR="005A6601" w:rsidRPr="009F0A6A" w:rsidRDefault="005A6601" w:rsidP="0000676D">
            <w:pPr>
              <w:pStyle w:val="naisf"/>
              <w:spacing w:before="0" w:after="0"/>
              <w:ind w:firstLine="0"/>
            </w:pPr>
            <w:r w:rsidRPr="000B29F3">
              <w:t xml:space="preserve">Regula </w:t>
            </w:r>
            <w:r>
              <w:t>Nr.</w:t>
            </w:r>
            <w:r w:rsidRPr="000B29F3">
              <w:t>595/2004.</w:t>
            </w:r>
          </w:p>
        </w:tc>
      </w:tr>
      <w:tr w:rsidR="005A6601" w:rsidRPr="00BA6D11" w:rsidTr="00A17A80">
        <w:trPr>
          <w:trHeight w:val="163"/>
          <w:jc w:val="center"/>
        </w:trPr>
        <w:tc>
          <w:tcPr>
            <w:tcW w:w="9379" w:type="dxa"/>
            <w:gridSpan w:val="4"/>
            <w:vAlign w:val="center"/>
          </w:tcPr>
          <w:p w:rsidR="005A6601" w:rsidRPr="009F0A6A" w:rsidRDefault="005A6601" w:rsidP="00B33D8C">
            <w:pPr>
              <w:pStyle w:val="naiskr"/>
              <w:spacing w:before="0" w:after="0"/>
            </w:pPr>
          </w:p>
        </w:tc>
      </w:tr>
      <w:tr w:rsidR="005A6601" w:rsidRPr="00BA6D11" w:rsidTr="00A17A80">
        <w:trPr>
          <w:trHeight w:val="165"/>
          <w:jc w:val="center"/>
        </w:trPr>
        <w:tc>
          <w:tcPr>
            <w:tcW w:w="1728" w:type="dxa"/>
            <w:vAlign w:val="center"/>
          </w:tcPr>
          <w:p w:rsidR="005A6601" w:rsidRPr="009F0A6A" w:rsidRDefault="005A6601" w:rsidP="00B33D8C">
            <w:pPr>
              <w:pStyle w:val="naiskr"/>
              <w:spacing w:before="0" w:after="0"/>
              <w:jc w:val="center"/>
            </w:pPr>
            <w:r w:rsidRPr="009F0A6A">
              <w:t>A</w:t>
            </w:r>
          </w:p>
        </w:tc>
        <w:tc>
          <w:tcPr>
            <w:tcW w:w="1927" w:type="dxa"/>
            <w:vAlign w:val="center"/>
          </w:tcPr>
          <w:p w:rsidR="005A6601" w:rsidRPr="009F0A6A" w:rsidRDefault="005A6601" w:rsidP="00B33D8C">
            <w:pPr>
              <w:pStyle w:val="naiskr"/>
              <w:spacing w:before="0" w:after="0"/>
              <w:jc w:val="center"/>
            </w:pPr>
            <w:r w:rsidRPr="009F0A6A">
              <w:t>B</w:t>
            </w:r>
          </w:p>
        </w:tc>
        <w:tc>
          <w:tcPr>
            <w:tcW w:w="3149" w:type="dxa"/>
            <w:vAlign w:val="center"/>
          </w:tcPr>
          <w:p w:rsidR="005A6601" w:rsidRPr="009F0A6A" w:rsidRDefault="005A6601" w:rsidP="00B33D8C">
            <w:pPr>
              <w:pStyle w:val="naiskr"/>
              <w:spacing w:before="0" w:after="0"/>
              <w:jc w:val="center"/>
            </w:pPr>
            <w:r w:rsidRPr="009F0A6A">
              <w:t>C</w:t>
            </w:r>
          </w:p>
        </w:tc>
        <w:tc>
          <w:tcPr>
            <w:tcW w:w="2575" w:type="dxa"/>
            <w:vAlign w:val="center"/>
          </w:tcPr>
          <w:p w:rsidR="005A6601" w:rsidRPr="009F0A6A" w:rsidRDefault="005A6601" w:rsidP="00B33D8C">
            <w:pPr>
              <w:pStyle w:val="naiskr"/>
              <w:spacing w:before="0" w:after="0"/>
              <w:jc w:val="center"/>
            </w:pPr>
            <w:r w:rsidRPr="009F0A6A">
              <w:t>D</w:t>
            </w:r>
          </w:p>
        </w:tc>
      </w:tr>
      <w:tr w:rsidR="005A6601" w:rsidRPr="00BA6D11" w:rsidTr="00A17A80">
        <w:trPr>
          <w:trHeight w:val="1232"/>
          <w:jc w:val="center"/>
        </w:trPr>
        <w:tc>
          <w:tcPr>
            <w:tcW w:w="1728" w:type="dxa"/>
          </w:tcPr>
          <w:p w:rsidR="005A6601" w:rsidRPr="009F0A6A" w:rsidRDefault="005A6601" w:rsidP="00B33D8C">
            <w:pPr>
              <w:pStyle w:val="naiskr"/>
              <w:spacing w:before="0" w:after="0"/>
            </w:pPr>
            <w:r w:rsidRPr="009F0A6A">
              <w:t xml:space="preserve">Attiecīgā ES tiesību akta panta numurs (uzskaitot katru tiesību akta </w:t>
            </w:r>
            <w:r w:rsidRPr="009F0A6A">
              <w:br/>
              <w:t>vienību – pantu, daļu, punktu, apakšpunktu)</w:t>
            </w:r>
          </w:p>
        </w:tc>
        <w:tc>
          <w:tcPr>
            <w:tcW w:w="1927" w:type="dxa"/>
          </w:tcPr>
          <w:p w:rsidR="005A6601" w:rsidRPr="009F0A6A" w:rsidRDefault="005A6601" w:rsidP="00B33D8C">
            <w:pPr>
              <w:pStyle w:val="naiskr"/>
              <w:spacing w:before="0" w:after="0"/>
            </w:pPr>
            <w:r w:rsidRPr="009F0A6A">
              <w:t>Projekta vienība, kas pārņem vai ievieš katru šīs tabulas A ailē minēto ES tiesību akta vienību</w:t>
            </w:r>
          </w:p>
        </w:tc>
        <w:tc>
          <w:tcPr>
            <w:tcW w:w="3149" w:type="dxa"/>
          </w:tcPr>
          <w:p w:rsidR="005A6601" w:rsidRPr="009F0A6A" w:rsidRDefault="005A6601" w:rsidP="00B33D8C">
            <w:pPr>
              <w:pStyle w:val="naiskr"/>
              <w:spacing w:before="0" w:after="0"/>
            </w:pPr>
            <w:r w:rsidRPr="009F0A6A">
              <w:t>Informācija par to, vai šīs tabulas A ailē minētās ES tiesību akta vienības tiek pārņemtas vai ieviestas pilnībā vai daļēji.</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 xml:space="preserve">Ja attiecīgā ES tiesību akta vienība tiek pārņemta vai ieviesta daļēji, – sniedz </w:t>
            </w:r>
            <w:r w:rsidRPr="009F0A6A">
              <w:lastRenderedPageBreak/>
              <w:t>attiecīgu skaidrojumu, kā arī precīzi norāda, kad un kādā veidā ES tiesību akta vienība tiks pārņemta vai ieviesta pilnībā.</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Norāda institūciju, kas ir atbildīga par šo saistību izpildi pilnībā</w:t>
            </w:r>
          </w:p>
        </w:tc>
        <w:tc>
          <w:tcPr>
            <w:tcW w:w="2575" w:type="dxa"/>
          </w:tcPr>
          <w:p w:rsidR="005A6601" w:rsidRPr="009F0A6A" w:rsidRDefault="005A6601" w:rsidP="00B33D8C">
            <w:pPr>
              <w:pStyle w:val="naiskr"/>
              <w:spacing w:before="0" w:after="0"/>
            </w:pPr>
            <w:r w:rsidRPr="009F0A6A">
              <w:lastRenderedPageBreak/>
              <w:t>Informācija par to, vai šīs tabulas B ailē minētās projekta vienības paredz stingrākas prasības nekā šīs tabulas A ailē minētās ES tiesību akta vienības.</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 xml:space="preserve">Ja projekts satur stingrākas prasības nekā </w:t>
            </w:r>
            <w:r w:rsidRPr="009F0A6A">
              <w:lastRenderedPageBreak/>
              <w:t>attiecīgais ES tiesību akts, – norāda pamatojumu un samērīgumu.</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Norāda iespējamās alternatīvas (t.sk. alternatīvas, kas neparedz tiesiskā regulējuma izstrādi) – kādos gadījumos būtu iespējams izvairīties no stingrāku prasību noteikšanas, nekā paredzēts attiecīgajos ES tiesību aktos</w:t>
            </w:r>
          </w:p>
        </w:tc>
      </w:tr>
      <w:tr w:rsidR="005A6601" w:rsidRPr="00BA6D11" w:rsidTr="00A17A80">
        <w:trPr>
          <w:trHeight w:val="20"/>
          <w:jc w:val="center"/>
        </w:trPr>
        <w:tc>
          <w:tcPr>
            <w:tcW w:w="1728" w:type="dxa"/>
            <w:vAlign w:val="center"/>
          </w:tcPr>
          <w:p w:rsidR="005A6601" w:rsidRPr="009F0A6A" w:rsidRDefault="005A6601" w:rsidP="0000676D">
            <w:pPr>
              <w:pStyle w:val="naisf"/>
              <w:spacing w:before="0" w:after="0"/>
              <w:ind w:firstLine="0"/>
            </w:pPr>
            <w:r>
              <w:lastRenderedPageBreak/>
              <w:t xml:space="preserve">Regulas Nr.1234/2007 79. </w:t>
            </w:r>
            <w:r w:rsidRPr="009F0A6A">
              <w:t xml:space="preserve">pants </w:t>
            </w:r>
          </w:p>
        </w:tc>
        <w:tc>
          <w:tcPr>
            <w:tcW w:w="1927" w:type="dxa"/>
            <w:vAlign w:val="center"/>
          </w:tcPr>
          <w:p w:rsidR="005A6601" w:rsidRPr="009F0A6A" w:rsidRDefault="005A6601" w:rsidP="00B33D8C">
            <w:pPr>
              <w:pStyle w:val="naiskr"/>
              <w:spacing w:before="0" w:after="0"/>
            </w:pPr>
            <w:r>
              <w:t>1.2.apakš</w:t>
            </w:r>
            <w:r w:rsidRPr="009F0A6A">
              <w:t>punkts</w:t>
            </w:r>
          </w:p>
        </w:tc>
        <w:tc>
          <w:tcPr>
            <w:tcW w:w="3149" w:type="dxa"/>
            <w:vAlign w:val="center"/>
          </w:tcPr>
          <w:p w:rsidR="005A6601" w:rsidRPr="009F0A6A" w:rsidRDefault="005A6601" w:rsidP="00B33D8C">
            <w:pPr>
              <w:pStyle w:val="naiskr"/>
              <w:spacing w:before="0" w:after="0"/>
              <w:jc w:val="both"/>
            </w:pPr>
            <w:r w:rsidRPr="009F0A6A">
              <w:t>Šīs tabulas A ailē minētās ES tiesību akta vienības tiek ieviestas pilnībā</w:t>
            </w:r>
            <w:r>
              <w:t xml:space="preserve"> </w:t>
            </w:r>
          </w:p>
        </w:tc>
        <w:tc>
          <w:tcPr>
            <w:tcW w:w="2575" w:type="dxa"/>
            <w:vAlign w:val="center"/>
          </w:tcPr>
          <w:p w:rsidR="005A6601" w:rsidRPr="00BA6D11" w:rsidRDefault="005A6601" w:rsidP="00CC7391">
            <w:pPr>
              <w:spacing w:after="0" w:line="240" w:lineRule="auto"/>
              <w:ind w:firstLine="301"/>
            </w:pPr>
            <w:r w:rsidRPr="00BA6D11">
              <w:rPr>
                <w:rFonts w:ascii="Times New Roman" w:hAnsi="Times New Roman"/>
                <w:sz w:val="24"/>
                <w:szCs w:val="24"/>
              </w:rPr>
              <w:t xml:space="preserve">Noteikumu 9.5.apakšpunkts paredz, ka piena ražotājs </w:t>
            </w:r>
            <w:r w:rsidRPr="002337D6">
              <w:rPr>
                <w:rFonts w:ascii="Times New Roman" w:hAnsi="Times New Roman"/>
                <w:sz w:val="24"/>
                <w:szCs w:val="24"/>
                <w:lang w:eastAsia="lv-LV"/>
              </w:rPr>
              <w:t>ir atbildīgs par soda naudas nomaksu, ja ir pārsniedzis savu pieejamo piena kvotu</w:t>
            </w:r>
            <w:r w:rsidR="005A00E9">
              <w:rPr>
                <w:rFonts w:ascii="Times New Roman" w:hAnsi="Times New Roman"/>
                <w:sz w:val="24"/>
                <w:szCs w:val="24"/>
                <w:lang w:eastAsia="lv-LV"/>
              </w:rPr>
              <w:t xml:space="preserve">, kā arī </w:t>
            </w:r>
            <w:r w:rsidRPr="002337D6">
              <w:rPr>
                <w:rFonts w:ascii="Times New Roman" w:hAnsi="Times New Roman"/>
                <w:sz w:val="24"/>
                <w:szCs w:val="24"/>
                <w:lang w:eastAsia="lv-LV"/>
              </w:rPr>
              <w:t>jāievēro citas Regulas Nr.</w:t>
            </w:r>
            <w:hyperlink r:id="rId8" w:tgtFrame="_blank" w:history="1">
              <w:r w:rsidRPr="002337D6">
                <w:rPr>
                  <w:rFonts w:ascii="Times New Roman" w:hAnsi="Times New Roman"/>
                  <w:sz w:val="24"/>
                  <w:szCs w:val="24"/>
                  <w:lang w:eastAsia="lv-LV"/>
                </w:rPr>
                <w:t>1234/2007</w:t>
              </w:r>
            </w:hyperlink>
            <w:r w:rsidRPr="002337D6">
              <w:rPr>
                <w:rFonts w:ascii="Times New Roman" w:hAnsi="Times New Roman"/>
                <w:sz w:val="24"/>
                <w:szCs w:val="24"/>
                <w:lang w:eastAsia="lv-LV"/>
              </w:rPr>
              <w:t xml:space="preserve"> 79.</w:t>
            </w:r>
            <w:r>
              <w:rPr>
                <w:rFonts w:ascii="Times New Roman" w:hAnsi="Times New Roman"/>
                <w:sz w:val="24"/>
                <w:szCs w:val="24"/>
                <w:lang w:eastAsia="lv-LV"/>
              </w:rPr>
              <w:t xml:space="preserve"> </w:t>
            </w:r>
            <w:r w:rsidRPr="002337D6">
              <w:rPr>
                <w:rFonts w:ascii="Times New Roman" w:hAnsi="Times New Roman"/>
                <w:sz w:val="24"/>
                <w:szCs w:val="24"/>
                <w:lang w:eastAsia="lv-LV"/>
              </w:rPr>
              <w:t>panta prasības.</w:t>
            </w:r>
            <w:r w:rsidRPr="00BA6D11">
              <w:rPr>
                <w:rFonts w:ascii="Times New Roman" w:hAnsi="Times New Roman"/>
                <w:sz w:val="24"/>
                <w:szCs w:val="24"/>
              </w:rPr>
              <w:t xml:space="preserve"> Šīs tabulas B ailē minētās noteikumu projekta </w:t>
            </w:r>
            <w:r w:rsidR="00CC7391">
              <w:rPr>
                <w:rFonts w:ascii="Times New Roman" w:hAnsi="Times New Roman"/>
                <w:sz w:val="24"/>
                <w:szCs w:val="24"/>
              </w:rPr>
              <w:t>1.2.</w:t>
            </w:r>
            <w:r w:rsidRPr="00BA6D11">
              <w:rPr>
                <w:rFonts w:ascii="Times New Roman" w:hAnsi="Times New Roman"/>
                <w:sz w:val="24"/>
                <w:szCs w:val="24"/>
              </w:rPr>
              <w:t>. apakšpunkts neparedz stingrākas prasības kā šīs tabulas A ailē minētās ES tiesību akta vienības.</w:t>
            </w:r>
          </w:p>
        </w:tc>
      </w:tr>
      <w:tr w:rsidR="0009536F" w:rsidRPr="009F0A6A" w:rsidTr="009D7CB2">
        <w:trPr>
          <w:trHeight w:val="20"/>
          <w:jc w:val="center"/>
        </w:trPr>
        <w:tc>
          <w:tcPr>
            <w:tcW w:w="1728" w:type="dxa"/>
          </w:tcPr>
          <w:p w:rsidR="0009536F" w:rsidRDefault="0009536F" w:rsidP="009D7CB2">
            <w:pPr>
              <w:pStyle w:val="naisf"/>
              <w:spacing w:before="0" w:after="0"/>
              <w:ind w:firstLine="0"/>
              <w:jc w:val="center"/>
            </w:pPr>
            <w:r>
              <w:t xml:space="preserve">Regulas </w:t>
            </w:r>
            <w:r w:rsidRPr="00FD0558">
              <w:t>Nr.1097/2014</w:t>
            </w:r>
          </w:p>
          <w:p w:rsidR="0009536F" w:rsidRDefault="0009536F" w:rsidP="009D7CB2">
            <w:pPr>
              <w:pStyle w:val="naisf"/>
              <w:spacing w:before="0" w:after="0"/>
              <w:ind w:firstLine="0"/>
              <w:jc w:val="center"/>
            </w:pPr>
            <w:r w:rsidRPr="00FD0558">
              <w:t>1.a.panta 3.punkt</w:t>
            </w:r>
            <w:r>
              <w:t>s</w:t>
            </w:r>
          </w:p>
          <w:p w:rsidR="0009536F" w:rsidRDefault="0009536F" w:rsidP="009D7CB2">
            <w:pPr>
              <w:pStyle w:val="naisf"/>
              <w:spacing w:before="0" w:after="0"/>
              <w:ind w:firstLine="0"/>
              <w:jc w:val="center"/>
            </w:pPr>
          </w:p>
          <w:p w:rsidR="0009536F" w:rsidRPr="009F0A6A" w:rsidRDefault="0009536F" w:rsidP="009D7CB2">
            <w:pPr>
              <w:pStyle w:val="naisf"/>
              <w:spacing w:before="0" w:after="0"/>
              <w:ind w:firstLine="0"/>
              <w:jc w:val="center"/>
            </w:pPr>
          </w:p>
        </w:tc>
        <w:tc>
          <w:tcPr>
            <w:tcW w:w="1927" w:type="dxa"/>
          </w:tcPr>
          <w:p w:rsidR="0009536F" w:rsidRPr="009F0A6A" w:rsidRDefault="007956E1" w:rsidP="0009666A">
            <w:pPr>
              <w:pStyle w:val="naiskr"/>
              <w:spacing w:before="0" w:after="0"/>
            </w:pPr>
            <w:r>
              <w:t>2</w:t>
            </w:r>
            <w:r w:rsidR="0009536F">
              <w:t>.</w:t>
            </w:r>
            <w:r w:rsidR="0009536F" w:rsidRPr="009F0A6A">
              <w:t>punkts</w:t>
            </w:r>
          </w:p>
        </w:tc>
        <w:tc>
          <w:tcPr>
            <w:tcW w:w="3149" w:type="dxa"/>
          </w:tcPr>
          <w:p w:rsidR="0009536F" w:rsidRPr="009F0A6A" w:rsidRDefault="0009536F" w:rsidP="009D7CB2">
            <w:pPr>
              <w:pStyle w:val="naiskr"/>
              <w:spacing w:before="0" w:after="0"/>
              <w:jc w:val="center"/>
            </w:pPr>
            <w:r w:rsidRPr="009F0A6A">
              <w:t>Šīs tabulas A ailē minētās ES tiesību akta vienības tiek ieviestas pilnībā</w:t>
            </w:r>
          </w:p>
        </w:tc>
        <w:tc>
          <w:tcPr>
            <w:tcW w:w="2575" w:type="dxa"/>
            <w:vAlign w:val="center"/>
          </w:tcPr>
          <w:p w:rsidR="0009536F" w:rsidRPr="009F0A6A" w:rsidRDefault="0009536F" w:rsidP="00CC7391">
            <w:pPr>
              <w:pStyle w:val="naisf"/>
              <w:spacing w:before="0" w:after="0"/>
              <w:ind w:firstLine="0"/>
              <w:jc w:val="left"/>
            </w:pPr>
            <w:r>
              <w:t xml:space="preserve">Saskaņā ar regulas nosacījumiem </w:t>
            </w:r>
            <w:r w:rsidRPr="00FD0558">
              <w:t xml:space="preserve">pircējam turpmāk būs jāziņo </w:t>
            </w:r>
            <w:r>
              <w:t xml:space="preserve">Datu centram </w:t>
            </w:r>
            <w:r w:rsidRPr="00FD0558">
              <w:t xml:space="preserve">arī plānotā piena iepirkuma vērtība </w:t>
            </w:r>
            <w:r>
              <w:t xml:space="preserve">(cena) nākamajā mēnesī </w:t>
            </w:r>
            <w:r w:rsidRPr="00FD0558">
              <w:t>bez pievienotās vērtības nodokļa likmes.</w:t>
            </w:r>
            <w:r w:rsidR="0009666A" w:rsidRPr="002337D6">
              <w:t xml:space="preserve"> Šīs tabulas B a</w:t>
            </w:r>
            <w:r w:rsidR="0009666A">
              <w:t>ilē minētās noteikumu</w:t>
            </w:r>
            <w:r w:rsidR="00CC7391">
              <w:t xml:space="preserve"> projekta 2.</w:t>
            </w:r>
            <w:r w:rsidR="0009666A" w:rsidRPr="002337D6">
              <w:t>punkts neparedz stingrākas prasības kā šīs tabulas A ailē minētās ES tiesību akta vienības.</w:t>
            </w:r>
          </w:p>
        </w:tc>
      </w:tr>
      <w:tr w:rsidR="005A00E9" w:rsidRPr="009F0A6A" w:rsidTr="009D7CB2">
        <w:trPr>
          <w:trHeight w:val="20"/>
          <w:jc w:val="center"/>
        </w:trPr>
        <w:tc>
          <w:tcPr>
            <w:tcW w:w="1728" w:type="dxa"/>
            <w:vAlign w:val="center"/>
          </w:tcPr>
          <w:p w:rsidR="005A00E9" w:rsidRDefault="005A00E9" w:rsidP="009D7CB2">
            <w:pPr>
              <w:pStyle w:val="naisf"/>
              <w:spacing w:before="0" w:after="0"/>
              <w:ind w:firstLine="0"/>
            </w:pPr>
            <w:r w:rsidRPr="009F0A6A">
              <w:t xml:space="preserve">Regulas Nr.1234/2007 </w:t>
            </w:r>
            <w:r>
              <w:t>81.panta 1.punkts</w:t>
            </w:r>
          </w:p>
          <w:p w:rsidR="005A00E9" w:rsidRDefault="005A00E9" w:rsidP="009D7CB2">
            <w:pPr>
              <w:pStyle w:val="naisf"/>
              <w:spacing w:before="0" w:after="0"/>
              <w:ind w:firstLine="0"/>
            </w:pPr>
            <w:r>
              <w:t xml:space="preserve">Nr.595/2004 15.panta </w:t>
            </w:r>
            <w:r>
              <w:lastRenderedPageBreak/>
              <w:t>1.punkts</w:t>
            </w:r>
          </w:p>
        </w:tc>
        <w:tc>
          <w:tcPr>
            <w:tcW w:w="1927" w:type="dxa"/>
            <w:vAlign w:val="center"/>
          </w:tcPr>
          <w:p w:rsidR="005A00E9" w:rsidRPr="009F0A6A" w:rsidRDefault="007956E1" w:rsidP="009D7CB2">
            <w:pPr>
              <w:pStyle w:val="naiskr"/>
              <w:spacing w:before="0" w:after="0"/>
            </w:pPr>
            <w:r>
              <w:lastRenderedPageBreak/>
              <w:t>3</w:t>
            </w:r>
            <w:r w:rsidR="005A00E9">
              <w:t>.1.apakš</w:t>
            </w:r>
            <w:r w:rsidR="005A00E9" w:rsidRPr="009F0A6A">
              <w:t>punkts</w:t>
            </w:r>
          </w:p>
        </w:tc>
        <w:tc>
          <w:tcPr>
            <w:tcW w:w="3149" w:type="dxa"/>
            <w:vAlign w:val="center"/>
          </w:tcPr>
          <w:p w:rsidR="005A00E9" w:rsidRPr="009F0A6A" w:rsidRDefault="005A00E9" w:rsidP="009D7CB2">
            <w:pPr>
              <w:pStyle w:val="naiskr"/>
              <w:spacing w:before="0" w:after="0"/>
              <w:jc w:val="both"/>
            </w:pPr>
            <w:r w:rsidRPr="009F0A6A">
              <w:t>Šīs tabulas A ailē minētās ES tiesību akta vienības tiek ieviestas pilnībā</w:t>
            </w:r>
          </w:p>
        </w:tc>
        <w:tc>
          <w:tcPr>
            <w:tcW w:w="2575" w:type="dxa"/>
          </w:tcPr>
          <w:p w:rsidR="005A00E9" w:rsidRPr="002337D6" w:rsidRDefault="005A00E9" w:rsidP="009D7CB2">
            <w:pPr>
              <w:spacing w:after="0" w:line="240" w:lineRule="auto"/>
              <w:ind w:firstLine="300"/>
              <w:rPr>
                <w:rFonts w:ascii="Times New Roman" w:hAnsi="Times New Roman"/>
                <w:sz w:val="24"/>
                <w:szCs w:val="24"/>
                <w:lang w:eastAsia="lv-LV"/>
              </w:rPr>
            </w:pPr>
            <w:r w:rsidRPr="00BA6D11">
              <w:rPr>
                <w:rFonts w:ascii="Times New Roman" w:hAnsi="Times New Roman"/>
                <w:sz w:val="24"/>
                <w:szCs w:val="24"/>
              </w:rPr>
              <w:t xml:space="preserve">Noteikumu 26.2.apakšpunkts paredz, ka piena pircējs </w:t>
            </w:r>
            <w:r w:rsidRPr="002337D6">
              <w:rPr>
                <w:rFonts w:ascii="Times New Roman" w:hAnsi="Times New Roman"/>
                <w:sz w:val="24"/>
                <w:szCs w:val="24"/>
                <w:lang w:eastAsia="lv-LV"/>
              </w:rPr>
              <w:t xml:space="preserve">ir atbildīgs par soda naudas iekasēšanu no piena ražotāja ievērojot Regulas </w:t>
            </w:r>
            <w:r w:rsidRPr="002337D6">
              <w:rPr>
                <w:rFonts w:ascii="Times New Roman" w:hAnsi="Times New Roman"/>
                <w:sz w:val="24"/>
                <w:szCs w:val="24"/>
                <w:lang w:eastAsia="lv-LV"/>
              </w:rPr>
              <w:lastRenderedPageBreak/>
              <w:t>(EK) Nr.</w:t>
            </w:r>
            <w:hyperlink r:id="rId9" w:tgtFrame="_blank" w:history="1">
              <w:r w:rsidRPr="002337D6">
                <w:rPr>
                  <w:rFonts w:ascii="Times New Roman" w:hAnsi="Times New Roman"/>
                  <w:sz w:val="24"/>
                  <w:szCs w:val="24"/>
                  <w:lang w:eastAsia="lv-LV"/>
                </w:rPr>
                <w:t>1234/2007</w:t>
              </w:r>
            </w:hyperlink>
            <w:r w:rsidRPr="002337D6">
              <w:rPr>
                <w:rFonts w:ascii="Times New Roman" w:hAnsi="Times New Roman"/>
                <w:sz w:val="24"/>
                <w:szCs w:val="24"/>
                <w:lang w:eastAsia="lv-LV"/>
              </w:rPr>
              <w:t xml:space="preserve"> 81. pantu un samaksā saskaņā ar datu centra lēmumu no ražotājiem iekasēto maksājumu Lauku atbalsta dienestam saskaņā ar Regulas Nr. </w:t>
            </w:r>
            <w:hyperlink r:id="rId10" w:tgtFrame="_blank" w:history="1">
              <w:r w:rsidRPr="002337D6">
                <w:rPr>
                  <w:rFonts w:ascii="Times New Roman" w:hAnsi="Times New Roman"/>
                  <w:sz w:val="24"/>
                  <w:szCs w:val="24"/>
                  <w:lang w:eastAsia="lv-LV"/>
                </w:rPr>
                <w:t>595/2004</w:t>
              </w:r>
            </w:hyperlink>
            <w:r w:rsidRPr="002337D6">
              <w:rPr>
                <w:rFonts w:ascii="Times New Roman" w:hAnsi="Times New Roman"/>
                <w:sz w:val="24"/>
                <w:szCs w:val="24"/>
                <w:lang w:eastAsia="lv-LV"/>
              </w:rPr>
              <w:t xml:space="preserve"> 15.panta 1.punktā noteikto termiņu. </w:t>
            </w:r>
          </w:p>
          <w:p w:rsidR="005A00E9" w:rsidRPr="009F0A6A" w:rsidRDefault="005A00E9" w:rsidP="00CC7391">
            <w:pPr>
              <w:pStyle w:val="naisf"/>
              <w:spacing w:before="0" w:after="0"/>
              <w:ind w:firstLine="0"/>
              <w:jc w:val="left"/>
            </w:pPr>
            <w:r w:rsidRPr="002337D6">
              <w:t>Šīs tabulas B a</w:t>
            </w:r>
            <w:r>
              <w:t xml:space="preserve">ilē minētās noteikumu projekta </w:t>
            </w:r>
            <w:r w:rsidR="00CC7391">
              <w:t>3</w:t>
            </w:r>
            <w:r>
              <w:t>.</w:t>
            </w:r>
            <w:r w:rsidR="00CC7391">
              <w:t>1</w:t>
            </w:r>
            <w:r w:rsidRPr="002337D6">
              <w:t>.</w:t>
            </w:r>
            <w:r>
              <w:t>apakš</w:t>
            </w:r>
            <w:r w:rsidRPr="002337D6">
              <w:t>punkts neparedz stingrākas prasības kā šīs tabulas A ailē minētās ES tiesību akta vienības.</w:t>
            </w:r>
          </w:p>
        </w:tc>
      </w:tr>
      <w:tr w:rsidR="005A6601" w:rsidRPr="00BA6D11" w:rsidTr="00A17A80">
        <w:trPr>
          <w:trHeight w:val="20"/>
          <w:jc w:val="center"/>
        </w:trPr>
        <w:tc>
          <w:tcPr>
            <w:tcW w:w="1728" w:type="dxa"/>
            <w:vAlign w:val="center"/>
          </w:tcPr>
          <w:p w:rsidR="005A6601" w:rsidRDefault="005A6601" w:rsidP="0000676D">
            <w:pPr>
              <w:pStyle w:val="naisf"/>
              <w:spacing w:before="0" w:after="0"/>
              <w:ind w:firstLine="0"/>
            </w:pPr>
            <w:r w:rsidRPr="009F0A6A">
              <w:lastRenderedPageBreak/>
              <w:t xml:space="preserve">Regulas Nr.1234/2007 </w:t>
            </w:r>
            <w:r>
              <w:t>81</w:t>
            </w:r>
            <w:r w:rsidRPr="009F0A6A">
              <w:t>.panta 3.punkt</w:t>
            </w:r>
            <w:r>
              <w:t>s</w:t>
            </w:r>
          </w:p>
          <w:p w:rsidR="005A6601" w:rsidRDefault="005A6601" w:rsidP="0000676D">
            <w:pPr>
              <w:pStyle w:val="naisf"/>
              <w:spacing w:before="0" w:after="0"/>
              <w:ind w:firstLine="0"/>
            </w:pPr>
          </w:p>
          <w:p w:rsidR="005A6601" w:rsidRDefault="005A6601" w:rsidP="0000676D">
            <w:pPr>
              <w:pStyle w:val="naisf"/>
              <w:spacing w:before="0" w:after="0"/>
              <w:ind w:firstLine="0"/>
            </w:pPr>
          </w:p>
          <w:p w:rsidR="005A6601" w:rsidRDefault="005A6601" w:rsidP="0000676D">
            <w:pPr>
              <w:pStyle w:val="naisf"/>
              <w:spacing w:before="0" w:after="0"/>
              <w:ind w:firstLine="0"/>
            </w:pPr>
          </w:p>
          <w:p w:rsidR="005A6601" w:rsidRDefault="005A6601" w:rsidP="0000676D">
            <w:pPr>
              <w:pStyle w:val="naisf"/>
              <w:spacing w:before="0" w:after="0"/>
              <w:ind w:firstLine="0"/>
            </w:pPr>
          </w:p>
          <w:p w:rsidR="005A6601" w:rsidRDefault="005A6601" w:rsidP="00B600B5">
            <w:pPr>
              <w:pStyle w:val="naisf"/>
              <w:spacing w:before="0" w:after="0"/>
              <w:ind w:firstLine="0"/>
            </w:pPr>
            <w:r w:rsidRPr="009F0A6A">
              <w:t xml:space="preserve">Regulas Nr.1234/2007 </w:t>
            </w:r>
            <w:r>
              <w:t>84</w:t>
            </w:r>
            <w:r w:rsidRPr="009F0A6A">
              <w:t xml:space="preserve">.panta </w:t>
            </w:r>
            <w:r>
              <w:t>2</w:t>
            </w:r>
            <w:r w:rsidRPr="009F0A6A">
              <w:t>.punkt</w:t>
            </w:r>
            <w:r>
              <w:t>s</w:t>
            </w:r>
          </w:p>
          <w:p w:rsidR="005A6601" w:rsidRDefault="005A6601" w:rsidP="0000676D">
            <w:pPr>
              <w:pStyle w:val="naisf"/>
              <w:spacing w:before="0" w:after="0"/>
              <w:ind w:firstLine="0"/>
            </w:pPr>
          </w:p>
        </w:tc>
        <w:tc>
          <w:tcPr>
            <w:tcW w:w="1927" w:type="dxa"/>
            <w:vAlign w:val="center"/>
          </w:tcPr>
          <w:p w:rsidR="005A6601" w:rsidRDefault="007956E1" w:rsidP="002337D6">
            <w:pPr>
              <w:pStyle w:val="naiskr"/>
              <w:spacing w:before="0" w:after="0"/>
            </w:pPr>
            <w:r>
              <w:t>3</w:t>
            </w:r>
            <w:r w:rsidR="005A6601">
              <w:t>.2.apakš</w:t>
            </w:r>
            <w:r w:rsidR="005A6601" w:rsidRPr="00970063">
              <w:t>punkts</w:t>
            </w:r>
          </w:p>
        </w:tc>
        <w:tc>
          <w:tcPr>
            <w:tcW w:w="3149" w:type="dxa"/>
            <w:vAlign w:val="center"/>
          </w:tcPr>
          <w:p w:rsidR="005A6601" w:rsidRPr="009F0A6A" w:rsidRDefault="005A6601" w:rsidP="00B33D8C">
            <w:pPr>
              <w:pStyle w:val="naiskr"/>
              <w:spacing w:before="0" w:after="0"/>
              <w:jc w:val="both"/>
            </w:pPr>
            <w:r w:rsidRPr="00970063">
              <w:t>Šīs tabulas A ailē minētās ES tiesību akta vienības tiek ieviestas pilnībā</w:t>
            </w:r>
          </w:p>
        </w:tc>
        <w:tc>
          <w:tcPr>
            <w:tcW w:w="2575" w:type="dxa"/>
            <w:vAlign w:val="center"/>
          </w:tcPr>
          <w:p w:rsidR="005A6601" w:rsidRPr="00BA6D11" w:rsidRDefault="005A6601" w:rsidP="00CC7391">
            <w:pPr>
              <w:spacing w:after="0" w:line="240" w:lineRule="auto"/>
              <w:ind w:firstLine="301"/>
              <w:rPr>
                <w:rFonts w:ascii="Times New Roman" w:hAnsi="Times New Roman"/>
                <w:sz w:val="24"/>
                <w:szCs w:val="24"/>
              </w:rPr>
            </w:pPr>
            <w:r w:rsidRPr="00BA6D11">
              <w:rPr>
                <w:rFonts w:ascii="Times New Roman" w:hAnsi="Times New Roman"/>
                <w:sz w:val="24"/>
                <w:szCs w:val="24"/>
              </w:rPr>
              <w:t>Noteikumu 26.8.apakšpunktā tiek pārņemtas Padomes Regulas Nr.1234/2007 81.panta 3.punktā noteiktās prasības un izdarīta dalībvalsts izvēle attiecībā uz avansa maksājuma noteikšanu piena ražotājiem, kuri pārsniedz savu pieejamo piegādes piena kvotu. Piena pircējs iekasē maksājumu no piena ražotāja par pārsniegto kvotas apjomu līdz pilnīgai saistību izpildei, ieturot ne vairāk par 50% no samaksas par pienu, kas pienākas ražotājam. Noteikumu projekta 26.9.apakšpunktā tiek pārņemtas Padomes Regulas Nr.1234/2007 84.panta 2.punktā noteiktās prasības, kas paredz, ja valsts kopējā piena kvota pēc izlīdzināšanas nav pārsniegta, pircējs līdz 2015. gada 1. jūlijam atmaksā ražotājam no tā iekasēto maksājumu.</w:t>
            </w:r>
            <w:r w:rsidR="00CC7391" w:rsidRPr="002337D6">
              <w:t xml:space="preserve"> </w:t>
            </w:r>
            <w:r w:rsidR="00CC7391" w:rsidRPr="00CC7391">
              <w:rPr>
                <w:rFonts w:ascii="Times New Roman" w:hAnsi="Times New Roman"/>
                <w:sz w:val="24"/>
                <w:szCs w:val="24"/>
              </w:rPr>
              <w:t xml:space="preserve">Šīs tabulas B ailē minētās noteikumu  </w:t>
            </w:r>
            <w:r w:rsidR="00CC7391">
              <w:rPr>
                <w:rFonts w:ascii="Times New Roman" w:hAnsi="Times New Roman"/>
                <w:sz w:val="24"/>
                <w:szCs w:val="24"/>
              </w:rPr>
              <w:t xml:space="preserve">projekta </w:t>
            </w:r>
            <w:r w:rsidR="00CC7391">
              <w:rPr>
                <w:rFonts w:ascii="Times New Roman" w:hAnsi="Times New Roman"/>
                <w:sz w:val="24"/>
                <w:szCs w:val="24"/>
              </w:rPr>
              <w:lastRenderedPageBreak/>
              <w:t>3.2</w:t>
            </w:r>
            <w:r w:rsidR="00CC7391" w:rsidRPr="00CC7391">
              <w:rPr>
                <w:rFonts w:ascii="Times New Roman" w:hAnsi="Times New Roman"/>
                <w:sz w:val="24"/>
                <w:szCs w:val="24"/>
              </w:rPr>
              <w:t>.apakšpunkts neparedz stingrākas prasības kā šīs tabulas A ailē minētās ES tiesību akta vienības.</w:t>
            </w:r>
          </w:p>
        </w:tc>
      </w:tr>
      <w:tr w:rsidR="004D20AA" w:rsidRPr="00BA6D11" w:rsidTr="00A17A80">
        <w:trPr>
          <w:trHeight w:val="20"/>
          <w:jc w:val="center"/>
        </w:trPr>
        <w:tc>
          <w:tcPr>
            <w:tcW w:w="1728" w:type="dxa"/>
            <w:vAlign w:val="center"/>
          </w:tcPr>
          <w:p w:rsidR="004D20AA" w:rsidRPr="009F0A6A" w:rsidRDefault="004D20AA" w:rsidP="004D20AA">
            <w:pPr>
              <w:pStyle w:val="naisf"/>
              <w:spacing w:before="0" w:after="0"/>
              <w:ind w:firstLine="0"/>
              <w:jc w:val="center"/>
            </w:pPr>
          </w:p>
          <w:p w:rsidR="004D20AA" w:rsidRPr="009F0A6A" w:rsidRDefault="004D20AA" w:rsidP="004D20AA">
            <w:pPr>
              <w:pStyle w:val="naisf"/>
              <w:spacing w:before="0" w:after="0"/>
              <w:ind w:firstLine="0"/>
              <w:jc w:val="center"/>
            </w:pPr>
            <w:r w:rsidRPr="009F0A6A">
              <w:t>Regulas Nr.1234/2007 80. panta 3.punkts</w:t>
            </w:r>
          </w:p>
          <w:p w:rsidR="004D20AA" w:rsidRPr="009F0A6A" w:rsidRDefault="004D20AA" w:rsidP="004D20AA">
            <w:pPr>
              <w:pStyle w:val="naisf"/>
              <w:spacing w:before="0" w:after="0"/>
              <w:ind w:firstLine="0"/>
              <w:jc w:val="center"/>
            </w:pPr>
          </w:p>
          <w:p w:rsidR="004D20AA" w:rsidRPr="009F0A6A" w:rsidRDefault="004D20AA" w:rsidP="0000676D">
            <w:pPr>
              <w:pStyle w:val="naisf"/>
              <w:spacing w:before="0" w:after="0"/>
              <w:ind w:firstLine="0"/>
            </w:pPr>
          </w:p>
        </w:tc>
        <w:tc>
          <w:tcPr>
            <w:tcW w:w="1927" w:type="dxa"/>
            <w:vAlign w:val="center"/>
          </w:tcPr>
          <w:p w:rsidR="004D20AA" w:rsidRDefault="004D20AA" w:rsidP="004D20AA">
            <w:pPr>
              <w:pStyle w:val="naiskr"/>
              <w:spacing w:after="0"/>
            </w:pPr>
          </w:p>
          <w:p w:rsidR="004D20AA" w:rsidRDefault="004D20AA" w:rsidP="004D20AA">
            <w:pPr>
              <w:pStyle w:val="naiskr"/>
              <w:spacing w:after="0"/>
            </w:pPr>
          </w:p>
          <w:p w:rsidR="004D20AA" w:rsidRDefault="00604A18" w:rsidP="004D20AA">
            <w:pPr>
              <w:pStyle w:val="naiskr"/>
              <w:spacing w:after="0"/>
            </w:pPr>
            <w:r>
              <w:t>5</w:t>
            </w:r>
            <w:r w:rsidR="004D20AA">
              <w:t>.punkts</w:t>
            </w:r>
            <w:r w:rsidR="004D20AA">
              <w:tab/>
            </w:r>
          </w:p>
          <w:p w:rsidR="004D20AA" w:rsidRDefault="004D20AA" w:rsidP="004D20AA">
            <w:pPr>
              <w:pStyle w:val="naiskr"/>
              <w:spacing w:after="0"/>
            </w:pPr>
          </w:p>
          <w:p w:rsidR="004D20AA" w:rsidRDefault="004D20AA" w:rsidP="004D20AA">
            <w:pPr>
              <w:pStyle w:val="naiskr"/>
              <w:spacing w:before="0" w:after="0"/>
            </w:pPr>
          </w:p>
        </w:tc>
        <w:tc>
          <w:tcPr>
            <w:tcW w:w="3149" w:type="dxa"/>
            <w:vAlign w:val="center"/>
          </w:tcPr>
          <w:p w:rsidR="004D20AA" w:rsidRPr="00970063" w:rsidRDefault="004D20AA" w:rsidP="00B33D8C">
            <w:pPr>
              <w:pStyle w:val="naiskr"/>
              <w:spacing w:before="0" w:after="0"/>
              <w:jc w:val="both"/>
            </w:pPr>
            <w:r w:rsidRPr="004D20AA">
              <w:t>Šīs tabulas A ailē minētās ES tiesību akta vienības tiek ieviestas pilnībā</w:t>
            </w:r>
          </w:p>
        </w:tc>
        <w:tc>
          <w:tcPr>
            <w:tcW w:w="2575" w:type="dxa"/>
            <w:vAlign w:val="center"/>
          </w:tcPr>
          <w:p w:rsidR="004D20AA" w:rsidRPr="00BA6D11" w:rsidRDefault="004D20AA" w:rsidP="00CC7391">
            <w:pPr>
              <w:spacing w:after="0" w:line="240" w:lineRule="auto"/>
              <w:ind w:firstLine="301"/>
              <w:rPr>
                <w:rFonts w:ascii="Times New Roman" w:hAnsi="Times New Roman"/>
                <w:sz w:val="24"/>
                <w:szCs w:val="24"/>
              </w:rPr>
            </w:pPr>
            <w:r w:rsidRPr="004D20AA">
              <w:rPr>
                <w:rFonts w:ascii="Times New Roman" w:hAnsi="Times New Roman"/>
                <w:sz w:val="24"/>
                <w:szCs w:val="24"/>
              </w:rPr>
              <w:t>Noteikumu 29.7.apakšpunkts paredz, ka Datu centrs katram ražotājam aprēķina maksājumu par iepriekšējā 12 mēnešu periodā pārsniegto piena kvotas apjomu pēc valsts līmenī neizmantotās piena kvotas daļas proporcionālas pārdales katra ražotāja individuālajai kvotai, ja valsts kopējā piena kvota ir pārsniegta, kā arī tam jāatbilst citām regulas Nr.1234/200 80. panta prasībām.</w:t>
            </w:r>
            <w:r w:rsidR="00CC7391" w:rsidRPr="002337D6">
              <w:t xml:space="preserve"> </w:t>
            </w:r>
            <w:r w:rsidR="00CC7391" w:rsidRPr="00CC7391">
              <w:rPr>
                <w:rFonts w:ascii="Times New Roman" w:hAnsi="Times New Roman"/>
                <w:sz w:val="24"/>
                <w:szCs w:val="24"/>
              </w:rPr>
              <w:t>Šīs tabulas B ailē minētās noteikumu</w:t>
            </w:r>
            <w:r w:rsidR="00CC7391">
              <w:rPr>
                <w:rFonts w:ascii="Times New Roman" w:hAnsi="Times New Roman"/>
                <w:sz w:val="24"/>
                <w:szCs w:val="24"/>
              </w:rPr>
              <w:t xml:space="preserve"> projekta 5</w:t>
            </w:r>
            <w:r w:rsidR="00CC7391" w:rsidRPr="00CC7391">
              <w:rPr>
                <w:rFonts w:ascii="Times New Roman" w:hAnsi="Times New Roman"/>
                <w:sz w:val="24"/>
                <w:szCs w:val="24"/>
              </w:rPr>
              <w:t>.punkts neparedz stingrākas prasības kā šīs tabulas A ailē minētās ES tiesību akta vienības.</w:t>
            </w:r>
          </w:p>
        </w:tc>
      </w:tr>
      <w:tr w:rsidR="004D20AA" w:rsidRPr="009F0A6A" w:rsidTr="009D7CB2">
        <w:trPr>
          <w:trHeight w:val="20"/>
          <w:jc w:val="center"/>
        </w:trPr>
        <w:tc>
          <w:tcPr>
            <w:tcW w:w="1728" w:type="dxa"/>
          </w:tcPr>
          <w:p w:rsidR="004D20AA" w:rsidRPr="00CC7391" w:rsidRDefault="0009536F" w:rsidP="0009536F">
            <w:pPr>
              <w:pStyle w:val="naisf"/>
              <w:spacing w:before="0" w:after="0"/>
              <w:ind w:firstLine="0"/>
              <w:jc w:val="center"/>
              <w:rPr>
                <w:color w:val="414142"/>
              </w:rPr>
            </w:pPr>
            <w:r w:rsidRPr="00CC7391">
              <w:rPr>
                <w:color w:val="414142"/>
              </w:rPr>
              <w:t>Regulas Nr.</w:t>
            </w:r>
            <w:hyperlink r:id="rId11" w:tgtFrame="_blank" w:history="1">
              <w:r w:rsidRPr="00CC7391">
                <w:rPr>
                  <w:color w:val="16497B"/>
                </w:rPr>
                <w:t>1234/2007</w:t>
              </w:r>
            </w:hyperlink>
            <w:r w:rsidRPr="00CC7391">
              <w:rPr>
                <w:color w:val="414142"/>
              </w:rPr>
              <w:t xml:space="preserve"> 84.panta 3.punkta un Regulas (EK) Nr. 595/2004 15.panta </w:t>
            </w:r>
          </w:p>
          <w:p w:rsidR="00CC7391" w:rsidRPr="00CC7391" w:rsidRDefault="00CC7391" w:rsidP="0009536F">
            <w:pPr>
              <w:pStyle w:val="naisf"/>
              <w:spacing w:before="0" w:after="0"/>
              <w:ind w:firstLine="0"/>
              <w:jc w:val="center"/>
              <w:rPr>
                <w:color w:val="414142"/>
              </w:rPr>
            </w:pPr>
          </w:p>
          <w:p w:rsidR="00CC7391" w:rsidRPr="00CC7391" w:rsidRDefault="00CC7391" w:rsidP="00CC7391">
            <w:pPr>
              <w:pStyle w:val="naisf"/>
              <w:spacing w:before="0" w:after="0"/>
              <w:ind w:firstLine="0"/>
              <w:jc w:val="center"/>
            </w:pPr>
            <w:r w:rsidRPr="00CC7391">
              <w:rPr>
                <w:color w:val="414142"/>
              </w:rPr>
              <w:t>Regulas Nr. 595/2004 27.panta 4. un 6.punktu.</w:t>
            </w:r>
          </w:p>
          <w:p w:rsidR="00CC7391" w:rsidRPr="0009536F" w:rsidRDefault="00CC7391" w:rsidP="0009536F">
            <w:pPr>
              <w:pStyle w:val="naisf"/>
              <w:spacing w:before="0" w:after="0"/>
              <w:ind w:firstLine="0"/>
              <w:jc w:val="center"/>
            </w:pPr>
          </w:p>
        </w:tc>
        <w:tc>
          <w:tcPr>
            <w:tcW w:w="1927" w:type="dxa"/>
          </w:tcPr>
          <w:p w:rsidR="004D20AA" w:rsidRPr="009F0A6A" w:rsidRDefault="00604A18" w:rsidP="009D7CB2">
            <w:pPr>
              <w:pStyle w:val="naiskr"/>
              <w:spacing w:before="0" w:after="0"/>
              <w:jc w:val="center"/>
            </w:pPr>
            <w:r>
              <w:t>7</w:t>
            </w:r>
            <w:r w:rsidR="004D20AA">
              <w:t>.</w:t>
            </w:r>
            <w:r w:rsidR="004D20AA" w:rsidRPr="009F0A6A">
              <w:t>punkts</w:t>
            </w:r>
          </w:p>
        </w:tc>
        <w:tc>
          <w:tcPr>
            <w:tcW w:w="3149" w:type="dxa"/>
          </w:tcPr>
          <w:p w:rsidR="004D20AA" w:rsidRPr="009F0A6A" w:rsidRDefault="004D20AA" w:rsidP="009D7CB2">
            <w:pPr>
              <w:pStyle w:val="naiskr"/>
              <w:spacing w:before="0" w:after="0"/>
              <w:jc w:val="center"/>
            </w:pPr>
            <w:r w:rsidRPr="009F0A6A">
              <w:t>Šīs tabulas A ailē minētās ES tiesību akta vienības tiek ieviestas pilnībā</w:t>
            </w:r>
          </w:p>
        </w:tc>
        <w:tc>
          <w:tcPr>
            <w:tcW w:w="2575" w:type="dxa"/>
            <w:vAlign w:val="center"/>
          </w:tcPr>
          <w:p w:rsidR="004D20AA" w:rsidRPr="009F0A6A" w:rsidRDefault="0009536F" w:rsidP="001E15A0">
            <w:pPr>
              <w:ind w:firstLine="300"/>
            </w:pPr>
            <w:r w:rsidRPr="0009536F">
              <w:rPr>
                <w:rFonts w:ascii="Times New Roman" w:hAnsi="Times New Roman"/>
                <w:color w:val="414142"/>
                <w:sz w:val="24"/>
                <w:szCs w:val="24"/>
              </w:rPr>
              <w:t>Noteikumu 51.</w:t>
            </w:r>
            <w:r w:rsidRPr="0009536F">
              <w:rPr>
                <w:rFonts w:ascii="Times New Roman" w:hAnsi="Times New Roman"/>
                <w:color w:val="414142"/>
                <w:sz w:val="24"/>
                <w:szCs w:val="24"/>
                <w:vertAlign w:val="superscript"/>
              </w:rPr>
              <w:t xml:space="preserve">1 </w:t>
            </w:r>
            <w:r w:rsidRPr="0009536F">
              <w:rPr>
                <w:rFonts w:ascii="Times New Roman" w:hAnsi="Times New Roman"/>
                <w:color w:val="414142"/>
                <w:sz w:val="24"/>
                <w:szCs w:val="24"/>
              </w:rPr>
              <w:t xml:space="preserve">punkts paredz, ka </w:t>
            </w:r>
            <w:r w:rsidRPr="0009536F">
              <w:rPr>
                <w:rFonts w:ascii="Times New Roman" w:eastAsia="Times New Roman" w:hAnsi="Times New Roman"/>
                <w:color w:val="414142"/>
                <w:sz w:val="24"/>
                <w:szCs w:val="24"/>
                <w:lang w:eastAsia="lv-LV"/>
              </w:rPr>
              <w:t>Lauku atbalsta dienests no ražotāja iekasē maksājumu ievērojot Regulas Nr.</w:t>
            </w:r>
            <w:hyperlink r:id="rId12" w:tgtFrame="_blank" w:history="1">
              <w:r w:rsidRPr="0009536F">
                <w:rPr>
                  <w:rFonts w:ascii="Times New Roman" w:eastAsia="Times New Roman" w:hAnsi="Times New Roman"/>
                  <w:color w:val="16497B"/>
                  <w:sz w:val="24"/>
                  <w:szCs w:val="24"/>
                  <w:lang w:eastAsia="lv-LV"/>
                </w:rPr>
                <w:t>1234/2007</w:t>
              </w:r>
            </w:hyperlink>
            <w:r w:rsidRPr="0009536F">
              <w:rPr>
                <w:rFonts w:ascii="Times New Roman" w:eastAsia="Times New Roman" w:hAnsi="Times New Roman"/>
                <w:color w:val="414142"/>
                <w:sz w:val="24"/>
                <w:szCs w:val="24"/>
                <w:lang w:eastAsia="lv-LV"/>
              </w:rPr>
              <w:t xml:space="preserve"> 84.panta 3.punkta un Regulas (EK) Nr. 595/2004 15.panta prasības, ja </w:t>
            </w:r>
            <w:r>
              <w:rPr>
                <w:rFonts w:ascii="Times New Roman" w:eastAsia="Times New Roman" w:hAnsi="Times New Roman"/>
                <w:color w:val="414142"/>
                <w:sz w:val="24"/>
                <w:szCs w:val="24"/>
                <w:lang w:eastAsia="lv-LV"/>
              </w:rPr>
              <w:t xml:space="preserve">ražotājs </w:t>
            </w:r>
            <w:r w:rsidRPr="0009536F">
              <w:rPr>
                <w:rFonts w:ascii="Times New Roman" w:eastAsia="Times New Roman" w:hAnsi="Times New Roman"/>
                <w:color w:val="414142"/>
                <w:sz w:val="24"/>
                <w:szCs w:val="24"/>
                <w:lang w:eastAsia="lv-LV"/>
              </w:rPr>
              <w:t>nav samaksājis saskaņā ar datu centra lēmumu</w:t>
            </w:r>
            <w:r>
              <w:rPr>
                <w:rFonts w:ascii="Times New Roman" w:eastAsia="Times New Roman" w:hAnsi="Times New Roman"/>
                <w:color w:val="414142"/>
                <w:sz w:val="24"/>
                <w:szCs w:val="24"/>
                <w:lang w:eastAsia="lv-LV"/>
              </w:rPr>
              <w:t xml:space="preserve"> par pārsniegto piena kvotu.</w:t>
            </w:r>
            <w:r w:rsidRPr="0009536F">
              <w:rPr>
                <w:rFonts w:ascii="Times New Roman" w:eastAsia="Times New Roman" w:hAnsi="Times New Roman"/>
                <w:color w:val="414142"/>
                <w:sz w:val="24"/>
                <w:szCs w:val="24"/>
                <w:lang w:eastAsia="lv-LV"/>
              </w:rPr>
              <w:t xml:space="preserve"> </w:t>
            </w:r>
            <w:r w:rsidR="00CC7391" w:rsidRPr="0009536F">
              <w:rPr>
                <w:rFonts w:ascii="Times New Roman" w:hAnsi="Times New Roman"/>
                <w:color w:val="414142"/>
                <w:sz w:val="24"/>
                <w:szCs w:val="24"/>
              </w:rPr>
              <w:t>Noteikumu 51.</w:t>
            </w:r>
            <w:r w:rsidR="00CC7391" w:rsidRPr="0009536F">
              <w:rPr>
                <w:rFonts w:ascii="Times New Roman" w:hAnsi="Times New Roman"/>
                <w:color w:val="414142"/>
                <w:sz w:val="24"/>
                <w:szCs w:val="24"/>
                <w:vertAlign w:val="superscript"/>
              </w:rPr>
              <w:t xml:space="preserve">2 </w:t>
            </w:r>
            <w:r w:rsidR="00CC7391" w:rsidRPr="0009536F">
              <w:rPr>
                <w:rFonts w:ascii="Times New Roman" w:hAnsi="Times New Roman"/>
                <w:color w:val="414142"/>
                <w:sz w:val="24"/>
                <w:szCs w:val="24"/>
              </w:rPr>
              <w:t>paredz, ka Lauku atbalsta dienests sagatavo un iesniedz Eiropas Komisijai informāciju ievērojot Regulas Nr. 595/2004 27.</w:t>
            </w:r>
            <w:r w:rsidR="00CC7391">
              <w:rPr>
                <w:rFonts w:ascii="Times New Roman" w:hAnsi="Times New Roman"/>
                <w:color w:val="414142"/>
                <w:sz w:val="24"/>
                <w:szCs w:val="24"/>
              </w:rPr>
              <w:t xml:space="preserve"> </w:t>
            </w:r>
            <w:r w:rsidR="00CC7391" w:rsidRPr="0009536F">
              <w:rPr>
                <w:rFonts w:ascii="Times New Roman" w:hAnsi="Times New Roman"/>
                <w:color w:val="414142"/>
                <w:sz w:val="24"/>
                <w:szCs w:val="24"/>
              </w:rPr>
              <w:t>panta 4. un 6.punktu.</w:t>
            </w:r>
            <w:r w:rsidR="001E15A0">
              <w:rPr>
                <w:rFonts w:ascii="Times New Roman" w:hAnsi="Times New Roman"/>
                <w:color w:val="414142"/>
                <w:sz w:val="24"/>
                <w:szCs w:val="24"/>
              </w:rPr>
              <w:t xml:space="preserve"> </w:t>
            </w:r>
            <w:r w:rsidR="00CC7391" w:rsidRPr="00CC7391">
              <w:rPr>
                <w:rFonts w:ascii="Times New Roman" w:hAnsi="Times New Roman"/>
                <w:sz w:val="24"/>
                <w:szCs w:val="24"/>
              </w:rPr>
              <w:t xml:space="preserve">Šīs tabulas B ailē minētās noteikumu </w:t>
            </w:r>
            <w:r w:rsidR="00CC7391">
              <w:rPr>
                <w:rFonts w:ascii="Times New Roman" w:hAnsi="Times New Roman"/>
                <w:sz w:val="24"/>
                <w:szCs w:val="24"/>
              </w:rPr>
              <w:lastRenderedPageBreak/>
              <w:t>projekta 7.</w:t>
            </w:r>
            <w:r w:rsidR="00CC7391" w:rsidRPr="00CC7391">
              <w:rPr>
                <w:rFonts w:ascii="Times New Roman" w:hAnsi="Times New Roman"/>
                <w:sz w:val="24"/>
                <w:szCs w:val="24"/>
              </w:rPr>
              <w:t>punkts neparedz stingrākas prasības kā šīs tabulas A ailē minētās ES tiesību akta vienības.</w:t>
            </w:r>
          </w:p>
        </w:tc>
      </w:tr>
      <w:tr w:rsidR="005A6601" w:rsidRPr="00BA6D11" w:rsidTr="00A17A80">
        <w:trPr>
          <w:trHeight w:val="281"/>
          <w:jc w:val="center"/>
        </w:trPr>
        <w:tc>
          <w:tcPr>
            <w:tcW w:w="1728" w:type="dxa"/>
            <w:vAlign w:val="center"/>
          </w:tcPr>
          <w:p w:rsidR="005A6601" w:rsidRPr="009F0A6A" w:rsidRDefault="005A6601" w:rsidP="00B33D8C">
            <w:pPr>
              <w:pStyle w:val="naiskr"/>
              <w:spacing w:before="0" w:after="0"/>
            </w:pPr>
            <w:r w:rsidRPr="009F0A6A">
              <w:lastRenderedPageBreak/>
              <w:t>Kā ir izmantota ES tiesību aktā paredzētā rīcības brīvība dalībvalstij pārņemt vai ieviest noteiktas ES tiesību akta normas.</w:t>
            </w:r>
          </w:p>
          <w:p w:rsidR="005A6601" w:rsidRPr="009F0A6A" w:rsidRDefault="005A6601" w:rsidP="00B33D8C">
            <w:pPr>
              <w:pStyle w:val="naiskr"/>
              <w:spacing w:before="0" w:after="0"/>
            </w:pPr>
            <w:r w:rsidRPr="009F0A6A">
              <w:t>Kādēļ?</w:t>
            </w:r>
          </w:p>
        </w:tc>
        <w:tc>
          <w:tcPr>
            <w:tcW w:w="7651" w:type="dxa"/>
            <w:gridSpan w:val="3"/>
          </w:tcPr>
          <w:p w:rsidR="005A6601" w:rsidRDefault="005A6601" w:rsidP="00A26BC3">
            <w:pPr>
              <w:pStyle w:val="naiskr"/>
              <w:spacing w:before="0" w:after="0"/>
              <w:jc w:val="both"/>
            </w:pPr>
            <w:r>
              <w:rPr>
                <w:color w:val="000000"/>
              </w:rPr>
              <w:t xml:space="preserve">Regulas Nr.1234/2007 81. panta 3.punktā dotā dalībvalsts izvēle Latvijā ir izdarīta, lai piena pircēji, jau savlaicīgi var ieturēt </w:t>
            </w:r>
            <w:r>
              <w:t>maksājumu no piena ražotāja par pārsniegto kvotas apjomu, jo saskaņā ar normatīvajiem aktiem piena pircēja pienākums ir iekasēt maksājumus par virskvotas pienu no piena ražotājiem, kas tiem piegādā pienu, un samaksāt LAD iekasēto maksājumu. Noteikumu projekts paredz, ka piena pircējs avansa maksājumu no piena ražotāja ietur</w:t>
            </w:r>
            <w:r w:rsidRPr="00690AA8">
              <w:t xml:space="preserve"> </w:t>
            </w:r>
            <w:r>
              <w:t>līdz pilnīgai saistību izpildei, bet ne vairāk par 50</w:t>
            </w:r>
            <w:r w:rsidR="001E15A0">
              <w:t xml:space="preserve"> procentiem</w:t>
            </w:r>
            <w:r>
              <w:t xml:space="preserve"> no samaksas par pienu, kas pienākas ražotājam. Līdz ar to piena </w:t>
            </w:r>
            <w:r>
              <w:rPr>
                <w:color w:val="000000"/>
              </w:rPr>
              <w:t xml:space="preserve">ražotājiem, kas jau šobrīd pārsniedz savu pieejamo piegādes piena kvotu būs iespēja jau savlaicīgi uzsākt soda naudas maksājuma nomaksu ar nelieliem avansa maksājumiem no piena naudas nevis samaksāt visu maksājumu uzreiz. </w:t>
            </w:r>
            <w:r>
              <w:t xml:space="preserve">Grozījumi ir nepieciešami, lai </w:t>
            </w:r>
            <w:r w:rsidR="001E15A0" w:rsidRPr="00B577FF">
              <w:t>samazināt</w:t>
            </w:r>
            <w:r w:rsidR="001E15A0">
              <w:t>u</w:t>
            </w:r>
            <w:r w:rsidR="001E15A0" w:rsidRPr="00B577FF">
              <w:t xml:space="preserve"> risk</w:t>
            </w:r>
            <w:r w:rsidR="001E15A0">
              <w:t>u</w:t>
            </w:r>
            <w:r w:rsidR="001E15A0" w:rsidRPr="00B577FF">
              <w:t xml:space="preserve"> </w:t>
            </w:r>
            <w:r w:rsidR="001E15A0">
              <w:t xml:space="preserve">no piena ražotājiem neiekasēt aprēķināto soda naudu par pārsniegto piena kvotu un </w:t>
            </w:r>
            <w:r w:rsidR="001E15A0" w:rsidRPr="00B577FF">
              <w:t xml:space="preserve">nesamaksāt </w:t>
            </w:r>
            <w:r w:rsidR="001E15A0">
              <w:t xml:space="preserve">iekasēto </w:t>
            </w:r>
            <w:r w:rsidR="001E15A0" w:rsidRPr="00B577FF">
              <w:t>soda naudas summu</w:t>
            </w:r>
            <w:r w:rsidR="001E15A0">
              <w:t xml:space="preserve"> </w:t>
            </w:r>
            <w:r w:rsidR="001E15A0" w:rsidRPr="00B577FF">
              <w:t>par piena kvotas pārsniegšanu Eiropas Lauksaimniecības garantiju fondam</w:t>
            </w:r>
            <w:r w:rsidR="00A26BC3">
              <w:t xml:space="preserve">. </w:t>
            </w:r>
          </w:p>
        </w:tc>
      </w:tr>
      <w:tr w:rsidR="005A6601" w:rsidRPr="00BA6D11" w:rsidTr="00A17A80">
        <w:trPr>
          <w:trHeight w:val="913"/>
          <w:jc w:val="center"/>
        </w:trPr>
        <w:tc>
          <w:tcPr>
            <w:tcW w:w="1728" w:type="dxa"/>
            <w:vAlign w:val="center"/>
          </w:tcPr>
          <w:p w:rsidR="005A6601" w:rsidRPr="009F0A6A" w:rsidRDefault="005A6601" w:rsidP="00B33D8C">
            <w:pPr>
              <w:pStyle w:val="naiskr"/>
              <w:spacing w:before="0" w:after="0"/>
            </w:pPr>
            <w:r w:rsidRPr="009F0A6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51" w:type="dxa"/>
            <w:gridSpan w:val="3"/>
          </w:tcPr>
          <w:p w:rsidR="005A6601" w:rsidRPr="009F0A6A" w:rsidRDefault="005A6601" w:rsidP="00B33D8C">
            <w:pPr>
              <w:pStyle w:val="naiskr"/>
              <w:spacing w:before="0" w:after="0"/>
            </w:pPr>
            <w:r w:rsidRPr="000571C4">
              <w:rPr>
                <w:color w:val="000000"/>
              </w:rPr>
              <w:t>Projekts šo jomu neskar</w:t>
            </w:r>
            <w:r>
              <w:rPr>
                <w:color w:val="000000"/>
              </w:rPr>
              <w:t>.</w:t>
            </w:r>
          </w:p>
        </w:tc>
      </w:tr>
      <w:tr w:rsidR="005A6601" w:rsidRPr="00BA6D11" w:rsidTr="00A17A80">
        <w:trPr>
          <w:trHeight w:val="579"/>
          <w:jc w:val="center"/>
        </w:trPr>
        <w:tc>
          <w:tcPr>
            <w:tcW w:w="1728" w:type="dxa"/>
          </w:tcPr>
          <w:p w:rsidR="005A6601" w:rsidRPr="009F0A6A" w:rsidRDefault="005A6601" w:rsidP="00B33D8C">
            <w:pPr>
              <w:pStyle w:val="naiskr"/>
              <w:spacing w:before="0" w:after="0"/>
            </w:pPr>
            <w:r w:rsidRPr="009F0A6A">
              <w:t>Cita informācija</w:t>
            </w:r>
          </w:p>
        </w:tc>
        <w:tc>
          <w:tcPr>
            <w:tcW w:w="7651" w:type="dxa"/>
            <w:gridSpan w:val="3"/>
          </w:tcPr>
          <w:p w:rsidR="005A6601" w:rsidRPr="009F0A6A" w:rsidRDefault="005A6601" w:rsidP="00B33D8C">
            <w:pPr>
              <w:pStyle w:val="naiskr"/>
              <w:spacing w:before="0" w:after="0"/>
            </w:pPr>
            <w:r w:rsidRPr="009F0A6A">
              <w:t>Nav</w:t>
            </w:r>
          </w:p>
        </w:tc>
      </w:tr>
    </w:tbl>
    <w:p w:rsidR="005A6601" w:rsidRPr="009F0A6A" w:rsidRDefault="005A6601" w:rsidP="003608D5">
      <w:pPr>
        <w:pStyle w:val="naisf"/>
        <w:spacing w:before="0" w:after="0"/>
        <w:ind w:firstLine="0"/>
      </w:pPr>
    </w:p>
    <w:tbl>
      <w:tblPr>
        <w:tblW w:w="9344"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0" w:type="dxa"/>
          <w:right w:w="0" w:type="dxa"/>
        </w:tblCellMar>
        <w:tblLook w:val="0000" w:firstRow="0" w:lastRow="0" w:firstColumn="0" w:lastColumn="0" w:noHBand="0" w:noVBand="0"/>
      </w:tblPr>
      <w:tblGrid>
        <w:gridCol w:w="1916"/>
        <w:gridCol w:w="3648"/>
        <w:gridCol w:w="3780"/>
      </w:tblGrid>
      <w:tr w:rsidR="005A6601" w:rsidRPr="00BA6D11" w:rsidTr="00A17A80">
        <w:trPr>
          <w:trHeight w:val="789"/>
          <w:jc w:val="center"/>
        </w:trPr>
        <w:tc>
          <w:tcPr>
            <w:tcW w:w="9344" w:type="dxa"/>
            <w:gridSpan w:val="3"/>
            <w:vAlign w:val="center"/>
          </w:tcPr>
          <w:p w:rsidR="005A6601" w:rsidRPr="009F0A6A" w:rsidRDefault="005A6601" w:rsidP="00B33D8C">
            <w:pPr>
              <w:pStyle w:val="naisnod"/>
              <w:spacing w:before="0" w:after="0"/>
            </w:pPr>
            <w:r w:rsidRPr="009F0A6A">
              <w:t xml:space="preserve">2.tabula </w:t>
            </w:r>
          </w:p>
          <w:p w:rsidR="005A6601" w:rsidRPr="009F0A6A" w:rsidRDefault="005A6601" w:rsidP="00B33D8C">
            <w:pPr>
              <w:pStyle w:val="naisnod"/>
              <w:spacing w:before="0" w:after="0"/>
            </w:pPr>
            <w:r w:rsidRPr="009F0A6A">
              <w:t>Ar tiesību akta projektu uzņemtās saistības, kas izriet no starptautiskajiem tiesību aktiem vai starptautiskas institūcijas vai organizācijas dokumentiem</w:t>
            </w:r>
          </w:p>
          <w:p w:rsidR="005A6601" w:rsidRPr="009F0A6A" w:rsidRDefault="005A6601" w:rsidP="00B33D8C">
            <w:pPr>
              <w:pStyle w:val="naisnod"/>
              <w:spacing w:before="0" w:after="0"/>
            </w:pPr>
            <w:r w:rsidRPr="009F0A6A">
              <w:t>Pasākumi šo saistību izpildei</w:t>
            </w:r>
          </w:p>
        </w:tc>
      </w:tr>
      <w:tr w:rsidR="005A6601" w:rsidRPr="00BA6D11" w:rsidTr="00A17A80">
        <w:trPr>
          <w:trHeight w:val="1590"/>
          <w:jc w:val="center"/>
        </w:trPr>
        <w:tc>
          <w:tcPr>
            <w:tcW w:w="1916" w:type="dxa"/>
            <w:vAlign w:val="center"/>
          </w:tcPr>
          <w:p w:rsidR="005A6601" w:rsidRPr="009F0A6A" w:rsidRDefault="005A6601" w:rsidP="00B33D8C">
            <w:pPr>
              <w:pStyle w:val="naiskr"/>
              <w:spacing w:before="0" w:after="0"/>
              <w:ind w:hanging="10"/>
            </w:pPr>
            <w:r w:rsidRPr="009F0A6A">
              <w:lastRenderedPageBreak/>
              <w:t>Attiecīgā starptautiskā tiesību akta vai starptautiskas institūcijas vai organizācijas dokumenta (turpmāk – starptautiskais dokuments) datums, numurs un nosaukums</w:t>
            </w:r>
          </w:p>
        </w:tc>
        <w:tc>
          <w:tcPr>
            <w:tcW w:w="7427" w:type="dxa"/>
            <w:gridSpan w:val="2"/>
          </w:tcPr>
          <w:p w:rsidR="005A6601" w:rsidRDefault="005A6601" w:rsidP="00B33D8C">
            <w:pPr>
              <w:pStyle w:val="naiskr"/>
              <w:spacing w:before="0" w:after="0"/>
              <w:rPr>
                <w:color w:val="000000"/>
              </w:rPr>
            </w:pPr>
            <w:r>
              <w:rPr>
                <w:color w:val="000000"/>
              </w:rPr>
              <w:t>Projekts šo jomu neskar.</w:t>
            </w: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Default="005A6601" w:rsidP="00B33D8C">
            <w:pPr>
              <w:pStyle w:val="naiskr"/>
              <w:spacing w:before="0" w:after="0"/>
              <w:rPr>
                <w:color w:val="000000"/>
              </w:rPr>
            </w:pPr>
          </w:p>
          <w:p w:rsidR="005A6601" w:rsidRPr="009F0A6A" w:rsidRDefault="005A6601" w:rsidP="00B33D8C">
            <w:pPr>
              <w:pStyle w:val="naiskr"/>
              <w:spacing w:before="0" w:after="0"/>
            </w:pPr>
          </w:p>
        </w:tc>
      </w:tr>
      <w:tr w:rsidR="005A6601" w:rsidRPr="00BA6D11" w:rsidTr="00A17A80">
        <w:trPr>
          <w:trHeight w:val="340"/>
          <w:jc w:val="center"/>
        </w:trPr>
        <w:tc>
          <w:tcPr>
            <w:tcW w:w="1916" w:type="dxa"/>
            <w:vAlign w:val="center"/>
          </w:tcPr>
          <w:p w:rsidR="005A6601" w:rsidRPr="009F0A6A" w:rsidRDefault="005A6601" w:rsidP="00B33D8C">
            <w:pPr>
              <w:pStyle w:val="naiskr"/>
              <w:spacing w:before="0" w:after="0"/>
              <w:jc w:val="center"/>
            </w:pPr>
            <w:r w:rsidRPr="009F0A6A">
              <w:t>A</w:t>
            </w:r>
          </w:p>
        </w:tc>
        <w:tc>
          <w:tcPr>
            <w:tcW w:w="3648" w:type="dxa"/>
            <w:vAlign w:val="center"/>
          </w:tcPr>
          <w:p w:rsidR="005A6601" w:rsidRPr="009F0A6A" w:rsidRDefault="005A6601" w:rsidP="00B33D8C">
            <w:pPr>
              <w:pStyle w:val="naiskr"/>
              <w:spacing w:before="0" w:after="0"/>
              <w:jc w:val="center"/>
            </w:pPr>
            <w:r w:rsidRPr="009F0A6A">
              <w:t>B</w:t>
            </w:r>
          </w:p>
        </w:tc>
        <w:tc>
          <w:tcPr>
            <w:tcW w:w="3779" w:type="dxa"/>
            <w:vAlign w:val="center"/>
          </w:tcPr>
          <w:p w:rsidR="005A6601" w:rsidRPr="009F0A6A" w:rsidRDefault="005A6601" w:rsidP="00B33D8C">
            <w:pPr>
              <w:pStyle w:val="naiskr"/>
              <w:spacing w:before="0" w:after="0"/>
              <w:jc w:val="center"/>
            </w:pPr>
            <w:r w:rsidRPr="009F0A6A">
              <w:t>C</w:t>
            </w:r>
          </w:p>
        </w:tc>
      </w:tr>
      <w:tr w:rsidR="005A6601" w:rsidRPr="00BA6D11" w:rsidTr="00A17A80">
        <w:trPr>
          <w:trHeight w:val="340"/>
          <w:jc w:val="center"/>
        </w:trPr>
        <w:tc>
          <w:tcPr>
            <w:tcW w:w="1916" w:type="dxa"/>
          </w:tcPr>
          <w:p w:rsidR="005A6601" w:rsidRPr="009F0A6A" w:rsidRDefault="005A6601" w:rsidP="00B33D8C">
            <w:pPr>
              <w:pStyle w:val="naiskr"/>
              <w:spacing w:before="0" w:after="0"/>
            </w:pPr>
            <w:r w:rsidRPr="009F0A6A">
              <w:t>Starptautiskās saistības (pēc būtības), kas izriet no norādītā starptautiskā dokumenta.</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Konkrēti veicamie pasākumi vai uzdevumi, kas nepieciešami šo starptautisko saistību izpildei</w:t>
            </w:r>
          </w:p>
        </w:tc>
        <w:tc>
          <w:tcPr>
            <w:tcW w:w="3648" w:type="dxa"/>
          </w:tcPr>
          <w:p w:rsidR="005A6601" w:rsidRPr="009F0A6A" w:rsidRDefault="005A6601" w:rsidP="00B33D8C">
            <w:pPr>
              <w:pStyle w:val="naiskr"/>
              <w:spacing w:before="0" w:after="0"/>
            </w:pPr>
            <w:r w:rsidRPr="009F0A6A">
              <w:t>Ja pasākumi vai uzdevumi, ar ko tiks izpildītas starptautiskās saistības, tiek noteikti projektā, norāda attiecīgo projekta vienību.</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Vai arī norāda dokumentu, kurā sniegts izvērsts skaidrojums, kādā veidā tiks nodrošināta starptautisko saistību izpilde</w:t>
            </w:r>
          </w:p>
        </w:tc>
        <w:tc>
          <w:tcPr>
            <w:tcW w:w="3779" w:type="dxa"/>
          </w:tcPr>
          <w:p w:rsidR="005A6601" w:rsidRPr="009F0A6A" w:rsidRDefault="005A6601" w:rsidP="00B33D8C">
            <w:pPr>
              <w:pStyle w:val="naiskr"/>
              <w:spacing w:before="0" w:after="0"/>
            </w:pPr>
            <w:r w:rsidRPr="009F0A6A">
              <w:t>Informācija par to, vai starptautiskās saistības, kas minētas šīs tabulas A ailē, tiek izpildītas pilnībā vai daļēji.</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Ja attiecīgās starptautiskās saistības tiek izpildītas daļēji, sniedz attiecīgu skaidrojumu, kā arī precīzi norāda, kad un kādā veidā starptautiskās saistības tiks izpildītas pilnībā.</w:t>
            </w:r>
          </w:p>
          <w:p w:rsidR="005A6601" w:rsidRPr="009F0A6A" w:rsidRDefault="005A6601" w:rsidP="00B33D8C">
            <w:pPr>
              <w:pStyle w:val="naiskr"/>
              <w:spacing w:before="0" w:after="0"/>
            </w:pPr>
          </w:p>
          <w:p w:rsidR="005A6601" w:rsidRPr="009F0A6A" w:rsidRDefault="005A6601" w:rsidP="00B33D8C">
            <w:pPr>
              <w:pStyle w:val="naiskr"/>
              <w:spacing w:before="0" w:after="0"/>
            </w:pPr>
            <w:r w:rsidRPr="009F0A6A">
              <w:t>Norāda institūciju, kas ir atbildīga par šo saistību izpildi pilnībā</w:t>
            </w:r>
          </w:p>
        </w:tc>
      </w:tr>
      <w:tr w:rsidR="005A6601" w:rsidRPr="00BA6D11" w:rsidTr="00A17A80">
        <w:trPr>
          <w:trHeight w:val="160"/>
          <w:jc w:val="center"/>
        </w:trPr>
        <w:tc>
          <w:tcPr>
            <w:tcW w:w="1916" w:type="dxa"/>
            <w:vAlign w:val="center"/>
          </w:tcPr>
          <w:p w:rsidR="005A6601" w:rsidRPr="009F0A6A" w:rsidRDefault="005A6601" w:rsidP="00B33D8C">
            <w:pPr>
              <w:pStyle w:val="naiskr"/>
              <w:spacing w:before="0" w:after="0"/>
              <w:jc w:val="center"/>
            </w:pPr>
            <w:r w:rsidRPr="009F0A6A">
              <w:t>Nav attiecināms.</w:t>
            </w:r>
          </w:p>
        </w:tc>
        <w:tc>
          <w:tcPr>
            <w:tcW w:w="3648" w:type="dxa"/>
          </w:tcPr>
          <w:p w:rsidR="005A6601" w:rsidRPr="009F0A6A" w:rsidRDefault="005A6601" w:rsidP="00B33D8C">
            <w:pPr>
              <w:pStyle w:val="naiskr"/>
              <w:spacing w:before="0" w:after="0"/>
              <w:jc w:val="center"/>
            </w:pPr>
            <w:r w:rsidRPr="00276D2E">
              <w:rPr>
                <w:color w:val="000000"/>
              </w:rPr>
              <w:t>Projekts šo jomu neskar</w:t>
            </w:r>
            <w:r>
              <w:rPr>
                <w:color w:val="000000"/>
              </w:rPr>
              <w:t>.</w:t>
            </w:r>
          </w:p>
        </w:tc>
        <w:tc>
          <w:tcPr>
            <w:tcW w:w="3779" w:type="dxa"/>
          </w:tcPr>
          <w:p w:rsidR="005A6601" w:rsidRPr="009F0A6A" w:rsidRDefault="005A6601" w:rsidP="00B33D8C">
            <w:pPr>
              <w:pStyle w:val="naiskr"/>
              <w:spacing w:before="0" w:after="0"/>
              <w:jc w:val="center"/>
            </w:pPr>
            <w:r w:rsidRPr="00276D2E">
              <w:rPr>
                <w:color w:val="000000"/>
              </w:rPr>
              <w:t>Projekts šo jomu neskar</w:t>
            </w:r>
            <w:r>
              <w:rPr>
                <w:color w:val="000000"/>
              </w:rPr>
              <w:t>.</w:t>
            </w:r>
          </w:p>
        </w:tc>
      </w:tr>
      <w:tr w:rsidR="005A6601" w:rsidRPr="00BA6D11" w:rsidTr="00A17A80">
        <w:trPr>
          <w:trHeight w:val="160"/>
          <w:jc w:val="center"/>
        </w:trPr>
        <w:tc>
          <w:tcPr>
            <w:tcW w:w="1916" w:type="dxa"/>
            <w:vAlign w:val="center"/>
          </w:tcPr>
          <w:p w:rsidR="005A6601" w:rsidRPr="009F0A6A" w:rsidRDefault="005A6601" w:rsidP="00B33D8C">
            <w:pPr>
              <w:pStyle w:val="naisf"/>
              <w:tabs>
                <w:tab w:val="left" w:pos="900"/>
              </w:tabs>
              <w:spacing w:before="0" w:after="0"/>
              <w:ind w:firstLine="0"/>
              <w:jc w:val="left"/>
            </w:pPr>
            <w:r w:rsidRPr="009F0A6A">
              <w:t>Vai starptautiskajā dokumentā paredzētās saistības nav pretrunā ar jau esošajām Latvijas Republikas starptautiskajām saistībām</w:t>
            </w:r>
          </w:p>
        </w:tc>
        <w:tc>
          <w:tcPr>
            <w:tcW w:w="7427" w:type="dxa"/>
            <w:gridSpan w:val="2"/>
          </w:tcPr>
          <w:p w:rsidR="005A6601" w:rsidRPr="009F0A6A" w:rsidRDefault="005A6601" w:rsidP="00B33D8C">
            <w:pPr>
              <w:pStyle w:val="naiskr"/>
              <w:spacing w:before="0" w:after="0"/>
            </w:pPr>
            <w:r w:rsidRPr="00276D2E">
              <w:rPr>
                <w:color w:val="000000"/>
              </w:rPr>
              <w:t>Projekts šo jomu neskar</w:t>
            </w:r>
            <w:r>
              <w:rPr>
                <w:color w:val="000000"/>
              </w:rPr>
              <w:t>.</w:t>
            </w:r>
          </w:p>
        </w:tc>
      </w:tr>
      <w:tr w:rsidR="005A6601" w:rsidRPr="00BA6D11" w:rsidTr="00A17A80">
        <w:trPr>
          <w:trHeight w:val="455"/>
          <w:jc w:val="center"/>
        </w:trPr>
        <w:tc>
          <w:tcPr>
            <w:tcW w:w="1916" w:type="dxa"/>
          </w:tcPr>
          <w:p w:rsidR="005A6601" w:rsidRPr="009F0A6A" w:rsidRDefault="005A6601" w:rsidP="00B33D8C">
            <w:pPr>
              <w:pStyle w:val="naiskr"/>
              <w:spacing w:before="0" w:after="0"/>
            </w:pPr>
            <w:r w:rsidRPr="009F0A6A">
              <w:t>Cita informācija</w:t>
            </w:r>
          </w:p>
        </w:tc>
        <w:tc>
          <w:tcPr>
            <w:tcW w:w="7427" w:type="dxa"/>
            <w:gridSpan w:val="2"/>
          </w:tcPr>
          <w:p w:rsidR="005A6601" w:rsidRPr="009F0A6A" w:rsidRDefault="005A6601" w:rsidP="00B33D8C">
            <w:pPr>
              <w:pStyle w:val="naiskr"/>
              <w:spacing w:before="0" w:after="0"/>
            </w:pPr>
            <w:r w:rsidRPr="009F0A6A">
              <w:t>Nav</w:t>
            </w:r>
          </w:p>
        </w:tc>
      </w:tr>
    </w:tbl>
    <w:p w:rsidR="005A6601" w:rsidRDefault="005A6601">
      <w:pPr>
        <w:spacing w:after="0" w:line="240" w:lineRule="auto"/>
        <w:rPr>
          <w:rFonts w:ascii="Times New Roman" w:hAnsi="Times New Roman"/>
          <w:i/>
          <w:sz w:val="24"/>
          <w:szCs w:val="24"/>
        </w:rPr>
      </w:pPr>
    </w:p>
    <w:p w:rsidR="005A6601" w:rsidRDefault="005A6601">
      <w:pPr>
        <w:spacing w:after="0" w:line="240" w:lineRule="auto"/>
        <w:rPr>
          <w:rFonts w:ascii="Times New Roman" w:hAnsi="Times New Roman"/>
          <w:i/>
          <w:sz w:val="24"/>
          <w:szCs w:val="24"/>
        </w:rPr>
      </w:pPr>
    </w:p>
    <w:p w:rsidR="00E92134" w:rsidRDefault="00E92134">
      <w:pPr>
        <w:spacing w:after="0" w:line="240" w:lineRule="auto"/>
        <w:rPr>
          <w:rFonts w:ascii="Times New Roman" w:hAnsi="Times New Roman"/>
          <w:i/>
          <w:sz w:val="24"/>
          <w:szCs w:val="24"/>
        </w:rPr>
      </w:pPr>
    </w:p>
    <w:p w:rsidR="00E92134" w:rsidRDefault="00E92134">
      <w:pPr>
        <w:spacing w:after="0" w:line="240" w:lineRule="auto"/>
        <w:rPr>
          <w:rFonts w:ascii="Times New Roman" w:hAnsi="Times New Roman"/>
          <w:i/>
          <w:sz w:val="24"/>
          <w:szCs w:val="24"/>
        </w:rPr>
      </w:pPr>
    </w:p>
    <w:p w:rsidR="00E92134" w:rsidRDefault="00E92134">
      <w:pPr>
        <w:spacing w:after="0" w:line="240" w:lineRule="auto"/>
        <w:rPr>
          <w:rFonts w:ascii="Times New Roman" w:hAnsi="Times New Roman"/>
          <w:i/>
          <w:sz w:val="24"/>
          <w:szCs w:val="24"/>
        </w:rPr>
      </w:pPr>
    </w:p>
    <w:p w:rsidR="005A6601" w:rsidRDefault="005A6601">
      <w:pPr>
        <w:spacing w:after="0" w:line="240" w:lineRule="auto"/>
        <w:rPr>
          <w:rFonts w:ascii="Times New Roman" w:hAnsi="Times New Roman"/>
          <w:i/>
          <w:sz w:val="24"/>
          <w:szCs w:val="24"/>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5"/>
        <w:gridCol w:w="2754"/>
        <w:gridCol w:w="5940"/>
      </w:tblGrid>
      <w:tr w:rsidR="005A6601" w:rsidRPr="00BA6D11" w:rsidTr="00081FDD">
        <w:trPr>
          <w:trHeight w:val="336"/>
          <w:tblCellSpacing w:w="15" w:type="dxa"/>
          <w:jc w:val="center"/>
        </w:trPr>
        <w:tc>
          <w:tcPr>
            <w:tcW w:w="0" w:type="auto"/>
            <w:gridSpan w:val="3"/>
            <w:vAlign w:val="center"/>
          </w:tcPr>
          <w:p w:rsidR="005A6601" w:rsidRPr="00BA6D11" w:rsidRDefault="005A6601">
            <w:pPr>
              <w:spacing w:after="0" w:line="240" w:lineRule="auto"/>
              <w:rPr>
                <w:rFonts w:ascii="Times New Roman" w:hAnsi="Times New Roman"/>
                <w:b/>
                <w:bCs/>
                <w:sz w:val="24"/>
                <w:szCs w:val="24"/>
              </w:rPr>
            </w:pPr>
          </w:p>
          <w:p w:rsidR="005A6601" w:rsidRPr="00BA6D11" w:rsidRDefault="005A6601">
            <w:pPr>
              <w:spacing w:after="0" w:line="240" w:lineRule="auto"/>
              <w:rPr>
                <w:rFonts w:ascii="Times New Roman" w:hAnsi="Times New Roman"/>
                <w:b/>
                <w:bCs/>
                <w:sz w:val="24"/>
                <w:szCs w:val="24"/>
              </w:rPr>
            </w:pPr>
            <w:r w:rsidRPr="00BA6D11">
              <w:rPr>
                <w:rFonts w:ascii="Times New Roman" w:hAnsi="Times New Roman"/>
                <w:b/>
                <w:bCs/>
                <w:sz w:val="24"/>
                <w:szCs w:val="24"/>
              </w:rPr>
              <w:t>VI. Sabiedrības līdzdalība un komunikācijas aktivitātes</w:t>
            </w:r>
          </w:p>
        </w:tc>
      </w:tr>
      <w:tr w:rsidR="005A6601" w:rsidRPr="00BA6D11" w:rsidTr="00A9530D">
        <w:trPr>
          <w:trHeight w:val="432"/>
          <w:tblCellSpacing w:w="15" w:type="dxa"/>
          <w:jc w:val="center"/>
        </w:trPr>
        <w:tc>
          <w:tcPr>
            <w:tcW w:w="245"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1.</w:t>
            </w:r>
          </w:p>
        </w:tc>
        <w:tc>
          <w:tcPr>
            <w:tcW w:w="1482"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Plānotās sabiedrības līdzdalības un komunikācijas aktivitātes saistībā ar projektu</w:t>
            </w:r>
          </w:p>
        </w:tc>
        <w:tc>
          <w:tcPr>
            <w:tcW w:w="3208" w:type="pct"/>
          </w:tcPr>
          <w:p w:rsidR="005A6601" w:rsidRPr="00BA6D11" w:rsidRDefault="005A6601" w:rsidP="0009666A">
            <w:pPr>
              <w:spacing w:after="0" w:line="240" w:lineRule="auto"/>
              <w:jc w:val="both"/>
              <w:rPr>
                <w:rFonts w:ascii="Times New Roman" w:hAnsi="Times New Roman"/>
                <w:sz w:val="24"/>
                <w:szCs w:val="24"/>
              </w:rPr>
            </w:pPr>
            <w:r w:rsidRPr="00BA6D11">
              <w:rPr>
                <w:rFonts w:ascii="Times New Roman" w:hAnsi="Times New Roman"/>
                <w:sz w:val="24"/>
                <w:szCs w:val="24"/>
              </w:rPr>
              <w:t>Noteikumu projekts tik</w:t>
            </w:r>
            <w:r w:rsidR="0009666A">
              <w:rPr>
                <w:rFonts w:ascii="Times New Roman" w:hAnsi="Times New Roman"/>
                <w:sz w:val="24"/>
                <w:szCs w:val="24"/>
              </w:rPr>
              <w:t>a</w:t>
            </w:r>
            <w:r w:rsidRPr="00BA6D11">
              <w:rPr>
                <w:rFonts w:ascii="Times New Roman" w:hAnsi="Times New Roman"/>
                <w:sz w:val="24"/>
                <w:szCs w:val="24"/>
              </w:rPr>
              <w:t xml:space="preserve"> ievietots Zemkopības ministrijas tīmekļa vietnē, un </w:t>
            </w:r>
            <w:r w:rsidR="0009666A">
              <w:rPr>
                <w:rFonts w:ascii="Times New Roman" w:hAnsi="Times New Roman"/>
                <w:sz w:val="24"/>
                <w:szCs w:val="24"/>
              </w:rPr>
              <w:t>tika</w:t>
            </w:r>
            <w:r w:rsidRPr="00BA6D11">
              <w:rPr>
                <w:rFonts w:ascii="Times New Roman" w:hAnsi="Times New Roman"/>
                <w:sz w:val="24"/>
                <w:szCs w:val="24"/>
              </w:rPr>
              <w:t xml:space="preserve"> elektroniski nosūtīts Lauksaimnieku organizāciju sadarbības padomei, Zemnieku saeimai, Latvijas Lauksaimniecības kooperatīvu asociācijai, </w:t>
            </w:r>
            <w:r w:rsidRPr="00BA6D11">
              <w:rPr>
                <w:rFonts w:ascii="Times New Roman" w:hAnsi="Times New Roman"/>
                <w:bCs/>
                <w:sz w:val="24"/>
                <w:szCs w:val="24"/>
              </w:rPr>
              <w:t xml:space="preserve">Latvijas piena ražotāju asociācijai, Latvijas Zemnieku federācijai </w:t>
            </w:r>
            <w:r w:rsidRPr="00BA6D11">
              <w:rPr>
                <w:rFonts w:ascii="Times New Roman" w:hAnsi="Times New Roman"/>
                <w:sz w:val="24"/>
                <w:szCs w:val="24"/>
              </w:rPr>
              <w:t>un</w:t>
            </w:r>
            <w:r w:rsidRPr="00BA6D11">
              <w:rPr>
                <w:rFonts w:ascii="Times New Roman" w:hAnsi="Times New Roman"/>
                <w:bCs/>
                <w:sz w:val="24"/>
                <w:szCs w:val="24"/>
              </w:rPr>
              <w:t xml:space="preserve"> </w:t>
            </w:r>
            <w:r w:rsidRPr="00BA6D11">
              <w:rPr>
                <w:rFonts w:ascii="Times New Roman" w:hAnsi="Times New Roman"/>
                <w:bCs/>
                <w:sz w:val="24"/>
                <w:szCs w:val="24"/>
              </w:rPr>
              <w:lastRenderedPageBreak/>
              <w:t>Latvijas Statūtsabiedrību asociācijai</w:t>
            </w:r>
            <w:r w:rsidRPr="00BA6D11">
              <w:rPr>
                <w:rFonts w:ascii="Times New Roman" w:hAnsi="Times New Roman"/>
                <w:sz w:val="24"/>
                <w:szCs w:val="24"/>
              </w:rPr>
              <w:t>.</w:t>
            </w:r>
          </w:p>
        </w:tc>
      </w:tr>
      <w:tr w:rsidR="005A6601" w:rsidRPr="00BA6D11" w:rsidTr="00A9530D">
        <w:trPr>
          <w:trHeight w:val="264"/>
          <w:tblCellSpacing w:w="15" w:type="dxa"/>
          <w:jc w:val="center"/>
        </w:trPr>
        <w:tc>
          <w:tcPr>
            <w:tcW w:w="245"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lastRenderedPageBreak/>
              <w:t>2.</w:t>
            </w:r>
          </w:p>
        </w:tc>
        <w:tc>
          <w:tcPr>
            <w:tcW w:w="1482"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Sabiedrības līdzdalība projekta izstrādē</w:t>
            </w:r>
          </w:p>
        </w:tc>
        <w:tc>
          <w:tcPr>
            <w:tcW w:w="3208" w:type="pct"/>
          </w:tcPr>
          <w:p w:rsidR="005A6601" w:rsidRPr="00BA6D11" w:rsidRDefault="0009536F">
            <w:pPr>
              <w:spacing w:after="0" w:line="240" w:lineRule="auto"/>
              <w:jc w:val="both"/>
              <w:rPr>
                <w:rFonts w:ascii="Times New Roman" w:hAnsi="Times New Roman"/>
                <w:sz w:val="24"/>
                <w:szCs w:val="24"/>
              </w:rPr>
            </w:pPr>
            <w:r w:rsidRPr="00CE3166">
              <w:rPr>
                <w:rFonts w:ascii="Times New Roman" w:hAnsi="Times New Roman"/>
                <w:bCs/>
                <w:sz w:val="24"/>
                <w:szCs w:val="24"/>
              </w:rPr>
              <w:t>Latvijas Zemnieku federācija</w:t>
            </w:r>
            <w:r w:rsidRPr="00802B56">
              <w:rPr>
                <w:rFonts w:ascii="Times New Roman" w:hAnsi="Times New Roman"/>
                <w:sz w:val="24"/>
                <w:szCs w:val="24"/>
              </w:rPr>
              <w:t xml:space="preserve"> noteikumu projektu</w:t>
            </w:r>
            <w:r>
              <w:rPr>
                <w:rFonts w:ascii="Times New Roman" w:hAnsi="Times New Roman"/>
                <w:sz w:val="24"/>
                <w:szCs w:val="24"/>
              </w:rPr>
              <w:t xml:space="preserve"> saskaņoja bez iebildumiem</w:t>
            </w:r>
            <w:r w:rsidRPr="00802B56">
              <w:rPr>
                <w:rFonts w:ascii="Times New Roman" w:hAnsi="Times New Roman"/>
                <w:sz w:val="24"/>
                <w:szCs w:val="24"/>
              </w:rPr>
              <w:t>. Lauksaimnieku organizāciju sadarbības padome, Zemnieku saeima</w:t>
            </w:r>
            <w:r>
              <w:rPr>
                <w:rFonts w:ascii="Times New Roman" w:hAnsi="Times New Roman"/>
                <w:sz w:val="24"/>
                <w:szCs w:val="24"/>
              </w:rPr>
              <w:t>,</w:t>
            </w:r>
            <w:r w:rsidRPr="00CE3166">
              <w:rPr>
                <w:rFonts w:ascii="Times New Roman" w:hAnsi="Times New Roman"/>
                <w:bCs/>
                <w:sz w:val="24"/>
                <w:szCs w:val="24"/>
              </w:rPr>
              <w:t xml:space="preserve"> </w:t>
            </w:r>
            <w:r w:rsidRPr="00802B56">
              <w:rPr>
                <w:rFonts w:ascii="Times New Roman" w:hAnsi="Times New Roman"/>
                <w:sz w:val="24"/>
                <w:szCs w:val="24"/>
              </w:rPr>
              <w:t>un Latvijas Lauksaimniecības kooperatīvu asociācija sniegušas priekšlikumus un izteikušas komentārus par noteikumu projektu.</w:t>
            </w:r>
          </w:p>
        </w:tc>
      </w:tr>
      <w:tr w:rsidR="005A6601" w:rsidRPr="00BA6D11" w:rsidTr="00AF661D">
        <w:trPr>
          <w:trHeight w:val="682"/>
          <w:tblCellSpacing w:w="15" w:type="dxa"/>
          <w:jc w:val="center"/>
        </w:trPr>
        <w:tc>
          <w:tcPr>
            <w:tcW w:w="245"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3.</w:t>
            </w:r>
          </w:p>
        </w:tc>
        <w:tc>
          <w:tcPr>
            <w:tcW w:w="1482"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Sabiedrības līdzdalības rezultāti</w:t>
            </w:r>
          </w:p>
        </w:tc>
        <w:tc>
          <w:tcPr>
            <w:tcW w:w="3208" w:type="pct"/>
          </w:tcPr>
          <w:p w:rsidR="005A6601" w:rsidRPr="00BA6D11" w:rsidRDefault="0009536F">
            <w:pPr>
              <w:spacing w:after="0" w:line="240" w:lineRule="auto"/>
              <w:jc w:val="both"/>
              <w:rPr>
                <w:rFonts w:ascii="Times New Roman" w:hAnsi="Times New Roman"/>
                <w:sz w:val="24"/>
                <w:szCs w:val="24"/>
              </w:rPr>
            </w:pPr>
            <w:r w:rsidRPr="00030F75">
              <w:rPr>
                <w:rFonts w:ascii="Times New Roman" w:hAnsi="Times New Roman"/>
                <w:sz w:val="24"/>
                <w:szCs w:val="24"/>
              </w:rPr>
              <w:t xml:space="preserve">Lauksaimnieku organizāciju sadarbības padomes, Zemnieku saeimas un Latvijas Lauksaimniecības kooperatīvu asociācijas iesniegtie priekšlikumi ir izvērtēti un </w:t>
            </w:r>
            <w:r>
              <w:rPr>
                <w:rFonts w:ascii="Times New Roman" w:hAnsi="Times New Roman"/>
                <w:sz w:val="24"/>
                <w:szCs w:val="24"/>
              </w:rPr>
              <w:t xml:space="preserve">daļēji </w:t>
            </w:r>
            <w:r w:rsidRPr="00030F75">
              <w:rPr>
                <w:rFonts w:ascii="Times New Roman" w:hAnsi="Times New Roman"/>
                <w:sz w:val="24"/>
                <w:szCs w:val="24"/>
              </w:rPr>
              <w:t>ņemti vērā.</w:t>
            </w:r>
          </w:p>
        </w:tc>
      </w:tr>
      <w:tr w:rsidR="005A6601" w:rsidRPr="00BA6D11" w:rsidTr="00A9530D">
        <w:trPr>
          <w:trHeight w:val="372"/>
          <w:tblCellSpacing w:w="15" w:type="dxa"/>
          <w:jc w:val="center"/>
        </w:trPr>
        <w:tc>
          <w:tcPr>
            <w:tcW w:w="245"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4.</w:t>
            </w:r>
          </w:p>
        </w:tc>
        <w:tc>
          <w:tcPr>
            <w:tcW w:w="1482"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Cita informācija</w:t>
            </w:r>
          </w:p>
        </w:tc>
        <w:tc>
          <w:tcPr>
            <w:tcW w:w="3208"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Nav</w:t>
            </w:r>
          </w:p>
        </w:tc>
      </w:tr>
    </w:tbl>
    <w:p w:rsidR="005A6601" w:rsidRDefault="005A6601">
      <w:pPr>
        <w:spacing w:after="0" w:line="240" w:lineRule="auto"/>
        <w:rPr>
          <w:rFonts w:ascii="Times New Roman" w:hAnsi="Times New Roman"/>
          <w:sz w:val="24"/>
          <w:szCs w:val="24"/>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3476"/>
        <w:gridCol w:w="5214"/>
      </w:tblGrid>
      <w:tr w:rsidR="005A6601" w:rsidRPr="00BA6D11" w:rsidTr="00081FDD">
        <w:trPr>
          <w:trHeight w:val="300"/>
          <w:tblCellSpacing w:w="15" w:type="dxa"/>
          <w:jc w:val="center"/>
        </w:trPr>
        <w:tc>
          <w:tcPr>
            <w:tcW w:w="0" w:type="auto"/>
            <w:gridSpan w:val="3"/>
            <w:vAlign w:val="center"/>
          </w:tcPr>
          <w:p w:rsidR="005A6601" w:rsidRPr="00BA6D11" w:rsidRDefault="005A6601">
            <w:pPr>
              <w:spacing w:after="0" w:line="240" w:lineRule="auto"/>
              <w:rPr>
                <w:rFonts w:ascii="Times New Roman" w:hAnsi="Times New Roman"/>
                <w:b/>
                <w:bCs/>
                <w:sz w:val="24"/>
                <w:szCs w:val="24"/>
              </w:rPr>
            </w:pPr>
            <w:r w:rsidRPr="00BA6D11">
              <w:rPr>
                <w:rFonts w:ascii="Times New Roman" w:hAnsi="Times New Roman"/>
                <w:b/>
                <w:bCs/>
                <w:sz w:val="24"/>
                <w:szCs w:val="24"/>
              </w:rPr>
              <w:t>VII. Tiesību akta projekta izpildes nodrošināšana un tās ietekme uz institūcijām</w:t>
            </w:r>
          </w:p>
        </w:tc>
      </w:tr>
      <w:tr w:rsidR="005A6601" w:rsidRPr="00BA6D11" w:rsidTr="00081FDD">
        <w:trPr>
          <w:trHeight w:val="336"/>
          <w:tblCellSpacing w:w="15" w:type="dxa"/>
          <w:jc w:val="center"/>
        </w:trPr>
        <w:tc>
          <w:tcPr>
            <w:tcW w:w="247"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1.</w:t>
            </w:r>
          </w:p>
        </w:tc>
        <w:tc>
          <w:tcPr>
            <w:tcW w:w="1875"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Projekta izpildē iesaistītās institūcijas</w:t>
            </w:r>
          </w:p>
        </w:tc>
        <w:tc>
          <w:tcPr>
            <w:tcW w:w="2813" w:type="pct"/>
          </w:tcPr>
          <w:p w:rsidR="005A6601" w:rsidRPr="00BA6D11" w:rsidRDefault="005A6601" w:rsidP="0009536F">
            <w:pPr>
              <w:spacing w:after="0" w:line="240" w:lineRule="auto"/>
              <w:rPr>
                <w:rFonts w:ascii="Times New Roman" w:hAnsi="Times New Roman"/>
                <w:sz w:val="24"/>
                <w:szCs w:val="24"/>
              </w:rPr>
            </w:pPr>
            <w:r w:rsidRPr="00BA6D11">
              <w:rPr>
                <w:rFonts w:ascii="Times New Roman" w:hAnsi="Times New Roman"/>
                <w:sz w:val="24"/>
                <w:szCs w:val="24"/>
              </w:rPr>
              <w:t>Lauksaimniecības datu centrs, Lauku atbalsta dienests</w:t>
            </w:r>
            <w:r w:rsidR="0009536F">
              <w:rPr>
                <w:rFonts w:ascii="Times New Roman" w:hAnsi="Times New Roman"/>
                <w:sz w:val="24"/>
                <w:szCs w:val="24"/>
              </w:rPr>
              <w:t>, Pārtikas Veterinārais dienests</w:t>
            </w:r>
          </w:p>
        </w:tc>
      </w:tr>
      <w:tr w:rsidR="005A6601" w:rsidRPr="00BA6D11" w:rsidTr="00081FDD">
        <w:trPr>
          <w:trHeight w:val="360"/>
          <w:tblCellSpacing w:w="15" w:type="dxa"/>
          <w:jc w:val="center"/>
        </w:trPr>
        <w:tc>
          <w:tcPr>
            <w:tcW w:w="247"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2.</w:t>
            </w:r>
          </w:p>
        </w:tc>
        <w:tc>
          <w:tcPr>
            <w:tcW w:w="1875"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813"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Saistībā ar projekta izpildi nav nepieciešams veidot jaunas, ne arī likvidēt vai reorganizēt esošas institūcijas.</w:t>
            </w:r>
          </w:p>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Projekta izpilde neietekmēs institūcijām pieejamos cilvēkresursus.</w:t>
            </w:r>
          </w:p>
          <w:p w:rsidR="005A6601" w:rsidRPr="00BA6D11" w:rsidRDefault="005A6601">
            <w:pPr>
              <w:spacing w:after="0" w:line="240" w:lineRule="auto"/>
              <w:rPr>
                <w:rFonts w:ascii="Times New Roman" w:hAnsi="Times New Roman"/>
                <w:sz w:val="24"/>
                <w:szCs w:val="24"/>
              </w:rPr>
            </w:pPr>
          </w:p>
        </w:tc>
      </w:tr>
      <w:tr w:rsidR="005A6601" w:rsidRPr="00BA6D11" w:rsidTr="00081FDD">
        <w:trPr>
          <w:trHeight w:val="312"/>
          <w:tblCellSpacing w:w="15" w:type="dxa"/>
          <w:jc w:val="center"/>
        </w:trPr>
        <w:tc>
          <w:tcPr>
            <w:tcW w:w="247"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3.</w:t>
            </w:r>
          </w:p>
        </w:tc>
        <w:tc>
          <w:tcPr>
            <w:tcW w:w="1875"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Cita informācija</w:t>
            </w:r>
          </w:p>
        </w:tc>
        <w:tc>
          <w:tcPr>
            <w:tcW w:w="2813" w:type="pct"/>
          </w:tcPr>
          <w:p w:rsidR="005A6601" w:rsidRPr="00BA6D11" w:rsidRDefault="005A6601">
            <w:pPr>
              <w:spacing w:after="0" w:line="240" w:lineRule="auto"/>
              <w:rPr>
                <w:rFonts w:ascii="Times New Roman" w:hAnsi="Times New Roman"/>
                <w:sz w:val="24"/>
                <w:szCs w:val="24"/>
              </w:rPr>
            </w:pPr>
            <w:r w:rsidRPr="00BA6D11">
              <w:rPr>
                <w:rFonts w:ascii="Times New Roman" w:hAnsi="Times New Roman"/>
                <w:sz w:val="24"/>
                <w:szCs w:val="24"/>
              </w:rPr>
              <w:t>Nav</w:t>
            </w:r>
          </w:p>
        </w:tc>
      </w:tr>
    </w:tbl>
    <w:p w:rsidR="005A6601" w:rsidRDefault="005A6601">
      <w:pPr>
        <w:spacing w:after="0" w:line="240" w:lineRule="auto"/>
        <w:rPr>
          <w:rFonts w:ascii="Times New Roman" w:hAnsi="Times New Roman"/>
          <w:sz w:val="24"/>
          <w:szCs w:val="24"/>
        </w:rPr>
      </w:pPr>
    </w:p>
    <w:p w:rsidR="005A6601" w:rsidRDefault="005A6601">
      <w:pPr>
        <w:spacing w:after="0" w:line="240" w:lineRule="auto"/>
        <w:rPr>
          <w:rFonts w:ascii="Times New Roman" w:hAnsi="Times New Roman"/>
          <w:sz w:val="24"/>
          <w:szCs w:val="24"/>
        </w:rPr>
      </w:pPr>
    </w:p>
    <w:p w:rsidR="005A6601" w:rsidRPr="00E92134" w:rsidRDefault="005A6601" w:rsidP="004941BF">
      <w:pPr>
        <w:spacing w:after="0" w:line="240" w:lineRule="auto"/>
        <w:ind w:firstLine="720"/>
        <w:rPr>
          <w:rFonts w:ascii="Times New Roman" w:hAnsi="Times New Roman"/>
          <w:sz w:val="28"/>
          <w:szCs w:val="28"/>
        </w:rPr>
      </w:pPr>
      <w:r w:rsidRPr="00E92134">
        <w:rPr>
          <w:rFonts w:ascii="Times New Roman" w:hAnsi="Times New Roman"/>
          <w:sz w:val="28"/>
          <w:szCs w:val="28"/>
        </w:rPr>
        <w:t xml:space="preserve">Zemkopības ministrs </w:t>
      </w:r>
      <w:r w:rsidRPr="00E92134">
        <w:rPr>
          <w:rFonts w:ascii="Times New Roman" w:hAnsi="Times New Roman"/>
          <w:sz w:val="28"/>
          <w:szCs w:val="28"/>
        </w:rPr>
        <w:tab/>
      </w:r>
      <w:r w:rsidRPr="00E92134">
        <w:rPr>
          <w:rFonts w:ascii="Times New Roman" w:hAnsi="Times New Roman"/>
          <w:sz w:val="28"/>
          <w:szCs w:val="28"/>
        </w:rPr>
        <w:tab/>
      </w:r>
      <w:r w:rsidRPr="00E92134">
        <w:rPr>
          <w:rFonts w:ascii="Times New Roman" w:hAnsi="Times New Roman"/>
          <w:sz w:val="28"/>
          <w:szCs w:val="28"/>
        </w:rPr>
        <w:tab/>
      </w:r>
      <w:r w:rsidRPr="00E92134">
        <w:rPr>
          <w:rFonts w:ascii="Times New Roman" w:hAnsi="Times New Roman"/>
          <w:sz w:val="28"/>
          <w:szCs w:val="28"/>
        </w:rPr>
        <w:tab/>
      </w:r>
      <w:r w:rsidRPr="00E92134">
        <w:rPr>
          <w:rFonts w:ascii="Times New Roman" w:hAnsi="Times New Roman"/>
          <w:sz w:val="28"/>
          <w:szCs w:val="28"/>
        </w:rPr>
        <w:tab/>
      </w:r>
      <w:r w:rsidRPr="00E92134">
        <w:rPr>
          <w:rFonts w:ascii="Times New Roman" w:hAnsi="Times New Roman"/>
          <w:sz w:val="28"/>
          <w:szCs w:val="28"/>
        </w:rPr>
        <w:tab/>
        <w:t>J.Dūklavs</w:t>
      </w:r>
    </w:p>
    <w:p w:rsidR="00B17D55" w:rsidRDefault="00B17D55" w:rsidP="004941BF">
      <w:pPr>
        <w:spacing w:after="0" w:line="240" w:lineRule="auto"/>
        <w:ind w:firstLine="720"/>
        <w:rPr>
          <w:rFonts w:ascii="Times New Roman" w:hAnsi="Times New Roman"/>
          <w:sz w:val="24"/>
          <w:szCs w:val="24"/>
        </w:rPr>
      </w:pPr>
    </w:p>
    <w:p w:rsidR="00B17D55" w:rsidRDefault="00B17D55" w:rsidP="004941BF">
      <w:pPr>
        <w:spacing w:after="0" w:line="240" w:lineRule="auto"/>
        <w:ind w:firstLine="720"/>
        <w:rPr>
          <w:rFonts w:ascii="Times New Roman" w:hAnsi="Times New Roman"/>
          <w:sz w:val="24"/>
          <w:szCs w:val="24"/>
        </w:rPr>
      </w:pPr>
    </w:p>
    <w:p w:rsidR="005A6601" w:rsidRDefault="005A6601">
      <w:pPr>
        <w:spacing w:after="0" w:line="240" w:lineRule="auto"/>
        <w:rPr>
          <w:rFonts w:ascii="Times New Roman" w:hAnsi="Times New Roman"/>
          <w:sz w:val="24"/>
          <w:szCs w:val="24"/>
        </w:rPr>
      </w:pPr>
    </w:p>
    <w:p w:rsidR="005A6601" w:rsidRDefault="005A6601">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bookmarkStart w:id="1" w:name="_GoBack"/>
      <w:bookmarkEnd w:id="1"/>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4"/>
          <w:szCs w:val="24"/>
        </w:rPr>
      </w:pPr>
    </w:p>
    <w:p w:rsidR="00E92134" w:rsidRDefault="00E92134">
      <w:pPr>
        <w:spacing w:after="0" w:line="240" w:lineRule="auto"/>
        <w:rPr>
          <w:rFonts w:ascii="Times New Roman" w:hAnsi="Times New Roman"/>
          <w:sz w:val="20"/>
          <w:szCs w:val="20"/>
        </w:rPr>
      </w:pPr>
      <w:r>
        <w:rPr>
          <w:rFonts w:ascii="Times New Roman" w:hAnsi="Times New Roman"/>
          <w:sz w:val="20"/>
          <w:szCs w:val="20"/>
        </w:rPr>
        <w:t>11.12.2014. 13:42</w:t>
      </w:r>
    </w:p>
    <w:p w:rsidR="00E92134" w:rsidRPr="00E92134" w:rsidRDefault="00E92134">
      <w:pPr>
        <w:spacing w:after="0" w:line="240" w:lineRule="auto"/>
        <w:rPr>
          <w:rFonts w:ascii="Times New Roman" w:hAnsi="Times New Roman"/>
          <w:sz w:val="20"/>
          <w:szCs w:val="20"/>
        </w:rPr>
      </w:pPr>
      <w:r w:rsidRPr="00E92134">
        <w:rPr>
          <w:rFonts w:ascii="Times New Roman" w:hAnsi="Times New Roman"/>
          <w:sz w:val="20"/>
          <w:szCs w:val="20"/>
        </w:rPr>
        <w:fldChar w:fldCharType="begin"/>
      </w:r>
      <w:r w:rsidRPr="00E92134">
        <w:rPr>
          <w:rFonts w:ascii="Times New Roman" w:hAnsi="Times New Roman"/>
          <w:sz w:val="20"/>
          <w:szCs w:val="20"/>
        </w:rPr>
        <w:instrText xml:space="preserve"> NUMWORDS   \* MERGEFORMAT </w:instrText>
      </w:r>
      <w:r w:rsidRPr="00E92134">
        <w:rPr>
          <w:rFonts w:ascii="Times New Roman" w:hAnsi="Times New Roman"/>
          <w:sz w:val="20"/>
          <w:szCs w:val="20"/>
        </w:rPr>
        <w:fldChar w:fldCharType="separate"/>
      </w:r>
      <w:r w:rsidRPr="00E92134">
        <w:rPr>
          <w:rFonts w:ascii="Times New Roman" w:hAnsi="Times New Roman"/>
          <w:noProof/>
          <w:sz w:val="20"/>
          <w:szCs w:val="20"/>
        </w:rPr>
        <w:t>2898</w:t>
      </w:r>
      <w:r w:rsidRPr="00E92134">
        <w:rPr>
          <w:rFonts w:ascii="Times New Roman" w:hAnsi="Times New Roman"/>
          <w:sz w:val="20"/>
          <w:szCs w:val="20"/>
        </w:rPr>
        <w:fldChar w:fldCharType="end"/>
      </w:r>
    </w:p>
    <w:p w:rsidR="005A6601" w:rsidRDefault="005A6601">
      <w:pPr>
        <w:spacing w:after="0" w:line="240" w:lineRule="auto"/>
        <w:rPr>
          <w:rFonts w:ascii="Times New Roman" w:hAnsi="Times New Roman"/>
          <w:sz w:val="20"/>
          <w:szCs w:val="20"/>
        </w:rPr>
      </w:pPr>
      <w:r w:rsidRPr="00802B56">
        <w:rPr>
          <w:rFonts w:ascii="Times New Roman" w:hAnsi="Times New Roman"/>
          <w:sz w:val="20"/>
          <w:szCs w:val="20"/>
        </w:rPr>
        <w:t>S.Justa</w:t>
      </w:r>
    </w:p>
    <w:p w:rsidR="005A6601" w:rsidRDefault="005A6601">
      <w:pPr>
        <w:spacing w:after="0" w:line="240" w:lineRule="auto"/>
        <w:rPr>
          <w:rFonts w:ascii="Times New Roman" w:hAnsi="Times New Roman"/>
          <w:sz w:val="20"/>
          <w:szCs w:val="20"/>
        </w:rPr>
      </w:pPr>
      <w:r w:rsidRPr="00802B56">
        <w:rPr>
          <w:rFonts w:ascii="Times New Roman" w:hAnsi="Times New Roman"/>
          <w:sz w:val="20"/>
          <w:szCs w:val="20"/>
        </w:rPr>
        <w:t>67027379; Sandra.Justa@zm.gov.lv</w:t>
      </w:r>
    </w:p>
    <w:sectPr w:rsidR="005A6601" w:rsidSect="009D0FF3">
      <w:headerReference w:type="even" r:id="rId13"/>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01" w:rsidRDefault="005A6601" w:rsidP="009D0FF3">
      <w:pPr>
        <w:spacing w:after="0" w:line="240" w:lineRule="auto"/>
      </w:pPr>
      <w:r>
        <w:separator/>
      </w:r>
    </w:p>
  </w:endnote>
  <w:endnote w:type="continuationSeparator" w:id="0">
    <w:p w:rsidR="005A6601" w:rsidRDefault="005A6601" w:rsidP="009D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01" w:rsidRPr="001962A7" w:rsidRDefault="005A6601" w:rsidP="0088391C">
    <w:pPr>
      <w:spacing w:after="0"/>
      <w:jc w:val="both"/>
      <w:rPr>
        <w:rFonts w:ascii="Times New Roman" w:hAnsi="Times New Roman"/>
        <w:sz w:val="20"/>
        <w:szCs w:val="20"/>
      </w:rPr>
    </w:pPr>
    <w:r w:rsidRPr="001962A7">
      <w:rPr>
        <w:rFonts w:ascii="Times New Roman" w:hAnsi="Times New Roman"/>
        <w:sz w:val="20"/>
        <w:szCs w:val="20"/>
      </w:rPr>
      <w:t>ZMAnot_</w:t>
    </w:r>
    <w:r w:rsidR="002B6A0F">
      <w:rPr>
        <w:rFonts w:ascii="Times New Roman" w:hAnsi="Times New Roman"/>
        <w:sz w:val="20"/>
        <w:szCs w:val="20"/>
      </w:rPr>
      <w:t>11</w:t>
    </w:r>
    <w:r>
      <w:rPr>
        <w:rFonts w:ascii="Times New Roman" w:hAnsi="Times New Roman"/>
        <w:sz w:val="20"/>
        <w:szCs w:val="20"/>
      </w:rPr>
      <w:t>1</w:t>
    </w:r>
    <w:r w:rsidR="005273F3">
      <w:rPr>
        <w:rFonts w:ascii="Times New Roman" w:hAnsi="Times New Roman"/>
        <w:sz w:val="20"/>
        <w:szCs w:val="20"/>
      </w:rPr>
      <w:t>2</w:t>
    </w:r>
    <w:r w:rsidRPr="001962A7">
      <w:rPr>
        <w:rFonts w:ascii="Times New Roman" w:hAnsi="Times New Roman"/>
        <w:sz w:val="20"/>
        <w:szCs w:val="20"/>
      </w:rPr>
      <w:t>14_piena_kvotas; Ministru kabineta noteikumu projekts „Grozījumi Ministru kabineta 2009.gada 8.septembra noteikumos Nr.1040 „Piena kvotu administrēšanas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01" w:rsidRPr="001962A7" w:rsidRDefault="002B6A0F" w:rsidP="0088391C">
    <w:pPr>
      <w:spacing w:after="0"/>
      <w:jc w:val="both"/>
      <w:rPr>
        <w:rFonts w:ascii="Times New Roman" w:hAnsi="Times New Roman"/>
        <w:sz w:val="20"/>
        <w:szCs w:val="20"/>
      </w:rPr>
    </w:pPr>
    <w:r>
      <w:rPr>
        <w:rFonts w:ascii="Times New Roman" w:hAnsi="Times New Roman"/>
        <w:sz w:val="20"/>
        <w:szCs w:val="20"/>
      </w:rPr>
      <w:t>ZMAnot_11</w:t>
    </w:r>
    <w:r w:rsidR="005A6601">
      <w:rPr>
        <w:rFonts w:ascii="Times New Roman" w:hAnsi="Times New Roman"/>
        <w:sz w:val="20"/>
        <w:szCs w:val="20"/>
      </w:rPr>
      <w:t>1</w:t>
    </w:r>
    <w:r w:rsidR="005273F3">
      <w:rPr>
        <w:rFonts w:ascii="Times New Roman" w:hAnsi="Times New Roman"/>
        <w:sz w:val="20"/>
        <w:szCs w:val="20"/>
      </w:rPr>
      <w:t>2</w:t>
    </w:r>
    <w:r w:rsidR="005A6601" w:rsidRPr="001962A7">
      <w:rPr>
        <w:rFonts w:ascii="Times New Roman" w:hAnsi="Times New Roman"/>
        <w:sz w:val="20"/>
        <w:szCs w:val="20"/>
      </w:rPr>
      <w:t xml:space="preserve">14_piena_kvotas; Ministru kabineta noteikumu projekts „Grozījumi Ministru kabineta 2009.gada 8.septembra noteikumos Nr.1040 „Piena kvotu administrēšanas noteikumi””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01" w:rsidRDefault="005A6601" w:rsidP="009D0FF3">
      <w:pPr>
        <w:spacing w:after="0" w:line="240" w:lineRule="auto"/>
      </w:pPr>
      <w:r>
        <w:separator/>
      </w:r>
    </w:p>
  </w:footnote>
  <w:footnote w:type="continuationSeparator" w:id="0">
    <w:p w:rsidR="005A6601" w:rsidRDefault="005A6601" w:rsidP="009D0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01" w:rsidRDefault="005A6601"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A6601" w:rsidRDefault="005A66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01" w:rsidRDefault="005A6601"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2134">
      <w:rPr>
        <w:rStyle w:val="Lappusesnumurs"/>
        <w:noProof/>
      </w:rPr>
      <w:t>11</w:t>
    </w:r>
    <w:r>
      <w:rPr>
        <w:rStyle w:val="Lappusesnumurs"/>
      </w:rPr>
      <w:fldChar w:fldCharType="end"/>
    </w:r>
  </w:p>
  <w:p w:rsidR="005A6601" w:rsidRDefault="005A66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511D7"/>
    <w:multiLevelType w:val="hybridMultilevel"/>
    <w:tmpl w:val="C41E311E"/>
    <w:lvl w:ilvl="0" w:tplc="A8984522">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3A174EFF"/>
    <w:multiLevelType w:val="hybridMultilevel"/>
    <w:tmpl w:val="BA361B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C486985"/>
    <w:multiLevelType w:val="hybridMultilevel"/>
    <w:tmpl w:val="2FBE13A6"/>
    <w:lvl w:ilvl="0" w:tplc="4E8A6C38">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5D060AD3"/>
    <w:multiLevelType w:val="hybridMultilevel"/>
    <w:tmpl w:val="06D6C3E4"/>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A075CF6"/>
    <w:multiLevelType w:val="hybridMultilevel"/>
    <w:tmpl w:val="4C581A52"/>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698"/>
    <w:rsid w:val="0000676D"/>
    <w:rsid w:val="00011AAE"/>
    <w:rsid w:val="00022A49"/>
    <w:rsid w:val="00025C3E"/>
    <w:rsid w:val="00055BCE"/>
    <w:rsid w:val="000571C4"/>
    <w:rsid w:val="00057C28"/>
    <w:rsid w:val="00081FDD"/>
    <w:rsid w:val="0009536F"/>
    <w:rsid w:val="0009666A"/>
    <w:rsid w:val="000B29F3"/>
    <w:rsid w:val="000D6683"/>
    <w:rsid w:val="000E286C"/>
    <w:rsid w:val="000E7BE7"/>
    <w:rsid w:val="00124DE3"/>
    <w:rsid w:val="00133B97"/>
    <w:rsid w:val="001500E9"/>
    <w:rsid w:val="0018561B"/>
    <w:rsid w:val="001962A7"/>
    <w:rsid w:val="001C25DC"/>
    <w:rsid w:val="001C34D9"/>
    <w:rsid w:val="001E15A0"/>
    <w:rsid w:val="001E6D0F"/>
    <w:rsid w:val="001F4A78"/>
    <w:rsid w:val="001F5D1D"/>
    <w:rsid w:val="00207AAB"/>
    <w:rsid w:val="00211D69"/>
    <w:rsid w:val="0021269B"/>
    <w:rsid w:val="00231BBC"/>
    <w:rsid w:val="002337D6"/>
    <w:rsid w:val="0024394D"/>
    <w:rsid w:val="00247814"/>
    <w:rsid w:val="00265720"/>
    <w:rsid w:val="00276D2E"/>
    <w:rsid w:val="00293C05"/>
    <w:rsid w:val="002B1D1C"/>
    <w:rsid w:val="002B6A0F"/>
    <w:rsid w:val="002D3C1E"/>
    <w:rsid w:val="002F5DA7"/>
    <w:rsid w:val="0031629E"/>
    <w:rsid w:val="003608D5"/>
    <w:rsid w:val="00384CE2"/>
    <w:rsid w:val="00392F8E"/>
    <w:rsid w:val="00404D54"/>
    <w:rsid w:val="00432DC2"/>
    <w:rsid w:val="0043451E"/>
    <w:rsid w:val="004662C1"/>
    <w:rsid w:val="004843B7"/>
    <w:rsid w:val="004941BF"/>
    <w:rsid w:val="004B342C"/>
    <w:rsid w:val="004C6D63"/>
    <w:rsid w:val="004D20AA"/>
    <w:rsid w:val="004F49F8"/>
    <w:rsid w:val="00505E36"/>
    <w:rsid w:val="00506AC3"/>
    <w:rsid w:val="005273F3"/>
    <w:rsid w:val="00533673"/>
    <w:rsid w:val="00537DAA"/>
    <w:rsid w:val="00547A60"/>
    <w:rsid w:val="005536C7"/>
    <w:rsid w:val="00576662"/>
    <w:rsid w:val="00585999"/>
    <w:rsid w:val="00592ADD"/>
    <w:rsid w:val="0059604D"/>
    <w:rsid w:val="005A00E9"/>
    <w:rsid w:val="005A6601"/>
    <w:rsid w:val="005C1CDA"/>
    <w:rsid w:val="005D6A80"/>
    <w:rsid w:val="005D7B1A"/>
    <w:rsid w:val="005E7DEE"/>
    <w:rsid w:val="00604A18"/>
    <w:rsid w:val="00670BD5"/>
    <w:rsid w:val="00676DDE"/>
    <w:rsid w:val="00690AA8"/>
    <w:rsid w:val="006930CC"/>
    <w:rsid w:val="00697858"/>
    <w:rsid w:val="006A2E5D"/>
    <w:rsid w:val="006B2D45"/>
    <w:rsid w:val="006B743B"/>
    <w:rsid w:val="006C3CCE"/>
    <w:rsid w:val="006F35BD"/>
    <w:rsid w:val="00701336"/>
    <w:rsid w:val="0070153E"/>
    <w:rsid w:val="0072399F"/>
    <w:rsid w:val="00762441"/>
    <w:rsid w:val="00785446"/>
    <w:rsid w:val="007956E1"/>
    <w:rsid w:val="00797F43"/>
    <w:rsid w:val="007D6AC8"/>
    <w:rsid w:val="007E25CA"/>
    <w:rsid w:val="00802B56"/>
    <w:rsid w:val="0084365A"/>
    <w:rsid w:val="008713B6"/>
    <w:rsid w:val="0088391C"/>
    <w:rsid w:val="008C0C16"/>
    <w:rsid w:val="008E17CD"/>
    <w:rsid w:val="00930064"/>
    <w:rsid w:val="00945C98"/>
    <w:rsid w:val="00970063"/>
    <w:rsid w:val="009700B9"/>
    <w:rsid w:val="0097056C"/>
    <w:rsid w:val="009723F6"/>
    <w:rsid w:val="00980698"/>
    <w:rsid w:val="009810E5"/>
    <w:rsid w:val="009B3A46"/>
    <w:rsid w:val="009C4B11"/>
    <w:rsid w:val="009D0FF3"/>
    <w:rsid w:val="009D419F"/>
    <w:rsid w:val="009E2FBE"/>
    <w:rsid w:val="009F0A6A"/>
    <w:rsid w:val="00A071AA"/>
    <w:rsid w:val="00A13F6F"/>
    <w:rsid w:val="00A17A80"/>
    <w:rsid w:val="00A26BC3"/>
    <w:rsid w:val="00A91633"/>
    <w:rsid w:val="00A9530D"/>
    <w:rsid w:val="00AB7CB1"/>
    <w:rsid w:val="00AC56BB"/>
    <w:rsid w:val="00AD6090"/>
    <w:rsid w:val="00AE76A1"/>
    <w:rsid w:val="00AF3491"/>
    <w:rsid w:val="00AF661D"/>
    <w:rsid w:val="00B17D55"/>
    <w:rsid w:val="00B302F0"/>
    <w:rsid w:val="00B33D8C"/>
    <w:rsid w:val="00B35F3B"/>
    <w:rsid w:val="00B51189"/>
    <w:rsid w:val="00B600B5"/>
    <w:rsid w:val="00B804CF"/>
    <w:rsid w:val="00B94917"/>
    <w:rsid w:val="00BA6D11"/>
    <w:rsid w:val="00BB1A27"/>
    <w:rsid w:val="00BC149B"/>
    <w:rsid w:val="00BC1B98"/>
    <w:rsid w:val="00BC7AE4"/>
    <w:rsid w:val="00C34F27"/>
    <w:rsid w:val="00C43C42"/>
    <w:rsid w:val="00C47CFE"/>
    <w:rsid w:val="00C80534"/>
    <w:rsid w:val="00CC7391"/>
    <w:rsid w:val="00CD3D7B"/>
    <w:rsid w:val="00CE3166"/>
    <w:rsid w:val="00D22A00"/>
    <w:rsid w:val="00D45622"/>
    <w:rsid w:val="00D52218"/>
    <w:rsid w:val="00D6308F"/>
    <w:rsid w:val="00D638EE"/>
    <w:rsid w:val="00D84985"/>
    <w:rsid w:val="00DB0ED4"/>
    <w:rsid w:val="00DB6D07"/>
    <w:rsid w:val="00DC2A69"/>
    <w:rsid w:val="00DC4215"/>
    <w:rsid w:val="00DD0606"/>
    <w:rsid w:val="00DD5729"/>
    <w:rsid w:val="00DF690C"/>
    <w:rsid w:val="00E31723"/>
    <w:rsid w:val="00E31E9B"/>
    <w:rsid w:val="00E72EB8"/>
    <w:rsid w:val="00E74BD5"/>
    <w:rsid w:val="00E82B0D"/>
    <w:rsid w:val="00E85FAA"/>
    <w:rsid w:val="00E92134"/>
    <w:rsid w:val="00ED1C17"/>
    <w:rsid w:val="00EE17CD"/>
    <w:rsid w:val="00EE386D"/>
    <w:rsid w:val="00EF4666"/>
    <w:rsid w:val="00F00A66"/>
    <w:rsid w:val="00F16B55"/>
    <w:rsid w:val="00F242BE"/>
    <w:rsid w:val="00F263F1"/>
    <w:rsid w:val="00F41BF4"/>
    <w:rsid w:val="00F524D7"/>
    <w:rsid w:val="00F800B8"/>
    <w:rsid w:val="00FA2871"/>
    <w:rsid w:val="00FD0558"/>
    <w:rsid w:val="00FD3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15:docId w15:val="{5BB34863-1BFC-4027-80E0-37F957DD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7DAA"/>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8069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link w:val="Galvene"/>
    <w:uiPriority w:val="99"/>
    <w:locked/>
    <w:rsid w:val="00980698"/>
    <w:rPr>
      <w:rFonts w:ascii="Times New Roman" w:hAnsi="Times New Roman" w:cs="Times New Roman"/>
      <w:sz w:val="24"/>
      <w:szCs w:val="24"/>
      <w:lang w:eastAsia="lv-LV"/>
    </w:rPr>
  </w:style>
  <w:style w:type="character" w:styleId="Lappusesnumurs">
    <w:name w:val="page number"/>
    <w:uiPriority w:val="99"/>
    <w:rsid w:val="00980698"/>
    <w:rPr>
      <w:rFonts w:cs="Times New Roman"/>
    </w:rPr>
  </w:style>
  <w:style w:type="paragraph" w:styleId="Kjene">
    <w:name w:val="footer"/>
    <w:basedOn w:val="Parasts"/>
    <w:link w:val="KjeneRakstz"/>
    <w:uiPriority w:val="99"/>
    <w:rsid w:val="0098069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link w:val="Kjene"/>
    <w:uiPriority w:val="99"/>
    <w:locked/>
    <w:rsid w:val="00980698"/>
    <w:rPr>
      <w:rFonts w:ascii="Times New Roman" w:hAnsi="Times New Roman" w:cs="Times New Roman"/>
      <w:sz w:val="24"/>
      <w:szCs w:val="24"/>
      <w:lang w:eastAsia="lv-LV"/>
    </w:rPr>
  </w:style>
  <w:style w:type="paragraph" w:styleId="Balonteksts">
    <w:name w:val="Balloon Text"/>
    <w:basedOn w:val="Parasts"/>
    <w:link w:val="BalontekstsRakstz"/>
    <w:uiPriority w:val="99"/>
    <w:semiHidden/>
    <w:rsid w:val="00980698"/>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locked/>
    <w:rsid w:val="00980698"/>
    <w:rPr>
      <w:rFonts w:ascii="Segoe UI" w:hAnsi="Segoe UI" w:cs="Segoe UI"/>
      <w:sz w:val="18"/>
      <w:szCs w:val="18"/>
    </w:rPr>
  </w:style>
  <w:style w:type="paragraph" w:styleId="Sarakstarindkopa">
    <w:name w:val="List Paragraph"/>
    <w:basedOn w:val="Parasts"/>
    <w:uiPriority w:val="99"/>
    <w:qFormat/>
    <w:rsid w:val="00CE3166"/>
    <w:pPr>
      <w:ind w:left="720"/>
      <w:contextualSpacing/>
    </w:pPr>
  </w:style>
  <w:style w:type="paragraph" w:customStyle="1" w:styleId="naiskr">
    <w:name w:val="naiskr"/>
    <w:basedOn w:val="Parasts"/>
    <w:uiPriority w:val="99"/>
    <w:rsid w:val="003608D5"/>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3608D5"/>
    <w:pPr>
      <w:spacing w:before="150" w:after="150" w:line="240" w:lineRule="auto"/>
      <w:jc w:val="center"/>
    </w:pPr>
    <w:rPr>
      <w:rFonts w:ascii="Times New Roman" w:eastAsia="Times New Roman" w:hAnsi="Times New Roman"/>
      <w:b/>
      <w:bCs/>
      <w:sz w:val="24"/>
      <w:szCs w:val="24"/>
      <w:lang w:eastAsia="lv-LV"/>
    </w:rPr>
  </w:style>
  <w:style w:type="paragraph" w:customStyle="1" w:styleId="naisf">
    <w:name w:val="naisf"/>
    <w:basedOn w:val="Parasts"/>
    <w:uiPriority w:val="99"/>
    <w:rsid w:val="003608D5"/>
    <w:pPr>
      <w:spacing w:before="75" w:after="75" w:line="240" w:lineRule="auto"/>
      <w:ind w:firstLine="375"/>
      <w:jc w:val="both"/>
    </w:pPr>
    <w:rPr>
      <w:rFonts w:ascii="Times New Roman" w:eastAsia="Times New Roman" w:hAnsi="Times New Roman"/>
      <w:sz w:val="24"/>
      <w:szCs w:val="24"/>
      <w:lang w:eastAsia="lv-LV"/>
    </w:rPr>
  </w:style>
  <w:style w:type="table" w:styleId="Reatabula">
    <w:name w:val="Table Grid"/>
    <w:basedOn w:val="Parastatabula"/>
    <w:uiPriority w:val="99"/>
    <w:rsid w:val="0026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4236">
      <w:marLeft w:val="0"/>
      <w:marRight w:val="0"/>
      <w:marTop w:val="0"/>
      <w:marBottom w:val="0"/>
      <w:divBdr>
        <w:top w:val="none" w:sz="0" w:space="0" w:color="auto"/>
        <w:left w:val="none" w:sz="0" w:space="0" w:color="auto"/>
        <w:bottom w:val="none" w:sz="0" w:space="0" w:color="auto"/>
        <w:right w:val="none" w:sz="0" w:space="0" w:color="auto"/>
      </w:divBdr>
    </w:div>
    <w:div w:id="1492674237">
      <w:marLeft w:val="0"/>
      <w:marRight w:val="0"/>
      <w:marTop w:val="0"/>
      <w:marBottom w:val="0"/>
      <w:divBdr>
        <w:top w:val="none" w:sz="0" w:space="0" w:color="auto"/>
        <w:left w:val="none" w:sz="0" w:space="0" w:color="auto"/>
        <w:bottom w:val="none" w:sz="0" w:space="0" w:color="auto"/>
        <w:right w:val="none" w:sz="0" w:space="0" w:color="auto"/>
      </w:divBdr>
    </w:div>
    <w:div w:id="21199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1234?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07/1234?locale=LV" TargetMode="External"/><Relationship Id="rId12" Type="http://schemas.openxmlformats.org/officeDocument/2006/relationships/hyperlink" Target="http://eur-lex.europa.eu/eli/reg/2007/1234?local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07/1234?local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eli/reg/2004/595?locale=LV" TargetMode="External"/><Relationship Id="rId4" Type="http://schemas.openxmlformats.org/officeDocument/2006/relationships/webSettings" Target="webSettings.xml"/><Relationship Id="rId9" Type="http://schemas.openxmlformats.org/officeDocument/2006/relationships/hyperlink" Target="http://eur-lex.europa.eu/eli/reg/2007/1234?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11</Pages>
  <Words>2988</Words>
  <Characters>19666</Characters>
  <Application>Microsoft Office Word</Application>
  <DocSecurity>0</DocSecurity>
  <Lines>819</Lines>
  <Paragraphs>185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Vecmane</dc:creator>
  <cp:keywords/>
  <dc:description/>
  <cp:lastModifiedBy>Renārs Žagars</cp:lastModifiedBy>
  <cp:revision>51</cp:revision>
  <cp:lastPrinted>2014-12-08T07:00:00Z</cp:lastPrinted>
  <dcterms:created xsi:type="dcterms:W3CDTF">2014-04-08T12:10:00Z</dcterms:created>
  <dcterms:modified xsi:type="dcterms:W3CDTF">2014-12-11T11:42:00Z</dcterms:modified>
</cp:coreProperties>
</file>