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E3" w:rsidRPr="00F06012" w:rsidRDefault="007F70E3" w:rsidP="00F06012">
      <w:pPr>
        <w:spacing w:after="160" w:line="259" w:lineRule="auto"/>
        <w:jc w:val="center"/>
        <w:rPr>
          <w:sz w:val="28"/>
          <w:szCs w:val="28"/>
          <w:lang w:eastAsia="en-US"/>
        </w:rPr>
      </w:pPr>
      <w:r w:rsidRPr="006B42E1">
        <w:rPr>
          <w:b/>
          <w:sz w:val="28"/>
          <w:szCs w:val="28"/>
          <w:lang w:eastAsia="en-US"/>
        </w:rPr>
        <w:t xml:space="preserve">Ministru kabineta noteikumu projekta </w:t>
      </w:r>
      <w:bookmarkStart w:id="0" w:name="OLE_LINK1"/>
      <w:bookmarkStart w:id="1" w:name="OLE_LINK2"/>
      <w:r>
        <w:rPr>
          <w:b/>
          <w:sz w:val="28"/>
          <w:szCs w:val="28"/>
          <w:lang w:eastAsia="en-US"/>
        </w:rPr>
        <w:t>„</w:t>
      </w:r>
      <w:r w:rsidRPr="00B27603">
        <w:rPr>
          <w:b/>
          <w:sz w:val="28"/>
          <w:szCs w:val="28"/>
          <w:lang w:eastAsia="en-US"/>
        </w:rPr>
        <w:t xml:space="preserve">Grozījumi Ministru kabineta 2013.gada 12.marta noteikumos Nr.139 </w:t>
      </w:r>
      <w:r w:rsidRPr="006B42E1">
        <w:rPr>
          <w:b/>
          <w:sz w:val="28"/>
          <w:szCs w:val="28"/>
          <w:lang w:eastAsia="en-US"/>
        </w:rPr>
        <w:t xml:space="preserve">„Kārtība, kādā tiek piešķirts valsts un Eiropas Savienības atbalsts </w:t>
      </w:r>
      <w:bookmarkEnd w:id="0"/>
      <w:bookmarkEnd w:id="1"/>
      <w:r w:rsidRPr="006B42E1">
        <w:rPr>
          <w:b/>
          <w:sz w:val="28"/>
          <w:szCs w:val="28"/>
          <w:lang w:eastAsia="en-US"/>
        </w:rPr>
        <w:t>lauksaimniecībai tiešā atbalsta shēmu ietvaros”</w:t>
      </w:r>
      <w:r>
        <w:rPr>
          <w:b/>
          <w:sz w:val="28"/>
          <w:szCs w:val="28"/>
          <w:lang w:eastAsia="en-US"/>
        </w:rPr>
        <w:t>”</w:t>
      </w:r>
      <w:r w:rsidRPr="006B42E1">
        <w:rPr>
          <w:b/>
          <w:sz w:val="28"/>
          <w:szCs w:val="28"/>
          <w:lang w:eastAsia="en-US"/>
        </w:rPr>
        <w:t xml:space="preserve"> sākotnējās ietekmes novērtējuma </w:t>
      </w:r>
      <w:smartTag w:uri="schemas-tilde-lv/tildestengine" w:element="veidnes">
        <w:smartTagPr>
          <w:attr w:name="id" w:val="-1"/>
          <w:attr w:name="baseform" w:val="ziņojums"/>
          <w:attr w:name="text" w:val="ziņojums"/>
        </w:smartTagPr>
        <w:r w:rsidRPr="006B42E1">
          <w:rPr>
            <w:b/>
            <w:sz w:val="28"/>
            <w:szCs w:val="28"/>
            <w:lang w:eastAsia="en-US"/>
          </w:rPr>
          <w:t>ziņojums</w:t>
        </w:r>
      </w:smartTag>
      <w:r w:rsidRPr="006B42E1">
        <w:rPr>
          <w:b/>
          <w:sz w:val="28"/>
          <w:szCs w:val="28"/>
          <w:lang w:eastAsia="en-US"/>
        </w:rPr>
        <w:t xml:space="preserve"> (anotācija)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
        <w:gridCol w:w="2689"/>
        <w:gridCol w:w="5538"/>
      </w:tblGrid>
      <w:tr w:rsidR="007F70E3" w:rsidRPr="00456CB0" w:rsidTr="00456CB0">
        <w:tc>
          <w:tcPr>
            <w:tcW w:w="8642" w:type="dxa"/>
            <w:gridSpan w:val="3"/>
          </w:tcPr>
          <w:p w:rsidR="007F70E3" w:rsidRPr="00456CB0" w:rsidRDefault="007F70E3" w:rsidP="00456CB0">
            <w:pPr>
              <w:jc w:val="center"/>
            </w:pPr>
            <w:r w:rsidRPr="00456CB0">
              <w:rPr>
                <w:b/>
                <w:bCs/>
              </w:rPr>
              <w:t>I. Tiesību akta projekta izstrādes nepieciešamība</w:t>
            </w:r>
          </w:p>
        </w:tc>
      </w:tr>
      <w:tr w:rsidR="007F70E3" w:rsidRPr="00456CB0" w:rsidTr="00456CB0">
        <w:tc>
          <w:tcPr>
            <w:tcW w:w="415" w:type="dxa"/>
          </w:tcPr>
          <w:p w:rsidR="007F70E3" w:rsidRPr="00456CB0" w:rsidRDefault="007F70E3" w:rsidP="00456CB0">
            <w:pPr>
              <w:spacing w:before="100" w:beforeAutospacing="1" w:after="100" w:afterAutospacing="1" w:line="360" w:lineRule="auto"/>
              <w:ind w:firstLine="19"/>
              <w:jc w:val="both"/>
            </w:pPr>
            <w:r w:rsidRPr="00456CB0">
              <w:t>1.</w:t>
            </w:r>
          </w:p>
        </w:tc>
        <w:tc>
          <w:tcPr>
            <w:tcW w:w="2689" w:type="dxa"/>
          </w:tcPr>
          <w:p w:rsidR="007F70E3" w:rsidRPr="00456CB0" w:rsidRDefault="007F70E3" w:rsidP="00456CB0">
            <w:r w:rsidRPr="00456CB0">
              <w:t>Pamatojums</w:t>
            </w:r>
          </w:p>
        </w:tc>
        <w:tc>
          <w:tcPr>
            <w:tcW w:w="5538" w:type="dxa"/>
          </w:tcPr>
          <w:p w:rsidR="007F70E3" w:rsidRPr="00986287" w:rsidRDefault="007F70E3" w:rsidP="00456CB0">
            <w:r w:rsidRPr="00986287">
              <w:rPr>
                <w:lang w:eastAsia="en-US"/>
              </w:rPr>
              <w:t>Lauksaimniecības un lauku attīstības likuma 5.panta ceturtā daļa.</w:t>
            </w:r>
          </w:p>
        </w:tc>
      </w:tr>
      <w:tr w:rsidR="007F70E3" w:rsidRPr="00456CB0" w:rsidTr="00456CB0">
        <w:tc>
          <w:tcPr>
            <w:tcW w:w="415" w:type="dxa"/>
          </w:tcPr>
          <w:p w:rsidR="007F70E3" w:rsidRPr="00456CB0" w:rsidRDefault="007F70E3" w:rsidP="00456CB0">
            <w:pPr>
              <w:spacing w:before="100" w:beforeAutospacing="1" w:after="100" w:afterAutospacing="1" w:line="360" w:lineRule="auto"/>
              <w:ind w:firstLine="19"/>
              <w:jc w:val="both"/>
            </w:pPr>
            <w:r w:rsidRPr="00456CB0">
              <w:t>2.</w:t>
            </w:r>
          </w:p>
        </w:tc>
        <w:tc>
          <w:tcPr>
            <w:tcW w:w="2689" w:type="dxa"/>
          </w:tcPr>
          <w:p w:rsidR="007F70E3" w:rsidRPr="00456CB0" w:rsidRDefault="007F70E3" w:rsidP="00456CB0">
            <w:r w:rsidRPr="00456CB0">
              <w:t>Pašreizējā situācija un problēmas, kuru risināšanai tiesību akta projekts izstrādāts, tiesiskā regulējuma mērķis un būtība</w:t>
            </w:r>
          </w:p>
        </w:tc>
        <w:tc>
          <w:tcPr>
            <w:tcW w:w="5538" w:type="dxa"/>
          </w:tcPr>
          <w:p w:rsidR="00357B3E" w:rsidRPr="002B1BD3" w:rsidRDefault="007F70E3" w:rsidP="00456CB0">
            <w:pPr>
              <w:jc w:val="both"/>
              <w:rPr>
                <w:lang w:eastAsia="en-US"/>
              </w:rPr>
            </w:pPr>
            <w:r w:rsidRPr="002B1BD3">
              <w:rPr>
                <w:lang w:eastAsia="en-US"/>
              </w:rPr>
              <w:t>Patlaban valsts un Eiropas Savienības maksājumu piešķiršanas kārtību nosaka Ministru kabineta 2013.gada 12.marta noteikumi Nr.139 „Kārtība, kādā tiek piešķirts valsts un Eiropas Savienības atbalsts lauksaimniecībai tiešā atbalsta shēmu ietvaros” (turpmāk – Minis</w:t>
            </w:r>
            <w:r w:rsidR="00357B3E" w:rsidRPr="002B1BD3">
              <w:rPr>
                <w:lang w:eastAsia="en-US"/>
              </w:rPr>
              <w:t>tru kabineta noteikumi Nr.139).</w:t>
            </w:r>
          </w:p>
          <w:p w:rsidR="007F70E3" w:rsidRPr="002B1BD3" w:rsidRDefault="00357B3E" w:rsidP="00456CB0">
            <w:pPr>
              <w:jc w:val="both"/>
              <w:rPr>
                <w:lang w:eastAsia="en-US"/>
              </w:rPr>
            </w:pPr>
            <w:r w:rsidRPr="002B1BD3">
              <w:rPr>
                <w:lang w:eastAsia="en-US"/>
              </w:rPr>
              <w:t>I</w:t>
            </w:r>
            <w:r w:rsidR="008764E4" w:rsidRPr="002B1BD3">
              <w:rPr>
                <w:lang w:eastAsia="en-US"/>
              </w:rPr>
              <w:t>evērojot</w:t>
            </w:r>
            <w:r w:rsidR="007F70E3" w:rsidRPr="002B1BD3">
              <w:rPr>
                <w:lang w:eastAsia="en-US"/>
              </w:rPr>
              <w:t xml:space="preserve"> 2013.gadā pieņemtos lēmumus un </w:t>
            </w:r>
            <w:r w:rsidRPr="002B1BD3">
              <w:rPr>
                <w:lang w:eastAsia="en-US"/>
              </w:rPr>
              <w:t xml:space="preserve">lēmumus, kas saistīti ar </w:t>
            </w:r>
            <w:r w:rsidR="008764E4" w:rsidRPr="002B1BD3">
              <w:rPr>
                <w:lang w:eastAsia="en-US"/>
              </w:rPr>
              <w:t>grozījum</w:t>
            </w:r>
            <w:r w:rsidRPr="002B1BD3">
              <w:rPr>
                <w:lang w:eastAsia="en-US"/>
              </w:rPr>
              <w:t>iem</w:t>
            </w:r>
            <w:r w:rsidR="007F70E3" w:rsidRPr="002B1BD3">
              <w:rPr>
                <w:lang w:eastAsia="en-US"/>
              </w:rPr>
              <w:t xml:space="preserve"> Eiropas Savienības normatīvajos aktos, ir </w:t>
            </w:r>
            <w:r w:rsidR="003D45E3" w:rsidRPr="002B1BD3">
              <w:rPr>
                <w:lang w:eastAsia="en-US"/>
              </w:rPr>
              <w:t xml:space="preserve">nepieciešams </w:t>
            </w:r>
            <w:r w:rsidR="00E27D35">
              <w:rPr>
                <w:lang w:eastAsia="en-US"/>
              </w:rPr>
              <w:t>izdarīt</w:t>
            </w:r>
            <w:r w:rsidR="00F87529">
              <w:rPr>
                <w:lang w:eastAsia="en-US"/>
              </w:rPr>
              <w:t xml:space="preserve"> šādus</w:t>
            </w:r>
            <w:r w:rsidR="003D45E3" w:rsidRPr="002B1BD3">
              <w:rPr>
                <w:lang w:eastAsia="en-US"/>
              </w:rPr>
              <w:t xml:space="preserve"> grozījumus </w:t>
            </w:r>
            <w:r w:rsidR="007F70E3" w:rsidRPr="002B1BD3">
              <w:rPr>
                <w:lang w:eastAsia="en-US"/>
              </w:rPr>
              <w:t>Mini</w:t>
            </w:r>
            <w:r w:rsidRPr="002B1BD3">
              <w:rPr>
                <w:lang w:eastAsia="en-US"/>
              </w:rPr>
              <w:t>stru kabineta noteikumos Nr.139:</w:t>
            </w:r>
          </w:p>
          <w:p w:rsidR="00357B3E" w:rsidRPr="002B1BD3" w:rsidRDefault="00357B3E" w:rsidP="00357B3E">
            <w:pPr>
              <w:pStyle w:val="Sarakstarindkopa"/>
              <w:tabs>
                <w:tab w:val="left" w:pos="327"/>
              </w:tabs>
              <w:ind w:left="0"/>
              <w:jc w:val="both"/>
              <w:rPr>
                <w:rFonts w:ascii="Times New Roman" w:hAnsi="Times New Roman"/>
                <w:sz w:val="24"/>
                <w:szCs w:val="24"/>
                <w:lang w:eastAsia="lv-LV"/>
              </w:rPr>
            </w:pPr>
            <w:r w:rsidRPr="002B1BD3">
              <w:rPr>
                <w:rFonts w:ascii="Times New Roman" w:hAnsi="Times New Roman"/>
                <w:sz w:val="24"/>
                <w:szCs w:val="24"/>
              </w:rPr>
              <w:t xml:space="preserve">1) </w:t>
            </w:r>
            <w:r w:rsidR="00E27D35">
              <w:rPr>
                <w:rFonts w:ascii="Times New Roman" w:hAnsi="Times New Roman"/>
                <w:sz w:val="24"/>
                <w:szCs w:val="24"/>
              </w:rPr>
              <w:t>s</w:t>
            </w:r>
            <w:r w:rsidRPr="002B1BD3">
              <w:rPr>
                <w:rFonts w:ascii="Times New Roman" w:hAnsi="Times New Roman"/>
                <w:sz w:val="24"/>
                <w:szCs w:val="24"/>
              </w:rPr>
              <w:t xml:space="preserve">askaņā </w:t>
            </w:r>
            <w:r w:rsidRPr="002B1BD3">
              <w:rPr>
                <w:rFonts w:ascii="Times New Roman" w:hAnsi="Times New Roman"/>
                <w:sz w:val="24"/>
                <w:szCs w:val="24"/>
                <w:lang w:eastAsia="lv-LV"/>
              </w:rPr>
              <w:t xml:space="preserve">Zemkopības ministrijas </w:t>
            </w:r>
            <w:r w:rsidRPr="002B1BD3">
              <w:rPr>
                <w:rFonts w:ascii="Times New Roman" w:hAnsi="Times New Roman"/>
                <w:sz w:val="24"/>
                <w:szCs w:val="24"/>
              </w:rPr>
              <w:t xml:space="preserve">Konsultatīvās padomes </w:t>
            </w:r>
            <w:r w:rsidRPr="002B1BD3">
              <w:rPr>
                <w:rFonts w:ascii="Times New Roman" w:hAnsi="Times New Roman"/>
                <w:sz w:val="24"/>
                <w:szCs w:val="24"/>
                <w:lang w:eastAsia="lv-LV"/>
              </w:rPr>
              <w:t xml:space="preserve">2013.gada 30.maija </w:t>
            </w:r>
            <w:r w:rsidRPr="002B1BD3">
              <w:rPr>
                <w:rFonts w:ascii="Times New Roman" w:hAnsi="Times New Roman"/>
                <w:sz w:val="24"/>
                <w:szCs w:val="24"/>
              </w:rPr>
              <w:t xml:space="preserve">lēmumu ir jāatceļ </w:t>
            </w:r>
            <w:r w:rsidRPr="002B1BD3">
              <w:rPr>
                <w:rFonts w:ascii="Times New Roman" w:hAnsi="Times New Roman"/>
                <w:sz w:val="24"/>
                <w:szCs w:val="24"/>
                <w:lang w:eastAsia="lv-LV"/>
              </w:rPr>
              <w:t>atsevišķais maksājums par cukuru (turpmāk – ACM), jo vairs nav ekonomiskā pamata turpināt maksājumu par 2006/2007.tirdzniecības gadā ražotājiem piegādāto cukurbiešu daudzumu;</w:t>
            </w:r>
          </w:p>
          <w:p w:rsidR="00150BAD" w:rsidRPr="002B1BD3" w:rsidRDefault="00357B3E" w:rsidP="00357B3E">
            <w:pPr>
              <w:jc w:val="both"/>
              <w:rPr>
                <w:color w:val="000000"/>
              </w:rPr>
            </w:pPr>
            <w:r w:rsidRPr="002B1BD3">
              <w:rPr>
                <w:color w:val="000000"/>
              </w:rPr>
              <w:t xml:space="preserve">2) </w:t>
            </w:r>
            <w:r w:rsidR="00F87529">
              <w:rPr>
                <w:color w:val="000000"/>
              </w:rPr>
              <w:t xml:space="preserve">atbilstoši </w:t>
            </w:r>
            <w:r w:rsidRPr="002B1BD3">
              <w:rPr>
                <w:color w:val="000000"/>
              </w:rPr>
              <w:t>Ministru kabineta noteikumu Nr.139 120.punkt</w:t>
            </w:r>
            <w:r w:rsidR="00F87529">
              <w:rPr>
                <w:color w:val="000000"/>
              </w:rPr>
              <w:t xml:space="preserve">am ir </w:t>
            </w:r>
            <w:r w:rsidRPr="002B1BD3">
              <w:rPr>
                <w:color w:val="000000"/>
              </w:rPr>
              <w:t>pārskat</w:t>
            </w:r>
            <w:r w:rsidR="00F87529">
              <w:rPr>
                <w:color w:val="000000"/>
              </w:rPr>
              <w:t>īti</w:t>
            </w:r>
            <w:r w:rsidRPr="002B1BD3">
              <w:rPr>
                <w:color w:val="000000"/>
              </w:rPr>
              <w:t xml:space="preserve"> laba lauksaimniecības un vides stāvokļa (turpmāk – LLVN) nosacījum</w:t>
            </w:r>
            <w:r w:rsidR="00F87529">
              <w:rPr>
                <w:color w:val="000000"/>
              </w:rPr>
              <w:t>i</w:t>
            </w:r>
            <w:r w:rsidRPr="002B1BD3">
              <w:rPr>
                <w:color w:val="000000"/>
              </w:rPr>
              <w:t xml:space="preserve"> par minimālo lauksaimniecības dzīvnieku blīvumu. Par jaunu nosacījumu piemērošanu panākta vienošanās 2013.gada 30.maija Zemkopības ministrijas Konsultatīvajā padomē</w:t>
            </w:r>
            <w:r w:rsidR="00150BAD" w:rsidRPr="002B1BD3">
              <w:rPr>
                <w:color w:val="000000"/>
              </w:rPr>
              <w:t>;</w:t>
            </w:r>
          </w:p>
          <w:p w:rsidR="00357B3E" w:rsidRPr="002B1BD3" w:rsidRDefault="00357B3E" w:rsidP="00357B3E">
            <w:pPr>
              <w:jc w:val="both"/>
              <w:rPr>
                <w:bCs/>
                <w:lang w:eastAsia="en-US"/>
              </w:rPr>
            </w:pPr>
            <w:r w:rsidRPr="002B1BD3">
              <w:t>3) 2014.gada 1.janvārī stājās spēkā</w:t>
            </w:r>
            <w:r w:rsidRPr="002B1BD3">
              <w:rPr>
                <w:lang w:eastAsia="en-US"/>
              </w:rPr>
              <w:t xml:space="preserve"> </w:t>
            </w:r>
            <w:r w:rsidRPr="002B1BD3">
              <w:rPr>
                <w:bCs/>
                <w:lang w:eastAsia="en-US"/>
              </w:rPr>
              <w:t>Eiropas Parlamenta un Padomes 2013.gada 17.decembra Regula (ES) Nr.1310/2013, ar ko nosaka konkrētus pārejas posma noteikumus par atbalstu lauku attīstībai no Eiropas Lauksaimniecības fonda lauku attīstībai (ELFLA), groza Eiropas Parlamenta un Padomes Regulu (ES) Nr.1305/2013 attiecībā uz līdzekļiem un to sadalījumu 2014.gadam un groza Padomes Regulu (EK) Nr.73/2009 un Eiropas Parlamenta un Padomes Regulas (ES) Nr. 1307/2013, (ES) Nr.1306/2013 un (ES) Nr.1308/2013 attiecībā uz to piemērošanu 2014.gadā (turpmāk – Regula Nr.1310/2013)</w:t>
            </w:r>
            <w:r w:rsidR="003D45E3" w:rsidRPr="002B1BD3">
              <w:rPr>
                <w:bCs/>
                <w:lang w:eastAsia="en-US"/>
              </w:rPr>
              <w:t>:</w:t>
            </w:r>
          </w:p>
          <w:p w:rsidR="003D45E3" w:rsidRPr="002B1BD3" w:rsidRDefault="003D45E3" w:rsidP="00357B3E">
            <w:pPr>
              <w:jc w:val="both"/>
              <w:rPr>
                <w:lang w:eastAsia="en-US"/>
              </w:rPr>
            </w:pPr>
            <w:r w:rsidRPr="002B1BD3">
              <w:t xml:space="preserve">3.1. Regulas Nr.1310/2013 6.panta 6.punkta ”c” apakšpunkta nosacījums dalībvalstīm ļauj palielināt ar ražošanu saistītā (turpmāk – īpašais atbalsts) atbalsta līmeni līdz 6,5% no 2014.gada valstij noteiktā maksimālā apjoma, tāpēc ir jāprecizē </w:t>
            </w:r>
            <w:r w:rsidRPr="002B1BD3">
              <w:rPr>
                <w:color w:val="000000"/>
              </w:rPr>
              <w:t>Ministru kabineta noteikum</w:t>
            </w:r>
            <w:r w:rsidR="00E27D35">
              <w:rPr>
                <w:color w:val="000000"/>
              </w:rPr>
              <w:t>os</w:t>
            </w:r>
            <w:r w:rsidRPr="002B1BD3">
              <w:rPr>
                <w:color w:val="000000"/>
              </w:rPr>
              <w:t xml:space="preserve"> Nr.139 </w:t>
            </w:r>
            <w:r w:rsidR="00E27D35">
              <w:rPr>
                <w:color w:val="000000"/>
              </w:rPr>
              <w:t>noteik</w:t>
            </w:r>
            <w:r w:rsidRPr="002B1BD3">
              <w:rPr>
                <w:color w:val="000000"/>
              </w:rPr>
              <w:t xml:space="preserve">to īpašā atbalsta apmēru un jāparedz nosacījumi jaunam īpašā atbalsta </w:t>
            </w:r>
            <w:r w:rsidRPr="002B1BD3">
              <w:rPr>
                <w:color w:val="000000"/>
              </w:rPr>
              <w:lastRenderedPageBreak/>
              <w:t>veidam</w:t>
            </w:r>
            <w:r w:rsidR="00E27D35">
              <w:rPr>
                <w:color w:val="000000"/>
              </w:rPr>
              <w:t>;</w:t>
            </w:r>
          </w:p>
          <w:p w:rsidR="003D45E3" w:rsidRPr="002B1BD3" w:rsidRDefault="003D45E3" w:rsidP="003D45E3">
            <w:pPr>
              <w:jc w:val="both"/>
              <w:rPr>
                <w:lang w:eastAsia="en-US"/>
              </w:rPr>
            </w:pPr>
            <w:r w:rsidRPr="002B1BD3">
              <w:rPr>
                <w:lang w:eastAsia="en-US"/>
              </w:rPr>
              <w:t xml:space="preserve">3.2. </w:t>
            </w:r>
            <w:r w:rsidRPr="002B1BD3">
              <w:rPr>
                <w:bCs/>
                <w:lang w:eastAsia="en-US"/>
              </w:rPr>
              <w:t xml:space="preserve">Regula Nr.1310/2013 </w:t>
            </w:r>
            <w:r w:rsidRPr="002B1BD3">
              <w:rPr>
                <w:color w:val="000000"/>
              </w:rPr>
              <w:t>paredz, ka savstarpējās atbilstības darbības joma ir koriģējama un ir jāaizstāj obligātās pārvaldības prasības par gruntsūdeņu aizsardzību pret piesārņojumu ar atbilstošu LLVN</w:t>
            </w:r>
            <w:r w:rsidR="00E27D35">
              <w:rPr>
                <w:color w:val="000000"/>
              </w:rPr>
              <w:t>;</w:t>
            </w:r>
          </w:p>
          <w:p w:rsidR="003D45E3" w:rsidRPr="002B1BD3" w:rsidRDefault="003D45E3" w:rsidP="00456CB0">
            <w:pPr>
              <w:jc w:val="both"/>
              <w:rPr>
                <w:color w:val="000000"/>
              </w:rPr>
            </w:pPr>
            <w:r w:rsidRPr="002B1BD3">
              <w:rPr>
                <w:lang w:eastAsia="en-US"/>
              </w:rPr>
              <w:t xml:space="preserve">3.3. </w:t>
            </w:r>
            <w:r w:rsidRPr="002B1BD3">
              <w:rPr>
                <w:bCs/>
                <w:lang w:eastAsia="en-US"/>
              </w:rPr>
              <w:t>Regula</w:t>
            </w:r>
            <w:r w:rsidR="00E27D35">
              <w:rPr>
                <w:bCs/>
                <w:lang w:eastAsia="en-US"/>
              </w:rPr>
              <w:t>s</w:t>
            </w:r>
            <w:r w:rsidRPr="002B1BD3">
              <w:rPr>
                <w:bCs/>
                <w:lang w:eastAsia="en-US"/>
              </w:rPr>
              <w:t xml:space="preserve"> Nr.1310/2013 </w:t>
            </w:r>
            <w:r w:rsidRPr="002B1BD3">
              <w:t xml:space="preserve">6.panta 10.punkts </w:t>
            </w:r>
            <w:r w:rsidRPr="002B1BD3">
              <w:rPr>
                <w:color w:val="000000"/>
              </w:rPr>
              <w:t xml:space="preserve">paredz, ka platībām, uz kurām attiecas vienotā platībmaksājuma </w:t>
            </w:r>
            <w:r w:rsidR="00150BAD" w:rsidRPr="002B1BD3">
              <w:rPr>
                <w:color w:val="000000"/>
              </w:rPr>
              <w:t>(turpmāk – VPM)</w:t>
            </w:r>
            <w:r w:rsidRPr="002B1BD3">
              <w:rPr>
                <w:color w:val="000000"/>
              </w:rPr>
              <w:t xml:space="preserve"> </w:t>
            </w:r>
            <w:r w:rsidR="00150BAD" w:rsidRPr="002B1BD3">
              <w:rPr>
                <w:color w:val="000000"/>
              </w:rPr>
              <w:t>shēma</w:t>
            </w:r>
            <w:r w:rsidR="00E27D35">
              <w:rPr>
                <w:color w:val="000000"/>
              </w:rPr>
              <w:t>,</w:t>
            </w:r>
            <w:r w:rsidR="00150BAD" w:rsidRPr="002B1BD3">
              <w:rPr>
                <w:color w:val="000000"/>
              </w:rPr>
              <w:t xml:space="preserve"> </w:t>
            </w:r>
            <w:r w:rsidRPr="002B1BD3">
              <w:rPr>
                <w:color w:val="000000"/>
              </w:rPr>
              <w:t>vairs nav jābūt bijušām labā lauksaimniecības stāvoklī 2003.gada 30.jūnijā, tāpēc Ministru kabineta noteikumos Nr.139 ir jā</w:t>
            </w:r>
            <w:r w:rsidR="00E27D35">
              <w:rPr>
                <w:color w:val="000000"/>
              </w:rPr>
              <w:t>paredz</w:t>
            </w:r>
            <w:r w:rsidRPr="002B1BD3">
              <w:rPr>
                <w:color w:val="000000"/>
              </w:rPr>
              <w:t xml:space="preserve"> nosacījumi, kas dod iespēju lauksaimniekiem </w:t>
            </w:r>
            <w:r w:rsidR="00150BAD" w:rsidRPr="002B1BD3">
              <w:rPr>
                <w:color w:val="000000"/>
              </w:rPr>
              <w:t>VPM</w:t>
            </w:r>
            <w:r w:rsidRPr="002B1BD3">
              <w:rPr>
                <w:color w:val="000000"/>
              </w:rPr>
              <w:t xml:space="preserve"> atbalstam pieteikt jaunus lauku blokus</w:t>
            </w:r>
            <w:r w:rsidR="00E27D35">
              <w:rPr>
                <w:color w:val="000000"/>
              </w:rPr>
              <w:t>;</w:t>
            </w:r>
          </w:p>
          <w:p w:rsidR="00150BAD" w:rsidRPr="002B1BD3" w:rsidRDefault="00150BAD" w:rsidP="00150BAD">
            <w:pPr>
              <w:jc w:val="both"/>
            </w:pPr>
            <w:r w:rsidRPr="002B1BD3">
              <w:rPr>
                <w:color w:val="000000"/>
              </w:rPr>
              <w:t xml:space="preserve">3.4. </w:t>
            </w:r>
            <w:r w:rsidRPr="002B1BD3">
              <w:rPr>
                <w:bCs/>
                <w:lang w:eastAsia="en-US"/>
              </w:rPr>
              <w:t>Regula</w:t>
            </w:r>
            <w:r w:rsidR="00E27D35">
              <w:rPr>
                <w:bCs/>
                <w:lang w:eastAsia="en-US"/>
              </w:rPr>
              <w:t>s</w:t>
            </w:r>
            <w:r w:rsidRPr="002B1BD3">
              <w:rPr>
                <w:bCs/>
                <w:lang w:eastAsia="en-US"/>
              </w:rPr>
              <w:t xml:space="preserve"> Nr.1310/2013 </w:t>
            </w:r>
            <w:r w:rsidRPr="002B1BD3">
              <w:t xml:space="preserve">6.panta 14.punkts </w:t>
            </w:r>
            <w:r w:rsidRPr="002B1BD3">
              <w:rPr>
                <w:color w:val="000000"/>
              </w:rPr>
              <w:t>paredz iespēju dalībvalstīm, kuras piemēro VPM shēmu</w:t>
            </w:r>
            <w:r w:rsidR="00E27D35">
              <w:rPr>
                <w:color w:val="000000"/>
              </w:rPr>
              <w:t>,</w:t>
            </w:r>
            <w:r w:rsidRPr="002B1BD3">
              <w:t xml:space="preserve"> pieņemt lēmumu piešķirt </w:t>
            </w:r>
            <w:r w:rsidR="00E27D35">
              <w:t>p</w:t>
            </w:r>
            <w:r w:rsidRPr="002B1BD3">
              <w:t>ārejas posma valsts atbalstu (turpmāk – PPVA) 2014.gadā.</w:t>
            </w:r>
          </w:p>
          <w:p w:rsidR="00150BAD" w:rsidRPr="002B1BD3" w:rsidRDefault="00150BAD" w:rsidP="00456CB0">
            <w:pPr>
              <w:jc w:val="both"/>
            </w:pPr>
            <w:r w:rsidRPr="002B1BD3">
              <w:rPr>
                <w:color w:val="000000"/>
              </w:rPr>
              <w:t>Lauku atbalsta dienests regulāri saskaras ar situāciju, ka</w:t>
            </w:r>
            <w:r w:rsidR="00E27D35">
              <w:rPr>
                <w:color w:val="000000"/>
              </w:rPr>
              <w:t>d</w:t>
            </w:r>
            <w:r w:rsidRPr="002B1BD3">
              <w:rPr>
                <w:color w:val="000000"/>
              </w:rPr>
              <w:t xml:space="preserve"> kopējā lauksaimnieka atbalstam pieteiktā lauku bloka platība pārsniedz faktisko lauku bloka platību, </w:t>
            </w:r>
            <w:r w:rsidR="00E27D35">
              <w:rPr>
                <w:color w:val="000000"/>
              </w:rPr>
              <w:t>un t</w:t>
            </w:r>
            <w:r w:rsidRPr="002B1BD3">
              <w:rPr>
                <w:color w:val="000000"/>
              </w:rPr>
              <w:t xml:space="preserve">as mākslīgi palielina kopējo VPM </w:t>
            </w:r>
            <w:proofErr w:type="spellStart"/>
            <w:r w:rsidRPr="002B1BD3">
              <w:rPr>
                <w:color w:val="000000"/>
              </w:rPr>
              <w:t>atbalsttiesīgo</w:t>
            </w:r>
            <w:proofErr w:type="spellEnd"/>
            <w:r w:rsidRPr="002B1BD3">
              <w:rPr>
                <w:color w:val="000000"/>
              </w:rPr>
              <w:t xml:space="preserve"> platību, taču tā ir </w:t>
            </w:r>
            <w:proofErr w:type="spellStart"/>
            <w:r w:rsidRPr="002B1BD3">
              <w:rPr>
                <w:color w:val="000000"/>
              </w:rPr>
              <w:t>pārdeklarācijas</w:t>
            </w:r>
            <w:proofErr w:type="spellEnd"/>
            <w:r w:rsidRPr="002B1BD3">
              <w:rPr>
                <w:color w:val="000000"/>
              </w:rPr>
              <w:t xml:space="preserve"> sankciju robežās. Šāda mākslīga palielinātu platību deklarēšana rada nepamatotu VPM atbalsta likmes samazinājumu.</w:t>
            </w:r>
          </w:p>
          <w:p w:rsidR="007F70E3" w:rsidRPr="002B1BD3" w:rsidRDefault="00E27D35" w:rsidP="00456CB0">
            <w:pPr>
              <w:jc w:val="both"/>
              <w:rPr>
                <w:lang w:eastAsia="en-US"/>
              </w:rPr>
            </w:pPr>
            <w:r>
              <w:rPr>
                <w:lang w:eastAsia="en-US"/>
              </w:rPr>
              <w:t>Ievērojot</w:t>
            </w:r>
            <w:r w:rsidR="00150BAD" w:rsidRPr="002B1BD3">
              <w:rPr>
                <w:lang w:eastAsia="en-US"/>
              </w:rPr>
              <w:t xml:space="preserve"> minēto, </w:t>
            </w:r>
            <w:r w:rsidR="00150BAD" w:rsidRPr="002B1BD3">
              <w:rPr>
                <w:color w:val="000000"/>
              </w:rPr>
              <w:t xml:space="preserve">Ministru kabineta noteikumu Nr.139 </w:t>
            </w:r>
            <w:r w:rsidR="00150BAD" w:rsidRPr="002B1BD3">
              <w:rPr>
                <w:lang w:eastAsia="en-US"/>
              </w:rPr>
              <w:t>g</w:t>
            </w:r>
            <w:r w:rsidR="007F70E3" w:rsidRPr="002B1BD3">
              <w:rPr>
                <w:lang w:eastAsia="en-US"/>
              </w:rPr>
              <w:t>rozījumi paredz:</w:t>
            </w:r>
          </w:p>
          <w:p w:rsidR="00862E95" w:rsidRPr="002B1BD3" w:rsidRDefault="00E40C80" w:rsidP="00055DD9">
            <w:pPr>
              <w:pStyle w:val="Sarakstarindkopa"/>
              <w:numPr>
                <w:ilvl w:val="0"/>
                <w:numId w:val="5"/>
              </w:numPr>
              <w:tabs>
                <w:tab w:val="left" w:pos="327"/>
              </w:tabs>
              <w:ind w:left="0" w:firstLine="0"/>
              <w:jc w:val="both"/>
              <w:rPr>
                <w:rFonts w:ascii="Times New Roman" w:hAnsi="Times New Roman"/>
                <w:sz w:val="24"/>
                <w:szCs w:val="24"/>
                <w:lang w:eastAsia="lv-LV"/>
              </w:rPr>
            </w:pPr>
            <w:r w:rsidRPr="002B1BD3">
              <w:rPr>
                <w:rFonts w:ascii="Times New Roman" w:hAnsi="Times New Roman"/>
                <w:sz w:val="24"/>
                <w:szCs w:val="24"/>
                <w:lang w:eastAsia="lv-LV"/>
              </w:rPr>
              <w:t xml:space="preserve">nosacījumus un piešķiršanas kārtību jaunam </w:t>
            </w:r>
            <w:r w:rsidR="00862E95" w:rsidRPr="002B1BD3">
              <w:rPr>
                <w:rFonts w:ascii="Times New Roman" w:hAnsi="Times New Roman"/>
                <w:sz w:val="24"/>
                <w:szCs w:val="24"/>
                <w:lang w:eastAsia="lv-LV"/>
              </w:rPr>
              <w:t>īpašā atbalsta</w:t>
            </w:r>
            <w:r w:rsidR="00150BAD" w:rsidRPr="002B1BD3">
              <w:rPr>
                <w:rFonts w:ascii="Times New Roman" w:hAnsi="Times New Roman"/>
                <w:sz w:val="24"/>
                <w:szCs w:val="24"/>
                <w:lang w:eastAsia="lv-LV"/>
              </w:rPr>
              <w:t xml:space="preserve"> veidam par liellopiem. </w:t>
            </w:r>
            <w:r w:rsidR="00DF162A" w:rsidRPr="002B1BD3">
              <w:rPr>
                <w:rFonts w:ascii="Times New Roman" w:hAnsi="Times New Roman"/>
                <w:sz w:val="24"/>
                <w:szCs w:val="24"/>
                <w:lang w:eastAsia="lv-LV"/>
              </w:rPr>
              <w:t xml:space="preserve">Zemkopības ministrija kopā </w:t>
            </w:r>
            <w:r w:rsidR="00E27D35">
              <w:rPr>
                <w:rFonts w:ascii="Times New Roman" w:hAnsi="Times New Roman"/>
                <w:sz w:val="24"/>
                <w:szCs w:val="24"/>
                <w:lang w:eastAsia="lv-LV"/>
              </w:rPr>
              <w:t>ar l</w:t>
            </w:r>
            <w:r w:rsidR="00DF162A" w:rsidRPr="002B1BD3">
              <w:rPr>
                <w:rFonts w:ascii="Times New Roman" w:hAnsi="Times New Roman"/>
                <w:sz w:val="24"/>
                <w:szCs w:val="24"/>
                <w:lang w:eastAsia="lv-LV"/>
              </w:rPr>
              <w:t>auksaimnieku nevalstiskajām organizācijām pieņēma lēmumu ieviest īpašo</w:t>
            </w:r>
            <w:r w:rsidR="00862E95" w:rsidRPr="002B1BD3">
              <w:rPr>
                <w:rFonts w:ascii="Times New Roman" w:hAnsi="Times New Roman"/>
                <w:sz w:val="24"/>
                <w:szCs w:val="24"/>
                <w:lang w:eastAsia="lv-LV"/>
              </w:rPr>
              <w:t xml:space="preserve"> atbalst</w:t>
            </w:r>
            <w:r w:rsidR="00E27D35">
              <w:rPr>
                <w:rFonts w:ascii="Times New Roman" w:hAnsi="Times New Roman"/>
                <w:sz w:val="24"/>
                <w:szCs w:val="24"/>
                <w:lang w:eastAsia="lv-LV"/>
              </w:rPr>
              <w:t>u</w:t>
            </w:r>
            <w:r w:rsidR="00862E95" w:rsidRPr="002B1BD3">
              <w:rPr>
                <w:rFonts w:ascii="Times New Roman" w:hAnsi="Times New Roman"/>
                <w:sz w:val="24"/>
                <w:szCs w:val="24"/>
                <w:lang w:eastAsia="lv-LV"/>
              </w:rPr>
              <w:t xml:space="preserve"> par liellopiem</w:t>
            </w:r>
            <w:r w:rsidR="0048478D" w:rsidRPr="002B1BD3">
              <w:rPr>
                <w:rFonts w:ascii="Times New Roman" w:hAnsi="Times New Roman"/>
                <w:sz w:val="24"/>
                <w:szCs w:val="24"/>
                <w:lang w:eastAsia="lv-LV"/>
              </w:rPr>
              <w:t>.</w:t>
            </w:r>
            <w:r w:rsidR="00DF162A" w:rsidRPr="002B1BD3">
              <w:rPr>
                <w:rFonts w:ascii="Times New Roman" w:hAnsi="Times New Roman"/>
                <w:sz w:val="24"/>
                <w:szCs w:val="24"/>
                <w:lang w:eastAsia="lv-LV"/>
              </w:rPr>
              <w:t xml:space="preserve"> </w:t>
            </w:r>
            <w:r w:rsidR="0048478D" w:rsidRPr="002B1BD3">
              <w:rPr>
                <w:rFonts w:ascii="Times New Roman" w:hAnsi="Times New Roman"/>
                <w:sz w:val="24"/>
                <w:szCs w:val="24"/>
                <w:lang w:eastAsia="lv-LV"/>
              </w:rPr>
              <w:t>Tā</w:t>
            </w:r>
            <w:r w:rsidR="00862E95" w:rsidRPr="002B1BD3">
              <w:rPr>
                <w:rFonts w:ascii="Times New Roman" w:hAnsi="Times New Roman"/>
                <w:sz w:val="24"/>
                <w:szCs w:val="24"/>
                <w:lang w:eastAsia="lv-LV"/>
              </w:rPr>
              <w:t xml:space="preserve"> mērķis ir saglabāt liellopu gaļas ražošanu, stimulējot liellopu nobarošanu un gaļas ieguvi Latvijā. </w:t>
            </w:r>
            <w:r w:rsidR="00FF16FE" w:rsidRPr="002B1BD3">
              <w:rPr>
                <w:rFonts w:ascii="Times New Roman" w:hAnsi="Times New Roman"/>
                <w:sz w:val="24"/>
                <w:szCs w:val="24"/>
                <w:lang w:eastAsia="lv-LV"/>
              </w:rPr>
              <w:t xml:space="preserve">Īpašais atbalsts par liellopiem </w:t>
            </w:r>
            <w:r w:rsidR="003C61B2" w:rsidRPr="002B1BD3">
              <w:rPr>
                <w:rFonts w:ascii="Times New Roman" w:hAnsi="Times New Roman"/>
                <w:sz w:val="24"/>
                <w:szCs w:val="24"/>
                <w:lang w:eastAsia="lv-LV"/>
              </w:rPr>
              <w:t xml:space="preserve">tiek finansēts no Eiropas </w:t>
            </w:r>
            <w:r w:rsidR="008C552D">
              <w:rPr>
                <w:rFonts w:ascii="Times New Roman" w:hAnsi="Times New Roman"/>
                <w:sz w:val="24"/>
                <w:szCs w:val="24"/>
                <w:lang w:eastAsia="lv-LV"/>
              </w:rPr>
              <w:t>Savienības</w:t>
            </w:r>
            <w:r w:rsidR="008C552D" w:rsidRPr="002B1BD3">
              <w:rPr>
                <w:rFonts w:ascii="Times New Roman" w:hAnsi="Times New Roman"/>
                <w:sz w:val="24"/>
                <w:szCs w:val="24"/>
                <w:lang w:eastAsia="lv-LV"/>
              </w:rPr>
              <w:t xml:space="preserve"> </w:t>
            </w:r>
            <w:r w:rsidR="003C61B2" w:rsidRPr="002B1BD3">
              <w:rPr>
                <w:rFonts w:ascii="Times New Roman" w:hAnsi="Times New Roman"/>
                <w:sz w:val="24"/>
                <w:szCs w:val="24"/>
                <w:lang w:eastAsia="lv-LV"/>
              </w:rPr>
              <w:t>budžeta un ir</w:t>
            </w:r>
            <w:r w:rsidR="00FF16FE" w:rsidRPr="002B1BD3">
              <w:rPr>
                <w:rFonts w:ascii="Times New Roman" w:hAnsi="Times New Roman"/>
                <w:sz w:val="24"/>
                <w:szCs w:val="24"/>
                <w:lang w:eastAsia="lv-LV"/>
              </w:rPr>
              <w:t xml:space="preserve"> ar ražošanu saistīts atbalsts, </w:t>
            </w:r>
            <w:r w:rsidR="0048478D" w:rsidRPr="002B1BD3">
              <w:rPr>
                <w:rFonts w:ascii="Times New Roman" w:hAnsi="Times New Roman"/>
                <w:sz w:val="24"/>
                <w:szCs w:val="24"/>
                <w:lang w:eastAsia="lv-LV"/>
              </w:rPr>
              <w:t>un tā</w:t>
            </w:r>
            <w:r w:rsidR="00FF16FE" w:rsidRPr="002B1BD3">
              <w:rPr>
                <w:rFonts w:ascii="Times New Roman" w:hAnsi="Times New Roman"/>
                <w:sz w:val="24"/>
                <w:szCs w:val="24"/>
                <w:lang w:eastAsia="lv-LV"/>
              </w:rPr>
              <w:t xml:space="preserve"> mērķis ir atšķirīgs no a</w:t>
            </w:r>
            <w:r w:rsidR="00862E95" w:rsidRPr="002B1BD3">
              <w:rPr>
                <w:rFonts w:ascii="Times New Roman" w:hAnsi="Times New Roman"/>
                <w:sz w:val="24"/>
                <w:szCs w:val="24"/>
                <w:lang w:eastAsia="lv-LV"/>
              </w:rPr>
              <w:t>tdalīt</w:t>
            </w:r>
            <w:r w:rsidR="00FF16FE" w:rsidRPr="002B1BD3">
              <w:rPr>
                <w:rFonts w:ascii="Times New Roman" w:hAnsi="Times New Roman"/>
                <w:sz w:val="24"/>
                <w:szCs w:val="24"/>
                <w:lang w:eastAsia="lv-LV"/>
              </w:rPr>
              <w:t>ā</w:t>
            </w:r>
            <w:r w:rsidR="00862E95" w:rsidRPr="002B1BD3">
              <w:rPr>
                <w:rFonts w:ascii="Times New Roman" w:hAnsi="Times New Roman"/>
                <w:sz w:val="24"/>
                <w:szCs w:val="24"/>
                <w:lang w:eastAsia="lv-LV"/>
              </w:rPr>
              <w:t xml:space="preserve"> pārejas posma valsts atbalst</w:t>
            </w:r>
            <w:r w:rsidR="00FF16FE" w:rsidRPr="002B1BD3">
              <w:rPr>
                <w:rFonts w:ascii="Times New Roman" w:hAnsi="Times New Roman"/>
                <w:sz w:val="24"/>
                <w:szCs w:val="24"/>
                <w:lang w:eastAsia="lv-LV"/>
              </w:rPr>
              <w:t xml:space="preserve">a </w:t>
            </w:r>
            <w:r w:rsidR="00862E95" w:rsidRPr="002B1BD3">
              <w:rPr>
                <w:rFonts w:ascii="Times New Roman" w:hAnsi="Times New Roman"/>
                <w:sz w:val="24"/>
                <w:szCs w:val="24"/>
                <w:lang w:eastAsia="lv-LV"/>
              </w:rPr>
              <w:t>par liellopiem</w:t>
            </w:r>
            <w:r w:rsidR="00FF16FE" w:rsidRPr="002B1BD3">
              <w:rPr>
                <w:rFonts w:ascii="Times New Roman" w:hAnsi="Times New Roman"/>
                <w:sz w:val="24"/>
                <w:szCs w:val="24"/>
                <w:lang w:eastAsia="lv-LV"/>
              </w:rPr>
              <w:t xml:space="preserve">, </w:t>
            </w:r>
            <w:r w:rsidR="0048478D" w:rsidRPr="002B1BD3">
              <w:rPr>
                <w:rFonts w:ascii="Times New Roman" w:hAnsi="Times New Roman"/>
                <w:sz w:val="24"/>
                <w:szCs w:val="24"/>
                <w:lang w:eastAsia="lv-LV"/>
              </w:rPr>
              <w:t>kurš</w:t>
            </w:r>
            <w:r w:rsidR="00862E95" w:rsidRPr="002B1BD3">
              <w:rPr>
                <w:rFonts w:ascii="Times New Roman" w:hAnsi="Times New Roman"/>
                <w:sz w:val="24"/>
                <w:szCs w:val="24"/>
                <w:lang w:eastAsia="lv-LV"/>
              </w:rPr>
              <w:t xml:space="preserve"> </w:t>
            </w:r>
            <w:r w:rsidR="003C61B2" w:rsidRPr="002B1BD3">
              <w:rPr>
                <w:rFonts w:ascii="Times New Roman" w:hAnsi="Times New Roman"/>
                <w:sz w:val="24"/>
                <w:szCs w:val="24"/>
                <w:lang w:eastAsia="lv-LV"/>
              </w:rPr>
              <w:t xml:space="preserve">tiek finansēts no valsts budžeta un </w:t>
            </w:r>
            <w:r w:rsidR="00FF16FE" w:rsidRPr="002B1BD3">
              <w:rPr>
                <w:rFonts w:ascii="Times New Roman" w:hAnsi="Times New Roman"/>
                <w:sz w:val="24"/>
                <w:szCs w:val="24"/>
                <w:lang w:eastAsia="lv-LV"/>
              </w:rPr>
              <w:t xml:space="preserve">ir </w:t>
            </w:r>
            <w:r w:rsidR="00443FC3" w:rsidRPr="002B1BD3">
              <w:rPr>
                <w:rFonts w:ascii="Times New Roman" w:hAnsi="Times New Roman"/>
                <w:sz w:val="24"/>
                <w:szCs w:val="24"/>
                <w:lang w:eastAsia="lv-LV"/>
              </w:rPr>
              <w:t>no ražošanas atdalīts</w:t>
            </w:r>
            <w:r w:rsidR="00862E95" w:rsidRPr="002B1BD3">
              <w:rPr>
                <w:rFonts w:ascii="Times New Roman" w:hAnsi="Times New Roman"/>
                <w:sz w:val="24"/>
                <w:szCs w:val="24"/>
                <w:lang w:eastAsia="lv-LV"/>
              </w:rPr>
              <w:t xml:space="preserve"> maksājums par references (noteiktā vēsturiskā) periodā saimniecībā noturētiem liellopiem</w:t>
            </w:r>
            <w:r w:rsidR="00FF16FE" w:rsidRPr="002B1BD3">
              <w:rPr>
                <w:rFonts w:ascii="Times New Roman" w:hAnsi="Times New Roman"/>
                <w:sz w:val="24"/>
                <w:szCs w:val="24"/>
                <w:lang w:eastAsia="lv-LV"/>
              </w:rPr>
              <w:t>, kas lauksaimniekiem nodrošina ienākumu stabilitāt</w:t>
            </w:r>
            <w:r w:rsidR="00150BAD" w:rsidRPr="002B1BD3">
              <w:rPr>
                <w:rFonts w:ascii="Times New Roman" w:hAnsi="Times New Roman"/>
                <w:sz w:val="24"/>
                <w:szCs w:val="24"/>
                <w:lang w:eastAsia="lv-LV"/>
              </w:rPr>
              <w:t>i;</w:t>
            </w:r>
          </w:p>
          <w:p w:rsidR="00150BAD" w:rsidRPr="002B1BD3" w:rsidRDefault="007F70E3" w:rsidP="00E40C80">
            <w:pPr>
              <w:numPr>
                <w:ilvl w:val="0"/>
                <w:numId w:val="5"/>
              </w:numPr>
              <w:tabs>
                <w:tab w:val="left" w:pos="327"/>
              </w:tabs>
              <w:ind w:left="0" w:firstLine="0"/>
              <w:jc w:val="both"/>
              <w:rPr>
                <w:color w:val="000000"/>
              </w:rPr>
            </w:pPr>
            <w:r w:rsidRPr="002B1BD3">
              <w:rPr>
                <w:color w:val="000000"/>
              </w:rPr>
              <w:t xml:space="preserve">ka </w:t>
            </w:r>
            <w:r w:rsidR="00357B3E" w:rsidRPr="002B1BD3">
              <w:rPr>
                <w:color w:val="000000"/>
              </w:rPr>
              <w:t xml:space="preserve">nosacījumi par minimālo lauksaimniecības dzīvnieku blīvumu </w:t>
            </w:r>
            <w:r w:rsidRPr="002B1BD3">
              <w:rPr>
                <w:color w:val="000000"/>
              </w:rPr>
              <w:t xml:space="preserve">jāattiecina uz saimniecībām, kurās ir 30 vai vairāk </w:t>
            </w:r>
            <w:r w:rsidR="00150BAD" w:rsidRPr="002B1BD3">
              <w:rPr>
                <w:color w:val="000000"/>
              </w:rPr>
              <w:t>VPM</w:t>
            </w:r>
            <w:r w:rsidRPr="002B1BD3">
              <w:rPr>
                <w:color w:val="000000"/>
              </w:rPr>
              <w:t xml:space="preserve"> atbilstoši hektāri līdzšinējo </w:t>
            </w:r>
            <w:smartTag w:uri="urn:schemas-microsoft-com:office:smarttags" w:element="metricconverter">
              <w:smartTagPr>
                <w:attr w:name="ProductID" w:val="50 hektāru"/>
              </w:smartTagPr>
              <w:r w:rsidRPr="002B1BD3">
                <w:rPr>
                  <w:color w:val="000000"/>
                </w:rPr>
                <w:t>50 hektāru</w:t>
              </w:r>
            </w:smartTag>
            <w:r w:rsidRPr="002B1BD3">
              <w:rPr>
                <w:color w:val="000000"/>
              </w:rPr>
              <w:t xml:space="preserve"> vietā</w:t>
            </w:r>
            <w:r w:rsidR="00E40C80" w:rsidRPr="002B1BD3">
              <w:rPr>
                <w:color w:val="000000"/>
              </w:rPr>
              <w:t xml:space="preserve"> un </w:t>
            </w:r>
            <w:r w:rsidR="0048478D" w:rsidRPr="002B1BD3">
              <w:rPr>
                <w:color w:val="000000"/>
              </w:rPr>
              <w:t xml:space="preserve">kurās </w:t>
            </w:r>
            <w:r w:rsidR="00E40C80" w:rsidRPr="002B1BD3">
              <w:rPr>
                <w:color w:val="000000"/>
              </w:rPr>
              <w:t xml:space="preserve">pastāvīgo pļavu un ganību, aramzemē sēto zālāju un nektāraugu hektāru īpatsvars ir vismaz 30 procentu. Tas nodrošinās </w:t>
            </w:r>
            <w:r w:rsidR="001403CB" w:rsidRPr="002B1BD3">
              <w:rPr>
                <w:color w:val="000000"/>
              </w:rPr>
              <w:t xml:space="preserve">tiešo maksājumu mērķtiecīgāku izmantošanu pievienotās vērtības radīšanai un mazinās atbalsta kapitalizāciju </w:t>
            </w:r>
            <w:r w:rsidR="00E27D35">
              <w:rPr>
                <w:color w:val="000000"/>
              </w:rPr>
              <w:t>–</w:t>
            </w:r>
            <w:r w:rsidR="001403CB" w:rsidRPr="002B1BD3">
              <w:rPr>
                <w:color w:val="000000"/>
              </w:rPr>
              <w:t xml:space="preserve"> </w:t>
            </w:r>
            <w:r w:rsidR="00E40C80" w:rsidRPr="002B1BD3">
              <w:rPr>
                <w:color w:val="000000"/>
              </w:rPr>
              <w:t xml:space="preserve">atbalsts tiks novirzīts lauksaimniekiem, kas nodarbojas ar lauksaimniecisko </w:t>
            </w:r>
            <w:r w:rsidR="001403CB" w:rsidRPr="002B1BD3">
              <w:rPr>
                <w:color w:val="000000"/>
              </w:rPr>
              <w:t xml:space="preserve">produktu </w:t>
            </w:r>
            <w:r w:rsidR="00E40C80" w:rsidRPr="002B1BD3">
              <w:rPr>
                <w:color w:val="000000"/>
              </w:rPr>
              <w:t>ražošanu</w:t>
            </w:r>
            <w:r w:rsidR="001403CB" w:rsidRPr="002B1BD3">
              <w:rPr>
                <w:color w:val="000000"/>
              </w:rPr>
              <w:t>, mazinot neražojošo zemes īpašnieku iespējas saņemt tiešos maksājumus</w:t>
            </w:r>
            <w:r w:rsidR="008764E4" w:rsidRPr="002B1BD3">
              <w:rPr>
                <w:color w:val="000000"/>
              </w:rPr>
              <w:t>;</w:t>
            </w:r>
          </w:p>
          <w:p w:rsidR="00150BAD" w:rsidRPr="002B1BD3" w:rsidRDefault="008764E4" w:rsidP="00150BAD">
            <w:pPr>
              <w:numPr>
                <w:ilvl w:val="0"/>
                <w:numId w:val="5"/>
              </w:numPr>
              <w:tabs>
                <w:tab w:val="left" w:pos="327"/>
              </w:tabs>
              <w:ind w:left="0" w:firstLine="0"/>
              <w:jc w:val="both"/>
              <w:rPr>
                <w:color w:val="000000"/>
              </w:rPr>
            </w:pPr>
            <w:r w:rsidRPr="002B1BD3">
              <w:rPr>
                <w:color w:val="000000"/>
              </w:rPr>
              <w:lastRenderedPageBreak/>
              <w:t>a</w:t>
            </w:r>
            <w:r w:rsidR="007F70E3" w:rsidRPr="002B1BD3">
              <w:rPr>
                <w:color w:val="000000"/>
              </w:rPr>
              <w:t>izstāt obligātās pārvaldības prasības par gruntsūdeņu aizsardzību pret piesārņojumu ar atbilstošu LLVN</w:t>
            </w:r>
            <w:r w:rsidR="007F70E3" w:rsidRPr="002B1BD3">
              <w:t>, jo Eiropas Parlamenta un Padomes Direktīvā 2000/60/EK</w:t>
            </w:r>
            <w:r w:rsidR="00D1242D" w:rsidRPr="002B1BD3">
              <w:t xml:space="preserve"> (2000.gada 23.oktobris), ar ko izveido sistēmu Kopienas rīcībai ūdens resursu politikas jomā</w:t>
            </w:r>
            <w:r w:rsidR="00E27D35">
              <w:t>,</w:t>
            </w:r>
            <w:r w:rsidR="007F70E3" w:rsidRPr="002B1BD3">
              <w:t xml:space="preserve"> ir paredzēts no 2013.gada 22.decembra atcelt</w:t>
            </w:r>
            <w:r w:rsidR="00150BAD" w:rsidRPr="002B1BD3">
              <w:rPr>
                <w:color w:val="000000"/>
              </w:rPr>
              <w:t xml:space="preserve"> Padomes Direktīvu 80/68/EEK, saglabājot</w:t>
            </w:r>
            <w:r w:rsidR="007F70E3" w:rsidRPr="002B1BD3">
              <w:rPr>
                <w:color w:val="000000"/>
              </w:rPr>
              <w:t xml:space="preserve"> tādus pašus savstarpējās atbilstības noteikumus saistībā ar gruntsūdeņu aizsardzību, kā</w:t>
            </w:r>
            <w:r w:rsidRPr="002B1BD3">
              <w:rPr>
                <w:color w:val="000000"/>
              </w:rPr>
              <w:t>di</w:t>
            </w:r>
            <w:r w:rsidR="007F70E3" w:rsidRPr="002B1BD3">
              <w:rPr>
                <w:color w:val="000000"/>
              </w:rPr>
              <w:t xml:space="preserve"> </w:t>
            </w:r>
            <w:r w:rsidRPr="002B1BD3">
              <w:rPr>
                <w:color w:val="000000"/>
              </w:rPr>
              <w:t>noteikti</w:t>
            </w:r>
            <w:r w:rsidR="007F70E3" w:rsidRPr="002B1BD3">
              <w:rPr>
                <w:color w:val="000000"/>
              </w:rPr>
              <w:t xml:space="preserve"> Direktīvā 80/68/EEK tās </w:t>
            </w:r>
            <w:r w:rsidRPr="002B1BD3">
              <w:rPr>
                <w:color w:val="000000"/>
              </w:rPr>
              <w:t xml:space="preserve">pēdējā </w:t>
            </w:r>
            <w:r w:rsidR="00150BAD" w:rsidRPr="002B1BD3">
              <w:rPr>
                <w:color w:val="000000"/>
              </w:rPr>
              <w:t>spēkā esamības dienā;</w:t>
            </w:r>
          </w:p>
          <w:p w:rsidR="007F70E3" w:rsidRPr="002B1BD3" w:rsidRDefault="00150BAD" w:rsidP="00E40C80">
            <w:pPr>
              <w:pStyle w:val="Sarakstarindkopa"/>
              <w:numPr>
                <w:ilvl w:val="0"/>
                <w:numId w:val="5"/>
              </w:numPr>
              <w:tabs>
                <w:tab w:val="left" w:pos="327"/>
              </w:tabs>
              <w:ind w:left="0" w:firstLine="0"/>
              <w:jc w:val="both"/>
              <w:rPr>
                <w:rFonts w:ascii="Times New Roman" w:hAnsi="Times New Roman"/>
                <w:sz w:val="24"/>
                <w:szCs w:val="24"/>
                <w:lang w:eastAsia="lv-LV"/>
              </w:rPr>
            </w:pPr>
            <w:r w:rsidRPr="002B1BD3">
              <w:rPr>
                <w:rFonts w:ascii="Times New Roman" w:hAnsi="Times New Roman"/>
                <w:sz w:val="24"/>
                <w:szCs w:val="24"/>
                <w:lang w:eastAsia="lv-LV"/>
              </w:rPr>
              <w:t xml:space="preserve">kārtību, kādā </w:t>
            </w:r>
            <w:r w:rsidR="007F70E3" w:rsidRPr="002B1BD3">
              <w:rPr>
                <w:rFonts w:ascii="Times New Roman" w:hAnsi="Times New Roman"/>
                <w:sz w:val="24"/>
                <w:szCs w:val="24"/>
                <w:lang w:eastAsia="lv-LV"/>
              </w:rPr>
              <w:t>lauksaimniek</w:t>
            </w:r>
            <w:r w:rsidRPr="002B1BD3">
              <w:rPr>
                <w:rFonts w:ascii="Times New Roman" w:hAnsi="Times New Roman"/>
                <w:sz w:val="24"/>
                <w:szCs w:val="24"/>
                <w:lang w:eastAsia="lv-LV"/>
              </w:rPr>
              <w:t>i var</w:t>
            </w:r>
            <w:r w:rsidR="007F70E3" w:rsidRPr="002B1BD3">
              <w:rPr>
                <w:rFonts w:ascii="Times New Roman" w:hAnsi="Times New Roman"/>
                <w:sz w:val="24"/>
                <w:szCs w:val="24"/>
              </w:rPr>
              <w:t xml:space="preserve"> precizēt lauku blokus. Tā kā noteikumu projekts atbalsta saņemšanai vairs neparedz termiņu</w:t>
            </w:r>
            <w:r w:rsidR="008764E4" w:rsidRPr="002B1BD3">
              <w:rPr>
                <w:rFonts w:ascii="Times New Roman" w:hAnsi="Times New Roman"/>
                <w:sz w:val="24"/>
                <w:szCs w:val="24"/>
              </w:rPr>
              <w:t>,</w:t>
            </w:r>
            <w:r w:rsidR="007F70E3" w:rsidRPr="002B1BD3">
              <w:rPr>
                <w:rFonts w:ascii="Times New Roman" w:hAnsi="Times New Roman"/>
                <w:sz w:val="24"/>
                <w:szCs w:val="24"/>
              </w:rPr>
              <w:t xml:space="preserve"> kad zemei bija jābūt </w:t>
            </w:r>
            <w:r w:rsidR="007F70E3" w:rsidRPr="008C552D">
              <w:rPr>
                <w:rFonts w:ascii="Times New Roman" w:hAnsi="Times New Roman"/>
                <w:sz w:val="24"/>
                <w:szCs w:val="24"/>
              </w:rPr>
              <w:t>labā lauksaimniecības stāvoklī</w:t>
            </w:r>
            <w:r w:rsidR="007F70E3" w:rsidRPr="00E27D35">
              <w:rPr>
                <w:rFonts w:ascii="Times New Roman" w:hAnsi="Times New Roman"/>
                <w:sz w:val="24"/>
                <w:szCs w:val="24"/>
              </w:rPr>
              <w:t>,</w:t>
            </w:r>
            <w:r w:rsidR="007F70E3" w:rsidRPr="002B1BD3">
              <w:rPr>
                <w:rFonts w:ascii="Times New Roman" w:hAnsi="Times New Roman"/>
                <w:sz w:val="24"/>
                <w:szCs w:val="24"/>
              </w:rPr>
              <w:t xml:space="preserve"> </w:t>
            </w:r>
            <w:r w:rsidR="008764E4" w:rsidRPr="002B1BD3">
              <w:rPr>
                <w:rFonts w:ascii="Times New Roman" w:hAnsi="Times New Roman"/>
                <w:sz w:val="24"/>
                <w:szCs w:val="24"/>
              </w:rPr>
              <w:t xml:space="preserve">un </w:t>
            </w:r>
            <w:r w:rsidR="007F70E3" w:rsidRPr="002B1BD3">
              <w:rPr>
                <w:rFonts w:ascii="Times New Roman" w:hAnsi="Times New Roman"/>
                <w:sz w:val="24"/>
                <w:szCs w:val="24"/>
              </w:rPr>
              <w:t>paredzami daudz iesniegum</w:t>
            </w:r>
            <w:r w:rsidR="008764E4" w:rsidRPr="002B1BD3">
              <w:rPr>
                <w:rFonts w:ascii="Times New Roman" w:hAnsi="Times New Roman"/>
                <w:sz w:val="24"/>
                <w:szCs w:val="24"/>
              </w:rPr>
              <w:t>u</w:t>
            </w:r>
            <w:r w:rsidR="007F70E3" w:rsidRPr="002B1BD3">
              <w:rPr>
                <w:rFonts w:ascii="Times New Roman" w:hAnsi="Times New Roman"/>
                <w:sz w:val="24"/>
                <w:szCs w:val="24"/>
              </w:rPr>
              <w:t xml:space="preserve"> lauku bloku precizēšanai un slogs Lauku atbalsta dienestam (turpmāk – LAD), </w:t>
            </w:r>
            <w:r w:rsidR="008764E4" w:rsidRPr="002B1BD3">
              <w:rPr>
                <w:rFonts w:ascii="Times New Roman" w:hAnsi="Times New Roman"/>
                <w:sz w:val="24"/>
                <w:szCs w:val="24"/>
              </w:rPr>
              <w:t xml:space="preserve">ir </w:t>
            </w:r>
            <w:r w:rsidR="007F70E3" w:rsidRPr="002B1BD3">
              <w:rPr>
                <w:rFonts w:ascii="Times New Roman" w:hAnsi="Times New Roman"/>
                <w:sz w:val="24"/>
                <w:szCs w:val="24"/>
              </w:rPr>
              <w:t>jānosaka termiņš iesniegumu iesniegšanai, lai nodrošinātu precizētu karšu sagatavošanu un raitu platībmaksājumu iesniegumu iesniegšanu 2014.gadā</w:t>
            </w:r>
            <w:r w:rsidR="00F95F56" w:rsidRPr="002B1BD3">
              <w:rPr>
                <w:rFonts w:ascii="Times New Roman" w:hAnsi="Times New Roman"/>
                <w:sz w:val="24"/>
                <w:szCs w:val="24"/>
              </w:rPr>
              <w:t>. Ja lauksaimniekam netiks dota iespēja lauku reģistrā iekļaut jaunus lauku blokus, lauksaimnieks nebūs tiesīgs par tiem saņemt atbalstu</w:t>
            </w:r>
            <w:r w:rsidR="00CC77A1" w:rsidRPr="002B1BD3">
              <w:rPr>
                <w:rFonts w:ascii="Times New Roman" w:hAnsi="Times New Roman"/>
                <w:sz w:val="24"/>
                <w:szCs w:val="24"/>
              </w:rPr>
              <w:t>,</w:t>
            </w:r>
            <w:r w:rsidR="00F95F56" w:rsidRPr="002B1BD3">
              <w:rPr>
                <w:rFonts w:ascii="Times New Roman" w:hAnsi="Times New Roman"/>
                <w:sz w:val="24"/>
                <w:szCs w:val="24"/>
              </w:rPr>
              <w:t xml:space="preserve"> un pastāv risks, ka šie lauki tiks atstāti novārtā un aizaugs</w:t>
            </w:r>
            <w:r w:rsidRPr="002B1BD3">
              <w:rPr>
                <w:rFonts w:ascii="Times New Roman" w:hAnsi="Times New Roman"/>
                <w:sz w:val="24"/>
                <w:szCs w:val="24"/>
              </w:rPr>
              <w:t>;</w:t>
            </w:r>
          </w:p>
          <w:p w:rsidR="00150BAD" w:rsidRPr="002B1BD3" w:rsidRDefault="008764E4" w:rsidP="00E40C80">
            <w:pPr>
              <w:numPr>
                <w:ilvl w:val="0"/>
                <w:numId w:val="5"/>
              </w:numPr>
              <w:tabs>
                <w:tab w:val="left" w:pos="327"/>
              </w:tabs>
              <w:ind w:left="0" w:firstLine="0"/>
              <w:jc w:val="both"/>
              <w:rPr>
                <w:color w:val="000000"/>
              </w:rPr>
            </w:pPr>
            <w:r w:rsidRPr="002B1BD3">
              <w:rPr>
                <w:color w:val="000000"/>
              </w:rPr>
              <w:t>k</w:t>
            </w:r>
            <w:r w:rsidR="007F70E3" w:rsidRPr="002B1BD3">
              <w:rPr>
                <w:color w:val="000000"/>
              </w:rPr>
              <w:t xml:space="preserve">ārtību par proporcionālu atbalstam pieteikto lauku platības samazināšanu, ja kopējā atbalstam pieteiktā </w:t>
            </w:r>
            <w:r w:rsidR="00150BAD" w:rsidRPr="002B1BD3">
              <w:rPr>
                <w:color w:val="000000"/>
              </w:rPr>
              <w:t xml:space="preserve">lauku </w:t>
            </w:r>
            <w:r w:rsidR="007F70E3" w:rsidRPr="002B1BD3">
              <w:rPr>
                <w:color w:val="000000"/>
              </w:rPr>
              <w:t>bloka platība pārsniedz faktisko lauku bloka platību</w:t>
            </w:r>
            <w:r w:rsidR="00150BAD" w:rsidRPr="002B1BD3">
              <w:rPr>
                <w:color w:val="000000"/>
              </w:rPr>
              <w:t>;</w:t>
            </w:r>
          </w:p>
          <w:p w:rsidR="007F70E3" w:rsidRPr="002B1BD3" w:rsidRDefault="008764E4" w:rsidP="00E40C80">
            <w:pPr>
              <w:pStyle w:val="Sarakstarindkopa"/>
              <w:numPr>
                <w:ilvl w:val="0"/>
                <w:numId w:val="5"/>
              </w:numPr>
              <w:tabs>
                <w:tab w:val="left" w:pos="327"/>
              </w:tabs>
              <w:ind w:left="0" w:firstLine="0"/>
              <w:jc w:val="both"/>
              <w:rPr>
                <w:rFonts w:ascii="Times New Roman" w:hAnsi="Times New Roman"/>
                <w:sz w:val="24"/>
                <w:szCs w:val="24"/>
                <w:lang w:eastAsia="lv-LV"/>
              </w:rPr>
            </w:pPr>
            <w:r w:rsidRPr="002B1BD3">
              <w:rPr>
                <w:rFonts w:ascii="Times New Roman" w:hAnsi="Times New Roman"/>
                <w:sz w:val="24"/>
                <w:szCs w:val="24"/>
                <w:lang w:eastAsia="lv-LV"/>
              </w:rPr>
              <w:t>p</w:t>
            </w:r>
            <w:r w:rsidR="007F70E3" w:rsidRPr="002B1BD3">
              <w:rPr>
                <w:rFonts w:ascii="Times New Roman" w:hAnsi="Times New Roman"/>
                <w:sz w:val="24"/>
                <w:szCs w:val="24"/>
                <w:lang w:eastAsia="lv-LV"/>
              </w:rPr>
              <w:t xml:space="preserve">recizēt īpašā atbalsta kopējo pieejamo apmēru </w:t>
            </w:r>
            <w:r w:rsidR="007F70E3" w:rsidRPr="002B1BD3">
              <w:rPr>
                <w:rFonts w:ascii="Times New Roman" w:hAnsi="Times New Roman"/>
                <w:sz w:val="24"/>
                <w:szCs w:val="24"/>
              </w:rPr>
              <w:t>par pienu, par lopbarības augu sēklām un sēklas kartupeļiem</w:t>
            </w:r>
            <w:r w:rsidR="00150BAD" w:rsidRPr="002B1BD3">
              <w:rPr>
                <w:rFonts w:ascii="Times New Roman" w:hAnsi="Times New Roman"/>
                <w:sz w:val="24"/>
                <w:szCs w:val="24"/>
                <w:lang w:eastAsia="lv-LV"/>
              </w:rPr>
              <w:t>;</w:t>
            </w:r>
          </w:p>
          <w:p w:rsidR="007F70E3" w:rsidRPr="00986287" w:rsidRDefault="008764E4" w:rsidP="00150BAD">
            <w:pPr>
              <w:pStyle w:val="Sarakstarindkopa"/>
              <w:numPr>
                <w:ilvl w:val="0"/>
                <w:numId w:val="5"/>
              </w:numPr>
              <w:tabs>
                <w:tab w:val="left" w:pos="327"/>
              </w:tabs>
              <w:ind w:left="0" w:firstLine="0"/>
              <w:jc w:val="both"/>
              <w:rPr>
                <w:rFonts w:ascii="Times New Roman" w:hAnsi="Times New Roman"/>
                <w:sz w:val="24"/>
                <w:szCs w:val="24"/>
                <w:lang w:eastAsia="lv-LV"/>
              </w:rPr>
            </w:pPr>
            <w:r w:rsidRPr="002B1BD3">
              <w:rPr>
                <w:rFonts w:ascii="Times New Roman" w:hAnsi="Times New Roman"/>
                <w:sz w:val="24"/>
                <w:szCs w:val="24"/>
              </w:rPr>
              <w:t>p</w:t>
            </w:r>
            <w:r w:rsidR="007F70E3" w:rsidRPr="002B1BD3">
              <w:rPr>
                <w:rFonts w:ascii="Times New Roman" w:hAnsi="Times New Roman"/>
                <w:sz w:val="24"/>
                <w:szCs w:val="24"/>
              </w:rPr>
              <w:t xml:space="preserve">recizēt nodaļu par </w:t>
            </w:r>
            <w:r w:rsidR="00150BAD" w:rsidRPr="002B1BD3">
              <w:rPr>
                <w:rFonts w:ascii="Times New Roman" w:hAnsi="Times New Roman"/>
                <w:sz w:val="24"/>
                <w:szCs w:val="24"/>
              </w:rPr>
              <w:t>PPVA</w:t>
            </w:r>
            <w:r w:rsidR="007F70E3" w:rsidRPr="002B1BD3">
              <w:rPr>
                <w:rFonts w:ascii="Times New Roman" w:hAnsi="Times New Roman"/>
                <w:sz w:val="24"/>
                <w:szCs w:val="24"/>
              </w:rPr>
              <w:t>, lai šo atbalstu lauksaimnieki varētu saņemt arī 2014.gadā. Atbilstoši Regulai Nr.1310/2013 atbalsts ir jāpiešķir ar tādiem pašiem nosacījumiem kā 2013.gadā sniegtajam atbalstam</w:t>
            </w:r>
            <w:r w:rsidRPr="002B1BD3">
              <w:rPr>
                <w:rFonts w:ascii="Times New Roman" w:hAnsi="Times New Roman"/>
                <w:sz w:val="24"/>
                <w:szCs w:val="24"/>
              </w:rPr>
              <w:t xml:space="preserve"> piemērotie</w:t>
            </w:r>
            <w:r w:rsidR="007F70E3" w:rsidRPr="002B1BD3">
              <w:rPr>
                <w:rFonts w:ascii="Times New Roman" w:hAnsi="Times New Roman"/>
                <w:sz w:val="24"/>
                <w:szCs w:val="24"/>
              </w:rPr>
              <w:t>, izņemot samazinājumu.</w:t>
            </w:r>
          </w:p>
        </w:tc>
      </w:tr>
      <w:tr w:rsidR="007F70E3" w:rsidRPr="00456CB0" w:rsidTr="00456CB0">
        <w:tc>
          <w:tcPr>
            <w:tcW w:w="415" w:type="dxa"/>
          </w:tcPr>
          <w:p w:rsidR="007F70E3" w:rsidRPr="00456CB0" w:rsidRDefault="007F70E3" w:rsidP="00456CB0">
            <w:pPr>
              <w:spacing w:before="100" w:beforeAutospacing="1" w:after="100" w:afterAutospacing="1" w:line="360" w:lineRule="auto"/>
              <w:ind w:firstLine="19"/>
              <w:jc w:val="both"/>
            </w:pPr>
            <w:r w:rsidRPr="00456CB0">
              <w:lastRenderedPageBreak/>
              <w:t>3.</w:t>
            </w:r>
          </w:p>
        </w:tc>
        <w:tc>
          <w:tcPr>
            <w:tcW w:w="2689" w:type="dxa"/>
          </w:tcPr>
          <w:p w:rsidR="007F70E3" w:rsidRPr="00456CB0" w:rsidRDefault="007F70E3" w:rsidP="00456CB0">
            <w:r w:rsidRPr="00456CB0">
              <w:t>Projekta izstrādē iesaistītās institūcijas</w:t>
            </w:r>
          </w:p>
        </w:tc>
        <w:tc>
          <w:tcPr>
            <w:tcW w:w="5538" w:type="dxa"/>
          </w:tcPr>
          <w:p w:rsidR="007F70E3" w:rsidRPr="00456CB0" w:rsidRDefault="007F70E3" w:rsidP="00456CB0">
            <w:pPr>
              <w:jc w:val="both"/>
              <w:rPr>
                <w:lang w:eastAsia="en-US"/>
              </w:rPr>
            </w:pPr>
            <w:r w:rsidRPr="00456CB0">
              <w:rPr>
                <w:lang w:eastAsia="en-US"/>
              </w:rPr>
              <w:t>Par Ministru kabineta noteikumu projektu</w:t>
            </w:r>
            <w:r w:rsidRPr="00456CB0">
              <w:rPr>
                <w:i/>
              </w:rPr>
              <w:t xml:space="preserve"> </w:t>
            </w:r>
            <w:r w:rsidRPr="00394A21">
              <w:t xml:space="preserve">„Grozījumi </w:t>
            </w:r>
            <w:r w:rsidRPr="00394A21">
              <w:rPr>
                <w:lang w:eastAsia="en-US"/>
              </w:rPr>
              <w:t>Ministru kabineta noteikumos Nr.139</w:t>
            </w:r>
            <w:r w:rsidR="008764E4">
              <w:rPr>
                <w:lang w:eastAsia="en-US"/>
              </w:rPr>
              <w:t xml:space="preserve"> „</w:t>
            </w:r>
            <w:r w:rsidR="008764E4" w:rsidRPr="00394A21">
              <w:rPr>
                <w:lang w:eastAsia="en-US"/>
              </w:rPr>
              <w:t>Kārtība, kādā tiek piešķirts valsts un Eiropas Savienības atbalsts lauksaimniecībai tiešā atbalsta shēmu ietvaros”</w:t>
            </w:r>
            <w:r w:rsidRPr="00394A21">
              <w:rPr>
                <w:lang w:eastAsia="en-US"/>
              </w:rPr>
              <w:t>”</w:t>
            </w:r>
            <w:r w:rsidR="008764E4">
              <w:rPr>
                <w:lang w:eastAsia="en-US"/>
              </w:rPr>
              <w:t xml:space="preserve"> (turpmāk –</w:t>
            </w:r>
            <w:r w:rsidR="00680131">
              <w:rPr>
                <w:lang w:eastAsia="en-US"/>
              </w:rPr>
              <w:t xml:space="preserve"> </w:t>
            </w:r>
            <w:r w:rsidR="008764E4">
              <w:rPr>
                <w:lang w:eastAsia="en-US"/>
              </w:rPr>
              <w:t>noteikumu projekts)</w:t>
            </w:r>
            <w:r w:rsidRPr="00771659">
              <w:rPr>
                <w:lang w:eastAsia="en-US"/>
              </w:rPr>
              <w:t xml:space="preserve"> Ze</w:t>
            </w:r>
            <w:r w:rsidRPr="00456CB0">
              <w:rPr>
                <w:lang w:eastAsia="en-US"/>
              </w:rPr>
              <w:t>mkopības ministrija 2014.gada 21.janvārī konsultējās ar LAD, Lauksaimnieku organizācijas sadarbības padomi, Zemnieku Saeimu, Lauksaimnieku Statūtsabiedrību asociāciju, Latvijas Zemnieku federāciju, Lauksaimnieku apvienību, Latvijas Jauno zemnieku klubu, Latvijas lauku konsultāciju un izglītības centru, Latvijas Bioloģiskās lauksaimniecības asociāciju</w:t>
            </w:r>
            <w:r w:rsidR="00680131">
              <w:rPr>
                <w:lang w:eastAsia="en-US"/>
              </w:rPr>
              <w:t xml:space="preserve"> un</w:t>
            </w:r>
            <w:r w:rsidRPr="00456CB0">
              <w:rPr>
                <w:lang w:eastAsia="en-US"/>
              </w:rPr>
              <w:t xml:space="preserve"> Latvijas augļkopju asociāciju. </w:t>
            </w:r>
          </w:p>
          <w:p w:rsidR="007F70E3" w:rsidRPr="00456CB0" w:rsidRDefault="007F70E3" w:rsidP="00456CB0">
            <w:pPr>
              <w:jc w:val="both"/>
              <w:rPr>
                <w:bCs/>
                <w:lang w:eastAsia="en-US"/>
              </w:rPr>
            </w:pPr>
            <w:r w:rsidRPr="00456CB0">
              <w:rPr>
                <w:lang w:eastAsia="en-US"/>
              </w:rPr>
              <w:t>Zemkopības ministrijas organizētajā Lauksaimnieku nevalstisko organizāciju konsultatīvajā padomes sēdē ar Lauksaimnieku organizācijas sadarbības padom</w:t>
            </w:r>
            <w:r w:rsidR="00680131">
              <w:rPr>
                <w:lang w:eastAsia="en-US"/>
              </w:rPr>
              <w:t>es</w:t>
            </w:r>
            <w:r w:rsidRPr="00456CB0">
              <w:rPr>
                <w:lang w:eastAsia="en-US"/>
              </w:rPr>
              <w:t>, Zemnieku Saeim</w:t>
            </w:r>
            <w:r w:rsidR="00680131">
              <w:rPr>
                <w:lang w:eastAsia="en-US"/>
              </w:rPr>
              <w:t>as</w:t>
            </w:r>
            <w:r w:rsidRPr="00456CB0">
              <w:rPr>
                <w:lang w:eastAsia="en-US"/>
              </w:rPr>
              <w:t xml:space="preserve">, Latvijas Lauksaimniecības </w:t>
            </w:r>
            <w:r w:rsidRPr="00456CB0">
              <w:rPr>
                <w:lang w:eastAsia="en-US"/>
              </w:rPr>
              <w:lastRenderedPageBreak/>
              <w:t>kooperatīvu asociācij</w:t>
            </w:r>
            <w:r w:rsidR="00680131">
              <w:rPr>
                <w:lang w:eastAsia="en-US"/>
              </w:rPr>
              <w:t>as</w:t>
            </w:r>
            <w:r w:rsidRPr="00456CB0">
              <w:rPr>
                <w:lang w:eastAsia="en-US"/>
              </w:rPr>
              <w:t>, Lauksaimnieku Statūtsabiedrību asociācij</w:t>
            </w:r>
            <w:r w:rsidR="00680131">
              <w:rPr>
                <w:lang w:eastAsia="en-US"/>
              </w:rPr>
              <w:t>as</w:t>
            </w:r>
            <w:r w:rsidRPr="00456CB0">
              <w:rPr>
                <w:lang w:eastAsia="en-US"/>
              </w:rPr>
              <w:t>, Latvijas Zemnieku federācij</w:t>
            </w:r>
            <w:r w:rsidR="00680131">
              <w:rPr>
                <w:lang w:eastAsia="en-US"/>
              </w:rPr>
              <w:t>as</w:t>
            </w:r>
            <w:r w:rsidRPr="00456CB0">
              <w:rPr>
                <w:lang w:eastAsia="en-US"/>
              </w:rPr>
              <w:t>, Lauksaimnieku apvienīb</w:t>
            </w:r>
            <w:r w:rsidR="00680131">
              <w:rPr>
                <w:lang w:eastAsia="en-US"/>
              </w:rPr>
              <w:t>as</w:t>
            </w:r>
            <w:r w:rsidRPr="00456CB0">
              <w:rPr>
                <w:lang w:eastAsia="en-US"/>
              </w:rPr>
              <w:t>, Latvijas Jauno zemnieku klub</w:t>
            </w:r>
            <w:r w:rsidR="00680131">
              <w:rPr>
                <w:lang w:eastAsia="en-US"/>
              </w:rPr>
              <w:t>a</w:t>
            </w:r>
            <w:r w:rsidRPr="00456CB0">
              <w:rPr>
                <w:lang w:eastAsia="en-US"/>
              </w:rPr>
              <w:t>, Latvijas Bioloģiskās lauksaimniecības asociācij</w:t>
            </w:r>
            <w:r w:rsidR="00680131">
              <w:rPr>
                <w:lang w:eastAsia="en-US"/>
              </w:rPr>
              <w:t>as un</w:t>
            </w:r>
            <w:r w:rsidRPr="00456CB0">
              <w:rPr>
                <w:lang w:eastAsia="en-US"/>
              </w:rPr>
              <w:t xml:space="preserve"> Latvijas augļkopju asociācij</w:t>
            </w:r>
            <w:r w:rsidR="00680131">
              <w:rPr>
                <w:lang w:eastAsia="en-US"/>
              </w:rPr>
              <w:t>as pārstāvjiem</w:t>
            </w:r>
            <w:r w:rsidRPr="00456CB0">
              <w:rPr>
                <w:lang w:eastAsia="en-US"/>
              </w:rPr>
              <w:t xml:space="preserve"> 2014.gada 30.janvārī tika izskatīti īpašā atbalsta par liellopiem pasākuma ieviešanas nosacījumi.</w:t>
            </w:r>
          </w:p>
        </w:tc>
      </w:tr>
      <w:tr w:rsidR="007F70E3" w:rsidRPr="00456CB0" w:rsidTr="00456CB0">
        <w:tc>
          <w:tcPr>
            <w:tcW w:w="415" w:type="dxa"/>
          </w:tcPr>
          <w:p w:rsidR="007F70E3" w:rsidRPr="00456CB0" w:rsidRDefault="007F70E3" w:rsidP="00456CB0">
            <w:pPr>
              <w:spacing w:before="100" w:beforeAutospacing="1" w:after="100" w:afterAutospacing="1" w:line="360" w:lineRule="auto"/>
              <w:ind w:firstLine="19"/>
              <w:jc w:val="both"/>
            </w:pPr>
            <w:r w:rsidRPr="00456CB0">
              <w:lastRenderedPageBreak/>
              <w:t>4.</w:t>
            </w:r>
          </w:p>
        </w:tc>
        <w:tc>
          <w:tcPr>
            <w:tcW w:w="2689" w:type="dxa"/>
          </w:tcPr>
          <w:p w:rsidR="007F70E3" w:rsidRPr="00456CB0" w:rsidRDefault="007F70E3" w:rsidP="00456CB0">
            <w:r w:rsidRPr="00456CB0">
              <w:t>Cita informācija</w:t>
            </w:r>
          </w:p>
        </w:tc>
        <w:tc>
          <w:tcPr>
            <w:tcW w:w="5538" w:type="dxa"/>
          </w:tcPr>
          <w:p w:rsidR="007F70E3" w:rsidRPr="0048478D" w:rsidRDefault="0001372D" w:rsidP="00A90E49">
            <w:pPr>
              <w:jc w:val="both"/>
            </w:pPr>
            <w:r w:rsidRPr="0048478D">
              <w:t xml:space="preserve">2015.gadā stājas spēkā Eiropas Parlamenta un Padomes Regulas (ES) Nr.1307/2013, ar ko izveido noteikumus par lauksaimniekiem paredzētiem tiešajiem maksājumiem, kurus veic saskaņā ar kopējās lauksaimniecības politikas atbalsta shēmām, un ar ko atceļ Padomes Regulu (EK) Nr.637/2008 un Padomes Regulu (EK) Nr.73/2009, kas paredz </w:t>
            </w:r>
            <w:r w:rsidRPr="0048478D">
              <w:rPr>
                <w:lang w:eastAsia="en-US"/>
              </w:rPr>
              <w:t>jaunās struktūras ieviešanu tiešā atbalsta shēmām. Tāpēc 2014.gada nogalē tiks izstrādāta jauna kārtība, kādā tiek piešķirts valsts un Eiropas Savienības atbalsts lauksaimniecībai tiešā atbalsta shēmu ietvaros</w:t>
            </w:r>
            <w:r w:rsidR="00A90E49" w:rsidRPr="0048478D">
              <w:rPr>
                <w:lang w:eastAsia="en-US"/>
              </w:rPr>
              <w:t>.</w:t>
            </w:r>
          </w:p>
        </w:tc>
      </w:tr>
    </w:tbl>
    <w:p w:rsidR="007F70E3" w:rsidRPr="008429E7" w:rsidRDefault="007F70E3" w:rsidP="006B42E1">
      <w:pPr>
        <w:ind w:firstLine="301"/>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2702"/>
        <w:gridCol w:w="5733"/>
      </w:tblGrid>
      <w:tr w:rsidR="007F70E3" w:rsidRPr="00456CB0" w:rsidTr="00456CB0">
        <w:trPr>
          <w:trHeight w:val="555"/>
        </w:trPr>
        <w:tc>
          <w:tcPr>
            <w:tcW w:w="5000" w:type="pct"/>
            <w:gridSpan w:val="3"/>
          </w:tcPr>
          <w:p w:rsidR="007F70E3" w:rsidRPr="00456CB0" w:rsidRDefault="007F70E3" w:rsidP="00456CB0">
            <w:pPr>
              <w:spacing w:before="100" w:beforeAutospacing="1" w:after="100" w:afterAutospacing="1" w:line="360" w:lineRule="auto"/>
              <w:ind w:firstLine="300"/>
              <w:jc w:val="center"/>
              <w:rPr>
                <w:b/>
                <w:bCs/>
              </w:rPr>
            </w:pPr>
            <w:r w:rsidRPr="00456CB0">
              <w:rPr>
                <w:b/>
                <w:bCs/>
              </w:rPr>
              <w:t>II. Tiesību akta projekta ietekme uz sabiedrību, tautsaimniecības attīstību un administratīvo slogu</w:t>
            </w:r>
          </w:p>
        </w:tc>
      </w:tr>
      <w:tr w:rsidR="007F70E3" w:rsidRPr="00456CB0" w:rsidTr="00456CB0">
        <w:trPr>
          <w:trHeight w:val="465"/>
        </w:trPr>
        <w:tc>
          <w:tcPr>
            <w:tcW w:w="246" w:type="pct"/>
          </w:tcPr>
          <w:p w:rsidR="007F70E3" w:rsidRPr="00456CB0" w:rsidRDefault="007F70E3" w:rsidP="00456CB0">
            <w:r w:rsidRPr="00456CB0">
              <w:t>1.</w:t>
            </w:r>
          </w:p>
        </w:tc>
        <w:tc>
          <w:tcPr>
            <w:tcW w:w="1523" w:type="pct"/>
          </w:tcPr>
          <w:p w:rsidR="007F70E3" w:rsidRPr="00456CB0" w:rsidRDefault="007F70E3" w:rsidP="00456CB0">
            <w:r w:rsidRPr="00456CB0">
              <w:t>Sabiedrības mērķgrupas, kuras tiesiskais regulējums ietekmē vai varētu ietekmēt</w:t>
            </w:r>
          </w:p>
        </w:tc>
        <w:tc>
          <w:tcPr>
            <w:tcW w:w="3231" w:type="pct"/>
          </w:tcPr>
          <w:p w:rsidR="007F70E3" w:rsidRPr="00456CB0" w:rsidRDefault="00680131" w:rsidP="00D1242D">
            <w:pPr>
              <w:jc w:val="both"/>
            </w:pPr>
            <w:r>
              <w:t>Līdz ar g</w:t>
            </w:r>
            <w:r w:rsidR="007F70E3" w:rsidRPr="00456CB0">
              <w:t>rozījumi</w:t>
            </w:r>
            <w:r>
              <w:t>em</w:t>
            </w:r>
            <w:r w:rsidR="007F70E3" w:rsidRPr="00456CB0">
              <w:t xml:space="preserve"> </w:t>
            </w:r>
            <w:r w:rsidR="00D1242D">
              <w:rPr>
                <w:lang w:eastAsia="en-US"/>
              </w:rPr>
              <w:t xml:space="preserve">Ministru kabineta noteikumos </w:t>
            </w:r>
            <w:r w:rsidR="007F70E3" w:rsidRPr="00456CB0">
              <w:rPr>
                <w:lang w:eastAsia="en-US"/>
              </w:rPr>
              <w:t>Nr.139</w:t>
            </w:r>
            <w:r>
              <w:rPr>
                <w:lang w:eastAsia="en-US"/>
              </w:rPr>
              <w:t>:</w:t>
            </w:r>
          </w:p>
          <w:p w:rsidR="007F70E3" w:rsidRPr="0048478D" w:rsidRDefault="007F70E3" w:rsidP="00456CB0">
            <w:pPr>
              <w:tabs>
                <w:tab w:val="left" w:pos="0"/>
              </w:tabs>
              <w:jc w:val="both"/>
              <w:rPr>
                <w:rFonts w:ascii="Calibri" w:hAnsi="Calibri"/>
                <w:lang w:eastAsia="en-US"/>
              </w:rPr>
            </w:pPr>
            <w:r w:rsidRPr="0048478D">
              <w:rPr>
                <w:lang w:eastAsia="en-US"/>
              </w:rPr>
              <w:t xml:space="preserve">1) </w:t>
            </w:r>
            <w:r w:rsidR="009A368D" w:rsidRPr="0048478D">
              <w:rPr>
                <w:lang w:eastAsia="en-US"/>
              </w:rPr>
              <w:t xml:space="preserve">2013.gadā </w:t>
            </w:r>
            <w:r w:rsidRPr="0048478D">
              <w:rPr>
                <w:lang w:eastAsia="en-US"/>
              </w:rPr>
              <w:t xml:space="preserve">ACM </w:t>
            </w:r>
            <w:r w:rsidR="009A368D" w:rsidRPr="0048478D">
              <w:rPr>
                <w:lang w:eastAsia="en-US"/>
              </w:rPr>
              <w:t xml:space="preserve">atbalstu saņēma </w:t>
            </w:r>
            <w:r w:rsidRPr="0048478D">
              <w:rPr>
                <w:lang w:eastAsia="en-US"/>
              </w:rPr>
              <w:t xml:space="preserve">aptuveni 328 </w:t>
            </w:r>
            <w:r w:rsidR="009A368D" w:rsidRPr="0048478D">
              <w:rPr>
                <w:lang w:eastAsia="en-US"/>
              </w:rPr>
              <w:t>pretendenti</w:t>
            </w:r>
            <w:r w:rsidR="003D35E6" w:rsidRPr="0048478D">
              <w:rPr>
                <w:lang w:eastAsia="en-US"/>
              </w:rPr>
              <w:t xml:space="preserve">. ACM atbalsta saņēmēju tiesiskā paļāvība netiek pārkāpta, </w:t>
            </w:r>
            <w:r w:rsidR="009A368D" w:rsidRPr="0048478D">
              <w:rPr>
                <w:lang w:eastAsia="en-US"/>
              </w:rPr>
              <w:t>jo uz šo atbalst</w:t>
            </w:r>
            <w:r w:rsidR="00412317" w:rsidRPr="0048478D">
              <w:rPr>
                <w:lang w:eastAsia="en-US"/>
              </w:rPr>
              <w:t>a</w:t>
            </w:r>
            <w:r w:rsidR="009A368D" w:rsidRPr="0048478D">
              <w:rPr>
                <w:lang w:eastAsia="en-US"/>
              </w:rPr>
              <w:t xml:space="preserve"> </w:t>
            </w:r>
            <w:r w:rsidR="00412317" w:rsidRPr="0048478D">
              <w:rPr>
                <w:lang w:eastAsia="en-US"/>
              </w:rPr>
              <w:t xml:space="preserve">pretendentam </w:t>
            </w:r>
            <w:r w:rsidR="009A368D" w:rsidRPr="0048478D">
              <w:rPr>
                <w:lang w:eastAsia="en-US"/>
              </w:rPr>
              <w:t xml:space="preserve">ir jāpiesakās katru gadu, </w:t>
            </w:r>
            <w:r w:rsidR="0048478D" w:rsidRPr="0048478D">
              <w:rPr>
                <w:lang w:eastAsia="en-US"/>
              </w:rPr>
              <w:t>tāpēc</w:t>
            </w:r>
            <w:r w:rsidR="009A368D" w:rsidRPr="0048478D">
              <w:rPr>
                <w:lang w:eastAsia="en-US"/>
              </w:rPr>
              <w:t xml:space="preserve"> </w:t>
            </w:r>
            <w:r w:rsidR="00412317" w:rsidRPr="0048478D">
              <w:rPr>
                <w:lang w:eastAsia="en-US"/>
              </w:rPr>
              <w:t>atbalsta saņēmējam</w:t>
            </w:r>
            <w:r w:rsidR="009A368D" w:rsidRPr="0048478D">
              <w:rPr>
                <w:lang w:eastAsia="en-US"/>
              </w:rPr>
              <w:t xml:space="preserve"> ir jābūt gatavam, ka atbalsta nosacījumi var</w:t>
            </w:r>
            <w:r w:rsidR="00412317" w:rsidRPr="0048478D">
              <w:rPr>
                <w:lang w:eastAsia="en-US"/>
              </w:rPr>
              <w:t xml:space="preserve"> tikt pārskatīti un</w:t>
            </w:r>
            <w:r w:rsidR="009A368D" w:rsidRPr="0048478D">
              <w:rPr>
                <w:lang w:eastAsia="en-US"/>
              </w:rPr>
              <w:t xml:space="preserve"> jebkurā brīdī mainīties</w:t>
            </w:r>
            <w:r w:rsidR="00680131" w:rsidRPr="0048478D">
              <w:rPr>
                <w:lang w:eastAsia="en-US"/>
              </w:rPr>
              <w:t>;</w:t>
            </w:r>
          </w:p>
          <w:p w:rsidR="007F70E3" w:rsidRPr="00456CB0" w:rsidRDefault="007F70E3" w:rsidP="00456CB0">
            <w:pPr>
              <w:tabs>
                <w:tab w:val="left" w:pos="373"/>
              </w:tabs>
              <w:jc w:val="both"/>
              <w:rPr>
                <w:rFonts w:ascii="Calibri" w:hAnsi="Calibri"/>
                <w:lang w:eastAsia="en-US"/>
              </w:rPr>
            </w:pPr>
            <w:r w:rsidRPr="00456CB0">
              <w:rPr>
                <w:lang w:eastAsia="en-US"/>
              </w:rPr>
              <w:t>2) LLVN prasības nosacījumu pastiprināšana varētu ietekmēt atbalsta saņemšanas apmēru aptuveni 700 lauksaimniekiem</w:t>
            </w:r>
            <w:r w:rsidR="00680131">
              <w:rPr>
                <w:lang w:eastAsia="en-US"/>
              </w:rPr>
              <w:t>;</w:t>
            </w:r>
          </w:p>
          <w:p w:rsidR="007F70E3" w:rsidRPr="00456CB0" w:rsidRDefault="007F70E3" w:rsidP="00456CB0">
            <w:pPr>
              <w:tabs>
                <w:tab w:val="left" w:pos="373"/>
              </w:tabs>
              <w:jc w:val="both"/>
              <w:rPr>
                <w:lang w:eastAsia="en-US"/>
              </w:rPr>
            </w:pPr>
            <w:r w:rsidRPr="00456CB0">
              <w:rPr>
                <w:lang w:eastAsia="en-US"/>
              </w:rPr>
              <w:t xml:space="preserve">3) 2003.gada 30.jūnija prasība pozitīvi ietekmēs visus atbalsta pretendentus </w:t>
            </w:r>
            <w:r w:rsidR="00680131">
              <w:rPr>
                <w:lang w:eastAsia="en-US"/>
              </w:rPr>
              <w:t>–</w:t>
            </w:r>
            <w:r w:rsidRPr="00456CB0">
              <w:rPr>
                <w:lang w:eastAsia="en-US"/>
              </w:rPr>
              <w:t xml:space="preserve"> 61 709 lauksaimniekus</w:t>
            </w:r>
            <w:r w:rsidR="00680131">
              <w:rPr>
                <w:lang w:eastAsia="en-US"/>
              </w:rPr>
              <w:t>;</w:t>
            </w:r>
          </w:p>
          <w:p w:rsidR="007F70E3" w:rsidRPr="00456CB0" w:rsidRDefault="007F70E3" w:rsidP="00456CB0">
            <w:pPr>
              <w:tabs>
                <w:tab w:val="left" w:pos="373"/>
              </w:tabs>
              <w:jc w:val="both"/>
              <w:rPr>
                <w:lang w:eastAsia="en-US"/>
              </w:rPr>
            </w:pPr>
            <w:r w:rsidRPr="00456CB0">
              <w:rPr>
                <w:lang w:eastAsia="en-US"/>
              </w:rPr>
              <w:t>4) īpašā atbalsta kopējo pieejamo atbalsta apmēru precizēšana pozitīvi ietekmēs aptuveni 3443 piena ražotājus, 43 lopbarības augu sēklu audzētājus un 17 sēklas kartupeļu audzētājus</w:t>
            </w:r>
            <w:r w:rsidR="00680131">
              <w:rPr>
                <w:lang w:eastAsia="en-US"/>
              </w:rPr>
              <w:t>;</w:t>
            </w:r>
          </w:p>
          <w:p w:rsidR="007F70E3" w:rsidRPr="00456CB0" w:rsidRDefault="007F70E3" w:rsidP="00456CB0">
            <w:pPr>
              <w:tabs>
                <w:tab w:val="left" w:pos="373"/>
              </w:tabs>
              <w:jc w:val="both"/>
              <w:rPr>
                <w:rFonts w:ascii="Calibri" w:hAnsi="Calibri"/>
                <w:lang w:eastAsia="en-US"/>
              </w:rPr>
            </w:pPr>
            <w:r w:rsidRPr="00456CB0">
              <w:rPr>
                <w:lang w:eastAsia="en-US"/>
              </w:rPr>
              <w:t>5) jaunais īpašais atbalsts par liellopiem pozitīvi ietekmēs tautsaimniecību</w:t>
            </w:r>
            <w:r w:rsidR="00680131">
              <w:rPr>
                <w:lang w:eastAsia="en-US"/>
              </w:rPr>
              <w:t>,</w:t>
            </w:r>
            <w:r w:rsidRPr="00456CB0">
              <w:rPr>
                <w:lang w:eastAsia="en-US"/>
              </w:rPr>
              <w:t xml:space="preserve"> īpaši lopkopības nozari</w:t>
            </w:r>
            <w:r w:rsidR="00680131">
              <w:rPr>
                <w:lang w:eastAsia="en-US"/>
              </w:rPr>
              <w:t>;</w:t>
            </w:r>
          </w:p>
          <w:p w:rsidR="007F70E3" w:rsidRPr="00456CB0" w:rsidRDefault="007F70E3" w:rsidP="00456CB0">
            <w:pPr>
              <w:tabs>
                <w:tab w:val="left" w:pos="373"/>
              </w:tabs>
              <w:jc w:val="both"/>
              <w:rPr>
                <w:rFonts w:ascii="Calibri" w:hAnsi="Calibri"/>
                <w:lang w:eastAsia="en-US"/>
              </w:rPr>
            </w:pPr>
            <w:r w:rsidRPr="00456CB0">
              <w:rPr>
                <w:lang w:eastAsia="en-US"/>
              </w:rPr>
              <w:t xml:space="preserve">6) PPVA 2014.gadā būs iespēja </w:t>
            </w:r>
            <w:r w:rsidR="00EB1E96">
              <w:rPr>
                <w:lang w:eastAsia="en-US"/>
              </w:rPr>
              <w:t xml:space="preserve">saņemt </w:t>
            </w:r>
            <w:r w:rsidRPr="00456CB0">
              <w:rPr>
                <w:lang w:eastAsia="en-US"/>
              </w:rPr>
              <w:t>aptuveni 36 312 atbalsta pretendentiem.</w:t>
            </w:r>
          </w:p>
        </w:tc>
      </w:tr>
      <w:tr w:rsidR="007F70E3" w:rsidRPr="00456CB0" w:rsidTr="00456CB0">
        <w:trPr>
          <w:trHeight w:val="510"/>
        </w:trPr>
        <w:tc>
          <w:tcPr>
            <w:tcW w:w="246" w:type="pct"/>
          </w:tcPr>
          <w:p w:rsidR="007F70E3" w:rsidRPr="00456CB0" w:rsidRDefault="007F70E3" w:rsidP="00456CB0">
            <w:r w:rsidRPr="00456CB0">
              <w:t>2.</w:t>
            </w:r>
          </w:p>
        </w:tc>
        <w:tc>
          <w:tcPr>
            <w:tcW w:w="1523" w:type="pct"/>
          </w:tcPr>
          <w:p w:rsidR="007F70E3" w:rsidRPr="00456CB0" w:rsidRDefault="007F70E3" w:rsidP="00456CB0">
            <w:r w:rsidRPr="00456CB0">
              <w:t>Tiesiskā regulējuma ietekme uz tautsaimniecību un administratīvo slogu</w:t>
            </w:r>
          </w:p>
        </w:tc>
        <w:tc>
          <w:tcPr>
            <w:tcW w:w="3231" w:type="pct"/>
          </w:tcPr>
          <w:p w:rsidR="007F70E3" w:rsidRPr="00456CB0" w:rsidRDefault="00EB1E96" w:rsidP="00456CB0">
            <w:pPr>
              <w:jc w:val="both"/>
            </w:pPr>
            <w:r>
              <w:t xml:space="preserve">Noteikumu projekta pieņemšana </w:t>
            </w:r>
            <w:r w:rsidR="007F70E3" w:rsidRPr="00456CB0">
              <w:rPr>
                <w:lang w:eastAsia="en-US"/>
              </w:rPr>
              <w:t>t</w:t>
            </w:r>
            <w:r w:rsidR="007F70E3" w:rsidRPr="00456CB0">
              <w:t>autsaimniecību ietekmēs pozitīvi, jo 2014.gadā tiks piešķirts PPVA un palielināts īpaš</w:t>
            </w:r>
            <w:r w:rsidR="00D1242D">
              <w:t>ā</w:t>
            </w:r>
            <w:r w:rsidR="007F70E3" w:rsidRPr="00456CB0">
              <w:t xml:space="preserve"> atbalst</w:t>
            </w:r>
            <w:r w:rsidR="00D1242D">
              <w:t>a finansējums</w:t>
            </w:r>
            <w:r w:rsidR="007F70E3" w:rsidRPr="00456CB0">
              <w:t xml:space="preserve">. </w:t>
            </w:r>
          </w:p>
          <w:p w:rsidR="007F70E3" w:rsidRPr="00456CB0" w:rsidRDefault="007F70E3" w:rsidP="00456CB0">
            <w:pPr>
              <w:jc w:val="both"/>
            </w:pPr>
            <w:r w:rsidRPr="00456CB0">
              <w:t xml:space="preserve">LLVN </w:t>
            </w:r>
            <w:r w:rsidRPr="00456CB0">
              <w:rPr>
                <w:lang w:eastAsia="en-US"/>
              </w:rPr>
              <w:t xml:space="preserve">prasības nosacījumu pastiprināšana un </w:t>
            </w:r>
            <w:r w:rsidRPr="00456CB0">
              <w:t xml:space="preserve">ACM atcelšana neradīs </w:t>
            </w:r>
            <w:r w:rsidRPr="00456CB0">
              <w:rPr>
                <w:lang w:eastAsia="en-US"/>
              </w:rPr>
              <w:t>administratīvo slogu.</w:t>
            </w:r>
          </w:p>
          <w:p w:rsidR="007F70E3" w:rsidRPr="00456CB0" w:rsidRDefault="007F70E3" w:rsidP="00456CB0">
            <w:pPr>
              <w:jc w:val="both"/>
            </w:pPr>
            <w:r w:rsidRPr="00456CB0">
              <w:t>Atceļot prasību par zemes labu lauksaimniecības stāvokli 2003.gada 30.jūnijā</w:t>
            </w:r>
            <w:r w:rsidR="00EB1E96">
              <w:t>,</w:t>
            </w:r>
            <w:r w:rsidRPr="00456CB0">
              <w:t xml:space="preserve"> </w:t>
            </w:r>
            <w:r w:rsidR="00EB1E96" w:rsidRPr="00456CB0">
              <w:t xml:space="preserve">2014. gadā </w:t>
            </w:r>
            <w:r w:rsidRPr="00456CB0">
              <w:t>būs jā</w:t>
            </w:r>
            <w:r w:rsidR="00EB1E96">
              <w:t>precizē</w:t>
            </w:r>
            <w:r w:rsidRPr="00456CB0">
              <w:t xml:space="preserve"> lauku </w:t>
            </w:r>
            <w:r w:rsidRPr="00456CB0">
              <w:lastRenderedPageBreak/>
              <w:t>blok</w:t>
            </w:r>
            <w:r w:rsidR="00EB1E96">
              <w:t>i</w:t>
            </w:r>
            <w:r w:rsidRPr="00456CB0">
              <w:t xml:space="preserve">, </w:t>
            </w:r>
            <w:r w:rsidR="00EB1E96">
              <w:t>un t</w:t>
            </w:r>
            <w:r w:rsidRPr="00456CB0">
              <w:t>as radīs nelielu administratīvo slogu gan lauksaimniekiem, gan LAD, tomēr rezultātā lauksaimniekiem būs iespēja pretendēt uz VPM atbalstu par lielāku platību.</w:t>
            </w:r>
          </w:p>
          <w:p w:rsidR="007F70E3" w:rsidRPr="00456CB0" w:rsidRDefault="007F70E3" w:rsidP="00456CB0">
            <w:pPr>
              <w:jc w:val="both"/>
            </w:pPr>
            <w:r w:rsidRPr="00456CB0">
              <w:rPr>
                <w:lang w:eastAsia="en-US"/>
              </w:rPr>
              <w:t>Īpašā atbalsta par liellopiem īstenošana neradīs administratīvo slogu.</w:t>
            </w:r>
          </w:p>
        </w:tc>
      </w:tr>
      <w:tr w:rsidR="007F70E3" w:rsidRPr="00456CB0" w:rsidTr="00456CB0">
        <w:trPr>
          <w:trHeight w:val="510"/>
        </w:trPr>
        <w:tc>
          <w:tcPr>
            <w:tcW w:w="246" w:type="pct"/>
          </w:tcPr>
          <w:p w:rsidR="007F70E3" w:rsidRPr="00456CB0" w:rsidRDefault="007F70E3" w:rsidP="00456CB0">
            <w:r w:rsidRPr="00456CB0">
              <w:lastRenderedPageBreak/>
              <w:t>3.</w:t>
            </w:r>
          </w:p>
        </w:tc>
        <w:tc>
          <w:tcPr>
            <w:tcW w:w="1523" w:type="pct"/>
          </w:tcPr>
          <w:p w:rsidR="007F70E3" w:rsidRPr="00456CB0" w:rsidRDefault="007F70E3" w:rsidP="00456CB0">
            <w:r w:rsidRPr="00456CB0">
              <w:t>Administratīvo izmaksu monetārs novērtējums</w:t>
            </w:r>
          </w:p>
        </w:tc>
        <w:tc>
          <w:tcPr>
            <w:tcW w:w="3231" w:type="pct"/>
          </w:tcPr>
          <w:p w:rsidR="007F70E3" w:rsidRPr="00456CB0" w:rsidRDefault="007F70E3" w:rsidP="00456CB0">
            <w:pPr>
              <w:jc w:val="both"/>
            </w:pPr>
            <w:bookmarkStart w:id="2" w:name="p-468669"/>
            <w:bookmarkStart w:id="3" w:name="p24"/>
            <w:bookmarkEnd w:id="2"/>
            <w:bookmarkEnd w:id="3"/>
            <w:r w:rsidRPr="00456CB0">
              <w:t>Lauku bloku precizēšana lauksaimniekiem neradīs papildu administratīvās izmaksas, jo lauku blokus var precizēt elektroniski. Savukārt lauku bloku</w:t>
            </w:r>
            <w:r w:rsidR="00EB1E96">
              <w:t>s</w:t>
            </w:r>
            <w:r w:rsidRPr="00456CB0">
              <w:t xml:space="preserve"> </w:t>
            </w:r>
            <w:r w:rsidR="00EB1E96" w:rsidRPr="00456CB0">
              <w:t xml:space="preserve">LAD </w:t>
            </w:r>
            <w:r w:rsidRPr="00456CB0">
              <w:t>precizē</w:t>
            </w:r>
            <w:r w:rsidR="00EB1E96">
              <w:t>s</w:t>
            </w:r>
            <w:r w:rsidRPr="00456CB0">
              <w:t xml:space="preserve"> </w:t>
            </w:r>
            <w:r w:rsidR="00EB1E96">
              <w:t>par</w:t>
            </w:r>
            <w:r w:rsidRPr="00456CB0">
              <w:t xml:space="preserve"> esošā budžeta </w:t>
            </w:r>
            <w:r w:rsidR="00EB1E96">
              <w:t>līdzekļiem</w:t>
            </w:r>
            <w:r w:rsidRPr="00456CB0">
              <w:t>.</w:t>
            </w:r>
          </w:p>
          <w:p w:rsidR="007F70E3" w:rsidRPr="00456CB0" w:rsidRDefault="007F70E3" w:rsidP="00EB1E96">
            <w:pPr>
              <w:jc w:val="both"/>
            </w:pPr>
            <w:r w:rsidRPr="00456CB0">
              <w:rPr>
                <w:lang w:eastAsia="en-US"/>
              </w:rPr>
              <w:t>Īpaš</w:t>
            </w:r>
            <w:r w:rsidR="00EB1E96">
              <w:rPr>
                <w:lang w:eastAsia="en-US"/>
              </w:rPr>
              <w:t>o</w:t>
            </w:r>
            <w:r w:rsidRPr="00456CB0">
              <w:rPr>
                <w:lang w:eastAsia="en-US"/>
              </w:rPr>
              <w:t xml:space="preserve"> atbalst</w:t>
            </w:r>
            <w:r w:rsidR="00EB1E96">
              <w:rPr>
                <w:lang w:eastAsia="en-US"/>
              </w:rPr>
              <w:t>u</w:t>
            </w:r>
            <w:r w:rsidRPr="00456CB0">
              <w:rPr>
                <w:lang w:eastAsia="en-US"/>
              </w:rPr>
              <w:t xml:space="preserve"> par liellopiem LAD un LDC </w:t>
            </w:r>
            <w:r w:rsidR="00EB1E96">
              <w:rPr>
                <w:lang w:eastAsia="en-US"/>
              </w:rPr>
              <w:t>administrēs par</w:t>
            </w:r>
            <w:r w:rsidRPr="00456CB0">
              <w:rPr>
                <w:lang w:eastAsia="en-US"/>
              </w:rPr>
              <w:t xml:space="preserve"> esošā budžeta </w:t>
            </w:r>
            <w:r w:rsidR="00EB1E96">
              <w:rPr>
                <w:lang w:eastAsia="en-US"/>
              </w:rPr>
              <w:t>līdzekļiem</w:t>
            </w:r>
            <w:r w:rsidRPr="00456CB0">
              <w:rPr>
                <w:lang w:eastAsia="en-US"/>
              </w:rPr>
              <w:t>.</w:t>
            </w:r>
          </w:p>
        </w:tc>
      </w:tr>
      <w:tr w:rsidR="007F70E3" w:rsidRPr="00456CB0" w:rsidTr="00456CB0">
        <w:trPr>
          <w:trHeight w:val="345"/>
        </w:trPr>
        <w:tc>
          <w:tcPr>
            <w:tcW w:w="246" w:type="pct"/>
          </w:tcPr>
          <w:p w:rsidR="007F70E3" w:rsidRPr="00456CB0" w:rsidRDefault="007F70E3" w:rsidP="00456CB0">
            <w:r w:rsidRPr="00456CB0">
              <w:t>4.</w:t>
            </w:r>
          </w:p>
        </w:tc>
        <w:tc>
          <w:tcPr>
            <w:tcW w:w="1523" w:type="pct"/>
          </w:tcPr>
          <w:p w:rsidR="007F70E3" w:rsidRPr="00456CB0" w:rsidRDefault="007F70E3" w:rsidP="00456CB0">
            <w:r w:rsidRPr="00456CB0">
              <w:t>Cita informācija</w:t>
            </w:r>
          </w:p>
        </w:tc>
        <w:tc>
          <w:tcPr>
            <w:tcW w:w="3231" w:type="pct"/>
          </w:tcPr>
          <w:p w:rsidR="007F70E3" w:rsidRPr="00456CB0" w:rsidRDefault="007F70E3" w:rsidP="00456CB0">
            <w:pPr>
              <w:spacing w:before="100" w:beforeAutospacing="1" w:after="100" w:afterAutospacing="1" w:line="360" w:lineRule="auto"/>
            </w:pPr>
            <w:r w:rsidRPr="00456CB0">
              <w:t>Nav.</w:t>
            </w:r>
          </w:p>
        </w:tc>
      </w:tr>
    </w:tbl>
    <w:p w:rsidR="007F70E3" w:rsidRPr="008429E7" w:rsidRDefault="007F70E3" w:rsidP="006B42E1">
      <w:pPr>
        <w:ind w:firstLine="301"/>
      </w:pPr>
      <w:r w:rsidRPr="008429E7">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5"/>
        <w:gridCol w:w="1483"/>
        <w:gridCol w:w="1139"/>
        <w:gridCol w:w="1455"/>
        <w:gridCol w:w="1455"/>
        <w:gridCol w:w="1455"/>
      </w:tblGrid>
      <w:tr w:rsidR="007F70E3" w:rsidRPr="00456CB0" w:rsidTr="0011611D">
        <w:trPr>
          <w:trHeight w:val="360"/>
        </w:trPr>
        <w:tc>
          <w:tcPr>
            <w:tcW w:w="5000" w:type="pct"/>
            <w:gridSpan w:val="6"/>
          </w:tcPr>
          <w:p w:rsidR="007F70E3" w:rsidRPr="00456CB0" w:rsidRDefault="007F70E3" w:rsidP="00456CB0">
            <w:pPr>
              <w:spacing w:before="100" w:beforeAutospacing="1" w:after="100" w:afterAutospacing="1" w:line="360" w:lineRule="auto"/>
              <w:ind w:firstLine="300"/>
              <w:jc w:val="center"/>
              <w:rPr>
                <w:b/>
                <w:bCs/>
              </w:rPr>
            </w:pPr>
            <w:r w:rsidRPr="00456CB0">
              <w:rPr>
                <w:b/>
                <w:bCs/>
              </w:rPr>
              <w:t>III. Tiesību akta projekta ietekme uz valsts budžetu un pašvaldību budžetiem</w:t>
            </w:r>
          </w:p>
        </w:tc>
      </w:tr>
      <w:tr w:rsidR="007F70E3" w:rsidRPr="00456CB0" w:rsidTr="0011611D">
        <w:tc>
          <w:tcPr>
            <w:tcW w:w="1062" w:type="pct"/>
            <w:vMerge w:val="restart"/>
          </w:tcPr>
          <w:p w:rsidR="007F70E3" w:rsidRPr="00456CB0" w:rsidRDefault="007F70E3" w:rsidP="0011611D">
            <w:pPr>
              <w:jc w:val="center"/>
              <w:rPr>
                <w:b/>
                <w:bCs/>
              </w:rPr>
            </w:pPr>
            <w:r w:rsidRPr="00456CB0">
              <w:rPr>
                <w:b/>
                <w:bCs/>
              </w:rPr>
              <w:t>Rādītāji</w:t>
            </w:r>
          </w:p>
        </w:tc>
        <w:tc>
          <w:tcPr>
            <w:tcW w:w="1478" w:type="pct"/>
            <w:gridSpan w:val="2"/>
            <w:vMerge w:val="restart"/>
          </w:tcPr>
          <w:p w:rsidR="007F70E3" w:rsidRPr="00456CB0" w:rsidRDefault="007F70E3" w:rsidP="0011611D">
            <w:pPr>
              <w:jc w:val="center"/>
              <w:rPr>
                <w:b/>
                <w:bCs/>
              </w:rPr>
            </w:pPr>
            <w:r w:rsidRPr="00456CB0">
              <w:rPr>
                <w:b/>
                <w:bCs/>
              </w:rPr>
              <w:t>2014. gads</w:t>
            </w:r>
          </w:p>
        </w:tc>
        <w:tc>
          <w:tcPr>
            <w:tcW w:w="2460" w:type="pct"/>
            <w:gridSpan w:val="3"/>
          </w:tcPr>
          <w:p w:rsidR="007F70E3" w:rsidRPr="00456CB0" w:rsidRDefault="007F70E3" w:rsidP="0011611D">
            <w:pPr>
              <w:jc w:val="center"/>
            </w:pPr>
            <w:r w:rsidRPr="00456CB0">
              <w:t>Turpmākie trīs gadi (</w:t>
            </w:r>
            <w:proofErr w:type="spellStart"/>
            <w:r w:rsidRPr="00456CB0">
              <w:rPr>
                <w:i/>
                <w:iCs/>
              </w:rPr>
              <w:t>euro</w:t>
            </w:r>
            <w:proofErr w:type="spellEnd"/>
            <w:r w:rsidRPr="00456CB0">
              <w:t>)</w:t>
            </w:r>
          </w:p>
        </w:tc>
      </w:tr>
      <w:tr w:rsidR="0011611D" w:rsidRPr="00456CB0" w:rsidTr="0011611D">
        <w:tc>
          <w:tcPr>
            <w:tcW w:w="1062" w:type="pct"/>
            <w:vMerge/>
          </w:tcPr>
          <w:p w:rsidR="007F70E3" w:rsidRPr="00456CB0" w:rsidRDefault="007F70E3" w:rsidP="0011611D">
            <w:pPr>
              <w:rPr>
                <w:b/>
                <w:bCs/>
              </w:rPr>
            </w:pPr>
          </w:p>
        </w:tc>
        <w:tc>
          <w:tcPr>
            <w:tcW w:w="1478" w:type="pct"/>
            <w:gridSpan w:val="2"/>
            <w:vMerge/>
          </w:tcPr>
          <w:p w:rsidR="007F70E3" w:rsidRPr="00456CB0" w:rsidRDefault="007F70E3" w:rsidP="0011611D">
            <w:pPr>
              <w:rPr>
                <w:b/>
                <w:bCs/>
              </w:rPr>
            </w:pPr>
          </w:p>
        </w:tc>
        <w:tc>
          <w:tcPr>
            <w:tcW w:w="820" w:type="pct"/>
          </w:tcPr>
          <w:p w:rsidR="007F70E3" w:rsidRPr="00456CB0" w:rsidRDefault="007F70E3" w:rsidP="0011611D">
            <w:pPr>
              <w:jc w:val="center"/>
              <w:rPr>
                <w:b/>
                <w:bCs/>
              </w:rPr>
            </w:pPr>
            <w:r w:rsidRPr="00456CB0">
              <w:rPr>
                <w:b/>
                <w:bCs/>
              </w:rPr>
              <w:t>2015</w:t>
            </w:r>
          </w:p>
        </w:tc>
        <w:tc>
          <w:tcPr>
            <w:tcW w:w="820" w:type="pct"/>
          </w:tcPr>
          <w:p w:rsidR="007F70E3" w:rsidRPr="00456CB0" w:rsidRDefault="007F70E3" w:rsidP="0011611D">
            <w:pPr>
              <w:jc w:val="center"/>
              <w:rPr>
                <w:b/>
                <w:bCs/>
              </w:rPr>
            </w:pPr>
            <w:r w:rsidRPr="00456CB0">
              <w:rPr>
                <w:b/>
                <w:bCs/>
              </w:rPr>
              <w:t>2016</w:t>
            </w:r>
          </w:p>
        </w:tc>
        <w:tc>
          <w:tcPr>
            <w:tcW w:w="820" w:type="pct"/>
          </w:tcPr>
          <w:p w:rsidR="007F70E3" w:rsidRPr="00456CB0" w:rsidRDefault="007F70E3" w:rsidP="0011611D">
            <w:pPr>
              <w:jc w:val="center"/>
              <w:rPr>
                <w:b/>
                <w:bCs/>
              </w:rPr>
            </w:pPr>
            <w:r w:rsidRPr="00456CB0">
              <w:rPr>
                <w:b/>
                <w:bCs/>
              </w:rPr>
              <w:t>2017</w:t>
            </w:r>
          </w:p>
        </w:tc>
      </w:tr>
      <w:tr w:rsidR="0011611D" w:rsidRPr="00456CB0" w:rsidTr="00B122CE">
        <w:tc>
          <w:tcPr>
            <w:tcW w:w="1062" w:type="pct"/>
            <w:vMerge/>
          </w:tcPr>
          <w:p w:rsidR="007F70E3" w:rsidRPr="00456CB0" w:rsidRDefault="007F70E3" w:rsidP="0011611D">
            <w:pPr>
              <w:rPr>
                <w:b/>
                <w:bCs/>
              </w:rPr>
            </w:pPr>
          </w:p>
        </w:tc>
        <w:tc>
          <w:tcPr>
            <w:tcW w:w="836" w:type="pct"/>
          </w:tcPr>
          <w:p w:rsidR="007F70E3" w:rsidRPr="00456CB0" w:rsidRDefault="007F70E3" w:rsidP="0011611D">
            <w:pPr>
              <w:jc w:val="center"/>
            </w:pPr>
            <w:r w:rsidRPr="00456CB0">
              <w:t>saskaņā ar valsts budžetu kārtējam gadam</w:t>
            </w:r>
          </w:p>
        </w:tc>
        <w:tc>
          <w:tcPr>
            <w:tcW w:w="642" w:type="pct"/>
          </w:tcPr>
          <w:p w:rsidR="007F70E3" w:rsidRPr="00456CB0" w:rsidRDefault="007F70E3" w:rsidP="0011611D">
            <w:pPr>
              <w:jc w:val="center"/>
            </w:pPr>
            <w:r w:rsidRPr="00456CB0">
              <w:t>izmaiņas kārtējā gadā, salīdzinot ar valsts budžetu kārtējam gadam</w:t>
            </w:r>
          </w:p>
        </w:tc>
        <w:tc>
          <w:tcPr>
            <w:tcW w:w="820" w:type="pct"/>
          </w:tcPr>
          <w:p w:rsidR="007F70E3" w:rsidRPr="00456CB0" w:rsidRDefault="007F70E3" w:rsidP="0011611D">
            <w:pPr>
              <w:jc w:val="center"/>
            </w:pPr>
            <w:r w:rsidRPr="00456CB0">
              <w:t>izmaiņas, salīdzinot ar kārtējo (n) gadu</w:t>
            </w:r>
          </w:p>
        </w:tc>
        <w:tc>
          <w:tcPr>
            <w:tcW w:w="820" w:type="pct"/>
          </w:tcPr>
          <w:p w:rsidR="007F70E3" w:rsidRPr="00456CB0" w:rsidRDefault="007F70E3" w:rsidP="0011611D">
            <w:pPr>
              <w:jc w:val="center"/>
            </w:pPr>
            <w:r w:rsidRPr="00456CB0">
              <w:t>izmaiņas, salīdzinot ar kārtējo (n) gadu</w:t>
            </w:r>
          </w:p>
        </w:tc>
        <w:tc>
          <w:tcPr>
            <w:tcW w:w="820" w:type="pct"/>
          </w:tcPr>
          <w:p w:rsidR="007F70E3" w:rsidRPr="00456CB0" w:rsidRDefault="007F70E3" w:rsidP="0011611D">
            <w:pPr>
              <w:jc w:val="center"/>
            </w:pPr>
            <w:r w:rsidRPr="00456CB0">
              <w:t>izmaiņas, salīdzinot ar kārtējo (n) gadu</w:t>
            </w:r>
          </w:p>
        </w:tc>
      </w:tr>
      <w:tr w:rsidR="0011611D" w:rsidRPr="00456CB0" w:rsidTr="00B122CE">
        <w:tc>
          <w:tcPr>
            <w:tcW w:w="1062" w:type="pct"/>
          </w:tcPr>
          <w:p w:rsidR="007F70E3" w:rsidRPr="00456CB0" w:rsidRDefault="007F70E3" w:rsidP="00456CB0">
            <w:pPr>
              <w:spacing w:before="100" w:beforeAutospacing="1" w:after="100" w:afterAutospacing="1" w:line="360" w:lineRule="auto"/>
              <w:ind w:firstLine="300"/>
              <w:jc w:val="center"/>
            </w:pPr>
            <w:r w:rsidRPr="00456CB0">
              <w:t>1</w:t>
            </w:r>
          </w:p>
        </w:tc>
        <w:tc>
          <w:tcPr>
            <w:tcW w:w="836" w:type="pct"/>
          </w:tcPr>
          <w:p w:rsidR="007F70E3" w:rsidRPr="00456CB0" w:rsidRDefault="007F70E3" w:rsidP="00456CB0">
            <w:pPr>
              <w:spacing w:before="100" w:beforeAutospacing="1" w:after="100" w:afterAutospacing="1" w:line="360" w:lineRule="auto"/>
              <w:ind w:firstLine="300"/>
              <w:jc w:val="center"/>
            </w:pPr>
            <w:r w:rsidRPr="00456CB0">
              <w:t>2</w:t>
            </w:r>
          </w:p>
        </w:tc>
        <w:tc>
          <w:tcPr>
            <w:tcW w:w="642" w:type="pct"/>
          </w:tcPr>
          <w:p w:rsidR="007F70E3" w:rsidRPr="00456CB0" w:rsidRDefault="007F70E3" w:rsidP="00456CB0">
            <w:pPr>
              <w:spacing w:before="100" w:beforeAutospacing="1" w:after="100" w:afterAutospacing="1" w:line="360" w:lineRule="auto"/>
              <w:ind w:firstLine="300"/>
              <w:jc w:val="center"/>
            </w:pPr>
            <w:r w:rsidRPr="00456CB0">
              <w:t>3</w:t>
            </w:r>
          </w:p>
        </w:tc>
        <w:tc>
          <w:tcPr>
            <w:tcW w:w="820" w:type="pct"/>
          </w:tcPr>
          <w:p w:rsidR="007F70E3" w:rsidRPr="00456CB0" w:rsidRDefault="007F70E3" w:rsidP="00456CB0">
            <w:pPr>
              <w:spacing w:before="100" w:beforeAutospacing="1" w:after="100" w:afterAutospacing="1" w:line="360" w:lineRule="auto"/>
              <w:ind w:firstLine="300"/>
              <w:jc w:val="center"/>
            </w:pPr>
            <w:r w:rsidRPr="00456CB0">
              <w:t>4</w:t>
            </w:r>
          </w:p>
        </w:tc>
        <w:tc>
          <w:tcPr>
            <w:tcW w:w="820" w:type="pct"/>
          </w:tcPr>
          <w:p w:rsidR="007F70E3" w:rsidRPr="00456CB0" w:rsidRDefault="007F70E3" w:rsidP="00456CB0">
            <w:pPr>
              <w:spacing w:before="100" w:beforeAutospacing="1" w:after="100" w:afterAutospacing="1" w:line="360" w:lineRule="auto"/>
              <w:ind w:firstLine="300"/>
              <w:jc w:val="center"/>
            </w:pPr>
            <w:r w:rsidRPr="00456CB0">
              <w:t>5</w:t>
            </w:r>
          </w:p>
        </w:tc>
        <w:tc>
          <w:tcPr>
            <w:tcW w:w="820" w:type="pct"/>
          </w:tcPr>
          <w:p w:rsidR="007F70E3" w:rsidRPr="00456CB0" w:rsidRDefault="007F70E3" w:rsidP="00456CB0">
            <w:pPr>
              <w:spacing w:before="100" w:beforeAutospacing="1" w:after="100" w:afterAutospacing="1" w:line="360" w:lineRule="auto"/>
              <w:ind w:firstLine="300"/>
              <w:jc w:val="center"/>
            </w:pPr>
            <w:r w:rsidRPr="00456CB0">
              <w:t>6</w:t>
            </w:r>
          </w:p>
        </w:tc>
      </w:tr>
      <w:tr w:rsidR="00B122CE" w:rsidRPr="00456CB0" w:rsidTr="00F43DD2">
        <w:tc>
          <w:tcPr>
            <w:tcW w:w="1062" w:type="pct"/>
          </w:tcPr>
          <w:p w:rsidR="00B122CE" w:rsidRPr="00456CB0" w:rsidRDefault="00B122CE" w:rsidP="00993257">
            <w:r w:rsidRPr="00456CB0">
              <w:t>1. Budžeta ieņēmumi:</w:t>
            </w:r>
          </w:p>
        </w:tc>
        <w:tc>
          <w:tcPr>
            <w:tcW w:w="836" w:type="pct"/>
            <w:vAlign w:val="center"/>
          </w:tcPr>
          <w:p w:rsidR="00B122CE" w:rsidRPr="00B122CE" w:rsidRDefault="00B122CE" w:rsidP="00F43DD2">
            <w:r w:rsidRPr="00B122CE">
              <w:t>168 886 000</w:t>
            </w:r>
          </w:p>
        </w:tc>
        <w:tc>
          <w:tcPr>
            <w:tcW w:w="642" w:type="pct"/>
            <w:vAlign w:val="center"/>
          </w:tcPr>
          <w:p w:rsidR="00B122CE" w:rsidRPr="00456CB0" w:rsidRDefault="00B122CE" w:rsidP="00F43DD2">
            <w:r w:rsidRPr="00456CB0">
              <w:t>0,00</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r>
      <w:tr w:rsidR="00B122CE" w:rsidRPr="00456CB0" w:rsidTr="00F43DD2">
        <w:tc>
          <w:tcPr>
            <w:tcW w:w="1062" w:type="pct"/>
          </w:tcPr>
          <w:p w:rsidR="00B122CE" w:rsidRPr="00456CB0" w:rsidRDefault="00B122CE" w:rsidP="00993257">
            <w:r w:rsidRPr="00456CB0">
              <w:t>1.1. valsts pamatbudžets, tai skaitā ieņēmumi no maksas pakalpojumiem un citi pašu ieņēmumi</w:t>
            </w:r>
          </w:p>
        </w:tc>
        <w:tc>
          <w:tcPr>
            <w:tcW w:w="836" w:type="pct"/>
            <w:vAlign w:val="center"/>
          </w:tcPr>
          <w:p w:rsidR="00B122CE" w:rsidRPr="00B122CE" w:rsidRDefault="00B122CE" w:rsidP="00F43DD2">
            <w:r w:rsidRPr="00B122CE">
              <w:t>168 886 000</w:t>
            </w:r>
          </w:p>
        </w:tc>
        <w:tc>
          <w:tcPr>
            <w:tcW w:w="642" w:type="pct"/>
            <w:vAlign w:val="center"/>
          </w:tcPr>
          <w:p w:rsidR="00B122CE" w:rsidRPr="00456CB0" w:rsidRDefault="00B122CE" w:rsidP="00F43DD2">
            <w:r w:rsidRPr="00456CB0">
              <w:t>0,00</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r>
      <w:tr w:rsidR="0011611D" w:rsidRPr="00456CB0" w:rsidTr="00F43DD2">
        <w:tc>
          <w:tcPr>
            <w:tcW w:w="1062" w:type="pct"/>
          </w:tcPr>
          <w:p w:rsidR="007F70E3" w:rsidRPr="00456CB0" w:rsidRDefault="007F70E3" w:rsidP="00456CB0">
            <w:r w:rsidRPr="00456CB0">
              <w:t>1.2. valsts speciālais budžets</w:t>
            </w:r>
          </w:p>
        </w:tc>
        <w:tc>
          <w:tcPr>
            <w:tcW w:w="836" w:type="pct"/>
            <w:vAlign w:val="center"/>
          </w:tcPr>
          <w:p w:rsidR="007F70E3" w:rsidRPr="00B122CE" w:rsidRDefault="007F70E3" w:rsidP="00F43DD2">
            <w:r w:rsidRPr="00B122CE">
              <w:t> </w:t>
            </w:r>
          </w:p>
        </w:tc>
        <w:tc>
          <w:tcPr>
            <w:tcW w:w="642" w:type="pct"/>
            <w:vAlign w:val="center"/>
          </w:tcPr>
          <w:p w:rsidR="007F70E3" w:rsidRPr="00456CB0" w:rsidRDefault="007F70E3" w:rsidP="00F43DD2">
            <w:r w:rsidRPr="00456CB0">
              <w:t> </w:t>
            </w:r>
          </w:p>
        </w:tc>
        <w:tc>
          <w:tcPr>
            <w:tcW w:w="820" w:type="pct"/>
            <w:vAlign w:val="center"/>
          </w:tcPr>
          <w:p w:rsidR="007F70E3" w:rsidRPr="004479ED" w:rsidRDefault="007F70E3" w:rsidP="00F43DD2">
            <w:pPr>
              <w:jc w:val="center"/>
            </w:pPr>
          </w:p>
        </w:tc>
        <w:tc>
          <w:tcPr>
            <w:tcW w:w="820" w:type="pct"/>
            <w:vAlign w:val="center"/>
          </w:tcPr>
          <w:p w:rsidR="007F70E3" w:rsidRPr="004479ED" w:rsidRDefault="007F70E3" w:rsidP="00F43DD2">
            <w:pPr>
              <w:jc w:val="center"/>
            </w:pPr>
          </w:p>
        </w:tc>
        <w:tc>
          <w:tcPr>
            <w:tcW w:w="820" w:type="pct"/>
            <w:vAlign w:val="center"/>
          </w:tcPr>
          <w:p w:rsidR="007F70E3" w:rsidRPr="004479ED" w:rsidRDefault="007F70E3" w:rsidP="00F43DD2">
            <w:pPr>
              <w:jc w:val="center"/>
            </w:pPr>
          </w:p>
        </w:tc>
      </w:tr>
      <w:tr w:rsidR="0011611D" w:rsidRPr="00456CB0" w:rsidTr="00F43DD2">
        <w:tc>
          <w:tcPr>
            <w:tcW w:w="1062" w:type="pct"/>
          </w:tcPr>
          <w:p w:rsidR="007F70E3" w:rsidRPr="00456CB0" w:rsidRDefault="007F70E3" w:rsidP="00456CB0">
            <w:r w:rsidRPr="00456CB0">
              <w:t>1.3. pašvaldību budžets</w:t>
            </w:r>
          </w:p>
        </w:tc>
        <w:tc>
          <w:tcPr>
            <w:tcW w:w="836" w:type="pct"/>
            <w:vAlign w:val="center"/>
          </w:tcPr>
          <w:p w:rsidR="007F70E3" w:rsidRPr="00B122CE" w:rsidRDefault="007F70E3" w:rsidP="00F43DD2">
            <w:r w:rsidRPr="00B122CE">
              <w:t> </w:t>
            </w:r>
          </w:p>
        </w:tc>
        <w:tc>
          <w:tcPr>
            <w:tcW w:w="642" w:type="pct"/>
            <w:vAlign w:val="center"/>
          </w:tcPr>
          <w:p w:rsidR="007F70E3" w:rsidRPr="00456CB0" w:rsidRDefault="007F70E3" w:rsidP="00F43DD2">
            <w:r w:rsidRPr="00456CB0">
              <w:t> </w:t>
            </w:r>
          </w:p>
        </w:tc>
        <w:tc>
          <w:tcPr>
            <w:tcW w:w="820" w:type="pct"/>
            <w:vAlign w:val="center"/>
          </w:tcPr>
          <w:p w:rsidR="007F70E3" w:rsidRPr="004479ED" w:rsidRDefault="007F70E3" w:rsidP="00F43DD2">
            <w:pPr>
              <w:jc w:val="center"/>
            </w:pPr>
          </w:p>
        </w:tc>
        <w:tc>
          <w:tcPr>
            <w:tcW w:w="820" w:type="pct"/>
            <w:vAlign w:val="center"/>
          </w:tcPr>
          <w:p w:rsidR="007F70E3" w:rsidRPr="004479ED" w:rsidRDefault="007F70E3" w:rsidP="00F43DD2">
            <w:pPr>
              <w:jc w:val="center"/>
            </w:pPr>
          </w:p>
        </w:tc>
        <w:tc>
          <w:tcPr>
            <w:tcW w:w="820" w:type="pct"/>
            <w:vAlign w:val="center"/>
          </w:tcPr>
          <w:p w:rsidR="007F70E3" w:rsidRPr="004479ED" w:rsidRDefault="007F70E3" w:rsidP="00F43DD2">
            <w:pPr>
              <w:jc w:val="center"/>
            </w:pPr>
          </w:p>
        </w:tc>
      </w:tr>
      <w:tr w:rsidR="00B122CE" w:rsidRPr="00456CB0" w:rsidTr="00F43DD2">
        <w:tc>
          <w:tcPr>
            <w:tcW w:w="1062" w:type="pct"/>
          </w:tcPr>
          <w:p w:rsidR="00B122CE" w:rsidRPr="00456CB0" w:rsidRDefault="00B122CE" w:rsidP="00993257">
            <w:r w:rsidRPr="00456CB0">
              <w:t>2. Budžeta izdevumi:</w:t>
            </w:r>
          </w:p>
        </w:tc>
        <w:tc>
          <w:tcPr>
            <w:tcW w:w="836" w:type="pct"/>
            <w:vAlign w:val="center"/>
          </w:tcPr>
          <w:p w:rsidR="00B122CE" w:rsidRPr="00B122CE" w:rsidRDefault="00B122CE" w:rsidP="00F43DD2">
            <w:r w:rsidRPr="00B122CE">
              <w:t>201 787 525</w:t>
            </w:r>
          </w:p>
          <w:p w:rsidR="00B122CE" w:rsidRPr="00B122CE" w:rsidRDefault="00B122CE" w:rsidP="00F43DD2"/>
        </w:tc>
        <w:tc>
          <w:tcPr>
            <w:tcW w:w="642" w:type="pct"/>
            <w:vAlign w:val="center"/>
          </w:tcPr>
          <w:p w:rsidR="00B122CE" w:rsidRPr="00456CB0" w:rsidRDefault="00B122CE" w:rsidP="00F43DD2">
            <w:r w:rsidRPr="00456CB0">
              <w:t>0,00</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r>
      <w:tr w:rsidR="00B122CE" w:rsidRPr="00456CB0" w:rsidTr="00F43DD2">
        <w:tc>
          <w:tcPr>
            <w:tcW w:w="1062" w:type="pct"/>
          </w:tcPr>
          <w:p w:rsidR="00B122CE" w:rsidRPr="00456CB0" w:rsidRDefault="00B122CE" w:rsidP="00993257">
            <w:r w:rsidRPr="00456CB0">
              <w:t>2.1. valsts pamatbudžets</w:t>
            </w:r>
          </w:p>
        </w:tc>
        <w:tc>
          <w:tcPr>
            <w:tcW w:w="836" w:type="pct"/>
            <w:vAlign w:val="center"/>
          </w:tcPr>
          <w:p w:rsidR="00B122CE" w:rsidRPr="00B122CE" w:rsidRDefault="00B122CE" w:rsidP="00F43DD2">
            <w:r w:rsidRPr="00B122CE">
              <w:t>201 787 525</w:t>
            </w:r>
          </w:p>
        </w:tc>
        <w:tc>
          <w:tcPr>
            <w:tcW w:w="642" w:type="pct"/>
            <w:vAlign w:val="center"/>
          </w:tcPr>
          <w:p w:rsidR="00B122CE" w:rsidRPr="00456CB0" w:rsidRDefault="00B122CE" w:rsidP="00F43DD2">
            <w:r w:rsidRPr="00456CB0">
              <w:t>0,00</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r>
      <w:tr w:rsidR="0011611D" w:rsidRPr="00456CB0" w:rsidTr="00F43DD2">
        <w:tc>
          <w:tcPr>
            <w:tcW w:w="1062" w:type="pct"/>
          </w:tcPr>
          <w:p w:rsidR="007F70E3" w:rsidRPr="00456CB0" w:rsidRDefault="007F70E3" w:rsidP="00456CB0">
            <w:r w:rsidRPr="00456CB0">
              <w:t>2.2. valsts speciālais budžets</w:t>
            </w:r>
          </w:p>
        </w:tc>
        <w:tc>
          <w:tcPr>
            <w:tcW w:w="836" w:type="pct"/>
            <w:vAlign w:val="center"/>
          </w:tcPr>
          <w:p w:rsidR="007F70E3" w:rsidRPr="00B122CE" w:rsidRDefault="007F70E3" w:rsidP="00F43DD2">
            <w:r w:rsidRPr="00B122CE">
              <w:t> </w:t>
            </w:r>
          </w:p>
        </w:tc>
        <w:tc>
          <w:tcPr>
            <w:tcW w:w="642" w:type="pct"/>
            <w:vAlign w:val="center"/>
          </w:tcPr>
          <w:p w:rsidR="007F70E3" w:rsidRPr="00456CB0" w:rsidRDefault="007F70E3" w:rsidP="00F43DD2">
            <w:r w:rsidRPr="00456CB0">
              <w:t> </w:t>
            </w:r>
          </w:p>
        </w:tc>
        <w:tc>
          <w:tcPr>
            <w:tcW w:w="820" w:type="pct"/>
            <w:vAlign w:val="center"/>
          </w:tcPr>
          <w:p w:rsidR="007F70E3" w:rsidRPr="00644109" w:rsidRDefault="007F70E3" w:rsidP="00F43DD2">
            <w:pPr>
              <w:jc w:val="center"/>
            </w:pPr>
          </w:p>
        </w:tc>
        <w:tc>
          <w:tcPr>
            <w:tcW w:w="820" w:type="pct"/>
            <w:vAlign w:val="center"/>
          </w:tcPr>
          <w:p w:rsidR="007F70E3" w:rsidRPr="00644109" w:rsidRDefault="007F70E3" w:rsidP="00F43DD2">
            <w:pPr>
              <w:jc w:val="center"/>
            </w:pPr>
          </w:p>
        </w:tc>
        <w:tc>
          <w:tcPr>
            <w:tcW w:w="820" w:type="pct"/>
            <w:vAlign w:val="center"/>
          </w:tcPr>
          <w:p w:rsidR="007F70E3" w:rsidRPr="00644109" w:rsidRDefault="007F70E3" w:rsidP="00F43DD2">
            <w:pPr>
              <w:jc w:val="center"/>
            </w:pPr>
          </w:p>
        </w:tc>
      </w:tr>
      <w:tr w:rsidR="0011611D" w:rsidRPr="00456CB0" w:rsidTr="00F43DD2">
        <w:tc>
          <w:tcPr>
            <w:tcW w:w="1062" w:type="pct"/>
          </w:tcPr>
          <w:p w:rsidR="007F70E3" w:rsidRPr="00456CB0" w:rsidRDefault="007F70E3" w:rsidP="00456CB0">
            <w:r w:rsidRPr="00456CB0">
              <w:t>2.3. pašvaldību budžets</w:t>
            </w:r>
          </w:p>
        </w:tc>
        <w:tc>
          <w:tcPr>
            <w:tcW w:w="836" w:type="pct"/>
            <w:vAlign w:val="center"/>
          </w:tcPr>
          <w:p w:rsidR="007F70E3" w:rsidRPr="00B122CE" w:rsidRDefault="007F70E3" w:rsidP="00F43DD2">
            <w:r w:rsidRPr="00B122CE">
              <w:t> </w:t>
            </w:r>
          </w:p>
        </w:tc>
        <w:tc>
          <w:tcPr>
            <w:tcW w:w="642" w:type="pct"/>
            <w:vAlign w:val="center"/>
          </w:tcPr>
          <w:p w:rsidR="007F70E3" w:rsidRPr="00456CB0" w:rsidRDefault="007F70E3" w:rsidP="00F43DD2">
            <w:r w:rsidRPr="00456CB0">
              <w:t> </w:t>
            </w:r>
          </w:p>
        </w:tc>
        <w:tc>
          <w:tcPr>
            <w:tcW w:w="820" w:type="pct"/>
            <w:vAlign w:val="center"/>
          </w:tcPr>
          <w:p w:rsidR="007F70E3" w:rsidRPr="00644109" w:rsidRDefault="007F70E3" w:rsidP="00F43DD2">
            <w:pPr>
              <w:jc w:val="center"/>
            </w:pPr>
          </w:p>
        </w:tc>
        <w:tc>
          <w:tcPr>
            <w:tcW w:w="820" w:type="pct"/>
            <w:vAlign w:val="center"/>
          </w:tcPr>
          <w:p w:rsidR="007F70E3" w:rsidRPr="00644109" w:rsidRDefault="007F70E3" w:rsidP="00F43DD2">
            <w:pPr>
              <w:jc w:val="center"/>
            </w:pPr>
          </w:p>
        </w:tc>
        <w:tc>
          <w:tcPr>
            <w:tcW w:w="820" w:type="pct"/>
            <w:vAlign w:val="center"/>
          </w:tcPr>
          <w:p w:rsidR="007F70E3" w:rsidRPr="00644109" w:rsidRDefault="007F70E3" w:rsidP="00F43DD2">
            <w:pPr>
              <w:jc w:val="center"/>
            </w:pPr>
          </w:p>
        </w:tc>
      </w:tr>
      <w:tr w:rsidR="00B122CE" w:rsidRPr="00456CB0" w:rsidTr="00F43DD2">
        <w:tc>
          <w:tcPr>
            <w:tcW w:w="1062" w:type="pct"/>
          </w:tcPr>
          <w:p w:rsidR="00B122CE" w:rsidRPr="00456CB0" w:rsidRDefault="00B122CE" w:rsidP="00993257">
            <w:r w:rsidRPr="00456CB0">
              <w:lastRenderedPageBreak/>
              <w:t>3. Finansiālā ietekme:</w:t>
            </w:r>
          </w:p>
        </w:tc>
        <w:tc>
          <w:tcPr>
            <w:tcW w:w="836" w:type="pct"/>
            <w:vAlign w:val="center"/>
          </w:tcPr>
          <w:p w:rsidR="00B122CE" w:rsidRPr="00B122CE" w:rsidRDefault="00B122CE" w:rsidP="00F43DD2">
            <w:r w:rsidRPr="00B122CE">
              <w:t>–32 901 525</w:t>
            </w:r>
          </w:p>
        </w:tc>
        <w:tc>
          <w:tcPr>
            <w:tcW w:w="642" w:type="pct"/>
            <w:vAlign w:val="center"/>
          </w:tcPr>
          <w:p w:rsidR="00B122CE" w:rsidRPr="00456CB0" w:rsidRDefault="00B122CE" w:rsidP="00F43DD2">
            <w:r w:rsidRPr="00456CB0">
              <w:t>0,00</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r>
      <w:tr w:rsidR="00B122CE" w:rsidRPr="00456CB0" w:rsidTr="00F43DD2">
        <w:tc>
          <w:tcPr>
            <w:tcW w:w="1062" w:type="pct"/>
          </w:tcPr>
          <w:p w:rsidR="00B122CE" w:rsidRPr="00456CB0" w:rsidRDefault="00B122CE" w:rsidP="00993257">
            <w:r w:rsidRPr="00456CB0">
              <w:t>3.1. valsts pamatbudžets</w:t>
            </w:r>
          </w:p>
        </w:tc>
        <w:tc>
          <w:tcPr>
            <w:tcW w:w="836" w:type="pct"/>
            <w:vAlign w:val="center"/>
          </w:tcPr>
          <w:p w:rsidR="00B122CE" w:rsidRPr="00B122CE" w:rsidRDefault="00B122CE" w:rsidP="00F43DD2">
            <w:r w:rsidRPr="00B122CE">
              <w:t> –32 901 525</w:t>
            </w:r>
          </w:p>
        </w:tc>
        <w:tc>
          <w:tcPr>
            <w:tcW w:w="642" w:type="pct"/>
            <w:vAlign w:val="center"/>
          </w:tcPr>
          <w:p w:rsidR="00B122CE" w:rsidRPr="00456CB0" w:rsidRDefault="00B122CE" w:rsidP="00F43DD2">
            <w:r w:rsidRPr="00456CB0">
              <w:t>0,00</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r>
      <w:tr w:rsidR="0011611D" w:rsidRPr="00456CB0" w:rsidTr="00F43DD2">
        <w:tc>
          <w:tcPr>
            <w:tcW w:w="1062" w:type="pct"/>
          </w:tcPr>
          <w:p w:rsidR="007F70E3" w:rsidRPr="00456CB0" w:rsidRDefault="007F70E3" w:rsidP="00456CB0">
            <w:r w:rsidRPr="00456CB0">
              <w:t>3.2. speciālais budžets</w:t>
            </w:r>
          </w:p>
        </w:tc>
        <w:tc>
          <w:tcPr>
            <w:tcW w:w="836" w:type="pct"/>
            <w:vAlign w:val="center"/>
          </w:tcPr>
          <w:p w:rsidR="007F70E3" w:rsidRPr="00B122CE" w:rsidRDefault="007F70E3" w:rsidP="00F43DD2">
            <w:r w:rsidRPr="00B122CE">
              <w:t> </w:t>
            </w:r>
          </w:p>
        </w:tc>
        <w:tc>
          <w:tcPr>
            <w:tcW w:w="642" w:type="pct"/>
            <w:vAlign w:val="center"/>
          </w:tcPr>
          <w:p w:rsidR="007F70E3" w:rsidRPr="00456CB0" w:rsidRDefault="007F70E3" w:rsidP="00F43DD2">
            <w:r w:rsidRPr="00456CB0">
              <w:t> </w:t>
            </w:r>
          </w:p>
        </w:tc>
        <w:tc>
          <w:tcPr>
            <w:tcW w:w="820" w:type="pct"/>
            <w:vAlign w:val="center"/>
          </w:tcPr>
          <w:p w:rsidR="007F70E3" w:rsidRPr="00644109" w:rsidRDefault="007F70E3" w:rsidP="00F43DD2">
            <w:pPr>
              <w:jc w:val="center"/>
            </w:pPr>
          </w:p>
        </w:tc>
        <w:tc>
          <w:tcPr>
            <w:tcW w:w="820" w:type="pct"/>
            <w:vAlign w:val="center"/>
          </w:tcPr>
          <w:p w:rsidR="007F70E3" w:rsidRPr="00644109" w:rsidRDefault="007F70E3" w:rsidP="00F43DD2">
            <w:pPr>
              <w:jc w:val="center"/>
            </w:pPr>
          </w:p>
        </w:tc>
        <w:tc>
          <w:tcPr>
            <w:tcW w:w="820" w:type="pct"/>
            <w:vAlign w:val="center"/>
          </w:tcPr>
          <w:p w:rsidR="007F70E3" w:rsidRPr="00644109" w:rsidRDefault="007F70E3" w:rsidP="00F43DD2">
            <w:pPr>
              <w:jc w:val="center"/>
            </w:pPr>
          </w:p>
        </w:tc>
      </w:tr>
      <w:tr w:rsidR="0011611D" w:rsidRPr="00456CB0" w:rsidTr="00F43DD2">
        <w:tc>
          <w:tcPr>
            <w:tcW w:w="1062" w:type="pct"/>
          </w:tcPr>
          <w:p w:rsidR="007F70E3" w:rsidRPr="00456CB0" w:rsidRDefault="007F70E3" w:rsidP="00456CB0">
            <w:r w:rsidRPr="00456CB0">
              <w:t>3.3. pašvaldību budžets</w:t>
            </w:r>
          </w:p>
        </w:tc>
        <w:tc>
          <w:tcPr>
            <w:tcW w:w="836" w:type="pct"/>
            <w:vAlign w:val="center"/>
          </w:tcPr>
          <w:p w:rsidR="007F70E3" w:rsidRPr="00B122CE" w:rsidRDefault="007F70E3" w:rsidP="00F43DD2">
            <w:r w:rsidRPr="00B122CE">
              <w:t> </w:t>
            </w:r>
          </w:p>
        </w:tc>
        <w:tc>
          <w:tcPr>
            <w:tcW w:w="642" w:type="pct"/>
            <w:vAlign w:val="center"/>
          </w:tcPr>
          <w:p w:rsidR="007F70E3" w:rsidRPr="00456CB0" w:rsidRDefault="007F70E3" w:rsidP="00F43DD2">
            <w:r w:rsidRPr="00456CB0">
              <w:t> </w:t>
            </w:r>
          </w:p>
        </w:tc>
        <w:tc>
          <w:tcPr>
            <w:tcW w:w="820" w:type="pct"/>
            <w:vAlign w:val="center"/>
          </w:tcPr>
          <w:p w:rsidR="007F70E3" w:rsidRPr="00644109" w:rsidRDefault="007F70E3" w:rsidP="00F43DD2">
            <w:pPr>
              <w:jc w:val="center"/>
            </w:pPr>
          </w:p>
        </w:tc>
        <w:tc>
          <w:tcPr>
            <w:tcW w:w="820" w:type="pct"/>
            <w:vAlign w:val="center"/>
          </w:tcPr>
          <w:p w:rsidR="007F70E3" w:rsidRPr="00644109" w:rsidRDefault="007F70E3" w:rsidP="00F43DD2">
            <w:pPr>
              <w:jc w:val="center"/>
            </w:pPr>
          </w:p>
        </w:tc>
        <w:tc>
          <w:tcPr>
            <w:tcW w:w="820" w:type="pct"/>
            <w:vAlign w:val="center"/>
          </w:tcPr>
          <w:p w:rsidR="007F70E3" w:rsidRPr="00644109" w:rsidRDefault="007F70E3" w:rsidP="00F43DD2">
            <w:pPr>
              <w:jc w:val="center"/>
            </w:pPr>
          </w:p>
        </w:tc>
      </w:tr>
      <w:tr w:rsidR="00B122CE" w:rsidRPr="00456CB0" w:rsidTr="00F43DD2">
        <w:trPr>
          <w:trHeight w:val="2484"/>
        </w:trPr>
        <w:tc>
          <w:tcPr>
            <w:tcW w:w="1062" w:type="pct"/>
          </w:tcPr>
          <w:p w:rsidR="00B122CE" w:rsidRPr="00456CB0" w:rsidRDefault="00B122CE" w:rsidP="00456CB0">
            <w:r w:rsidRPr="00456CB0">
              <w:t>4. Finanšu līdzekļi papildu izdevumu finansēšanai (kompensējošu izdevumu samazinājumu norāda ar "+" zīmi)</w:t>
            </w:r>
          </w:p>
        </w:tc>
        <w:tc>
          <w:tcPr>
            <w:tcW w:w="836" w:type="pct"/>
            <w:vAlign w:val="center"/>
          </w:tcPr>
          <w:p w:rsidR="00B122CE" w:rsidRPr="00B122CE" w:rsidRDefault="00B122CE" w:rsidP="00F43DD2">
            <w:r w:rsidRPr="00B122CE">
              <w:t>0,00</w:t>
            </w:r>
          </w:p>
        </w:tc>
        <w:tc>
          <w:tcPr>
            <w:tcW w:w="642" w:type="pct"/>
            <w:vAlign w:val="center"/>
          </w:tcPr>
          <w:p w:rsidR="00B122CE" w:rsidRPr="00901417" w:rsidRDefault="00B122CE" w:rsidP="00F43DD2">
            <w:r w:rsidRPr="00901417">
              <w:t>0,00</w:t>
            </w:r>
          </w:p>
        </w:tc>
        <w:tc>
          <w:tcPr>
            <w:tcW w:w="820" w:type="pct"/>
            <w:vAlign w:val="center"/>
          </w:tcPr>
          <w:p w:rsidR="00B122CE" w:rsidRPr="00644109" w:rsidRDefault="00B122CE" w:rsidP="00F43DD2">
            <w:pPr>
              <w:jc w:val="center"/>
            </w:pPr>
            <w:r w:rsidRPr="00644109">
              <w:t>0,00</w:t>
            </w:r>
          </w:p>
        </w:tc>
        <w:tc>
          <w:tcPr>
            <w:tcW w:w="820" w:type="pct"/>
            <w:vAlign w:val="center"/>
          </w:tcPr>
          <w:p w:rsidR="00B122CE" w:rsidRPr="00644109" w:rsidRDefault="00B122CE" w:rsidP="00F43DD2">
            <w:pPr>
              <w:jc w:val="center"/>
            </w:pPr>
            <w:r w:rsidRPr="00644109">
              <w:t>0,00</w:t>
            </w:r>
          </w:p>
        </w:tc>
        <w:tc>
          <w:tcPr>
            <w:tcW w:w="820" w:type="pct"/>
            <w:vAlign w:val="center"/>
          </w:tcPr>
          <w:p w:rsidR="00B122CE" w:rsidRPr="00644109" w:rsidRDefault="00B122CE" w:rsidP="00F43DD2">
            <w:pPr>
              <w:jc w:val="center"/>
            </w:pPr>
            <w:r w:rsidRPr="00644109">
              <w:t>0,00</w:t>
            </w:r>
          </w:p>
        </w:tc>
      </w:tr>
      <w:tr w:rsidR="00B122CE" w:rsidRPr="00456CB0" w:rsidTr="00F43DD2">
        <w:tc>
          <w:tcPr>
            <w:tcW w:w="1062" w:type="pct"/>
          </w:tcPr>
          <w:p w:rsidR="00B122CE" w:rsidRPr="00456CB0" w:rsidRDefault="00B122CE" w:rsidP="00456CB0">
            <w:r w:rsidRPr="00456CB0">
              <w:t>5. Precizēta finansiālā ietekme:</w:t>
            </w:r>
          </w:p>
        </w:tc>
        <w:tc>
          <w:tcPr>
            <w:tcW w:w="836" w:type="pct"/>
            <w:vAlign w:val="center"/>
          </w:tcPr>
          <w:p w:rsidR="00B122CE" w:rsidRPr="00B122CE" w:rsidRDefault="00E27D35" w:rsidP="00F43DD2">
            <w:pPr>
              <w:spacing w:before="100" w:beforeAutospacing="1" w:after="100" w:afterAutospacing="1" w:line="360" w:lineRule="auto"/>
            </w:pPr>
            <w:r>
              <w:t>–</w:t>
            </w:r>
            <w:r w:rsidR="00B122CE" w:rsidRPr="00B122CE">
              <w:t>32 901 525</w:t>
            </w:r>
          </w:p>
        </w:tc>
        <w:tc>
          <w:tcPr>
            <w:tcW w:w="642" w:type="pct"/>
            <w:vAlign w:val="center"/>
          </w:tcPr>
          <w:p w:rsidR="00B122CE" w:rsidRPr="004268D3" w:rsidRDefault="00B122CE" w:rsidP="00F43DD2">
            <w:r w:rsidRPr="004268D3">
              <w:t>0,00</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r>
      <w:tr w:rsidR="00B122CE" w:rsidRPr="00456CB0" w:rsidTr="00F43DD2">
        <w:tc>
          <w:tcPr>
            <w:tcW w:w="1062" w:type="pct"/>
          </w:tcPr>
          <w:p w:rsidR="00B122CE" w:rsidRPr="00456CB0" w:rsidRDefault="00B122CE" w:rsidP="00456CB0">
            <w:r w:rsidRPr="00456CB0">
              <w:t>5.1. valsts pamatbudžets</w:t>
            </w:r>
          </w:p>
        </w:tc>
        <w:tc>
          <w:tcPr>
            <w:tcW w:w="836" w:type="pct"/>
            <w:vAlign w:val="center"/>
          </w:tcPr>
          <w:p w:rsidR="00B122CE" w:rsidRPr="00B122CE" w:rsidRDefault="00E27D35" w:rsidP="00F43DD2">
            <w:pPr>
              <w:spacing w:before="100" w:beforeAutospacing="1" w:after="100" w:afterAutospacing="1" w:line="360" w:lineRule="auto"/>
            </w:pPr>
            <w:r>
              <w:t>–</w:t>
            </w:r>
            <w:r w:rsidR="00B122CE" w:rsidRPr="00B122CE">
              <w:t>32 901 525</w:t>
            </w:r>
          </w:p>
        </w:tc>
        <w:tc>
          <w:tcPr>
            <w:tcW w:w="642" w:type="pct"/>
            <w:vAlign w:val="center"/>
          </w:tcPr>
          <w:p w:rsidR="00B122CE" w:rsidRPr="004268D3" w:rsidRDefault="00B122CE" w:rsidP="00F43DD2">
            <w:r w:rsidRPr="004268D3">
              <w:t>0,00</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c>
          <w:tcPr>
            <w:tcW w:w="820" w:type="pct"/>
            <w:vAlign w:val="center"/>
          </w:tcPr>
          <w:p w:rsidR="00B122CE" w:rsidRPr="004479ED" w:rsidRDefault="00B122CE" w:rsidP="00F43DD2">
            <w:pPr>
              <w:jc w:val="center"/>
            </w:pPr>
            <w:r w:rsidRPr="004479ED">
              <w:t>Nav attiecināms</w:t>
            </w:r>
          </w:p>
        </w:tc>
      </w:tr>
      <w:tr w:rsidR="00B122CE" w:rsidRPr="00456CB0" w:rsidTr="00B122CE">
        <w:tc>
          <w:tcPr>
            <w:tcW w:w="1062" w:type="pct"/>
          </w:tcPr>
          <w:p w:rsidR="00B122CE" w:rsidRPr="00456CB0" w:rsidRDefault="00B122CE" w:rsidP="00456CB0">
            <w:r w:rsidRPr="00456CB0">
              <w:t>5.2. speciālais budžets</w:t>
            </w:r>
          </w:p>
        </w:tc>
        <w:tc>
          <w:tcPr>
            <w:tcW w:w="836" w:type="pct"/>
          </w:tcPr>
          <w:p w:rsidR="00B122CE" w:rsidRPr="00456CB0" w:rsidRDefault="00B122CE" w:rsidP="00456CB0"/>
        </w:tc>
        <w:tc>
          <w:tcPr>
            <w:tcW w:w="642" w:type="pct"/>
          </w:tcPr>
          <w:p w:rsidR="00B122CE" w:rsidRPr="00456CB0" w:rsidRDefault="00B122CE" w:rsidP="00456CB0">
            <w:r w:rsidRPr="00456CB0">
              <w:t> </w:t>
            </w:r>
          </w:p>
        </w:tc>
        <w:tc>
          <w:tcPr>
            <w:tcW w:w="820" w:type="pct"/>
          </w:tcPr>
          <w:p w:rsidR="00B122CE" w:rsidRPr="00456CB0" w:rsidRDefault="00B122CE" w:rsidP="00456CB0">
            <w:r w:rsidRPr="00456CB0">
              <w:t> </w:t>
            </w:r>
          </w:p>
        </w:tc>
        <w:tc>
          <w:tcPr>
            <w:tcW w:w="820" w:type="pct"/>
          </w:tcPr>
          <w:p w:rsidR="00B122CE" w:rsidRPr="00456CB0" w:rsidRDefault="00B122CE" w:rsidP="00456CB0">
            <w:r w:rsidRPr="00456CB0">
              <w:t> </w:t>
            </w:r>
          </w:p>
        </w:tc>
        <w:tc>
          <w:tcPr>
            <w:tcW w:w="820" w:type="pct"/>
          </w:tcPr>
          <w:p w:rsidR="00B122CE" w:rsidRPr="00456CB0" w:rsidRDefault="00B122CE" w:rsidP="00456CB0">
            <w:r w:rsidRPr="00456CB0">
              <w:t> </w:t>
            </w:r>
          </w:p>
        </w:tc>
      </w:tr>
      <w:tr w:rsidR="00B122CE" w:rsidRPr="00456CB0" w:rsidTr="00B122CE">
        <w:tc>
          <w:tcPr>
            <w:tcW w:w="1062" w:type="pct"/>
          </w:tcPr>
          <w:p w:rsidR="00B122CE" w:rsidRPr="00456CB0" w:rsidRDefault="00B122CE" w:rsidP="00456CB0">
            <w:r w:rsidRPr="00456CB0">
              <w:t>5.3. pašvaldību budžets</w:t>
            </w:r>
          </w:p>
        </w:tc>
        <w:tc>
          <w:tcPr>
            <w:tcW w:w="836" w:type="pct"/>
          </w:tcPr>
          <w:p w:rsidR="00B122CE" w:rsidRPr="00456CB0" w:rsidRDefault="00B122CE" w:rsidP="00456CB0"/>
        </w:tc>
        <w:tc>
          <w:tcPr>
            <w:tcW w:w="642" w:type="pct"/>
          </w:tcPr>
          <w:p w:rsidR="00B122CE" w:rsidRPr="00456CB0" w:rsidRDefault="00B122CE" w:rsidP="00456CB0">
            <w:r w:rsidRPr="00456CB0">
              <w:t> </w:t>
            </w:r>
          </w:p>
        </w:tc>
        <w:tc>
          <w:tcPr>
            <w:tcW w:w="820" w:type="pct"/>
          </w:tcPr>
          <w:p w:rsidR="00B122CE" w:rsidRPr="00456CB0" w:rsidRDefault="00B122CE" w:rsidP="00456CB0">
            <w:r w:rsidRPr="00456CB0">
              <w:t> </w:t>
            </w:r>
          </w:p>
        </w:tc>
        <w:tc>
          <w:tcPr>
            <w:tcW w:w="820" w:type="pct"/>
          </w:tcPr>
          <w:p w:rsidR="00B122CE" w:rsidRPr="00456CB0" w:rsidRDefault="00B122CE" w:rsidP="00456CB0">
            <w:r w:rsidRPr="00456CB0">
              <w:t> </w:t>
            </w:r>
          </w:p>
        </w:tc>
        <w:tc>
          <w:tcPr>
            <w:tcW w:w="820" w:type="pct"/>
          </w:tcPr>
          <w:p w:rsidR="00B122CE" w:rsidRPr="00456CB0" w:rsidRDefault="00B122CE" w:rsidP="00456CB0">
            <w:r w:rsidRPr="00456CB0">
              <w:t> </w:t>
            </w:r>
          </w:p>
        </w:tc>
      </w:tr>
      <w:tr w:rsidR="007F70E3" w:rsidRPr="00456CB0" w:rsidTr="0011611D">
        <w:tc>
          <w:tcPr>
            <w:tcW w:w="1062" w:type="pct"/>
          </w:tcPr>
          <w:p w:rsidR="007F70E3" w:rsidRPr="00456CB0" w:rsidRDefault="007F70E3" w:rsidP="00456CB0">
            <w:r w:rsidRPr="00456CB0">
              <w:t>6. Detalizēts ieņēmumu un izdevumu aprēķins (ja nepieciešams, detalizētu ieņēmumu un izdevumu aprēķinu var pievienot anotācijas pielikumā):</w:t>
            </w:r>
          </w:p>
        </w:tc>
        <w:tc>
          <w:tcPr>
            <w:tcW w:w="3938" w:type="pct"/>
            <w:gridSpan w:val="5"/>
            <w:vMerge w:val="restart"/>
          </w:tcPr>
          <w:p w:rsidR="00993257" w:rsidRPr="004479ED" w:rsidRDefault="00993257" w:rsidP="00C70775">
            <w:pPr>
              <w:pStyle w:val="naisf"/>
              <w:spacing w:before="0" w:after="0"/>
              <w:ind w:firstLine="0"/>
              <w:jc w:val="left"/>
            </w:pPr>
            <w:r w:rsidRPr="004479ED">
              <w:t>KOPĒJIE IEŅĒMUMI</w:t>
            </w:r>
            <w:r w:rsidR="00B122CE" w:rsidRPr="004479ED">
              <w:t xml:space="preserve"> </w:t>
            </w:r>
            <w:r w:rsidRPr="004479ED">
              <w:t xml:space="preserve">– </w:t>
            </w:r>
            <w:r w:rsidR="00C70775" w:rsidRPr="004479ED">
              <w:t>168 886 000</w:t>
            </w:r>
            <w:r w:rsidRPr="004479ED">
              <w:t xml:space="preserve"> </w:t>
            </w:r>
            <w:proofErr w:type="spellStart"/>
            <w:r w:rsidRPr="004479ED">
              <w:rPr>
                <w:i/>
              </w:rPr>
              <w:t>euro</w:t>
            </w:r>
            <w:proofErr w:type="spellEnd"/>
          </w:p>
          <w:p w:rsidR="00E40C80" w:rsidRPr="004479ED" w:rsidRDefault="00E40C80" w:rsidP="00C70775">
            <w:pPr>
              <w:pStyle w:val="naisf"/>
              <w:spacing w:before="0" w:after="0"/>
              <w:ind w:firstLine="0"/>
              <w:jc w:val="left"/>
            </w:pPr>
            <w:r w:rsidRPr="004479ED">
              <w:t xml:space="preserve">1. Vienotais platību maksājums </w:t>
            </w:r>
            <w:r w:rsidR="004479ED" w:rsidRPr="004479ED">
              <w:t xml:space="preserve">– </w:t>
            </w:r>
            <w:r w:rsidR="00C70775" w:rsidRPr="004479ED">
              <w:t xml:space="preserve">158 728 000 </w:t>
            </w:r>
            <w:proofErr w:type="spellStart"/>
            <w:r w:rsidR="004479ED" w:rsidRPr="004479ED">
              <w:rPr>
                <w:i/>
              </w:rPr>
              <w:t>euro</w:t>
            </w:r>
            <w:proofErr w:type="spellEnd"/>
          </w:p>
          <w:p w:rsidR="00E40C80" w:rsidRPr="004479ED" w:rsidRDefault="00E40C80" w:rsidP="00C70775">
            <w:pPr>
              <w:pStyle w:val="naisf"/>
              <w:spacing w:before="0" w:after="0"/>
              <w:ind w:firstLine="0"/>
              <w:jc w:val="left"/>
            </w:pPr>
            <w:r w:rsidRPr="004479ED">
              <w:t xml:space="preserve">2. Īpašais atbalsts par liellopiem – 2 599 000 </w:t>
            </w:r>
            <w:proofErr w:type="spellStart"/>
            <w:r w:rsidRPr="004479ED">
              <w:rPr>
                <w:i/>
              </w:rPr>
              <w:t>euro</w:t>
            </w:r>
            <w:proofErr w:type="spellEnd"/>
          </w:p>
          <w:p w:rsidR="00E40C80" w:rsidRPr="004479ED" w:rsidRDefault="00E40C80" w:rsidP="00C70775">
            <w:pPr>
              <w:pStyle w:val="naisf"/>
              <w:spacing w:before="0" w:after="0"/>
              <w:ind w:firstLine="0"/>
              <w:jc w:val="left"/>
            </w:pPr>
            <w:r w:rsidRPr="004479ED">
              <w:t>3. Īpašais atbalsts par pienu –</w:t>
            </w:r>
            <w:r w:rsidR="004479ED" w:rsidRPr="004479ED">
              <w:t xml:space="preserve"> </w:t>
            </w:r>
            <w:r w:rsidRPr="004479ED">
              <w:t>6 976</w:t>
            </w:r>
            <w:r w:rsidR="004479ED" w:rsidRPr="004479ED">
              <w:t> </w:t>
            </w:r>
            <w:r w:rsidRPr="004479ED">
              <w:t>000</w:t>
            </w:r>
            <w:r w:rsidR="004479ED" w:rsidRPr="004479ED">
              <w:t xml:space="preserve"> </w:t>
            </w:r>
            <w:proofErr w:type="spellStart"/>
            <w:r w:rsidR="004479ED" w:rsidRPr="004479ED">
              <w:rPr>
                <w:i/>
              </w:rPr>
              <w:t>euro</w:t>
            </w:r>
            <w:proofErr w:type="spellEnd"/>
          </w:p>
          <w:p w:rsidR="00E40C80" w:rsidRPr="004479ED" w:rsidRDefault="00C70775" w:rsidP="00C70775">
            <w:pPr>
              <w:pStyle w:val="naisf"/>
              <w:spacing w:before="0" w:after="0"/>
              <w:ind w:firstLine="0"/>
              <w:jc w:val="left"/>
            </w:pPr>
            <w:r w:rsidRPr="004479ED">
              <w:t>4. Ī</w:t>
            </w:r>
            <w:r w:rsidR="00E40C80" w:rsidRPr="004479ED">
              <w:t>pašais atbalsts par lopbarības augu sēklām un sēklas kartupeļu kvalitātes uzlabošanai – 383</w:t>
            </w:r>
            <w:r w:rsidR="004479ED" w:rsidRPr="004479ED">
              <w:t> </w:t>
            </w:r>
            <w:r w:rsidR="00E40C80" w:rsidRPr="004479ED">
              <w:t>000</w:t>
            </w:r>
            <w:r w:rsidR="004479ED" w:rsidRPr="004479ED">
              <w:t xml:space="preserve"> </w:t>
            </w:r>
            <w:proofErr w:type="spellStart"/>
            <w:r w:rsidR="004479ED" w:rsidRPr="004479ED">
              <w:rPr>
                <w:i/>
              </w:rPr>
              <w:t>euro</w:t>
            </w:r>
            <w:proofErr w:type="spellEnd"/>
          </w:p>
          <w:p w:rsidR="00C70775" w:rsidRPr="004479ED" w:rsidRDefault="00E40C80" w:rsidP="00C70775">
            <w:pPr>
              <w:pStyle w:val="naisf"/>
              <w:spacing w:before="0" w:after="0"/>
              <w:ind w:firstLine="0"/>
              <w:jc w:val="left"/>
            </w:pPr>
            <w:r w:rsidRPr="004479ED">
              <w:t xml:space="preserve">5. Īpašais atbalsts cietes kartupeļu kvalitātes uzlabošanai – 200 000 </w:t>
            </w:r>
            <w:proofErr w:type="spellStart"/>
            <w:r w:rsidRPr="004479ED">
              <w:rPr>
                <w:i/>
              </w:rPr>
              <w:t>euro</w:t>
            </w:r>
            <w:proofErr w:type="spellEnd"/>
          </w:p>
          <w:p w:rsidR="00B122CE" w:rsidRPr="004479ED" w:rsidRDefault="00B122CE" w:rsidP="00C70775">
            <w:pPr>
              <w:pStyle w:val="naisf"/>
              <w:spacing w:before="0" w:after="0"/>
              <w:ind w:firstLine="0"/>
              <w:jc w:val="left"/>
            </w:pPr>
          </w:p>
          <w:p w:rsidR="00496D42" w:rsidRPr="004479ED" w:rsidRDefault="00496D42" w:rsidP="00C70775">
            <w:pPr>
              <w:pStyle w:val="naisf"/>
              <w:spacing w:before="0" w:after="0"/>
              <w:ind w:firstLine="0"/>
              <w:jc w:val="left"/>
              <w:rPr>
                <w:i/>
              </w:rPr>
            </w:pPr>
            <w:r w:rsidRPr="004479ED">
              <w:t xml:space="preserve">KOPĒJIE IZDEVUMI –  </w:t>
            </w:r>
            <w:r w:rsidR="00C70775" w:rsidRPr="004479ED">
              <w:t>201 787 52</w:t>
            </w:r>
            <w:r w:rsidR="00644109" w:rsidRPr="004479ED">
              <w:t>5</w:t>
            </w:r>
            <w:r w:rsidRPr="004479ED">
              <w:t xml:space="preserve"> </w:t>
            </w:r>
            <w:proofErr w:type="spellStart"/>
            <w:r w:rsidRPr="004479ED">
              <w:rPr>
                <w:i/>
              </w:rPr>
              <w:t>euro</w:t>
            </w:r>
            <w:proofErr w:type="spellEnd"/>
          </w:p>
          <w:p w:rsidR="00993257" w:rsidRPr="004479ED" w:rsidRDefault="00993257" w:rsidP="00C70775">
            <w:pPr>
              <w:pStyle w:val="naisf"/>
              <w:spacing w:before="0" w:after="0"/>
              <w:ind w:firstLine="0"/>
              <w:jc w:val="left"/>
              <w:rPr>
                <w:i/>
              </w:rPr>
            </w:pPr>
            <w:r w:rsidRPr="004479ED">
              <w:t xml:space="preserve">1. Vienotais platību </w:t>
            </w:r>
            <w:r w:rsidR="00CB3855" w:rsidRPr="004479ED">
              <w:t>maksājums</w:t>
            </w:r>
            <w:r w:rsidRPr="004479ED">
              <w:t xml:space="preserve"> </w:t>
            </w:r>
            <w:r w:rsidR="00C70775" w:rsidRPr="004479ED">
              <w:t>–</w:t>
            </w:r>
            <w:r w:rsidRPr="004479ED">
              <w:t xml:space="preserve"> </w:t>
            </w:r>
            <w:r w:rsidR="00644109" w:rsidRPr="004479ED">
              <w:t xml:space="preserve">158 728 000 </w:t>
            </w:r>
            <w:proofErr w:type="spellStart"/>
            <w:r w:rsidR="00644109" w:rsidRPr="004479ED">
              <w:rPr>
                <w:i/>
              </w:rPr>
              <w:t>eu</w:t>
            </w:r>
            <w:r w:rsidR="00C70775" w:rsidRPr="004479ED">
              <w:rPr>
                <w:i/>
              </w:rPr>
              <w:t>ro</w:t>
            </w:r>
            <w:proofErr w:type="spellEnd"/>
          </w:p>
          <w:p w:rsidR="00496D42" w:rsidRPr="004479ED" w:rsidRDefault="00993257" w:rsidP="00C70775">
            <w:pPr>
              <w:pStyle w:val="naisf"/>
              <w:spacing w:before="0" w:after="0"/>
              <w:ind w:firstLine="0"/>
              <w:jc w:val="left"/>
            </w:pPr>
            <w:r w:rsidRPr="004479ED">
              <w:t>2</w:t>
            </w:r>
            <w:r w:rsidR="00496D42" w:rsidRPr="004479ED">
              <w:t>. Īpaša</w:t>
            </w:r>
            <w:r w:rsidR="00053E8D" w:rsidRPr="004479ED">
              <w:t>is</w:t>
            </w:r>
            <w:r w:rsidR="00496D42" w:rsidRPr="004479ED">
              <w:t xml:space="preserve"> atbalst</w:t>
            </w:r>
            <w:r w:rsidR="00053E8D" w:rsidRPr="004479ED">
              <w:t>s</w:t>
            </w:r>
            <w:r w:rsidR="00496D42" w:rsidRPr="004479ED">
              <w:t xml:space="preserve"> par liellopiem </w:t>
            </w:r>
            <w:r w:rsidR="00CB3855" w:rsidRPr="004479ED">
              <w:t>–</w:t>
            </w:r>
            <w:r w:rsidR="00496D42" w:rsidRPr="004479ED">
              <w:t xml:space="preserve"> </w:t>
            </w:r>
            <w:r w:rsidR="00CB3855" w:rsidRPr="004479ED">
              <w:t xml:space="preserve">2 599 000 </w:t>
            </w:r>
            <w:proofErr w:type="spellStart"/>
            <w:r w:rsidR="00CB3855" w:rsidRPr="004479ED">
              <w:rPr>
                <w:i/>
              </w:rPr>
              <w:t>euro</w:t>
            </w:r>
            <w:proofErr w:type="spellEnd"/>
          </w:p>
          <w:p w:rsidR="00496D42" w:rsidRPr="004479ED" w:rsidRDefault="00993257" w:rsidP="00C70775">
            <w:pPr>
              <w:pStyle w:val="naisf"/>
              <w:spacing w:before="0" w:after="0"/>
              <w:ind w:firstLine="0"/>
              <w:jc w:val="left"/>
            </w:pPr>
            <w:r w:rsidRPr="004479ED">
              <w:t>3</w:t>
            </w:r>
            <w:r w:rsidR="00496D42" w:rsidRPr="004479ED">
              <w:t>. Īpašais atbalsts par pienu –</w:t>
            </w:r>
            <w:r w:rsidR="002502C9">
              <w:t xml:space="preserve"> </w:t>
            </w:r>
            <w:r w:rsidR="00CB3855" w:rsidRPr="004479ED">
              <w:t>6 976</w:t>
            </w:r>
            <w:r w:rsidR="00644109" w:rsidRPr="004479ED">
              <w:t> </w:t>
            </w:r>
            <w:r w:rsidR="00CB3855" w:rsidRPr="004479ED">
              <w:t>000</w:t>
            </w:r>
            <w:r w:rsidR="00644109" w:rsidRPr="004479ED">
              <w:t xml:space="preserve"> </w:t>
            </w:r>
            <w:proofErr w:type="spellStart"/>
            <w:r w:rsidR="00644109" w:rsidRPr="004479ED">
              <w:rPr>
                <w:i/>
              </w:rPr>
              <w:t>euro</w:t>
            </w:r>
            <w:proofErr w:type="spellEnd"/>
          </w:p>
          <w:p w:rsidR="00496D42" w:rsidRPr="004479ED" w:rsidRDefault="00993257" w:rsidP="00C70775">
            <w:pPr>
              <w:pStyle w:val="naisf"/>
              <w:spacing w:before="0" w:after="0"/>
              <w:ind w:firstLine="0"/>
              <w:jc w:val="left"/>
            </w:pPr>
            <w:r w:rsidRPr="004479ED">
              <w:t>4</w:t>
            </w:r>
            <w:r w:rsidR="00496D42" w:rsidRPr="004479ED">
              <w:t xml:space="preserve">. Īpašais atbalsts par lopbarības augu sēklām un sēklas kartupeļu kvalitātes uzlabošanai </w:t>
            </w:r>
            <w:r w:rsidR="00CB3855" w:rsidRPr="004479ED">
              <w:t>–</w:t>
            </w:r>
            <w:r w:rsidR="00496D42" w:rsidRPr="004479ED">
              <w:t xml:space="preserve"> </w:t>
            </w:r>
            <w:r w:rsidR="00CB3855" w:rsidRPr="004479ED">
              <w:t>383</w:t>
            </w:r>
            <w:r w:rsidR="004479ED" w:rsidRPr="004479ED">
              <w:t> </w:t>
            </w:r>
            <w:r w:rsidR="00CB3855" w:rsidRPr="004479ED">
              <w:t>000</w:t>
            </w:r>
            <w:r w:rsidR="004479ED" w:rsidRPr="004479ED">
              <w:t xml:space="preserve"> </w:t>
            </w:r>
            <w:proofErr w:type="spellStart"/>
            <w:r w:rsidR="004479ED" w:rsidRPr="004479ED">
              <w:rPr>
                <w:i/>
              </w:rPr>
              <w:t>euro</w:t>
            </w:r>
            <w:proofErr w:type="spellEnd"/>
          </w:p>
          <w:p w:rsidR="00CB3855" w:rsidRPr="004479ED" w:rsidRDefault="00CB3855" w:rsidP="00C70775">
            <w:pPr>
              <w:pStyle w:val="naisf"/>
              <w:spacing w:before="0" w:after="0"/>
              <w:ind w:firstLine="0"/>
              <w:jc w:val="left"/>
            </w:pPr>
            <w:r w:rsidRPr="004479ED">
              <w:t xml:space="preserve">5. Īpašais atbalsts cietes kartupeļu kvalitātes uzlabošanai – 200 000 </w:t>
            </w:r>
            <w:proofErr w:type="spellStart"/>
            <w:r w:rsidRPr="004479ED">
              <w:rPr>
                <w:i/>
              </w:rPr>
              <w:t>euro</w:t>
            </w:r>
            <w:proofErr w:type="spellEnd"/>
          </w:p>
          <w:p w:rsidR="007F70E3" w:rsidRPr="00456CB0" w:rsidRDefault="00CB3855" w:rsidP="00B23341">
            <w:pPr>
              <w:pStyle w:val="naisf"/>
              <w:spacing w:before="0" w:after="0"/>
              <w:ind w:firstLine="0"/>
              <w:jc w:val="left"/>
            </w:pPr>
            <w:r w:rsidRPr="004479ED">
              <w:t>6</w:t>
            </w:r>
            <w:r w:rsidR="00496D42" w:rsidRPr="004479ED">
              <w:t xml:space="preserve">. </w:t>
            </w:r>
            <w:r w:rsidR="00B23341" w:rsidRPr="004479ED">
              <w:t xml:space="preserve">Pārejas posma valsts atbalsts </w:t>
            </w:r>
            <w:r w:rsidR="004479ED" w:rsidRPr="004479ED">
              <w:t>–</w:t>
            </w:r>
            <w:r w:rsidR="00B23341" w:rsidRPr="004479ED">
              <w:t xml:space="preserve"> 32 901</w:t>
            </w:r>
            <w:r w:rsidR="004479ED" w:rsidRPr="004479ED">
              <w:t> </w:t>
            </w:r>
            <w:r w:rsidR="00B23341" w:rsidRPr="004479ED">
              <w:t>525</w:t>
            </w:r>
            <w:r w:rsidR="004479ED" w:rsidRPr="004479ED">
              <w:t xml:space="preserve"> </w:t>
            </w:r>
            <w:proofErr w:type="spellStart"/>
            <w:r w:rsidR="004479ED" w:rsidRPr="004479ED">
              <w:rPr>
                <w:i/>
              </w:rPr>
              <w:t>euro</w:t>
            </w:r>
            <w:proofErr w:type="spellEnd"/>
          </w:p>
        </w:tc>
      </w:tr>
      <w:tr w:rsidR="007F70E3" w:rsidRPr="00456CB0" w:rsidTr="0011611D">
        <w:tc>
          <w:tcPr>
            <w:tcW w:w="1062" w:type="pct"/>
          </w:tcPr>
          <w:p w:rsidR="007F70E3" w:rsidRPr="00456CB0" w:rsidRDefault="007F70E3" w:rsidP="00456CB0">
            <w:r w:rsidRPr="00456CB0">
              <w:t>6.1. detalizēts ieņēmumu aprēķins</w:t>
            </w:r>
          </w:p>
        </w:tc>
        <w:tc>
          <w:tcPr>
            <w:tcW w:w="3938" w:type="pct"/>
            <w:gridSpan w:val="5"/>
            <w:vMerge/>
          </w:tcPr>
          <w:p w:rsidR="007F70E3" w:rsidRPr="00456CB0" w:rsidRDefault="007F70E3" w:rsidP="00456CB0"/>
        </w:tc>
      </w:tr>
      <w:tr w:rsidR="007F70E3" w:rsidRPr="00456CB0" w:rsidTr="0011611D">
        <w:tc>
          <w:tcPr>
            <w:tcW w:w="1062" w:type="pct"/>
          </w:tcPr>
          <w:p w:rsidR="007F70E3" w:rsidRPr="00456CB0" w:rsidRDefault="007F70E3" w:rsidP="00456CB0">
            <w:r w:rsidRPr="00456CB0">
              <w:t>6.2. detalizēts izdevumu aprēķins</w:t>
            </w:r>
          </w:p>
        </w:tc>
        <w:tc>
          <w:tcPr>
            <w:tcW w:w="3938" w:type="pct"/>
            <w:gridSpan w:val="5"/>
            <w:vMerge/>
          </w:tcPr>
          <w:p w:rsidR="007F70E3" w:rsidRPr="00456CB0" w:rsidRDefault="007F70E3" w:rsidP="00456CB0"/>
        </w:tc>
      </w:tr>
      <w:tr w:rsidR="007F70E3" w:rsidRPr="00456CB0" w:rsidTr="0011611D">
        <w:trPr>
          <w:trHeight w:val="555"/>
        </w:trPr>
        <w:tc>
          <w:tcPr>
            <w:tcW w:w="1062" w:type="pct"/>
          </w:tcPr>
          <w:p w:rsidR="007F70E3" w:rsidRPr="00456CB0" w:rsidRDefault="007F70E3" w:rsidP="00456CB0">
            <w:r w:rsidRPr="00456CB0">
              <w:t>7. Cita informācija</w:t>
            </w:r>
          </w:p>
        </w:tc>
        <w:tc>
          <w:tcPr>
            <w:tcW w:w="3938" w:type="pct"/>
            <w:gridSpan w:val="5"/>
          </w:tcPr>
          <w:p w:rsidR="00B122CE" w:rsidRPr="004479ED" w:rsidRDefault="00B122CE" w:rsidP="00B122CE">
            <w:pPr>
              <w:jc w:val="both"/>
            </w:pPr>
            <w:r w:rsidRPr="004479ED">
              <w:t xml:space="preserve">Kopējais publiskais finansējums tiešo maksājumu shēmas ietvaros 2014.gadā ir </w:t>
            </w:r>
            <w:r w:rsidR="004479ED" w:rsidRPr="004479ED">
              <w:t xml:space="preserve">EUR </w:t>
            </w:r>
            <w:r w:rsidRPr="004479ED">
              <w:t xml:space="preserve">201 787 525, tai skaitā vienotais platību maksājums un ar ražošanu saistītais (īpašais atbalsts) </w:t>
            </w:r>
            <w:r w:rsidR="004479ED" w:rsidRPr="004479ED">
              <w:t xml:space="preserve">EUR </w:t>
            </w:r>
            <w:r w:rsidRPr="004479ED">
              <w:t xml:space="preserve">168 886 000, un pārejas posma valsts atbalsts </w:t>
            </w:r>
            <w:r w:rsidR="004479ED" w:rsidRPr="004479ED">
              <w:t xml:space="preserve">EUR </w:t>
            </w:r>
            <w:r w:rsidRPr="004479ED">
              <w:t>32 901 525.</w:t>
            </w:r>
          </w:p>
          <w:p w:rsidR="007F70E3" w:rsidRPr="00456CB0" w:rsidRDefault="00B122CE" w:rsidP="00B122CE">
            <w:pPr>
              <w:jc w:val="both"/>
            </w:pPr>
            <w:r w:rsidRPr="004479ED">
              <w:t xml:space="preserve">Tiešo maksājumu shēmas ietvaros atbalsts tiks izmaksāts no Zemkopības ministrijas budžeta apakšprogrammas 64.08.00. „Izdevumi Eiropas Lauksaimniecības garantiju fonda (ELGF) </w:t>
            </w:r>
            <w:r w:rsidRPr="004479ED">
              <w:lastRenderedPageBreak/>
              <w:t>projektu un pasākumu īstenošanai (2014</w:t>
            </w:r>
            <w:r w:rsidR="00E27D35">
              <w:t>–</w:t>
            </w:r>
            <w:r w:rsidRPr="004479ED">
              <w:t>2020</w:t>
            </w:r>
            <w:r w:rsidRPr="00635E66">
              <w:t>)” budžeta līdzekļiem.</w:t>
            </w:r>
          </w:p>
        </w:tc>
      </w:tr>
    </w:tbl>
    <w:p w:rsidR="009A368D" w:rsidRDefault="009A368D" w:rsidP="005D5A78"/>
    <w:p w:rsidR="007F70E3" w:rsidRPr="008429E7" w:rsidRDefault="007F70E3" w:rsidP="005D5A78">
      <w:r>
        <w:t xml:space="preserve">Anotācijas </w:t>
      </w:r>
      <w:r w:rsidR="00EB1E96">
        <w:t>I</w:t>
      </w:r>
      <w:r>
        <w:t xml:space="preserve">V sadaļa – </w:t>
      </w:r>
      <w:r w:rsidRPr="008429E7">
        <w:t> </w:t>
      </w:r>
      <w:r>
        <w:t>p</w:t>
      </w:r>
      <w:r w:rsidRPr="00456CB0">
        <w:rPr>
          <w:bCs/>
        </w:rPr>
        <w:t>rojekts šo jomu neskar</w:t>
      </w:r>
      <w:r w:rsidR="00EB1E96">
        <w:rPr>
          <w:bCs/>
        </w:rPr>
        <w:t>.</w:t>
      </w:r>
    </w:p>
    <w:p w:rsidR="007F70E3" w:rsidRPr="008429E7" w:rsidRDefault="007F70E3" w:rsidP="006B42E1">
      <w:pPr>
        <w:ind w:firstLine="301"/>
      </w:pPr>
      <w:r w:rsidRPr="008429E7">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2529"/>
        <w:gridCol w:w="5907"/>
      </w:tblGrid>
      <w:tr w:rsidR="007F70E3" w:rsidRPr="00456CB0" w:rsidTr="00456CB0">
        <w:tc>
          <w:tcPr>
            <w:tcW w:w="5000" w:type="pct"/>
            <w:gridSpan w:val="3"/>
          </w:tcPr>
          <w:p w:rsidR="007F70E3" w:rsidRPr="00456CB0" w:rsidRDefault="007F70E3" w:rsidP="00456CB0">
            <w:pPr>
              <w:spacing w:before="100" w:beforeAutospacing="1" w:after="100" w:afterAutospacing="1"/>
              <w:ind w:firstLine="301"/>
              <w:jc w:val="center"/>
              <w:rPr>
                <w:b/>
                <w:bCs/>
              </w:rPr>
            </w:pPr>
            <w:r w:rsidRPr="00456CB0">
              <w:rPr>
                <w:b/>
                <w:bCs/>
              </w:rPr>
              <w:t>V. Tiesību akta projekta atbilstība Latvijas Republikas starptautiskajām saistībām</w:t>
            </w:r>
          </w:p>
        </w:tc>
      </w:tr>
      <w:tr w:rsidR="007F70E3" w:rsidRPr="00456CB0" w:rsidTr="00456CB0">
        <w:tc>
          <w:tcPr>
            <w:tcW w:w="246" w:type="pct"/>
          </w:tcPr>
          <w:p w:rsidR="007F70E3" w:rsidRPr="00456CB0" w:rsidRDefault="007F70E3" w:rsidP="00456CB0">
            <w:r w:rsidRPr="00456CB0">
              <w:t>1.</w:t>
            </w:r>
          </w:p>
        </w:tc>
        <w:tc>
          <w:tcPr>
            <w:tcW w:w="1425" w:type="pct"/>
          </w:tcPr>
          <w:p w:rsidR="007F70E3" w:rsidRPr="00456CB0" w:rsidRDefault="007F70E3" w:rsidP="00456CB0">
            <w:r w:rsidRPr="00456CB0">
              <w:t>Saistības pret Eiropas Savienību</w:t>
            </w:r>
          </w:p>
        </w:tc>
        <w:tc>
          <w:tcPr>
            <w:tcW w:w="3329" w:type="pct"/>
          </w:tcPr>
          <w:p w:rsidR="007F70E3" w:rsidRPr="00456CB0" w:rsidRDefault="00EB1E96" w:rsidP="00456CB0">
            <w:pPr>
              <w:jc w:val="both"/>
              <w:rPr>
                <w:rFonts w:ascii="Calibri" w:hAnsi="Calibri"/>
                <w:sz w:val="28"/>
                <w:szCs w:val="28"/>
                <w:lang w:eastAsia="en-US"/>
              </w:rPr>
            </w:pPr>
            <w:r w:rsidRPr="009D5A5C">
              <w:t xml:space="preserve">Noteikumu projekts </w:t>
            </w:r>
            <w:r w:rsidR="007F70E3" w:rsidRPr="009D5A5C">
              <w:rPr>
                <w:lang w:eastAsia="en-US"/>
              </w:rPr>
              <w:t>sagatavot</w:t>
            </w:r>
            <w:r w:rsidRPr="009D5A5C">
              <w:rPr>
                <w:lang w:eastAsia="en-US"/>
              </w:rPr>
              <w:t>s,</w:t>
            </w:r>
            <w:r w:rsidR="007F70E3" w:rsidRPr="009D5A5C">
              <w:rPr>
                <w:lang w:eastAsia="en-US"/>
              </w:rPr>
              <w:t xml:space="preserve"> pamatojoties uz </w:t>
            </w:r>
            <w:r w:rsidR="009D5A5C" w:rsidRPr="009D5A5C">
              <w:rPr>
                <w:bCs/>
                <w:lang w:eastAsia="en-US"/>
              </w:rPr>
              <w:t>Regul</w:t>
            </w:r>
            <w:r w:rsidR="00E27D35">
              <w:rPr>
                <w:bCs/>
                <w:lang w:eastAsia="en-US"/>
              </w:rPr>
              <w:t>u</w:t>
            </w:r>
            <w:r w:rsidR="009D5A5C" w:rsidRPr="009D5A5C">
              <w:rPr>
                <w:bCs/>
                <w:lang w:eastAsia="en-US"/>
              </w:rPr>
              <w:t xml:space="preserve"> Nr.1310/2013</w:t>
            </w:r>
            <w:r w:rsidR="007F70E3" w:rsidRPr="009D5A5C">
              <w:rPr>
                <w:bCs/>
                <w:lang w:eastAsia="en-US"/>
              </w:rPr>
              <w:t>.</w:t>
            </w:r>
          </w:p>
        </w:tc>
      </w:tr>
      <w:tr w:rsidR="007F70E3" w:rsidRPr="00456CB0" w:rsidTr="00456CB0">
        <w:tc>
          <w:tcPr>
            <w:tcW w:w="246" w:type="pct"/>
          </w:tcPr>
          <w:p w:rsidR="007F70E3" w:rsidRPr="00456CB0" w:rsidRDefault="007F70E3" w:rsidP="00456CB0">
            <w:r w:rsidRPr="00456CB0">
              <w:t>2.</w:t>
            </w:r>
          </w:p>
        </w:tc>
        <w:tc>
          <w:tcPr>
            <w:tcW w:w="1425" w:type="pct"/>
          </w:tcPr>
          <w:p w:rsidR="007F70E3" w:rsidRPr="00456CB0" w:rsidRDefault="007F70E3" w:rsidP="00456CB0">
            <w:r w:rsidRPr="00456CB0">
              <w:t>Citas starptautiskās saistības</w:t>
            </w:r>
          </w:p>
        </w:tc>
        <w:tc>
          <w:tcPr>
            <w:tcW w:w="3329" w:type="pct"/>
          </w:tcPr>
          <w:p w:rsidR="007F70E3" w:rsidRPr="00456CB0" w:rsidRDefault="007F70E3" w:rsidP="00456CB0">
            <w:r w:rsidRPr="00456CB0">
              <w:t>Nav</w:t>
            </w:r>
            <w:r w:rsidR="00EB1E96">
              <w:t>.</w:t>
            </w:r>
          </w:p>
        </w:tc>
      </w:tr>
      <w:tr w:rsidR="007F70E3" w:rsidRPr="00456CB0" w:rsidTr="00456CB0">
        <w:tc>
          <w:tcPr>
            <w:tcW w:w="246" w:type="pct"/>
          </w:tcPr>
          <w:p w:rsidR="007F70E3" w:rsidRPr="00456CB0" w:rsidRDefault="007F70E3" w:rsidP="00456CB0">
            <w:r w:rsidRPr="00456CB0">
              <w:t>3.</w:t>
            </w:r>
          </w:p>
        </w:tc>
        <w:tc>
          <w:tcPr>
            <w:tcW w:w="1425" w:type="pct"/>
          </w:tcPr>
          <w:p w:rsidR="007F70E3" w:rsidRPr="00456CB0" w:rsidRDefault="007F70E3" w:rsidP="00456CB0">
            <w:r w:rsidRPr="00456CB0">
              <w:t>Cita informācija</w:t>
            </w:r>
          </w:p>
        </w:tc>
        <w:tc>
          <w:tcPr>
            <w:tcW w:w="3329" w:type="pct"/>
          </w:tcPr>
          <w:p w:rsidR="007F70E3" w:rsidRPr="00456CB0" w:rsidRDefault="007F70E3" w:rsidP="00456CB0">
            <w:pPr>
              <w:spacing w:before="100" w:beforeAutospacing="1" w:after="100" w:afterAutospacing="1" w:line="360" w:lineRule="auto"/>
            </w:pPr>
            <w:r w:rsidRPr="00456CB0">
              <w:t>Nav</w:t>
            </w:r>
            <w:r w:rsidR="00EB1E96">
              <w:t>.</w:t>
            </w:r>
          </w:p>
        </w:tc>
      </w:tr>
    </w:tbl>
    <w:p w:rsidR="007F70E3" w:rsidRPr="008429E7" w:rsidRDefault="007F70E3" w:rsidP="006B42E1">
      <w:pPr>
        <w:ind w:firstLine="300"/>
      </w:pPr>
      <w:r w:rsidRPr="008429E7">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268"/>
        <w:gridCol w:w="1682"/>
        <w:gridCol w:w="1214"/>
        <w:gridCol w:w="1214"/>
        <w:gridCol w:w="2498"/>
      </w:tblGrid>
      <w:tr w:rsidR="007F70E3" w:rsidRPr="00456CB0" w:rsidTr="00456CB0">
        <w:tc>
          <w:tcPr>
            <w:tcW w:w="5000" w:type="pct"/>
            <w:gridSpan w:val="6"/>
          </w:tcPr>
          <w:p w:rsidR="007F70E3" w:rsidRPr="00456CB0" w:rsidRDefault="007F70E3" w:rsidP="00456CB0">
            <w:pPr>
              <w:spacing w:before="100" w:beforeAutospacing="1" w:after="100" w:afterAutospacing="1" w:line="360" w:lineRule="auto"/>
              <w:ind w:firstLine="300"/>
              <w:jc w:val="center"/>
              <w:rPr>
                <w:b/>
                <w:bCs/>
              </w:rPr>
            </w:pPr>
            <w:r w:rsidRPr="00456CB0">
              <w:rPr>
                <w:b/>
                <w:bCs/>
              </w:rPr>
              <w:t>1.tabula</w:t>
            </w:r>
            <w:r w:rsidRPr="00456CB0">
              <w:rPr>
                <w:b/>
                <w:bCs/>
              </w:rPr>
              <w:br/>
              <w:t>Tiesību akta projekta atbilstība ES tiesību aktiem</w:t>
            </w:r>
          </w:p>
        </w:tc>
      </w:tr>
      <w:tr w:rsidR="007F70E3" w:rsidRPr="00456CB0" w:rsidTr="00456CB0">
        <w:tc>
          <w:tcPr>
            <w:tcW w:w="1125" w:type="pct"/>
          </w:tcPr>
          <w:p w:rsidR="007F70E3" w:rsidRPr="00456CB0" w:rsidRDefault="007F70E3" w:rsidP="00456CB0">
            <w:r w:rsidRPr="00456CB0">
              <w:t>Attiecīgā ES tiesību akta datums, numurs un nosaukums</w:t>
            </w:r>
          </w:p>
        </w:tc>
        <w:tc>
          <w:tcPr>
            <w:tcW w:w="3875" w:type="pct"/>
            <w:gridSpan w:val="5"/>
          </w:tcPr>
          <w:p w:rsidR="007F70E3" w:rsidRDefault="00EB1E96" w:rsidP="00456CB0">
            <w:pPr>
              <w:jc w:val="both"/>
              <w:rPr>
                <w:bCs/>
                <w:lang w:eastAsia="en-US"/>
              </w:rPr>
            </w:pPr>
            <w:r>
              <w:rPr>
                <w:bCs/>
                <w:lang w:eastAsia="en-US"/>
              </w:rPr>
              <w:t>Regula Nr.1310/2013</w:t>
            </w:r>
            <w:r w:rsidR="00E06B66">
              <w:rPr>
                <w:bCs/>
                <w:lang w:eastAsia="en-US"/>
              </w:rPr>
              <w:t>;</w:t>
            </w:r>
          </w:p>
          <w:p w:rsidR="00E06B66" w:rsidRDefault="00E06B66" w:rsidP="00E06B66">
            <w:pPr>
              <w:pStyle w:val="naiskr"/>
              <w:spacing w:before="0" w:after="0"/>
              <w:jc w:val="both"/>
            </w:pPr>
            <w:r w:rsidRPr="00060246">
              <w:t>Padomes 2009.gada 19.janvāra Regula (EK) Nr.</w:t>
            </w:r>
            <w:r w:rsidRPr="00DA7AF9">
              <w:t>73/2009,</w:t>
            </w:r>
            <w:r w:rsidRPr="00060246">
              <w:t xml:space="preserve"> ar ko paredz kopējus noteikumus tiešā atbalsta shēmām saskaņā ar kopējo lauksaimniecības politiku un izveido dažas atbalsta shēmas lauksaimniekiem, kā arī groza Regulas (EK) Nr.1290/2005, (EK) Nr.247/2006, (EK) Nr.378/2007 un atceļ Regulu (EK) Nr.1782/200</w:t>
            </w:r>
            <w:r>
              <w:t>3 (turpmāk – Regula Nr.73/2009);</w:t>
            </w:r>
          </w:p>
          <w:p w:rsidR="00E06B66" w:rsidRPr="00456CB0" w:rsidRDefault="00E06B66" w:rsidP="00E06B66">
            <w:pPr>
              <w:pStyle w:val="naiskr"/>
              <w:spacing w:before="0" w:after="0"/>
              <w:jc w:val="both"/>
            </w:pPr>
            <w:r>
              <w:t>Komisijas</w:t>
            </w:r>
            <w:r w:rsidRPr="00060246">
              <w:t xml:space="preserve"> 2009.gada </w:t>
            </w:r>
            <w:r>
              <w:t>30</w:t>
            </w:r>
            <w:r w:rsidRPr="00060246">
              <w:t>.</w:t>
            </w:r>
            <w:r>
              <w:t>novembra</w:t>
            </w:r>
            <w:r w:rsidRPr="00060246">
              <w:t xml:space="preserve"> Regula (EK) Nr.</w:t>
            </w:r>
            <w:r>
              <w:t>1122</w:t>
            </w:r>
            <w:r w:rsidRPr="00DA7AF9">
              <w:t>/2009,</w:t>
            </w:r>
            <w:r w:rsidRPr="00060246">
              <w:t xml:space="preserve"> </w:t>
            </w:r>
            <w:r w:rsidRPr="00E06B66">
              <w:t>r ko paredz sīki izstrādātus noteikumus, lai īstenotu Padomes Regulu (EK) Nr. 73/2009 attiecībā uz savstarpēju atbilstību, modulāciju un integrēto administrēšanas un kontroles sistēmu saskaņā ar minētajā regulā paredzētajām tiešā atbalsta shēmām lauksaimniekiem, kā arī, lai īstenotu Padomes Regulu (EK) Nr. 1234/2007 attiecībā uz savstarpēju atbilstību saskaņā ar vīna nozarē paredzēto atbalsta shēmu</w:t>
            </w:r>
            <w:r>
              <w:t xml:space="preserve"> (turpmāk – Regula Nr.1122/2009).</w:t>
            </w:r>
          </w:p>
        </w:tc>
      </w:tr>
      <w:tr w:rsidR="007F70E3" w:rsidRPr="00456CB0" w:rsidTr="00456CB0">
        <w:tc>
          <w:tcPr>
            <w:tcW w:w="1125" w:type="pct"/>
          </w:tcPr>
          <w:p w:rsidR="007F70E3" w:rsidRPr="00456CB0" w:rsidRDefault="007F70E3" w:rsidP="00456CB0">
            <w:pPr>
              <w:spacing w:before="100" w:beforeAutospacing="1" w:after="100" w:afterAutospacing="1" w:line="360" w:lineRule="auto"/>
              <w:ind w:firstLine="300"/>
              <w:jc w:val="center"/>
            </w:pPr>
            <w:r w:rsidRPr="00456CB0">
              <w:t>A</w:t>
            </w:r>
          </w:p>
        </w:tc>
        <w:tc>
          <w:tcPr>
            <w:tcW w:w="1099" w:type="pct"/>
            <w:gridSpan w:val="2"/>
          </w:tcPr>
          <w:p w:rsidR="007F70E3" w:rsidRPr="00456CB0" w:rsidRDefault="007F70E3" w:rsidP="00456CB0">
            <w:pPr>
              <w:spacing w:before="100" w:beforeAutospacing="1" w:after="100" w:afterAutospacing="1" w:line="360" w:lineRule="auto"/>
              <w:ind w:firstLine="300"/>
              <w:jc w:val="center"/>
            </w:pPr>
            <w:r w:rsidRPr="00456CB0">
              <w:t>B</w:t>
            </w:r>
          </w:p>
        </w:tc>
        <w:tc>
          <w:tcPr>
            <w:tcW w:w="1368" w:type="pct"/>
            <w:gridSpan w:val="2"/>
          </w:tcPr>
          <w:p w:rsidR="007F70E3" w:rsidRPr="00456CB0" w:rsidRDefault="007F70E3" w:rsidP="00456CB0">
            <w:pPr>
              <w:spacing w:before="100" w:beforeAutospacing="1" w:after="100" w:afterAutospacing="1" w:line="360" w:lineRule="auto"/>
              <w:ind w:firstLine="300"/>
              <w:jc w:val="center"/>
            </w:pPr>
            <w:r w:rsidRPr="00456CB0">
              <w:t>C</w:t>
            </w:r>
          </w:p>
        </w:tc>
        <w:tc>
          <w:tcPr>
            <w:tcW w:w="1408" w:type="pct"/>
          </w:tcPr>
          <w:p w:rsidR="007F70E3" w:rsidRPr="00456CB0" w:rsidRDefault="007F70E3" w:rsidP="00456CB0">
            <w:pPr>
              <w:spacing w:before="100" w:beforeAutospacing="1" w:after="100" w:afterAutospacing="1" w:line="360" w:lineRule="auto"/>
              <w:ind w:firstLine="300"/>
              <w:jc w:val="center"/>
            </w:pPr>
            <w:r w:rsidRPr="00456CB0">
              <w:t>D</w:t>
            </w:r>
          </w:p>
        </w:tc>
      </w:tr>
      <w:tr w:rsidR="00E06B66" w:rsidRPr="00456CB0" w:rsidTr="00456CB0">
        <w:tc>
          <w:tcPr>
            <w:tcW w:w="1125" w:type="pct"/>
          </w:tcPr>
          <w:p w:rsidR="00E06B66" w:rsidRPr="00456CB0" w:rsidRDefault="00E06B66" w:rsidP="00E06B66">
            <w:pPr>
              <w:jc w:val="both"/>
            </w:pPr>
            <w:r w:rsidRPr="00DA7AF9">
              <w:t>Regulas Nr.73/2009 28.panta 1.punkta ”</w:t>
            </w:r>
            <w:r>
              <w:t>a</w:t>
            </w:r>
            <w:r w:rsidRPr="00DA7AF9">
              <w:t xml:space="preserve">” apakšpunkts  </w:t>
            </w:r>
          </w:p>
        </w:tc>
        <w:tc>
          <w:tcPr>
            <w:tcW w:w="1099" w:type="pct"/>
            <w:gridSpan w:val="2"/>
          </w:tcPr>
          <w:p w:rsidR="00E06B66" w:rsidRPr="00456CB0" w:rsidRDefault="00E06B66" w:rsidP="00E06B66">
            <w:pPr>
              <w:spacing w:before="100" w:beforeAutospacing="1" w:after="100" w:afterAutospacing="1" w:line="360" w:lineRule="auto"/>
              <w:jc w:val="both"/>
            </w:pPr>
            <w:r>
              <w:rPr>
                <w:lang w:eastAsia="en-US"/>
              </w:rPr>
              <w:t>3</w:t>
            </w:r>
            <w:r w:rsidRPr="00D1242D">
              <w:rPr>
                <w:lang w:eastAsia="en-US"/>
              </w:rPr>
              <w:t>.punkts</w:t>
            </w:r>
          </w:p>
        </w:tc>
        <w:tc>
          <w:tcPr>
            <w:tcW w:w="1368" w:type="pct"/>
            <w:gridSpan w:val="2"/>
          </w:tcPr>
          <w:p w:rsidR="00E06B66" w:rsidRPr="00456CB0" w:rsidRDefault="00E06B66" w:rsidP="00C67251">
            <w:pPr>
              <w:jc w:val="both"/>
              <w:rPr>
                <w:color w:val="0070C0"/>
                <w:lang w:eastAsia="en-US"/>
              </w:rPr>
            </w:pPr>
            <w:r w:rsidRPr="00456CB0">
              <w:rPr>
                <w:lang w:eastAsia="en-US"/>
              </w:rPr>
              <w:t>Ieviests pilnībā</w:t>
            </w:r>
            <w:r>
              <w:rPr>
                <w:lang w:eastAsia="en-US"/>
              </w:rPr>
              <w:t>.</w:t>
            </w:r>
          </w:p>
        </w:tc>
        <w:tc>
          <w:tcPr>
            <w:tcW w:w="1408" w:type="pct"/>
          </w:tcPr>
          <w:p w:rsidR="00E06B66" w:rsidRPr="00456CB0" w:rsidRDefault="00E06B66" w:rsidP="00C67251">
            <w:pPr>
              <w:jc w:val="both"/>
              <w:rPr>
                <w:color w:val="0070C0"/>
                <w:lang w:eastAsia="en-US"/>
              </w:rPr>
            </w:pPr>
            <w:r w:rsidRPr="00456CB0">
              <w:rPr>
                <w:lang w:eastAsia="en-US"/>
              </w:rPr>
              <w:t>Neparedz stingrākas prasības kā ES tiesību normas.</w:t>
            </w:r>
          </w:p>
        </w:tc>
      </w:tr>
      <w:tr w:rsidR="00E06B66" w:rsidRPr="00456CB0" w:rsidTr="00456CB0">
        <w:tc>
          <w:tcPr>
            <w:tcW w:w="1125" w:type="pct"/>
          </w:tcPr>
          <w:p w:rsidR="00E06B66" w:rsidRPr="00AD51E4" w:rsidRDefault="00E06B66" w:rsidP="00E06B66">
            <w:pPr>
              <w:jc w:val="both"/>
            </w:pPr>
            <w:r w:rsidRPr="00AD51E4">
              <w:t>Regulas Nr.73/2009 6.pants</w:t>
            </w:r>
          </w:p>
        </w:tc>
        <w:tc>
          <w:tcPr>
            <w:tcW w:w="1099" w:type="pct"/>
            <w:gridSpan w:val="2"/>
          </w:tcPr>
          <w:p w:rsidR="00E06B66" w:rsidRPr="00AD51E4" w:rsidRDefault="00E06B66" w:rsidP="00E06B66">
            <w:pPr>
              <w:spacing w:before="100" w:beforeAutospacing="1" w:after="100" w:afterAutospacing="1" w:line="360" w:lineRule="auto"/>
              <w:jc w:val="both"/>
              <w:rPr>
                <w:lang w:eastAsia="en-US"/>
              </w:rPr>
            </w:pPr>
            <w:r w:rsidRPr="00AD51E4">
              <w:rPr>
                <w:lang w:eastAsia="en-US"/>
              </w:rPr>
              <w:t>5.punkts</w:t>
            </w:r>
          </w:p>
        </w:tc>
        <w:tc>
          <w:tcPr>
            <w:tcW w:w="1368" w:type="pct"/>
            <w:gridSpan w:val="2"/>
          </w:tcPr>
          <w:p w:rsidR="00E06B66" w:rsidRPr="00AD51E4" w:rsidRDefault="00E06B66" w:rsidP="00C67251">
            <w:pPr>
              <w:jc w:val="both"/>
              <w:rPr>
                <w:color w:val="0070C0"/>
                <w:lang w:eastAsia="en-US"/>
              </w:rPr>
            </w:pPr>
            <w:r w:rsidRPr="00AD51E4">
              <w:rPr>
                <w:lang w:eastAsia="en-US"/>
              </w:rPr>
              <w:t>Ieviests pilnībā.</w:t>
            </w:r>
          </w:p>
        </w:tc>
        <w:tc>
          <w:tcPr>
            <w:tcW w:w="1408" w:type="pct"/>
          </w:tcPr>
          <w:p w:rsidR="00E06B66" w:rsidRPr="00AD51E4" w:rsidRDefault="00E06B66" w:rsidP="00C67251">
            <w:pPr>
              <w:jc w:val="both"/>
              <w:rPr>
                <w:color w:val="0070C0"/>
                <w:lang w:eastAsia="en-US"/>
              </w:rPr>
            </w:pPr>
            <w:r w:rsidRPr="00AD51E4">
              <w:rPr>
                <w:lang w:eastAsia="en-US"/>
              </w:rPr>
              <w:t>Neparedz stingrākas prasības kā ES tiesību normas.</w:t>
            </w:r>
          </w:p>
        </w:tc>
      </w:tr>
      <w:tr w:rsidR="00E06B66" w:rsidRPr="00456CB0" w:rsidTr="00456CB0">
        <w:tc>
          <w:tcPr>
            <w:tcW w:w="1125" w:type="pct"/>
          </w:tcPr>
          <w:p w:rsidR="00E06B66" w:rsidRPr="00456CB0" w:rsidRDefault="00E06B66" w:rsidP="00C67251">
            <w:pPr>
              <w:jc w:val="both"/>
              <w:rPr>
                <w:color w:val="0070C0"/>
              </w:rPr>
            </w:pPr>
            <w:r w:rsidRPr="00D1242D">
              <w:t>Regulas 1310/2013 6.panta 20.punkts</w:t>
            </w:r>
          </w:p>
        </w:tc>
        <w:tc>
          <w:tcPr>
            <w:tcW w:w="1099" w:type="pct"/>
            <w:gridSpan w:val="2"/>
          </w:tcPr>
          <w:p w:rsidR="00E06B66" w:rsidRPr="00456CB0" w:rsidRDefault="00D131D8" w:rsidP="00C67251">
            <w:pPr>
              <w:rPr>
                <w:color w:val="0070C0"/>
                <w:lang w:eastAsia="en-US"/>
              </w:rPr>
            </w:pPr>
            <w:r>
              <w:rPr>
                <w:lang w:eastAsia="en-US"/>
              </w:rPr>
              <w:t>6</w:t>
            </w:r>
            <w:r w:rsidR="00E06B66" w:rsidRPr="00284694">
              <w:rPr>
                <w:lang w:eastAsia="en-US"/>
              </w:rPr>
              <w:t>.punkts</w:t>
            </w:r>
          </w:p>
        </w:tc>
        <w:tc>
          <w:tcPr>
            <w:tcW w:w="1368" w:type="pct"/>
            <w:gridSpan w:val="2"/>
          </w:tcPr>
          <w:p w:rsidR="00E06B66" w:rsidRPr="00456CB0" w:rsidRDefault="00E06B66" w:rsidP="00C67251">
            <w:pPr>
              <w:jc w:val="both"/>
              <w:rPr>
                <w:color w:val="0070C0"/>
                <w:lang w:eastAsia="en-US"/>
              </w:rPr>
            </w:pPr>
            <w:r w:rsidRPr="00456CB0">
              <w:rPr>
                <w:lang w:eastAsia="en-US"/>
              </w:rPr>
              <w:t>Ieviests pilnībā</w:t>
            </w:r>
            <w:r>
              <w:rPr>
                <w:lang w:eastAsia="en-US"/>
              </w:rPr>
              <w:t>.</w:t>
            </w:r>
          </w:p>
        </w:tc>
        <w:tc>
          <w:tcPr>
            <w:tcW w:w="1408" w:type="pct"/>
          </w:tcPr>
          <w:p w:rsidR="00E06B66" w:rsidRPr="00456CB0" w:rsidRDefault="00E06B66" w:rsidP="00C67251">
            <w:pPr>
              <w:jc w:val="both"/>
              <w:rPr>
                <w:color w:val="0070C0"/>
                <w:lang w:eastAsia="en-US"/>
              </w:rPr>
            </w:pPr>
            <w:r w:rsidRPr="00456CB0">
              <w:rPr>
                <w:lang w:eastAsia="en-US"/>
              </w:rPr>
              <w:t>Neparedz stingrākas prasības kā ES tiesību normas.</w:t>
            </w:r>
          </w:p>
        </w:tc>
      </w:tr>
      <w:tr w:rsidR="00E06B66" w:rsidRPr="00456CB0" w:rsidTr="00456CB0">
        <w:tc>
          <w:tcPr>
            <w:tcW w:w="1125" w:type="pct"/>
          </w:tcPr>
          <w:p w:rsidR="00E06B66" w:rsidRPr="00456CB0" w:rsidRDefault="00E06B66" w:rsidP="00456CB0">
            <w:pPr>
              <w:jc w:val="both"/>
            </w:pPr>
            <w:r w:rsidRPr="00456CB0">
              <w:t>Regulas 1310/2013 6.panta 10.punkts</w:t>
            </w:r>
          </w:p>
        </w:tc>
        <w:tc>
          <w:tcPr>
            <w:tcW w:w="1099" w:type="pct"/>
            <w:gridSpan w:val="2"/>
          </w:tcPr>
          <w:p w:rsidR="00E06B66" w:rsidRPr="00456CB0" w:rsidRDefault="00D131D8" w:rsidP="00456CB0">
            <w:pPr>
              <w:jc w:val="both"/>
            </w:pPr>
            <w:r>
              <w:t>7</w:t>
            </w:r>
            <w:r w:rsidR="00E06B66" w:rsidRPr="00456CB0">
              <w:t>.punkts</w:t>
            </w:r>
          </w:p>
        </w:tc>
        <w:tc>
          <w:tcPr>
            <w:tcW w:w="1368" w:type="pct"/>
            <w:gridSpan w:val="2"/>
          </w:tcPr>
          <w:p w:rsidR="00E06B66" w:rsidRPr="00456CB0" w:rsidRDefault="00E06B66" w:rsidP="00456CB0">
            <w:pPr>
              <w:jc w:val="both"/>
              <w:rPr>
                <w:lang w:eastAsia="en-US"/>
              </w:rPr>
            </w:pPr>
            <w:r w:rsidRPr="00456CB0">
              <w:rPr>
                <w:lang w:eastAsia="en-US"/>
              </w:rPr>
              <w:t>Ieviests pilnībā</w:t>
            </w:r>
            <w:r>
              <w:rPr>
                <w:lang w:eastAsia="en-US"/>
              </w:rPr>
              <w:t>.</w:t>
            </w:r>
          </w:p>
        </w:tc>
        <w:tc>
          <w:tcPr>
            <w:tcW w:w="1408" w:type="pct"/>
          </w:tcPr>
          <w:p w:rsidR="00E06B66" w:rsidRPr="00456CB0" w:rsidRDefault="00E06B66" w:rsidP="00456CB0">
            <w:pPr>
              <w:jc w:val="both"/>
              <w:rPr>
                <w:lang w:eastAsia="en-US"/>
              </w:rPr>
            </w:pPr>
            <w:r w:rsidRPr="00456CB0">
              <w:rPr>
                <w:lang w:eastAsia="en-US"/>
              </w:rPr>
              <w:t>Neparedz stingrākas prasības kā ES tiesību normas.</w:t>
            </w:r>
          </w:p>
        </w:tc>
      </w:tr>
      <w:tr w:rsidR="00B006C8" w:rsidRPr="00456CB0" w:rsidTr="00456CB0">
        <w:tc>
          <w:tcPr>
            <w:tcW w:w="1125" w:type="pct"/>
          </w:tcPr>
          <w:p w:rsidR="00B006C8" w:rsidRPr="00456CB0" w:rsidRDefault="00B006C8" w:rsidP="00B006C8">
            <w:pPr>
              <w:jc w:val="both"/>
            </w:pPr>
            <w:r w:rsidRPr="00DA7AF9">
              <w:t xml:space="preserve">Regulas Nr.1122/2009 </w:t>
            </w:r>
            <w:r>
              <w:t>28</w:t>
            </w:r>
            <w:r w:rsidRPr="00DA7AF9">
              <w:t>.pant</w:t>
            </w:r>
            <w:r>
              <w:t>a 3.punkts</w:t>
            </w:r>
          </w:p>
        </w:tc>
        <w:tc>
          <w:tcPr>
            <w:tcW w:w="1099" w:type="pct"/>
            <w:gridSpan w:val="2"/>
          </w:tcPr>
          <w:p w:rsidR="00B006C8" w:rsidRDefault="00D131D8" w:rsidP="00456CB0">
            <w:pPr>
              <w:jc w:val="both"/>
            </w:pPr>
            <w:r>
              <w:t>8</w:t>
            </w:r>
            <w:r w:rsidR="00B006C8" w:rsidRPr="00456CB0">
              <w:t>.punkts</w:t>
            </w:r>
          </w:p>
        </w:tc>
        <w:tc>
          <w:tcPr>
            <w:tcW w:w="1368" w:type="pct"/>
            <w:gridSpan w:val="2"/>
          </w:tcPr>
          <w:p w:rsidR="00B006C8" w:rsidRPr="00456CB0" w:rsidRDefault="00B006C8" w:rsidP="00C67251">
            <w:pPr>
              <w:jc w:val="both"/>
              <w:rPr>
                <w:lang w:eastAsia="en-US"/>
              </w:rPr>
            </w:pPr>
            <w:r w:rsidRPr="00456CB0">
              <w:rPr>
                <w:lang w:eastAsia="en-US"/>
              </w:rPr>
              <w:t>Ieviests pilnībā</w:t>
            </w:r>
            <w:r>
              <w:rPr>
                <w:lang w:eastAsia="en-US"/>
              </w:rPr>
              <w:t>.</w:t>
            </w:r>
          </w:p>
        </w:tc>
        <w:tc>
          <w:tcPr>
            <w:tcW w:w="1408" w:type="pct"/>
          </w:tcPr>
          <w:p w:rsidR="00B006C8" w:rsidRPr="00456CB0" w:rsidRDefault="00B006C8" w:rsidP="00C67251">
            <w:pPr>
              <w:jc w:val="both"/>
              <w:rPr>
                <w:lang w:eastAsia="en-US"/>
              </w:rPr>
            </w:pPr>
            <w:r w:rsidRPr="00456CB0">
              <w:rPr>
                <w:lang w:eastAsia="en-US"/>
              </w:rPr>
              <w:t>Neparedz stingrākas prasības kā ES tiesību normas.</w:t>
            </w:r>
          </w:p>
        </w:tc>
      </w:tr>
      <w:tr w:rsidR="00E06B66" w:rsidRPr="00456CB0" w:rsidTr="00456CB0">
        <w:tc>
          <w:tcPr>
            <w:tcW w:w="1125" w:type="pct"/>
          </w:tcPr>
          <w:p w:rsidR="00E06B66" w:rsidRPr="00456CB0" w:rsidRDefault="00E06B66" w:rsidP="00456CB0">
            <w:pPr>
              <w:jc w:val="both"/>
            </w:pPr>
            <w:r w:rsidRPr="00456CB0">
              <w:t xml:space="preserve">Regulas 1310/2013 </w:t>
            </w:r>
            <w:r w:rsidRPr="00456CB0">
              <w:lastRenderedPageBreak/>
              <w:t>6.panta 6.punkts</w:t>
            </w:r>
          </w:p>
          <w:p w:rsidR="00E06B66" w:rsidRPr="00456CB0" w:rsidRDefault="00E06B66" w:rsidP="00456CB0">
            <w:pPr>
              <w:jc w:val="both"/>
            </w:pPr>
          </w:p>
        </w:tc>
        <w:tc>
          <w:tcPr>
            <w:tcW w:w="1099" w:type="pct"/>
            <w:gridSpan w:val="2"/>
          </w:tcPr>
          <w:p w:rsidR="00E06B66" w:rsidRPr="00456CB0" w:rsidRDefault="00D131D8" w:rsidP="00D131D8">
            <w:pPr>
              <w:rPr>
                <w:lang w:eastAsia="en-US"/>
              </w:rPr>
            </w:pPr>
            <w:r>
              <w:rPr>
                <w:lang w:eastAsia="en-US"/>
              </w:rPr>
              <w:lastRenderedPageBreak/>
              <w:t>9., 10., 11., 12.punkts</w:t>
            </w:r>
          </w:p>
        </w:tc>
        <w:tc>
          <w:tcPr>
            <w:tcW w:w="1368" w:type="pct"/>
            <w:gridSpan w:val="2"/>
          </w:tcPr>
          <w:p w:rsidR="00E06B66" w:rsidRPr="00456CB0" w:rsidRDefault="00E06B66" w:rsidP="00456CB0">
            <w:pPr>
              <w:jc w:val="both"/>
              <w:rPr>
                <w:lang w:eastAsia="en-US"/>
              </w:rPr>
            </w:pPr>
            <w:r w:rsidRPr="00456CB0">
              <w:rPr>
                <w:lang w:eastAsia="en-US"/>
              </w:rPr>
              <w:t>Ieviests pilnībā</w:t>
            </w:r>
            <w:r>
              <w:rPr>
                <w:lang w:eastAsia="en-US"/>
              </w:rPr>
              <w:t>.</w:t>
            </w:r>
          </w:p>
        </w:tc>
        <w:tc>
          <w:tcPr>
            <w:tcW w:w="1408" w:type="pct"/>
          </w:tcPr>
          <w:p w:rsidR="00E06B66" w:rsidRPr="00456CB0" w:rsidRDefault="00E06B66" w:rsidP="00456CB0">
            <w:pPr>
              <w:jc w:val="both"/>
              <w:rPr>
                <w:lang w:eastAsia="en-US"/>
              </w:rPr>
            </w:pPr>
            <w:r w:rsidRPr="00456CB0">
              <w:rPr>
                <w:lang w:eastAsia="en-US"/>
              </w:rPr>
              <w:t xml:space="preserve">Neparedz stingrākas prasības kā ES tiesību </w:t>
            </w:r>
            <w:r w:rsidRPr="00456CB0">
              <w:rPr>
                <w:lang w:eastAsia="en-US"/>
              </w:rPr>
              <w:lastRenderedPageBreak/>
              <w:t>normas.</w:t>
            </w:r>
          </w:p>
        </w:tc>
      </w:tr>
      <w:tr w:rsidR="00B006C8" w:rsidRPr="00456CB0" w:rsidTr="00456CB0">
        <w:tc>
          <w:tcPr>
            <w:tcW w:w="1125" w:type="pct"/>
          </w:tcPr>
          <w:p w:rsidR="00B006C8" w:rsidRPr="00456CB0" w:rsidRDefault="00B006C8" w:rsidP="00B006C8">
            <w:pPr>
              <w:jc w:val="both"/>
            </w:pPr>
            <w:r w:rsidRPr="00DA7AF9">
              <w:lastRenderedPageBreak/>
              <w:t xml:space="preserve">Regulas Nr.1122/2009 </w:t>
            </w:r>
            <w:r>
              <w:t>65</w:t>
            </w:r>
            <w:r w:rsidRPr="00DA7AF9">
              <w:t>.pants</w:t>
            </w:r>
          </w:p>
        </w:tc>
        <w:tc>
          <w:tcPr>
            <w:tcW w:w="1099" w:type="pct"/>
            <w:gridSpan w:val="2"/>
          </w:tcPr>
          <w:p w:rsidR="00B006C8" w:rsidRDefault="00D131D8" w:rsidP="00D1242D">
            <w:r>
              <w:t>9</w:t>
            </w:r>
            <w:r w:rsidR="00B006C8" w:rsidRPr="00456CB0">
              <w:t>.punkts</w:t>
            </w:r>
            <w:r w:rsidR="00B006C8" w:rsidRPr="00B006C8">
              <w:t xml:space="preserve"> </w:t>
            </w:r>
          </w:p>
          <w:p w:rsidR="00B006C8" w:rsidRDefault="00B006C8" w:rsidP="00B006C8">
            <w:pPr>
              <w:rPr>
                <w:lang w:eastAsia="en-US"/>
              </w:rPr>
            </w:pPr>
            <w:r>
              <w:t>(</w:t>
            </w:r>
            <w:r w:rsidRPr="00B006C8">
              <w:t>42.</w:t>
            </w:r>
            <w:r w:rsidRPr="00B006C8">
              <w:rPr>
                <w:vertAlign w:val="superscript"/>
              </w:rPr>
              <w:t>4</w:t>
            </w:r>
            <w:r w:rsidR="00974A85">
              <w:rPr>
                <w:vertAlign w:val="superscript"/>
              </w:rPr>
              <w:t xml:space="preserve"> </w:t>
            </w:r>
            <w:r w:rsidR="00974A85" w:rsidRPr="00456CB0">
              <w:t>punkts</w:t>
            </w:r>
            <w:r>
              <w:rPr>
                <w:vertAlign w:val="superscript"/>
              </w:rPr>
              <w:t xml:space="preserve"> </w:t>
            </w:r>
            <w:r>
              <w:rPr>
                <w:lang w:eastAsia="en-US"/>
              </w:rPr>
              <w:t>)</w:t>
            </w:r>
          </w:p>
        </w:tc>
        <w:tc>
          <w:tcPr>
            <w:tcW w:w="1368" w:type="pct"/>
            <w:gridSpan w:val="2"/>
          </w:tcPr>
          <w:p w:rsidR="00B006C8" w:rsidRPr="00456CB0" w:rsidRDefault="00B006C8" w:rsidP="00C67251">
            <w:pPr>
              <w:jc w:val="both"/>
              <w:rPr>
                <w:lang w:eastAsia="en-US"/>
              </w:rPr>
            </w:pPr>
            <w:r w:rsidRPr="00456CB0">
              <w:rPr>
                <w:lang w:eastAsia="en-US"/>
              </w:rPr>
              <w:t>Ieviests pilnībā</w:t>
            </w:r>
            <w:r>
              <w:rPr>
                <w:lang w:eastAsia="en-US"/>
              </w:rPr>
              <w:t>.</w:t>
            </w:r>
          </w:p>
        </w:tc>
        <w:tc>
          <w:tcPr>
            <w:tcW w:w="1408" w:type="pct"/>
          </w:tcPr>
          <w:p w:rsidR="00B006C8" w:rsidRPr="00456CB0" w:rsidRDefault="00B006C8" w:rsidP="00C67251">
            <w:pPr>
              <w:jc w:val="both"/>
              <w:rPr>
                <w:lang w:eastAsia="en-US"/>
              </w:rPr>
            </w:pPr>
            <w:r w:rsidRPr="00456CB0">
              <w:rPr>
                <w:lang w:eastAsia="en-US"/>
              </w:rPr>
              <w:t>Neparedz stingrākas prasības kā ES tiesību normas.</w:t>
            </w:r>
          </w:p>
        </w:tc>
      </w:tr>
      <w:tr w:rsidR="00E06B66" w:rsidRPr="00456CB0" w:rsidTr="00456CB0">
        <w:tc>
          <w:tcPr>
            <w:tcW w:w="1125" w:type="pct"/>
          </w:tcPr>
          <w:p w:rsidR="00E06B66" w:rsidRPr="00456CB0" w:rsidRDefault="00E06B66" w:rsidP="00456CB0">
            <w:pPr>
              <w:jc w:val="both"/>
            </w:pPr>
            <w:r w:rsidRPr="00456CB0">
              <w:t>Regulas 1310/2013 6.panta 14.punkts</w:t>
            </w:r>
          </w:p>
        </w:tc>
        <w:tc>
          <w:tcPr>
            <w:tcW w:w="1099" w:type="pct"/>
            <w:gridSpan w:val="2"/>
          </w:tcPr>
          <w:p w:rsidR="00E06B66" w:rsidRDefault="00D131D8" w:rsidP="00D1242D">
            <w:pPr>
              <w:rPr>
                <w:lang w:eastAsia="en-US"/>
              </w:rPr>
            </w:pPr>
            <w:r>
              <w:rPr>
                <w:lang w:eastAsia="en-US"/>
              </w:rPr>
              <w:t>13</w:t>
            </w:r>
            <w:r w:rsidR="00E06B66">
              <w:rPr>
                <w:lang w:eastAsia="en-US"/>
              </w:rPr>
              <w:t>.punkts</w:t>
            </w:r>
          </w:p>
        </w:tc>
        <w:tc>
          <w:tcPr>
            <w:tcW w:w="1368" w:type="pct"/>
            <w:gridSpan w:val="2"/>
          </w:tcPr>
          <w:p w:rsidR="00E06B66" w:rsidRPr="00456CB0" w:rsidRDefault="00E06B66" w:rsidP="00C67251">
            <w:pPr>
              <w:jc w:val="both"/>
              <w:rPr>
                <w:lang w:eastAsia="en-US"/>
              </w:rPr>
            </w:pPr>
            <w:r w:rsidRPr="00456CB0">
              <w:rPr>
                <w:lang w:eastAsia="en-US"/>
              </w:rPr>
              <w:t>Ieviests pilnībā</w:t>
            </w:r>
            <w:r>
              <w:rPr>
                <w:lang w:eastAsia="en-US"/>
              </w:rPr>
              <w:t>.</w:t>
            </w:r>
          </w:p>
        </w:tc>
        <w:tc>
          <w:tcPr>
            <w:tcW w:w="1408" w:type="pct"/>
          </w:tcPr>
          <w:p w:rsidR="00E06B66" w:rsidRPr="00456CB0" w:rsidRDefault="00E06B66" w:rsidP="00C67251">
            <w:pPr>
              <w:jc w:val="both"/>
              <w:rPr>
                <w:lang w:eastAsia="en-US"/>
              </w:rPr>
            </w:pPr>
            <w:r w:rsidRPr="00456CB0">
              <w:rPr>
                <w:lang w:eastAsia="en-US"/>
              </w:rPr>
              <w:t>Neparedz stingrākas prasības kā ES tiesību normas.</w:t>
            </w:r>
          </w:p>
        </w:tc>
      </w:tr>
      <w:tr w:rsidR="00E06B66" w:rsidRPr="00456CB0" w:rsidTr="00456CB0">
        <w:tc>
          <w:tcPr>
            <w:tcW w:w="1125" w:type="pct"/>
          </w:tcPr>
          <w:p w:rsidR="00E06B66" w:rsidRPr="00456CB0" w:rsidRDefault="00E06B66" w:rsidP="00456CB0">
            <w:pPr>
              <w:jc w:val="both"/>
            </w:pPr>
            <w:r w:rsidRPr="00DA7AF9">
              <w:t>Regulas Nr.1122/2009 51.pants</w:t>
            </w:r>
          </w:p>
        </w:tc>
        <w:tc>
          <w:tcPr>
            <w:tcW w:w="1099" w:type="pct"/>
            <w:gridSpan w:val="2"/>
          </w:tcPr>
          <w:p w:rsidR="00E06B66" w:rsidRDefault="00D131D8" w:rsidP="00E06B66">
            <w:pPr>
              <w:rPr>
                <w:lang w:eastAsia="en-US"/>
              </w:rPr>
            </w:pPr>
            <w:r>
              <w:rPr>
                <w:lang w:eastAsia="en-US"/>
              </w:rPr>
              <w:t>16</w:t>
            </w:r>
            <w:r w:rsidR="00E06B66">
              <w:rPr>
                <w:lang w:eastAsia="en-US"/>
              </w:rPr>
              <w:t>.punkts</w:t>
            </w:r>
          </w:p>
        </w:tc>
        <w:tc>
          <w:tcPr>
            <w:tcW w:w="1368" w:type="pct"/>
            <w:gridSpan w:val="2"/>
          </w:tcPr>
          <w:p w:rsidR="00E06B66" w:rsidRPr="00456CB0" w:rsidRDefault="00E06B66" w:rsidP="00C67251">
            <w:pPr>
              <w:jc w:val="both"/>
              <w:rPr>
                <w:lang w:eastAsia="en-US"/>
              </w:rPr>
            </w:pPr>
            <w:r w:rsidRPr="00456CB0">
              <w:rPr>
                <w:lang w:eastAsia="en-US"/>
              </w:rPr>
              <w:t>Ieviests pilnībā</w:t>
            </w:r>
            <w:r>
              <w:rPr>
                <w:lang w:eastAsia="en-US"/>
              </w:rPr>
              <w:t>.</w:t>
            </w:r>
          </w:p>
        </w:tc>
        <w:tc>
          <w:tcPr>
            <w:tcW w:w="1408" w:type="pct"/>
          </w:tcPr>
          <w:p w:rsidR="00E06B66" w:rsidRPr="00456CB0" w:rsidRDefault="00E06B66" w:rsidP="00C67251">
            <w:pPr>
              <w:jc w:val="both"/>
              <w:rPr>
                <w:lang w:eastAsia="en-US"/>
              </w:rPr>
            </w:pPr>
            <w:r w:rsidRPr="00456CB0">
              <w:rPr>
                <w:lang w:eastAsia="en-US"/>
              </w:rPr>
              <w:t>Neparedz stingrākas prasības kā ES tiesību normas.</w:t>
            </w:r>
          </w:p>
        </w:tc>
      </w:tr>
      <w:tr w:rsidR="00E06B66" w:rsidRPr="00456CB0" w:rsidTr="00456CB0">
        <w:tc>
          <w:tcPr>
            <w:tcW w:w="1125" w:type="pct"/>
          </w:tcPr>
          <w:p w:rsidR="00E06B66" w:rsidRPr="00456CB0" w:rsidRDefault="00E06B66" w:rsidP="00456CB0">
            <w:r w:rsidRPr="00456CB0">
              <w:t>Kā ir izmantota ES tiesību aktā paredzētā rīcības brīvība dalībvalstij pārņemt vai ieviest noteiktas ES tiesību akta normas?</w:t>
            </w:r>
            <w:r w:rsidRPr="00456CB0">
              <w:br/>
              <w:t>Kādēļ?</w:t>
            </w:r>
          </w:p>
        </w:tc>
        <w:tc>
          <w:tcPr>
            <w:tcW w:w="3875" w:type="pct"/>
            <w:gridSpan w:val="5"/>
          </w:tcPr>
          <w:p w:rsidR="00E06B66" w:rsidRPr="00456CB0" w:rsidRDefault="00E06B66" w:rsidP="00E06B66">
            <w:pPr>
              <w:jc w:val="both"/>
            </w:pPr>
            <w:r>
              <w:t xml:space="preserve">Ar </w:t>
            </w:r>
            <w:r w:rsidRPr="00456CB0">
              <w:t>Regulas Nr. 1310/2013 6.pant</w:t>
            </w:r>
            <w:r>
              <w:t>u</w:t>
            </w:r>
            <w:r w:rsidRPr="00456CB0">
              <w:t xml:space="preserve"> groz</w:t>
            </w:r>
            <w:r>
              <w:t>īts</w:t>
            </w:r>
            <w:r w:rsidRPr="00456CB0">
              <w:t xml:space="preserve"> Regulas Nr. </w:t>
            </w:r>
            <w:r w:rsidRPr="00D1242D">
              <w:t xml:space="preserve">73/2009 </w:t>
            </w:r>
            <w:r w:rsidRPr="00456CB0">
              <w:t xml:space="preserve"> 69.pant</w:t>
            </w:r>
            <w:r>
              <w:t>s</w:t>
            </w:r>
            <w:r w:rsidRPr="00456CB0">
              <w:t xml:space="preserve"> par īpašo atbalstu</w:t>
            </w:r>
            <w:r>
              <w:t>,</w:t>
            </w:r>
            <w:r w:rsidRPr="00456CB0">
              <w:t xml:space="preserve"> nosak</w:t>
            </w:r>
            <w:r>
              <w:t>ot</w:t>
            </w:r>
            <w:r w:rsidRPr="00456CB0">
              <w:t>, ka dalībvalstīm ir iespēja īpašajam atbalstam izmantot</w:t>
            </w:r>
            <w:r>
              <w:t xml:space="preserve"> līdz</w:t>
            </w:r>
            <w:r w:rsidRPr="00456CB0">
              <w:t xml:space="preserve"> 6,5% no valstij noteikt</w:t>
            </w:r>
            <w:r>
              <w:t>ā</w:t>
            </w:r>
            <w:r w:rsidRPr="00456CB0">
              <w:t xml:space="preserve"> maksimāl</w:t>
            </w:r>
            <w:r>
              <w:t>ā</w:t>
            </w:r>
            <w:r w:rsidRPr="00456CB0">
              <w:t xml:space="preserve"> daudzum</w:t>
            </w:r>
            <w:r>
              <w:t>a</w:t>
            </w:r>
            <w:r w:rsidRPr="00456CB0">
              <w:t>. Tādēļ, ņemot vērā nozares vajadzības un iespējamo maksimālo apjomu, tiek palielināts finansējums īpašajam atbalstam par pienu un īpašajam atbalstam lopbarības augu sēklu un sēklas kartupeļu kvalitātes uzlabošanai</w:t>
            </w:r>
            <w:r>
              <w:t>,</w:t>
            </w:r>
            <w:r w:rsidRPr="00456CB0">
              <w:t xml:space="preserve"> kā arī izveidots jauns īpašais atbalsts par liellopiem.</w:t>
            </w:r>
          </w:p>
        </w:tc>
      </w:tr>
      <w:tr w:rsidR="00E06B66" w:rsidRPr="00456CB0" w:rsidTr="00456CB0">
        <w:tc>
          <w:tcPr>
            <w:tcW w:w="1125" w:type="pct"/>
          </w:tcPr>
          <w:p w:rsidR="00E06B66" w:rsidRPr="00456CB0" w:rsidRDefault="00E06B66" w:rsidP="00456CB0">
            <w:r w:rsidRPr="00456CB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5" w:type="pct"/>
            <w:gridSpan w:val="5"/>
          </w:tcPr>
          <w:p w:rsidR="00E06B66" w:rsidRPr="00456CB0" w:rsidRDefault="00E06B66" w:rsidP="00456CB0">
            <w:pPr>
              <w:jc w:val="both"/>
            </w:pPr>
            <w:r>
              <w:t>Ievērojot</w:t>
            </w:r>
            <w:r w:rsidRPr="00456CB0">
              <w:t xml:space="preserve"> Regulas Nr. 1310/2013 6.panta grozījum</w:t>
            </w:r>
            <w:r>
              <w:t>us</w:t>
            </w:r>
            <w:r w:rsidRPr="00456CB0">
              <w:t>, 2014.gada 31.janvārī Eiropas Komisija tika informēta par izmaiņām īpašā atbalsta piemērošanas lēmum</w:t>
            </w:r>
            <w:r>
              <w:t>os</w:t>
            </w:r>
            <w:r w:rsidRPr="00456CB0">
              <w:t xml:space="preserve"> attiecībā uz 2014.gadu.</w:t>
            </w:r>
          </w:p>
          <w:p w:rsidR="00E06B66" w:rsidRPr="00456CB0" w:rsidRDefault="00E06B66" w:rsidP="00456CB0">
            <w:pPr>
              <w:jc w:val="both"/>
            </w:pPr>
            <w:r>
              <w:t>Ievērojot</w:t>
            </w:r>
            <w:r w:rsidRPr="00456CB0">
              <w:t xml:space="preserve"> Regulas Nr.73/2009 126.panta 3.punktu</w:t>
            </w:r>
            <w:r>
              <w:t>,</w:t>
            </w:r>
            <w:r w:rsidRPr="00456CB0">
              <w:t xml:space="preserve"> līdz 31.martam Eiropas Komisija tiks informēta par lēmumu nepiemērot atsevišķo maksājumu par cukuru.  </w:t>
            </w:r>
          </w:p>
          <w:p w:rsidR="00E06B66" w:rsidRPr="00456CB0" w:rsidRDefault="00E06B66" w:rsidP="00456CB0"/>
          <w:p w:rsidR="00E06B66" w:rsidRPr="00456CB0" w:rsidRDefault="00E06B66" w:rsidP="00456CB0"/>
          <w:p w:rsidR="00E06B66" w:rsidRPr="00456CB0" w:rsidRDefault="00E06B66" w:rsidP="00456CB0"/>
        </w:tc>
      </w:tr>
      <w:tr w:rsidR="00E06B66" w:rsidRPr="00456CB0" w:rsidTr="00456CB0">
        <w:tc>
          <w:tcPr>
            <w:tcW w:w="1125" w:type="pct"/>
          </w:tcPr>
          <w:p w:rsidR="00E06B66" w:rsidRPr="00456CB0" w:rsidRDefault="00E06B66" w:rsidP="00456CB0">
            <w:r w:rsidRPr="00456CB0">
              <w:t>Cita informācija</w:t>
            </w:r>
          </w:p>
        </w:tc>
        <w:tc>
          <w:tcPr>
            <w:tcW w:w="3875" w:type="pct"/>
            <w:gridSpan w:val="5"/>
          </w:tcPr>
          <w:p w:rsidR="00E06B66" w:rsidRPr="00456CB0" w:rsidRDefault="00E06B66" w:rsidP="00456CB0">
            <w:pPr>
              <w:spacing w:before="100" w:beforeAutospacing="1" w:after="100" w:afterAutospacing="1" w:line="360" w:lineRule="auto"/>
            </w:pPr>
            <w:r w:rsidRPr="00456CB0">
              <w:t>Nav.</w:t>
            </w:r>
          </w:p>
        </w:tc>
      </w:tr>
      <w:tr w:rsidR="00E06B66" w:rsidRPr="00456CB0" w:rsidTr="00456CB0">
        <w:tc>
          <w:tcPr>
            <w:tcW w:w="5000" w:type="pct"/>
            <w:gridSpan w:val="6"/>
          </w:tcPr>
          <w:p w:rsidR="00E06B66" w:rsidRPr="00456CB0" w:rsidRDefault="00E06B66" w:rsidP="00456CB0">
            <w:pPr>
              <w:spacing w:before="100" w:beforeAutospacing="1" w:after="100" w:afterAutospacing="1"/>
              <w:ind w:firstLine="300"/>
              <w:jc w:val="center"/>
              <w:rPr>
                <w:b/>
                <w:bCs/>
              </w:rPr>
            </w:pPr>
            <w:r w:rsidRPr="00456CB0">
              <w:rPr>
                <w:b/>
                <w:bCs/>
              </w:rPr>
              <w:t>2.tabula</w:t>
            </w:r>
            <w:r w:rsidRPr="00456CB0">
              <w:rPr>
                <w:b/>
                <w:bCs/>
              </w:rPr>
              <w:br/>
              <w:t>Ar tiesību akta projektu izpildītās vai uzņemtās saistības, kas izriet no starptautiskajiem tiesību aktiem vai starptautiskas institūcijas vai organizācijas dokumentiem.</w:t>
            </w:r>
            <w:r w:rsidRPr="00456CB0">
              <w:rPr>
                <w:b/>
                <w:bCs/>
              </w:rPr>
              <w:br/>
              <w:t>Pasākumi šo saistību izpildei</w:t>
            </w:r>
          </w:p>
        </w:tc>
      </w:tr>
      <w:tr w:rsidR="00E06B66" w:rsidRPr="00456CB0" w:rsidTr="00456CB0">
        <w:tc>
          <w:tcPr>
            <w:tcW w:w="1276" w:type="pct"/>
            <w:gridSpan w:val="2"/>
          </w:tcPr>
          <w:p w:rsidR="00E06B66" w:rsidRPr="00456CB0" w:rsidRDefault="00E06B66" w:rsidP="00456CB0">
            <w:r w:rsidRPr="00456CB0">
              <w:t xml:space="preserve">Attiecīgā starptautiskā tiesību akta vai starptautiskas institūcijas vai </w:t>
            </w:r>
            <w:r w:rsidRPr="00456CB0">
              <w:lastRenderedPageBreak/>
              <w:t>organizācijas dokumenta (turpmāk – starptautiskais dokuments) datums, numurs un nosaukums</w:t>
            </w:r>
          </w:p>
        </w:tc>
        <w:tc>
          <w:tcPr>
            <w:tcW w:w="3724" w:type="pct"/>
            <w:gridSpan w:val="4"/>
          </w:tcPr>
          <w:p w:rsidR="00E06B66" w:rsidRPr="00456CB0" w:rsidRDefault="00E06B66" w:rsidP="00456CB0">
            <w:r w:rsidRPr="00456CB0">
              <w:lastRenderedPageBreak/>
              <w:t>Nav</w:t>
            </w:r>
          </w:p>
        </w:tc>
      </w:tr>
      <w:tr w:rsidR="00E06B66" w:rsidRPr="00456CB0" w:rsidTr="00456CB0">
        <w:tc>
          <w:tcPr>
            <w:tcW w:w="1276" w:type="pct"/>
            <w:gridSpan w:val="2"/>
          </w:tcPr>
          <w:p w:rsidR="00E06B66" w:rsidRPr="00456CB0" w:rsidRDefault="00E06B66" w:rsidP="00456CB0">
            <w:pPr>
              <w:spacing w:before="100" w:beforeAutospacing="1" w:after="100" w:afterAutospacing="1" w:line="360" w:lineRule="auto"/>
              <w:ind w:firstLine="300"/>
              <w:jc w:val="center"/>
            </w:pPr>
            <w:r w:rsidRPr="00456CB0">
              <w:lastRenderedPageBreak/>
              <w:t>A</w:t>
            </w:r>
          </w:p>
        </w:tc>
        <w:tc>
          <w:tcPr>
            <w:tcW w:w="1632" w:type="pct"/>
            <w:gridSpan w:val="2"/>
          </w:tcPr>
          <w:p w:rsidR="00E06B66" w:rsidRPr="00456CB0" w:rsidRDefault="00E06B66" w:rsidP="00456CB0">
            <w:pPr>
              <w:spacing w:before="100" w:beforeAutospacing="1" w:after="100" w:afterAutospacing="1" w:line="360" w:lineRule="auto"/>
              <w:ind w:firstLine="300"/>
              <w:jc w:val="center"/>
            </w:pPr>
            <w:r w:rsidRPr="00456CB0">
              <w:t>B</w:t>
            </w:r>
          </w:p>
        </w:tc>
        <w:tc>
          <w:tcPr>
            <w:tcW w:w="2092" w:type="pct"/>
            <w:gridSpan w:val="2"/>
          </w:tcPr>
          <w:p w:rsidR="00E06B66" w:rsidRPr="00456CB0" w:rsidRDefault="00E06B66" w:rsidP="00456CB0">
            <w:pPr>
              <w:spacing w:before="100" w:beforeAutospacing="1" w:after="100" w:afterAutospacing="1" w:line="360" w:lineRule="auto"/>
              <w:ind w:firstLine="300"/>
              <w:jc w:val="center"/>
            </w:pPr>
            <w:r w:rsidRPr="00456CB0">
              <w:t>C</w:t>
            </w:r>
          </w:p>
        </w:tc>
      </w:tr>
      <w:tr w:rsidR="00E06B66" w:rsidRPr="00456CB0" w:rsidTr="00456CB0">
        <w:tc>
          <w:tcPr>
            <w:tcW w:w="1276" w:type="pct"/>
            <w:gridSpan w:val="2"/>
          </w:tcPr>
          <w:p w:rsidR="00E06B66" w:rsidRPr="00456CB0" w:rsidRDefault="00E06B66" w:rsidP="00456CB0">
            <w:pPr>
              <w:spacing w:before="100" w:beforeAutospacing="1" w:after="100" w:afterAutospacing="1"/>
              <w:ind w:firstLine="300"/>
              <w:jc w:val="center"/>
            </w:pPr>
            <w:r w:rsidRPr="00456CB0">
              <w:t>-</w:t>
            </w:r>
          </w:p>
        </w:tc>
        <w:tc>
          <w:tcPr>
            <w:tcW w:w="1632" w:type="pct"/>
            <w:gridSpan w:val="2"/>
          </w:tcPr>
          <w:p w:rsidR="00E06B66" w:rsidRPr="00456CB0" w:rsidRDefault="00E06B66" w:rsidP="00456CB0">
            <w:pPr>
              <w:jc w:val="center"/>
            </w:pPr>
            <w:r w:rsidRPr="00456CB0">
              <w:t>-</w:t>
            </w:r>
          </w:p>
        </w:tc>
        <w:tc>
          <w:tcPr>
            <w:tcW w:w="2092" w:type="pct"/>
            <w:gridSpan w:val="2"/>
          </w:tcPr>
          <w:p w:rsidR="00E06B66" w:rsidRPr="00456CB0" w:rsidRDefault="00E06B66" w:rsidP="00456CB0">
            <w:pPr>
              <w:spacing w:before="100" w:beforeAutospacing="1" w:after="100" w:afterAutospacing="1"/>
              <w:ind w:firstLine="300"/>
              <w:jc w:val="center"/>
            </w:pPr>
            <w:r w:rsidRPr="00456CB0">
              <w:t>-</w:t>
            </w:r>
          </w:p>
        </w:tc>
      </w:tr>
      <w:tr w:rsidR="00E06B66" w:rsidRPr="00456CB0" w:rsidTr="00456CB0">
        <w:tc>
          <w:tcPr>
            <w:tcW w:w="1276" w:type="pct"/>
            <w:gridSpan w:val="2"/>
          </w:tcPr>
          <w:p w:rsidR="00E06B66" w:rsidRPr="00456CB0" w:rsidRDefault="00E06B66" w:rsidP="00456CB0"/>
        </w:tc>
        <w:tc>
          <w:tcPr>
            <w:tcW w:w="1632" w:type="pct"/>
            <w:gridSpan w:val="2"/>
          </w:tcPr>
          <w:p w:rsidR="00E06B66" w:rsidRPr="00456CB0" w:rsidRDefault="00E06B66" w:rsidP="00456CB0"/>
        </w:tc>
        <w:tc>
          <w:tcPr>
            <w:tcW w:w="2092" w:type="pct"/>
            <w:gridSpan w:val="2"/>
          </w:tcPr>
          <w:p w:rsidR="00E06B66" w:rsidRPr="00456CB0" w:rsidRDefault="00E06B66" w:rsidP="00456CB0">
            <w:pPr>
              <w:spacing w:before="100" w:beforeAutospacing="1" w:after="100" w:afterAutospacing="1"/>
              <w:ind w:firstLine="300"/>
            </w:pPr>
          </w:p>
        </w:tc>
      </w:tr>
      <w:tr w:rsidR="00E06B66" w:rsidRPr="00456CB0" w:rsidTr="00456CB0">
        <w:tc>
          <w:tcPr>
            <w:tcW w:w="1276" w:type="pct"/>
            <w:gridSpan w:val="2"/>
          </w:tcPr>
          <w:p w:rsidR="00E06B66" w:rsidRPr="00456CB0" w:rsidRDefault="00E06B66" w:rsidP="00456CB0">
            <w:r w:rsidRPr="00456CB0">
              <w:t>Vai starptautiskajā dokumentā paredzētās saistības nav pretrunā ar jau esošajām Latvijas Republikas starptautiskajām saistībām</w:t>
            </w:r>
          </w:p>
        </w:tc>
        <w:tc>
          <w:tcPr>
            <w:tcW w:w="3724" w:type="pct"/>
            <w:gridSpan w:val="4"/>
          </w:tcPr>
          <w:p w:rsidR="00E06B66" w:rsidRPr="00456CB0" w:rsidRDefault="00E06B66" w:rsidP="00456CB0">
            <w:r w:rsidRPr="00456CB0">
              <w:t>Projekts šo jomu neskar.</w:t>
            </w:r>
          </w:p>
        </w:tc>
      </w:tr>
      <w:tr w:rsidR="00E06B66" w:rsidRPr="00456CB0" w:rsidTr="00456CB0">
        <w:tc>
          <w:tcPr>
            <w:tcW w:w="1276" w:type="pct"/>
            <w:gridSpan w:val="2"/>
          </w:tcPr>
          <w:p w:rsidR="00E06B66" w:rsidRPr="00456CB0" w:rsidRDefault="00E06B66" w:rsidP="00456CB0">
            <w:r w:rsidRPr="00456CB0">
              <w:t>Cita informācija</w:t>
            </w:r>
          </w:p>
        </w:tc>
        <w:tc>
          <w:tcPr>
            <w:tcW w:w="3724" w:type="pct"/>
            <w:gridSpan w:val="4"/>
          </w:tcPr>
          <w:p w:rsidR="00E06B66" w:rsidRPr="00456CB0" w:rsidRDefault="00E06B66" w:rsidP="00456CB0">
            <w:pPr>
              <w:spacing w:before="100" w:beforeAutospacing="1" w:after="100" w:afterAutospacing="1" w:line="360" w:lineRule="auto"/>
            </w:pPr>
            <w:r w:rsidRPr="00456CB0">
              <w:t>Nav.</w:t>
            </w:r>
          </w:p>
        </w:tc>
      </w:tr>
    </w:tbl>
    <w:p w:rsidR="007F70E3" w:rsidRPr="008429E7" w:rsidRDefault="007F70E3" w:rsidP="006B42E1">
      <w:pPr>
        <w:ind w:firstLine="300"/>
      </w:pPr>
      <w:r w:rsidRPr="008429E7">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2615"/>
        <w:gridCol w:w="5820"/>
      </w:tblGrid>
      <w:tr w:rsidR="007F70E3" w:rsidRPr="00456CB0" w:rsidTr="00456CB0">
        <w:trPr>
          <w:trHeight w:val="420"/>
        </w:trPr>
        <w:tc>
          <w:tcPr>
            <w:tcW w:w="5000" w:type="pct"/>
            <w:gridSpan w:val="3"/>
          </w:tcPr>
          <w:p w:rsidR="007F70E3" w:rsidRPr="00456CB0" w:rsidRDefault="007F70E3" w:rsidP="00456CB0">
            <w:pPr>
              <w:spacing w:before="100" w:beforeAutospacing="1" w:after="100" w:afterAutospacing="1" w:line="360" w:lineRule="auto"/>
              <w:ind w:firstLine="300"/>
              <w:jc w:val="center"/>
              <w:rPr>
                <w:b/>
                <w:bCs/>
              </w:rPr>
            </w:pPr>
            <w:r w:rsidRPr="00456CB0">
              <w:rPr>
                <w:b/>
                <w:bCs/>
              </w:rPr>
              <w:t>VI. Sabiedrības līdzdalība un komunikācijas aktivitātes</w:t>
            </w:r>
          </w:p>
        </w:tc>
      </w:tr>
      <w:tr w:rsidR="007F70E3" w:rsidRPr="00456CB0" w:rsidTr="00456CB0">
        <w:trPr>
          <w:trHeight w:val="540"/>
        </w:trPr>
        <w:tc>
          <w:tcPr>
            <w:tcW w:w="246" w:type="pct"/>
          </w:tcPr>
          <w:p w:rsidR="007F70E3" w:rsidRPr="00456CB0" w:rsidRDefault="007F70E3" w:rsidP="00456CB0">
            <w:r w:rsidRPr="00456CB0">
              <w:t>1.</w:t>
            </w:r>
          </w:p>
        </w:tc>
        <w:tc>
          <w:tcPr>
            <w:tcW w:w="1474" w:type="pct"/>
          </w:tcPr>
          <w:p w:rsidR="007F70E3" w:rsidRPr="00456CB0" w:rsidRDefault="007F70E3" w:rsidP="00456CB0">
            <w:r w:rsidRPr="00456CB0">
              <w:t>Plānotās sabiedrības līdzdalības un komunikācijas aktivitātes saistībā ar projektu</w:t>
            </w:r>
          </w:p>
        </w:tc>
        <w:tc>
          <w:tcPr>
            <w:tcW w:w="3280" w:type="pct"/>
          </w:tcPr>
          <w:p w:rsidR="007F70E3" w:rsidRPr="00456CB0" w:rsidRDefault="007F70E3" w:rsidP="003629E9">
            <w:pPr>
              <w:jc w:val="both"/>
            </w:pPr>
            <w:r w:rsidRPr="00456CB0">
              <w:rPr>
                <w:lang w:eastAsia="en-US"/>
              </w:rPr>
              <w:t>Informācija par noteikum</w:t>
            </w:r>
            <w:r w:rsidR="003629E9">
              <w:rPr>
                <w:lang w:eastAsia="en-US"/>
              </w:rPr>
              <w:t>u</w:t>
            </w:r>
            <w:r w:rsidRPr="00456CB0">
              <w:rPr>
                <w:lang w:eastAsia="en-US"/>
              </w:rPr>
              <w:t xml:space="preserve"> </w:t>
            </w:r>
            <w:r w:rsidR="003629E9">
              <w:rPr>
                <w:lang w:eastAsia="en-US"/>
              </w:rPr>
              <w:t>projektu</w:t>
            </w:r>
            <w:r w:rsidRPr="00456CB0">
              <w:rPr>
                <w:lang w:eastAsia="en-US"/>
              </w:rPr>
              <w:t xml:space="preserve"> ievietota Z</w:t>
            </w:r>
            <w:r w:rsidR="003629E9">
              <w:rPr>
                <w:lang w:eastAsia="en-US"/>
              </w:rPr>
              <w:t>emkopības ministrijas</w:t>
            </w:r>
            <w:r w:rsidRPr="00456CB0">
              <w:rPr>
                <w:lang w:eastAsia="en-US"/>
              </w:rPr>
              <w:t xml:space="preserve"> tīmekļa vietnē.</w:t>
            </w:r>
          </w:p>
        </w:tc>
      </w:tr>
      <w:tr w:rsidR="007F70E3" w:rsidRPr="00456CB0" w:rsidTr="00456CB0">
        <w:trPr>
          <w:trHeight w:val="330"/>
        </w:trPr>
        <w:tc>
          <w:tcPr>
            <w:tcW w:w="246" w:type="pct"/>
          </w:tcPr>
          <w:p w:rsidR="007F70E3" w:rsidRPr="00456CB0" w:rsidRDefault="007F70E3" w:rsidP="00456CB0">
            <w:r w:rsidRPr="00456CB0">
              <w:t>2.</w:t>
            </w:r>
          </w:p>
        </w:tc>
        <w:tc>
          <w:tcPr>
            <w:tcW w:w="1474" w:type="pct"/>
          </w:tcPr>
          <w:p w:rsidR="007F70E3" w:rsidRPr="00456CB0" w:rsidRDefault="007F70E3" w:rsidP="00456CB0">
            <w:r w:rsidRPr="00456CB0">
              <w:t>Sabiedrības līdzdalība projekta izstrādē</w:t>
            </w:r>
          </w:p>
        </w:tc>
        <w:tc>
          <w:tcPr>
            <w:tcW w:w="3280" w:type="pct"/>
          </w:tcPr>
          <w:p w:rsidR="007F70E3" w:rsidRPr="00456CB0" w:rsidRDefault="007F70E3" w:rsidP="00456CB0">
            <w:pPr>
              <w:jc w:val="both"/>
              <w:rPr>
                <w:lang w:eastAsia="en-US"/>
              </w:rPr>
            </w:pPr>
            <w:r w:rsidRPr="00456CB0">
              <w:t xml:space="preserve">2014.gada 21.janvarī notika sanāksme ar lauksaimnieku organizācijām par grozījumiem </w:t>
            </w:r>
            <w:r w:rsidRPr="00456CB0">
              <w:rPr>
                <w:lang w:eastAsia="en-US"/>
              </w:rPr>
              <w:t>Ministru kabineta noteikumos Nr.139.</w:t>
            </w:r>
          </w:p>
          <w:p w:rsidR="007F70E3" w:rsidRPr="00456CB0" w:rsidRDefault="007F70E3" w:rsidP="00456CB0">
            <w:pPr>
              <w:jc w:val="both"/>
              <w:rPr>
                <w:lang w:eastAsia="en-US"/>
              </w:rPr>
            </w:pPr>
            <w:r w:rsidRPr="00456CB0">
              <w:rPr>
                <w:lang w:eastAsia="en-US"/>
              </w:rPr>
              <w:t>2014.gada 30.janvārī Lauksaimnieku nevalstisko organizāciju konsultatīvā padomes sēde.</w:t>
            </w:r>
          </w:p>
        </w:tc>
      </w:tr>
      <w:tr w:rsidR="007F70E3" w:rsidRPr="00456CB0" w:rsidTr="00456CB0">
        <w:trPr>
          <w:trHeight w:val="465"/>
        </w:trPr>
        <w:tc>
          <w:tcPr>
            <w:tcW w:w="246" w:type="pct"/>
          </w:tcPr>
          <w:p w:rsidR="007F70E3" w:rsidRPr="00456CB0" w:rsidRDefault="007F70E3" w:rsidP="00456CB0">
            <w:r w:rsidRPr="00456CB0">
              <w:t>3.</w:t>
            </w:r>
          </w:p>
        </w:tc>
        <w:tc>
          <w:tcPr>
            <w:tcW w:w="1474" w:type="pct"/>
          </w:tcPr>
          <w:p w:rsidR="007F70E3" w:rsidRPr="00456CB0" w:rsidRDefault="007F70E3" w:rsidP="00456CB0">
            <w:r w:rsidRPr="00456CB0">
              <w:t>Sabiedrības līdzdalības rezultāti</w:t>
            </w:r>
          </w:p>
        </w:tc>
        <w:tc>
          <w:tcPr>
            <w:tcW w:w="3280" w:type="pct"/>
          </w:tcPr>
          <w:p w:rsidR="007F70E3" w:rsidRPr="00456CB0" w:rsidRDefault="007F70E3" w:rsidP="00456CB0">
            <w:pPr>
              <w:jc w:val="both"/>
            </w:pPr>
            <w:r w:rsidRPr="00456CB0">
              <w:t>2014.gada 21.janvārī sanāksmē ar lauksaimnieku organizācijām pārstāvji atzinīgi novērtēja Ministru kabineta noteikumu Nr.139. grozījumu projektu</w:t>
            </w:r>
            <w:r w:rsidR="00A262B6">
              <w:t>,</w:t>
            </w:r>
            <w:r w:rsidRPr="00456CB0">
              <w:t xml:space="preserve"> un 2014.gada 30.janvārī </w:t>
            </w:r>
            <w:r w:rsidRPr="00456CB0">
              <w:rPr>
                <w:lang w:eastAsia="en-US"/>
              </w:rPr>
              <w:t>Lauksaimnieku nevalstisko organizāciju konsultatīvās padomes sēdē</w:t>
            </w:r>
            <w:r w:rsidRPr="00456CB0">
              <w:t xml:space="preserve"> tika panākta vienošanās par īpašā atbalsta par liellopiem ieviešanas nosacījumiem.</w:t>
            </w:r>
          </w:p>
        </w:tc>
      </w:tr>
      <w:tr w:rsidR="007F70E3" w:rsidRPr="00456CB0" w:rsidTr="00456CB0">
        <w:trPr>
          <w:trHeight w:val="465"/>
        </w:trPr>
        <w:tc>
          <w:tcPr>
            <w:tcW w:w="246" w:type="pct"/>
          </w:tcPr>
          <w:p w:rsidR="007F70E3" w:rsidRPr="00456CB0" w:rsidRDefault="007F70E3" w:rsidP="00456CB0">
            <w:r w:rsidRPr="00456CB0">
              <w:t>4.</w:t>
            </w:r>
          </w:p>
        </w:tc>
        <w:tc>
          <w:tcPr>
            <w:tcW w:w="1474" w:type="pct"/>
          </w:tcPr>
          <w:p w:rsidR="007F70E3" w:rsidRPr="00456CB0" w:rsidRDefault="007F70E3" w:rsidP="00456CB0">
            <w:r w:rsidRPr="00456CB0">
              <w:t>Cita informācija</w:t>
            </w:r>
          </w:p>
        </w:tc>
        <w:tc>
          <w:tcPr>
            <w:tcW w:w="3280" w:type="pct"/>
          </w:tcPr>
          <w:p w:rsidR="007F70E3" w:rsidRPr="00456CB0" w:rsidRDefault="007F70E3" w:rsidP="00456CB0">
            <w:pPr>
              <w:spacing w:before="100" w:beforeAutospacing="1" w:after="100" w:afterAutospacing="1" w:line="360" w:lineRule="auto"/>
            </w:pPr>
            <w:r w:rsidRPr="00456CB0">
              <w:t>Nav.</w:t>
            </w:r>
          </w:p>
        </w:tc>
      </w:tr>
    </w:tbl>
    <w:p w:rsidR="007F70E3" w:rsidRPr="008429E7" w:rsidRDefault="007F70E3" w:rsidP="006B42E1">
      <w:pPr>
        <w:ind w:firstLine="300"/>
      </w:pPr>
      <w:r w:rsidRPr="008429E7">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
        <w:gridCol w:w="3315"/>
        <w:gridCol w:w="5123"/>
      </w:tblGrid>
      <w:tr w:rsidR="007F70E3" w:rsidRPr="00456CB0" w:rsidTr="00456CB0">
        <w:trPr>
          <w:trHeight w:val="375"/>
        </w:trPr>
        <w:tc>
          <w:tcPr>
            <w:tcW w:w="5000" w:type="pct"/>
            <w:gridSpan w:val="3"/>
          </w:tcPr>
          <w:p w:rsidR="007F70E3" w:rsidRPr="00456CB0" w:rsidRDefault="007F70E3" w:rsidP="00456CB0">
            <w:pPr>
              <w:spacing w:before="100" w:beforeAutospacing="1" w:after="100" w:afterAutospacing="1" w:line="360" w:lineRule="auto"/>
              <w:ind w:firstLine="300"/>
              <w:jc w:val="center"/>
              <w:rPr>
                <w:b/>
                <w:bCs/>
              </w:rPr>
            </w:pPr>
            <w:r w:rsidRPr="00456CB0">
              <w:rPr>
                <w:b/>
                <w:bCs/>
              </w:rPr>
              <w:t>VII. Tiesību akta projekta izpildes nodrošināšana un tās ietekme uz institūcijām</w:t>
            </w:r>
          </w:p>
        </w:tc>
      </w:tr>
      <w:tr w:rsidR="007F70E3" w:rsidRPr="00456CB0" w:rsidTr="00456CB0">
        <w:trPr>
          <w:trHeight w:val="420"/>
        </w:trPr>
        <w:tc>
          <w:tcPr>
            <w:tcW w:w="245" w:type="pct"/>
          </w:tcPr>
          <w:p w:rsidR="007F70E3" w:rsidRPr="00456CB0" w:rsidRDefault="007F70E3" w:rsidP="00456CB0">
            <w:r w:rsidRPr="00456CB0">
              <w:t>1.</w:t>
            </w:r>
          </w:p>
        </w:tc>
        <w:tc>
          <w:tcPr>
            <w:tcW w:w="1868" w:type="pct"/>
          </w:tcPr>
          <w:p w:rsidR="007F70E3" w:rsidRPr="00456CB0" w:rsidRDefault="007F70E3" w:rsidP="00456CB0">
            <w:r w:rsidRPr="00456CB0">
              <w:t>Projekta izpildē iesaistītās institūcijas</w:t>
            </w:r>
          </w:p>
        </w:tc>
        <w:tc>
          <w:tcPr>
            <w:tcW w:w="2887" w:type="pct"/>
          </w:tcPr>
          <w:p w:rsidR="007F70E3" w:rsidRPr="00456CB0" w:rsidRDefault="007F70E3" w:rsidP="00A262B6">
            <w:pPr>
              <w:jc w:val="both"/>
              <w:rPr>
                <w:lang w:eastAsia="en-US"/>
              </w:rPr>
            </w:pPr>
            <w:r w:rsidRPr="00456CB0">
              <w:rPr>
                <w:lang w:eastAsia="en-US"/>
              </w:rPr>
              <w:t xml:space="preserve">Zemkopības ministrija uzraudzīs par Eiropas Savienības tiešo maksājumu administrēšanas gaitu. LAD </w:t>
            </w:r>
            <w:r w:rsidR="00A262B6">
              <w:rPr>
                <w:lang w:eastAsia="en-US"/>
              </w:rPr>
              <w:t>administrēs un izmaksās</w:t>
            </w:r>
            <w:r w:rsidRPr="00456CB0">
              <w:rPr>
                <w:lang w:eastAsia="en-US"/>
              </w:rPr>
              <w:t xml:space="preserve"> maksājumu</w:t>
            </w:r>
            <w:r w:rsidR="00A262B6">
              <w:rPr>
                <w:lang w:eastAsia="en-US"/>
              </w:rPr>
              <w:t>s</w:t>
            </w:r>
            <w:r w:rsidRPr="00456CB0">
              <w:rPr>
                <w:lang w:eastAsia="en-US"/>
              </w:rPr>
              <w:t xml:space="preserve">, </w:t>
            </w:r>
            <w:r w:rsidR="00A262B6">
              <w:rPr>
                <w:lang w:eastAsia="en-US"/>
              </w:rPr>
              <w:t xml:space="preserve">kā arī precizēs </w:t>
            </w:r>
            <w:r w:rsidRPr="00456CB0">
              <w:rPr>
                <w:lang w:eastAsia="en-US"/>
              </w:rPr>
              <w:t>lauku bloku</w:t>
            </w:r>
            <w:r w:rsidR="00A262B6">
              <w:rPr>
                <w:lang w:eastAsia="en-US"/>
              </w:rPr>
              <w:t>s</w:t>
            </w:r>
            <w:r w:rsidRPr="00456CB0">
              <w:rPr>
                <w:lang w:eastAsia="en-US"/>
              </w:rPr>
              <w:t xml:space="preserve">. LDC sniegs nepieciešamo informāciju LAD īpašā atbalsta par liellopiem aprēķināšanai.  </w:t>
            </w:r>
          </w:p>
        </w:tc>
      </w:tr>
      <w:tr w:rsidR="007F70E3" w:rsidRPr="00456CB0" w:rsidTr="00456CB0">
        <w:trPr>
          <w:trHeight w:val="450"/>
        </w:trPr>
        <w:tc>
          <w:tcPr>
            <w:tcW w:w="245" w:type="pct"/>
          </w:tcPr>
          <w:p w:rsidR="007F70E3" w:rsidRPr="00456CB0" w:rsidRDefault="007F70E3" w:rsidP="00456CB0">
            <w:r w:rsidRPr="00456CB0">
              <w:t>2.</w:t>
            </w:r>
          </w:p>
        </w:tc>
        <w:tc>
          <w:tcPr>
            <w:tcW w:w="1868" w:type="pct"/>
          </w:tcPr>
          <w:p w:rsidR="007F70E3" w:rsidRPr="00456CB0" w:rsidRDefault="007F70E3" w:rsidP="00456CB0">
            <w:r w:rsidRPr="00456CB0">
              <w:t xml:space="preserve">Projekta izpildes ietekme uz </w:t>
            </w:r>
            <w:r w:rsidRPr="00456CB0">
              <w:lastRenderedPageBreak/>
              <w:t>pārvaldes funkcijām un institucionālo struktūru. Jaunu institūciju izveide, esošu institūciju likvidācija vai reorganizācija, to ietekme uz institūcijas cilvēkresursiem</w:t>
            </w:r>
          </w:p>
        </w:tc>
        <w:tc>
          <w:tcPr>
            <w:tcW w:w="2887" w:type="pct"/>
          </w:tcPr>
          <w:p w:rsidR="007F70E3" w:rsidRPr="00456CB0" w:rsidRDefault="007F70E3" w:rsidP="00456CB0">
            <w:r w:rsidRPr="00456CB0">
              <w:lastRenderedPageBreak/>
              <w:t>Projekts šo jomu neskar.</w:t>
            </w:r>
          </w:p>
        </w:tc>
      </w:tr>
      <w:tr w:rsidR="007F70E3" w:rsidRPr="00456CB0" w:rsidTr="00456CB0">
        <w:trPr>
          <w:trHeight w:val="390"/>
        </w:trPr>
        <w:tc>
          <w:tcPr>
            <w:tcW w:w="245" w:type="pct"/>
          </w:tcPr>
          <w:p w:rsidR="007F70E3" w:rsidRPr="00456CB0" w:rsidRDefault="007F70E3" w:rsidP="00456CB0">
            <w:r w:rsidRPr="00456CB0">
              <w:lastRenderedPageBreak/>
              <w:t>3.</w:t>
            </w:r>
          </w:p>
        </w:tc>
        <w:tc>
          <w:tcPr>
            <w:tcW w:w="1868" w:type="pct"/>
          </w:tcPr>
          <w:p w:rsidR="007F70E3" w:rsidRPr="00456CB0" w:rsidRDefault="007F70E3" w:rsidP="00456CB0">
            <w:r w:rsidRPr="00456CB0">
              <w:t>Cita informācija</w:t>
            </w:r>
          </w:p>
        </w:tc>
        <w:tc>
          <w:tcPr>
            <w:tcW w:w="2887" w:type="pct"/>
          </w:tcPr>
          <w:p w:rsidR="007F70E3" w:rsidRPr="00456CB0" w:rsidRDefault="007F70E3" w:rsidP="00456CB0">
            <w:pPr>
              <w:spacing w:before="100" w:beforeAutospacing="1" w:after="100" w:afterAutospacing="1" w:line="360" w:lineRule="auto"/>
            </w:pPr>
            <w:r w:rsidRPr="00456CB0">
              <w:t>Nav.</w:t>
            </w:r>
          </w:p>
        </w:tc>
      </w:tr>
    </w:tbl>
    <w:p w:rsidR="007F70E3" w:rsidRPr="008429E7" w:rsidRDefault="007F70E3" w:rsidP="00232AA2">
      <w:pPr>
        <w:spacing w:after="160" w:line="259" w:lineRule="auto"/>
        <w:rPr>
          <w:lang w:eastAsia="en-US"/>
        </w:rPr>
      </w:pPr>
    </w:p>
    <w:p w:rsidR="007F70E3" w:rsidRPr="008429E7" w:rsidRDefault="007F70E3" w:rsidP="00232AA2">
      <w:pPr>
        <w:spacing w:after="160" w:line="259" w:lineRule="auto"/>
        <w:rPr>
          <w:lang w:eastAsia="en-US"/>
        </w:rPr>
      </w:pPr>
    </w:p>
    <w:p w:rsidR="007F70E3" w:rsidRPr="008429E7" w:rsidRDefault="007F70E3" w:rsidP="00232AA2">
      <w:pPr>
        <w:ind w:firstLine="720"/>
        <w:jc w:val="both"/>
        <w:rPr>
          <w:sz w:val="28"/>
          <w:szCs w:val="28"/>
          <w:lang w:eastAsia="en-US"/>
        </w:rPr>
      </w:pPr>
      <w:r w:rsidRPr="008429E7">
        <w:rPr>
          <w:sz w:val="28"/>
          <w:szCs w:val="28"/>
          <w:lang w:eastAsia="en-US"/>
        </w:rPr>
        <w:t xml:space="preserve">Zemkopības ministrs </w:t>
      </w:r>
      <w:r w:rsidRPr="008429E7">
        <w:rPr>
          <w:sz w:val="28"/>
          <w:szCs w:val="28"/>
          <w:lang w:eastAsia="en-US"/>
        </w:rPr>
        <w:tab/>
      </w:r>
      <w:r w:rsidRPr="008429E7">
        <w:rPr>
          <w:sz w:val="28"/>
          <w:szCs w:val="28"/>
          <w:lang w:eastAsia="en-US"/>
        </w:rPr>
        <w:tab/>
      </w:r>
      <w:r w:rsidRPr="008429E7">
        <w:rPr>
          <w:sz w:val="28"/>
          <w:szCs w:val="28"/>
          <w:lang w:eastAsia="en-US"/>
        </w:rPr>
        <w:tab/>
      </w:r>
      <w:r w:rsidRPr="008429E7">
        <w:rPr>
          <w:sz w:val="28"/>
          <w:szCs w:val="28"/>
          <w:lang w:eastAsia="en-US"/>
        </w:rPr>
        <w:tab/>
      </w:r>
      <w:r w:rsidRPr="008429E7">
        <w:rPr>
          <w:sz w:val="28"/>
          <w:szCs w:val="28"/>
          <w:lang w:eastAsia="en-US"/>
        </w:rPr>
        <w:tab/>
      </w:r>
      <w:r w:rsidRPr="008429E7">
        <w:rPr>
          <w:sz w:val="28"/>
          <w:szCs w:val="28"/>
          <w:lang w:eastAsia="en-US"/>
        </w:rPr>
        <w:tab/>
      </w:r>
      <w:proofErr w:type="spellStart"/>
      <w:r w:rsidRPr="008429E7">
        <w:rPr>
          <w:sz w:val="28"/>
          <w:szCs w:val="28"/>
          <w:lang w:eastAsia="en-US"/>
        </w:rPr>
        <w:t>J.Dūklavs</w:t>
      </w:r>
      <w:proofErr w:type="spellEnd"/>
    </w:p>
    <w:p w:rsidR="007F70E3" w:rsidRDefault="007F70E3" w:rsidP="00232AA2">
      <w:pPr>
        <w:spacing w:after="160" w:line="259" w:lineRule="auto"/>
        <w:jc w:val="both"/>
        <w:rPr>
          <w:lang w:eastAsia="en-US"/>
        </w:rPr>
      </w:pPr>
      <w:bookmarkStart w:id="4" w:name="OLE_LINK5"/>
      <w:bookmarkStart w:id="5" w:name="OLE_LINK6"/>
    </w:p>
    <w:p w:rsidR="001D4122" w:rsidRDefault="001D4122"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Default="004A2D73" w:rsidP="00232AA2">
      <w:pPr>
        <w:spacing w:after="160" w:line="259" w:lineRule="auto"/>
        <w:jc w:val="both"/>
        <w:rPr>
          <w:lang w:eastAsia="en-US"/>
        </w:rPr>
      </w:pPr>
    </w:p>
    <w:p w:rsidR="004A2D73" w:rsidRPr="008429E7" w:rsidRDefault="004A2D73" w:rsidP="00232AA2">
      <w:pPr>
        <w:spacing w:after="160" w:line="259" w:lineRule="auto"/>
        <w:jc w:val="both"/>
        <w:rPr>
          <w:lang w:eastAsia="en-US"/>
        </w:rPr>
      </w:pPr>
    </w:p>
    <w:p w:rsidR="004A2D73" w:rsidRDefault="004A2D73" w:rsidP="00394A21">
      <w:pPr>
        <w:jc w:val="both"/>
        <w:rPr>
          <w:sz w:val="20"/>
          <w:szCs w:val="20"/>
          <w:lang w:eastAsia="en-US"/>
        </w:rPr>
      </w:pPr>
      <w:r>
        <w:rPr>
          <w:sz w:val="20"/>
          <w:szCs w:val="20"/>
          <w:lang w:eastAsia="en-US"/>
        </w:rPr>
        <w:t>2014.03.13. 15:44</w:t>
      </w:r>
    </w:p>
    <w:p w:rsidR="00F51E8E" w:rsidRDefault="00F51E8E" w:rsidP="00394A21">
      <w:pPr>
        <w:jc w:val="both"/>
        <w:rPr>
          <w:sz w:val="20"/>
          <w:szCs w:val="20"/>
        </w:rPr>
      </w:pPr>
      <w:fldSimple w:instr=" NUMWORDS   \* MERGEFORMAT ">
        <w:r>
          <w:rPr>
            <w:noProof/>
            <w:sz w:val="20"/>
            <w:szCs w:val="20"/>
          </w:rPr>
          <w:t>2411</w:t>
        </w:r>
      </w:fldSimple>
    </w:p>
    <w:p w:rsidR="00394A21" w:rsidRDefault="00C139B4" w:rsidP="00394A21">
      <w:pPr>
        <w:jc w:val="both"/>
        <w:rPr>
          <w:sz w:val="20"/>
          <w:szCs w:val="20"/>
        </w:rPr>
      </w:pPr>
      <w:proofErr w:type="spellStart"/>
      <w:r>
        <w:rPr>
          <w:sz w:val="20"/>
          <w:szCs w:val="20"/>
        </w:rPr>
        <w:t>Ruļuka</w:t>
      </w:r>
      <w:proofErr w:type="spellEnd"/>
    </w:p>
    <w:p w:rsidR="007F70E3" w:rsidRPr="006047E5" w:rsidRDefault="00394A21" w:rsidP="006047E5">
      <w:pPr>
        <w:jc w:val="both"/>
        <w:rPr>
          <w:sz w:val="20"/>
          <w:szCs w:val="20"/>
        </w:rPr>
      </w:pPr>
      <w:r>
        <w:rPr>
          <w:sz w:val="20"/>
          <w:szCs w:val="20"/>
        </w:rPr>
        <w:t>67027</w:t>
      </w:r>
      <w:r w:rsidR="00C139B4">
        <w:rPr>
          <w:sz w:val="20"/>
          <w:szCs w:val="20"/>
        </w:rPr>
        <w:t>412</w:t>
      </w:r>
      <w:r>
        <w:rPr>
          <w:sz w:val="20"/>
          <w:szCs w:val="20"/>
        </w:rPr>
        <w:t xml:space="preserve">, </w:t>
      </w:r>
      <w:r w:rsidR="00C139B4">
        <w:rPr>
          <w:sz w:val="20"/>
          <w:szCs w:val="20"/>
        </w:rPr>
        <w:t>Indra.Ruluka</w:t>
      </w:r>
      <w:r>
        <w:rPr>
          <w:sz w:val="20"/>
          <w:szCs w:val="20"/>
        </w:rPr>
        <w:t>@zm.gov.lv</w:t>
      </w:r>
    </w:p>
    <w:p w:rsidR="007F70E3" w:rsidRPr="008429E7" w:rsidRDefault="007F70E3" w:rsidP="00232AA2">
      <w:pPr>
        <w:rPr>
          <w:lang w:eastAsia="en-US"/>
        </w:rPr>
      </w:pPr>
      <w:bookmarkStart w:id="6" w:name="_GoBack"/>
      <w:bookmarkEnd w:id="4"/>
      <w:bookmarkEnd w:id="5"/>
      <w:bookmarkEnd w:id="6"/>
    </w:p>
    <w:sectPr w:rsidR="007F70E3" w:rsidRPr="008429E7" w:rsidSect="004A2D73">
      <w:headerReference w:type="default" r:id="rId8"/>
      <w:footerReference w:type="default" r:id="rId9"/>
      <w:footerReference w:type="first" r:id="rId10"/>
      <w:pgSz w:w="11906" w:h="16838"/>
      <w:pgMar w:top="1134" w:right="170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223" w:rsidRDefault="00057223"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057223" w:rsidRDefault="00057223"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3" w:rsidRPr="006B42E1" w:rsidRDefault="004A2D73" w:rsidP="004A2D73">
    <w:pPr>
      <w:pStyle w:val="Kjene"/>
      <w:jc w:val="both"/>
      <w:rPr>
        <w:rFonts w:ascii="Times New Roman" w:hAnsi="Times New Roman"/>
      </w:rPr>
    </w:pPr>
    <w:r w:rsidRPr="006B42E1">
      <w:rPr>
        <w:rFonts w:ascii="Times New Roman" w:hAnsi="Times New Roman"/>
        <w:sz w:val="20"/>
      </w:rPr>
      <w:t>ZMAnot_</w:t>
    </w:r>
    <w:r>
      <w:rPr>
        <w:rFonts w:ascii="Times New Roman" w:hAnsi="Times New Roman"/>
        <w:sz w:val="20"/>
      </w:rPr>
      <w:t>13</w:t>
    </w:r>
    <w:r w:rsidRPr="006B42E1">
      <w:rPr>
        <w:rFonts w:ascii="Times New Roman" w:hAnsi="Times New Roman"/>
        <w:sz w:val="20"/>
      </w:rPr>
      <w:t>0</w:t>
    </w:r>
    <w:r>
      <w:rPr>
        <w:rFonts w:ascii="Times New Roman" w:hAnsi="Times New Roman"/>
        <w:sz w:val="20"/>
      </w:rPr>
      <w:t>3</w:t>
    </w:r>
    <w:r w:rsidRPr="006B42E1">
      <w:rPr>
        <w:rFonts w:ascii="Times New Roman" w:hAnsi="Times New Roman"/>
        <w:sz w:val="20"/>
      </w:rPr>
      <w:t>14; Grozījumi Ministru kabineta 2013. gada 12. marta noteikumos Nr.139 „Kārtība, kādā tiek piešķirts valsts un Eiropas Savienības atbalsts lauksaimniecībai tiešā atbalsta shēmu 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3" w:rsidRPr="006B42E1" w:rsidRDefault="004A2D73" w:rsidP="004A2D73">
    <w:pPr>
      <w:pStyle w:val="Kjene"/>
      <w:jc w:val="both"/>
      <w:rPr>
        <w:rFonts w:ascii="Times New Roman" w:hAnsi="Times New Roman"/>
      </w:rPr>
    </w:pPr>
    <w:r w:rsidRPr="006B42E1">
      <w:rPr>
        <w:rFonts w:ascii="Times New Roman" w:hAnsi="Times New Roman"/>
        <w:sz w:val="20"/>
      </w:rPr>
      <w:t>ZMAnot_</w:t>
    </w:r>
    <w:r>
      <w:rPr>
        <w:rFonts w:ascii="Times New Roman" w:hAnsi="Times New Roman"/>
        <w:sz w:val="20"/>
      </w:rPr>
      <w:t>13</w:t>
    </w:r>
    <w:r w:rsidRPr="006B42E1">
      <w:rPr>
        <w:rFonts w:ascii="Times New Roman" w:hAnsi="Times New Roman"/>
        <w:sz w:val="20"/>
      </w:rPr>
      <w:t>0</w:t>
    </w:r>
    <w:r>
      <w:rPr>
        <w:rFonts w:ascii="Times New Roman" w:hAnsi="Times New Roman"/>
        <w:sz w:val="20"/>
      </w:rPr>
      <w:t>3</w:t>
    </w:r>
    <w:r w:rsidRPr="006B42E1">
      <w:rPr>
        <w:rFonts w:ascii="Times New Roman" w:hAnsi="Times New Roman"/>
        <w:sz w:val="20"/>
      </w:rPr>
      <w:t>14; Grozījumi Ministru kabineta 2013. gada 12. marta noteikumos Nr.139 „Kārtība, kādā tiek piešķirts valsts un Eiropas Savienības atbalsts lauksaimniecībai tiešā atbalsta shēmu 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223" w:rsidRDefault="00057223"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057223" w:rsidRDefault="00057223"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777626"/>
      <w:docPartObj>
        <w:docPartGallery w:val="Page Numbers (Top of Page)"/>
        <w:docPartUnique/>
      </w:docPartObj>
    </w:sdtPr>
    <w:sdtContent>
      <w:p w:rsidR="004A2D73" w:rsidRPr="004A2D73" w:rsidRDefault="004A2D73">
        <w:pPr>
          <w:pStyle w:val="Galvene"/>
          <w:jc w:val="center"/>
          <w:rPr>
            <w:rFonts w:ascii="Times New Roman" w:hAnsi="Times New Roman"/>
            <w:sz w:val="24"/>
            <w:szCs w:val="24"/>
          </w:rPr>
        </w:pPr>
        <w:r w:rsidRPr="004A2D73">
          <w:rPr>
            <w:rFonts w:ascii="Times New Roman" w:hAnsi="Times New Roman"/>
            <w:sz w:val="24"/>
            <w:szCs w:val="24"/>
          </w:rPr>
          <w:fldChar w:fldCharType="begin"/>
        </w:r>
        <w:r w:rsidRPr="004A2D73">
          <w:rPr>
            <w:rFonts w:ascii="Times New Roman" w:hAnsi="Times New Roman"/>
            <w:sz w:val="24"/>
            <w:szCs w:val="24"/>
          </w:rPr>
          <w:instrText xml:space="preserve"> PAGE   \* MERGEFORMAT </w:instrText>
        </w:r>
        <w:r w:rsidRPr="004A2D73">
          <w:rPr>
            <w:rFonts w:ascii="Times New Roman" w:hAnsi="Times New Roman"/>
            <w:sz w:val="24"/>
            <w:szCs w:val="24"/>
          </w:rPr>
          <w:fldChar w:fldCharType="separate"/>
        </w:r>
        <w:r w:rsidR="00F51E8E">
          <w:rPr>
            <w:rFonts w:ascii="Times New Roman" w:hAnsi="Times New Roman"/>
            <w:noProof/>
            <w:sz w:val="24"/>
            <w:szCs w:val="24"/>
          </w:rPr>
          <w:t>9</w:t>
        </w:r>
        <w:r w:rsidRPr="004A2D73">
          <w:rPr>
            <w:rFonts w:ascii="Times New Roman" w:hAnsi="Times New Roman"/>
            <w:sz w:val="24"/>
            <w:szCs w:val="24"/>
          </w:rPr>
          <w:fldChar w:fldCharType="end"/>
        </w:r>
      </w:p>
    </w:sdtContent>
  </w:sdt>
  <w:p w:rsidR="004A2D73" w:rsidRPr="004A2D73" w:rsidRDefault="004A2D73">
    <w:pPr>
      <w:pStyle w:val="Galvene"/>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7377178"/>
    <w:multiLevelType w:val="hybridMultilevel"/>
    <w:tmpl w:val="4D2CF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5">
    <w:nsid w:val="73670B67"/>
    <w:multiLevelType w:val="hybridMultilevel"/>
    <w:tmpl w:val="24A08C9C"/>
    <w:lvl w:ilvl="0" w:tplc="04260011">
      <w:start w:val="1"/>
      <w:numFmt w:val="decimal"/>
      <w:lvlText w:val="%1)"/>
      <w:lvlJc w:val="left"/>
      <w:pPr>
        <w:ind w:left="360" w:hanging="360"/>
      </w:p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Vecmane">
    <w15:presenceInfo w15:providerId="AD" w15:userId="S-1-5-21-1078081533-1682526488-1202660629-12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42E1"/>
    <w:rsid w:val="0001372D"/>
    <w:rsid w:val="00033E73"/>
    <w:rsid w:val="000440CD"/>
    <w:rsid w:val="000454C9"/>
    <w:rsid w:val="00053E8D"/>
    <w:rsid w:val="00055DD9"/>
    <w:rsid w:val="00057223"/>
    <w:rsid w:val="000801E3"/>
    <w:rsid w:val="000A5E3C"/>
    <w:rsid w:val="000C0408"/>
    <w:rsid w:val="000F442A"/>
    <w:rsid w:val="000F7756"/>
    <w:rsid w:val="0011611D"/>
    <w:rsid w:val="001403CB"/>
    <w:rsid w:val="00150BAD"/>
    <w:rsid w:val="00155754"/>
    <w:rsid w:val="0018631E"/>
    <w:rsid w:val="00187981"/>
    <w:rsid w:val="001C1A86"/>
    <w:rsid w:val="001C42F1"/>
    <w:rsid w:val="001D4122"/>
    <w:rsid w:val="001E1ABC"/>
    <w:rsid w:val="00203394"/>
    <w:rsid w:val="002046BC"/>
    <w:rsid w:val="00232AA2"/>
    <w:rsid w:val="002407C0"/>
    <w:rsid w:val="002502C9"/>
    <w:rsid w:val="00282674"/>
    <w:rsid w:val="00284694"/>
    <w:rsid w:val="00286AD9"/>
    <w:rsid w:val="002A73B3"/>
    <w:rsid w:val="002B1BD3"/>
    <w:rsid w:val="002D34BA"/>
    <w:rsid w:val="002E1961"/>
    <w:rsid w:val="002E5342"/>
    <w:rsid w:val="00351860"/>
    <w:rsid w:val="00357B3E"/>
    <w:rsid w:val="003629E9"/>
    <w:rsid w:val="00377E6F"/>
    <w:rsid w:val="00394A21"/>
    <w:rsid w:val="003A00BB"/>
    <w:rsid w:val="003C61B2"/>
    <w:rsid w:val="003D35E6"/>
    <w:rsid w:val="003D45E3"/>
    <w:rsid w:val="003E0E8A"/>
    <w:rsid w:val="00412317"/>
    <w:rsid w:val="00413845"/>
    <w:rsid w:val="00414C2F"/>
    <w:rsid w:val="00430A23"/>
    <w:rsid w:val="00443FC3"/>
    <w:rsid w:val="004479ED"/>
    <w:rsid w:val="00456CB0"/>
    <w:rsid w:val="0048478D"/>
    <w:rsid w:val="00486CF4"/>
    <w:rsid w:val="00496D42"/>
    <w:rsid w:val="004976CD"/>
    <w:rsid w:val="004A2D73"/>
    <w:rsid w:val="004B65A7"/>
    <w:rsid w:val="004D6D77"/>
    <w:rsid w:val="004E78FE"/>
    <w:rsid w:val="00507389"/>
    <w:rsid w:val="005176EB"/>
    <w:rsid w:val="00581BCC"/>
    <w:rsid w:val="005D23E6"/>
    <w:rsid w:val="005D378D"/>
    <w:rsid w:val="005D5A78"/>
    <w:rsid w:val="0060161B"/>
    <w:rsid w:val="006047E5"/>
    <w:rsid w:val="00635E66"/>
    <w:rsid w:val="00636649"/>
    <w:rsid w:val="00644109"/>
    <w:rsid w:val="00652835"/>
    <w:rsid w:val="00680131"/>
    <w:rsid w:val="006837FD"/>
    <w:rsid w:val="006B42E1"/>
    <w:rsid w:val="006D16BC"/>
    <w:rsid w:val="006E63EB"/>
    <w:rsid w:val="006F7F35"/>
    <w:rsid w:val="00713973"/>
    <w:rsid w:val="0071448A"/>
    <w:rsid w:val="007163E0"/>
    <w:rsid w:val="00771659"/>
    <w:rsid w:val="00791CEE"/>
    <w:rsid w:val="007F70E3"/>
    <w:rsid w:val="008112D0"/>
    <w:rsid w:val="008429E7"/>
    <w:rsid w:val="00853A03"/>
    <w:rsid w:val="00860EE4"/>
    <w:rsid w:val="0086193A"/>
    <w:rsid w:val="00862E95"/>
    <w:rsid w:val="008764E4"/>
    <w:rsid w:val="008B0149"/>
    <w:rsid w:val="008B6F24"/>
    <w:rsid w:val="008C552D"/>
    <w:rsid w:val="008D6296"/>
    <w:rsid w:val="008E42B0"/>
    <w:rsid w:val="009134D2"/>
    <w:rsid w:val="00925736"/>
    <w:rsid w:val="00927AD8"/>
    <w:rsid w:val="00927D70"/>
    <w:rsid w:val="009338DA"/>
    <w:rsid w:val="00943588"/>
    <w:rsid w:val="009711B1"/>
    <w:rsid w:val="00974A85"/>
    <w:rsid w:val="00986287"/>
    <w:rsid w:val="00987486"/>
    <w:rsid w:val="00993257"/>
    <w:rsid w:val="009A368D"/>
    <w:rsid w:val="009D5A5C"/>
    <w:rsid w:val="00A066F5"/>
    <w:rsid w:val="00A14FFA"/>
    <w:rsid w:val="00A23590"/>
    <w:rsid w:val="00A262B6"/>
    <w:rsid w:val="00A50B78"/>
    <w:rsid w:val="00A90E49"/>
    <w:rsid w:val="00AB3FFB"/>
    <w:rsid w:val="00AC0C36"/>
    <w:rsid w:val="00AD51E4"/>
    <w:rsid w:val="00B006C8"/>
    <w:rsid w:val="00B06D15"/>
    <w:rsid w:val="00B122CE"/>
    <w:rsid w:val="00B23341"/>
    <w:rsid w:val="00B242F3"/>
    <w:rsid w:val="00B27603"/>
    <w:rsid w:val="00B44E21"/>
    <w:rsid w:val="00B51AC8"/>
    <w:rsid w:val="00B62AC2"/>
    <w:rsid w:val="00B879CA"/>
    <w:rsid w:val="00BA3010"/>
    <w:rsid w:val="00BC2483"/>
    <w:rsid w:val="00BE0A19"/>
    <w:rsid w:val="00C07FF5"/>
    <w:rsid w:val="00C139B4"/>
    <w:rsid w:val="00C35638"/>
    <w:rsid w:val="00C67251"/>
    <w:rsid w:val="00C70775"/>
    <w:rsid w:val="00CB3855"/>
    <w:rsid w:val="00CB5B02"/>
    <w:rsid w:val="00CC77A1"/>
    <w:rsid w:val="00D1242D"/>
    <w:rsid w:val="00D124D2"/>
    <w:rsid w:val="00D131D8"/>
    <w:rsid w:val="00D44D5B"/>
    <w:rsid w:val="00D53344"/>
    <w:rsid w:val="00D57959"/>
    <w:rsid w:val="00D9076F"/>
    <w:rsid w:val="00DF12CC"/>
    <w:rsid w:val="00DF162A"/>
    <w:rsid w:val="00E06B66"/>
    <w:rsid w:val="00E27D35"/>
    <w:rsid w:val="00E40C80"/>
    <w:rsid w:val="00E518F8"/>
    <w:rsid w:val="00E67821"/>
    <w:rsid w:val="00E712EF"/>
    <w:rsid w:val="00E9256A"/>
    <w:rsid w:val="00EB1E96"/>
    <w:rsid w:val="00EB3F83"/>
    <w:rsid w:val="00EE576A"/>
    <w:rsid w:val="00EF06E9"/>
    <w:rsid w:val="00F000DC"/>
    <w:rsid w:val="00F06012"/>
    <w:rsid w:val="00F43DD2"/>
    <w:rsid w:val="00F51E8E"/>
    <w:rsid w:val="00F87529"/>
    <w:rsid w:val="00F95F56"/>
    <w:rsid w:val="00FF16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D5A78"/>
    <w:rPr>
      <w:rFonts w:ascii="Times New Roman" w:eastAsia="Times New Roman" w:hAnsi="Times New Roman"/>
      <w:sz w:val="24"/>
      <w:szCs w:val="24"/>
    </w:rPr>
  </w:style>
  <w:style w:type="paragraph" w:styleId="Virsraksts5">
    <w:name w:val="heading 5"/>
    <w:basedOn w:val="Parastais"/>
    <w:next w:val="Parastai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ais"/>
    <w:uiPriority w:val="99"/>
    <w:rsid w:val="006B42E1"/>
    <w:pPr>
      <w:spacing w:before="45" w:line="360" w:lineRule="auto"/>
      <w:ind w:firstLine="300"/>
    </w:pPr>
    <w:rPr>
      <w:i/>
      <w:iCs/>
      <w:color w:val="414142"/>
      <w:sz w:val="20"/>
      <w:szCs w:val="20"/>
    </w:rPr>
  </w:style>
  <w:style w:type="paragraph" w:styleId="Galvene">
    <w:name w:val="header"/>
    <w:basedOn w:val="Parastai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ai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ais"/>
    <w:uiPriority w:val="99"/>
    <w:rsid w:val="006837FD"/>
    <w:pPr>
      <w:spacing w:line="360" w:lineRule="auto"/>
      <w:ind w:firstLine="300"/>
    </w:pPr>
    <w:rPr>
      <w:color w:val="414142"/>
      <w:sz w:val="20"/>
      <w:szCs w:val="20"/>
    </w:rPr>
  </w:style>
  <w:style w:type="paragraph" w:styleId="Parakstszemobjekta">
    <w:name w:val="caption"/>
    <w:basedOn w:val="Parastais"/>
    <w:next w:val="Parastai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ais"/>
    <w:next w:val="Parastai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ai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ai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ais"/>
    <w:rsid w:val="00E06B66"/>
    <w:pPr>
      <w:spacing w:before="60" w:after="60"/>
    </w:pPr>
  </w:style>
  <w:style w:type="paragraph" w:customStyle="1" w:styleId="naisf">
    <w:name w:val="naisf"/>
    <w:basedOn w:val="Parastai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s>
</file>

<file path=word/webSettings.xml><?xml version="1.0" encoding="utf-8"?>
<w:webSettings xmlns:r="http://schemas.openxmlformats.org/officeDocument/2006/relationships" xmlns:w="http://schemas.openxmlformats.org/wordprocessingml/2006/main">
  <w:divs>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129F-0E7C-4DF1-84A3-1A5F484A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2442</Words>
  <Characters>16953</Characters>
  <Application>Microsoft Office Word</Application>
  <DocSecurity>0</DocSecurity>
  <Lines>807</Lines>
  <Paragraphs>298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Kromane</dc:creator>
  <cp:lastModifiedBy>Renārs Žagars</cp:lastModifiedBy>
  <cp:revision>34</cp:revision>
  <cp:lastPrinted>2014-03-11T07:04:00Z</cp:lastPrinted>
  <dcterms:created xsi:type="dcterms:W3CDTF">2014-03-11T06:37:00Z</dcterms:created>
  <dcterms:modified xsi:type="dcterms:W3CDTF">2014-03-13T13:44:00Z</dcterms:modified>
</cp:coreProperties>
</file>