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18" w:rsidRPr="004941BF" w:rsidRDefault="00802B56">
      <w:pPr>
        <w:spacing w:after="0" w:line="240" w:lineRule="auto"/>
        <w:jc w:val="center"/>
        <w:rPr>
          <w:rFonts w:ascii="Times New Roman" w:hAnsi="Times New Roman" w:cs="Times New Roman"/>
          <w:b/>
          <w:sz w:val="28"/>
          <w:szCs w:val="28"/>
        </w:rPr>
      </w:pPr>
      <w:r w:rsidRPr="004941BF">
        <w:rPr>
          <w:rFonts w:ascii="Times New Roman" w:hAnsi="Times New Roman" w:cs="Times New Roman"/>
          <w:b/>
          <w:sz w:val="28"/>
          <w:szCs w:val="28"/>
        </w:rPr>
        <w:t>Ministru kabineta noteikumu projekta „Grozījumi Ministru kabineta 2009.gada 8.septembra noteikum</w:t>
      </w:r>
      <w:r w:rsidR="006B743B" w:rsidRPr="004941BF">
        <w:rPr>
          <w:rFonts w:ascii="Times New Roman" w:hAnsi="Times New Roman" w:cs="Times New Roman"/>
          <w:b/>
          <w:sz w:val="28"/>
          <w:szCs w:val="28"/>
        </w:rPr>
        <w:t>os</w:t>
      </w:r>
      <w:r w:rsidRPr="004941BF">
        <w:rPr>
          <w:rFonts w:ascii="Times New Roman" w:hAnsi="Times New Roman" w:cs="Times New Roman"/>
          <w:b/>
          <w:sz w:val="28"/>
          <w:szCs w:val="28"/>
        </w:rPr>
        <w:t xml:space="preserve"> Nr.1040 „Piena kvotu administrēšanas noteikumi”” sākotnējās ietekmes novērtējuma </w:t>
      </w:r>
      <w:smartTag w:uri="schemas-tilde-lv/tildestengine" w:element="veidnes">
        <w:smartTagPr>
          <w:attr w:name="text" w:val="ziņojums"/>
          <w:attr w:name="baseform" w:val="ziņojums"/>
          <w:attr w:name="id" w:val="-1"/>
        </w:smartTagPr>
        <w:r w:rsidRPr="004941BF">
          <w:rPr>
            <w:rFonts w:ascii="Times New Roman" w:hAnsi="Times New Roman" w:cs="Times New Roman"/>
            <w:b/>
            <w:sz w:val="28"/>
            <w:szCs w:val="28"/>
          </w:rPr>
          <w:t>ziņojums</w:t>
        </w:r>
      </w:smartTag>
    </w:p>
    <w:p w:rsidR="00D52218" w:rsidRPr="004941BF" w:rsidRDefault="00802B56">
      <w:pPr>
        <w:spacing w:after="0" w:line="240" w:lineRule="auto"/>
        <w:jc w:val="center"/>
        <w:rPr>
          <w:rFonts w:ascii="Times New Roman" w:hAnsi="Times New Roman" w:cs="Times New Roman"/>
          <w:b/>
          <w:sz w:val="28"/>
          <w:szCs w:val="28"/>
        </w:rPr>
      </w:pPr>
      <w:r w:rsidRPr="004941BF">
        <w:rPr>
          <w:rFonts w:ascii="Times New Roman" w:hAnsi="Times New Roman" w:cs="Times New Roman"/>
          <w:b/>
          <w:sz w:val="28"/>
          <w:szCs w:val="28"/>
        </w:rPr>
        <w:t>(anotācija)</w:t>
      </w:r>
      <w:bookmarkStart w:id="0" w:name="468683"/>
      <w:bookmarkEnd w:id="0"/>
    </w:p>
    <w:p w:rsidR="00D52218" w:rsidRDefault="00D52218">
      <w:pPr>
        <w:spacing w:after="0" w:line="240" w:lineRule="auto"/>
        <w:jc w:val="center"/>
        <w:rPr>
          <w:rFonts w:ascii="Times New Roman" w:hAnsi="Times New Roman" w:cs="Times New Roman"/>
          <w:iCs/>
          <w:sz w:val="24"/>
          <w:szCs w:val="24"/>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tblPr>
      <w:tblGrid>
        <w:gridCol w:w="499"/>
        <w:gridCol w:w="2841"/>
        <w:gridCol w:w="5849"/>
      </w:tblGrid>
      <w:tr w:rsidR="00980698" w:rsidRPr="009D0FF3" w:rsidTr="00A17A80">
        <w:trPr>
          <w:trHeight w:val="324"/>
          <w:tblCellSpacing w:w="15" w:type="dxa"/>
        </w:trPr>
        <w:tc>
          <w:tcPr>
            <w:tcW w:w="0" w:type="auto"/>
            <w:gridSpan w:val="3"/>
            <w:vAlign w:val="center"/>
            <w:hideMark/>
          </w:tcPr>
          <w:p w:rsidR="00D52218" w:rsidRDefault="00802B56">
            <w:pPr>
              <w:spacing w:after="0" w:line="240" w:lineRule="auto"/>
              <w:jc w:val="center"/>
              <w:rPr>
                <w:rFonts w:ascii="Times New Roman" w:hAnsi="Times New Roman" w:cs="Times New Roman"/>
                <w:b/>
                <w:bCs/>
                <w:sz w:val="24"/>
                <w:szCs w:val="24"/>
              </w:rPr>
            </w:pPr>
            <w:r w:rsidRPr="00802B56">
              <w:rPr>
                <w:rFonts w:ascii="Times New Roman" w:hAnsi="Times New Roman" w:cs="Times New Roman"/>
                <w:b/>
                <w:bCs/>
                <w:sz w:val="24"/>
                <w:szCs w:val="24"/>
              </w:rPr>
              <w:t>I. Tiesību akta projekta izstrādes nepieciešamība</w:t>
            </w:r>
          </w:p>
        </w:tc>
      </w:tr>
      <w:tr w:rsidR="00980698" w:rsidRPr="009D0FF3" w:rsidTr="00A17A80">
        <w:trPr>
          <w:trHeight w:val="324"/>
          <w:tblCellSpacing w:w="15" w:type="dxa"/>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1.</w:t>
            </w:r>
          </w:p>
        </w:tc>
        <w:tc>
          <w:tcPr>
            <w:tcW w:w="153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Pamatojums</w:t>
            </w:r>
          </w:p>
        </w:tc>
        <w:tc>
          <w:tcPr>
            <w:tcW w:w="3158" w:type="pct"/>
            <w:hideMark/>
          </w:tcPr>
          <w:p w:rsidR="00D52218" w:rsidRDefault="00802B56">
            <w:pPr>
              <w:spacing w:after="0" w:line="240" w:lineRule="auto"/>
              <w:ind w:firstLine="426"/>
              <w:jc w:val="both"/>
              <w:rPr>
                <w:rFonts w:ascii="Times New Roman" w:hAnsi="Times New Roman" w:cs="Times New Roman"/>
                <w:sz w:val="24"/>
                <w:szCs w:val="24"/>
              </w:rPr>
            </w:pPr>
            <w:r w:rsidRPr="00802B56">
              <w:rPr>
                <w:rFonts w:ascii="Times New Roman" w:hAnsi="Times New Roman" w:cs="Times New Roman"/>
                <w:sz w:val="24"/>
                <w:szCs w:val="24"/>
              </w:rPr>
              <w:t xml:space="preserve">Ministru kabineta noteikumu projekts „Grozījumi Ministru kabineta 2009.gada 8.septembra noteikumos Nr.1040 „Piena kvotu administrēšanas noteikumi”” </w:t>
            </w:r>
            <w:r w:rsidRPr="00802B56">
              <w:rPr>
                <w:rFonts w:ascii="Times New Roman" w:hAnsi="Times New Roman" w:cs="Times New Roman"/>
                <w:bCs/>
                <w:sz w:val="24"/>
                <w:szCs w:val="24"/>
              </w:rPr>
              <w:t xml:space="preserve">(turpmāk – noteikumu projekts) sagatavots, pamatojoties uz </w:t>
            </w:r>
            <w:r w:rsidRPr="00802B56">
              <w:rPr>
                <w:rFonts w:ascii="Times New Roman" w:hAnsi="Times New Roman" w:cs="Times New Roman"/>
                <w:sz w:val="24"/>
                <w:szCs w:val="24"/>
              </w:rPr>
              <w:t>Lauksaimniecības un lauku attīstības likuma 7.panta otro daļu.</w:t>
            </w:r>
          </w:p>
        </w:tc>
      </w:tr>
      <w:tr w:rsidR="00980698" w:rsidRPr="009D0FF3" w:rsidTr="00A17A80">
        <w:trPr>
          <w:trHeight w:val="372"/>
          <w:tblCellSpacing w:w="15" w:type="dxa"/>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2.</w:t>
            </w:r>
          </w:p>
        </w:tc>
        <w:tc>
          <w:tcPr>
            <w:tcW w:w="153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Pašreizējā situācija un problēmas, kuru risināšanai tiesību akta projekts izstrādāts, tiesiskā regulējuma mērķis un būtība</w:t>
            </w:r>
          </w:p>
        </w:tc>
        <w:tc>
          <w:tcPr>
            <w:tcW w:w="3158" w:type="pct"/>
            <w:hideMark/>
          </w:tcPr>
          <w:p w:rsidR="009D0FF3" w:rsidRPr="009D0FF3" w:rsidRDefault="009D0FF3" w:rsidP="009D0FF3">
            <w:pPr>
              <w:spacing w:after="0" w:line="240" w:lineRule="auto"/>
              <w:ind w:firstLine="426"/>
              <w:jc w:val="both"/>
              <w:rPr>
                <w:rFonts w:ascii="Times New Roman" w:hAnsi="Times New Roman" w:cs="Times New Roman"/>
                <w:sz w:val="24"/>
                <w:szCs w:val="24"/>
              </w:rPr>
            </w:pPr>
            <w:r w:rsidRPr="009D0FF3">
              <w:rPr>
                <w:rFonts w:ascii="Times New Roman" w:hAnsi="Times New Roman" w:cs="Times New Roman"/>
                <w:sz w:val="24"/>
                <w:szCs w:val="24"/>
              </w:rPr>
              <w:t>Piena kvotu jomu Eiropas Savienībā pašlaik nosaka Padomes 2007.gada 22.oktobra Regula (EK) Nr.1234/2007, ar ko izveido lauksaimniecības tirgu kopīgu organizāciju un paredz konkrētus noteikumus dažiem lauksaimniecības produktiem (</w:t>
            </w:r>
            <w:r w:rsidR="00945C98">
              <w:rPr>
                <w:rFonts w:ascii="Times New Roman" w:hAnsi="Times New Roman" w:cs="Times New Roman"/>
                <w:sz w:val="24"/>
                <w:szCs w:val="24"/>
              </w:rPr>
              <w:t>V</w:t>
            </w:r>
            <w:r w:rsidRPr="009D0FF3">
              <w:rPr>
                <w:rFonts w:ascii="Times New Roman" w:hAnsi="Times New Roman" w:cs="Times New Roman"/>
                <w:sz w:val="24"/>
                <w:szCs w:val="24"/>
              </w:rPr>
              <w:t xml:space="preserve">ienotā KTO regula), (turpmāk – Regula </w:t>
            </w:r>
            <w:r w:rsidR="00945C98">
              <w:rPr>
                <w:rFonts w:ascii="Times New Roman" w:hAnsi="Times New Roman" w:cs="Times New Roman"/>
                <w:sz w:val="24"/>
                <w:szCs w:val="24"/>
              </w:rPr>
              <w:t xml:space="preserve">Nr. </w:t>
            </w:r>
            <w:r w:rsidRPr="009D0FF3">
              <w:rPr>
                <w:rFonts w:ascii="Times New Roman" w:hAnsi="Times New Roman" w:cs="Times New Roman"/>
                <w:sz w:val="24"/>
                <w:szCs w:val="24"/>
              </w:rPr>
              <w:t xml:space="preserve">1234/2007) un Komisijas 2004.gada 30.marta Regula (EK) Nr.595/2004, ar kuru paredz sīki izstrādātus noteikumus par to, kā piemērojama Padomes Regula (EK) Nr.1788/2003, ar ko nosaka maksājumu piena un piena produktu nozarē (turpmāk – Regula </w:t>
            </w:r>
            <w:r w:rsidR="00945C98">
              <w:rPr>
                <w:rFonts w:ascii="Times New Roman" w:hAnsi="Times New Roman" w:cs="Times New Roman"/>
                <w:sz w:val="24"/>
                <w:szCs w:val="24"/>
              </w:rPr>
              <w:t>Nr. </w:t>
            </w:r>
            <w:r w:rsidRPr="009D0FF3">
              <w:rPr>
                <w:rFonts w:ascii="Times New Roman" w:hAnsi="Times New Roman" w:cs="Times New Roman"/>
                <w:sz w:val="24"/>
                <w:szCs w:val="24"/>
              </w:rPr>
              <w:t>595/2004).</w:t>
            </w:r>
          </w:p>
          <w:p w:rsidR="00D52218" w:rsidRDefault="00802B56">
            <w:pPr>
              <w:spacing w:after="0" w:line="240" w:lineRule="auto"/>
              <w:ind w:firstLine="426"/>
              <w:jc w:val="both"/>
              <w:rPr>
                <w:rFonts w:ascii="Times New Roman" w:hAnsi="Times New Roman" w:cs="Times New Roman"/>
                <w:sz w:val="24"/>
                <w:szCs w:val="24"/>
              </w:rPr>
            </w:pPr>
            <w:r w:rsidRPr="00802B56">
              <w:rPr>
                <w:rFonts w:ascii="Times New Roman" w:hAnsi="Times New Roman" w:cs="Times New Roman"/>
                <w:sz w:val="24"/>
                <w:szCs w:val="24"/>
              </w:rPr>
              <w:t xml:space="preserve">Piena kvotas administrēšanas un kontroles kārtību Latvijā nosaka Ministru kabineta 2009.gada 8.septembra noteikumi Nr.1040 „Piena kvotu administrēšanas noteikumi” (turpmāk – noteikumi). </w:t>
            </w:r>
          </w:p>
          <w:p w:rsidR="00D52218" w:rsidRDefault="00802B56">
            <w:pPr>
              <w:spacing w:after="0" w:line="240" w:lineRule="auto"/>
              <w:ind w:firstLine="426"/>
              <w:jc w:val="both"/>
              <w:rPr>
                <w:rFonts w:ascii="Times New Roman" w:hAnsi="Times New Roman" w:cs="Times New Roman"/>
                <w:sz w:val="24"/>
                <w:szCs w:val="24"/>
              </w:rPr>
            </w:pPr>
            <w:r w:rsidRPr="00802B56">
              <w:rPr>
                <w:rFonts w:ascii="Times New Roman" w:hAnsi="Times New Roman" w:cs="Times New Roman"/>
                <w:sz w:val="24"/>
                <w:szCs w:val="24"/>
              </w:rPr>
              <w:t xml:space="preserve">Noteikumi nosaka kārtību, kādā notiek piena kvotu administrēšanas un kontrole, kā tiek veikti darījumi ar piena kvotām, tostarp papildināta valsts rezerve un piešķirta valsts rezervē esošā piena kvota ražotājiem; tāpat ir noteikts, kā notiek informācijas apmaiņa, iesniegumu un gada deklarāciju iesniegšana un kā tiek veikta samaksa par pārsniegto piena kvotu vai termiņā neiesniegtu kvotu gada deklarāciju. </w:t>
            </w:r>
            <w:r w:rsidRPr="00802B56">
              <w:rPr>
                <w:rFonts w:ascii="Times New Roman" w:hAnsi="Times New Roman" w:cs="Times New Roman"/>
                <w:bCs/>
                <w:sz w:val="24"/>
                <w:szCs w:val="24"/>
              </w:rPr>
              <w:t>Piena kvotas administrē</w:t>
            </w:r>
            <w:r w:rsidRPr="00802B56">
              <w:rPr>
                <w:rFonts w:ascii="Times New Roman" w:hAnsi="Times New Roman" w:cs="Times New Roman"/>
                <w:sz w:val="24"/>
                <w:szCs w:val="24"/>
              </w:rPr>
              <w:t xml:space="preserve"> Lauksaimniecības datu centrs (turpmāk – Datu centrs), kontroles funkcijas pilda Pārtikas un veterinārais dienests, bet Lauku atbalsta dienests (turpmāk – LAD) nodrošina maksājumu par pārsniegto piena kvotu ieskaitīšanu Eiropas Lauksaimniecības garantiju fondā.</w:t>
            </w:r>
          </w:p>
          <w:p w:rsidR="00432DC2" w:rsidRPr="00BC7AE4" w:rsidRDefault="009D0FF3" w:rsidP="00432DC2">
            <w:pPr>
              <w:spacing w:after="0" w:line="240" w:lineRule="auto"/>
              <w:ind w:firstLine="426"/>
              <w:jc w:val="both"/>
              <w:rPr>
                <w:rFonts w:ascii="Times New Roman" w:hAnsi="Times New Roman" w:cs="Times New Roman"/>
                <w:sz w:val="24"/>
                <w:szCs w:val="24"/>
              </w:rPr>
            </w:pPr>
            <w:r w:rsidRPr="00BC7AE4">
              <w:rPr>
                <w:rFonts w:ascii="Times New Roman" w:hAnsi="Times New Roman" w:cs="Times New Roman"/>
                <w:sz w:val="24"/>
                <w:szCs w:val="24"/>
              </w:rPr>
              <w:t xml:space="preserve">Piensaimniecības nozare valstī aktīvi attīstās, un ik gadu palielinās izslaukums, tāpēc valsts piena kvota pildās aizvien intensīvāk un pastāv risks to pārsniegt. </w:t>
            </w:r>
            <w:r w:rsidR="00945C98" w:rsidRPr="00BC7AE4">
              <w:rPr>
                <w:rFonts w:ascii="Times New Roman" w:hAnsi="Times New Roman" w:cs="Times New Roman"/>
                <w:sz w:val="24"/>
                <w:szCs w:val="24"/>
              </w:rPr>
              <w:t>Tā kā v</w:t>
            </w:r>
            <w:r w:rsidR="00E85FAA" w:rsidRPr="00BC7AE4">
              <w:rPr>
                <w:rFonts w:ascii="Times New Roman" w:hAnsi="Times New Roman" w:cs="Times New Roman"/>
                <w:sz w:val="24"/>
                <w:szCs w:val="24"/>
              </w:rPr>
              <w:t xml:space="preserve">alsts rezervē uzkrātā piena kvota pēdējā piena kvotas gadā pēc iespējas ir jāizlieto ražošanai, </w:t>
            </w:r>
            <w:r w:rsidR="00945C98" w:rsidRPr="00BC7AE4">
              <w:rPr>
                <w:rFonts w:ascii="Times New Roman" w:hAnsi="Times New Roman" w:cs="Times New Roman"/>
                <w:sz w:val="24"/>
                <w:szCs w:val="24"/>
              </w:rPr>
              <w:t>tad</w:t>
            </w:r>
            <w:r w:rsidR="00E85FAA" w:rsidRPr="00BC7AE4">
              <w:rPr>
                <w:rFonts w:ascii="Times New Roman" w:hAnsi="Times New Roman" w:cs="Times New Roman"/>
                <w:sz w:val="24"/>
                <w:szCs w:val="24"/>
              </w:rPr>
              <w:t xml:space="preserve"> ir jāizdara grozījumi noteikumos, l</w:t>
            </w:r>
            <w:r w:rsidR="00432DC2" w:rsidRPr="00BC7AE4">
              <w:rPr>
                <w:rFonts w:ascii="Times New Roman" w:hAnsi="Times New Roman" w:cs="Times New Roman"/>
                <w:sz w:val="24"/>
                <w:szCs w:val="24"/>
              </w:rPr>
              <w:t>ai ražotājiem dotu iespēju papildināt savu piena kvotas apjomu jau esošajā piena kvotas gadā</w:t>
            </w:r>
            <w:r w:rsidR="00E85FAA" w:rsidRPr="00BC7AE4">
              <w:rPr>
                <w:rFonts w:ascii="Times New Roman" w:hAnsi="Times New Roman" w:cs="Times New Roman"/>
                <w:sz w:val="24"/>
                <w:szCs w:val="24"/>
              </w:rPr>
              <w:t xml:space="preserve"> un sa</w:t>
            </w:r>
            <w:r w:rsidR="00432DC2" w:rsidRPr="00BC7AE4">
              <w:rPr>
                <w:rFonts w:ascii="Times New Roman" w:hAnsi="Times New Roman" w:cs="Times New Roman"/>
                <w:sz w:val="24"/>
                <w:szCs w:val="24"/>
              </w:rPr>
              <w:t>mazinātu risku pārsniegt piena kvotu</w:t>
            </w:r>
            <w:r w:rsidR="00E85FAA" w:rsidRPr="00BC7AE4">
              <w:rPr>
                <w:rFonts w:ascii="Times New Roman" w:hAnsi="Times New Roman" w:cs="Times New Roman"/>
                <w:sz w:val="24"/>
                <w:szCs w:val="24"/>
              </w:rPr>
              <w:t>.</w:t>
            </w:r>
            <w:r w:rsidR="00432DC2" w:rsidRPr="00BC7AE4">
              <w:rPr>
                <w:rFonts w:ascii="Times New Roman" w:hAnsi="Times New Roman" w:cs="Times New Roman"/>
                <w:sz w:val="24"/>
                <w:szCs w:val="24"/>
              </w:rPr>
              <w:t xml:space="preserve"> </w:t>
            </w:r>
          </w:p>
          <w:p w:rsidR="00432DC2" w:rsidRPr="00C43C42" w:rsidRDefault="00025C3E" w:rsidP="009D0FF3">
            <w:pPr>
              <w:spacing w:after="0" w:line="240" w:lineRule="auto"/>
              <w:ind w:firstLine="426"/>
              <w:jc w:val="both"/>
              <w:rPr>
                <w:rFonts w:ascii="Times New Roman" w:hAnsi="Times New Roman" w:cs="Times New Roman"/>
                <w:sz w:val="24"/>
                <w:szCs w:val="24"/>
              </w:rPr>
            </w:pPr>
            <w:r w:rsidRPr="00C43C42">
              <w:rPr>
                <w:rFonts w:ascii="Times New Roman" w:hAnsi="Times New Roman" w:cs="Times New Roman"/>
                <w:sz w:val="24"/>
                <w:szCs w:val="24"/>
              </w:rPr>
              <w:t xml:space="preserve">Saskaņā ar Regulas </w:t>
            </w:r>
            <w:r w:rsidR="00945C98" w:rsidRPr="00C43C42">
              <w:rPr>
                <w:rFonts w:ascii="Times New Roman" w:hAnsi="Times New Roman" w:cs="Times New Roman"/>
                <w:sz w:val="24"/>
                <w:szCs w:val="24"/>
              </w:rPr>
              <w:t>Nr.</w:t>
            </w:r>
            <w:r w:rsidRPr="00C43C42">
              <w:rPr>
                <w:rFonts w:ascii="Times New Roman" w:hAnsi="Times New Roman" w:cs="Times New Roman"/>
                <w:sz w:val="24"/>
                <w:szCs w:val="24"/>
              </w:rPr>
              <w:t xml:space="preserve">1234/2007 204.panta 4.punktu no </w:t>
            </w:r>
            <w:r w:rsidR="009D0FF3" w:rsidRPr="00C43C42">
              <w:rPr>
                <w:rFonts w:ascii="Times New Roman" w:hAnsi="Times New Roman" w:cs="Times New Roman"/>
                <w:sz w:val="24"/>
                <w:szCs w:val="24"/>
              </w:rPr>
              <w:t>2015.gada 1.aprī</w:t>
            </w:r>
            <w:r w:rsidRPr="00C43C42">
              <w:rPr>
                <w:rFonts w:ascii="Times New Roman" w:hAnsi="Times New Roman" w:cs="Times New Roman"/>
                <w:sz w:val="24"/>
                <w:szCs w:val="24"/>
              </w:rPr>
              <w:t>ļa</w:t>
            </w:r>
            <w:r w:rsidR="009D0FF3" w:rsidRPr="00C43C42">
              <w:rPr>
                <w:rFonts w:ascii="Times New Roman" w:hAnsi="Times New Roman" w:cs="Times New Roman"/>
                <w:sz w:val="24"/>
                <w:szCs w:val="24"/>
              </w:rPr>
              <w:t xml:space="preserve"> piena kvotu sistēma tiks atcelta</w:t>
            </w:r>
            <w:r w:rsidRPr="00C43C42">
              <w:rPr>
                <w:rFonts w:ascii="Times New Roman" w:hAnsi="Times New Roman" w:cs="Times New Roman"/>
                <w:sz w:val="24"/>
                <w:szCs w:val="24"/>
              </w:rPr>
              <w:t xml:space="preserve">. </w:t>
            </w:r>
            <w:r w:rsidR="00945C98" w:rsidRPr="00C43C42">
              <w:rPr>
                <w:rFonts w:ascii="Times New Roman" w:hAnsi="Times New Roman" w:cs="Times New Roman"/>
                <w:sz w:val="24"/>
                <w:szCs w:val="24"/>
              </w:rPr>
              <w:t xml:space="preserve">Tā </w:t>
            </w:r>
            <w:r w:rsidR="00945C98" w:rsidRPr="00C43C42">
              <w:rPr>
                <w:rFonts w:ascii="Times New Roman" w:hAnsi="Times New Roman" w:cs="Times New Roman"/>
                <w:sz w:val="24"/>
                <w:szCs w:val="24"/>
              </w:rPr>
              <w:lastRenderedPageBreak/>
              <w:t>kā</w:t>
            </w:r>
            <w:r w:rsidRPr="00C43C42">
              <w:rPr>
                <w:rFonts w:ascii="Times New Roman" w:hAnsi="Times New Roman" w:cs="Times New Roman"/>
                <w:sz w:val="24"/>
                <w:szCs w:val="24"/>
              </w:rPr>
              <w:t xml:space="preserve"> </w:t>
            </w:r>
            <w:r w:rsidR="009D0FF3" w:rsidRPr="00C43C42">
              <w:rPr>
                <w:rFonts w:ascii="Times New Roman" w:hAnsi="Times New Roman" w:cs="Times New Roman"/>
                <w:sz w:val="24"/>
                <w:szCs w:val="24"/>
              </w:rPr>
              <w:t>2014./2015.piena kvotas gad</w:t>
            </w:r>
            <w:r w:rsidRPr="00C43C42">
              <w:rPr>
                <w:rFonts w:ascii="Times New Roman" w:hAnsi="Times New Roman" w:cs="Times New Roman"/>
                <w:sz w:val="24"/>
                <w:szCs w:val="24"/>
              </w:rPr>
              <w:t>s ir pēdējais</w:t>
            </w:r>
            <w:r w:rsidR="00945C98" w:rsidRPr="00C43C42">
              <w:rPr>
                <w:rFonts w:ascii="Times New Roman" w:hAnsi="Times New Roman" w:cs="Times New Roman"/>
                <w:sz w:val="24"/>
                <w:szCs w:val="24"/>
              </w:rPr>
              <w:t xml:space="preserve"> gads</w:t>
            </w:r>
            <w:r w:rsidRPr="00C43C42">
              <w:rPr>
                <w:rFonts w:ascii="Times New Roman" w:hAnsi="Times New Roman" w:cs="Times New Roman"/>
                <w:sz w:val="24"/>
                <w:szCs w:val="24"/>
              </w:rPr>
              <w:t>, kad darboj</w:t>
            </w:r>
            <w:r w:rsidR="00945C98" w:rsidRPr="00C43C42">
              <w:rPr>
                <w:rFonts w:ascii="Times New Roman" w:hAnsi="Times New Roman" w:cs="Times New Roman"/>
                <w:sz w:val="24"/>
                <w:szCs w:val="24"/>
              </w:rPr>
              <w:t>a</w:t>
            </w:r>
            <w:r w:rsidRPr="00C43C42">
              <w:rPr>
                <w:rFonts w:ascii="Times New Roman" w:hAnsi="Times New Roman" w:cs="Times New Roman"/>
                <w:sz w:val="24"/>
                <w:szCs w:val="24"/>
              </w:rPr>
              <w:t>s piena kvotu sistēma</w:t>
            </w:r>
            <w:r w:rsidR="00945C98" w:rsidRPr="00C43C42">
              <w:rPr>
                <w:rFonts w:ascii="Times New Roman" w:hAnsi="Times New Roman" w:cs="Times New Roman"/>
                <w:sz w:val="24"/>
                <w:szCs w:val="24"/>
              </w:rPr>
              <w:t>,</w:t>
            </w:r>
            <w:r w:rsidRPr="00C43C42">
              <w:rPr>
                <w:rFonts w:ascii="Times New Roman" w:hAnsi="Times New Roman" w:cs="Times New Roman"/>
                <w:sz w:val="24"/>
                <w:szCs w:val="24"/>
              </w:rPr>
              <w:t xml:space="preserve"> un </w:t>
            </w:r>
            <w:r w:rsidR="00945C98" w:rsidRPr="00C43C42">
              <w:rPr>
                <w:rFonts w:ascii="Times New Roman" w:hAnsi="Times New Roman" w:cs="Times New Roman"/>
                <w:sz w:val="24"/>
                <w:szCs w:val="24"/>
              </w:rPr>
              <w:t xml:space="preserve">tas </w:t>
            </w:r>
            <w:r w:rsidRPr="00C43C42">
              <w:rPr>
                <w:rFonts w:ascii="Times New Roman" w:hAnsi="Times New Roman" w:cs="Times New Roman"/>
                <w:sz w:val="24"/>
                <w:szCs w:val="24"/>
              </w:rPr>
              <w:t>beidz</w:t>
            </w:r>
            <w:r w:rsidR="00432DC2" w:rsidRPr="00C43C42">
              <w:rPr>
                <w:rFonts w:ascii="Times New Roman" w:hAnsi="Times New Roman" w:cs="Times New Roman"/>
                <w:sz w:val="24"/>
                <w:szCs w:val="24"/>
              </w:rPr>
              <w:t>a</w:t>
            </w:r>
            <w:r w:rsidRPr="00C43C42">
              <w:rPr>
                <w:rFonts w:ascii="Times New Roman" w:hAnsi="Times New Roman" w:cs="Times New Roman"/>
                <w:sz w:val="24"/>
                <w:szCs w:val="24"/>
              </w:rPr>
              <w:t xml:space="preserve">s 2015.gada 31.martā, tad </w:t>
            </w:r>
            <w:r w:rsidR="00432DC2" w:rsidRPr="00C43C42">
              <w:rPr>
                <w:rFonts w:ascii="Times New Roman" w:hAnsi="Times New Roman" w:cs="Times New Roman"/>
                <w:sz w:val="24"/>
                <w:szCs w:val="24"/>
              </w:rPr>
              <w:t>noteikumi jāpapildina ar spēkā esamības termiņu piena kvotu sistēmai.</w:t>
            </w:r>
          </w:p>
          <w:p w:rsidR="009D0FF3" w:rsidRPr="009D0FF3" w:rsidRDefault="009D0FF3" w:rsidP="009D0FF3">
            <w:pPr>
              <w:spacing w:after="0" w:line="240" w:lineRule="auto"/>
              <w:ind w:firstLine="426"/>
              <w:jc w:val="both"/>
              <w:rPr>
                <w:rFonts w:ascii="Times New Roman" w:hAnsi="Times New Roman" w:cs="Times New Roman"/>
                <w:sz w:val="24"/>
                <w:szCs w:val="24"/>
              </w:rPr>
            </w:pPr>
            <w:r w:rsidRPr="009D0FF3">
              <w:rPr>
                <w:rFonts w:ascii="Times New Roman" w:hAnsi="Times New Roman" w:cs="Times New Roman"/>
                <w:sz w:val="24"/>
                <w:szCs w:val="24"/>
              </w:rPr>
              <w:t>Pašlaik noteikumi paredz, ka ražotājs piena kvotu var nomāt, ja savu piena kvotu ir izpildījis 100 procentu apmērā. Lai ražotājs pēc iespējas savlaicīgāk varētu papildināt trūkstošo kvotas apjomu</w:t>
            </w:r>
            <w:r w:rsidR="006B743B">
              <w:rPr>
                <w:rFonts w:ascii="Times New Roman" w:hAnsi="Times New Roman" w:cs="Times New Roman"/>
                <w:sz w:val="24"/>
                <w:szCs w:val="24"/>
              </w:rPr>
              <w:t>,</w:t>
            </w:r>
            <w:r w:rsidRPr="009D0FF3">
              <w:rPr>
                <w:rFonts w:ascii="Times New Roman" w:hAnsi="Times New Roman" w:cs="Times New Roman"/>
                <w:sz w:val="24"/>
                <w:szCs w:val="24"/>
              </w:rPr>
              <w:t xml:space="preserve"> ir </w:t>
            </w:r>
            <w:r w:rsidR="006B743B">
              <w:rPr>
                <w:rFonts w:ascii="Times New Roman" w:hAnsi="Times New Roman" w:cs="Times New Roman"/>
                <w:sz w:val="24"/>
                <w:szCs w:val="24"/>
              </w:rPr>
              <w:t>jā</w:t>
            </w:r>
            <w:r w:rsidRPr="009D0FF3">
              <w:rPr>
                <w:rFonts w:ascii="Times New Roman" w:hAnsi="Times New Roman" w:cs="Times New Roman"/>
                <w:sz w:val="24"/>
                <w:szCs w:val="24"/>
              </w:rPr>
              <w:t>atvieglo nosacījum</w:t>
            </w:r>
            <w:r w:rsidR="006B743B">
              <w:rPr>
                <w:rFonts w:ascii="Times New Roman" w:hAnsi="Times New Roman" w:cs="Times New Roman"/>
                <w:sz w:val="24"/>
                <w:szCs w:val="24"/>
              </w:rPr>
              <w:t>i</w:t>
            </w:r>
            <w:r w:rsidRPr="009D0FF3">
              <w:rPr>
                <w:rFonts w:ascii="Times New Roman" w:hAnsi="Times New Roman" w:cs="Times New Roman"/>
                <w:sz w:val="24"/>
                <w:szCs w:val="24"/>
              </w:rPr>
              <w:t xml:space="preserve"> ražotājiem un noteikumu projektā jāparedz, ka ražotājs piena kvotu var nomāt, ja piena kvota ir izmantota 9</w:t>
            </w:r>
            <w:r w:rsidR="00BC149B">
              <w:rPr>
                <w:rFonts w:ascii="Times New Roman" w:hAnsi="Times New Roman" w:cs="Times New Roman"/>
                <w:sz w:val="24"/>
                <w:szCs w:val="24"/>
              </w:rPr>
              <w:t>5</w:t>
            </w:r>
            <w:r w:rsidRPr="009D0FF3">
              <w:rPr>
                <w:rFonts w:ascii="Times New Roman" w:hAnsi="Times New Roman" w:cs="Times New Roman"/>
                <w:b/>
                <w:i/>
                <w:sz w:val="24"/>
                <w:szCs w:val="24"/>
              </w:rPr>
              <w:t xml:space="preserve"> </w:t>
            </w:r>
            <w:r w:rsidRPr="009D0FF3">
              <w:rPr>
                <w:rFonts w:ascii="Times New Roman" w:hAnsi="Times New Roman" w:cs="Times New Roman"/>
                <w:sz w:val="24"/>
                <w:szCs w:val="24"/>
              </w:rPr>
              <w:t xml:space="preserve">procentu apjomā. Pēdējā piena kvotu gadā pēc iespējas lielāks piena kvotas apjoms ir jālaiž apritē un jāatceļ ierobežojums ražotājam no valsts rezerves saņemto piena kvotu iznomāt vai pārdot, kā noteikts noteikumu 39.punktā. </w:t>
            </w:r>
          </w:p>
          <w:p w:rsidR="00BC1B98" w:rsidRPr="00C43C42" w:rsidRDefault="009D0FF3">
            <w:pPr>
              <w:spacing w:after="0" w:line="240" w:lineRule="auto"/>
              <w:ind w:firstLine="426"/>
              <w:jc w:val="both"/>
              <w:rPr>
                <w:rFonts w:ascii="Times New Roman" w:hAnsi="Times New Roman" w:cs="Times New Roman"/>
                <w:sz w:val="24"/>
                <w:szCs w:val="24"/>
              </w:rPr>
            </w:pPr>
            <w:r w:rsidRPr="009D0FF3">
              <w:rPr>
                <w:rFonts w:ascii="Times New Roman" w:hAnsi="Times New Roman" w:cs="Times New Roman"/>
                <w:sz w:val="24"/>
                <w:szCs w:val="24"/>
              </w:rPr>
              <w:t>Saskaņā ar noteikumiem piena ražotāji katru gadu līdz 1.jūlijam var pieteikties piena kvotas saņemšanai no valsts rezerves</w:t>
            </w:r>
            <w:r w:rsidR="00B51189">
              <w:rPr>
                <w:rFonts w:ascii="Times New Roman" w:hAnsi="Times New Roman" w:cs="Times New Roman"/>
                <w:sz w:val="24"/>
                <w:szCs w:val="24"/>
              </w:rPr>
              <w:t xml:space="preserve"> nākamajam piena kvotas gadam</w:t>
            </w:r>
            <w:r w:rsidRPr="009D0FF3">
              <w:rPr>
                <w:rFonts w:ascii="Times New Roman" w:hAnsi="Times New Roman" w:cs="Times New Roman"/>
                <w:sz w:val="24"/>
                <w:szCs w:val="24"/>
              </w:rPr>
              <w:t xml:space="preserve">. Tā kā 2014./2015.piena kvotas gads ir pēdējais piena kvotas gads </w:t>
            </w:r>
            <w:r w:rsidR="00B51189">
              <w:rPr>
                <w:rFonts w:ascii="Times New Roman" w:hAnsi="Times New Roman" w:cs="Times New Roman"/>
                <w:sz w:val="24"/>
                <w:szCs w:val="24"/>
              </w:rPr>
              <w:t xml:space="preserve">(piena kvotu sistēma tiek atcelta no 2015.gada 1.aprīļa) </w:t>
            </w:r>
            <w:r w:rsidRPr="009D0FF3">
              <w:rPr>
                <w:rFonts w:ascii="Times New Roman" w:hAnsi="Times New Roman" w:cs="Times New Roman"/>
                <w:sz w:val="24"/>
                <w:szCs w:val="24"/>
              </w:rPr>
              <w:t>un valsts rezerves sadale nākamā gada jūlijā vairs nebūs nepieciešama, tad, lai visa valsts rezervē esošā piena kvot</w:t>
            </w:r>
            <w:r w:rsidR="00BC1B98">
              <w:rPr>
                <w:rFonts w:ascii="Times New Roman" w:hAnsi="Times New Roman" w:cs="Times New Roman"/>
                <w:sz w:val="24"/>
                <w:szCs w:val="24"/>
              </w:rPr>
              <w:t>a</w:t>
            </w:r>
            <w:r w:rsidRPr="009D0FF3">
              <w:rPr>
                <w:rFonts w:ascii="Times New Roman" w:hAnsi="Times New Roman" w:cs="Times New Roman"/>
                <w:sz w:val="24"/>
                <w:szCs w:val="24"/>
              </w:rPr>
              <w:t xml:space="preserve"> tiktu izlietota, tā ir jāizdala ražotājiem </w:t>
            </w:r>
            <w:r w:rsidR="00B51189">
              <w:rPr>
                <w:rFonts w:ascii="Times New Roman" w:hAnsi="Times New Roman" w:cs="Times New Roman"/>
                <w:sz w:val="24"/>
                <w:szCs w:val="24"/>
              </w:rPr>
              <w:t xml:space="preserve">esošā </w:t>
            </w:r>
            <w:r w:rsidRPr="009D0FF3">
              <w:rPr>
                <w:rFonts w:ascii="Times New Roman" w:hAnsi="Times New Roman" w:cs="Times New Roman"/>
                <w:sz w:val="24"/>
                <w:szCs w:val="24"/>
              </w:rPr>
              <w:t>kvotas gada beigās. Noteikumu projekts jāpapildina ar pārejas noteikumiem, kas pēdējā 2014./2015.piena kvotas gadā nosaka ražotājiem pieteikšanās termiņu papildu piena kvotas saņemšanai no valsts rezerves, un attiecīgi jāprecizē piešķiramo piena kvotas aprēķinu formulā minētie termiņi</w:t>
            </w:r>
            <w:r w:rsidR="00DD0606">
              <w:rPr>
                <w:rFonts w:ascii="Times New Roman" w:hAnsi="Times New Roman" w:cs="Times New Roman"/>
                <w:sz w:val="24"/>
                <w:szCs w:val="24"/>
              </w:rPr>
              <w:t xml:space="preserve">. </w:t>
            </w:r>
            <w:r w:rsidR="00DD0606" w:rsidRPr="00C43C42">
              <w:rPr>
                <w:rFonts w:ascii="Times New Roman" w:hAnsi="Times New Roman" w:cs="Times New Roman"/>
                <w:sz w:val="24"/>
                <w:szCs w:val="24"/>
              </w:rPr>
              <w:t>Pieteikties piena kvotai no valsts rezerves pēdējā piena kvotas gadā var</w:t>
            </w:r>
            <w:r w:rsidR="00B302F0" w:rsidRPr="00C43C42">
              <w:rPr>
                <w:rFonts w:ascii="Times New Roman" w:hAnsi="Times New Roman" w:cs="Times New Roman"/>
                <w:sz w:val="24"/>
                <w:szCs w:val="24"/>
              </w:rPr>
              <w:t xml:space="preserve"> </w:t>
            </w:r>
            <w:r w:rsidR="00DD0606" w:rsidRPr="00C43C42">
              <w:rPr>
                <w:rFonts w:ascii="Times New Roman" w:hAnsi="Times New Roman" w:cs="Times New Roman"/>
                <w:sz w:val="24"/>
                <w:szCs w:val="24"/>
              </w:rPr>
              <w:t>visi piena ražotāji</w:t>
            </w:r>
            <w:r w:rsidR="00B302F0" w:rsidRPr="00C43C42">
              <w:rPr>
                <w:rFonts w:ascii="Times New Roman" w:hAnsi="Times New Roman" w:cs="Times New Roman"/>
                <w:sz w:val="24"/>
                <w:szCs w:val="24"/>
              </w:rPr>
              <w:t>, k</w:t>
            </w:r>
            <w:r w:rsidR="00945C98" w:rsidRPr="00C43C42">
              <w:rPr>
                <w:rFonts w:ascii="Times New Roman" w:hAnsi="Times New Roman" w:cs="Times New Roman"/>
                <w:sz w:val="24"/>
                <w:szCs w:val="24"/>
              </w:rPr>
              <w:t>as</w:t>
            </w:r>
            <w:r w:rsidR="00B302F0" w:rsidRPr="00C43C42">
              <w:rPr>
                <w:rFonts w:ascii="Times New Roman" w:hAnsi="Times New Roman" w:cs="Times New Roman"/>
                <w:sz w:val="24"/>
                <w:szCs w:val="24"/>
              </w:rPr>
              <w:t xml:space="preserve"> atbilst noteikumu projekta</w:t>
            </w:r>
            <w:r w:rsidR="00945C98" w:rsidRPr="00C43C42">
              <w:rPr>
                <w:rFonts w:ascii="Times New Roman" w:hAnsi="Times New Roman" w:cs="Times New Roman"/>
                <w:sz w:val="24"/>
                <w:szCs w:val="24"/>
              </w:rPr>
              <w:t xml:space="preserve"> </w:t>
            </w:r>
            <w:r w:rsidR="000B29F3" w:rsidRPr="00C43C42">
              <w:rPr>
                <w:rFonts w:ascii="Times New Roman" w:hAnsi="Times New Roman" w:cs="Times New Roman"/>
                <w:sz w:val="24"/>
                <w:szCs w:val="24"/>
              </w:rPr>
              <w:t>„Grozījumi Ministru kabineta 2009.gada 8.septembra noteikumos Nr.1040 „Piena kvotu administrēšanas noteikumi””</w:t>
            </w:r>
            <w:r w:rsidR="00B302F0" w:rsidRPr="00C43C42">
              <w:rPr>
                <w:rFonts w:ascii="Times New Roman" w:hAnsi="Times New Roman" w:cs="Times New Roman"/>
                <w:sz w:val="24"/>
                <w:szCs w:val="24"/>
              </w:rPr>
              <w:t xml:space="preserve"> </w:t>
            </w:r>
            <w:r w:rsidR="00945C98" w:rsidRPr="00C43C42">
              <w:rPr>
                <w:rFonts w:ascii="Times New Roman" w:hAnsi="Times New Roman" w:cs="Times New Roman"/>
                <w:sz w:val="24"/>
                <w:szCs w:val="24"/>
              </w:rPr>
              <w:t xml:space="preserve">(turpmāk – noteikumu projekts) </w:t>
            </w:r>
            <w:r w:rsidR="00B302F0" w:rsidRPr="00C43C42">
              <w:rPr>
                <w:rFonts w:ascii="Times New Roman" w:hAnsi="Times New Roman" w:cs="Times New Roman"/>
                <w:sz w:val="24"/>
                <w:szCs w:val="24"/>
              </w:rPr>
              <w:t xml:space="preserve">4.punkta nosacījumiem. Piešķiramās kvotas aprēķināšanas princips netiek mainīts, </w:t>
            </w:r>
            <w:r w:rsidR="00945C98" w:rsidRPr="00C43C42">
              <w:rPr>
                <w:rFonts w:ascii="Times New Roman" w:hAnsi="Times New Roman" w:cs="Times New Roman"/>
                <w:sz w:val="24"/>
                <w:szCs w:val="24"/>
              </w:rPr>
              <w:t xml:space="preserve">bet </w:t>
            </w:r>
            <w:r w:rsidR="00B302F0" w:rsidRPr="00C43C42">
              <w:rPr>
                <w:rFonts w:ascii="Times New Roman" w:hAnsi="Times New Roman" w:cs="Times New Roman"/>
                <w:sz w:val="24"/>
                <w:szCs w:val="24"/>
              </w:rPr>
              <w:t xml:space="preserve">formulā </w:t>
            </w:r>
            <w:r w:rsidR="00945C98" w:rsidRPr="00C43C42">
              <w:rPr>
                <w:rFonts w:ascii="Times New Roman" w:hAnsi="Times New Roman" w:cs="Times New Roman"/>
                <w:sz w:val="24"/>
                <w:szCs w:val="24"/>
              </w:rPr>
              <w:t xml:space="preserve">tiek </w:t>
            </w:r>
            <w:r w:rsidR="00B302F0" w:rsidRPr="00C43C42">
              <w:rPr>
                <w:rFonts w:ascii="Times New Roman" w:hAnsi="Times New Roman" w:cs="Times New Roman"/>
                <w:sz w:val="24"/>
                <w:szCs w:val="24"/>
              </w:rPr>
              <w:t>mainīts tikai datums</w:t>
            </w:r>
            <w:r w:rsidR="000E286C" w:rsidRPr="00C43C42">
              <w:rPr>
                <w:rFonts w:ascii="Times New Roman" w:hAnsi="Times New Roman" w:cs="Times New Roman"/>
                <w:sz w:val="24"/>
                <w:szCs w:val="24"/>
              </w:rPr>
              <w:t>,</w:t>
            </w:r>
            <w:r w:rsidR="00B302F0" w:rsidRPr="00C43C42">
              <w:rPr>
                <w:rFonts w:ascii="Times New Roman" w:hAnsi="Times New Roman" w:cs="Times New Roman"/>
                <w:sz w:val="24"/>
                <w:szCs w:val="24"/>
              </w:rPr>
              <w:t xml:space="preserve"> </w:t>
            </w:r>
            <w:r w:rsidR="00945C98" w:rsidRPr="00C43C42">
              <w:rPr>
                <w:rFonts w:ascii="Times New Roman" w:hAnsi="Times New Roman" w:cs="Times New Roman"/>
                <w:sz w:val="24"/>
                <w:szCs w:val="24"/>
              </w:rPr>
              <w:t>līdz</w:t>
            </w:r>
            <w:r w:rsidR="00B302F0" w:rsidRPr="00C43C42">
              <w:rPr>
                <w:rFonts w:ascii="Times New Roman" w:hAnsi="Times New Roman" w:cs="Times New Roman"/>
                <w:sz w:val="24"/>
                <w:szCs w:val="24"/>
              </w:rPr>
              <w:t xml:space="preserve"> kur</w:t>
            </w:r>
            <w:r w:rsidR="00945C98" w:rsidRPr="00C43C42">
              <w:rPr>
                <w:rFonts w:ascii="Times New Roman" w:hAnsi="Times New Roman" w:cs="Times New Roman"/>
                <w:sz w:val="24"/>
                <w:szCs w:val="24"/>
              </w:rPr>
              <w:t>am</w:t>
            </w:r>
            <w:r w:rsidR="00B302F0" w:rsidRPr="00C43C42">
              <w:rPr>
                <w:rFonts w:ascii="Times New Roman" w:hAnsi="Times New Roman" w:cs="Times New Roman"/>
                <w:sz w:val="24"/>
                <w:szCs w:val="24"/>
              </w:rPr>
              <w:t xml:space="preserve"> tiek ņemts vērā saimniecībā esošo dzīvnieku – govju un telīšu </w:t>
            </w:r>
            <w:r w:rsidR="00F41BF4" w:rsidRPr="00C43C42">
              <w:rPr>
                <w:rFonts w:ascii="Times New Roman" w:hAnsi="Times New Roman" w:cs="Times New Roman"/>
                <w:sz w:val="24"/>
                <w:szCs w:val="24"/>
              </w:rPr>
              <w:t xml:space="preserve">– </w:t>
            </w:r>
            <w:r w:rsidR="00B302F0" w:rsidRPr="00C43C42">
              <w:rPr>
                <w:rFonts w:ascii="Times New Roman" w:hAnsi="Times New Roman" w:cs="Times New Roman"/>
                <w:sz w:val="24"/>
                <w:szCs w:val="24"/>
              </w:rPr>
              <w:t>skaits.</w:t>
            </w:r>
            <w:r w:rsidR="00BC1B98" w:rsidRPr="00C43C42">
              <w:rPr>
                <w:rFonts w:ascii="Times New Roman" w:hAnsi="Times New Roman" w:cs="Times New Roman"/>
                <w:sz w:val="24"/>
                <w:szCs w:val="24"/>
              </w:rPr>
              <w:t xml:space="preserve"> </w:t>
            </w:r>
            <w:r w:rsidR="00B302F0" w:rsidRPr="00C43C42">
              <w:rPr>
                <w:rFonts w:ascii="Times New Roman" w:hAnsi="Times New Roman" w:cs="Times New Roman"/>
                <w:sz w:val="24"/>
                <w:szCs w:val="24"/>
              </w:rPr>
              <w:t xml:space="preserve">Piešķiramās </w:t>
            </w:r>
            <w:r w:rsidR="00BC1B98" w:rsidRPr="00C43C42">
              <w:rPr>
                <w:rFonts w:ascii="Times New Roman" w:hAnsi="Times New Roman" w:cs="Times New Roman"/>
                <w:sz w:val="24"/>
                <w:szCs w:val="24"/>
              </w:rPr>
              <w:t xml:space="preserve">piena </w:t>
            </w:r>
            <w:r w:rsidR="00B302F0" w:rsidRPr="00C43C42">
              <w:rPr>
                <w:rFonts w:ascii="Times New Roman" w:hAnsi="Times New Roman" w:cs="Times New Roman"/>
                <w:sz w:val="24"/>
                <w:szCs w:val="24"/>
              </w:rPr>
              <w:t xml:space="preserve">kvotas sadales princips </w:t>
            </w:r>
            <w:r w:rsidR="00BC1B98" w:rsidRPr="00C43C42">
              <w:rPr>
                <w:rFonts w:ascii="Times New Roman" w:hAnsi="Times New Roman" w:cs="Times New Roman"/>
                <w:sz w:val="24"/>
                <w:szCs w:val="24"/>
              </w:rPr>
              <w:t xml:space="preserve">paliek iepriekšējais saskaņā ar noteikumu 41.punktu. </w:t>
            </w:r>
          </w:p>
          <w:p w:rsidR="00D52218" w:rsidRDefault="006B74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Turklāt</w:t>
            </w:r>
            <w:r w:rsidR="00802B56" w:rsidRPr="00802B56">
              <w:rPr>
                <w:rFonts w:ascii="Times New Roman" w:hAnsi="Times New Roman" w:cs="Times New Roman"/>
                <w:sz w:val="24"/>
                <w:szCs w:val="24"/>
              </w:rPr>
              <w:t xml:space="preserve">, ja ražotājs pēdējā piena kvotas gadā līdz 1.februārim </w:t>
            </w:r>
            <w:r>
              <w:rPr>
                <w:rFonts w:ascii="Times New Roman" w:hAnsi="Times New Roman" w:cs="Times New Roman"/>
                <w:sz w:val="24"/>
                <w:szCs w:val="24"/>
              </w:rPr>
              <w:t>nemaz</w:t>
            </w:r>
            <w:r w:rsidR="00802B56" w:rsidRPr="00802B56">
              <w:rPr>
                <w:rFonts w:ascii="Times New Roman" w:hAnsi="Times New Roman" w:cs="Times New Roman"/>
                <w:sz w:val="24"/>
                <w:szCs w:val="24"/>
              </w:rPr>
              <w:t xml:space="preserve"> nav pārdevis pienu</w:t>
            </w:r>
            <w:r>
              <w:rPr>
                <w:rFonts w:ascii="Times New Roman" w:hAnsi="Times New Roman" w:cs="Times New Roman"/>
                <w:sz w:val="24"/>
                <w:szCs w:val="24"/>
              </w:rPr>
              <w:t>,</w:t>
            </w:r>
            <w:r w:rsidR="00802B56" w:rsidRPr="00802B56">
              <w:rPr>
                <w:rFonts w:ascii="Times New Roman" w:hAnsi="Times New Roman" w:cs="Times New Roman"/>
                <w:sz w:val="24"/>
                <w:szCs w:val="24"/>
              </w:rPr>
              <w:t xml:space="preserve"> </w:t>
            </w:r>
            <w:r w:rsidRPr="00F10D32">
              <w:rPr>
                <w:rFonts w:ascii="Times New Roman" w:hAnsi="Times New Roman" w:cs="Times New Roman"/>
                <w:sz w:val="24"/>
                <w:szCs w:val="24"/>
              </w:rPr>
              <w:t>jāparedz</w:t>
            </w:r>
            <w:r>
              <w:rPr>
                <w:rFonts w:ascii="Times New Roman" w:hAnsi="Times New Roman" w:cs="Times New Roman"/>
                <w:sz w:val="24"/>
                <w:szCs w:val="24"/>
              </w:rPr>
              <w:t>, ka</w:t>
            </w:r>
            <w:r w:rsidRPr="006B743B">
              <w:rPr>
                <w:rFonts w:ascii="Times New Roman" w:hAnsi="Times New Roman" w:cs="Times New Roman"/>
                <w:sz w:val="24"/>
                <w:szCs w:val="24"/>
              </w:rPr>
              <w:t xml:space="preserve"> </w:t>
            </w:r>
            <w:r w:rsidR="00802B56" w:rsidRPr="00802B56">
              <w:rPr>
                <w:rFonts w:ascii="Times New Roman" w:hAnsi="Times New Roman" w:cs="Times New Roman"/>
                <w:sz w:val="24"/>
                <w:szCs w:val="24"/>
              </w:rPr>
              <w:t>viņa kvot</w:t>
            </w:r>
            <w:r>
              <w:rPr>
                <w:rFonts w:ascii="Times New Roman" w:hAnsi="Times New Roman" w:cs="Times New Roman"/>
                <w:sz w:val="24"/>
                <w:szCs w:val="24"/>
              </w:rPr>
              <w:t>a tiek</w:t>
            </w:r>
            <w:r w:rsidR="00802B56" w:rsidRPr="00802B56">
              <w:rPr>
                <w:rFonts w:ascii="Times New Roman" w:hAnsi="Times New Roman" w:cs="Times New Roman"/>
                <w:sz w:val="24"/>
                <w:szCs w:val="24"/>
              </w:rPr>
              <w:t xml:space="preserve"> samazin</w:t>
            </w:r>
            <w:r>
              <w:rPr>
                <w:rFonts w:ascii="Times New Roman" w:hAnsi="Times New Roman" w:cs="Times New Roman"/>
                <w:sz w:val="24"/>
                <w:szCs w:val="24"/>
              </w:rPr>
              <w:t>āt</w:t>
            </w:r>
            <w:r w:rsidR="00802B56" w:rsidRPr="00802B56">
              <w:rPr>
                <w:rFonts w:ascii="Times New Roman" w:hAnsi="Times New Roman" w:cs="Times New Roman"/>
                <w:sz w:val="24"/>
                <w:szCs w:val="24"/>
              </w:rPr>
              <w:t>a par 85 procentiem un atbrīvot</w:t>
            </w:r>
            <w:r>
              <w:rPr>
                <w:rFonts w:ascii="Times New Roman" w:hAnsi="Times New Roman" w:cs="Times New Roman"/>
                <w:sz w:val="24"/>
                <w:szCs w:val="24"/>
              </w:rPr>
              <w:t>ai</w:t>
            </w:r>
            <w:r w:rsidR="00802B56" w:rsidRPr="00802B56">
              <w:rPr>
                <w:rFonts w:ascii="Times New Roman" w:hAnsi="Times New Roman" w:cs="Times New Roman"/>
                <w:sz w:val="24"/>
                <w:szCs w:val="24"/>
              </w:rPr>
              <w:t>s daudzums ieskait</w:t>
            </w:r>
            <w:r>
              <w:rPr>
                <w:rFonts w:ascii="Times New Roman" w:hAnsi="Times New Roman" w:cs="Times New Roman"/>
                <w:sz w:val="24"/>
                <w:szCs w:val="24"/>
              </w:rPr>
              <w:t>īts</w:t>
            </w:r>
            <w:r w:rsidR="00802B56" w:rsidRPr="00802B56">
              <w:rPr>
                <w:rFonts w:ascii="Times New Roman" w:hAnsi="Times New Roman" w:cs="Times New Roman"/>
                <w:sz w:val="24"/>
                <w:szCs w:val="24"/>
              </w:rPr>
              <w:t xml:space="preserve"> valsts rezervē. </w:t>
            </w:r>
          </w:p>
          <w:p w:rsidR="001962A7" w:rsidRDefault="009D0FF3" w:rsidP="001962A7">
            <w:pPr>
              <w:spacing w:after="0" w:line="240" w:lineRule="auto"/>
              <w:jc w:val="both"/>
              <w:rPr>
                <w:rFonts w:ascii="Times New Roman" w:hAnsi="Times New Roman" w:cs="Times New Roman"/>
                <w:sz w:val="24"/>
                <w:szCs w:val="24"/>
              </w:rPr>
            </w:pPr>
            <w:r w:rsidRPr="009D0FF3">
              <w:rPr>
                <w:rFonts w:ascii="Times New Roman" w:hAnsi="Times New Roman" w:cs="Times New Roman"/>
                <w:sz w:val="24"/>
                <w:szCs w:val="24"/>
              </w:rPr>
              <w:t>Noteikumu projekts paredz:</w:t>
            </w:r>
          </w:p>
          <w:p w:rsidR="001962A7" w:rsidRPr="00BC149B" w:rsidRDefault="009D0FF3" w:rsidP="001962A7">
            <w:pPr>
              <w:pStyle w:val="Sarakstarindkopa"/>
              <w:numPr>
                <w:ilvl w:val="0"/>
                <w:numId w:val="5"/>
              </w:numPr>
              <w:spacing w:after="0" w:line="240" w:lineRule="auto"/>
              <w:jc w:val="both"/>
              <w:rPr>
                <w:rFonts w:ascii="Times New Roman" w:hAnsi="Times New Roman" w:cs="Times New Roman"/>
                <w:sz w:val="24"/>
                <w:szCs w:val="24"/>
              </w:rPr>
            </w:pPr>
            <w:r w:rsidRPr="00BC149B">
              <w:rPr>
                <w:rFonts w:ascii="Times New Roman" w:hAnsi="Times New Roman" w:cs="Times New Roman"/>
                <w:sz w:val="24"/>
                <w:szCs w:val="24"/>
              </w:rPr>
              <w:t>piena kvotu nomas darījumu nosacījumu maiņ</w:t>
            </w:r>
            <w:r w:rsidR="006B743B" w:rsidRPr="00BC149B">
              <w:rPr>
                <w:rFonts w:ascii="Times New Roman" w:hAnsi="Times New Roman" w:cs="Times New Roman"/>
                <w:sz w:val="24"/>
                <w:szCs w:val="24"/>
              </w:rPr>
              <w:t>u</w:t>
            </w:r>
            <w:r w:rsidRPr="00BC149B">
              <w:rPr>
                <w:rFonts w:ascii="Times New Roman" w:hAnsi="Times New Roman" w:cs="Times New Roman"/>
                <w:sz w:val="24"/>
                <w:szCs w:val="24"/>
              </w:rPr>
              <w:t>, kas dos iespēju piena ražotājiem savlaicīgāk papildināt trūkstošo kvotas apjomu;</w:t>
            </w:r>
          </w:p>
          <w:p w:rsidR="001962A7" w:rsidRDefault="009D0FF3" w:rsidP="001962A7">
            <w:pPr>
              <w:pStyle w:val="Sarakstarindkopa"/>
              <w:numPr>
                <w:ilvl w:val="0"/>
                <w:numId w:val="5"/>
              </w:numPr>
            </w:pPr>
            <w:r w:rsidRPr="001962A7">
              <w:rPr>
                <w:rFonts w:ascii="Times New Roman" w:hAnsi="Times New Roman" w:cs="Times New Roman"/>
                <w:sz w:val="24"/>
                <w:szCs w:val="24"/>
              </w:rPr>
              <w:t>atcelt ierobežojumu no valsts rezerves iepriekšējā un esošajā kvotas gadā saņemto piena kvotu pārdot un nomāt;</w:t>
            </w:r>
          </w:p>
          <w:p w:rsidR="001962A7" w:rsidRPr="001962A7" w:rsidRDefault="009D0FF3" w:rsidP="001962A7">
            <w:pPr>
              <w:pStyle w:val="Sarakstarindkopa"/>
              <w:numPr>
                <w:ilvl w:val="0"/>
                <w:numId w:val="5"/>
              </w:numPr>
            </w:pPr>
            <w:r w:rsidRPr="001962A7">
              <w:rPr>
                <w:rFonts w:ascii="Times New Roman" w:hAnsi="Times New Roman" w:cs="Times New Roman"/>
                <w:sz w:val="24"/>
                <w:szCs w:val="24"/>
              </w:rPr>
              <w:t xml:space="preserve">nosacījumus ražotājiem, kas pēdējā 2014./2015.piena kvotas gadā piesakās papildu </w:t>
            </w:r>
            <w:r w:rsidRPr="001962A7">
              <w:rPr>
                <w:rFonts w:ascii="Times New Roman" w:hAnsi="Times New Roman" w:cs="Times New Roman"/>
                <w:sz w:val="24"/>
                <w:szCs w:val="24"/>
              </w:rPr>
              <w:lastRenderedPageBreak/>
              <w:t>piena kvotas saņemšanai no valsts rezerves;</w:t>
            </w:r>
          </w:p>
          <w:p w:rsidR="001962A7" w:rsidRPr="001962A7" w:rsidRDefault="00802B56" w:rsidP="001962A7">
            <w:pPr>
              <w:pStyle w:val="Sarakstarindkopa"/>
              <w:numPr>
                <w:ilvl w:val="0"/>
                <w:numId w:val="5"/>
              </w:numPr>
              <w:rPr>
                <w:rFonts w:ascii="Times New Roman" w:hAnsi="Times New Roman" w:cs="Times New Roman"/>
                <w:sz w:val="24"/>
                <w:szCs w:val="24"/>
              </w:rPr>
            </w:pPr>
            <w:r w:rsidRPr="001962A7">
              <w:rPr>
                <w:rFonts w:ascii="Times New Roman" w:hAnsi="Times New Roman" w:cs="Times New Roman"/>
                <w:sz w:val="24"/>
                <w:szCs w:val="24"/>
              </w:rPr>
              <w:t xml:space="preserve">precizēt formulu, kas pēdējā 2014./2015.piena kvotas gadā tiks izmantota no valsts rezerves piešķiramā piena </w:t>
            </w:r>
            <w:r w:rsidRPr="001962A7">
              <w:rPr>
                <w:rFonts w:ascii="Times New Roman" w:hAnsi="Times New Roman" w:cs="Times New Roman"/>
                <w:iCs/>
                <w:sz w:val="24"/>
                <w:szCs w:val="24"/>
              </w:rPr>
              <w:t>k</w:t>
            </w:r>
            <w:r w:rsidRPr="001962A7">
              <w:rPr>
                <w:rFonts w:ascii="Times New Roman" w:hAnsi="Times New Roman" w:cs="Times New Roman"/>
                <w:sz w:val="24"/>
                <w:szCs w:val="24"/>
              </w:rPr>
              <w:t>votas daudzuma aprēķināšanai</w:t>
            </w:r>
            <w:r w:rsidR="001962A7">
              <w:rPr>
                <w:rFonts w:ascii="Times New Roman" w:hAnsi="Times New Roman" w:cs="Times New Roman"/>
                <w:sz w:val="24"/>
                <w:szCs w:val="24"/>
              </w:rPr>
              <w:t>;</w:t>
            </w:r>
          </w:p>
          <w:p w:rsidR="00D52218" w:rsidRPr="008713B6" w:rsidRDefault="00BC149B" w:rsidP="00BC149B">
            <w:pPr>
              <w:pStyle w:val="Sarakstarindkopa"/>
              <w:numPr>
                <w:ilvl w:val="0"/>
                <w:numId w:val="5"/>
              </w:numPr>
              <w:tabs>
                <w:tab w:val="center" w:pos="4153"/>
                <w:tab w:val="right" w:pos="8306"/>
              </w:tabs>
              <w:spacing w:after="0" w:line="240" w:lineRule="auto"/>
            </w:pPr>
            <w:r>
              <w:rPr>
                <w:rFonts w:ascii="Times New Roman" w:hAnsi="Times New Roman" w:cs="Times New Roman"/>
                <w:sz w:val="24"/>
                <w:szCs w:val="24"/>
              </w:rPr>
              <w:t>p</w:t>
            </w:r>
            <w:r w:rsidR="001962A7" w:rsidRPr="001962A7">
              <w:rPr>
                <w:rFonts w:ascii="Times New Roman" w:hAnsi="Times New Roman" w:cs="Times New Roman"/>
                <w:sz w:val="24"/>
                <w:szCs w:val="24"/>
              </w:rPr>
              <w:t>iena kvotas samazināšanas nosacījum</w:t>
            </w:r>
            <w:r>
              <w:rPr>
                <w:rFonts w:ascii="Times New Roman" w:hAnsi="Times New Roman" w:cs="Times New Roman"/>
                <w:sz w:val="24"/>
                <w:szCs w:val="24"/>
              </w:rPr>
              <w:t>u</w:t>
            </w:r>
            <w:r w:rsidR="001962A7" w:rsidRPr="001962A7">
              <w:rPr>
                <w:rFonts w:ascii="Times New Roman" w:hAnsi="Times New Roman" w:cs="Times New Roman"/>
                <w:sz w:val="24"/>
                <w:szCs w:val="24"/>
              </w:rPr>
              <w:t xml:space="preserve"> ražotājiem, k</w:t>
            </w:r>
            <w:r w:rsidR="00945C98">
              <w:rPr>
                <w:rFonts w:ascii="Times New Roman" w:hAnsi="Times New Roman" w:cs="Times New Roman"/>
                <w:sz w:val="24"/>
                <w:szCs w:val="24"/>
              </w:rPr>
              <w:t>as</w:t>
            </w:r>
            <w:r w:rsidR="001962A7" w:rsidRPr="001962A7">
              <w:rPr>
                <w:rFonts w:ascii="Times New Roman" w:hAnsi="Times New Roman" w:cs="Times New Roman"/>
                <w:sz w:val="24"/>
                <w:szCs w:val="24"/>
              </w:rPr>
              <w:t xml:space="preserve"> nemaz nav izmantojuši savu piena</w:t>
            </w:r>
            <w:r>
              <w:rPr>
                <w:rFonts w:ascii="Times New Roman" w:hAnsi="Times New Roman" w:cs="Times New Roman"/>
                <w:sz w:val="24"/>
                <w:szCs w:val="24"/>
              </w:rPr>
              <w:t xml:space="preserve"> kvotu</w:t>
            </w:r>
            <w:r w:rsidR="008713B6">
              <w:rPr>
                <w:rFonts w:ascii="Times New Roman" w:hAnsi="Times New Roman" w:cs="Times New Roman"/>
                <w:sz w:val="24"/>
                <w:szCs w:val="24"/>
              </w:rPr>
              <w:t>;</w:t>
            </w:r>
            <w:r w:rsidR="001962A7" w:rsidRPr="001962A7">
              <w:rPr>
                <w:rFonts w:ascii="Times New Roman" w:hAnsi="Times New Roman" w:cs="Times New Roman"/>
                <w:sz w:val="24"/>
                <w:szCs w:val="24"/>
              </w:rPr>
              <w:t xml:space="preserve"> </w:t>
            </w:r>
          </w:p>
          <w:p w:rsidR="008713B6" w:rsidRPr="00C43C42" w:rsidRDefault="008713B6" w:rsidP="00BC149B">
            <w:pPr>
              <w:pStyle w:val="Sarakstarindkopa"/>
              <w:numPr>
                <w:ilvl w:val="0"/>
                <w:numId w:val="5"/>
              </w:numPr>
            </w:pPr>
            <w:r w:rsidRPr="00C43C42">
              <w:rPr>
                <w:rFonts w:ascii="Times New Roman" w:hAnsi="Times New Roman" w:cs="Times New Roman"/>
                <w:sz w:val="24"/>
                <w:szCs w:val="24"/>
              </w:rPr>
              <w:t>noteikt piena kvotu sistēmas spēkā esamības termiņu.</w:t>
            </w:r>
          </w:p>
        </w:tc>
      </w:tr>
      <w:tr w:rsidR="00980698" w:rsidRPr="009D0FF3" w:rsidTr="00A17A80">
        <w:trPr>
          <w:trHeight w:val="372"/>
          <w:tblCellSpacing w:w="15" w:type="dxa"/>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lastRenderedPageBreak/>
              <w:t>3.</w:t>
            </w:r>
          </w:p>
        </w:tc>
        <w:tc>
          <w:tcPr>
            <w:tcW w:w="153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Projekta izstrādē iesaistītās institūcijas</w:t>
            </w:r>
          </w:p>
        </w:tc>
        <w:tc>
          <w:tcPr>
            <w:tcW w:w="3158"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Zemkopības ministrija un Lauksaimniecības datu centrs</w:t>
            </w:r>
          </w:p>
        </w:tc>
      </w:tr>
      <w:tr w:rsidR="00980698" w:rsidRPr="009D0FF3" w:rsidTr="00A17A80">
        <w:trPr>
          <w:tblCellSpacing w:w="15" w:type="dxa"/>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4.</w:t>
            </w:r>
          </w:p>
        </w:tc>
        <w:tc>
          <w:tcPr>
            <w:tcW w:w="153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Cita informācija</w:t>
            </w:r>
          </w:p>
        </w:tc>
        <w:tc>
          <w:tcPr>
            <w:tcW w:w="3158"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Noteikumu projekts tiks īstenots, izmantojot esošo finansējumu, tāpēc papildu finansējums no valsts budžeta nav nepieciešams.</w:t>
            </w:r>
          </w:p>
        </w:tc>
      </w:tr>
    </w:tbl>
    <w:p w:rsidR="004941BF" w:rsidRDefault="004941BF">
      <w:pPr>
        <w:spacing w:after="0" w:line="240" w:lineRule="auto"/>
        <w:rPr>
          <w:rFonts w:ascii="Times New Roman" w:hAnsi="Times New Roman" w:cs="Times New Roman"/>
          <w:iCs/>
          <w:sz w:val="24"/>
          <w:szCs w:val="24"/>
        </w:rPr>
      </w:pPr>
    </w:p>
    <w:tbl>
      <w:tblPr>
        <w:tblW w:w="5091" w:type="pct"/>
        <w:tblCellSpacing w:w="15"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tblPr>
      <w:tblGrid>
        <w:gridCol w:w="513"/>
        <w:gridCol w:w="2346"/>
        <w:gridCol w:w="6497"/>
      </w:tblGrid>
      <w:tr w:rsidR="00A17A80" w:rsidRPr="009D0FF3" w:rsidTr="00A17A80">
        <w:trPr>
          <w:trHeight w:val="394"/>
          <w:tblCellSpacing w:w="15" w:type="dxa"/>
        </w:trPr>
        <w:tc>
          <w:tcPr>
            <w:tcW w:w="4968" w:type="pct"/>
            <w:gridSpan w:val="3"/>
            <w:vAlign w:val="center"/>
            <w:hideMark/>
          </w:tcPr>
          <w:p w:rsidR="00D52218" w:rsidRDefault="00802B56">
            <w:pPr>
              <w:spacing w:after="0" w:line="240" w:lineRule="auto"/>
              <w:rPr>
                <w:rFonts w:ascii="Times New Roman" w:hAnsi="Times New Roman" w:cs="Times New Roman"/>
                <w:b/>
                <w:bCs/>
                <w:sz w:val="24"/>
                <w:szCs w:val="24"/>
              </w:rPr>
            </w:pPr>
            <w:r w:rsidRPr="00802B56">
              <w:rPr>
                <w:rFonts w:ascii="Times New Roman" w:hAnsi="Times New Roman" w:cs="Times New Roman"/>
                <w:b/>
                <w:bCs/>
                <w:sz w:val="24"/>
                <w:szCs w:val="24"/>
              </w:rPr>
              <w:t>II. Tiesību akta projekta ietekme uz sabiedrību, tautsaimniecības attīstību un administratīvo slogu</w:t>
            </w:r>
          </w:p>
        </w:tc>
      </w:tr>
      <w:tr w:rsidR="00A17A80" w:rsidRPr="009D0FF3" w:rsidTr="00EF4666">
        <w:trPr>
          <w:trHeight w:val="331"/>
          <w:tblCellSpacing w:w="15" w:type="dxa"/>
        </w:trPr>
        <w:tc>
          <w:tcPr>
            <w:tcW w:w="251"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1.</w:t>
            </w:r>
          </w:p>
        </w:tc>
        <w:tc>
          <w:tcPr>
            <w:tcW w:w="1246"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Sabiedrības mērķgrupas, kuras tiesiskais regulējums ietekmē vai varētu ietekmēt</w:t>
            </w:r>
          </w:p>
        </w:tc>
        <w:tc>
          <w:tcPr>
            <w:tcW w:w="3440" w:type="pct"/>
            <w:hideMark/>
          </w:tcPr>
          <w:p w:rsidR="00D52218" w:rsidRDefault="00CE3166" w:rsidP="00533673">
            <w:pPr>
              <w:spacing w:after="0" w:line="240" w:lineRule="auto"/>
              <w:jc w:val="both"/>
              <w:rPr>
                <w:rFonts w:ascii="Times New Roman" w:hAnsi="Times New Roman" w:cs="Times New Roman"/>
                <w:sz w:val="24"/>
                <w:szCs w:val="24"/>
              </w:rPr>
            </w:pPr>
            <w:r w:rsidRPr="00CE3166">
              <w:rPr>
                <w:rFonts w:ascii="Times New Roman" w:hAnsi="Times New Roman" w:cs="Times New Roman"/>
                <w:sz w:val="24"/>
                <w:szCs w:val="24"/>
              </w:rPr>
              <w:t xml:space="preserve">Piena kvotu īpašnieki (piena ražotāji) un piena pircēji. Pēc Datu centra datiem, 2014.gada </w:t>
            </w:r>
            <w:r w:rsidR="00533673">
              <w:rPr>
                <w:rFonts w:ascii="Times New Roman" w:hAnsi="Times New Roman" w:cs="Times New Roman"/>
                <w:sz w:val="24"/>
                <w:szCs w:val="24"/>
              </w:rPr>
              <w:t>3</w:t>
            </w:r>
            <w:r w:rsidRPr="00CE3166">
              <w:rPr>
                <w:rFonts w:ascii="Times New Roman" w:hAnsi="Times New Roman" w:cs="Times New Roman"/>
                <w:sz w:val="24"/>
                <w:szCs w:val="24"/>
              </w:rPr>
              <w:t xml:space="preserve">1.martā Latvijā bija 10 </w:t>
            </w:r>
            <w:r w:rsidR="00533673">
              <w:rPr>
                <w:rFonts w:ascii="Times New Roman" w:hAnsi="Times New Roman" w:cs="Times New Roman"/>
                <w:sz w:val="24"/>
                <w:szCs w:val="24"/>
              </w:rPr>
              <w:t>625</w:t>
            </w:r>
            <w:r w:rsidRPr="00CE3166">
              <w:rPr>
                <w:rFonts w:ascii="Times New Roman" w:hAnsi="Times New Roman" w:cs="Times New Roman"/>
                <w:sz w:val="24"/>
                <w:szCs w:val="24"/>
              </w:rPr>
              <w:t xml:space="preserve"> kvotas īpašnieki, no tiem </w:t>
            </w:r>
            <w:r w:rsidR="00533673">
              <w:rPr>
                <w:rFonts w:ascii="Times New Roman" w:hAnsi="Times New Roman" w:cs="Times New Roman"/>
                <w:sz w:val="24"/>
                <w:szCs w:val="24"/>
              </w:rPr>
              <w:t>10</w:t>
            </w:r>
            <w:r w:rsidR="00945C98">
              <w:rPr>
                <w:rFonts w:ascii="Times New Roman" w:hAnsi="Times New Roman" w:cs="Times New Roman"/>
                <w:sz w:val="24"/>
                <w:szCs w:val="24"/>
              </w:rPr>
              <w:t> </w:t>
            </w:r>
            <w:r w:rsidR="00533673">
              <w:rPr>
                <w:rFonts w:ascii="Times New Roman" w:hAnsi="Times New Roman" w:cs="Times New Roman"/>
                <w:sz w:val="24"/>
                <w:szCs w:val="24"/>
              </w:rPr>
              <w:t>201</w:t>
            </w:r>
            <w:r w:rsidRPr="00CE3166">
              <w:rPr>
                <w:rFonts w:ascii="Times New Roman" w:hAnsi="Times New Roman" w:cs="Times New Roman"/>
                <w:sz w:val="24"/>
                <w:szCs w:val="24"/>
              </w:rPr>
              <w:t xml:space="preserve"> piegādes kvotu īpašniek</w:t>
            </w:r>
            <w:r w:rsidR="00945C98">
              <w:rPr>
                <w:rFonts w:ascii="Times New Roman" w:hAnsi="Times New Roman" w:cs="Times New Roman"/>
                <w:sz w:val="24"/>
                <w:szCs w:val="24"/>
              </w:rPr>
              <w:t>s</w:t>
            </w:r>
            <w:r w:rsidRPr="00CE3166">
              <w:rPr>
                <w:rFonts w:ascii="Times New Roman" w:hAnsi="Times New Roman" w:cs="Times New Roman"/>
                <w:sz w:val="24"/>
                <w:szCs w:val="24"/>
              </w:rPr>
              <w:t xml:space="preserve"> un 42</w:t>
            </w:r>
            <w:r w:rsidR="00533673">
              <w:rPr>
                <w:rFonts w:ascii="Times New Roman" w:hAnsi="Times New Roman" w:cs="Times New Roman"/>
                <w:sz w:val="24"/>
                <w:szCs w:val="24"/>
              </w:rPr>
              <w:t>4</w:t>
            </w:r>
            <w:r w:rsidRPr="00CE3166">
              <w:rPr>
                <w:rFonts w:ascii="Times New Roman" w:hAnsi="Times New Roman" w:cs="Times New Roman"/>
                <w:sz w:val="24"/>
                <w:szCs w:val="24"/>
              </w:rPr>
              <w:t xml:space="preserve"> tiešās tirdzniecības kvotu īpašnieki. </w:t>
            </w:r>
          </w:p>
        </w:tc>
      </w:tr>
      <w:tr w:rsidR="00A17A80" w:rsidRPr="009D0FF3" w:rsidTr="00EF4666">
        <w:trPr>
          <w:trHeight w:val="361"/>
          <w:tblCellSpacing w:w="15" w:type="dxa"/>
        </w:trPr>
        <w:tc>
          <w:tcPr>
            <w:tcW w:w="251"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2.</w:t>
            </w:r>
          </w:p>
        </w:tc>
        <w:tc>
          <w:tcPr>
            <w:tcW w:w="1246"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Tiesiskā regulējuma ietekme uz tautsaimniecību un administratīvo slogu</w:t>
            </w:r>
          </w:p>
        </w:tc>
        <w:tc>
          <w:tcPr>
            <w:tcW w:w="3440" w:type="pct"/>
            <w:hideMark/>
          </w:tcPr>
          <w:p w:rsidR="00D52218" w:rsidRDefault="00BC149B" w:rsidP="00BC149B">
            <w:pPr>
              <w:spacing w:after="0" w:line="240" w:lineRule="auto"/>
              <w:rPr>
                <w:rFonts w:ascii="Times New Roman" w:hAnsi="Times New Roman" w:cs="Times New Roman"/>
                <w:sz w:val="24"/>
                <w:szCs w:val="24"/>
              </w:rPr>
            </w:pPr>
            <w:r>
              <w:rPr>
                <w:rFonts w:ascii="Times New Roman" w:hAnsi="Times New Roman" w:cs="Times New Roman"/>
                <w:sz w:val="24"/>
                <w:szCs w:val="24"/>
              </w:rPr>
              <w:t>Sabiedrības grupām un institūcijām projekta tiesiskais regulējums nemaina tiesības un pienākumus, kā arī veicamās darbības.</w:t>
            </w:r>
          </w:p>
        </w:tc>
      </w:tr>
      <w:tr w:rsidR="00A17A80" w:rsidRPr="009D0FF3" w:rsidTr="00EF4666">
        <w:trPr>
          <w:trHeight w:val="361"/>
          <w:tblCellSpacing w:w="15" w:type="dxa"/>
        </w:trPr>
        <w:tc>
          <w:tcPr>
            <w:tcW w:w="251"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3.</w:t>
            </w:r>
          </w:p>
        </w:tc>
        <w:tc>
          <w:tcPr>
            <w:tcW w:w="1246"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Administratīvo izmaksu monetārs novērtējums</w:t>
            </w:r>
          </w:p>
        </w:tc>
        <w:tc>
          <w:tcPr>
            <w:tcW w:w="344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Projekts šo jomu neskar.</w:t>
            </w:r>
          </w:p>
        </w:tc>
      </w:tr>
      <w:tr w:rsidR="00A17A80" w:rsidRPr="009D0FF3" w:rsidTr="00EF4666">
        <w:trPr>
          <w:trHeight w:val="421"/>
          <w:tblCellSpacing w:w="15" w:type="dxa"/>
        </w:trPr>
        <w:tc>
          <w:tcPr>
            <w:tcW w:w="251"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4.</w:t>
            </w:r>
          </w:p>
        </w:tc>
        <w:tc>
          <w:tcPr>
            <w:tcW w:w="1246"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Cita informācija</w:t>
            </w:r>
          </w:p>
        </w:tc>
        <w:tc>
          <w:tcPr>
            <w:tcW w:w="3440"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Nav</w:t>
            </w:r>
          </w:p>
        </w:tc>
      </w:tr>
    </w:tbl>
    <w:p w:rsidR="004C6D63" w:rsidRDefault="004C6D63" w:rsidP="003608D5">
      <w:pPr>
        <w:pStyle w:val="naisf"/>
        <w:spacing w:before="0" w:after="0"/>
      </w:pPr>
    </w:p>
    <w:p w:rsidR="004C6D63" w:rsidRDefault="004C6D63" w:rsidP="003608D5">
      <w:pPr>
        <w:pStyle w:val="naisf"/>
        <w:spacing w:before="0" w:after="0"/>
      </w:pPr>
      <w:r w:rsidRPr="00802B56">
        <w:t>Anotācijas III</w:t>
      </w:r>
      <w:r>
        <w:t xml:space="preserve"> un I</w:t>
      </w:r>
      <w:r w:rsidRPr="00802B56">
        <w:t>V sadaļa – projekts šo jomu neskar.</w:t>
      </w:r>
    </w:p>
    <w:p w:rsidR="004C6D63" w:rsidRDefault="004C6D63" w:rsidP="003608D5">
      <w:pPr>
        <w:pStyle w:val="naisf"/>
        <w:spacing w:before="0" w:after="0"/>
      </w:pPr>
    </w:p>
    <w:tbl>
      <w:tblPr>
        <w:tblW w:w="5000" w:type="pct"/>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tblPr>
      <w:tblGrid>
        <w:gridCol w:w="1895"/>
        <w:gridCol w:w="4025"/>
        <w:gridCol w:w="3367"/>
      </w:tblGrid>
      <w:tr w:rsidR="004C6D63" w:rsidRPr="009F0A6A" w:rsidTr="00A17A80">
        <w:trPr>
          <w:jc w:val="center"/>
        </w:trPr>
        <w:tc>
          <w:tcPr>
            <w:tcW w:w="4968" w:type="pct"/>
            <w:gridSpan w:val="3"/>
          </w:tcPr>
          <w:p w:rsidR="004C6D63" w:rsidRDefault="004C6D63" w:rsidP="00057C28">
            <w:pPr>
              <w:pStyle w:val="naisnod"/>
              <w:spacing w:before="0" w:after="0"/>
              <w:jc w:val="both"/>
            </w:pPr>
          </w:p>
          <w:p w:rsidR="004C6D63" w:rsidRPr="009F0A6A" w:rsidRDefault="004C6D63" w:rsidP="00057C28">
            <w:pPr>
              <w:pStyle w:val="naisnod"/>
              <w:spacing w:before="0" w:after="0"/>
              <w:jc w:val="both"/>
            </w:pPr>
            <w:r w:rsidRPr="009F0A6A">
              <w:t>V. Tiesību akta projekta atbilstība Latvijas Republikas starptautiskajām saistībām</w:t>
            </w:r>
          </w:p>
        </w:tc>
      </w:tr>
      <w:tr w:rsidR="004C6D63" w:rsidRPr="009F0A6A" w:rsidTr="00A17A80">
        <w:trPr>
          <w:jc w:val="center"/>
        </w:trPr>
        <w:tc>
          <w:tcPr>
            <w:tcW w:w="1014" w:type="pct"/>
          </w:tcPr>
          <w:p w:rsidR="004C6D63" w:rsidRPr="009F0A6A" w:rsidRDefault="004C6D63" w:rsidP="00057C28">
            <w:pPr>
              <w:pStyle w:val="naiskr"/>
              <w:tabs>
                <w:tab w:val="left" w:pos="2628"/>
              </w:tabs>
              <w:spacing w:before="0" w:after="0"/>
              <w:jc w:val="both"/>
              <w:rPr>
                <w:iCs/>
              </w:rPr>
            </w:pPr>
            <w:r w:rsidRPr="009F0A6A">
              <w:rPr>
                <w:iCs/>
              </w:rPr>
              <w:t>1.</w:t>
            </w:r>
          </w:p>
        </w:tc>
        <w:tc>
          <w:tcPr>
            <w:tcW w:w="2153" w:type="pct"/>
          </w:tcPr>
          <w:p w:rsidR="004C6D63" w:rsidRPr="009F0A6A" w:rsidRDefault="004C6D63" w:rsidP="00057C28">
            <w:pPr>
              <w:pStyle w:val="naiskr"/>
              <w:tabs>
                <w:tab w:val="left" w:pos="2628"/>
              </w:tabs>
              <w:spacing w:before="0" w:after="0"/>
              <w:jc w:val="both"/>
              <w:rPr>
                <w:iCs/>
              </w:rPr>
            </w:pPr>
            <w:r w:rsidRPr="009F0A6A">
              <w:t>Saistības pret Eiropas Savienību</w:t>
            </w:r>
          </w:p>
        </w:tc>
        <w:tc>
          <w:tcPr>
            <w:tcW w:w="1768" w:type="pct"/>
          </w:tcPr>
          <w:p w:rsidR="004C6D63" w:rsidRPr="00945C98" w:rsidRDefault="004C6D63" w:rsidP="00057C28">
            <w:pPr>
              <w:tabs>
                <w:tab w:val="center" w:pos="4153"/>
                <w:tab w:val="right" w:pos="8306"/>
              </w:tabs>
              <w:spacing w:after="0" w:line="240" w:lineRule="auto"/>
              <w:jc w:val="both"/>
              <w:rPr>
                <w:rFonts w:ascii="Times New Roman" w:hAnsi="Times New Roman" w:cs="Times New Roman"/>
                <w:sz w:val="24"/>
                <w:szCs w:val="24"/>
              </w:rPr>
            </w:pPr>
            <w:r w:rsidRPr="000B29F3">
              <w:rPr>
                <w:rFonts w:ascii="Times New Roman" w:hAnsi="Times New Roman" w:cs="Times New Roman"/>
                <w:sz w:val="24"/>
                <w:szCs w:val="24"/>
              </w:rPr>
              <w:t xml:space="preserve">Regula </w:t>
            </w:r>
            <w:r>
              <w:rPr>
                <w:rFonts w:ascii="Times New Roman" w:hAnsi="Times New Roman" w:cs="Times New Roman"/>
                <w:sz w:val="24"/>
                <w:szCs w:val="24"/>
              </w:rPr>
              <w:t>Nr.</w:t>
            </w:r>
            <w:r w:rsidRPr="000B29F3">
              <w:rPr>
                <w:rFonts w:ascii="Times New Roman" w:hAnsi="Times New Roman" w:cs="Times New Roman"/>
                <w:sz w:val="24"/>
                <w:szCs w:val="24"/>
              </w:rPr>
              <w:t>1234/2007;</w:t>
            </w:r>
          </w:p>
          <w:p w:rsidR="004C6D63" w:rsidRPr="00945C98" w:rsidRDefault="004C6D63" w:rsidP="00057C28">
            <w:pPr>
              <w:tabs>
                <w:tab w:val="center" w:pos="4153"/>
                <w:tab w:val="right" w:pos="8306"/>
              </w:tabs>
              <w:spacing w:after="0" w:line="240" w:lineRule="auto"/>
              <w:jc w:val="both"/>
              <w:rPr>
                <w:rFonts w:ascii="Times New Roman" w:hAnsi="Times New Roman" w:cs="Times New Roman"/>
                <w:sz w:val="24"/>
                <w:szCs w:val="24"/>
              </w:rPr>
            </w:pPr>
            <w:r w:rsidRPr="000B29F3">
              <w:rPr>
                <w:rFonts w:ascii="Times New Roman" w:hAnsi="Times New Roman" w:cs="Times New Roman"/>
                <w:sz w:val="24"/>
                <w:szCs w:val="24"/>
              </w:rPr>
              <w:t xml:space="preserve">Regula </w:t>
            </w:r>
            <w:r>
              <w:rPr>
                <w:rFonts w:ascii="Times New Roman" w:hAnsi="Times New Roman" w:cs="Times New Roman"/>
                <w:sz w:val="24"/>
                <w:szCs w:val="24"/>
              </w:rPr>
              <w:t>Nr.</w:t>
            </w:r>
            <w:r w:rsidRPr="000B29F3">
              <w:rPr>
                <w:rFonts w:ascii="Times New Roman" w:hAnsi="Times New Roman" w:cs="Times New Roman"/>
                <w:sz w:val="24"/>
                <w:szCs w:val="24"/>
              </w:rPr>
              <w:t>595/2004.</w:t>
            </w:r>
          </w:p>
          <w:p w:rsidR="004C6D63" w:rsidRPr="009F0A6A" w:rsidRDefault="004C6D63" w:rsidP="00057C28">
            <w:pPr>
              <w:pStyle w:val="naiskr"/>
              <w:tabs>
                <w:tab w:val="left" w:pos="2628"/>
              </w:tabs>
              <w:spacing w:before="0" w:after="0"/>
              <w:jc w:val="both"/>
            </w:pPr>
          </w:p>
        </w:tc>
      </w:tr>
      <w:tr w:rsidR="004C6D63" w:rsidRPr="009F0A6A" w:rsidTr="00A17A80">
        <w:trPr>
          <w:jc w:val="center"/>
        </w:trPr>
        <w:tc>
          <w:tcPr>
            <w:tcW w:w="1014" w:type="pct"/>
          </w:tcPr>
          <w:p w:rsidR="004C6D63" w:rsidRPr="009F0A6A" w:rsidRDefault="004C6D63" w:rsidP="00057C28">
            <w:pPr>
              <w:pStyle w:val="naiskr"/>
              <w:tabs>
                <w:tab w:val="left" w:pos="2628"/>
              </w:tabs>
              <w:spacing w:before="0" w:after="0"/>
              <w:jc w:val="both"/>
              <w:rPr>
                <w:iCs/>
              </w:rPr>
            </w:pPr>
            <w:r w:rsidRPr="009F0A6A">
              <w:rPr>
                <w:iCs/>
              </w:rPr>
              <w:t>2.</w:t>
            </w:r>
          </w:p>
        </w:tc>
        <w:tc>
          <w:tcPr>
            <w:tcW w:w="2153" w:type="pct"/>
          </w:tcPr>
          <w:p w:rsidR="004C6D63" w:rsidRPr="009F0A6A" w:rsidRDefault="004C6D63" w:rsidP="00057C28">
            <w:pPr>
              <w:pStyle w:val="naiskr"/>
              <w:tabs>
                <w:tab w:val="left" w:pos="2628"/>
              </w:tabs>
              <w:spacing w:before="0" w:after="0"/>
              <w:jc w:val="both"/>
              <w:rPr>
                <w:iCs/>
              </w:rPr>
            </w:pPr>
            <w:r w:rsidRPr="009F0A6A">
              <w:t>Citas starptautiskās saistības</w:t>
            </w:r>
          </w:p>
        </w:tc>
        <w:tc>
          <w:tcPr>
            <w:tcW w:w="1768" w:type="pct"/>
          </w:tcPr>
          <w:p w:rsidR="004C6D63" w:rsidRPr="009F0A6A" w:rsidRDefault="004C6D63" w:rsidP="00057C28">
            <w:pPr>
              <w:pStyle w:val="naiskr"/>
              <w:tabs>
                <w:tab w:val="left" w:pos="2628"/>
              </w:tabs>
              <w:spacing w:before="0" w:after="0"/>
              <w:jc w:val="both"/>
              <w:rPr>
                <w:iCs/>
              </w:rPr>
            </w:pPr>
            <w:r>
              <w:rPr>
                <w:color w:val="000000"/>
              </w:rPr>
              <w:t>Projekts šo jomu neskar.</w:t>
            </w:r>
          </w:p>
        </w:tc>
      </w:tr>
      <w:tr w:rsidR="004C6D63" w:rsidRPr="009F0A6A" w:rsidTr="00A17A80">
        <w:trPr>
          <w:trHeight w:val="521"/>
          <w:jc w:val="center"/>
        </w:trPr>
        <w:tc>
          <w:tcPr>
            <w:tcW w:w="1014" w:type="pct"/>
          </w:tcPr>
          <w:p w:rsidR="004C6D63" w:rsidRPr="009F0A6A" w:rsidRDefault="004C6D63" w:rsidP="00057C28">
            <w:pPr>
              <w:pStyle w:val="naiskr"/>
              <w:tabs>
                <w:tab w:val="left" w:pos="2628"/>
              </w:tabs>
              <w:spacing w:before="0" w:after="0"/>
              <w:jc w:val="both"/>
              <w:rPr>
                <w:iCs/>
              </w:rPr>
            </w:pPr>
            <w:r w:rsidRPr="009F0A6A">
              <w:rPr>
                <w:iCs/>
              </w:rPr>
              <w:t>3.</w:t>
            </w:r>
          </w:p>
        </w:tc>
        <w:tc>
          <w:tcPr>
            <w:tcW w:w="2153" w:type="pct"/>
          </w:tcPr>
          <w:p w:rsidR="004C6D63" w:rsidRPr="009F0A6A" w:rsidRDefault="004C6D63" w:rsidP="00057C28">
            <w:pPr>
              <w:pStyle w:val="naiskr"/>
              <w:tabs>
                <w:tab w:val="left" w:pos="2628"/>
              </w:tabs>
              <w:spacing w:before="0" w:after="0"/>
              <w:jc w:val="both"/>
            </w:pPr>
            <w:r w:rsidRPr="009F0A6A">
              <w:t>Cita informācija</w:t>
            </w:r>
          </w:p>
        </w:tc>
        <w:tc>
          <w:tcPr>
            <w:tcW w:w="1768" w:type="pct"/>
          </w:tcPr>
          <w:p w:rsidR="004C6D63" w:rsidRPr="009F0A6A" w:rsidRDefault="004C6D63" w:rsidP="00057C28">
            <w:pPr>
              <w:pStyle w:val="naiskr"/>
              <w:tabs>
                <w:tab w:val="left" w:pos="2628"/>
              </w:tabs>
              <w:spacing w:before="0" w:after="0"/>
              <w:jc w:val="both"/>
              <w:rPr>
                <w:iCs/>
              </w:rPr>
            </w:pPr>
            <w:r w:rsidRPr="009F0A6A">
              <w:t>Nav</w:t>
            </w:r>
          </w:p>
        </w:tc>
      </w:tr>
    </w:tbl>
    <w:p w:rsidR="004C6D63" w:rsidRDefault="004C6D63" w:rsidP="004C6D63">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Default="004C6D63" w:rsidP="003608D5">
      <w:pPr>
        <w:pStyle w:val="naisf"/>
        <w:spacing w:before="0" w:after="0"/>
      </w:pPr>
    </w:p>
    <w:p w:rsidR="004C6D63" w:rsidRPr="009F0A6A" w:rsidRDefault="004C6D63" w:rsidP="003608D5">
      <w:pPr>
        <w:pStyle w:val="naisf"/>
        <w:spacing w:before="0" w:after="0"/>
      </w:pPr>
    </w:p>
    <w:tbl>
      <w:tblPr>
        <w:tblW w:w="93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28" w:type="dxa"/>
          <w:left w:w="28" w:type="dxa"/>
          <w:bottom w:w="28" w:type="dxa"/>
          <w:right w:w="28" w:type="dxa"/>
        </w:tblCellMar>
        <w:tblLook w:val="0000"/>
      </w:tblPr>
      <w:tblGrid>
        <w:gridCol w:w="1728"/>
        <w:gridCol w:w="1927"/>
        <w:gridCol w:w="3149"/>
        <w:gridCol w:w="2575"/>
      </w:tblGrid>
      <w:tr w:rsidR="003608D5" w:rsidRPr="009F0A6A" w:rsidTr="00A17A80">
        <w:trPr>
          <w:trHeight w:val="523"/>
          <w:jc w:val="center"/>
        </w:trPr>
        <w:tc>
          <w:tcPr>
            <w:tcW w:w="9379" w:type="dxa"/>
            <w:gridSpan w:val="4"/>
            <w:vAlign w:val="center"/>
          </w:tcPr>
          <w:p w:rsidR="003608D5" w:rsidRPr="009F0A6A" w:rsidRDefault="003608D5" w:rsidP="00B33D8C">
            <w:pPr>
              <w:pStyle w:val="naisnod"/>
              <w:spacing w:before="0" w:after="0"/>
            </w:pPr>
            <w:r w:rsidRPr="009F0A6A">
              <w:t xml:space="preserve">1.tabula </w:t>
            </w:r>
          </w:p>
          <w:p w:rsidR="003608D5" w:rsidRPr="009F0A6A" w:rsidRDefault="003608D5" w:rsidP="00B33D8C">
            <w:pPr>
              <w:pStyle w:val="naisnod"/>
              <w:spacing w:before="0" w:after="0"/>
            </w:pPr>
            <w:r w:rsidRPr="009F0A6A">
              <w:t>Tiesību akta projekta atbilstība ES tiesību aktiem</w:t>
            </w:r>
          </w:p>
        </w:tc>
      </w:tr>
      <w:tr w:rsidR="003608D5" w:rsidRPr="009F0A6A" w:rsidTr="00A17A80">
        <w:trPr>
          <w:trHeight w:val="1252"/>
          <w:jc w:val="center"/>
        </w:trPr>
        <w:tc>
          <w:tcPr>
            <w:tcW w:w="1728" w:type="dxa"/>
            <w:vAlign w:val="center"/>
          </w:tcPr>
          <w:p w:rsidR="003608D5" w:rsidRPr="009F0A6A" w:rsidRDefault="003608D5" w:rsidP="00B33D8C">
            <w:pPr>
              <w:pStyle w:val="naiskr"/>
              <w:spacing w:before="0" w:after="0"/>
              <w:ind w:hanging="10"/>
              <w:jc w:val="center"/>
            </w:pPr>
            <w:r w:rsidRPr="009F0A6A">
              <w:t>Attiecīgā ES tiesību akta datums, numurs un nosaukums</w:t>
            </w:r>
          </w:p>
        </w:tc>
        <w:tc>
          <w:tcPr>
            <w:tcW w:w="7651" w:type="dxa"/>
            <w:gridSpan w:val="3"/>
            <w:vAlign w:val="center"/>
          </w:tcPr>
          <w:p w:rsidR="003608D5" w:rsidRPr="009F0A6A" w:rsidRDefault="003608D5" w:rsidP="00B33D8C">
            <w:pPr>
              <w:pStyle w:val="naiskr"/>
              <w:spacing w:before="0" w:after="0"/>
            </w:pPr>
            <w:r w:rsidRPr="009F0A6A">
              <w:t>Regula Nr.1234/2007.</w:t>
            </w:r>
          </w:p>
          <w:p w:rsidR="003608D5" w:rsidRPr="009F0A6A" w:rsidRDefault="003608D5" w:rsidP="00B33D8C">
            <w:pPr>
              <w:pStyle w:val="naisf"/>
              <w:spacing w:before="0" w:after="0"/>
            </w:pPr>
          </w:p>
        </w:tc>
      </w:tr>
      <w:tr w:rsidR="003608D5" w:rsidRPr="009F0A6A" w:rsidTr="00A17A80">
        <w:trPr>
          <w:trHeight w:val="163"/>
          <w:jc w:val="center"/>
        </w:trPr>
        <w:tc>
          <w:tcPr>
            <w:tcW w:w="9379" w:type="dxa"/>
            <w:gridSpan w:val="4"/>
            <w:vAlign w:val="center"/>
          </w:tcPr>
          <w:p w:rsidR="003608D5" w:rsidRPr="009F0A6A" w:rsidRDefault="003608D5" w:rsidP="00B33D8C">
            <w:pPr>
              <w:pStyle w:val="naiskr"/>
              <w:spacing w:before="0" w:after="0"/>
            </w:pPr>
          </w:p>
        </w:tc>
      </w:tr>
      <w:tr w:rsidR="003608D5" w:rsidRPr="009F0A6A" w:rsidTr="00A17A80">
        <w:trPr>
          <w:trHeight w:val="165"/>
          <w:jc w:val="center"/>
        </w:trPr>
        <w:tc>
          <w:tcPr>
            <w:tcW w:w="1728" w:type="dxa"/>
            <w:vAlign w:val="center"/>
          </w:tcPr>
          <w:p w:rsidR="003608D5" w:rsidRPr="009F0A6A" w:rsidRDefault="003608D5" w:rsidP="00B33D8C">
            <w:pPr>
              <w:pStyle w:val="naiskr"/>
              <w:spacing w:before="0" w:after="0"/>
              <w:jc w:val="center"/>
            </w:pPr>
            <w:r w:rsidRPr="009F0A6A">
              <w:t>A</w:t>
            </w:r>
          </w:p>
        </w:tc>
        <w:tc>
          <w:tcPr>
            <w:tcW w:w="1927" w:type="dxa"/>
            <w:vAlign w:val="center"/>
          </w:tcPr>
          <w:p w:rsidR="003608D5" w:rsidRPr="009F0A6A" w:rsidRDefault="003608D5" w:rsidP="00B33D8C">
            <w:pPr>
              <w:pStyle w:val="naiskr"/>
              <w:spacing w:before="0" w:after="0"/>
              <w:jc w:val="center"/>
            </w:pPr>
            <w:r w:rsidRPr="009F0A6A">
              <w:t>B</w:t>
            </w:r>
          </w:p>
        </w:tc>
        <w:tc>
          <w:tcPr>
            <w:tcW w:w="3149" w:type="dxa"/>
            <w:vAlign w:val="center"/>
          </w:tcPr>
          <w:p w:rsidR="003608D5" w:rsidRPr="009F0A6A" w:rsidRDefault="003608D5" w:rsidP="00B33D8C">
            <w:pPr>
              <w:pStyle w:val="naiskr"/>
              <w:spacing w:before="0" w:after="0"/>
              <w:jc w:val="center"/>
            </w:pPr>
            <w:r w:rsidRPr="009F0A6A">
              <w:t>C</w:t>
            </w:r>
          </w:p>
        </w:tc>
        <w:tc>
          <w:tcPr>
            <w:tcW w:w="2575" w:type="dxa"/>
            <w:vAlign w:val="center"/>
          </w:tcPr>
          <w:p w:rsidR="003608D5" w:rsidRPr="009F0A6A" w:rsidRDefault="003608D5" w:rsidP="00B33D8C">
            <w:pPr>
              <w:pStyle w:val="naiskr"/>
              <w:spacing w:before="0" w:after="0"/>
              <w:jc w:val="center"/>
            </w:pPr>
            <w:r w:rsidRPr="009F0A6A">
              <w:t>D</w:t>
            </w:r>
          </w:p>
        </w:tc>
      </w:tr>
      <w:tr w:rsidR="003608D5" w:rsidRPr="009F0A6A" w:rsidTr="00A17A80">
        <w:trPr>
          <w:trHeight w:val="1232"/>
          <w:jc w:val="center"/>
        </w:trPr>
        <w:tc>
          <w:tcPr>
            <w:tcW w:w="1728" w:type="dxa"/>
          </w:tcPr>
          <w:p w:rsidR="003608D5" w:rsidRPr="009F0A6A" w:rsidRDefault="003608D5" w:rsidP="00B33D8C">
            <w:pPr>
              <w:pStyle w:val="naiskr"/>
              <w:spacing w:before="0" w:after="0"/>
            </w:pPr>
            <w:r w:rsidRPr="009F0A6A">
              <w:t xml:space="preserve">Attiecīgā ES tiesību akta panta numurs (uzskaitot katru tiesību akta </w:t>
            </w:r>
            <w:r w:rsidRPr="009F0A6A">
              <w:br/>
              <w:t>vienību – pantu, daļu, punktu, apakšpunktu)</w:t>
            </w:r>
          </w:p>
        </w:tc>
        <w:tc>
          <w:tcPr>
            <w:tcW w:w="1927" w:type="dxa"/>
          </w:tcPr>
          <w:p w:rsidR="003608D5" w:rsidRPr="009F0A6A" w:rsidRDefault="003608D5" w:rsidP="00B33D8C">
            <w:pPr>
              <w:pStyle w:val="naiskr"/>
              <w:spacing w:before="0" w:after="0"/>
            </w:pPr>
            <w:r w:rsidRPr="009F0A6A">
              <w:t>Projekta vienība, kas pārņem vai ievieš katru šīs tabulas A ailē minēto ES tiesību akta vienību</w:t>
            </w:r>
          </w:p>
        </w:tc>
        <w:tc>
          <w:tcPr>
            <w:tcW w:w="3149" w:type="dxa"/>
          </w:tcPr>
          <w:p w:rsidR="003608D5" w:rsidRPr="009F0A6A" w:rsidRDefault="003608D5" w:rsidP="00B33D8C">
            <w:pPr>
              <w:pStyle w:val="naiskr"/>
              <w:spacing w:before="0" w:after="0"/>
            </w:pPr>
            <w:r w:rsidRPr="009F0A6A">
              <w:t>Informācija par to, vai šīs tabulas A ailē minētās ES tiesību akta vienības tiek pārņemtas vai ieviestas pilnībā vai daļēji.</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Ja attiecīgā ES tiesību akta vienība tiek pārņemta vai ieviesta daļēji, – sniedz attiecīgu skaidrojumu, kā arī precīzi norāda, kad un kādā veidā ES tiesību akta vienība tiks pārņemta vai ieviesta pilnībā.</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Norāda institūciju, kas ir atbildīga par šo saistību izpildi pilnībā</w:t>
            </w:r>
          </w:p>
        </w:tc>
        <w:tc>
          <w:tcPr>
            <w:tcW w:w="2575" w:type="dxa"/>
          </w:tcPr>
          <w:p w:rsidR="003608D5" w:rsidRPr="009F0A6A" w:rsidRDefault="003608D5" w:rsidP="00B33D8C">
            <w:pPr>
              <w:pStyle w:val="naiskr"/>
              <w:spacing w:before="0" w:after="0"/>
            </w:pPr>
            <w:r w:rsidRPr="009F0A6A">
              <w:t>Informācija par to, vai šīs tabulas B ailē minētās projekta vienības paredz stingrākas prasības nekā šīs tabulas A ailē minētās ES tiesību akta vienības.</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 xml:space="preserve">Ja projekts satur stingrākas prasības nekā attiecīgais ES tiesību </w:t>
            </w:r>
            <w:smartTag w:uri="schemas-tilde-lv/tildestengine" w:element="veidnes">
              <w:smartTagPr>
                <w:attr w:name="text" w:val="akts"/>
                <w:attr w:name="baseform" w:val="akts"/>
                <w:attr w:name="id" w:val="-1"/>
              </w:smartTagPr>
              <w:r w:rsidRPr="009F0A6A">
                <w:t>akts</w:t>
              </w:r>
            </w:smartTag>
            <w:r w:rsidRPr="009F0A6A">
              <w:t>, – norāda pamatojumu un samērīgumu.</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Norāda iespējamās alternatīvas (t.sk. alternatīvas, kas neparedz tiesiskā regulējuma izstrādi) – kādos gadījumos būtu iespējams izvairīties no stingrāku prasību noteikšanas, nekā paredzēts attiecīgajos ES tiesību aktos</w:t>
            </w:r>
          </w:p>
        </w:tc>
      </w:tr>
      <w:tr w:rsidR="003608D5" w:rsidRPr="009F0A6A" w:rsidTr="00A17A80">
        <w:trPr>
          <w:trHeight w:val="20"/>
          <w:jc w:val="center"/>
        </w:trPr>
        <w:tc>
          <w:tcPr>
            <w:tcW w:w="1728" w:type="dxa"/>
            <w:vAlign w:val="center"/>
          </w:tcPr>
          <w:p w:rsidR="003608D5" w:rsidRPr="009F0A6A" w:rsidRDefault="008713B6" w:rsidP="008713B6">
            <w:pPr>
              <w:pStyle w:val="naisf"/>
              <w:spacing w:before="0" w:after="0"/>
              <w:ind w:firstLine="0"/>
            </w:pPr>
            <w:r>
              <w:t>Regulas Nr.1234/2007 68.</w:t>
            </w:r>
            <w:r w:rsidR="003608D5" w:rsidRPr="009F0A6A">
              <w:t xml:space="preserve">pants </w:t>
            </w:r>
          </w:p>
        </w:tc>
        <w:tc>
          <w:tcPr>
            <w:tcW w:w="1927" w:type="dxa"/>
            <w:shd w:val="clear" w:color="auto" w:fill="auto"/>
            <w:vAlign w:val="center"/>
          </w:tcPr>
          <w:p w:rsidR="003608D5" w:rsidRPr="009F0A6A" w:rsidRDefault="008713B6" w:rsidP="00B33D8C">
            <w:pPr>
              <w:pStyle w:val="naiskr"/>
              <w:spacing w:before="0" w:after="0"/>
            </w:pPr>
            <w:r>
              <w:t>4.</w:t>
            </w:r>
            <w:r w:rsidR="003608D5" w:rsidRPr="009F0A6A">
              <w:t>punkts</w:t>
            </w:r>
          </w:p>
        </w:tc>
        <w:tc>
          <w:tcPr>
            <w:tcW w:w="3149" w:type="dxa"/>
            <w:shd w:val="clear" w:color="auto" w:fill="auto"/>
            <w:vAlign w:val="center"/>
          </w:tcPr>
          <w:p w:rsidR="003608D5" w:rsidRPr="009F0A6A" w:rsidRDefault="003608D5" w:rsidP="00B33D8C">
            <w:pPr>
              <w:pStyle w:val="naiskr"/>
              <w:spacing w:before="0" w:after="0"/>
              <w:jc w:val="both"/>
            </w:pPr>
            <w:r w:rsidRPr="009F0A6A">
              <w:t>Šīs tabulas A ailē minētās ES tiesību akta vienības tiek ieviestas pilnībā</w:t>
            </w:r>
            <w:r>
              <w:t xml:space="preserve"> </w:t>
            </w:r>
          </w:p>
        </w:tc>
        <w:tc>
          <w:tcPr>
            <w:tcW w:w="2575" w:type="dxa"/>
            <w:shd w:val="clear" w:color="auto" w:fill="auto"/>
            <w:vAlign w:val="center"/>
          </w:tcPr>
          <w:p w:rsidR="003608D5" w:rsidRPr="009F0A6A" w:rsidRDefault="003608D5" w:rsidP="00AF3491">
            <w:pPr>
              <w:pStyle w:val="naisf"/>
              <w:spacing w:before="0" w:after="0"/>
              <w:ind w:firstLine="0"/>
              <w:jc w:val="center"/>
            </w:pPr>
            <w:r w:rsidRPr="009F0A6A">
              <w:t>Noteikumu projekt</w:t>
            </w:r>
            <w:r>
              <w:t xml:space="preserve">a </w:t>
            </w:r>
            <w:r w:rsidR="008713B6">
              <w:t>4.</w:t>
            </w:r>
            <w:r>
              <w:t>punkts paredz</w:t>
            </w:r>
            <w:r w:rsidRPr="009F0A6A">
              <w:t xml:space="preserve">, ka </w:t>
            </w:r>
            <w:r w:rsidR="008713B6">
              <w:t xml:space="preserve">ražotājs piena kvotai pēdējā piena kvotas gadā var pieteikties līdz 2015.gada 1.februārim, iesniedzot Datu centrā iesniegumu, kurā norāda pieprasītās piena kvotas daudzumu. Datu centrs iesniegumu izvērtē viena mēneša laikā saskaņā ar noteikumu 36.punktu. Piešķiramo kvotas </w:t>
            </w:r>
            <w:r w:rsidR="008713B6">
              <w:lastRenderedPageBreak/>
              <w:t xml:space="preserve">daudzumu </w:t>
            </w:r>
            <w:r w:rsidR="00AF3491">
              <w:t xml:space="preserve">Datu centrs </w:t>
            </w:r>
            <w:r w:rsidR="008713B6">
              <w:t xml:space="preserve">aprēķina pēc noteikumu projekta 4.punktā </w:t>
            </w:r>
            <w:r w:rsidR="00945C98">
              <w:t>do</w:t>
            </w:r>
            <w:r w:rsidR="008713B6">
              <w:t>tās formulas</w:t>
            </w:r>
            <w:r w:rsidR="00AF3491">
              <w:t>. J</w:t>
            </w:r>
            <w:r w:rsidR="008713B6">
              <w:t xml:space="preserve">a </w:t>
            </w:r>
            <w:r w:rsidR="00AF3491">
              <w:t xml:space="preserve">ražotāju pieprasītais piena kvotas daudzums ir lielāks nekā valsts rezervē esošais daudzums, tad Datu centrs to proporcionāli samazina saskaņā ar noteikumu 41.punkta nosacījumiem.  </w:t>
            </w:r>
          </w:p>
        </w:tc>
      </w:tr>
      <w:tr w:rsidR="003608D5" w:rsidRPr="009F0A6A" w:rsidTr="00A17A80">
        <w:trPr>
          <w:trHeight w:val="20"/>
          <w:jc w:val="center"/>
        </w:trPr>
        <w:tc>
          <w:tcPr>
            <w:tcW w:w="1728" w:type="dxa"/>
            <w:vAlign w:val="center"/>
          </w:tcPr>
          <w:p w:rsidR="00EE17CD" w:rsidRDefault="003608D5">
            <w:pPr>
              <w:pStyle w:val="naisf"/>
              <w:spacing w:before="0" w:after="0"/>
              <w:ind w:firstLine="0"/>
            </w:pPr>
            <w:r w:rsidRPr="009F0A6A">
              <w:lastRenderedPageBreak/>
              <w:t xml:space="preserve">Regulas Nr.1234/2007 </w:t>
            </w:r>
            <w:r w:rsidR="00AF3491">
              <w:t>204.panta 2.punkts.</w:t>
            </w:r>
          </w:p>
        </w:tc>
        <w:tc>
          <w:tcPr>
            <w:tcW w:w="1927" w:type="dxa"/>
            <w:shd w:val="clear" w:color="auto" w:fill="auto"/>
            <w:vAlign w:val="center"/>
          </w:tcPr>
          <w:p w:rsidR="003608D5" w:rsidRPr="009F0A6A" w:rsidRDefault="00AF3491" w:rsidP="00AF3491">
            <w:pPr>
              <w:pStyle w:val="naiskr"/>
              <w:spacing w:before="0" w:after="0"/>
            </w:pPr>
            <w:r>
              <w:t>4</w:t>
            </w:r>
            <w:r w:rsidR="003608D5">
              <w:t>.</w:t>
            </w:r>
            <w:r w:rsidR="003608D5" w:rsidRPr="009F0A6A">
              <w:t>punkts</w:t>
            </w:r>
          </w:p>
        </w:tc>
        <w:tc>
          <w:tcPr>
            <w:tcW w:w="3149" w:type="dxa"/>
            <w:shd w:val="clear" w:color="auto" w:fill="auto"/>
            <w:vAlign w:val="center"/>
          </w:tcPr>
          <w:p w:rsidR="003608D5" w:rsidRPr="009F0A6A" w:rsidRDefault="003608D5" w:rsidP="00B33D8C">
            <w:pPr>
              <w:pStyle w:val="naiskr"/>
              <w:spacing w:before="0" w:after="0"/>
              <w:jc w:val="both"/>
            </w:pPr>
            <w:r w:rsidRPr="009F0A6A">
              <w:t>Šīs tabulas A ailē minētās ES tiesību akta vienības tiek ieviestas pilnībā</w:t>
            </w:r>
          </w:p>
        </w:tc>
        <w:tc>
          <w:tcPr>
            <w:tcW w:w="2575" w:type="dxa"/>
            <w:shd w:val="clear" w:color="auto" w:fill="auto"/>
          </w:tcPr>
          <w:p w:rsidR="003608D5" w:rsidRPr="009F0A6A" w:rsidRDefault="00AF3491" w:rsidP="00C34F27">
            <w:pPr>
              <w:pStyle w:val="naisf"/>
              <w:spacing w:before="0"/>
              <w:ind w:firstLine="0"/>
              <w:jc w:val="left"/>
            </w:pPr>
            <w:r w:rsidRPr="009F0A6A">
              <w:t xml:space="preserve">Šīs tabulas B ailē minētās noteikumu projekta </w:t>
            </w:r>
            <w:r w:rsidR="00C34F27">
              <w:t>4.</w:t>
            </w:r>
            <w:r>
              <w:t xml:space="preserve">punkts </w:t>
            </w:r>
            <w:r w:rsidRPr="009F0A6A">
              <w:t>neparedz stingrākas prasības kā šīs tabulas A ailē minētās ES tiesību akta vienības.</w:t>
            </w:r>
          </w:p>
        </w:tc>
      </w:tr>
      <w:tr w:rsidR="003608D5" w:rsidRPr="009F0A6A" w:rsidTr="00A17A80">
        <w:trPr>
          <w:trHeight w:val="281"/>
          <w:jc w:val="center"/>
        </w:trPr>
        <w:tc>
          <w:tcPr>
            <w:tcW w:w="1728" w:type="dxa"/>
            <w:vAlign w:val="center"/>
          </w:tcPr>
          <w:p w:rsidR="003608D5" w:rsidRPr="009F0A6A" w:rsidRDefault="003608D5" w:rsidP="00B33D8C">
            <w:pPr>
              <w:pStyle w:val="naiskr"/>
              <w:spacing w:before="0" w:after="0"/>
            </w:pPr>
            <w:r w:rsidRPr="009F0A6A">
              <w:t>Kā ir izmantota ES tiesību aktā paredzētā rīcības brīvība dalībvalstij pārņemt vai ieviest noteiktas ES tiesību akta normas.</w:t>
            </w:r>
          </w:p>
          <w:p w:rsidR="003608D5" w:rsidRPr="009F0A6A" w:rsidRDefault="003608D5" w:rsidP="00B33D8C">
            <w:pPr>
              <w:pStyle w:val="naiskr"/>
              <w:spacing w:before="0" w:after="0"/>
            </w:pPr>
            <w:r w:rsidRPr="009F0A6A">
              <w:t>Kādēļ?</w:t>
            </w:r>
          </w:p>
        </w:tc>
        <w:tc>
          <w:tcPr>
            <w:tcW w:w="7651" w:type="dxa"/>
            <w:gridSpan w:val="3"/>
          </w:tcPr>
          <w:p w:rsidR="00EE17CD" w:rsidRDefault="003608D5">
            <w:pPr>
              <w:pStyle w:val="naiskr"/>
              <w:spacing w:before="0" w:after="0"/>
              <w:jc w:val="both"/>
            </w:pPr>
            <w:r>
              <w:rPr>
                <w:color w:val="000000"/>
              </w:rPr>
              <w:t xml:space="preserve">Regulas Nr.1234/2007 </w:t>
            </w:r>
            <w:r w:rsidR="00930064">
              <w:rPr>
                <w:color w:val="000000"/>
              </w:rPr>
              <w:t>68.</w:t>
            </w:r>
            <w:r>
              <w:rPr>
                <w:color w:val="000000"/>
              </w:rPr>
              <w:t>pant</w:t>
            </w:r>
            <w:r w:rsidR="00930064">
              <w:rPr>
                <w:color w:val="000000"/>
              </w:rPr>
              <w:t>ā</w:t>
            </w:r>
            <w:r>
              <w:rPr>
                <w:color w:val="000000"/>
              </w:rPr>
              <w:t xml:space="preserve"> dotā dalībvalsts izvēle Latvijā ir izdarīta</w:t>
            </w:r>
            <w:r w:rsidR="009810E5">
              <w:rPr>
                <w:color w:val="000000"/>
              </w:rPr>
              <w:t>, lai ražotājiem, k</w:t>
            </w:r>
            <w:r w:rsidR="00945C98">
              <w:rPr>
                <w:color w:val="000000"/>
              </w:rPr>
              <w:t>as</w:t>
            </w:r>
            <w:r w:rsidR="009810E5">
              <w:rPr>
                <w:color w:val="000000"/>
              </w:rPr>
              <w:t xml:space="preserve"> paplašina savu ražošanu</w:t>
            </w:r>
            <w:r w:rsidR="00945C98">
              <w:rPr>
                <w:color w:val="000000"/>
              </w:rPr>
              <w:t>,</w:t>
            </w:r>
            <w:r w:rsidR="009810E5">
              <w:rPr>
                <w:color w:val="000000"/>
              </w:rPr>
              <w:t xml:space="preserve"> katru gadu būtu iespēja papildināt savu piena kvot</w:t>
            </w:r>
            <w:r w:rsidR="00945C98">
              <w:rPr>
                <w:color w:val="000000"/>
              </w:rPr>
              <w:t>as</w:t>
            </w:r>
            <w:r w:rsidR="009810E5">
              <w:rPr>
                <w:color w:val="000000"/>
              </w:rPr>
              <w:t xml:space="preserve"> apjomu. </w:t>
            </w:r>
            <w:r w:rsidR="00011AAE">
              <w:rPr>
                <w:color w:val="000000"/>
              </w:rPr>
              <w:t>P</w:t>
            </w:r>
            <w:r w:rsidR="00930064">
              <w:t xml:space="preserve">iena ražotāji </w:t>
            </w:r>
            <w:r w:rsidR="00011AAE">
              <w:rPr>
                <w:color w:val="000000"/>
              </w:rPr>
              <w:t>i</w:t>
            </w:r>
            <w:r w:rsidR="00011AAE">
              <w:t xml:space="preserve">k gadu </w:t>
            </w:r>
            <w:r w:rsidR="00930064">
              <w:t>papildu piena kvotai no valsts rezerves var pieteikties līdz 1.jūnijam (jaunie ražotāji) un 1.jūlijam (ražojošie, k</w:t>
            </w:r>
            <w:r w:rsidR="00945C98">
              <w:t>as ir</w:t>
            </w:r>
            <w:r w:rsidR="00930064">
              <w:t xml:space="preserve"> izpildījuši savu piena kvotu vismaz 100 procentu apjomā)</w:t>
            </w:r>
            <w:r>
              <w:rPr>
                <w:color w:val="000000"/>
              </w:rPr>
              <w:t xml:space="preserve">, </w:t>
            </w:r>
            <w:r w:rsidR="00930064">
              <w:rPr>
                <w:color w:val="000000"/>
              </w:rPr>
              <w:t xml:space="preserve">lai papildinātu savu piena kvotu </w:t>
            </w:r>
            <w:r w:rsidR="009810E5">
              <w:rPr>
                <w:color w:val="000000"/>
              </w:rPr>
              <w:t xml:space="preserve">nākamajam gadam. </w:t>
            </w:r>
            <w:r w:rsidR="00930064" w:rsidRPr="000571C4">
              <w:rPr>
                <w:color w:val="000000"/>
              </w:rPr>
              <w:t>Projekt</w:t>
            </w:r>
            <w:r w:rsidR="00930064">
              <w:rPr>
                <w:color w:val="000000"/>
              </w:rPr>
              <w:t xml:space="preserve">a 4.punkts paredz, </w:t>
            </w:r>
            <w:r w:rsidR="00930064" w:rsidRPr="009F0A6A">
              <w:t xml:space="preserve">ka </w:t>
            </w:r>
            <w:r w:rsidR="00930064">
              <w:t xml:space="preserve">ražotājs piena kvotai pēdējā piena kvotas gadā var pieteikties līdz 2015.gada 1.februārim, iesniedzot Datu centrā iesniegumu, kurā norāda pieprasītās piena kvotas daudzumu. </w:t>
            </w:r>
            <w:r w:rsidR="00945C98">
              <w:t>Grozījumi</w:t>
            </w:r>
            <w:r w:rsidR="00011AAE">
              <w:t xml:space="preserve"> ir nepieciešam</w:t>
            </w:r>
            <w:r w:rsidR="00945C98">
              <w:t>i</w:t>
            </w:r>
            <w:r w:rsidR="00011AAE">
              <w:t>, lai ražotāji pēdējā piena kvotas gadā lai</w:t>
            </w:r>
            <w:r w:rsidR="00945C98">
              <w:t>kus</w:t>
            </w:r>
            <w:r w:rsidR="00011AAE">
              <w:t xml:space="preserve"> varētu papildināt trūkstošo piena kvotas daudzumu.</w:t>
            </w:r>
          </w:p>
          <w:p w:rsidR="00EE17CD" w:rsidRDefault="00EE17CD">
            <w:pPr>
              <w:pStyle w:val="naiskr"/>
              <w:spacing w:before="0" w:after="0"/>
              <w:jc w:val="both"/>
            </w:pPr>
          </w:p>
          <w:p w:rsidR="00EE17CD" w:rsidRDefault="00EE17CD">
            <w:pPr>
              <w:pStyle w:val="naiskr"/>
              <w:spacing w:before="0" w:after="0"/>
              <w:jc w:val="both"/>
            </w:pPr>
          </w:p>
          <w:p w:rsidR="00EE17CD" w:rsidRDefault="00011AAE">
            <w:pPr>
              <w:pStyle w:val="naiskr"/>
              <w:spacing w:before="0" w:after="0"/>
              <w:jc w:val="both"/>
            </w:pPr>
            <w:r>
              <w:t xml:space="preserve"> </w:t>
            </w:r>
          </w:p>
        </w:tc>
      </w:tr>
      <w:tr w:rsidR="003608D5" w:rsidRPr="009F0A6A" w:rsidTr="00A17A80">
        <w:trPr>
          <w:trHeight w:val="913"/>
          <w:jc w:val="center"/>
        </w:trPr>
        <w:tc>
          <w:tcPr>
            <w:tcW w:w="1728" w:type="dxa"/>
            <w:vAlign w:val="center"/>
          </w:tcPr>
          <w:p w:rsidR="003608D5" w:rsidRPr="009F0A6A" w:rsidRDefault="003608D5" w:rsidP="00B33D8C">
            <w:pPr>
              <w:pStyle w:val="naiskr"/>
              <w:spacing w:before="0" w:after="0"/>
            </w:pPr>
            <w:r w:rsidRPr="009F0A6A">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9F0A6A">
              <w:lastRenderedPageBreak/>
              <w:t>projektiem</w:t>
            </w:r>
          </w:p>
        </w:tc>
        <w:tc>
          <w:tcPr>
            <w:tcW w:w="7651" w:type="dxa"/>
            <w:gridSpan w:val="3"/>
          </w:tcPr>
          <w:p w:rsidR="003608D5" w:rsidRPr="009F0A6A" w:rsidRDefault="003608D5" w:rsidP="00B33D8C">
            <w:pPr>
              <w:pStyle w:val="naiskr"/>
              <w:spacing w:before="0" w:after="0"/>
            </w:pPr>
            <w:r w:rsidRPr="000571C4">
              <w:rPr>
                <w:color w:val="000000"/>
              </w:rPr>
              <w:lastRenderedPageBreak/>
              <w:t>Projekts šo jomu neskar</w:t>
            </w:r>
            <w:r>
              <w:rPr>
                <w:color w:val="000000"/>
              </w:rPr>
              <w:t>.</w:t>
            </w:r>
          </w:p>
        </w:tc>
      </w:tr>
      <w:tr w:rsidR="003608D5" w:rsidRPr="009F0A6A" w:rsidTr="00A17A80">
        <w:trPr>
          <w:trHeight w:val="579"/>
          <w:jc w:val="center"/>
        </w:trPr>
        <w:tc>
          <w:tcPr>
            <w:tcW w:w="1728" w:type="dxa"/>
          </w:tcPr>
          <w:p w:rsidR="003608D5" w:rsidRPr="009F0A6A" w:rsidRDefault="003608D5" w:rsidP="00B33D8C">
            <w:pPr>
              <w:pStyle w:val="naiskr"/>
              <w:spacing w:before="0" w:after="0"/>
            </w:pPr>
            <w:r w:rsidRPr="009F0A6A">
              <w:lastRenderedPageBreak/>
              <w:t>Cita informācija</w:t>
            </w:r>
          </w:p>
        </w:tc>
        <w:tc>
          <w:tcPr>
            <w:tcW w:w="7651" w:type="dxa"/>
            <w:gridSpan w:val="3"/>
          </w:tcPr>
          <w:p w:rsidR="003608D5" w:rsidRPr="009F0A6A" w:rsidRDefault="003608D5" w:rsidP="00B33D8C">
            <w:pPr>
              <w:pStyle w:val="naiskr"/>
              <w:spacing w:before="0" w:after="0"/>
            </w:pPr>
            <w:r w:rsidRPr="009F0A6A">
              <w:t>Nav</w:t>
            </w:r>
          </w:p>
        </w:tc>
      </w:tr>
    </w:tbl>
    <w:p w:rsidR="003608D5" w:rsidRPr="009F0A6A" w:rsidRDefault="003608D5" w:rsidP="003608D5">
      <w:pPr>
        <w:pStyle w:val="naisf"/>
        <w:spacing w:before="0" w:after="0"/>
        <w:ind w:firstLine="0"/>
      </w:pPr>
    </w:p>
    <w:tbl>
      <w:tblPr>
        <w:tblW w:w="9344"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000"/>
      </w:tblPr>
      <w:tblGrid>
        <w:gridCol w:w="1916"/>
        <w:gridCol w:w="3648"/>
        <w:gridCol w:w="3780"/>
      </w:tblGrid>
      <w:tr w:rsidR="003608D5" w:rsidRPr="009F0A6A" w:rsidTr="00A17A80">
        <w:trPr>
          <w:trHeight w:val="789"/>
          <w:jc w:val="center"/>
        </w:trPr>
        <w:tc>
          <w:tcPr>
            <w:tcW w:w="9344" w:type="dxa"/>
            <w:gridSpan w:val="3"/>
            <w:vAlign w:val="center"/>
          </w:tcPr>
          <w:p w:rsidR="003608D5" w:rsidRPr="009F0A6A" w:rsidRDefault="003608D5" w:rsidP="00B33D8C">
            <w:pPr>
              <w:pStyle w:val="naisnod"/>
              <w:spacing w:before="0" w:after="0"/>
            </w:pPr>
            <w:r w:rsidRPr="009F0A6A">
              <w:t xml:space="preserve">2.tabula </w:t>
            </w:r>
          </w:p>
          <w:p w:rsidR="003608D5" w:rsidRPr="009F0A6A" w:rsidRDefault="003608D5" w:rsidP="00B33D8C">
            <w:pPr>
              <w:pStyle w:val="naisnod"/>
              <w:spacing w:before="0" w:after="0"/>
            </w:pPr>
            <w:r w:rsidRPr="009F0A6A">
              <w:t>Ar tiesību akta projektu uzņemtās saistības, kas izriet no starptautiskajiem tiesību aktiem vai starptautiskas institūcijas vai organizācijas dokumentiem</w:t>
            </w:r>
          </w:p>
          <w:p w:rsidR="003608D5" w:rsidRPr="009F0A6A" w:rsidRDefault="003608D5" w:rsidP="00B33D8C">
            <w:pPr>
              <w:pStyle w:val="naisnod"/>
              <w:spacing w:before="0" w:after="0"/>
            </w:pPr>
            <w:r w:rsidRPr="009F0A6A">
              <w:t>Pasākumi šo saistību izpildei</w:t>
            </w:r>
          </w:p>
        </w:tc>
      </w:tr>
      <w:tr w:rsidR="003608D5" w:rsidRPr="009F0A6A" w:rsidTr="00A17A80">
        <w:trPr>
          <w:trHeight w:val="1590"/>
          <w:jc w:val="center"/>
        </w:trPr>
        <w:tc>
          <w:tcPr>
            <w:tcW w:w="1916" w:type="dxa"/>
            <w:vAlign w:val="center"/>
          </w:tcPr>
          <w:p w:rsidR="003608D5" w:rsidRPr="009F0A6A" w:rsidRDefault="003608D5" w:rsidP="00B33D8C">
            <w:pPr>
              <w:pStyle w:val="naiskr"/>
              <w:spacing w:before="0" w:after="0"/>
              <w:ind w:hanging="10"/>
            </w:pPr>
            <w:r w:rsidRPr="009F0A6A">
              <w:t>Attiecīgā starptautiskā tiesību akta vai starptautiskas institūcijas vai organizācijas dokumenta (turpmāk – starptautiskais dokuments) datums, numurs un nosaukums</w:t>
            </w:r>
          </w:p>
        </w:tc>
        <w:tc>
          <w:tcPr>
            <w:tcW w:w="7427" w:type="dxa"/>
            <w:gridSpan w:val="2"/>
          </w:tcPr>
          <w:p w:rsidR="003608D5" w:rsidRDefault="003608D5" w:rsidP="00B33D8C">
            <w:pPr>
              <w:pStyle w:val="naiskr"/>
              <w:spacing w:before="0" w:after="0"/>
              <w:rPr>
                <w:color w:val="000000"/>
              </w:rPr>
            </w:pPr>
            <w:r>
              <w:rPr>
                <w:color w:val="000000"/>
              </w:rPr>
              <w:t>Projekts šo jomu neskar.</w:t>
            </w: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Default="003608D5" w:rsidP="00B33D8C">
            <w:pPr>
              <w:pStyle w:val="naiskr"/>
              <w:spacing w:before="0" w:after="0"/>
              <w:rPr>
                <w:color w:val="000000"/>
              </w:rPr>
            </w:pPr>
          </w:p>
          <w:p w:rsidR="003608D5" w:rsidRPr="009F0A6A" w:rsidRDefault="003608D5" w:rsidP="00B33D8C">
            <w:pPr>
              <w:pStyle w:val="naiskr"/>
              <w:spacing w:before="0" w:after="0"/>
            </w:pPr>
          </w:p>
        </w:tc>
      </w:tr>
      <w:tr w:rsidR="003608D5" w:rsidRPr="009F0A6A" w:rsidTr="00A17A80">
        <w:trPr>
          <w:trHeight w:val="340"/>
          <w:jc w:val="center"/>
        </w:trPr>
        <w:tc>
          <w:tcPr>
            <w:tcW w:w="1916" w:type="dxa"/>
            <w:vAlign w:val="center"/>
          </w:tcPr>
          <w:p w:rsidR="003608D5" w:rsidRPr="009F0A6A" w:rsidRDefault="003608D5" w:rsidP="00B33D8C">
            <w:pPr>
              <w:pStyle w:val="naiskr"/>
              <w:spacing w:before="0" w:after="0"/>
              <w:jc w:val="center"/>
            </w:pPr>
            <w:r w:rsidRPr="009F0A6A">
              <w:t>A</w:t>
            </w:r>
          </w:p>
        </w:tc>
        <w:tc>
          <w:tcPr>
            <w:tcW w:w="3648" w:type="dxa"/>
            <w:vAlign w:val="center"/>
          </w:tcPr>
          <w:p w:rsidR="003608D5" w:rsidRPr="009F0A6A" w:rsidRDefault="003608D5" w:rsidP="00B33D8C">
            <w:pPr>
              <w:pStyle w:val="naiskr"/>
              <w:spacing w:before="0" w:after="0"/>
              <w:jc w:val="center"/>
            </w:pPr>
            <w:r w:rsidRPr="009F0A6A">
              <w:t>B</w:t>
            </w:r>
          </w:p>
        </w:tc>
        <w:tc>
          <w:tcPr>
            <w:tcW w:w="3779" w:type="dxa"/>
            <w:vAlign w:val="center"/>
          </w:tcPr>
          <w:p w:rsidR="003608D5" w:rsidRPr="009F0A6A" w:rsidRDefault="003608D5" w:rsidP="00B33D8C">
            <w:pPr>
              <w:pStyle w:val="naiskr"/>
              <w:spacing w:before="0" w:after="0"/>
              <w:jc w:val="center"/>
            </w:pPr>
            <w:r w:rsidRPr="009F0A6A">
              <w:t>C</w:t>
            </w:r>
          </w:p>
        </w:tc>
      </w:tr>
      <w:tr w:rsidR="003608D5" w:rsidRPr="009F0A6A" w:rsidTr="00A17A80">
        <w:trPr>
          <w:trHeight w:val="340"/>
          <w:jc w:val="center"/>
        </w:trPr>
        <w:tc>
          <w:tcPr>
            <w:tcW w:w="1916" w:type="dxa"/>
          </w:tcPr>
          <w:p w:rsidR="003608D5" w:rsidRPr="009F0A6A" w:rsidRDefault="003608D5" w:rsidP="00B33D8C">
            <w:pPr>
              <w:pStyle w:val="naiskr"/>
              <w:spacing w:before="0" w:after="0"/>
            </w:pPr>
            <w:r w:rsidRPr="009F0A6A">
              <w:t>Starptautiskās saistības (pēc būtības), kas izriet no norādītā starptautiskā dokumenta.</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Konkrēti veicamie pasākumi vai uzdevumi, kas nepieciešami šo starptautisko saistību izpildei</w:t>
            </w:r>
          </w:p>
        </w:tc>
        <w:tc>
          <w:tcPr>
            <w:tcW w:w="3648" w:type="dxa"/>
          </w:tcPr>
          <w:p w:rsidR="003608D5" w:rsidRPr="009F0A6A" w:rsidRDefault="003608D5" w:rsidP="00B33D8C">
            <w:pPr>
              <w:pStyle w:val="naiskr"/>
              <w:spacing w:before="0" w:after="0"/>
            </w:pPr>
            <w:r w:rsidRPr="009F0A6A">
              <w:t>Ja pasākumi vai uzdevumi, ar ko tiks izpildītas starptautiskās saistības, tiek noteikti projektā, norāda attiecīgo projekta vienību.</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Vai arī norāda dokumentu, kurā sniegts izvērsts skaidrojums, kādā veidā tiks nodrošināta starptautisko saistību izpilde</w:t>
            </w:r>
          </w:p>
        </w:tc>
        <w:tc>
          <w:tcPr>
            <w:tcW w:w="3779" w:type="dxa"/>
          </w:tcPr>
          <w:p w:rsidR="003608D5" w:rsidRPr="009F0A6A" w:rsidRDefault="003608D5" w:rsidP="00B33D8C">
            <w:pPr>
              <w:pStyle w:val="naiskr"/>
              <w:spacing w:before="0" w:after="0"/>
            </w:pPr>
            <w:r w:rsidRPr="009F0A6A">
              <w:t>Informācija par to, vai starptautiskās saistības, kas minētas šīs tabulas A ailē, tiek izpildītas pilnībā vai daļēji.</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Ja attiecīgās starptautiskās saistības tiek izpildītas daļēji, sniedz attiecīgu skaidrojumu, kā arī precīzi norāda, kad un kādā veidā starptautiskās saistības tiks izpildītas pilnībā.</w:t>
            </w:r>
          </w:p>
          <w:p w:rsidR="003608D5" w:rsidRPr="009F0A6A" w:rsidRDefault="003608D5" w:rsidP="00B33D8C">
            <w:pPr>
              <w:pStyle w:val="naiskr"/>
              <w:spacing w:before="0" w:after="0"/>
            </w:pPr>
          </w:p>
          <w:p w:rsidR="003608D5" w:rsidRPr="009F0A6A" w:rsidRDefault="003608D5" w:rsidP="00B33D8C">
            <w:pPr>
              <w:pStyle w:val="naiskr"/>
              <w:spacing w:before="0" w:after="0"/>
            </w:pPr>
            <w:r w:rsidRPr="009F0A6A">
              <w:t>Norāda institūciju, kas ir atbildīga par šo saistību izpildi pilnībā</w:t>
            </w:r>
          </w:p>
        </w:tc>
      </w:tr>
      <w:tr w:rsidR="003608D5" w:rsidRPr="009F0A6A" w:rsidTr="00A17A80">
        <w:trPr>
          <w:trHeight w:val="160"/>
          <w:jc w:val="center"/>
        </w:trPr>
        <w:tc>
          <w:tcPr>
            <w:tcW w:w="1916" w:type="dxa"/>
            <w:vAlign w:val="center"/>
          </w:tcPr>
          <w:p w:rsidR="003608D5" w:rsidRPr="009F0A6A" w:rsidRDefault="003608D5" w:rsidP="00B33D8C">
            <w:pPr>
              <w:pStyle w:val="naiskr"/>
              <w:spacing w:before="0" w:after="0"/>
              <w:jc w:val="center"/>
            </w:pPr>
            <w:r w:rsidRPr="009F0A6A">
              <w:t>Nav attiecināms.</w:t>
            </w:r>
          </w:p>
        </w:tc>
        <w:tc>
          <w:tcPr>
            <w:tcW w:w="3648" w:type="dxa"/>
          </w:tcPr>
          <w:p w:rsidR="003608D5" w:rsidRPr="009F0A6A" w:rsidRDefault="003608D5" w:rsidP="00B33D8C">
            <w:pPr>
              <w:pStyle w:val="naiskr"/>
              <w:spacing w:before="0" w:after="0"/>
              <w:jc w:val="center"/>
            </w:pPr>
            <w:r w:rsidRPr="00276D2E">
              <w:rPr>
                <w:color w:val="000000"/>
              </w:rPr>
              <w:t>Projekts šo jomu neskar</w:t>
            </w:r>
            <w:r>
              <w:rPr>
                <w:color w:val="000000"/>
              </w:rPr>
              <w:t>.</w:t>
            </w:r>
          </w:p>
        </w:tc>
        <w:tc>
          <w:tcPr>
            <w:tcW w:w="3779" w:type="dxa"/>
          </w:tcPr>
          <w:p w:rsidR="003608D5" w:rsidRPr="009F0A6A" w:rsidRDefault="003608D5" w:rsidP="00B33D8C">
            <w:pPr>
              <w:pStyle w:val="naiskr"/>
              <w:spacing w:before="0" w:after="0"/>
              <w:jc w:val="center"/>
            </w:pPr>
            <w:r w:rsidRPr="00276D2E">
              <w:rPr>
                <w:color w:val="000000"/>
              </w:rPr>
              <w:t>Projekts šo jomu neskar</w:t>
            </w:r>
            <w:r>
              <w:rPr>
                <w:color w:val="000000"/>
              </w:rPr>
              <w:t>.</w:t>
            </w:r>
          </w:p>
        </w:tc>
      </w:tr>
      <w:tr w:rsidR="003608D5" w:rsidRPr="009F0A6A" w:rsidTr="00A17A80">
        <w:trPr>
          <w:trHeight w:val="160"/>
          <w:jc w:val="center"/>
        </w:trPr>
        <w:tc>
          <w:tcPr>
            <w:tcW w:w="1916" w:type="dxa"/>
            <w:vAlign w:val="center"/>
          </w:tcPr>
          <w:p w:rsidR="003608D5" w:rsidRPr="009F0A6A" w:rsidRDefault="003608D5" w:rsidP="00B33D8C">
            <w:pPr>
              <w:pStyle w:val="naisf"/>
              <w:tabs>
                <w:tab w:val="left" w:pos="900"/>
              </w:tabs>
              <w:spacing w:before="0" w:after="0"/>
              <w:ind w:firstLine="0"/>
              <w:jc w:val="left"/>
            </w:pPr>
            <w:r w:rsidRPr="009F0A6A">
              <w:t>Vai starptautiskajā dokumentā paredzētās saistības nav pretrunā ar jau esošajām Latvijas Republikas starptautiskajām saistībām</w:t>
            </w:r>
          </w:p>
        </w:tc>
        <w:tc>
          <w:tcPr>
            <w:tcW w:w="7427" w:type="dxa"/>
            <w:gridSpan w:val="2"/>
          </w:tcPr>
          <w:p w:rsidR="003608D5" w:rsidRPr="009F0A6A" w:rsidRDefault="003608D5" w:rsidP="00B33D8C">
            <w:pPr>
              <w:pStyle w:val="naiskr"/>
              <w:spacing w:before="0" w:after="0"/>
            </w:pPr>
            <w:r w:rsidRPr="00276D2E">
              <w:rPr>
                <w:color w:val="000000"/>
              </w:rPr>
              <w:t>Projekts šo jomu neskar</w:t>
            </w:r>
            <w:r>
              <w:rPr>
                <w:color w:val="000000"/>
              </w:rPr>
              <w:t>.</w:t>
            </w:r>
          </w:p>
        </w:tc>
      </w:tr>
      <w:tr w:rsidR="003608D5" w:rsidRPr="009F0A6A" w:rsidTr="00A17A80">
        <w:trPr>
          <w:trHeight w:val="455"/>
          <w:jc w:val="center"/>
        </w:trPr>
        <w:tc>
          <w:tcPr>
            <w:tcW w:w="1916" w:type="dxa"/>
          </w:tcPr>
          <w:p w:rsidR="003608D5" w:rsidRPr="009F0A6A" w:rsidRDefault="003608D5" w:rsidP="00B33D8C">
            <w:pPr>
              <w:pStyle w:val="naiskr"/>
              <w:spacing w:before="0" w:after="0"/>
            </w:pPr>
            <w:r w:rsidRPr="009F0A6A">
              <w:t>Cita informācija</w:t>
            </w:r>
          </w:p>
        </w:tc>
        <w:tc>
          <w:tcPr>
            <w:tcW w:w="7427" w:type="dxa"/>
            <w:gridSpan w:val="2"/>
          </w:tcPr>
          <w:p w:rsidR="003608D5" w:rsidRPr="009F0A6A" w:rsidRDefault="003608D5" w:rsidP="00B33D8C">
            <w:pPr>
              <w:pStyle w:val="naiskr"/>
              <w:spacing w:before="0" w:after="0"/>
            </w:pPr>
            <w:r w:rsidRPr="009F0A6A">
              <w:t>Nav</w:t>
            </w:r>
          </w:p>
        </w:tc>
      </w:tr>
    </w:tbl>
    <w:p w:rsidR="00DB6D07" w:rsidRDefault="00DB6D07">
      <w:pPr>
        <w:spacing w:after="0" w:line="240" w:lineRule="auto"/>
        <w:rPr>
          <w:rFonts w:ascii="Times New Roman" w:hAnsi="Times New Roman" w:cs="Times New Roman"/>
          <w:i/>
          <w:sz w:val="24"/>
          <w:szCs w:val="24"/>
        </w:rPr>
      </w:pPr>
    </w:p>
    <w:p w:rsidR="00576662" w:rsidRDefault="00576662">
      <w:pPr>
        <w:spacing w:after="0" w:line="240" w:lineRule="auto"/>
        <w:rPr>
          <w:rFonts w:ascii="Times New Roman" w:hAnsi="Times New Roman" w:cs="Times New Roman"/>
          <w:i/>
          <w:sz w:val="24"/>
          <w:szCs w:val="24"/>
        </w:rPr>
      </w:pPr>
    </w:p>
    <w:p w:rsidR="00576662" w:rsidRDefault="00576662">
      <w:pPr>
        <w:spacing w:after="0" w:line="240" w:lineRule="auto"/>
        <w:rPr>
          <w:rFonts w:ascii="Times New Roman" w:hAnsi="Times New Roman" w:cs="Times New Roman"/>
          <w:i/>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tblPr>
      <w:tblGrid>
        <w:gridCol w:w="495"/>
        <w:gridCol w:w="2754"/>
        <w:gridCol w:w="5940"/>
      </w:tblGrid>
      <w:tr w:rsidR="00980698" w:rsidRPr="009D0FF3" w:rsidTr="00081FDD">
        <w:trPr>
          <w:trHeight w:val="336"/>
          <w:tblCellSpacing w:w="15" w:type="dxa"/>
          <w:jc w:val="center"/>
        </w:trPr>
        <w:tc>
          <w:tcPr>
            <w:tcW w:w="0" w:type="auto"/>
            <w:gridSpan w:val="3"/>
            <w:vAlign w:val="center"/>
            <w:hideMark/>
          </w:tcPr>
          <w:p w:rsidR="00A9530D" w:rsidRDefault="00A9530D">
            <w:pPr>
              <w:spacing w:after="0" w:line="240" w:lineRule="auto"/>
              <w:rPr>
                <w:rFonts w:ascii="Times New Roman" w:hAnsi="Times New Roman" w:cs="Times New Roman"/>
                <w:b/>
                <w:bCs/>
                <w:sz w:val="24"/>
                <w:szCs w:val="24"/>
              </w:rPr>
            </w:pPr>
          </w:p>
          <w:p w:rsidR="00D52218" w:rsidRDefault="00802B56">
            <w:pPr>
              <w:spacing w:after="0" w:line="240" w:lineRule="auto"/>
              <w:rPr>
                <w:rFonts w:ascii="Times New Roman" w:hAnsi="Times New Roman" w:cs="Times New Roman"/>
                <w:b/>
                <w:bCs/>
                <w:sz w:val="24"/>
                <w:szCs w:val="24"/>
              </w:rPr>
            </w:pPr>
            <w:r w:rsidRPr="00802B56">
              <w:rPr>
                <w:rFonts w:ascii="Times New Roman" w:hAnsi="Times New Roman" w:cs="Times New Roman"/>
                <w:b/>
                <w:bCs/>
                <w:sz w:val="24"/>
                <w:szCs w:val="24"/>
              </w:rPr>
              <w:t>VI. Sabiedrības līdzdalība un komunikācijas aktivitātes</w:t>
            </w:r>
          </w:p>
        </w:tc>
      </w:tr>
      <w:tr w:rsidR="00980698" w:rsidRPr="009D0FF3" w:rsidTr="00A9530D">
        <w:trPr>
          <w:trHeight w:val="432"/>
          <w:tblCellSpacing w:w="15" w:type="dxa"/>
          <w:jc w:val="center"/>
        </w:trPr>
        <w:tc>
          <w:tcPr>
            <w:tcW w:w="24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1.</w:t>
            </w:r>
          </w:p>
        </w:tc>
        <w:tc>
          <w:tcPr>
            <w:tcW w:w="1482"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Plānotās sabiedrības līdzdalības un komunikācijas aktivitātes saistībā ar projektu</w:t>
            </w:r>
          </w:p>
        </w:tc>
        <w:tc>
          <w:tcPr>
            <w:tcW w:w="3208" w:type="pct"/>
            <w:hideMark/>
          </w:tcPr>
          <w:p w:rsidR="00D52218" w:rsidRDefault="00CE3166" w:rsidP="00F263F1">
            <w:pPr>
              <w:spacing w:after="0" w:line="240" w:lineRule="auto"/>
              <w:jc w:val="both"/>
              <w:rPr>
                <w:rFonts w:ascii="Times New Roman" w:hAnsi="Times New Roman" w:cs="Times New Roman"/>
                <w:sz w:val="24"/>
                <w:szCs w:val="24"/>
              </w:rPr>
            </w:pPr>
            <w:r w:rsidRPr="00CE3166">
              <w:rPr>
                <w:rFonts w:ascii="Times New Roman" w:hAnsi="Times New Roman" w:cs="Times New Roman"/>
                <w:sz w:val="24"/>
                <w:szCs w:val="24"/>
              </w:rPr>
              <w:t xml:space="preserve">Noteikumu projekts </w:t>
            </w:r>
            <w:r w:rsidR="00F263F1">
              <w:rPr>
                <w:rFonts w:ascii="Times New Roman" w:hAnsi="Times New Roman" w:cs="Times New Roman"/>
                <w:sz w:val="24"/>
                <w:szCs w:val="24"/>
              </w:rPr>
              <w:t xml:space="preserve">tika </w:t>
            </w:r>
            <w:r w:rsidRPr="00CE3166">
              <w:rPr>
                <w:rFonts w:ascii="Times New Roman" w:hAnsi="Times New Roman" w:cs="Times New Roman"/>
                <w:sz w:val="24"/>
                <w:szCs w:val="24"/>
              </w:rPr>
              <w:t xml:space="preserve">ievietots Zemkopības ministrijas tīmekļa vietnē un elektroniski nosūtīts Lauksaimnieku organizāciju sadarbības padomei, Zemnieku saeimai, Latvijas Lauksaimniecības kooperatīvu asociācijai, </w:t>
            </w:r>
            <w:r w:rsidRPr="00CE3166">
              <w:rPr>
                <w:rFonts w:ascii="Times New Roman" w:hAnsi="Times New Roman" w:cs="Times New Roman"/>
                <w:bCs/>
                <w:sz w:val="24"/>
                <w:szCs w:val="24"/>
              </w:rPr>
              <w:t xml:space="preserve">Latvijas piena ražotāju asociācijai, Latvijas Zemnieku federācijai </w:t>
            </w:r>
            <w:r w:rsidRPr="00CE3166">
              <w:rPr>
                <w:rFonts w:ascii="Times New Roman" w:hAnsi="Times New Roman" w:cs="Times New Roman"/>
                <w:sz w:val="24"/>
                <w:szCs w:val="24"/>
              </w:rPr>
              <w:t>un</w:t>
            </w:r>
            <w:r w:rsidRPr="00CE3166">
              <w:rPr>
                <w:rFonts w:ascii="Times New Roman" w:hAnsi="Times New Roman" w:cs="Times New Roman"/>
                <w:bCs/>
                <w:sz w:val="24"/>
                <w:szCs w:val="24"/>
              </w:rPr>
              <w:t xml:space="preserve"> Latvijas Statūtsabiedrību asociācijai</w:t>
            </w:r>
            <w:r w:rsidRPr="00CE3166">
              <w:rPr>
                <w:rFonts w:ascii="Times New Roman" w:hAnsi="Times New Roman" w:cs="Times New Roman"/>
                <w:sz w:val="24"/>
                <w:szCs w:val="24"/>
              </w:rPr>
              <w:t>.</w:t>
            </w:r>
          </w:p>
        </w:tc>
      </w:tr>
      <w:tr w:rsidR="00980698" w:rsidRPr="009D0FF3" w:rsidTr="00A9530D">
        <w:trPr>
          <w:trHeight w:val="264"/>
          <w:tblCellSpacing w:w="15" w:type="dxa"/>
          <w:jc w:val="center"/>
        </w:trPr>
        <w:tc>
          <w:tcPr>
            <w:tcW w:w="24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2.</w:t>
            </w:r>
          </w:p>
        </w:tc>
        <w:tc>
          <w:tcPr>
            <w:tcW w:w="1482"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Sabiedrības līdzdalība projekta izstrādē</w:t>
            </w:r>
          </w:p>
        </w:tc>
        <w:tc>
          <w:tcPr>
            <w:tcW w:w="3208" w:type="pct"/>
            <w:hideMark/>
          </w:tcPr>
          <w:p w:rsidR="00D52218" w:rsidRDefault="00802B56">
            <w:pPr>
              <w:spacing w:after="0" w:line="240" w:lineRule="auto"/>
              <w:jc w:val="both"/>
              <w:rPr>
                <w:rFonts w:ascii="Times New Roman" w:hAnsi="Times New Roman" w:cs="Times New Roman"/>
                <w:sz w:val="24"/>
                <w:szCs w:val="24"/>
              </w:rPr>
            </w:pPr>
            <w:r w:rsidRPr="00802B56">
              <w:rPr>
                <w:rFonts w:ascii="Times New Roman" w:hAnsi="Times New Roman" w:cs="Times New Roman"/>
                <w:sz w:val="24"/>
                <w:szCs w:val="24"/>
              </w:rPr>
              <w:t>Lauksaimnieku organizāciju sadarbības padome, Zemnieku saeima un Latvijas Lauksaimniecības kooperatīvu asociācija sniegušas priekšlikumus un izteikušas komentārus par noteikumu projektu.</w:t>
            </w:r>
          </w:p>
        </w:tc>
      </w:tr>
      <w:tr w:rsidR="00980698" w:rsidRPr="009D0FF3" w:rsidTr="00A9530D">
        <w:trPr>
          <w:trHeight w:val="682"/>
          <w:tblCellSpacing w:w="15" w:type="dxa"/>
          <w:jc w:val="center"/>
        </w:trPr>
        <w:tc>
          <w:tcPr>
            <w:tcW w:w="24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3.</w:t>
            </w:r>
          </w:p>
        </w:tc>
        <w:tc>
          <w:tcPr>
            <w:tcW w:w="1482"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Sabiedrības līdzdalības rezultāti</w:t>
            </w:r>
          </w:p>
        </w:tc>
        <w:tc>
          <w:tcPr>
            <w:tcW w:w="3208" w:type="pct"/>
            <w:hideMark/>
          </w:tcPr>
          <w:p w:rsidR="00D52218" w:rsidRDefault="00802B56">
            <w:pPr>
              <w:spacing w:after="0" w:line="240" w:lineRule="auto"/>
              <w:jc w:val="both"/>
              <w:rPr>
                <w:rFonts w:ascii="Times New Roman" w:hAnsi="Times New Roman" w:cs="Times New Roman"/>
                <w:sz w:val="24"/>
                <w:szCs w:val="24"/>
              </w:rPr>
            </w:pPr>
            <w:r w:rsidRPr="00802B56">
              <w:rPr>
                <w:rFonts w:ascii="Times New Roman" w:hAnsi="Times New Roman" w:cs="Times New Roman"/>
                <w:sz w:val="24"/>
                <w:szCs w:val="24"/>
              </w:rPr>
              <w:t xml:space="preserve">Lauksaimnieku organizāciju sadarbības padomes, Zemnieku saeimas un Latvijas Lauksaimniecības kooperatīvu asociācijas iesniegtie priekšlikumi </w:t>
            </w:r>
            <w:r w:rsidR="00945C98">
              <w:rPr>
                <w:rFonts w:ascii="Times New Roman" w:hAnsi="Times New Roman" w:cs="Times New Roman"/>
                <w:sz w:val="24"/>
                <w:szCs w:val="24"/>
              </w:rPr>
              <w:t xml:space="preserve">ir </w:t>
            </w:r>
            <w:r w:rsidRPr="00802B56">
              <w:rPr>
                <w:rFonts w:ascii="Times New Roman" w:hAnsi="Times New Roman" w:cs="Times New Roman"/>
                <w:sz w:val="24"/>
                <w:szCs w:val="24"/>
              </w:rPr>
              <w:t xml:space="preserve">izvērtēti un ņemti vērā. </w:t>
            </w:r>
          </w:p>
        </w:tc>
      </w:tr>
      <w:tr w:rsidR="00980698" w:rsidRPr="009D0FF3" w:rsidTr="00A9530D">
        <w:trPr>
          <w:trHeight w:val="372"/>
          <w:tblCellSpacing w:w="15" w:type="dxa"/>
          <w:jc w:val="center"/>
        </w:trPr>
        <w:tc>
          <w:tcPr>
            <w:tcW w:w="24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4.</w:t>
            </w:r>
          </w:p>
        </w:tc>
        <w:tc>
          <w:tcPr>
            <w:tcW w:w="1482"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Cita informācija</w:t>
            </w:r>
          </w:p>
        </w:tc>
        <w:tc>
          <w:tcPr>
            <w:tcW w:w="3208"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Nav</w:t>
            </w:r>
          </w:p>
        </w:tc>
      </w:tr>
    </w:tbl>
    <w:p w:rsidR="00D52218" w:rsidRDefault="00D52218">
      <w:pPr>
        <w:spacing w:after="0" w:line="240" w:lineRule="auto"/>
        <w:rPr>
          <w:rFonts w:ascii="Times New Roman" w:hAnsi="Times New Roman" w:cs="Times New Roman"/>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tblPr>
      <w:tblGrid>
        <w:gridCol w:w="499"/>
        <w:gridCol w:w="3476"/>
        <w:gridCol w:w="5214"/>
      </w:tblGrid>
      <w:tr w:rsidR="00980698" w:rsidRPr="009D0FF3" w:rsidTr="00081FDD">
        <w:trPr>
          <w:trHeight w:val="300"/>
          <w:tblCellSpacing w:w="15" w:type="dxa"/>
          <w:jc w:val="center"/>
        </w:trPr>
        <w:tc>
          <w:tcPr>
            <w:tcW w:w="0" w:type="auto"/>
            <w:gridSpan w:val="3"/>
            <w:vAlign w:val="center"/>
            <w:hideMark/>
          </w:tcPr>
          <w:p w:rsidR="00D52218" w:rsidRDefault="00802B56">
            <w:pPr>
              <w:spacing w:after="0" w:line="240" w:lineRule="auto"/>
              <w:rPr>
                <w:rFonts w:ascii="Times New Roman" w:hAnsi="Times New Roman" w:cs="Times New Roman"/>
                <w:b/>
                <w:bCs/>
                <w:sz w:val="24"/>
                <w:szCs w:val="24"/>
              </w:rPr>
            </w:pPr>
            <w:r w:rsidRPr="00802B56">
              <w:rPr>
                <w:rFonts w:ascii="Times New Roman" w:hAnsi="Times New Roman" w:cs="Times New Roman"/>
                <w:b/>
                <w:bCs/>
                <w:sz w:val="24"/>
                <w:szCs w:val="24"/>
              </w:rPr>
              <w:t>VII. Tiesību akta projekta izpildes nodrošināšana un tās ietekme uz institūcijām</w:t>
            </w:r>
          </w:p>
        </w:tc>
      </w:tr>
      <w:tr w:rsidR="00980698" w:rsidRPr="009D0FF3" w:rsidTr="00081FDD">
        <w:trPr>
          <w:trHeight w:val="336"/>
          <w:tblCellSpacing w:w="15" w:type="dxa"/>
          <w:jc w:val="center"/>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1.</w:t>
            </w:r>
          </w:p>
        </w:tc>
        <w:tc>
          <w:tcPr>
            <w:tcW w:w="187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Projekta izpildē iesaistītās institūcijas</w:t>
            </w:r>
          </w:p>
        </w:tc>
        <w:tc>
          <w:tcPr>
            <w:tcW w:w="2813"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Lauksaimniecības datu centrs</w:t>
            </w:r>
          </w:p>
        </w:tc>
      </w:tr>
      <w:tr w:rsidR="00980698" w:rsidRPr="009D0FF3" w:rsidTr="00081FDD">
        <w:trPr>
          <w:trHeight w:val="360"/>
          <w:tblCellSpacing w:w="15" w:type="dxa"/>
          <w:jc w:val="center"/>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2.</w:t>
            </w:r>
          </w:p>
        </w:tc>
        <w:tc>
          <w:tcPr>
            <w:tcW w:w="187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813"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Saistībā ar projekta izpildi nav nepieciešams veidot jaunas, ne arī likvidēt vai reorganizēt esošas institūcijas.</w:t>
            </w:r>
          </w:p>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Projekta izpilde neietekmēs institūcijām pieejamos cilvēkresursus.</w:t>
            </w:r>
          </w:p>
          <w:p w:rsidR="00D52218" w:rsidRDefault="00D52218">
            <w:pPr>
              <w:spacing w:after="0" w:line="240" w:lineRule="auto"/>
              <w:rPr>
                <w:rFonts w:ascii="Times New Roman" w:hAnsi="Times New Roman" w:cs="Times New Roman"/>
                <w:sz w:val="24"/>
                <w:szCs w:val="24"/>
              </w:rPr>
            </w:pPr>
          </w:p>
        </w:tc>
      </w:tr>
      <w:tr w:rsidR="00980698" w:rsidRPr="009D0FF3" w:rsidTr="00081FDD">
        <w:trPr>
          <w:trHeight w:val="312"/>
          <w:tblCellSpacing w:w="15" w:type="dxa"/>
          <w:jc w:val="center"/>
        </w:trPr>
        <w:tc>
          <w:tcPr>
            <w:tcW w:w="247"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3.</w:t>
            </w:r>
          </w:p>
        </w:tc>
        <w:tc>
          <w:tcPr>
            <w:tcW w:w="1875"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Cita informācija</w:t>
            </w:r>
          </w:p>
        </w:tc>
        <w:tc>
          <w:tcPr>
            <w:tcW w:w="2813" w:type="pct"/>
            <w:hideMark/>
          </w:tcPr>
          <w:p w:rsidR="00D52218" w:rsidRDefault="00802B56">
            <w:pPr>
              <w:spacing w:after="0" w:line="240" w:lineRule="auto"/>
              <w:rPr>
                <w:rFonts w:ascii="Times New Roman" w:hAnsi="Times New Roman" w:cs="Times New Roman"/>
                <w:sz w:val="24"/>
                <w:szCs w:val="24"/>
              </w:rPr>
            </w:pPr>
            <w:r w:rsidRPr="00802B56">
              <w:rPr>
                <w:rFonts w:ascii="Times New Roman" w:hAnsi="Times New Roman" w:cs="Times New Roman"/>
                <w:sz w:val="24"/>
                <w:szCs w:val="24"/>
              </w:rPr>
              <w:t>Nav</w:t>
            </w:r>
          </w:p>
        </w:tc>
      </w:tr>
    </w:tbl>
    <w:p w:rsidR="004941BF" w:rsidRDefault="004941BF">
      <w:pPr>
        <w:spacing w:after="0" w:line="240" w:lineRule="auto"/>
        <w:rPr>
          <w:rFonts w:ascii="Times New Roman" w:hAnsi="Times New Roman" w:cs="Times New Roman"/>
          <w:sz w:val="24"/>
          <w:szCs w:val="24"/>
        </w:rPr>
      </w:pPr>
    </w:p>
    <w:p w:rsidR="00D52218" w:rsidRDefault="00D52218">
      <w:pPr>
        <w:spacing w:after="0" w:line="240" w:lineRule="auto"/>
        <w:rPr>
          <w:rFonts w:ascii="Times New Roman" w:hAnsi="Times New Roman" w:cs="Times New Roman"/>
          <w:sz w:val="24"/>
          <w:szCs w:val="24"/>
        </w:rPr>
      </w:pPr>
    </w:p>
    <w:p w:rsidR="00DD5729" w:rsidRDefault="00802B56" w:rsidP="004941BF">
      <w:pPr>
        <w:spacing w:after="0" w:line="240" w:lineRule="auto"/>
        <w:ind w:firstLine="720"/>
        <w:rPr>
          <w:rFonts w:ascii="Times New Roman" w:hAnsi="Times New Roman" w:cs="Times New Roman"/>
          <w:sz w:val="28"/>
          <w:szCs w:val="28"/>
        </w:rPr>
      </w:pPr>
      <w:r w:rsidRPr="004941BF">
        <w:rPr>
          <w:rFonts w:ascii="Times New Roman" w:hAnsi="Times New Roman" w:cs="Times New Roman"/>
          <w:sz w:val="28"/>
          <w:szCs w:val="28"/>
        </w:rPr>
        <w:t>Zemkopības ministr</w:t>
      </w:r>
      <w:r w:rsidR="00DD5729">
        <w:rPr>
          <w:rFonts w:ascii="Times New Roman" w:hAnsi="Times New Roman" w:cs="Times New Roman"/>
          <w:sz w:val="28"/>
          <w:szCs w:val="28"/>
        </w:rPr>
        <w:t xml:space="preserve">a </w:t>
      </w:r>
      <w:proofErr w:type="spellStart"/>
      <w:r w:rsidR="00DD5729">
        <w:rPr>
          <w:rFonts w:ascii="Times New Roman" w:hAnsi="Times New Roman" w:cs="Times New Roman"/>
          <w:sz w:val="28"/>
          <w:szCs w:val="28"/>
        </w:rPr>
        <w:t>p.i.</w:t>
      </w:r>
      <w:r w:rsidR="00855940">
        <w:rPr>
          <w:rFonts w:ascii="Times New Roman" w:hAnsi="Times New Roman" w:cs="Times New Roman"/>
          <w:sz w:val="28"/>
          <w:szCs w:val="28"/>
        </w:rPr>
        <w:t>-</w:t>
      </w:r>
      <w:proofErr w:type="spellEnd"/>
    </w:p>
    <w:p w:rsidR="00D52218" w:rsidRDefault="00855940" w:rsidP="004941B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w:t>
      </w:r>
      <w:r w:rsidR="00DD5729">
        <w:rPr>
          <w:rFonts w:ascii="Times New Roman" w:hAnsi="Times New Roman" w:cs="Times New Roman"/>
          <w:sz w:val="28"/>
          <w:szCs w:val="28"/>
        </w:rPr>
        <w:t xml:space="preserve">abklājības ministrs </w:t>
      </w:r>
      <w:r w:rsidR="00802B56" w:rsidRPr="004941BF">
        <w:rPr>
          <w:rFonts w:ascii="Times New Roman" w:hAnsi="Times New Roman" w:cs="Times New Roman"/>
          <w:sz w:val="28"/>
          <w:szCs w:val="28"/>
        </w:rPr>
        <w:tab/>
      </w:r>
      <w:r w:rsidR="00802B56" w:rsidRPr="004941BF">
        <w:rPr>
          <w:rFonts w:ascii="Times New Roman" w:hAnsi="Times New Roman" w:cs="Times New Roman"/>
          <w:sz w:val="28"/>
          <w:szCs w:val="28"/>
        </w:rPr>
        <w:tab/>
      </w:r>
      <w:r w:rsidR="00802B56" w:rsidRPr="004941BF">
        <w:rPr>
          <w:rFonts w:ascii="Times New Roman" w:hAnsi="Times New Roman" w:cs="Times New Roman"/>
          <w:sz w:val="28"/>
          <w:szCs w:val="28"/>
        </w:rPr>
        <w:tab/>
      </w:r>
      <w:r w:rsidR="00802B56" w:rsidRPr="004941BF">
        <w:rPr>
          <w:rFonts w:ascii="Times New Roman" w:hAnsi="Times New Roman" w:cs="Times New Roman"/>
          <w:sz w:val="28"/>
          <w:szCs w:val="28"/>
        </w:rPr>
        <w:tab/>
      </w:r>
      <w:r w:rsidR="00802B56" w:rsidRPr="004941BF">
        <w:rPr>
          <w:rFonts w:ascii="Times New Roman" w:hAnsi="Times New Roman" w:cs="Times New Roman"/>
          <w:sz w:val="28"/>
          <w:szCs w:val="28"/>
        </w:rPr>
        <w:tab/>
      </w:r>
      <w:r w:rsidR="00802B56" w:rsidRPr="004941BF">
        <w:rPr>
          <w:rFonts w:ascii="Times New Roman" w:hAnsi="Times New Roman" w:cs="Times New Roman"/>
          <w:sz w:val="28"/>
          <w:szCs w:val="28"/>
        </w:rPr>
        <w:tab/>
      </w:r>
      <w:proofErr w:type="spellStart"/>
      <w:r w:rsidR="00DD5729">
        <w:rPr>
          <w:rFonts w:ascii="Times New Roman" w:hAnsi="Times New Roman" w:cs="Times New Roman"/>
          <w:sz w:val="28"/>
          <w:szCs w:val="28"/>
        </w:rPr>
        <w:t>U</w:t>
      </w:r>
      <w:r w:rsidR="00802B56" w:rsidRPr="004941BF">
        <w:rPr>
          <w:rFonts w:ascii="Times New Roman" w:hAnsi="Times New Roman" w:cs="Times New Roman"/>
          <w:sz w:val="28"/>
          <w:szCs w:val="28"/>
        </w:rPr>
        <w:t>.</w:t>
      </w:r>
      <w:r w:rsidR="00DD5729">
        <w:rPr>
          <w:rFonts w:ascii="Times New Roman" w:hAnsi="Times New Roman" w:cs="Times New Roman"/>
          <w:sz w:val="28"/>
          <w:szCs w:val="28"/>
        </w:rPr>
        <w:t>Augulis</w:t>
      </w:r>
      <w:proofErr w:type="spellEnd"/>
    </w:p>
    <w:p w:rsidR="00DD5729" w:rsidRDefault="00DD5729" w:rsidP="004941BF">
      <w:pPr>
        <w:spacing w:after="0" w:line="240" w:lineRule="auto"/>
        <w:ind w:firstLine="720"/>
        <w:rPr>
          <w:rFonts w:ascii="Times New Roman" w:hAnsi="Times New Roman" w:cs="Times New Roman"/>
          <w:sz w:val="28"/>
          <w:szCs w:val="28"/>
        </w:rPr>
      </w:pPr>
    </w:p>
    <w:p w:rsidR="00DD5729" w:rsidRPr="004941BF" w:rsidRDefault="00DD5729" w:rsidP="004941BF">
      <w:pPr>
        <w:spacing w:after="0" w:line="240" w:lineRule="auto"/>
        <w:ind w:firstLine="720"/>
        <w:rPr>
          <w:rFonts w:ascii="Times New Roman" w:hAnsi="Times New Roman" w:cs="Times New Roman"/>
          <w:sz w:val="28"/>
          <w:szCs w:val="28"/>
        </w:rPr>
      </w:pPr>
    </w:p>
    <w:p w:rsidR="00D52218" w:rsidRDefault="00D52218">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4"/>
          <w:szCs w:val="24"/>
        </w:rPr>
      </w:pPr>
    </w:p>
    <w:p w:rsidR="00D52218" w:rsidRDefault="00D52218">
      <w:pPr>
        <w:spacing w:after="0" w:line="240" w:lineRule="auto"/>
        <w:rPr>
          <w:rFonts w:ascii="Times New Roman" w:hAnsi="Times New Roman" w:cs="Times New Roman"/>
          <w:sz w:val="24"/>
          <w:szCs w:val="24"/>
        </w:rPr>
      </w:pPr>
    </w:p>
    <w:p w:rsidR="00855940" w:rsidRDefault="00855940">
      <w:pPr>
        <w:spacing w:after="0" w:line="240" w:lineRule="auto"/>
        <w:rPr>
          <w:rFonts w:ascii="Times New Roman" w:hAnsi="Times New Roman" w:cs="Times New Roman"/>
          <w:sz w:val="20"/>
          <w:szCs w:val="20"/>
        </w:rPr>
      </w:pPr>
      <w:r>
        <w:rPr>
          <w:rFonts w:ascii="Times New Roman" w:hAnsi="Times New Roman" w:cs="Times New Roman"/>
          <w:sz w:val="20"/>
          <w:szCs w:val="20"/>
        </w:rPr>
        <w:t>2014.05.22. 10:15</w:t>
      </w:r>
    </w:p>
    <w:p w:rsidR="00791A26" w:rsidRPr="00791A26" w:rsidRDefault="00791A26">
      <w:pPr>
        <w:spacing w:after="0" w:line="240" w:lineRule="auto"/>
        <w:rPr>
          <w:rFonts w:ascii="Times New Roman" w:hAnsi="Times New Roman" w:cs="Times New Roman"/>
          <w:sz w:val="20"/>
          <w:szCs w:val="20"/>
        </w:rPr>
      </w:pPr>
      <w:fldSimple w:instr=" NUMWORDS   \* MERGEFORMAT ">
        <w:r w:rsidRPr="00791A26">
          <w:rPr>
            <w:rFonts w:ascii="Times New Roman" w:hAnsi="Times New Roman" w:cs="Times New Roman"/>
            <w:noProof/>
            <w:sz w:val="20"/>
            <w:szCs w:val="20"/>
          </w:rPr>
          <w:t>1702</w:t>
        </w:r>
      </w:fldSimple>
    </w:p>
    <w:p w:rsidR="00D52218" w:rsidRDefault="00802B56">
      <w:pPr>
        <w:spacing w:after="0" w:line="240" w:lineRule="auto"/>
        <w:rPr>
          <w:rFonts w:ascii="Times New Roman" w:hAnsi="Times New Roman" w:cs="Times New Roman"/>
          <w:sz w:val="20"/>
          <w:szCs w:val="20"/>
        </w:rPr>
      </w:pPr>
      <w:r w:rsidRPr="00802B56">
        <w:rPr>
          <w:rFonts w:ascii="Times New Roman" w:hAnsi="Times New Roman" w:cs="Times New Roman"/>
          <w:sz w:val="20"/>
          <w:szCs w:val="20"/>
        </w:rPr>
        <w:t>S.Justa</w:t>
      </w:r>
    </w:p>
    <w:p w:rsidR="00D52218" w:rsidRDefault="00802B56">
      <w:pPr>
        <w:spacing w:after="0" w:line="240" w:lineRule="auto"/>
        <w:rPr>
          <w:rFonts w:ascii="Times New Roman" w:hAnsi="Times New Roman" w:cs="Times New Roman"/>
          <w:sz w:val="20"/>
          <w:szCs w:val="20"/>
        </w:rPr>
      </w:pPr>
      <w:r w:rsidRPr="00802B56">
        <w:rPr>
          <w:rFonts w:ascii="Times New Roman" w:hAnsi="Times New Roman" w:cs="Times New Roman"/>
          <w:sz w:val="20"/>
          <w:szCs w:val="20"/>
        </w:rPr>
        <w:t>67027379; Sandra.Justa@zm.gov.lv</w:t>
      </w:r>
    </w:p>
    <w:sectPr w:rsidR="00D52218" w:rsidSect="009D0FF3">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B0" w:rsidRDefault="007F4AB0" w:rsidP="009D0FF3">
      <w:pPr>
        <w:spacing w:after="0" w:line="240" w:lineRule="auto"/>
      </w:pPr>
      <w:r>
        <w:separator/>
      </w:r>
    </w:p>
  </w:endnote>
  <w:endnote w:type="continuationSeparator" w:id="0">
    <w:p w:rsidR="007F4AB0" w:rsidRDefault="007F4AB0" w:rsidP="009D0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1C" w:rsidRPr="001962A7" w:rsidRDefault="00802B56" w:rsidP="0088391C">
    <w:pPr>
      <w:spacing w:after="0"/>
      <w:jc w:val="both"/>
      <w:rPr>
        <w:rFonts w:ascii="Times New Roman" w:hAnsi="Times New Roman" w:cs="Times New Roman"/>
        <w:sz w:val="20"/>
        <w:szCs w:val="20"/>
      </w:rPr>
    </w:pPr>
    <w:r w:rsidRPr="001962A7">
      <w:rPr>
        <w:rFonts w:ascii="Times New Roman" w:hAnsi="Times New Roman" w:cs="Times New Roman"/>
        <w:sz w:val="20"/>
        <w:szCs w:val="20"/>
      </w:rPr>
      <w:t>ZMAnot_</w:t>
    </w:r>
    <w:r w:rsidR="00A9530D">
      <w:rPr>
        <w:rFonts w:ascii="Times New Roman" w:hAnsi="Times New Roman" w:cs="Times New Roman"/>
        <w:sz w:val="20"/>
        <w:szCs w:val="20"/>
      </w:rPr>
      <w:t>1</w:t>
    </w:r>
    <w:r w:rsidR="00547A60">
      <w:rPr>
        <w:rFonts w:ascii="Times New Roman" w:hAnsi="Times New Roman" w:cs="Times New Roman"/>
        <w:sz w:val="20"/>
        <w:szCs w:val="20"/>
      </w:rPr>
      <w:t>5</w:t>
    </w:r>
    <w:r w:rsidRPr="001962A7">
      <w:rPr>
        <w:rFonts w:ascii="Times New Roman" w:hAnsi="Times New Roman" w:cs="Times New Roman"/>
        <w:sz w:val="20"/>
        <w:szCs w:val="20"/>
      </w:rPr>
      <w:t>0</w:t>
    </w:r>
    <w:r w:rsidR="00A9530D">
      <w:rPr>
        <w:rFonts w:ascii="Times New Roman" w:hAnsi="Times New Roman" w:cs="Times New Roman"/>
        <w:sz w:val="20"/>
        <w:szCs w:val="20"/>
      </w:rPr>
      <w:t>5</w:t>
    </w:r>
    <w:r w:rsidRPr="001962A7">
      <w:rPr>
        <w:rFonts w:ascii="Times New Roman" w:hAnsi="Times New Roman" w:cs="Times New Roman"/>
        <w:sz w:val="20"/>
        <w:szCs w:val="20"/>
      </w:rPr>
      <w:t xml:space="preserve">14_piena_kvotas; Ministru kabineta noteikumu projekts </w:t>
    </w:r>
    <w:r w:rsidRPr="001962A7">
      <w:rPr>
        <w:rFonts w:ascii="Times New Roman" w:hAnsi="Times New Roman" w:cs="Times New Roman" w:hint="eastAsia"/>
        <w:sz w:val="20"/>
        <w:szCs w:val="20"/>
      </w:rPr>
      <w:t>„</w:t>
    </w:r>
    <w:r w:rsidRPr="001962A7">
      <w:rPr>
        <w:rFonts w:ascii="Times New Roman" w:hAnsi="Times New Roman" w:cs="Times New Roman"/>
        <w:sz w:val="20"/>
        <w:szCs w:val="20"/>
      </w:rPr>
      <w:t>Grozījumi Ministru kabineta 2009.gada 8.septembra noteikum</w:t>
    </w:r>
    <w:r w:rsidR="00CE3166" w:rsidRPr="001962A7">
      <w:rPr>
        <w:rFonts w:ascii="Times New Roman" w:hAnsi="Times New Roman" w:cs="Times New Roman"/>
        <w:sz w:val="20"/>
        <w:szCs w:val="20"/>
      </w:rPr>
      <w:t>os</w:t>
    </w:r>
    <w:r w:rsidRPr="001962A7">
      <w:rPr>
        <w:rFonts w:ascii="Times New Roman" w:hAnsi="Times New Roman" w:cs="Times New Roman"/>
        <w:sz w:val="20"/>
        <w:szCs w:val="20"/>
      </w:rPr>
      <w:t xml:space="preserve"> Nr.1040 „Piena kvotu administrēšanas noteikumi</w:t>
    </w:r>
    <w:r w:rsidRPr="001962A7">
      <w:rPr>
        <w:rFonts w:ascii="Times New Roman" w:hAnsi="Times New Roman" w:cs="Times New Roman" w:hint="eastAsia"/>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1C" w:rsidRPr="001962A7" w:rsidRDefault="00A9530D" w:rsidP="0088391C">
    <w:pPr>
      <w:spacing w:after="0"/>
      <w:jc w:val="both"/>
      <w:rPr>
        <w:rFonts w:ascii="Times New Roman" w:hAnsi="Times New Roman" w:cs="Times New Roman"/>
        <w:sz w:val="20"/>
        <w:szCs w:val="20"/>
      </w:rPr>
    </w:pPr>
    <w:r>
      <w:rPr>
        <w:rFonts w:ascii="Times New Roman" w:hAnsi="Times New Roman" w:cs="Times New Roman"/>
        <w:sz w:val="20"/>
        <w:szCs w:val="20"/>
      </w:rPr>
      <w:t>ZMAnot_1</w:t>
    </w:r>
    <w:r w:rsidR="00547A60">
      <w:rPr>
        <w:rFonts w:ascii="Times New Roman" w:hAnsi="Times New Roman" w:cs="Times New Roman"/>
        <w:sz w:val="20"/>
        <w:szCs w:val="20"/>
      </w:rPr>
      <w:t>5</w:t>
    </w:r>
    <w:r w:rsidR="00C47CFE" w:rsidRPr="001962A7">
      <w:rPr>
        <w:rFonts w:ascii="Times New Roman" w:hAnsi="Times New Roman" w:cs="Times New Roman"/>
        <w:sz w:val="20"/>
        <w:szCs w:val="20"/>
      </w:rPr>
      <w:t>0</w:t>
    </w:r>
    <w:r>
      <w:rPr>
        <w:rFonts w:ascii="Times New Roman" w:hAnsi="Times New Roman" w:cs="Times New Roman"/>
        <w:sz w:val="20"/>
        <w:szCs w:val="20"/>
      </w:rPr>
      <w:t>5</w:t>
    </w:r>
    <w:r w:rsidR="00C47CFE" w:rsidRPr="001962A7">
      <w:rPr>
        <w:rFonts w:ascii="Times New Roman" w:hAnsi="Times New Roman" w:cs="Times New Roman"/>
        <w:sz w:val="20"/>
        <w:szCs w:val="20"/>
      </w:rPr>
      <w:t>14_piena_kvotas; Ministru kabineta noteikumu projekts „Grozījumi Ministru kabineta 2009.gada 8.septembra noteikum</w:t>
    </w:r>
    <w:r w:rsidR="006B743B" w:rsidRPr="001962A7">
      <w:rPr>
        <w:rFonts w:ascii="Times New Roman" w:hAnsi="Times New Roman" w:cs="Times New Roman"/>
        <w:sz w:val="20"/>
        <w:szCs w:val="20"/>
      </w:rPr>
      <w:t>os</w:t>
    </w:r>
    <w:r w:rsidR="00C47CFE" w:rsidRPr="001962A7">
      <w:rPr>
        <w:rFonts w:ascii="Times New Roman" w:hAnsi="Times New Roman" w:cs="Times New Roman"/>
        <w:sz w:val="20"/>
        <w:szCs w:val="20"/>
      </w:rPr>
      <w:t xml:space="preserve"> Nr.1040 „Piena kvotu administrēšanas noteikumi””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B0" w:rsidRDefault="007F4AB0" w:rsidP="009D0FF3">
      <w:pPr>
        <w:spacing w:after="0" w:line="240" w:lineRule="auto"/>
      </w:pPr>
      <w:r>
        <w:separator/>
      </w:r>
    </w:p>
  </w:footnote>
  <w:footnote w:type="continuationSeparator" w:id="0">
    <w:p w:rsidR="007F4AB0" w:rsidRDefault="007F4AB0" w:rsidP="009D0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E3" w:rsidRDefault="00093F20" w:rsidP="008C0C16">
    <w:pPr>
      <w:pStyle w:val="Galvene"/>
      <w:framePr w:wrap="around" w:vAnchor="text" w:hAnchor="margin" w:xAlign="center" w:y="1"/>
      <w:rPr>
        <w:rStyle w:val="Lappusesnumurs"/>
      </w:rPr>
    </w:pPr>
    <w:r>
      <w:rPr>
        <w:rStyle w:val="Lappusesnumurs"/>
      </w:rPr>
      <w:fldChar w:fldCharType="begin"/>
    </w:r>
    <w:r w:rsidR="00C47CFE">
      <w:rPr>
        <w:rStyle w:val="Lappusesnumurs"/>
      </w:rPr>
      <w:instrText xml:space="preserve">PAGE  </w:instrText>
    </w:r>
    <w:r>
      <w:rPr>
        <w:rStyle w:val="Lappusesnumurs"/>
      </w:rPr>
      <w:fldChar w:fldCharType="end"/>
    </w:r>
  </w:p>
  <w:p w:rsidR="00124DE3" w:rsidRDefault="007F4AB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E3" w:rsidRDefault="00093F20" w:rsidP="008C0C16">
    <w:pPr>
      <w:pStyle w:val="Galvene"/>
      <w:framePr w:wrap="around" w:vAnchor="text" w:hAnchor="margin" w:xAlign="center" w:y="1"/>
      <w:rPr>
        <w:rStyle w:val="Lappusesnumurs"/>
      </w:rPr>
    </w:pPr>
    <w:r>
      <w:rPr>
        <w:rStyle w:val="Lappusesnumurs"/>
      </w:rPr>
      <w:fldChar w:fldCharType="begin"/>
    </w:r>
    <w:r w:rsidR="00C47CFE">
      <w:rPr>
        <w:rStyle w:val="Lappusesnumurs"/>
      </w:rPr>
      <w:instrText xml:space="preserve">PAGE  </w:instrText>
    </w:r>
    <w:r>
      <w:rPr>
        <w:rStyle w:val="Lappusesnumurs"/>
      </w:rPr>
      <w:fldChar w:fldCharType="separate"/>
    </w:r>
    <w:r w:rsidR="00791A26">
      <w:rPr>
        <w:rStyle w:val="Lappusesnumurs"/>
        <w:noProof/>
      </w:rPr>
      <w:t>7</w:t>
    </w:r>
    <w:r>
      <w:rPr>
        <w:rStyle w:val="Lappusesnumurs"/>
      </w:rPr>
      <w:fldChar w:fldCharType="end"/>
    </w:r>
  </w:p>
  <w:p w:rsidR="00124DE3" w:rsidRDefault="007F4AB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11D7"/>
    <w:multiLevelType w:val="hybridMultilevel"/>
    <w:tmpl w:val="C41E311E"/>
    <w:lvl w:ilvl="0" w:tplc="A898452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A174EFF"/>
    <w:multiLevelType w:val="hybridMultilevel"/>
    <w:tmpl w:val="BA361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86985"/>
    <w:multiLevelType w:val="hybridMultilevel"/>
    <w:tmpl w:val="2FBE13A6"/>
    <w:lvl w:ilvl="0" w:tplc="4E8A6C38">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D060AD3"/>
    <w:multiLevelType w:val="hybridMultilevel"/>
    <w:tmpl w:val="06D6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075CF6"/>
    <w:multiLevelType w:val="hybridMultilevel"/>
    <w:tmpl w:val="4C581A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80698"/>
    <w:rsid w:val="00011AAE"/>
    <w:rsid w:val="00025C3E"/>
    <w:rsid w:val="00093F20"/>
    <w:rsid w:val="000B29F3"/>
    <w:rsid w:val="000E286C"/>
    <w:rsid w:val="001500E9"/>
    <w:rsid w:val="001962A7"/>
    <w:rsid w:val="001F4A78"/>
    <w:rsid w:val="00211D69"/>
    <w:rsid w:val="0021269B"/>
    <w:rsid w:val="00231BBC"/>
    <w:rsid w:val="00247814"/>
    <w:rsid w:val="003608D5"/>
    <w:rsid w:val="00432DC2"/>
    <w:rsid w:val="004843B7"/>
    <w:rsid w:val="004941BF"/>
    <w:rsid w:val="004B342C"/>
    <w:rsid w:val="004C6D63"/>
    <w:rsid w:val="00505E36"/>
    <w:rsid w:val="00533673"/>
    <w:rsid w:val="00547A60"/>
    <w:rsid w:val="00576662"/>
    <w:rsid w:val="005D6A80"/>
    <w:rsid w:val="00676DDE"/>
    <w:rsid w:val="006A2E5D"/>
    <w:rsid w:val="006B743B"/>
    <w:rsid w:val="006F1FAE"/>
    <w:rsid w:val="00701336"/>
    <w:rsid w:val="0072399F"/>
    <w:rsid w:val="00791A26"/>
    <w:rsid w:val="00797F43"/>
    <w:rsid w:val="007D6AC8"/>
    <w:rsid w:val="007E25CA"/>
    <w:rsid w:val="007F4AB0"/>
    <w:rsid w:val="00802B56"/>
    <w:rsid w:val="0084365A"/>
    <w:rsid w:val="00855940"/>
    <w:rsid w:val="008713B6"/>
    <w:rsid w:val="008E17CD"/>
    <w:rsid w:val="00930064"/>
    <w:rsid w:val="00945C98"/>
    <w:rsid w:val="0097056C"/>
    <w:rsid w:val="00980698"/>
    <w:rsid w:val="009810E5"/>
    <w:rsid w:val="009B3A46"/>
    <w:rsid w:val="009D0FF3"/>
    <w:rsid w:val="009E2FBE"/>
    <w:rsid w:val="00A13F6F"/>
    <w:rsid w:val="00A17A80"/>
    <w:rsid w:val="00A9530D"/>
    <w:rsid w:val="00AB7CB1"/>
    <w:rsid w:val="00AD6090"/>
    <w:rsid w:val="00AE76A1"/>
    <w:rsid w:val="00AF3491"/>
    <w:rsid w:val="00B302F0"/>
    <w:rsid w:val="00B51189"/>
    <w:rsid w:val="00B804CF"/>
    <w:rsid w:val="00BC149B"/>
    <w:rsid w:val="00BC1B98"/>
    <w:rsid w:val="00BC7AE4"/>
    <w:rsid w:val="00C34F27"/>
    <w:rsid w:val="00C43C42"/>
    <w:rsid w:val="00C47CFE"/>
    <w:rsid w:val="00CE3166"/>
    <w:rsid w:val="00D22A00"/>
    <w:rsid w:val="00D45622"/>
    <w:rsid w:val="00D52218"/>
    <w:rsid w:val="00D638EE"/>
    <w:rsid w:val="00DB6D07"/>
    <w:rsid w:val="00DD0606"/>
    <w:rsid w:val="00DD5729"/>
    <w:rsid w:val="00E156E0"/>
    <w:rsid w:val="00E82B0D"/>
    <w:rsid w:val="00E85FAA"/>
    <w:rsid w:val="00EE17CD"/>
    <w:rsid w:val="00EF4666"/>
    <w:rsid w:val="00F242BE"/>
    <w:rsid w:val="00F263F1"/>
    <w:rsid w:val="00F41BF4"/>
    <w:rsid w:val="00FA28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2B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98069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80698"/>
    <w:rPr>
      <w:rFonts w:ascii="Times New Roman" w:eastAsia="Times New Roman" w:hAnsi="Times New Roman" w:cs="Times New Roman"/>
      <w:sz w:val="24"/>
      <w:szCs w:val="24"/>
      <w:lang w:eastAsia="lv-LV"/>
    </w:rPr>
  </w:style>
  <w:style w:type="character" w:styleId="Lappusesnumurs">
    <w:name w:val="page number"/>
    <w:uiPriority w:val="99"/>
    <w:rsid w:val="00980698"/>
    <w:rPr>
      <w:rFonts w:cs="Times New Roman"/>
    </w:rPr>
  </w:style>
  <w:style w:type="paragraph" w:styleId="Kjene">
    <w:name w:val="footer"/>
    <w:basedOn w:val="Parastais"/>
    <w:link w:val="KjeneRakstz"/>
    <w:uiPriority w:val="99"/>
    <w:rsid w:val="0098069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80698"/>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9806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698"/>
    <w:rPr>
      <w:rFonts w:ascii="Segoe UI" w:hAnsi="Segoe UI" w:cs="Segoe UI"/>
      <w:sz w:val="18"/>
      <w:szCs w:val="18"/>
    </w:rPr>
  </w:style>
  <w:style w:type="paragraph" w:styleId="Sarakstarindkopa">
    <w:name w:val="List Paragraph"/>
    <w:basedOn w:val="Parastais"/>
    <w:uiPriority w:val="34"/>
    <w:qFormat/>
    <w:rsid w:val="00CE3166"/>
    <w:pPr>
      <w:ind w:left="720"/>
      <w:contextualSpacing/>
    </w:pPr>
  </w:style>
  <w:style w:type="paragraph" w:customStyle="1" w:styleId="naiskr">
    <w:name w:val="naiskr"/>
    <w:basedOn w:val="Parastais"/>
    <w:rsid w:val="003608D5"/>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ais"/>
    <w:rsid w:val="003608D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3608D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1723</Words>
  <Characters>11614</Characters>
  <Application>Microsoft Office Word</Application>
  <DocSecurity>0</DocSecurity>
  <Lines>504</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Vecmane</dc:creator>
  <cp:keywords/>
  <dc:description/>
  <cp:lastModifiedBy>Renārs Žagars</cp:lastModifiedBy>
  <cp:revision>27</cp:revision>
  <dcterms:created xsi:type="dcterms:W3CDTF">2014-04-08T12:10:00Z</dcterms:created>
  <dcterms:modified xsi:type="dcterms:W3CDTF">2014-05-22T07:16:00Z</dcterms:modified>
</cp:coreProperties>
</file>