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C1" w:rsidRPr="005406A7" w:rsidRDefault="005949C1" w:rsidP="005949C1">
      <w:pPr>
        <w:jc w:val="center"/>
        <w:rPr>
          <w:rFonts w:ascii="Times New Roman" w:hAnsi="Times New Roman" w:cs="Times New Roman"/>
          <w:b/>
          <w:color w:val="000000" w:themeColor="text1"/>
          <w:sz w:val="28"/>
          <w:szCs w:val="28"/>
        </w:rPr>
      </w:pPr>
      <w:r w:rsidRPr="005406A7">
        <w:rPr>
          <w:rFonts w:ascii="Times New Roman" w:hAnsi="Times New Roman" w:cs="Times New Roman"/>
          <w:b/>
          <w:color w:val="000000" w:themeColor="text1"/>
          <w:sz w:val="28"/>
          <w:szCs w:val="28"/>
        </w:rPr>
        <w:t>Ministru kabineta noteikumu projekta</w:t>
      </w:r>
    </w:p>
    <w:p w:rsidR="005949C1" w:rsidRPr="005406A7" w:rsidRDefault="005949C1" w:rsidP="005949C1">
      <w:pPr>
        <w:pStyle w:val="tv20787921"/>
        <w:spacing w:after="0" w:line="240" w:lineRule="auto"/>
        <w:rPr>
          <w:rFonts w:ascii="Times New Roman" w:hAnsi="Times New Roman"/>
          <w:color w:val="000000" w:themeColor="text1"/>
        </w:rPr>
      </w:pPr>
      <w:r w:rsidRPr="005406A7">
        <w:rPr>
          <w:rFonts w:ascii="Times New Roman" w:hAnsi="Times New Roman"/>
          <w:color w:val="000000" w:themeColor="text1"/>
        </w:rPr>
        <w:t>„Īpašās prasības piesārņojošo darbību veikšanai dzīvnieku novietnēs””</w:t>
      </w:r>
    </w:p>
    <w:p w:rsidR="005949C1" w:rsidRPr="005406A7" w:rsidRDefault="005949C1" w:rsidP="005949C1">
      <w:pPr>
        <w:jc w:val="center"/>
        <w:rPr>
          <w:rFonts w:ascii="Times New Roman" w:hAnsi="Times New Roman" w:cs="Times New Roman"/>
          <w:b/>
          <w:color w:val="000000" w:themeColor="text1"/>
          <w:sz w:val="28"/>
          <w:szCs w:val="28"/>
        </w:rPr>
      </w:pPr>
      <w:r w:rsidRPr="005406A7">
        <w:rPr>
          <w:rFonts w:ascii="Times New Roman" w:hAnsi="Times New Roman" w:cs="Times New Roman"/>
          <w:b/>
          <w:color w:val="000000" w:themeColor="text1"/>
          <w:sz w:val="28"/>
          <w:szCs w:val="28"/>
        </w:rPr>
        <w:t xml:space="preserve"> sākotnējās ietekmes novērtējuma </w:t>
      </w:r>
      <w:smartTag w:uri="schemas-tilde-lv/tildestengine" w:element="veidnes">
        <w:smartTagPr>
          <w:attr w:name="id" w:val="-1"/>
          <w:attr w:name="baseform" w:val="ziņojums"/>
          <w:attr w:name="text" w:val="ziņojums"/>
        </w:smartTagPr>
        <w:r w:rsidRPr="005406A7">
          <w:rPr>
            <w:rFonts w:ascii="Times New Roman" w:hAnsi="Times New Roman" w:cs="Times New Roman"/>
            <w:b/>
            <w:color w:val="000000" w:themeColor="text1"/>
            <w:sz w:val="28"/>
            <w:szCs w:val="28"/>
          </w:rPr>
          <w:t>ziņojums</w:t>
        </w:r>
      </w:smartTag>
      <w:r w:rsidRPr="005406A7">
        <w:rPr>
          <w:rFonts w:ascii="Times New Roman" w:hAnsi="Times New Roman" w:cs="Times New Roman"/>
          <w:b/>
          <w:color w:val="000000" w:themeColor="text1"/>
          <w:sz w:val="28"/>
          <w:szCs w:val="28"/>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406A7" w:rsidRPr="005406A7" w:rsidTr="005E1D3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I. Tiesību akta projekta izstrādes nepieciešamība</w:t>
            </w:r>
          </w:p>
        </w:tc>
      </w:tr>
      <w:tr w:rsidR="005406A7" w:rsidRPr="005406A7" w:rsidTr="005949C1">
        <w:trPr>
          <w:trHeight w:val="40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Pamatojums</w:t>
            </w:r>
          </w:p>
        </w:tc>
        <w:tc>
          <w:tcPr>
            <w:tcW w:w="3154" w:type="pct"/>
            <w:tcBorders>
              <w:top w:val="outset" w:sz="6" w:space="0" w:color="auto"/>
              <w:left w:val="outset" w:sz="6" w:space="0" w:color="auto"/>
              <w:bottom w:val="outset" w:sz="6" w:space="0" w:color="auto"/>
              <w:right w:val="outset" w:sz="6" w:space="0" w:color="auto"/>
            </w:tcBorders>
            <w:hideMark/>
          </w:tcPr>
          <w:p w:rsidR="005E1D34" w:rsidRPr="005406A7" w:rsidRDefault="00607A23"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Likums "Par piesārņojumu" 24.² panta otrā daļa </w:t>
            </w:r>
          </w:p>
        </w:tc>
      </w:tr>
      <w:tr w:rsidR="005406A7" w:rsidRPr="005406A7" w:rsidTr="005949C1">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154" w:type="pct"/>
            <w:tcBorders>
              <w:top w:val="outset" w:sz="6" w:space="0" w:color="auto"/>
              <w:left w:val="outset" w:sz="6" w:space="0" w:color="auto"/>
              <w:bottom w:val="outset" w:sz="6" w:space="0" w:color="auto"/>
              <w:right w:val="outset" w:sz="6" w:space="0" w:color="auto"/>
            </w:tcBorders>
            <w:hideMark/>
          </w:tcPr>
          <w:p w:rsidR="001A701D" w:rsidRPr="005406A7" w:rsidRDefault="00E474F4" w:rsidP="005949C1">
            <w:pPr>
              <w:pStyle w:val="tv2131"/>
              <w:spacing w:before="0" w:line="240" w:lineRule="auto"/>
              <w:ind w:left="127" w:right="127" w:firstLine="174"/>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Padomes 1991. gada 12. decembra Direktīvas </w:t>
            </w:r>
            <w:hyperlink r:id="rId8" w:tgtFrame="_blank" w:history="1">
              <w:r w:rsidRPr="005406A7">
                <w:rPr>
                  <w:rFonts w:ascii="Times New Roman" w:hAnsi="Times New Roman"/>
                  <w:color w:val="000000" w:themeColor="text1"/>
                  <w:sz w:val="24"/>
                  <w:szCs w:val="24"/>
                </w:rPr>
                <w:t>91/676/EEK</w:t>
              </w:r>
            </w:hyperlink>
            <w:r w:rsidRPr="005406A7">
              <w:rPr>
                <w:rFonts w:ascii="Times New Roman" w:hAnsi="Times New Roman"/>
                <w:color w:val="000000" w:themeColor="text1"/>
                <w:sz w:val="24"/>
                <w:szCs w:val="24"/>
              </w:rPr>
              <w:t xml:space="preserve"> attiecībā uz ūdeņu aizsardzību pret piesārņojumu ar nitrātiem, kas cēlušies no lauksaimnieciskas darbības (turpmāk –  Nitrātu Direktīva) mērķis ir samazināt un novērst ūdeņu piesārņojumu, ko rada vai izraisa lauk</w:t>
            </w:r>
            <w:r w:rsidR="007101B0" w:rsidRPr="005406A7">
              <w:rPr>
                <w:rFonts w:ascii="Times New Roman" w:hAnsi="Times New Roman"/>
                <w:color w:val="000000" w:themeColor="text1"/>
                <w:sz w:val="24"/>
                <w:szCs w:val="24"/>
              </w:rPr>
              <w:t xml:space="preserve">saimnieciskas izcelsmes nitrāti. </w:t>
            </w:r>
            <w:r w:rsidRPr="005406A7">
              <w:rPr>
                <w:rFonts w:ascii="Times New Roman" w:hAnsi="Times New Roman"/>
                <w:color w:val="000000" w:themeColor="text1"/>
                <w:sz w:val="24"/>
                <w:szCs w:val="24"/>
              </w:rPr>
              <w:t xml:space="preserve"> </w:t>
            </w:r>
          </w:p>
          <w:p w:rsidR="001A701D" w:rsidRPr="005406A7" w:rsidRDefault="001A701D" w:rsidP="001A701D">
            <w:pPr>
              <w:pStyle w:val="tv2131"/>
              <w:spacing w:before="0" w:line="240" w:lineRule="auto"/>
              <w:ind w:left="127" w:right="127" w:firstLine="174"/>
              <w:rPr>
                <w:rFonts w:ascii="Times New Roman" w:hAnsi="Times New Roman"/>
                <w:color w:val="000000" w:themeColor="text1"/>
                <w:sz w:val="24"/>
                <w:szCs w:val="24"/>
              </w:rPr>
            </w:pPr>
            <w:r w:rsidRPr="005406A7">
              <w:rPr>
                <w:rFonts w:ascii="Times New Roman" w:hAnsi="Times New Roman"/>
                <w:color w:val="000000" w:themeColor="text1"/>
                <w:sz w:val="24"/>
                <w:szCs w:val="24"/>
              </w:rPr>
              <w:t>Saskaņā ar Nitrātu direktīvu</w:t>
            </w:r>
            <w:r w:rsidR="00F40571" w:rsidRPr="005406A7">
              <w:rPr>
                <w:rFonts w:ascii="Times New Roman" w:hAnsi="Times New Roman"/>
                <w:color w:val="000000" w:themeColor="text1"/>
                <w:sz w:val="24"/>
                <w:szCs w:val="24"/>
              </w:rPr>
              <w:t>,</w:t>
            </w:r>
            <w:r w:rsidRPr="005406A7">
              <w:rPr>
                <w:rFonts w:ascii="Times New Roman" w:hAnsi="Times New Roman"/>
                <w:color w:val="000000" w:themeColor="text1"/>
                <w:sz w:val="24"/>
                <w:szCs w:val="24"/>
              </w:rPr>
              <w:t xml:space="preserve"> dalībvalsts novērtē ūdeņus, ko ietekmē piesārņojums un nosaka par īpaši jutīgām teritorijām tās zemes platības, kurās veiktās lauksaimnieciskās darbības sekmē </w:t>
            </w:r>
            <w:r w:rsidR="00850F62" w:rsidRPr="005406A7">
              <w:rPr>
                <w:rFonts w:ascii="Times New Roman" w:hAnsi="Times New Roman"/>
                <w:color w:val="000000" w:themeColor="text1"/>
                <w:sz w:val="24"/>
                <w:szCs w:val="24"/>
              </w:rPr>
              <w:t xml:space="preserve">ūdens un augsnes </w:t>
            </w:r>
            <w:r w:rsidRPr="005406A7">
              <w:rPr>
                <w:rFonts w:ascii="Times New Roman" w:hAnsi="Times New Roman"/>
                <w:color w:val="000000" w:themeColor="text1"/>
                <w:sz w:val="24"/>
                <w:szCs w:val="24"/>
              </w:rPr>
              <w:t xml:space="preserve">piesārņojumu. </w:t>
            </w:r>
            <w:r w:rsidR="00FE26DF" w:rsidRPr="005406A7">
              <w:rPr>
                <w:rFonts w:ascii="Times New Roman" w:hAnsi="Times New Roman"/>
                <w:color w:val="000000" w:themeColor="text1"/>
                <w:sz w:val="24"/>
                <w:szCs w:val="24"/>
              </w:rPr>
              <w:t>Dalībv</w:t>
            </w:r>
            <w:r w:rsidRPr="005406A7">
              <w:rPr>
                <w:rFonts w:ascii="Times New Roman" w:hAnsi="Times New Roman"/>
                <w:color w:val="000000" w:themeColor="text1"/>
                <w:sz w:val="24"/>
                <w:szCs w:val="24"/>
              </w:rPr>
              <w:t>a</w:t>
            </w:r>
            <w:r w:rsidR="00FE26DF" w:rsidRPr="005406A7">
              <w:rPr>
                <w:rFonts w:ascii="Times New Roman" w:hAnsi="Times New Roman"/>
                <w:color w:val="000000" w:themeColor="text1"/>
                <w:sz w:val="24"/>
                <w:szCs w:val="24"/>
              </w:rPr>
              <w:t>l</w:t>
            </w:r>
            <w:r w:rsidRPr="005406A7">
              <w:rPr>
                <w:rFonts w:ascii="Times New Roman" w:hAnsi="Times New Roman"/>
                <w:color w:val="000000" w:themeColor="text1"/>
                <w:sz w:val="24"/>
                <w:szCs w:val="24"/>
              </w:rPr>
              <w:t xml:space="preserve">sts izstrādā Labas lauksaimniecības nosacījumus un īsteno monitoringu, lai kontrolētu ūdeņu kvalitāti. </w:t>
            </w:r>
          </w:p>
          <w:p w:rsidR="00B243CE" w:rsidRPr="005406A7" w:rsidRDefault="00E474F4" w:rsidP="00B243CE">
            <w:pPr>
              <w:pStyle w:val="tv2131"/>
              <w:spacing w:before="0" w:line="240" w:lineRule="auto"/>
              <w:ind w:left="127" w:right="127" w:firstLine="174"/>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Lai nodrošinātu </w:t>
            </w:r>
            <w:r w:rsidR="007101B0" w:rsidRPr="005406A7">
              <w:rPr>
                <w:rFonts w:ascii="Times New Roman" w:hAnsi="Times New Roman"/>
                <w:color w:val="000000" w:themeColor="text1"/>
                <w:sz w:val="24"/>
                <w:szCs w:val="24"/>
              </w:rPr>
              <w:t>ūdeņu aiz</w:t>
            </w:r>
            <w:r w:rsidR="00FE26DF" w:rsidRPr="005406A7">
              <w:rPr>
                <w:rFonts w:ascii="Times New Roman" w:hAnsi="Times New Roman"/>
                <w:color w:val="000000" w:themeColor="text1"/>
                <w:sz w:val="24"/>
                <w:szCs w:val="24"/>
              </w:rPr>
              <w:t>sardzību un atbilstību Nitrātu D</w:t>
            </w:r>
            <w:r w:rsidR="007101B0" w:rsidRPr="005406A7">
              <w:rPr>
                <w:rFonts w:ascii="Times New Roman" w:hAnsi="Times New Roman"/>
                <w:color w:val="000000" w:themeColor="text1"/>
                <w:sz w:val="24"/>
                <w:szCs w:val="24"/>
              </w:rPr>
              <w:t>irektīvai</w:t>
            </w:r>
            <w:r w:rsidRPr="005406A7">
              <w:rPr>
                <w:rFonts w:ascii="Times New Roman" w:hAnsi="Times New Roman"/>
                <w:color w:val="000000" w:themeColor="text1"/>
                <w:sz w:val="24"/>
                <w:szCs w:val="24"/>
              </w:rPr>
              <w:t>, dalībvalsts no</w:t>
            </w:r>
            <w:r w:rsidR="001A701D" w:rsidRPr="005406A7">
              <w:rPr>
                <w:rFonts w:ascii="Times New Roman" w:hAnsi="Times New Roman"/>
                <w:color w:val="000000" w:themeColor="text1"/>
                <w:sz w:val="24"/>
                <w:szCs w:val="24"/>
              </w:rPr>
              <w:t>saka</w:t>
            </w:r>
            <w:r w:rsidRPr="005406A7">
              <w:rPr>
                <w:rFonts w:ascii="Times New Roman" w:hAnsi="Times New Roman"/>
                <w:color w:val="000000" w:themeColor="text1"/>
                <w:sz w:val="24"/>
                <w:szCs w:val="24"/>
              </w:rPr>
              <w:t xml:space="preserve"> obligātas pr</w:t>
            </w:r>
            <w:r w:rsidR="001A701D" w:rsidRPr="005406A7">
              <w:rPr>
                <w:rFonts w:ascii="Times New Roman" w:hAnsi="Times New Roman"/>
                <w:color w:val="000000" w:themeColor="text1"/>
                <w:sz w:val="24"/>
                <w:szCs w:val="24"/>
              </w:rPr>
              <w:t>asības visā valsts teritorijā un īsteno</w:t>
            </w:r>
            <w:r w:rsidR="007101B0" w:rsidRPr="005406A7">
              <w:rPr>
                <w:rFonts w:ascii="Times New Roman" w:hAnsi="Times New Roman"/>
                <w:color w:val="000000" w:themeColor="text1"/>
                <w:sz w:val="24"/>
                <w:szCs w:val="24"/>
              </w:rPr>
              <w:t xml:space="preserve"> pasākumus, kas veici</w:t>
            </w:r>
            <w:r w:rsidR="001A701D" w:rsidRPr="005406A7">
              <w:rPr>
                <w:rFonts w:ascii="Times New Roman" w:hAnsi="Times New Roman"/>
                <w:color w:val="000000" w:themeColor="text1"/>
                <w:sz w:val="24"/>
                <w:szCs w:val="24"/>
              </w:rPr>
              <w:t>na</w:t>
            </w:r>
            <w:r w:rsidR="00FE26DF" w:rsidRPr="005406A7">
              <w:rPr>
                <w:rFonts w:ascii="Times New Roman" w:hAnsi="Times New Roman"/>
                <w:color w:val="000000" w:themeColor="text1"/>
                <w:sz w:val="24"/>
                <w:szCs w:val="24"/>
              </w:rPr>
              <w:t xml:space="preserve"> Nitrātu D</w:t>
            </w:r>
            <w:r w:rsidR="007101B0" w:rsidRPr="005406A7">
              <w:rPr>
                <w:rFonts w:ascii="Times New Roman" w:hAnsi="Times New Roman"/>
                <w:color w:val="000000" w:themeColor="text1"/>
                <w:sz w:val="24"/>
                <w:szCs w:val="24"/>
              </w:rPr>
              <w:t>irektīvas mērķa sasniegšanu.</w:t>
            </w:r>
            <w:r w:rsidR="001A701D" w:rsidRPr="005406A7">
              <w:rPr>
                <w:rFonts w:ascii="Times New Roman" w:hAnsi="Times New Roman"/>
                <w:color w:val="000000" w:themeColor="text1"/>
                <w:sz w:val="24"/>
                <w:szCs w:val="24"/>
              </w:rPr>
              <w:t xml:space="preserve"> Īpaši jutīgajās teritorijās   lauksaimnieciskai darbībai tiek noteiktas paau</w:t>
            </w:r>
            <w:r w:rsidR="00B073E1">
              <w:rPr>
                <w:rFonts w:ascii="Times New Roman" w:hAnsi="Times New Roman"/>
                <w:color w:val="000000" w:themeColor="text1"/>
                <w:sz w:val="24"/>
                <w:szCs w:val="24"/>
              </w:rPr>
              <w:t>g</w:t>
            </w:r>
            <w:r w:rsidR="001A701D" w:rsidRPr="005406A7">
              <w:rPr>
                <w:rFonts w:ascii="Times New Roman" w:hAnsi="Times New Roman"/>
                <w:color w:val="000000" w:themeColor="text1"/>
                <w:sz w:val="24"/>
                <w:szCs w:val="24"/>
              </w:rPr>
              <w:t xml:space="preserve">stinātas prasības. </w:t>
            </w:r>
            <w:r w:rsidR="00FE26DF" w:rsidRPr="005406A7">
              <w:rPr>
                <w:rFonts w:ascii="Times New Roman" w:hAnsi="Times New Roman"/>
                <w:color w:val="000000" w:themeColor="text1"/>
                <w:sz w:val="24"/>
                <w:szCs w:val="24"/>
              </w:rPr>
              <w:t xml:space="preserve"> Nitrātu D</w:t>
            </w:r>
            <w:r w:rsidR="007101B0" w:rsidRPr="005406A7">
              <w:rPr>
                <w:rFonts w:ascii="Times New Roman" w:hAnsi="Times New Roman"/>
                <w:color w:val="000000" w:themeColor="text1"/>
                <w:sz w:val="24"/>
                <w:szCs w:val="24"/>
              </w:rPr>
              <w:t xml:space="preserve">irektīvas 5.panta 4.punkts nosaka, ka nosakot </w:t>
            </w:r>
            <w:r w:rsidR="001A701D" w:rsidRPr="005406A7">
              <w:rPr>
                <w:rFonts w:ascii="Times New Roman" w:hAnsi="Times New Roman"/>
                <w:color w:val="000000" w:themeColor="text1"/>
                <w:sz w:val="24"/>
                <w:szCs w:val="24"/>
              </w:rPr>
              <w:t xml:space="preserve">obligātas </w:t>
            </w:r>
            <w:r w:rsidR="007101B0" w:rsidRPr="005406A7">
              <w:rPr>
                <w:rFonts w:ascii="Times New Roman" w:hAnsi="Times New Roman"/>
                <w:color w:val="000000" w:themeColor="text1"/>
                <w:sz w:val="24"/>
                <w:szCs w:val="24"/>
              </w:rPr>
              <w:t>prasības</w:t>
            </w:r>
            <w:r w:rsidR="001A701D" w:rsidRPr="005406A7">
              <w:rPr>
                <w:rFonts w:ascii="Times New Roman" w:hAnsi="Times New Roman"/>
                <w:color w:val="000000" w:themeColor="text1"/>
                <w:sz w:val="24"/>
                <w:szCs w:val="24"/>
              </w:rPr>
              <w:t>,</w:t>
            </w:r>
            <w:r w:rsidR="007101B0" w:rsidRPr="005406A7">
              <w:rPr>
                <w:rFonts w:ascii="Times New Roman" w:hAnsi="Times New Roman"/>
                <w:color w:val="000000" w:themeColor="text1"/>
                <w:sz w:val="24"/>
                <w:szCs w:val="24"/>
              </w:rPr>
              <w:t xml:space="preserve"> dalībvalsts ņem vērā pieejamos zinātniskos un tehniskos datus, galvenokārt par attiecīgo lauksaimnieciskas izcelsmes un citas izcelsmes slāpekļa piesārņojumu, kā arī vides apstākļus attiecīgās dalībvalsts attiecīgajos reģionos. Obligāti</w:t>
            </w:r>
            <w:r w:rsidR="00B073E1">
              <w:rPr>
                <w:rFonts w:ascii="Times New Roman" w:hAnsi="Times New Roman"/>
                <w:color w:val="000000" w:themeColor="text1"/>
                <w:sz w:val="24"/>
                <w:szCs w:val="24"/>
              </w:rPr>
              <w:t>e pasākumi, kas jāiekļauj dalīb</w:t>
            </w:r>
            <w:r w:rsidR="007101B0" w:rsidRPr="005406A7">
              <w:rPr>
                <w:rFonts w:ascii="Times New Roman" w:hAnsi="Times New Roman"/>
                <w:color w:val="000000" w:themeColor="text1"/>
                <w:sz w:val="24"/>
                <w:szCs w:val="24"/>
              </w:rPr>
              <w:t xml:space="preserve">valsts </w:t>
            </w:r>
            <w:r w:rsidR="006B4131" w:rsidRPr="005406A7">
              <w:rPr>
                <w:rFonts w:ascii="Times New Roman" w:hAnsi="Times New Roman"/>
                <w:color w:val="000000" w:themeColor="text1"/>
                <w:sz w:val="24"/>
                <w:szCs w:val="24"/>
              </w:rPr>
              <w:t xml:space="preserve">tiesību aktos, </w:t>
            </w:r>
            <w:r w:rsidR="007101B0" w:rsidRPr="005406A7">
              <w:rPr>
                <w:rFonts w:ascii="Times New Roman" w:hAnsi="Times New Roman"/>
                <w:color w:val="000000" w:themeColor="text1"/>
                <w:sz w:val="24"/>
                <w:szCs w:val="24"/>
              </w:rPr>
              <w:t xml:space="preserve">ir </w:t>
            </w:r>
            <w:r w:rsidR="00FE26DF" w:rsidRPr="005406A7">
              <w:rPr>
                <w:rFonts w:ascii="Times New Roman" w:hAnsi="Times New Roman"/>
                <w:color w:val="000000" w:themeColor="text1"/>
                <w:sz w:val="24"/>
                <w:szCs w:val="24"/>
              </w:rPr>
              <w:t>Nitrātu D</w:t>
            </w:r>
            <w:r w:rsidR="007101B0" w:rsidRPr="005406A7">
              <w:rPr>
                <w:rFonts w:ascii="Times New Roman" w:hAnsi="Times New Roman"/>
                <w:color w:val="000000" w:themeColor="text1"/>
                <w:sz w:val="24"/>
                <w:szCs w:val="24"/>
              </w:rPr>
              <w:t xml:space="preserve">irektīvas </w:t>
            </w:r>
            <w:r w:rsidR="00FE26DF" w:rsidRPr="005406A7">
              <w:rPr>
                <w:rFonts w:ascii="Times New Roman" w:hAnsi="Times New Roman"/>
                <w:color w:val="000000" w:themeColor="text1"/>
                <w:sz w:val="24"/>
                <w:szCs w:val="24"/>
              </w:rPr>
              <w:t>III pielikumā</w:t>
            </w:r>
            <w:r w:rsidR="006B4131" w:rsidRPr="005406A7">
              <w:rPr>
                <w:rFonts w:ascii="Times New Roman" w:hAnsi="Times New Roman"/>
                <w:color w:val="000000" w:themeColor="text1"/>
                <w:sz w:val="24"/>
                <w:szCs w:val="24"/>
              </w:rPr>
              <w:t xml:space="preserve"> uzskaitītie un </w:t>
            </w:r>
            <w:r w:rsidR="00882417" w:rsidRPr="005406A7">
              <w:rPr>
                <w:rFonts w:ascii="Times New Roman" w:hAnsi="Times New Roman"/>
                <w:color w:val="000000" w:themeColor="text1"/>
                <w:sz w:val="24"/>
                <w:szCs w:val="24"/>
              </w:rPr>
              <w:t xml:space="preserve">II pielikuma A.daļas </w:t>
            </w:r>
            <w:r w:rsidR="006B4131" w:rsidRPr="005406A7">
              <w:rPr>
                <w:rFonts w:ascii="Times New Roman" w:hAnsi="Times New Roman"/>
                <w:color w:val="000000" w:themeColor="text1"/>
                <w:sz w:val="24"/>
                <w:szCs w:val="24"/>
              </w:rPr>
              <w:t>pasākumi, ko dalībvalsts ir noteikusi lab</w:t>
            </w:r>
            <w:r w:rsidR="00882417" w:rsidRPr="005406A7">
              <w:rPr>
                <w:rFonts w:ascii="Times New Roman" w:hAnsi="Times New Roman"/>
                <w:color w:val="000000" w:themeColor="text1"/>
                <w:sz w:val="24"/>
                <w:szCs w:val="24"/>
              </w:rPr>
              <w:t>as lauksaimniecības nosacījumos</w:t>
            </w:r>
            <w:r w:rsidR="006B4131" w:rsidRPr="005406A7">
              <w:rPr>
                <w:rFonts w:ascii="Times New Roman" w:hAnsi="Times New Roman"/>
                <w:color w:val="000000" w:themeColor="text1"/>
                <w:sz w:val="24"/>
                <w:szCs w:val="24"/>
              </w:rPr>
              <w:t xml:space="preserve">, izņemot tos, kuri jau ir noteikti III pielikumā. </w:t>
            </w:r>
            <w:r w:rsidR="00B243CE" w:rsidRPr="005406A7">
              <w:rPr>
                <w:rFonts w:ascii="Times New Roman" w:hAnsi="Times New Roman"/>
                <w:color w:val="000000" w:themeColor="text1"/>
                <w:sz w:val="24"/>
                <w:szCs w:val="24"/>
              </w:rPr>
              <w:t>Nitrātu direktīvas II un III pielikumā noteiktas vispārīgas prasības, jo nav iespējams visām dalībvalstīm noteikt vienotus, piemēr</w:t>
            </w:r>
            <w:r w:rsidR="00FE26DF" w:rsidRPr="005406A7">
              <w:rPr>
                <w:rFonts w:ascii="Times New Roman" w:hAnsi="Times New Roman"/>
                <w:color w:val="000000" w:themeColor="text1"/>
                <w:sz w:val="24"/>
                <w:szCs w:val="24"/>
              </w:rPr>
              <w:t>a</w:t>
            </w:r>
            <w:r w:rsidR="00B243CE" w:rsidRPr="005406A7">
              <w:rPr>
                <w:rFonts w:ascii="Times New Roman" w:hAnsi="Times New Roman"/>
                <w:color w:val="000000" w:themeColor="text1"/>
                <w:sz w:val="24"/>
                <w:szCs w:val="24"/>
              </w:rPr>
              <w:t>m, mēslošanas līdzekļu aizlieguma periodus, kūtsmēslu uzglabāš</w:t>
            </w:r>
            <w:r w:rsidR="00B073E1">
              <w:rPr>
                <w:rFonts w:ascii="Times New Roman" w:hAnsi="Times New Roman"/>
                <w:color w:val="000000" w:themeColor="text1"/>
                <w:sz w:val="24"/>
                <w:szCs w:val="24"/>
              </w:rPr>
              <w:t>anas periodu (uzkrāš</w:t>
            </w:r>
            <w:r w:rsidR="00B243CE" w:rsidRPr="005406A7">
              <w:rPr>
                <w:rFonts w:ascii="Times New Roman" w:hAnsi="Times New Roman"/>
                <w:color w:val="000000" w:themeColor="text1"/>
                <w:sz w:val="24"/>
                <w:szCs w:val="24"/>
              </w:rPr>
              <w:t>anas laiku un ietilpību), j</w:t>
            </w:r>
            <w:r w:rsidR="00FE26DF" w:rsidRPr="005406A7">
              <w:rPr>
                <w:rFonts w:ascii="Times New Roman" w:hAnsi="Times New Roman"/>
                <w:color w:val="000000" w:themeColor="text1"/>
                <w:sz w:val="24"/>
                <w:szCs w:val="24"/>
              </w:rPr>
              <w:t>o dalīb</w:t>
            </w:r>
            <w:r w:rsidR="00B243CE" w:rsidRPr="005406A7">
              <w:rPr>
                <w:rFonts w:ascii="Times New Roman" w:hAnsi="Times New Roman"/>
                <w:color w:val="000000" w:themeColor="text1"/>
                <w:sz w:val="24"/>
                <w:szCs w:val="24"/>
              </w:rPr>
              <w:t>val</w:t>
            </w:r>
            <w:r w:rsidR="00FE26DF" w:rsidRPr="005406A7">
              <w:rPr>
                <w:rFonts w:ascii="Times New Roman" w:hAnsi="Times New Roman"/>
                <w:color w:val="000000" w:themeColor="text1"/>
                <w:sz w:val="24"/>
                <w:szCs w:val="24"/>
              </w:rPr>
              <w:t>s</w:t>
            </w:r>
            <w:r w:rsidR="00B243CE" w:rsidRPr="005406A7">
              <w:rPr>
                <w:rFonts w:ascii="Times New Roman" w:hAnsi="Times New Roman"/>
                <w:color w:val="000000" w:themeColor="text1"/>
                <w:sz w:val="24"/>
                <w:szCs w:val="24"/>
              </w:rPr>
              <w:t xml:space="preserve">tis atrodas atšķirīgos reģionos ar atšķirīgiem meteoroloģiskiem un klimatiskiem apstākļiem. </w:t>
            </w:r>
            <w:r w:rsidR="00F40571" w:rsidRPr="005406A7">
              <w:rPr>
                <w:rFonts w:ascii="Times New Roman" w:hAnsi="Times New Roman"/>
                <w:color w:val="000000" w:themeColor="text1"/>
                <w:sz w:val="24"/>
                <w:szCs w:val="24"/>
              </w:rPr>
              <w:t xml:space="preserve">Jāņem vērā arī tas, ka lauksaimniecības nozarē </w:t>
            </w:r>
            <w:r w:rsidR="00FE26DF" w:rsidRPr="005406A7">
              <w:rPr>
                <w:rFonts w:ascii="Times New Roman" w:hAnsi="Times New Roman"/>
                <w:color w:val="000000" w:themeColor="text1"/>
                <w:sz w:val="24"/>
                <w:szCs w:val="24"/>
              </w:rPr>
              <w:t>ienāk jaunas</w:t>
            </w:r>
            <w:r w:rsidR="00F40571" w:rsidRPr="005406A7">
              <w:rPr>
                <w:rFonts w:ascii="Times New Roman" w:hAnsi="Times New Roman"/>
                <w:color w:val="000000" w:themeColor="text1"/>
                <w:sz w:val="24"/>
                <w:szCs w:val="24"/>
              </w:rPr>
              <w:t xml:space="preserve"> tehnoloģijas, mainās lauksaimniecības prakse, tiek veikti zinātniski pētījumi un līdz ar to ir nepieciešams ņemt vērā iepriekš minēto un pilnveidot tiesību normas. Jāņem vērā, ka arī Latvijā lauksaimniecības nozare attīstās, lauksaimniecības </w:t>
            </w:r>
            <w:r w:rsidR="00F40571" w:rsidRPr="005406A7">
              <w:rPr>
                <w:rFonts w:ascii="Times New Roman" w:hAnsi="Times New Roman"/>
                <w:color w:val="000000" w:themeColor="text1"/>
                <w:sz w:val="24"/>
                <w:szCs w:val="24"/>
              </w:rPr>
              <w:lastRenderedPageBreak/>
              <w:t>nozarē tiek ieviestas intensīvākas ražošanas metodes</w:t>
            </w:r>
            <w:r w:rsidR="00FE26DF" w:rsidRPr="005406A7">
              <w:rPr>
                <w:rFonts w:ascii="Times New Roman" w:hAnsi="Times New Roman"/>
                <w:color w:val="000000" w:themeColor="text1"/>
                <w:sz w:val="24"/>
                <w:szCs w:val="24"/>
              </w:rPr>
              <w:t>. Tāpēc</w:t>
            </w:r>
            <w:r w:rsidR="00F40571" w:rsidRPr="005406A7">
              <w:rPr>
                <w:rFonts w:ascii="Times New Roman" w:hAnsi="Times New Roman"/>
                <w:color w:val="000000" w:themeColor="text1"/>
                <w:sz w:val="24"/>
                <w:szCs w:val="24"/>
              </w:rPr>
              <w:t xml:space="preserve"> normatīvo aktu prasības ir jāpārskat</w:t>
            </w:r>
            <w:r w:rsidR="00FE26DF" w:rsidRPr="005406A7">
              <w:rPr>
                <w:rFonts w:ascii="Times New Roman" w:hAnsi="Times New Roman"/>
                <w:color w:val="000000" w:themeColor="text1"/>
                <w:sz w:val="24"/>
                <w:szCs w:val="24"/>
              </w:rPr>
              <w:t>a</w:t>
            </w:r>
            <w:r w:rsidR="00F40571" w:rsidRPr="005406A7">
              <w:rPr>
                <w:rFonts w:ascii="Times New Roman" w:hAnsi="Times New Roman"/>
                <w:color w:val="000000" w:themeColor="text1"/>
                <w:sz w:val="24"/>
                <w:szCs w:val="24"/>
              </w:rPr>
              <w:t xml:space="preserve"> un jāpilnveido. </w:t>
            </w:r>
          </w:p>
          <w:p w:rsidR="008D4047" w:rsidRPr="005406A7" w:rsidRDefault="008D4047" w:rsidP="008D4047">
            <w:pPr>
              <w:spacing w:after="0" w:line="240" w:lineRule="auto"/>
              <w:ind w:firstLine="357"/>
              <w:jc w:val="both"/>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Nitrātu Direktīvas 5.panta 4.punkta prasības (II pielikuma A. Daļas un  III pielikuma) prasības un pasākumi tika iestrādāti nacionālajos normatīvajos aktos:  Ministru kabineta 2001.gada 18.decembra noteikumos Nr.531 „Noteikumi par ūdens un augsnes aizsardzību no lauksaimnieciskās darbības izraisītā piesārņojuma ar nitrātiem” (turpmāk – MK noteikumi Nr.531), ar Ministru kabineta </w:t>
            </w:r>
            <w:r w:rsidR="00FE26DF" w:rsidRPr="005406A7">
              <w:rPr>
                <w:rFonts w:ascii="Times New Roman" w:hAnsi="Times New Roman"/>
                <w:color w:val="000000" w:themeColor="text1"/>
                <w:sz w:val="24"/>
                <w:szCs w:val="24"/>
              </w:rPr>
              <w:t>2004.gada</w:t>
            </w:r>
            <w:r w:rsidRPr="005406A7">
              <w:rPr>
                <w:rFonts w:ascii="Times New Roman" w:hAnsi="Times New Roman"/>
                <w:color w:val="000000" w:themeColor="text1"/>
                <w:sz w:val="24"/>
                <w:szCs w:val="24"/>
              </w:rPr>
              <w:t xml:space="preserve"> </w:t>
            </w:r>
            <w:r w:rsidR="00FE26DF" w:rsidRPr="005406A7">
              <w:rPr>
                <w:rFonts w:ascii="Times New Roman" w:hAnsi="Times New Roman"/>
                <w:color w:val="000000" w:themeColor="text1"/>
                <w:sz w:val="24"/>
                <w:szCs w:val="24"/>
              </w:rPr>
              <w:t>18.m</w:t>
            </w:r>
            <w:r w:rsidRPr="005406A7">
              <w:rPr>
                <w:rFonts w:ascii="Times New Roman" w:hAnsi="Times New Roman"/>
                <w:color w:val="000000" w:themeColor="text1"/>
                <w:sz w:val="24"/>
                <w:szCs w:val="24"/>
              </w:rPr>
              <w:t>arta rīkojumu tika pieņemta „Rīcības programma īpaši jutīgām teritorijām, uz kurām attiecas paaugstinātas prasības ūdens un augsnes aizsardzībai no lauksaimnieciskās darbības izraisītā piesārņojuma ar nitrātiem (turpmāk – Rīcības programma) un Ministru kabineta 2004.gada 27.jūlija noteikumi Nr.628 „Īpašās vides prasības piesārņojošo darbību veikšanai dzīvnieku novietnēs”. (turpmāk – MK noteikumi Nr.628).</w:t>
            </w:r>
          </w:p>
          <w:p w:rsidR="00E474F4" w:rsidRPr="005406A7" w:rsidRDefault="008D4047" w:rsidP="005949C1">
            <w:pPr>
              <w:pStyle w:val="tv2131"/>
              <w:spacing w:before="0" w:line="240" w:lineRule="auto"/>
              <w:ind w:left="127" w:right="127" w:firstLine="174"/>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Saskaņā ar Ministru kabineta 2010.gada 14.aprīļa rīkojuma Nr.209 „Par aktualitāti zaudējušo un izpildīto attīstības plānošanas dokumentu atzīšanu par spēku zaudējušiem” 1.18.apakšpunktu par spēku zaudējušu tika atzīts Ministru kabineta 2004.gada 18.marta rīkojums Nr.163 par Rīcības programmu. </w:t>
            </w:r>
          </w:p>
          <w:p w:rsidR="00E474F4" w:rsidRPr="005406A7" w:rsidRDefault="00882417" w:rsidP="005949C1">
            <w:pPr>
              <w:pStyle w:val="tv2131"/>
              <w:spacing w:before="0" w:line="240" w:lineRule="auto"/>
              <w:ind w:left="127" w:right="127" w:firstLine="174"/>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Viena no galvenajām </w:t>
            </w:r>
            <w:r w:rsidR="008D4047" w:rsidRPr="005406A7">
              <w:rPr>
                <w:rFonts w:ascii="Times New Roman" w:hAnsi="Times New Roman"/>
                <w:color w:val="000000" w:themeColor="text1"/>
                <w:sz w:val="24"/>
                <w:szCs w:val="24"/>
              </w:rPr>
              <w:t>MK n</w:t>
            </w:r>
            <w:r w:rsidR="00FD2116" w:rsidRPr="005406A7">
              <w:rPr>
                <w:rFonts w:ascii="Times New Roman" w:hAnsi="Times New Roman"/>
                <w:color w:val="000000" w:themeColor="text1"/>
                <w:sz w:val="24"/>
                <w:szCs w:val="24"/>
              </w:rPr>
              <w:t xml:space="preserve">oteikumi </w:t>
            </w:r>
            <w:r w:rsidR="008D4047" w:rsidRPr="005406A7">
              <w:rPr>
                <w:rFonts w:ascii="Times New Roman" w:hAnsi="Times New Roman"/>
                <w:color w:val="000000" w:themeColor="text1"/>
                <w:sz w:val="24"/>
                <w:szCs w:val="24"/>
              </w:rPr>
              <w:t xml:space="preserve">Nr.628 </w:t>
            </w:r>
            <w:r w:rsidRPr="005406A7">
              <w:rPr>
                <w:rFonts w:ascii="Times New Roman" w:hAnsi="Times New Roman"/>
                <w:color w:val="000000" w:themeColor="text1"/>
                <w:sz w:val="24"/>
                <w:szCs w:val="24"/>
              </w:rPr>
              <w:t xml:space="preserve"> prasībām - </w:t>
            </w:r>
            <w:r w:rsidR="00FD2116" w:rsidRPr="005406A7">
              <w:rPr>
                <w:rFonts w:ascii="Times New Roman" w:hAnsi="Times New Roman"/>
                <w:color w:val="000000" w:themeColor="text1"/>
                <w:sz w:val="24"/>
                <w:szCs w:val="24"/>
              </w:rPr>
              <w:t xml:space="preserve"> 10 gadu laikā </w:t>
            </w:r>
            <w:r w:rsidR="00FE26DF" w:rsidRPr="005406A7">
              <w:rPr>
                <w:rFonts w:ascii="Times New Roman" w:hAnsi="Times New Roman"/>
                <w:color w:val="000000" w:themeColor="text1"/>
                <w:sz w:val="24"/>
                <w:szCs w:val="24"/>
              </w:rPr>
              <w:t>sakā</w:t>
            </w:r>
            <w:r w:rsidR="00FD2116" w:rsidRPr="005406A7">
              <w:rPr>
                <w:rFonts w:ascii="Times New Roman" w:hAnsi="Times New Roman"/>
                <w:color w:val="000000" w:themeColor="text1"/>
                <w:sz w:val="24"/>
                <w:szCs w:val="24"/>
              </w:rPr>
              <w:t xml:space="preserve">rtot kūtsmēslu uzglabāšanu atbilstoši vides prasībām.  Iepriekš minētā prasība un citas noteikumu prasības atbilda tā laika lauksaimniecības praksei un ekonomiskai situācijai lauksaimniecības nozarē. </w:t>
            </w:r>
          </w:p>
          <w:p w:rsidR="005949C1" w:rsidRPr="005406A7" w:rsidRDefault="005949C1" w:rsidP="005949C1">
            <w:pPr>
              <w:pStyle w:val="tv2131"/>
              <w:spacing w:before="0" w:line="240" w:lineRule="auto"/>
              <w:ind w:left="127" w:right="127" w:firstLine="174"/>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Latvija 2013. gada jūnija beigās saņēma Eiropas Komisijas (turpmāk – EK) oficiālo paziņojuma vēstuli, ar kuru tika paziņots par pārkāpuma procedūras uzsākšanu </w:t>
            </w:r>
            <w:r w:rsidR="00E474F4" w:rsidRPr="005406A7">
              <w:rPr>
                <w:rFonts w:ascii="Times New Roman" w:hAnsi="Times New Roman"/>
                <w:color w:val="000000" w:themeColor="text1"/>
                <w:sz w:val="24"/>
                <w:szCs w:val="24"/>
              </w:rPr>
              <w:t xml:space="preserve">Nitrātu Direktīvas </w:t>
            </w:r>
            <w:r w:rsidRPr="005406A7">
              <w:rPr>
                <w:rFonts w:ascii="Times New Roman" w:hAnsi="Times New Roman"/>
                <w:color w:val="000000" w:themeColor="text1"/>
                <w:sz w:val="24"/>
                <w:szCs w:val="24"/>
              </w:rPr>
              <w:t>atsevišķu prasību ne</w:t>
            </w:r>
            <w:r w:rsidR="008D4047" w:rsidRPr="005406A7">
              <w:rPr>
                <w:rFonts w:ascii="Times New Roman" w:hAnsi="Times New Roman"/>
                <w:color w:val="000000" w:themeColor="text1"/>
                <w:sz w:val="24"/>
                <w:szCs w:val="24"/>
              </w:rPr>
              <w:t xml:space="preserve">pietiekamu </w:t>
            </w:r>
            <w:r w:rsidR="00882417" w:rsidRPr="005406A7">
              <w:rPr>
                <w:rFonts w:ascii="Times New Roman" w:hAnsi="Times New Roman"/>
                <w:color w:val="000000" w:themeColor="text1"/>
                <w:sz w:val="24"/>
                <w:szCs w:val="24"/>
              </w:rPr>
              <w:t>iekļaušanu</w:t>
            </w:r>
            <w:r w:rsidRPr="005406A7">
              <w:rPr>
                <w:rFonts w:ascii="Times New Roman" w:hAnsi="Times New Roman"/>
                <w:color w:val="000000" w:themeColor="text1"/>
                <w:sz w:val="24"/>
                <w:szCs w:val="24"/>
              </w:rPr>
              <w:t xml:space="preserve"> Latvijas tiesību aktos. </w:t>
            </w:r>
          </w:p>
          <w:p w:rsidR="00B539E6" w:rsidRPr="005406A7" w:rsidRDefault="00B539E6" w:rsidP="00C01BBA">
            <w:pPr>
              <w:pStyle w:val="Default"/>
              <w:jc w:val="both"/>
              <w:rPr>
                <w:color w:val="000000" w:themeColor="text1"/>
              </w:rPr>
            </w:pPr>
            <w:r w:rsidRPr="005406A7">
              <w:rPr>
                <w:b/>
                <w:bCs/>
                <w:i/>
                <w:iCs/>
                <w:color w:val="000000" w:themeColor="text1"/>
              </w:rPr>
              <w:t xml:space="preserve">EK </w:t>
            </w:r>
            <w:r w:rsidRPr="005406A7">
              <w:rPr>
                <w:color w:val="000000" w:themeColor="text1"/>
              </w:rPr>
              <w:t>uzskata</w:t>
            </w:r>
            <w:r w:rsidR="00C01BBA" w:rsidRPr="005406A7">
              <w:rPr>
                <w:color w:val="000000" w:themeColor="text1"/>
              </w:rPr>
              <w:t xml:space="preserve">, ka </w:t>
            </w:r>
            <w:r w:rsidRPr="005406A7">
              <w:rPr>
                <w:color w:val="000000" w:themeColor="text1"/>
              </w:rPr>
              <w:t xml:space="preserve">atsevišķas </w:t>
            </w:r>
            <w:r w:rsidR="00C01BBA" w:rsidRPr="005406A7">
              <w:rPr>
                <w:color w:val="000000" w:themeColor="text1"/>
              </w:rPr>
              <w:t xml:space="preserve">Latvijas tiesību aktu </w:t>
            </w:r>
            <w:r w:rsidRPr="005406A7">
              <w:rPr>
                <w:color w:val="000000" w:themeColor="text1"/>
              </w:rPr>
              <w:t xml:space="preserve">normas </w:t>
            </w:r>
            <w:r w:rsidR="00C01BBA" w:rsidRPr="005406A7">
              <w:rPr>
                <w:color w:val="000000" w:themeColor="text1"/>
              </w:rPr>
              <w:t xml:space="preserve">neatbilst </w:t>
            </w:r>
            <w:r w:rsidR="00A855F6" w:rsidRPr="005406A7">
              <w:rPr>
                <w:color w:val="000000" w:themeColor="text1"/>
              </w:rPr>
              <w:t>Nitrātu D</w:t>
            </w:r>
            <w:r w:rsidR="00C01BBA" w:rsidRPr="005406A7">
              <w:rPr>
                <w:color w:val="000000" w:themeColor="text1"/>
              </w:rPr>
              <w:t xml:space="preserve">irektīvas </w:t>
            </w:r>
            <w:r w:rsidRPr="005406A7">
              <w:rPr>
                <w:b/>
                <w:bCs/>
                <w:i/>
                <w:iCs/>
                <w:color w:val="000000" w:themeColor="text1"/>
              </w:rPr>
              <w:t>III pielikuma 1.2. punktā  un II pielikuma A.5. punktā  ( kūtsmēslu krātuvju ietilpība un uzbūve) noteiktajām</w:t>
            </w:r>
            <w:r w:rsidRPr="005406A7">
              <w:rPr>
                <w:color w:val="000000" w:themeColor="text1"/>
              </w:rPr>
              <w:t xml:space="preserve"> </w:t>
            </w:r>
            <w:r w:rsidR="00C01BBA" w:rsidRPr="005406A7">
              <w:rPr>
                <w:color w:val="000000" w:themeColor="text1"/>
              </w:rPr>
              <w:t>prasībām un mērķiem</w:t>
            </w:r>
            <w:r w:rsidR="00F00290" w:rsidRPr="005406A7">
              <w:rPr>
                <w:color w:val="000000" w:themeColor="text1"/>
              </w:rPr>
              <w:t xml:space="preserve">: </w:t>
            </w:r>
          </w:p>
          <w:p w:rsidR="00B1047C" w:rsidRPr="005406A7" w:rsidRDefault="00F00290" w:rsidP="00C01BBA">
            <w:pPr>
              <w:pStyle w:val="Default"/>
              <w:jc w:val="both"/>
              <w:rPr>
                <w:b/>
                <w:bCs/>
                <w:i/>
                <w:iCs/>
                <w:color w:val="000000" w:themeColor="text1"/>
              </w:rPr>
            </w:pPr>
            <w:r w:rsidRPr="005406A7">
              <w:rPr>
                <w:color w:val="000000" w:themeColor="text1"/>
              </w:rPr>
              <w:t xml:space="preserve">1) </w:t>
            </w:r>
            <w:r w:rsidR="003D02EC" w:rsidRPr="005406A7">
              <w:rPr>
                <w:color w:val="000000" w:themeColor="text1"/>
              </w:rPr>
              <w:t xml:space="preserve">prasības </w:t>
            </w:r>
            <w:r w:rsidR="00C01BBA" w:rsidRPr="005406A7">
              <w:rPr>
                <w:color w:val="000000" w:themeColor="text1"/>
              </w:rPr>
              <w:t>attiecībā uz kūtsmēslu uzglabāšanu uz lauka nav pietiekamas, lai novērstu nitrātu i</w:t>
            </w:r>
            <w:r w:rsidR="00B1047C" w:rsidRPr="005406A7">
              <w:rPr>
                <w:color w:val="000000" w:themeColor="text1"/>
              </w:rPr>
              <w:t xml:space="preserve">zskalošanās un noteces risku, kā arī to uzglabāšana uz lauka kaudzēs nevar </w:t>
            </w:r>
            <w:r w:rsidR="00C504FC" w:rsidRPr="005406A7">
              <w:rPr>
                <w:color w:val="000000" w:themeColor="text1"/>
              </w:rPr>
              <w:t xml:space="preserve">būt </w:t>
            </w:r>
            <w:r w:rsidR="003D02EC" w:rsidRPr="005406A7">
              <w:rPr>
                <w:color w:val="000000" w:themeColor="text1"/>
              </w:rPr>
              <w:t xml:space="preserve">kā </w:t>
            </w:r>
            <w:r w:rsidR="00B1047C" w:rsidRPr="005406A7">
              <w:rPr>
                <w:color w:val="000000" w:themeColor="text1"/>
              </w:rPr>
              <w:t xml:space="preserve">alternatīva </w:t>
            </w:r>
            <w:r w:rsidR="003D02EC" w:rsidRPr="005406A7">
              <w:rPr>
                <w:color w:val="000000" w:themeColor="text1"/>
              </w:rPr>
              <w:t xml:space="preserve">kūtsmēslu </w:t>
            </w:r>
            <w:r w:rsidR="00755342" w:rsidRPr="005406A7">
              <w:rPr>
                <w:color w:val="000000" w:themeColor="text1"/>
              </w:rPr>
              <w:t>uzglabāšanai atbilstošā krātuvē;</w:t>
            </w:r>
          </w:p>
          <w:p w:rsidR="00B1047C" w:rsidRPr="005406A7" w:rsidRDefault="00F00290" w:rsidP="00C01BBA">
            <w:pPr>
              <w:pStyle w:val="Default"/>
              <w:jc w:val="both"/>
              <w:rPr>
                <w:color w:val="000000" w:themeColor="text1"/>
              </w:rPr>
            </w:pPr>
            <w:r w:rsidRPr="005406A7">
              <w:rPr>
                <w:color w:val="000000" w:themeColor="text1"/>
              </w:rPr>
              <w:t>2</w:t>
            </w:r>
            <w:r w:rsidR="00C01BBA" w:rsidRPr="005406A7">
              <w:rPr>
                <w:color w:val="000000" w:themeColor="text1"/>
              </w:rPr>
              <w:t>) nav iespējams veikt krātuvju ietilpības aprēķinu, ja nav obligātas metodikas kūtsmēslu krātu</w:t>
            </w:r>
            <w:r w:rsidR="00B1047C" w:rsidRPr="005406A7">
              <w:rPr>
                <w:color w:val="000000" w:themeColor="text1"/>
              </w:rPr>
              <w:t xml:space="preserve">vju ietilpības aprēķināšanai. Aprēķinu metodikai jābūt juridiski apstiprinātai, jābūt iekļautai normatīvajā aktā, kas ļauj kontrolējošai iestādei novērtēt </w:t>
            </w:r>
            <w:r w:rsidR="003D02EC" w:rsidRPr="005406A7">
              <w:rPr>
                <w:color w:val="000000" w:themeColor="text1"/>
              </w:rPr>
              <w:t xml:space="preserve">krātuves </w:t>
            </w:r>
            <w:r w:rsidR="00C504FC" w:rsidRPr="005406A7">
              <w:rPr>
                <w:color w:val="000000" w:themeColor="text1"/>
              </w:rPr>
              <w:t>apjoma atbilstību normatīvā akta prasībām;</w:t>
            </w:r>
            <w:r w:rsidRPr="005406A7">
              <w:rPr>
                <w:color w:val="000000" w:themeColor="text1"/>
              </w:rPr>
              <w:t xml:space="preserve"> </w:t>
            </w:r>
          </w:p>
          <w:p w:rsidR="00B1047C" w:rsidRPr="005406A7" w:rsidRDefault="00F00290" w:rsidP="00C01BBA">
            <w:pPr>
              <w:pStyle w:val="Default"/>
              <w:jc w:val="both"/>
              <w:rPr>
                <w:color w:val="000000" w:themeColor="text1"/>
              </w:rPr>
            </w:pPr>
            <w:r w:rsidRPr="005406A7">
              <w:rPr>
                <w:color w:val="000000" w:themeColor="text1"/>
              </w:rPr>
              <w:t>3</w:t>
            </w:r>
            <w:r w:rsidR="00C01BBA" w:rsidRPr="005406A7">
              <w:rPr>
                <w:color w:val="000000" w:themeColor="text1"/>
              </w:rPr>
              <w:t xml:space="preserve">) </w:t>
            </w:r>
            <w:r w:rsidR="00C504FC" w:rsidRPr="005406A7">
              <w:rPr>
                <w:color w:val="000000" w:themeColor="text1"/>
              </w:rPr>
              <w:t xml:space="preserve">EK izteica šaubas </w:t>
            </w:r>
            <w:r w:rsidR="00B1047C" w:rsidRPr="005406A7">
              <w:rPr>
                <w:color w:val="000000" w:themeColor="text1"/>
              </w:rPr>
              <w:t xml:space="preserve">par </w:t>
            </w:r>
            <w:r w:rsidR="00C01BBA" w:rsidRPr="005406A7">
              <w:rPr>
                <w:color w:val="000000" w:themeColor="text1"/>
              </w:rPr>
              <w:t>lagūnas tipa krātuve</w:t>
            </w:r>
            <w:r w:rsidR="00B1047C" w:rsidRPr="005406A7">
              <w:rPr>
                <w:color w:val="000000" w:themeColor="text1"/>
              </w:rPr>
              <w:t>s</w:t>
            </w:r>
            <w:r w:rsidR="00C01BBA" w:rsidRPr="005406A7">
              <w:rPr>
                <w:color w:val="000000" w:themeColor="text1"/>
              </w:rPr>
              <w:t xml:space="preserve"> </w:t>
            </w:r>
            <w:r w:rsidR="00B1047C" w:rsidRPr="005406A7">
              <w:rPr>
                <w:color w:val="000000" w:themeColor="text1"/>
              </w:rPr>
              <w:t>piemērotību</w:t>
            </w:r>
            <w:r w:rsidRPr="005406A7">
              <w:rPr>
                <w:color w:val="000000" w:themeColor="text1"/>
              </w:rPr>
              <w:t xml:space="preserve"> </w:t>
            </w:r>
            <w:r w:rsidRPr="005406A7">
              <w:rPr>
                <w:color w:val="000000" w:themeColor="text1"/>
              </w:rPr>
              <w:lastRenderedPageBreak/>
              <w:t>kūtsmēslu uzglabā</w:t>
            </w:r>
            <w:r w:rsidR="00B1047C" w:rsidRPr="005406A7">
              <w:rPr>
                <w:color w:val="000000" w:themeColor="text1"/>
              </w:rPr>
              <w:t>šanai, kā arī uzraudzība</w:t>
            </w:r>
            <w:r w:rsidR="003D02EC" w:rsidRPr="005406A7">
              <w:rPr>
                <w:color w:val="000000" w:themeColor="text1"/>
              </w:rPr>
              <w:t>s iespējas, lai kontrolētu iespējamās noplūdes pazemes ūdeņos.</w:t>
            </w:r>
          </w:p>
          <w:p w:rsidR="00F812C3" w:rsidRPr="005406A7" w:rsidRDefault="00F00290" w:rsidP="00C01BBA">
            <w:pPr>
              <w:pStyle w:val="Default"/>
              <w:jc w:val="both"/>
              <w:rPr>
                <w:color w:val="000000" w:themeColor="text1"/>
              </w:rPr>
            </w:pPr>
            <w:r w:rsidRPr="005406A7">
              <w:rPr>
                <w:color w:val="000000" w:themeColor="text1"/>
              </w:rPr>
              <w:t>4</w:t>
            </w:r>
            <w:r w:rsidR="00C01BBA" w:rsidRPr="005406A7">
              <w:rPr>
                <w:color w:val="000000" w:themeColor="text1"/>
              </w:rPr>
              <w:t xml:space="preserve">) </w:t>
            </w:r>
            <w:r w:rsidR="00C504FC" w:rsidRPr="005406A7">
              <w:rPr>
                <w:color w:val="000000" w:themeColor="text1"/>
              </w:rPr>
              <w:t xml:space="preserve">EK uzskata, ka </w:t>
            </w:r>
            <w:r w:rsidR="00C07E74" w:rsidRPr="005406A7">
              <w:rPr>
                <w:color w:val="000000" w:themeColor="text1"/>
              </w:rPr>
              <w:t xml:space="preserve">noteiktās ietilpības prasības kūtsmēslu krātuvēm dažāda veida kūtsmēslu uzglabāšanai, nav </w:t>
            </w:r>
            <w:r w:rsidRPr="005406A7">
              <w:rPr>
                <w:color w:val="000000" w:themeColor="text1"/>
              </w:rPr>
              <w:t xml:space="preserve"> </w:t>
            </w:r>
            <w:r w:rsidR="00C07E74" w:rsidRPr="005406A7">
              <w:rPr>
                <w:color w:val="000000" w:themeColor="text1"/>
              </w:rPr>
              <w:t xml:space="preserve">pietiekamas, </w:t>
            </w:r>
            <w:r w:rsidRPr="005406A7">
              <w:rPr>
                <w:color w:val="000000" w:themeColor="text1"/>
              </w:rPr>
              <w:t>ņemot vērā Latvijas klimatiskos apstākļus.</w:t>
            </w:r>
          </w:p>
          <w:p w:rsidR="00C07E74" w:rsidRPr="005406A7" w:rsidRDefault="008D4047" w:rsidP="00755342">
            <w:pPr>
              <w:pStyle w:val="tv2131"/>
              <w:spacing w:before="0" w:line="240" w:lineRule="auto"/>
              <w:ind w:right="127" w:firstLine="0"/>
              <w:rPr>
                <w:rFonts w:ascii="Times New Roman" w:hAnsi="Times New Roman"/>
                <w:color w:val="000000" w:themeColor="text1"/>
                <w:sz w:val="24"/>
                <w:szCs w:val="24"/>
              </w:rPr>
            </w:pPr>
            <w:r w:rsidRPr="005406A7">
              <w:rPr>
                <w:rFonts w:ascii="Times New Roman" w:hAnsi="Times New Roman"/>
                <w:color w:val="000000" w:themeColor="text1"/>
                <w:sz w:val="24"/>
                <w:szCs w:val="24"/>
              </w:rPr>
              <w:t>Līdz ar to n</w:t>
            </w:r>
            <w:r w:rsidR="00B539E6" w:rsidRPr="005406A7">
              <w:rPr>
                <w:rFonts w:ascii="Times New Roman" w:hAnsi="Times New Roman"/>
                <w:color w:val="000000" w:themeColor="text1"/>
                <w:sz w:val="24"/>
                <w:szCs w:val="24"/>
              </w:rPr>
              <w:t xml:space="preserve">epieciešams precizēt </w:t>
            </w:r>
            <w:r w:rsidR="006C2E15" w:rsidRPr="005406A7">
              <w:rPr>
                <w:rFonts w:ascii="Times New Roman" w:hAnsi="Times New Roman"/>
                <w:color w:val="000000" w:themeColor="text1"/>
                <w:sz w:val="24"/>
                <w:szCs w:val="24"/>
              </w:rPr>
              <w:t>un pārs</w:t>
            </w:r>
            <w:r w:rsidRPr="005406A7">
              <w:rPr>
                <w:rFonts w:ascii="Times New Roman" w:hAnsi="Times New Roman"/>
                <w:color w:val="000000" w:themeColor="text1"/>
                <w:sz w:val="24"/>
                <w:szCs w:val="24"/>
              </w:rPr>
              <w:t>k</w:t>
            </w:r>
            <w:r w:rsidR="006C2E15" w:rsidRPr="005406A7">
              <w:rPr>
                <w:rFonts w:ascii="Times New Roman" w:hAnsi="Times New Roman"/>
                <w:color w:val="000000" w:themeColor="text1"/>
                <w:sz w:val="24"/>
                <w:szCs w:val="24"/>
              </w:rPr>
              <w:t>a</w:t>
            </w:r>
            <w:r w:rsidRPr="005406A7">
              <w:rPr>
                <w:rFonts w:ascii="Times New Roman" w:hAnsi="Times New Roman"/>
                <w:color w:val="000000" w:themeColor="text1"/>
                <w:sz w:val="24"/>
                <w:szCs w:val="24"/>
              </w:rPr>
              <w:t xml:space="preserve">tīt kūtsmēslu apsaimniekošanas un uzglabāšanas prasības, </w:t>
            </w:r>
            <w:r w:rsidR="00B539E6" w:rsidRPr="005406A7">
              <w:rPr>
                <w:rFonts w:ascii="Times New Roman" w:hAnsi="Times New Roman"/>
                <w:color w:val="000000" w:themeColor="text1"/>
                <w:sz w:val="24"/>
                <w:szCs w:val="24"/>
              </w:rPr>
              <w:t xml:space="preserve">prasības </w:t>
            </w:r>
            <w:r w:rsidR="0050123C" w:rsidRPr="005406A7">
              <w:rPr>
                <w:rFonts w:ascii="Times New Roman" w:hAnsi="Times New Roman"/>
                <w:color w:val="000000" w:themeColor="text1"/>
                <w:sz w:val="24"/>
                <w:szCs w:val="24"/>
              </w:rPr>
              <w:t>kūtsmēslu krātuvju ietilpībai</w:t>
            </w:r>
            <w:r w:rsidR="00B073E1">
              <w:rPr>
                <w:rFonts w:ascii="Times New Roman" w:hAnsi="Times New Roman"/>
                <w:color w:val="000000" w:themeColor="text1"/>
                <w:sz w:val="24"/>
                <w:szCs w:val="24"/>
              </w:rPr>
              <w:t>. Jāņ</w:t>
            </w:r>
            <w:r w:rsidR="00E67740" w:rsidRPr="005406A7">
              <w:rPr>
                <w:rFonts w:ascii="Times New Roman" w:hAnsi="Times New Roman"/>
                <w:color w:val="000000" w:themeColor="text1"/>
                <w:sz w:val="24"/>
                <w:szCs w:val="24"/>
              </w:rPr>
              <w:t>em vērā</w:t>
            </w:r>
            <w:r w:rsidRPr="005406A7">
              <w:rPr>
                <w:rFonts w:ascii="Times New Roman" w:hAnsi="Times New Roman"/>
                <w:color w:val="000000" w:themeColor="text1"/>
                <w:sz w:val="24"/>
                <w:szCs w:val="24"/>
              </w:rPr>
              <w:t xml:space="preserve">, ka MK noteikumu </w:t>
            </w:r>
            <w:r w:rsidR="00C07E74" w:rsidRPr="005406A7">
              <w:rPr>
                <w:rFonts w:ascii="Times New Roman" w:hAnsi="Times New Roman"/>
                <w:color w:val="000000" w:themeColor="text1"/>
                <w:sz w:val="24"/>
                <w:szCs w:val="24"/>
              </w:rPr>
              <w:t xml:space="preserve">Nr.628 </w:t>
            </w:r>
            <w:r w:rsidRPr="005406A7">
              <w:rPr>
                <w:rFonts w:ascii="Times New Roman" w:hAnsi="Times New Roman"/>
                <w:color w:val="000000" w:themeColor="text1"/>
                <w:sz w:val="24"/>
                <w:szCs w:val="24"/>
              </w:rPr>
              <w:t>prasība</w:t>
            </w:r>
            <w:r w:rsidR="00C07E74" w:rsidRPr="005406A7">
              <w:rPr>
                <w:rFonts w:ascii="Times New Roman" w:hAnsi="Times New Roman"/>
                <w:color w:val="000000" w:themeColor="text1"/>
                <w:sz w:val="24"/>
                <w:szCs w:val="24"/>
              </w:rPr>
              <w:t xml:space="preserve">, ka 10 gadu laikā no šo noteikumu stāšanās spēkā dzīvnieku novietnē, kurā atrodas </w:t>
            </w:r>
            <w:r w:rsidR="00C504FC" w:rsidRPr="005406A7">
              <w:rPr>
                <w:rFonts w:ascii="Times New Roman" w:hAnsi="Times New Roman"/>
                <w:color w:val="000000" w:themeColor="text1"/>
                <w:sz w:val="24"/>
                <w:szCs w:val="24"/>
              </w:rPr>
              <w:t>10 un vai vairāk dzīvnieku vienības</w:t>
            </w:r>
            <w:r w:rsidR="00C07E74" w:rsidRPr="005406A7">
              <w:rPr>
                <w:rFonts w:ascii="Times New Roman" w:hAnsi="Times New Roman"/>
                <w:color w:val="000000" w:themeColor="text1"/>
                <w:sz w:val="24"/>
                <w:szCs w:val="24"/>
              </w:rPr>
              <w:t xml:space="preserve"> vai </w:t>
            </w:r>
            <w:r w:rsidR="00C504FC" w:rsidRPr="005406A7">
              <w:rPr>
                <w:rFonts w:ascii="Times New Roman" w:hAnsi="Times New Roman"/>
                <w:color w:val="000000" w:themeColor="text1"/>
                <w:sz w:val="24"/>
                <w:szCs w:val="24"/>
              </w:rPr>
              <w:t xml:space="preserve">piecas un </w:t>
            </w:r>
            <w:r w:rsidR="00C07E74" w:rsidRPr="005406A7">
              <w:rPr>
                <w:rFonts w:ascii="Times New Roman" w:hAnsi="Times New Roman"/>
                <w:color w:val="000000" w:themeColor="text1"/>
                <w:sz w:val="24"/>
                <w:szCs w:val="24"/>
              </w:rPr>
              <w:t xml:space="preserve">vairāk </w:t>
            </w:r>
            <w:r w:rsidR="00C504FC" w:rsidRPr="005406A7">
              <w:rPr>
                <w:rFonts w:ascii="Times New Roman" w:hAnsi="Times New Roman"/>
                <w:color w:val="000000" w:themeColor="text1"/>
                <w:sz w:val="24"/>
                <w:szCs w:val="24"/>
              </w:rPr>
              <w:t>dzīvnieku vienības</w:t>
            </w:r>
            <w:r w:rsidR="00C07E74" w:rsidRPr="005406A7">
              <w:rPr>
                <w:rFonts w:ascii="Times New Roman" w:hAnsi="Times New Roman"/>
                <w:color w:val="000000" w:themeColor="text1"/>
                <w:sz w:val="24"/>
                <w:szCs w:val="24"/>
              </w:rPr>
              <w:t>, ja novietne atrodas īpaši jutīgajās teritorijās, kūtsmēslu uzglabāšana</w:t>
            </w:r>
            <w:r w:rsidR="0085527F" w:rsidRPr="005406A7">
              <w:rPr>
                <w:rFonts w:ascii="Times New Roman" w:hAnsi="Times New Roman"/>
                <w:color w:val="000000" w:themeColor="text1"/>
                <w:sz w:val="24"/>
                <w:szCs w:val="24"/>
              </w:rPr>
              <w:t xml:space="preserve"> </w:t>
            </w:r>
            <w:r w:rsidR="00755342" w:rsidRPr="005406A7">
              <w:rPr>
                <w:rFonts w:ascii="Times New Roman" w:hAnsi="Times New Roman"/>
                <w:color w:val="000000" w:themeColor="text1"/>
                <w:sz w:val="24"/>
                <w:szCs w:val="24"/>
              </w:rPr>
              <w:t xml:space="preserve">tiks </w:t>
            </w:r>
            <w:r w:rsidR="0085527F" w:rsidRPr="005406A7">
              <w:rPr>
                <w:rFonts w:ascii="Times New Roman" w:hAnsi="Times New Roman"/>
                <w:color w:val="000000" w:themeColor="text1"/>
                <w:sz w:val="24"/>
                <w:szCs w:val="24"/>
              </w:rPr>
              <w:t>nodrošināta</w:t>
            </w:r>
            <w:r w:rsidR="00C07E74" w:rsidRPr="005406A7">
              <w:rPr>
                <w:rFonts w:ascii="Times New Roman" w:hAnsi="Times New Roman"/>
                <w:color w:val="000000" w:themeColor="text1"/>
                <w:sz w:val="24"/>
                <w:szCs w:val="24"/>
              </w:rPr>
              <w:t xml:space="preserve"> vides prasībām atbilstošā</w:t>
            </w:r>
            <w:r w:rsidR="0085527F" w:rsidRPr="005406A7">
              <w:rPr>
                <w:rFonts w:ascii="Times New Roman" w:hAnsi="Times New Roman"/>
                <w:color w:val="000000" w:themeColor="text1"/>
                <w:sz w:val="24"/>
                <w:szCs w:val="24"/>
              </w:rPr>
              <w:t>s</w:t>
            </w:r>
            <w:r w:rsidR="00C07E74" w:rsidRPr="005406A7">
              <w:rPr>
                <w:rFonts w:ascii="Times New Roman" w:hAnsi="Times New Roman"/>
                <w:color w:val="000000" w:themeColor="text1"/>
                <w:sz w:val="24"/>
                <w:szCs w:val="24"/>
              </w:rPr>
              <w:t xml:space="preserve"> kūtsmēslu krātuvē</w:t>
            </w:r>
            <w:r w:rsidR="0085527F" w:rsidRPr="005406A7">
              <w:rPr>
                <w:rFonts w:ascii="Times New Roman" w:hAnsi="Times New Roman"/>
                <w:color w:val="000000" w:themeColor="text1"/>
                <w:sz w:val="24"/>
                <w:szCs w:val="24"/>
              </w:rPr>
              <w:t>s</w:t>
            </w:r>
            <w:r w:rsidR="00755342" w:rsidRPr="005406A7">
              <w:rPr>
                <w:rFonts w:ascii="Times New Roman" w:hAnsi="Times New Roman"/>
                <w:color w:val="000000" w:themeColor="text1"/>
                <w:sz w:val="24"/>
                <w:szCs w:val="24"/>
              </w:rPr>
              <w:t xml:space="preserve">, </w:t>
            </w:r>
            <w:r w:rsidR="00B507E5" w:rsidRPr="005406A7">
              <w:rPr>
                <w:rFonts w:ascii="Times New Roman" w:hAnsi="Times New Roman"/>
                <w:color w:val="000000" w:themeColor="text1"/>
                <w:sz w:val="24"/>
                <w:szCs w:val="24"/>
              </w:rPr>
              <w:t>ir izpildīta daļēji</w:t>
            </w:r>
            <w:r w:rsidR="00755342" w:rsidRPr="005406A7">
              <w:rPr>
                <w:rFonts w:ascii="Times New Roman" w:hAnsi="Times New Roman"/>
                <w:color w:val="000000" w:themeColor="text1"/>
                <w:sz w:val="24"/>
                <w:szCs w:val="24"/>
              </w:rPr>
              <w:t>.</w:t>
            </w:r>
          </w:p>
          <w:p w:rsidR="00945E07" w:rsidRPr="005406A7" w:rsidRDefault="00C07E74" w:rsidP="0031323B">
            <w:pPr>
              <w:pStyle w:val="Default"/>
              <w:jc w:val="both"/>
              <w:rPr>
                <w:color w:val="000000" w:themeColor="text1"/>
              </w:rPr>
            </w:pPr>
            <w:r w:rsidRPr="005406A7">
              <w:rPr>
                <w:color w:val="000000" w:themeColor="text1"/>
              </w:rPr>
              <w:t xml:space="preserve">Zemkopības ministrija jau vairākkārt EK ir informējusi par būtiskiem apstākļiem, kas ietekmējuši </w:t>
            </w:r>
            <w:r w:rsidR="0031323B" w:rsidRPr="005406A7">
              <w:rPr>
                <w:color w:val="000000" w:themeColor="text1"/>
              </w:rPr>
              <w:t>šīs prasības izpildi. Ekonomiskā krīze un l</w:t>
            </w:r>
            <w:r w:rsidR="006414A6" w:rsidRPr="005406A7">
              <w:rPr>
                <w:color w:val="000000" w:themeColor="text1"/>
              </w:rPr>
              <w:t>auksaimniecības produkcijas cenas</w:t>
            </w:r>
            <w:r w:rsidR="0031323B" w:rsidRPr="005406A7">
              <w:rPr>
                <w:color w:val="000000" w:themeColor="text1"/>
              </w:rPr>
              <w:t xml:space="preserve"> kritums ir būtiski </w:t>
            </w:r>
            <w:r w:rsidR="00945E07" w:rsidRPr="005406A7">
              <w:rPr>
                <w:color w:val="000000" w:themeColor="text1"/>
              </w:rPr>
              <w:t>ietekmējis lauku saimniecību ienākumus, pasliktinot to ekonomisko situāciju. Tā kā daudzām saimniecībām nav ne brīvu līdzekļu, ne arī iespējas saņemt kredītu, tās līdz 2014. gada 27. jūlijam nevarēja izpildīt</w:t>
            </w:r>
            <w:r w:rsidR="00945E07" w:rsidRPr="005406A7" w:rsidDel="00CD7C4E">
              <w:rPr>
                <w:color w:val="000000" w:themeColor="text1"/>
              </w:rPr>
              <w:t xml:space="preserve"> </w:t>
            </w:r>
            <w:r w:rsidR="00945E07" w:rsidRPr="005406A7">
              <w:rPr>
                <w:color w:val="000000" w:themeColor="text1"/>
              </w:rPr>
              <w:t xml:space="preserve">noteikumu Nr.628 prasību nodrošināt kūtsmēslu uzglabāšanu vides prasībām atbilstošās krātuvēs. </w:t>
            </w:r>
          </w:p>
          <w:p w:rsidR="00945E07" w:rsidRPr="005406A7" w:rsidRDefault="0031323B" w:rsidP="00945E07">
            <w:pPr>
              <w:pStyle w:val="tv2131"/>
              <w:spacing w:before="0" w:line="240" w:lineRule="auto"/>
              <w:ind w:left="127" w:right="127" w:firstLine="0"/>
              <w:rPr>
                <w:rFonts w:ascii="Times New Roman" w:hAnsi="Times New Roman"/>
                <w:color w:val="000000" w:themeColor="text1"/>
                <w:sz w:val="24"/>
                <w:szCs w:val="24"/>
              </w:rPr>
            </w:pPr>
            <w:r w:rsidRPr="005406A7">
              <w:rPr>
                <w:rFonts w:ascii="Times New Roman" w:hAnsi="Times New Roman"/>
                <w:color w:val="000000" w:themeColor="text1"/>
                <w:sz w:val="24"/>
                <w:szCs w:val="24"/>
              </w:rPr>
              <w:t>Tāpēc l</w:t>
            </w:r>
            <w:r w:rsidR="00945E07" w:rsidRPr="005406A7">
              <w:rPr>
                <w:rFonts w:ascii="Times New Roman" w:hAnsi="Times New Roman"/>
                <w:color w:val="000000" w:themeColor="text1"/>
                <w:sz w:val="24"/>
                <w:szCs w:val="24"/>
              </w:rPr>
              <w:t>auksaimnieki jau vairākkārt ir vērsušies Zemkopības ministrijā ar lūgumu rast iespēju pagarināt šīs prasības izpildes termiņu.</w:t>
            </w:r>
          </w:p>
          <w:p w:rsidR="00945E07" w:rsidRPr="005406A7" w:rsidRDefault="00945E07" w:rsidP="00945E07">
            <w:pPr>
              <w:pStyle w:val="tv2131"/>
              <w:spacing w:before="0" w:line="240" w:lineRule="auto"/>
              <w:ind w:left="127" w:right="127" w:firstLine="0"/>
              <w:rPr>
                <w:rFonts w:ascii="Times New Roman" w:hAnsi="Times New Roman"/>
                <w:color w:val="000000" w:themeColor="text1"/>
                <w:sz w:val="24"/>
                <w:szCs w:val="24"/>
              </w:rPr>
            </w:pPr>
            <w:r w:rsidRPr="005406A7">
              <w:rPr>
                <w:rFonts w:ascii="Times New Roman" w:hAnsi="Times New Roman"/>
                <w:color w:val="000000" w:themeColor="text1"/>
                <w:sz w:val="24"/>
                <w:szCs w:val="24"/>
              </w:rPr>
              <w:t>Pamatojumu pakaišu kūtsmēslu krātuves izbūves termiņa pagarinājumam nosaka arī citi faktori, kas būtiski ietekmē lopkopības nozari, proti, lauksaimniecības dzīvnieku koncentrācija lielākās saimniecībās, iespējama piena kvotu atcelšana ar 2015. gadu, maza atbalsta intensitāte kūtsmēslu krātuves būvniecībai arī nākamajā programmēšanas periodā.</w:t>
            </w:r>
          </w:p>
          <w:p w:rsidR="00945E07" w:rsidRPr="005406A7" w:rsidRDefault="0085527F" w:rsidP="00945E07">
            <w:pPr>
              <w:pStyle w:val="tv2131"/>
              <w:spacing w:before="0" w:line="240" w:lineRule="auto"/>
              <w:ind w:left="127" w:right="127" w:firstLine="0"/>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Sarunās ar EK ir </w:t>
            </w:r>
            <w:r w:rsidR="00945E07" w:rsidRPr="005406A7">
              <w:rPr>
                <w:rFonts w:ascii="Times New Roman" w:hAnsi="Times New Roman"/>
                <w:color w:val="000000" w:themeColor="text1"/>
                <w:sz w:val="24"/>
                <w:szCs w:val="24"/>
              </w:rPr>
              <w:t xml:space="preserve">panākta vienošanās par </w:t>
            </w:r>
            <w:r w:rsidR="00C504FC" w:rsidRPr="005406A7">
              <w:rPr>
                <w:rFonts w:ascii="Times New Roman" w:hAnsi="Times New Roman"/>
                <w:color w:val="000000" w:themeColor="text1"/>
                <w:sz w:val="24"/>
                <w:szCs w:val="24"/>
              </w:rPr>
              <w:t xml:space="preserve">perioda </w:t>
            </w:r>
            <w:r w:rsidR="00945E07" w:rsidRPr="005406A7">
              <w:rPr>
                <w:rFonts w:ascii="Times New Roman" w:hAnsi="Times New Roman"/>
                <w:color w:val="000000" w:themeColor="text1"/>
                <w:sz w:val="24"/>
                <w:szCs w:val="24"/>
              </w:rPr>
              <w:t>pagarinājumu pak</w:t>
            </w:r>
            <w:r w:rsidR="0031323B" w:rsidRPr="005406A7">
              <w:rPr>
                <w:rFonts w:ascii="Times New Roman" w:hAnsi="Times New Roman"/>
                <w:color w:val="000000" w:themeColor="text1"/>
                <w:sz w:val="24"/>
                <w:szCs w:val="24"/>
              </w:rPr>
              <w:t>aišu kūtsmēslu krātuvju izbūvei.</w:t>
            </w:r>
            <w:r w:rsidR="00945E07" w:rsidRPr="005406A7">
              <w:rPr>
                <w:rFonts w:ascii="Times New Roman" w:hAnsi="Times New Roman"/>
                <w:color w:val="000000" w:themeColor="text1"/>
                <w:sz w:val="24"/>
                <w:szCs w:val="24"/>
              </w:rPr>
              <w:t xml:space="preserve"> </w:t>
            </w:r>
          </w:p>
          <w:p w:rsidR="00945E07" w:rsidRPr="005406A7" w:rsidRDefault="00945E07" w:rsidP="00945E07">
            <w:pPr>
              <w:pStyle w:val="tv2131"/>
              <w:spacing w:before="0" w:line="240" w:lineRule="auto"/>
              <w:ind w:left="127" w:right="127" w:firstLine="0"/>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Šis izpildes termiņa pagarinājums netiek attiecināts uz tām dzīvnieku novietnēm, kurās tiek saražoti šķidrie vai pusšķidrie kūtsmēsli vai fermentācijas atliekas. </w:t>
            </w:r>
          </w:p>
          <w:p w:rsidR="00945E07" w:rsidRDefault="00945E07" w:rsidP="0031323B">
            <w:pPr>
              <w:pStyle w:val="tv2131"/>
              <w:spacing w:before="0" w:line="240" w:lineRule="auto"/>
              <w:ind w:left="127" w:right="127" w:firstLine="175"/>
              <w:rPr>
                <w:rFonts w:ascii="Times New Roman" w:hAnsi="Times New Roman"/>
                <w:color w:val="000000" w:themeColor="text1"/>
                <w:sz w:val="24"/>
                <w:szCs w:val="24"/>
              </w:rPr>
            </w:pPr>
            <w:r w:rsidRPr="005406A7">
              <w:rPr>
                <w:rFonts w:ascii="Times New Roman" w:hAnsi="Times New Roman"/>
                <w:color w:val="000000" w:themeColor="text1"/>
                <w:sz w:val="24"/>
                <w:szCs w:val="24"/>
              </w:rPr>
              <w:t>Sakarā ar to, ka Latvijā saskaņā ar Centrālās statistikas pārvaldes datiem ir liels skaits mazo saimniecību (dzīvnieku novietnes, kurās atrodas mazāk par 10 dzīvnieku vienībām un mazāk par piecām dzīvnieku vienībām, ja dzīvnieku novietne atrodas īpaši jutīgajās teritorijās), pēc EK norādījuma arī šīm saimniecībām jānosaka prasības pakaišu kūtsmēslu uzglabāšanai. Uzglabājot pakaišu kūtsmēslus pie dzīvnieku novietnes, būs jāizveido pamatne, lai pasargātu no kūtsmēslos esošā šķidruma iesūkšanās gruntī un noteces, kā arī vircas uzglabāšanai nepieciešama speciāli ierīkota tvertne.</w:t>
            </w:r>
          </w:p>
          <w:p w:rsidR="00E0559F" w:rsidRPr="005406A7" w:rsidRDefault="00E0559F" w:rsidP="00E0559F">
            <w:pPr>
              <w:pStyle w:val="tv2131"/>
              <w:spacing w:before="0" w:line="240" w:lineRule="auto"/>
              <w:ind w:left="127" w:right="127" w:firstLine="175"/>
              <w:rPr>
                <w:rFonts w:ascii="Times New Roman" w:hAnsi="Times New Roman"/>
                <w:color w:val="000000" w:themeColor="text1"/>
                <w:sz w:val="24"/>
                <w:szCs w:val="24"/>
              </w:rPr>
            </w:pPr>
            <w:r w:rsidRPr="002C5F26">
              <w:rPr>
                <w:rFonts w:ascii="Times New Roman" w:hAnsi="Times New Roman"/>
                <w:color w:val="000000" w:themeColor="text1"/>
                <w:sz w:val="24"/>
                <w:szCs w:val="24"/>
              </w:rPr>
              <w:lastRenderedPageBreak/>
              <w:t>Jāņem vērā, ka Latvijā ir mainīgi laika apstākļi, kas var ietekmēt lauksaimnieciskās aktivitātes (pakaišu kūtsmēslu krātuves iztukšošanu pavasarī un kūtsmēslu nogādāšanu uz lauka un to iestrādi augsnē). Tāpēc ir nepieciešams noteikt laika periodu</w:t>
            </w:r>
            <w:r w:rsidR="002C5F26" w:rsidRPr="002C5F26">
              <w:rPr>
                <w:rFonts w:ascii="Times New Roman" w:hAnsi="Times New Roman"/>
                <w:color w:val="000000" w:themeColor="text1"/>
                <w:sz w:val="24"/>
                <w:szCs w:val="24"/>
              </w:rPr>
              <w:t>,</w:t>
            </w:r>
            <w:r w:rsidRPr="002C5F26">
              <w:rPr>
                <w:rFonts w:ascii="Times New Roman" w:hAnsi="Times New Roman"/>
                <w:color w:val="000000" w:themeColor="text1"/>
                <w:sz w:val="24"/>
                <w:szCs w:val="24"/>
              </w:rPr>
              <w:t xml:space="preserve"> dot iespēju izņēmuma gadījumos  novietot pakaišu kūtsmēslus ārpus dzīvnieku novietnes. Piemēram, ziemas laikā visus uzkrātos pakaišu kūtsmēslus nav bijusi iespēja iestrādāt pavasarī, tāpēc veģetācijas periodā līdz rudens iestrādei būtu pieļaujams tos uzglabāt uz lauka līdz rudens iestrādei. Vasarā (veģetācijas periodā) nokrišņu daudzums samazinās un saskaņā ar ilggadīgiem novērojuma datiem barības elementu notece ir nenozīmīga. Operatoram iepriekš minētās darbības jāsaskaņo ar attiecīgo Valsts vides dienesta reģionālo vides pārvaldi.</w:t>
            </w:r>
          </w:p>
          <w:p w:rsidR="00945E07" w:rsidRPr="005406A7" w:rsidRDefault="00945E07" w:rsidP="00D272EA">
            <w:pPr>
              <w:pStyle w:val="Sarakstarindkopa"/>
              <w:ind w:left="0"/>
              <w:jc w:val="both"/>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Izvērtējot nepieciešamo grozījumu skaitu un ņemot vērā </w:t>
            </w:r>
            <w:r w:rsidRPr="005406A7">
              <w:rPr>
                <w:rFonts w:ascii="Times New Roman" w:hAnsi="Times New Roman"/>
                <w:bCs/>
                <w:color w:val="000000" w:themeColor="text1"/>
                <w:sz w:val="24"/>
                <w:szCs w:val="24"/>
              </w:rPr>
              <w:t xml:space="preserve">Ministru kabineta 2009. gada 3. februāra noteikumu Nr.108 “Normatīvo aktu projektu sagatavošanas noteikumi” 140.punktu, </w:t>
            </w:r>
            <w:r w:rsidRPr="005406A7">
              <w:rPr>
                <w:rFonts w:ascii="Times New Roman" w:hAnsi="Times New Roman"/>
                <w:color w:val="000000" w:themeColor="text1"/>
                <w:sz w:val="24"/>
                <w:szCs w:val="24"/>
              </w:rPr>
              <w:t xml:space="preserve">grozījumu noteikumu projektu nesagatavo, ja tā normu apjoms pārsniedz pusi no spēkā esošo noteikumu normu apjoma. </w:t>
            </w:r>
            <w:r w:rsidR="00E5130D" w:rsidRPr="005406A7">
              <w:rPr>
                <w:rFonts w:ascii="Times New Roman" w:hAnsi="Times New Roman"/>
                <w:color w:val="000000" w:themeColor="text1"/>
                <w:sz w:val="24"/>
                <w:szCs w:val="24"/>
              </w:rPr>
              <w:t>P</w:t>
            </w:r>
            <w:r w:rsidR="00337FEF" w:rsidRPr="005406A7">
              <w:rPr>
                <w:rFonts w:ascii="Times New Roman" w:hAnsi="Times New Roman"/>
                <w:color w:val="000000" w:themeColor="text1"/>
                <w:sz w:val="24"/>
                <w:szCs w:val="24"/>
              </w:rPr>
              <w:t xml:space="preserve">amatojoties uz to, tika </w:t>
            </w:r>
            <w:r w:rsidRPr="005406A7">
              <w:rPr>
                <w:rFonts w:ascii="Times New Roman" w:hAnsi="Times New Roman"/>
                <w:color w:val="000000" w:themeColor="text1"/>
                <w:sz w:val="24"/>
                <w:szCs w:val="24"/>
              </w:rPr>
              <w:t xml:space="preserve"> sagatavo</w:t>
            </w:r>
            <w:r w:rsidR="00337FEF" w:rsidRPr="005406A7">
              <w:rPr>
                <w:rFonts w:ascii="Times New Roman" w:hAnsi="Times New Roman"/>
                <w:color w:val="000000" w:themeColor="text1"/>
                <w:sz w:val="24"/>
                <w:szCs w:val="24"/>
              </w:rPr>
              <w:t>ts</w:t>
            </w:r>
            <w:r w:rsidRPr="005406A7">
              <w:rPr>
                <w:rFonts w:ascii="Times New Roman" w:hAnsi="Times New Roman"/>
                <w:color w:val="000000" w:themeColor="text1"/>
                <w:sz w:val="24"/>
                <w:szCs w:val="24"/>
              </w:rPr>
              <w:t xml:space="preserve"> jaun</w:t>
            </w:r>
            <w:r w:rsidR="00337FEF" w:rsidRPr="005406A7">
              <w:rPr>
                <w:rFonts w:ascii="Times New Roman" w:hAnsi="Times New Roman"/>
                <w:color w:val="000000" w:themeColor="text1"/>
                <w:sz w:val="24"/>
                <w:szCs w:val="24"/>
              </w:rPr>
              <w:t>s</w:t>
            </w:r>
            <w:r w:rsidR="006C2E15" w:rsidRPr="005406A7">
              <w:rPr>
                <w:rFonts w:ascii="Times New Roman" w:hAnsi="Times New Roman"/>
                <w:color w:val="000000" w:themeColor="text1"/>
                <w:sz w:val="24"/>
                <w:szCs w:val="24"/>
              </w:rPr>
              <w:t xml:space="preserve"> noteikumu projekts</w:t>
            </w:r>
            <w:r w:rsidRPr="005406A7">
              <w:rPr>
                <w:rFonts w:ascii="Times New Roman" w:hAnsi="Times New Roman"/>
                <w:color w:val="000000" w:themeColor="text1"/>
                <w:sz w:val="24"/>
                <w:szCs w:val="24"/>
              </w:rPr>
              <w:t>.</w:t>
            </w:r>
          </w:p>
          <w:p w:rsidR="00945E07" w:rsidRPr="005406A7" w:rsidRDefault="00945E07" w:rsidP="00D272EA">
            <w:pPr>
              <w:pStyle w:val="tv2131"/>
              <w:spacing w:before="0" w:line="240" w:lineRule="auto"/>
              <w:ind w:firstLine="176"/>
              <w:rPr>
                <w:rFonts w:ascii="Times New Roman" w:hAnsi="Times New Roman"/>
                <w:color w:val="000000" w:themeColor="text1"/>
                <w:sz w:val="24"/>
                <w:szCs w:val="24"/>
              </w:rPr>
            </w:pPr>
            <w:r w:rsidRPr="005406A7">
              <w:rPr>
                <w:rFonts w:ascii="Times New Roman" w:hAnsi="Times New Roman"/>
                <w:color w:val="000000" w:themeColor="text1"/>
                <w:sz w:val="24"/>
                <w:szCs w:val="24"/>
              </w:rPr>
              <w:t>Jauni noteikumi par īpašām vides prasībām piesārņojošo darbību veikšanai dzīvnieku novietnēs  sagatavoti pamatojoties uz šobrīd spēk</w:t>
            </w:r>
            <w:r w:rsidR="006F1637" w:rsidRPr="005406A7">
              <w:rPr>
                <w:rFonts w:ascii="Times New Roman" w:hAnsi="Times New Roman"/>
                <w:color w:val="000000" w:themeColor="text1"/>
                <w:sz w:val="24"/>
                <w:szCs w:val="24"/>
              </w:rPr>
              <w:t>ā esošiem MK noteikumiem Nr.628. Noteikumu projekts paredz atzīt par spēku zaudējušiem Ministru kabineta 2004.gada 27.jūlija noteikumus Nr.628 „Īpašās vides prasības piesārņojošo darbību veikšanai dzīvnieku novietnēs”.</w:t>
            </w:r>
          </w:p>
          <w:p w:rsidR="0031323B" w:rsidRPr="005406A7" w:rsidRDefault="0031323B" w:rsidP="0031323B">
            <w:pPr>
              <w:spacing w:after="0" w:line="240" w:lineRule="auto"/>
              <w:ind w:left="57"/>
              <w:jc w:val="both"/>
              <w:rPr>
                <w:rFonts w:ascii="Times New Roman" w:hAnsi="Times New Roman" w:cs="Times New Roman"/>
                <w:b/>
                <w:color w:val="000000" w:themeColor="text1"/>
                <w:sz w:val="24"/>
                <w:szCs w:val="24"/>
              </w:rPr>
            </w:pPr>
            <w:r w:rsidRPr="005406A7">
              <w:rPr>
                <w:rFonts w:ascii="Times New Roman" w:hAnsi="Times New Roman" w:cs="Times New Roman"/>
                <w:b/>
                <w:color w:val="000000" w:themeColor="text1"/>
                <w:sz w:val="24"/>
                <w:szCs w:val="24"/>
              </w:rPr>
              <w:t>Noteikumu projekta mērķis ir:</w:t>
            </w:r>
          </w:p>
          <w:p w:rsidR="0031323B" w:rsidRPr="005406A7" w:rsidRDefault="0031323B" w:rsidP="0031323B">
            <w:pPr>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Direktīvas prasību atbilstības nodrošināšana Latvijas normatīvajā aktā.</w:t>
            </w:r>
          </w:p>
          <w:p w:rsidR="0031323B" w:rsidRPr="005406A7" w:rsidRDefault="0031323B" w:rsidP="0031323B">
            <w:pPr>
              <w:ind w:left="16"/>
              <w:jc w:val="both"/>
              <w:rPr>
                <w:rFonts w:ascii="Times New Roman" w:hAnsi="Times New Roman" w:cs="Times New Roman"/>
                <w:b/>
                <w:color w:val="000000" w:themeColor="text1"/>
                <w:sz w:val="24"/>
                <w:szCs w:val="24"/>
              </w:rPr>
            </w:pPr>
            <w:r w:rsidRPr="005406A7">
              <w:rPr>
                <w:rFonts w:ascii="Times New Roman" w:hAnsi="Times New Roman" w:cs="Times New Roman"/>
                <w:b/>
                <w:color w:val="000000" w:themeColor="text1"/>
                <w:sz w:val="24"/>
                <w:szCs w:val="24"/>
              </w:rPr>
              <w:t>Noteikumu projektā, salīdzinot ar spēkā esošo redakciju, pārskatītas esošās prasības un noteikumi papildināti ar jaunām prasībām:</w:t>
            </w:r>
          </w:p>
          <w:p w:rsidR="002834E1" w:rsidRPr="005406A7" w:rsidRDefault="0031323B" w:rsidP="002834E1">
            <w:pPr>
              <w:numPr>
                <w:ilvl w:val="0"/>
                <w:numId w:val="1"/>
              </w:numPr>
              <w:spacing w:after="0" w:line="240" w:lineRule="auto"/>
              <w:ind w:left="127" w:right="127" w:firstLine="0"/>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4.4.1. apakšpunktā noteiktas prasības dzīvnieku novietnei</w:t>
            </w:r>
            <w:r w:rsidR="002834E1" w:rsidRPr="005406A7">
              <w:rPr>
                <w:rFonts w:ascii="Times New Roman" w:hAnsi="Times New Roman" w:cs="Times New Roman"/>
                <w:color w:val="000000" w:themeColor="text1"/>
                <w:sz w:val="24"/>
                <w:szCs w:val="24"/>
              </w:rPr>
              <w:t>, kurā atrodas mazāk par 10 dzīvnieku vienībām un mazāk par 5 dzīvnieku vienībām, ja dzīvnieku novietne atrodas īpaši jutīgajās teritorijās;</w:t>
            </w:r>
          </w:p>
          <w:p w:rsidR="0031323B" w:rsidRPr="005406A7" w:rsidRDefault="0031323B" w:rsidP="0031323B">
            <w:pPr>
              <w:numPr>
                <w:ilvl w:val="0"/>
                <w:numId w:val="1"/>
              </w:numPr>
              <w:spacing w:after="0" w:line="240" w:lineRule="auto"/>
              <w:ind w:left="127" w:right="127" w:firstLine="0"/>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 xml:space="preserve">4.4.2. apakšpunktā precizētas prasības dzīvnieku novietnei, kurā atrodas 10 un vairāk </w:t>
            </w:r>
            <w:r w:rsidR="00D475EA" w:rsidRPr="005406A7">
              <w:rPr>
                <w:rFonts w:ascii="Times New Roman" w:hAnsi="Times New Roman" w:cs="Times New Roman"/>
                <w:color w:val="000000" w:themeColor="text1"/>
                <w:sz w:val="24"/>
                <w:szCs w:val="24"/>
              </w:rPr>
              <w:t>dzīvnieku vienības</w:t>
            </w:r>
            <w:r w:rsidRPr="005406A7">
              <w:rPr>
                <w:rFonts w:ascii="Times New Roman" w:hAnsi="Times New Roman" w:cs="Times New Roman"/>
                <w:color w:val="000000" w:themeColor="text1"/>
                <w:sz w:val="24"/>
                <w:szCs w:val="24"/>
              </w:rPr>
              <w:t xml:space="preserve"> un </w:t>
            </w:r>
            <w:r w:rsidR="00D475EA" w:rsidRPr="005406A7">
              <w:rPr>
                <w:rFonts w:ascii="Times New Roman" w:hAnsi="Times New Roman" w:cs="Times New Roman"/>
                <w:color w:val="000000" w:themeColor="text1"/>
                <w:sz w:val="24"/>
                <w:szCs w:val="24"/>
              </w:rPr>
              <w:t>piecas</w:t>
            </w:r>
            <w:r w:rsidRPr="005406A7">
              <w:rPr>
                <w:rFonts w:ascii="Times New Roman" w:hAnsi="Times New Roman" w:cs="Times New Roman"/>
                <w:color w:val="000000" w:themeColor="text1"/>
                <w:sz w:val="24"/>
                <w:szCs w:val="24"/>
              </w:rPr>
              <w:t xml:space="preserve"> un vairāk </w:t>
            </w:r>
            <w:r w:rsidR="00D475EA" w:rsidRPr="005406A7">
              <w:rPr>
                <w:rFonts w:ascii="Times New Roman" w:hAnsi="Times New Roman" w:cs="Times New Roman"/>
                <w:color w:val="000000" w:themeColor="text1"/>
                <w:sz w:val="24"/>
                <w:szCs w:val="24"/>
              </w:rPr>
              <w:t>dzīvnieku vienības</w:t>
            </w:r>
            <w:r w:rsidRPr="005406A7">
              <w:rPr>
                <w:rFonts w:ascii="Times New Roman" w:hAnsi="Times New Roman" w:cs="Times New Roman"/>
                <w:color w:val="000000" w:themeColor="text1"/>
                <w:sz w:val="24"/>
                <w:szCs w:val="24"/>
              </w:rPr>
              <w:t>, ja dzīvnieku novietne atrodas īpaši jutīgajās teritorijās;</w:t>
            </w:r>
          </w:p>
          <w:p w:rsidR="00D475EA" w:rsidRPr="005406A7" w:rsidRDefault="00D475EA" w:rsidP="00D33B8C">
            <w:pPr>
              <w:numPr>
                <w:ilvl w:val="0"/>
                <w:numId w:val="1"/>
              </w:numPr>
              <w:spacing w:after="0" w:line="240" w:lineRule="auto"/>
              <w:ind w:left="127" w:hanging="61"/>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4.4.3.apakšpunktā precizētas prasības pakaišu kūtsmēslu uzglabāšanai ārpus dzīvnieku novietnes tām saimniecībām, kurās pakaišu kūtsmēslus uzkrāj dziļajā kūtī, nosakot uzglabāšan</w:t>
            </w:r>
            <w:r w:rsidR="006C2E15" w:rsidRPr="005406A7">
              <w:rPr>
                <w:rFonts w:ascii="Times New Roman" w:hAnsi="Times New Roman" w:cs="Times New Roman"/>
                <w:color w:val="000000" w:themeColor="text1"/>
                <w:sz w:val="24"/>
                <w:szCs w:val="24"/>
              </w:rPr>
              <w:t xml:space="preserve">as ilgumu līdz 24 mēnešiem un </w:t>
            </w:r>
            <w:r w:rsidRPr="005406A7">
              <w:rPr>
                <w:rFonts w:ascii="Times New Roman" w:hAnsi="Times New Roman" w:cs="Times New Roman"/>
                <w:color w:val="000000" w:themeColor="text1"/>
                <w:sz w:val="24"/>
                <w:szCs w:val="24"/>
              </w:rPr>
              <w:t xml:space="preserve"> nosakot prasību kaudzes pamatnē ieklāt ūdens </w:t>
            </w:r>
            <w:r w:rsidRPr="005406A7">
              <w:rPr>
                <w:rFonts w:ascii="Times New Roman" w:hAnsi="Times New Roman" w:cs="Times New Roman"/>
                <w:color w:val="000000" w:themeColor="text1"/>
                <w:sz w:val="24"/>
                <w:szCs w:val="24"/>
              </w:rPr>
              <w:lastRenderedPageBreak/>
              <w:t>necaurlaidīgu materiālu</w:t>
            </w:r>
            <w:r w:rsidR="009D1356" w:rsidRPr="005406A7">
              <w:rPr>
                <w:rFonts w:ascii="Times New Roman" w:hAnsi="Times New Roman" w:cs="Times New Roman"/>
                <w:color w:val="000000" w:themeColor="text1"/>
                <w:sz w:val="24"/>
                <w:szCs w:val="24"/>
              </w:rPr>
              <w:t>;</w:t>
            </w:r>
          </w:p>
          <w:p w:rsidR="003C23D2" w:rsidRPr="005406A7" w:rsidRDefault="00D475EA" w:rsidP="00D33B8C">
            <w:pPr>
              <w:numPr>
                <w:ilvl w:val="0"/>
                <w:numId w:val="1"/>
              </w:numPr>
              <w:spacing w:after="0" w:line="240" w:lineRule="auto"/>
              <w:ind w:left="127" w:hanging="61"/>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4.</w:t>
            </w:r>
            <w:r w:rsidR="003C36CE" w:rsidRPr="005406A7">
              <w:rPr>
                <w:rFonts w:ascii="Times New Roman" w:hAnsi="Times New Roman" w:cs="Times New Roman"/>
                <w:color w:val="000000" w:themeColor="text1"/>
                <w:sz w:val="24"/>
                <w:szCs w:val="24"/>
              </w:rPr>
              <w:t>4.4.</w:t>
            </w:r>
            <w:r w:rsidRPr="005406A7">
              <w:rPr>
                <w:rFonts w:ascii="Times New Roman" w:hAnsi="Times New Roman" w:cs="Times New Roman"/>
                <w:color w:val="000000" w:themeColor="text1"/>
                <w:sz w:val="24"/>
                <w:szCs w:val="24"/>
              </w:rPr>
              <w:t xml:space="preserve">apakšpunktā noteikti izņēmuma gadījumi pakaišu kūtsmēslu uzglabāšanai </w:t>
            </w:r>
            <w:r w:rsidR="003C23D2" w:rsidRPr="005406A7">
              <w:rPr>
                <w:rFonts w:ascii="Times New Roman" w:hAnsi="Times New Roman" w:cs="Times New Roman"/>
                <w:color w:val="000000" w:themeColor="text1"/>
                <w:sz w:val="24"/>
                <w:szCs w:val="24"/>
              </w:rPr>
              <w:t>ārpus d</w:t>
            </w:r>
            <w:r w:rsidR="00776F20">
              <w:rPr>
                <w:rFonts w:ascii="Times New Roman" w:hAnsi="Times New Roman" w:cs="Times New Roman"/>
                <w:color w:val="000000" w:themeColor="text1"/>
                <w:sz w:val="24"/>
                <w:szCs w:val="24"/>
              </w:rPr>
              <w:t>zīvnieku novietnes, izpildot 4.6</w:t>
            </w:r>
            <w:r w:rsidR="003C23D2" w:rsidRPr="005406A7">
              <w:rPr>
                <w:rFonts w:ascii="Times New Roman" w:hAnsi="Times New Roman" w:cs="Times New Roman"/>
                <w:color w:val="000000" w:themeColor="text1"/>
                <w:sz w:val="24"/>
                <w:szCs w:val="24"/>
              </w:rPr>
              <w:t>. apakšpunkta prasības pakaišu kūtsmēslu uzglabāšanas vietas ierīkošanai</w:t>
            </w:r>
            <w:r w:rsidR="009D1356" w:rsidRPr="005406A7">
              <w:rPr>
                <w:rFonts w:ascii="Times New Roman" w:hAnsi="Times New Roman" w:cs="Times New Roman"/>
                <w:color w:val="000000" w:themeColor="text1"/>
                <w:sz w:val="24"/>
                <w:szCs w:val="24"/>
              </w:rPr>
              <w:t>;</w:t>
            </w:r>
          </w:p>
          <w:p w:rsidR="00E0559F" w:rsidRPr="005406A7" w:rsidRDefault="00E0559F" w:rsidP="00E0559F">
            <w:pPr>
              <w:numPr>
                <w:ilvl w:val="0"/>
                <w:numId w:val="5"/>
              </w:numPr>
              <w:spacing w:after="0" w:line="240" w:lineRule="auto"/>
              <w:ind w:left="66" w:hanging="66"/>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 xml:space="preserve">ja operatoram ir nepieciešams (izņēmuma gadījums) uzglabāt pakaišu kūtsmēslus ārpus dzīvnieku novietnes, tad 4.5. apakšpunkts nosaka </w:t>
            </w:r>
            <w:r>
              <w:rPr>
                <w:rFonts w:ascii="Times New Roman" w:hAnsi="Times New Roman" w:cs="Times New Roman"/>
                <w:color w:val="000000" w:themeColor="text1"/>
                <w:sz w:val="24"/>
                <w:szCs w:val="24"/>
              </w:rPr>
              <w:t xml:space="preserve">operatora pienākumus un kārtību </w:t>
            </w:r>
            <w:r w:rsidRPr="005406A7">
              <w:rPr>
                <w:rFonts w:ascii="Times New Roman" w:hAnsi="Times New Roman" w:cs="Times New Roman"/>
                <w:color w:val="000000" w:themeColor="text1"/>
                <w:sz w:val="24"/>
                <w:szCs w:val="24"/>
              </w:rPr>
              <w:t>šīs darbība</w:t>
            </w:r>
            <w:r>
              <w:rPr>
                <w:rFonts w:ascii="Times New Roman" w:hAnsi="Times New Roman" w:cs="Times New Roman"/>
                <w:color w:val="000000" w:themeColor="text1"/>
                <w:sz w:val="24"/>
                <w:szCs w:val="24"/>
              </w:rPr>
              <w:t>s saskaņošanai</w:t>
            </w:r>
            <w:r w:rsidRPr="005406A7">
              <w:rPr>
                <w:rFonts w:ascii="Times New Roman" w:hAnsi="Times New Roman" w:cs="Times New Roman"/>
                <w:color w:val="000000" w:themeColor="text1"/>
                <w:sz w:val="24"/>
                <w:szCs w:val="24"/>
              </w:rPr>
              <w:t xml:space="preserve"> ar Valsts vides dienesta reģionālo vides pārvaldi;</w:t>
            </w:r>
          </w:p>
          <w:p w:rsidR="00C66C1B" w:rsidRPr="005406A7" w:rsidRDefault="00C66C1B" w:rsidP="00E0559F">
            <w:pPr>
              <w:numPr>
                <w:ilvl w:val="0"/>
                <w:numId w:val="5"/>
              </w:numPr>
              <w:spacing w:after="0" w:line="240" w:lineRule="auto"/>
              <w:ind w:left="127" w:hanging="61"/>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5.1.apakšpunkts nosaka kūtsmēslu un skābbarības sulas krātuves tilpumu, nodrošinot uzkrāšanu – 8 mēnešus. Šis punkts neattiecas uz t</w:t>
            </w:r>
            <w:r w:rsidR="000170B1" w:rsidRPr="005406A7">
              <w:rPr>
                <w:rFonts w:ascii="Times New Roman" w:hAnsi="Times New Roman" w:cs="Times New Roman"/>
                <w:color w:val="000000" w:themeColor="text1"/>
                <w:sz w:val="24"/>
                <w:szCs w:val="24"/>
              </w:rPr>
              <w:t>ām dzīvnieku novietnēm, kurās kūtsmēslu krātuve un vircas uzkrāšanas tvertne uzbūvēta pirms šo noteikumu stāšanās spēkā (</w:t>
            </w:r>
            <w:r w:rsidR="00022F5F" w:rsidRPr="005406A7">
              <w:rPr>
                <w:rFonts w:ascii="Times New Roman" w:hAnsi="Times New Roman" w:cs="Times New Roman"/>
                <w:color w:val="000000" w:themeColor="text1"/>
                <w:sz w:val="24"/>
                <w:szCs w:val="24"/>
              </w:rPr>
              <w:t>20</w:t>
            </w:r>
            <w:r w:rsidR="000170B1" w:rsidRPr="005406A7">
              <w:rPr>
                <w:rFonts w:ascii="Times New Roman" w:hAnsi="Times New Roman" w:cs="Times New Roman"/>
                <w:color w:val="000000" w:themeColor="text1"/>
                <w:sz w:val="24"/>
                <w:szCs w:val="24"/>
              </w:rPr>
              <w:t>.punkts)</w:t>
            </w:r>
            <w:r w:rsidR="009D1356" w:rsidRPr="005406A7">
              <w:rPr>
                <w:rFonts w:ascii="Times New Roman" w:hAnsi="Times New Roman" w:cs="Times New Roman"/>
                <w:color w:val="000000" w:themeColor="text1"/>
                <w:sz w:val="24"/>
                <w:szCs w:val="24"/>
              </w:rPr>
              <w:t>;</w:t>
            </w:r>
          </w:p>
          <w:p w:rsidR="003C23D2" w:rsidRDefault="003C23D2" w:rsidP="00E0559F">
            <w:pPr>
              <w:numPr>
                <w:ilvl w:val="0"/>
                <w:numId w:val="5"/>
              </w:numPr>
              <w:spacing w:after="0" w:line="240" w:lineRule="auto"/>
              <w:ind w:left="127" w:hanging="61"/>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7.3.1.apakšpunktā pārskatīts lagūnas tipa kūtsmēslu krātuves pamatnes līmenis virs maksimālā gruntsūdeņu līmeņa</w:t>
            </w:r>
            <w:r w:rsidR="009D1356" w:rsidRPr="005406A7">
              <w:rPr>
                <w:rFonts w:ascii="Times New Roman" w:hAnsi="Times New Roman" w:cs="Times New Roman"/>
                <w:color w:val="000000" w:themeColor="text1"/>
                <w:sz w:val="24"/>
                <w:szCs w:val="24"/>
              </w:rPr>
              <w:t>;</w:t>
            </w:r>
          </w:p>
          <w:p w:rsidR="00776F20" w:rsidRDefault="00776F20" w:rsidP="00E0559F">
            <w:pPr>
              <w:numPr>
                <w:ilvl w:val="0"/>
                <w:numId w:val="5"/>
              </w:numPr>
              <w:spacing w:after="0" w:line="240" w:lineRule="auto"/>
              <w:ind w:left="127"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5406A7">
              <w:rPr>
                <w:rFonts w:ascii="Times New Roman" w:hAnsi="Times New Roman" w:cs="Times New Roman"/>
                <w:color w:val="000000" w:themeColor="text1"/>
                <w:sz w:val="24"/>
                <w:szCs w:val="24"/>
              </w:rPr>
              <w:t>punkts nosaka obligātu prasību, projektējot lagūnas tipa krātuvi, ierīkot drenāžu, lai varētu nodrošināt krātuves uzraudzību, veicot pazemes ūdeņu kvalitātes mērījumus;</w:t>
            </w:r>
          </w:p>
          <w:p w:rsidR="00776F20" w:rsidRPr="005406A7" w:rsidRDefault="00776F20" w:rsidP="00E0559F">
            <w:pPr>
              <w:pStyle w:val="tv2131"/>
              <w:numPr>
                <w:ilvl w:val="0"/>
                <w:numId w:val="5"/>
              </w:numPr>
              <w:spacing w:before="0" w:line="240" w:lineRule="auto"/>
              <w:ind w:left="127" w:right="127" w:firstLine="0"/>
              <w:rPr>
                <w:rFonts w:ascii="Times New Roman" w:hAnsi="Times New Roman"/>
                <w:color w:val="000000" w:themeColor="text1"/>
                <w:sz w:val="24"/>
                <w:szCs w:val="24"/>
              </w:rPr>
            </w:pPr>
            <w:r w:rsidRPr="005406A7">
              <w:rPr>
                <w:rFonts w:ascii="Times New Roman" w:hAnsi="Times New Roman"/>
                <w:color w:val="000000" w:themeColor="text1"/>
                <w:sz w:val="24"/>
                <w:szCs w:val="24"/>
              </w:rPr>
              <w:t xml:space="preserve">9.punkts nosaka, ka saimniecībās, kurās tur gaļas liellopus, kā arī saimniecībās, kurās pakaišu kūtsmēslus uzkrāj dziļajā kūtī, nav nepieciešama krātuve kūtsmēslu uzglabāšanai; </w:t>
            </w:r>
          </w:p>
          <w:p w:rsidR="006414A6" w:rsidRPr="005406A7" w:rsidRDefault="003C23D2" w:rsidP="00E0559F">
            <w:pPr>
              <w:numPr>
                <w:ilvl w:val="0"/>
                <w:numId w:val="5"/>
              </w:numPr>
              <w:spacing w:after="0" w:line="240" w:lineRule="auto"/>
              <w:ind w:left="127" w:hanging="61"/>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1</w:t>
            </w:r>
            <w:r w:rsidR="003C36CE" w:rsidRPr="005406A7">
              <w:rPr>
                <w:rFonts w:ascii="Times New Roman" w:hAnsi="Times New Roman" w:cs="Times New Roman"/>
                <w:color w:val="000000" w:themeColor="text1"/>
                <w:sz w:val="24"/>
                <w:szCs w:val="24"/>
              </w:rPr>
              <w:t>3</w:t>
            </w:r>
            <w:r w:rsidRPr="005406A7">
              <w:rPr>
                <w:rFonts w:ascii="Times New Roman" w:hAnsi="Times New Roman" w:cs="Times New Roman"/>
                <w:color w:val="000000" w:themeColor="text1"/>
                <w:sz w:val="24"/>
                <w:szCs w:val="24"/>
              </w:rPr>
              <w:t>.punkt</w:t>
            </w:r>
            <w:r w:rsidR="006414A6" w:rsidRPr="005406A7">
              <w:rPr>
                <w:rFonts w:ascii="Times New Roman" w:hAnsi="Times New Roman" w:cs="Times New Roman"/>
                <w:color w:val="000000" w:themeColor="text1"/>
                <w:sz w:val="24"/>
                <w:szCs w:val="24"/>
              </w:rPr>
              <w:t>ā noteiktas prasības operatoram, kurš</w:t>
            </w:r>
            <w:r w:rsidRPr="005406A7">
              <w:rPr>
                <w:rFonts w:ascii="Times New Roman" w:hAnsi="Times New Roman" w:cs="Times New Roman"/>
                <w:color w:val="000000" w:themeColor="text1"/>
                <w:sz w:val="24"/>
                <w:szCs w:val="24"/>
              </w:rPr>
              <w:t xml:space="preserve">  </w:t>
            </w:r>
            <w:r w:rsidR="006414A6" w:rsidRPr="005406A7">
              <w:rPr>
                <w:rFonts w:ascii="Times New Roman" w:hAnsi="Times New Roman" w:cs="Times New Roman"/>
                <w:color w:val="000000" w:themeColor="text1"/>
                <w:sz w:val="24"/>
                <w:szCs w:val="24"/>
              </w:rPr>
              <w:t>apsaimnieko lagūnas tipa krātuvi</w:t>
            </w:r>
            <w:r w:rsidR="009D1356" w:rsidRPr="005406A7">
              <w:rPr>
                <w:rFonts w:ascii="Times New Roman" w:hAnsi="Times New Roman" w:cs="Times New Roman"/>
                <w:color w:val="000000" w:themeColor="text1"/>
                <w:sz w:val="24"/>
                <w:szCs w:val="24"/>
              </w:rPr>
              <w:t>;</w:t>
            </w:r>
          </w:p>
          <w:p w:rsidR="006414A6" w:rsidRPr="005406A7" w:rsidRDefault="006414A6" w:rsidP="00E0559F">
            <w:pPr>
              <w:pStyle w:val="tv2131"/>
              <w:numPr>
                <w:ilvl w:val="0"/>
                <w:numId w:val="5"/>
              </w:numPr>
              <w:spacing w:before="0" w:line="240" w:lineRule="auto"/>
              <w:ind w:left="127" w:right="127" w:firstLine="0"/>
              <w:rPr>
                <w:rFonts w:ascii="Times New Roman" w:hAnsi="Times New Roman"/>
                <w:color w:val="000000" w:themeColor="text1"/>
                <w:sz w:val="24"/>
                <w:szCs w:val="24"/>
              </w:rPr>
            </w:pPr>
            <w:r w:rsidRPr="005406A7">
              <w:rPr>
                <w:rFonts w:ascii="Times New Roman" w:hAnsi="Times New Roman"/>
                <w:color w:val="000000" w:themeColor="text1"/>
                <w:sz w:val="24"/>
                <w:szCs w:val="24"/>
              </w:rPr>
              <w:t>Sakarā ar to, ka 1</w:t>
            </w:r>
            <w:r w:rsidR="003C36CE" w:rsidRPr="005406A7">
              <w:rPr>
                <w:rFonts w:ascii="Times New Roman" w:hAnsi="Times New Roman"/>
                <w:color w:val="000000" w:themeColor="text1"/>
                <w:sz w:val="24"/>
                <w:szCs w:val="24"/>
              </w:rPr>
              <w:t>9.</w:t>
            </w:r>
            <w:r w:rsidRPr="005406A7">
              <w:rPr>
                <w:rFonts w:ascii="Times New Roman" w:hAnsi="Times New Roman"/>
                <w:color w:val="000000" w:themeColor="text1"/>
                <w:sz w:val="24"/>
                <w:szCs w:val="24"/>
              </w:rPr>
              <w:t>punktā tiek noteikts pārejas perioda pagarinājums dzīvnieku novietnes nodrošināšanai ar kūtsmēslu krātuvi: līdz 2016. gadam 31. decembrim dzīvnieku novietnē no 15 dzīvnieku vienībām un īpaši jutīgajās teritorijās no 10 dzīvnieku vienībām</w:t>
            </w:r>
            <w:r w:rsidRPr="005406A7">
              <w:rPr>
                <w:rFonts w:ascii="Times New Roman" w:hAnsi="Times New Roman"/>
                <w:b/>
                <w:color w:val="000000" w:themeColor="text1"/>
                <w:sz w:val="24"/>
                <w:szCs w:val="24"/>
              </w:rPr>
              <w:t xml:space="preserve">, </w:t>
            </w:r>
            <w:r w:rsidRPr="005406A7">
              <w:rPr>
                <w:rFonts w:ascii="Times New Roman" w:hAnsi="Times New Roman"/>
                <w:color w:val="000000" w:themeColor="text1"/>
                <w:sz w:val="24"/>
                <w:szCs w:val="24"/>
              </w:rPr>
              <w:t>līdz 2017. gada 31. decembrim dzīvnieku novie</w:t>
            </w:r>
            <w:r w:rsidR="006D7683" w:rsidRPr="005406A7">
              <w:rPr>
                <w:rFonts w:ascii="Times New Roman" w:hAnsi="Times New Roman"/>
                <w:color w:val="000000" w:themeColor="text1"/>
                <w:sz w:val="24"/>
                <w:szCs w:val="24"/>
              </w:rPr>
              <w:t xml:space="preserve">tnē no </w:t>
            </w:r>
            <w:r w:rsidRPr="005406A7">
              <w:rPr>
                <w:rFonts w:ascii="Times New Roman" w:hAnsi="Times New Roman"/>
                <w:color w:val="000000" w:themeColor="text1"/>
                <w:sz w:val="24"/>
                <w:szCs w:val="24"/>
              </w:rPr>
              <w:t>10 – 15 dzīvnieku vienībām un īpaši jutīgajās teritorijās no 5 – 10 dzīvnieku vienībām, operatoram, kura dzīvnieku novietnē, kūtsmēslu krātuve neatb</w:t>
            </w:r>
            <w:r w:rsidR="00033A20" w:rsidRPr="005406A7">
              <w:rPr>
                <w:rFonts w:ascii="Times New Roman" w:hAnsi="Times New Roman"/>
                <w:color w:val="000000" w:themeColor="text1"/>
                <w:sz w:val="24"/>
                <w:szCs w:val="24"/>
              </w:rPr>
              <w:t>ilst šo noteikumu prasībām, jāpi</w:t>
            </w:r>
            <w:r w:rsidRPr="005406A7">
              <w:rPr>
                <w:rFonts w:ascii="Times New Roman" w:hAnsi="Times New Roman"/>
                <w:color w:val="000000" w:themeColor="text1"/>
                <w:sz w:val="24"/>
                <w:szCs w:val="24"/>
              </w:rPr>
              <w:t>lda</w:t>
            </w:r>
            <w:r w:rsidR="00033A20" w:rsidRPr="005406A7">
              <w:rPr>
                <w:rFonts w:ascii="Times New Roman" w:hAnsi="Times New Roman"/>
                <w:color w:val="000000" w:themeColor="text1"/>
                <w:sz w:val="24"/>
                <w:szCs w:val="24"/>
              </w:rPr>
              <w:t xml:space="preserve"> </w:t>
            </w:r>
            <w:r w:rsidRPr="005406A7">
              <w:rPr>
                <w:rFonts w:ascii="Times New Roman" w:hAnsi="Times New Roman"/>
                <w:color w:val="000000" w:themeColor="text1"/>
                <w:sz w:val="24"/>
                <w:szCs w:val="24"/>
              </w:rPr>
              <w:t>1</w:t>
            </w:r>
            <w:r w:rsidR="00D1120E" w:rsidRPr="005406A7">
              <w:rPr>
                <w:rFonts w:ascii="Times New Roman" w:hAnsi="Times New Roman"/>
                <w:color w:val="000000" w:themeColor="text1"/>
                <w:sz w:val="24"/>
                <w:szCs w:val="24"/>
              </w:rPr>
              <w:t>7</w:t>
            </w:r>
            <w:r w:rsidRPr="005406A7">
              <w:rPr>
                <w:rFonts w:ascii="Times New Roman" w:hAnsi="Times New Roman"/>
                <w:color w:val="000000" w:themeColor="text1"/>
                <w:sz w:val="24"/>
                <w:szCs w:val="24"/>
              </w:rPr>
              <w:t>. un 1</w:t>
            </w:r>
            <w:r w:rsidR="00D1120E" w:rsidRPr="005406A7">
              <w:rPr>
                <w:rFonts w:ascii="Times New Roman" w:hAnsi="Times New Roman"/>
                <w:color w:val="000000" w:themeColor="text1"/>
                <w:sz w:val="24"/>
                <w:szCs w:val="24"/>
              </w:rPr>
              <w:t>8.</w:t>
            </w:r>
            <w:r w:rsidRPr="005406A7">
              <w:rPr>
                <w:rFonts w:ascii="Times New Roman" w:hAnsi="Times New Roman"/>
                <w:color w:val="000000" w:themeColor="text1"/>
                <w:sz w:val="24"/>
                <w:szCs w:val="24"/>
              </w:rPr>
              <w:t>.punktā noteiktais</w:t>
            </w:r>
            <w:r w:rsidR="009D1356" w:rsidRPr="005406A7">
              <w:rPr>
                <w:rFonts w:ascii="Times New Roman" w:hAnsi="Times New Roman"/>
                <w:color w:val="000000" w:themeColor="text1"/>
                <w:sz w:val="24"/>
                <w:szCs w:val="24"/>
              </w:rPr>
              <w:t>;</w:t>
            </w:r>
            <w:r w:rsidRPr="005406A7">
              <w:rPr>
                <w:rFonts w:ascii="Times New Roman" w:hAnsi="Times New Roman"/>
                <w:color w:val="000000" w:themeColor="text1"/>
                <w:sz w:val="24"/>
                <w:szCs w:val="24"/>
              </w:rPr>
              <w:t xml:space="preserve"> </w:t>
            </w:r>
          </w:p>
          <w:p w:rsidR="00945E07" w:rsidRPr="00200D29" w:rsidRDefault="00812B7E" w:rsidP="00E0559F">
            <w:pPr>
              <w:pStyle w:val="tv2131"/>
              <w:numPr>
                <w:ilvl w:val="0"/>
                <w:numId w:val="5"/>
              </w:numPr>
              <w:spacing w:before="0" w:line="240" w:lineRule="auto"/>
              <w:ind w:left="208" w:firstLine="0"/>
              <w:rPr>
                <w:color w:val="000000" w:themeColor="text1"/>
              </w:rPr>
            </w:pPr>
            <w:r w:rsidRPr="00200D29">
              <w:rPr>
                <w:rFonts w:ascii="Times New Roman" w:hAnsi="Times New Roman"/>
                <w:color w:val="000000" w:themeColor="text1"/>
                <w:sz w:val="24"/>
                <w:szCs w:val="24"/>
              </w:rPr>
              <w:t>Noteikumiem pievienots pielikums:</w:t>
            </w:r>
            <w:r w:rsidR="002834E1" w:rsidRPr="00200D29">
              <w:rPr>
                <w:rFonts w:ascii="Times New Roman" w:hAnsi="Times New Roman"/>
                <w:color w:val="000000" w:themeColor="text1"/>
                <w:sz w:val="24"/>
                <w:szCs w:val="24"/>
              </w:rPr>
              <w:t xml:space="preserve"> “Kūtsmēslu krātuvju ietilpības aprēķins”.</w:t>
            </w:r>
          </w:p>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r>
      <w:tr w:rsidR="005406A7" w:rsidRPr="005406A7" w:rsidTr="005949C1">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Projekta izstrādē iesaistītās institūcijas</w:t>
            </w:r>
          </w:p>
        </w:tc>
        <w:tc>
          <w:tcPr>
            <w:tcW w:w="3154" w:type="pct"/>
            <w:tcBorders>
              <w:top w:val="outset" w:sz="6" w:space="0" w:color="auto"/>
              <w:left w:val="outset" w:sz="6" w:space="0" w:color="auto"/>
              <w:bottom w:val="outset" w:sz="6" w:space="0" w:color="auto"/>
              <w:right w:val="outset" w:sz="6" w:space="0" w:color="auto"/>
            </w:tcBorders>
            <w:hideMark/>
          </w:tcPr>
          <w:p w:rsidR="005E1D34" w:rsidRPr="005406A7" w:rsidRDefault="00812B7E"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Vides aizsardzības un reģionālās attīstības ministrija,</w:t>
            </w:r>
          </w:p>
          <w:p w:rsidR="00812B7E" w:rsidRPr="005406A7" w:rsidRDefault="00812B7E"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Valsts vides dienests</w:t>
            </w:r>
          </w:p>
        </w:tc>
      </w:tr>
      <w:tr w:rsidR="005406A7" w:rsidRPr="005406A7" w:rsidTr="005949C1">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w:t>
            </w:r>
            <w:r w:rsidR="000170B1" w:rsidRPr="005406A7">
              <w:rPr>
                <w:rFonts w:ascii="Times New Roman" w:eastAsia="Times New Roman" w:hAnsi="Times New Roman" w:cs="Times New Roman"/>
                <w:color w:val="000000" w:themeColor="text1"/>
                <w:sz w:val="24"/>
                <w:szCs w:val="24"/>
                <w:lang w:eastAsia="lv-LV"/>
              </w:rPr>
              <w:t>av</w:t>
            </w:r>
          </w:p>
        </w:tc>
      </w:tr>
    </w:tbl>
    <w:p w:rsidR="005E1D34" w:rsidRPr="005406A7" w:rsidRDefault="005E1D34"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406A7" w:rsidRPr="005406A7" w:rsidTr="005E1D3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lastRenderedPageBreak/>
              <w:t>II. Tiesību akta projekta ietekme uz sabiedrību, tautsaimniecības attīstību un administratīvo slogu</w:t>
            </w:r>
          </w:p>
        </w:tc>
      </w:tr>
      <w:tr w:rsidR="005406A7" w:rsidRPr="005406A7" w:rsidTr="005E1D34">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5E1D34" w:rsidRPr="005406A7" w:rsidRDefault="000170B1"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hAnsi="Times New Roman" w:cs="Times New Roman"/>
                <w:color w:val="000000" w:themeColor="text1"/>
                <w:sz w:val="24"/>
                <w:szCs w:val="24"/>
              </w:rPr>
              <w:t>Noteikumu projekts attiecas uz fiziskām un jur</w:t>
            </w:r>
            <w:smartTag w:uri="urn:schemas-microsoft-com:office:smarttags" w:element="PersonName">
              <w:r w:rsidRPr="005406A7">
                <w:rPr>
                  <w:rFonts w:ascii="Times New Roman" w:hAnsi="Times New Roman" w:cs="Times New Roman"/>
                  <w:color w:val="000000" w:themeColor="text1"/>
                  <w:sz w:val="24"/>
                  <w:szCs w:val="24"/>
                </w:rPr>
                <w:t>id</w:t>
              </w:r>
            </w:smartTag>
            <w:r w:rsidRPr="005406A7">
              <w:rPr>
                <w:rFonts w:ascii="Times New Roman" w:hAnsi="Times New Roman" w:cs="Times New Roman"/>
                <w:color w:val="000000" w:themeColor="text1"/>
                <w:sz w:val="24"/>
                <w:szCs w:val="24"/>
              </w:rPr>
              <w:t>iskām personām, kuras veic lauksaimniecisko darbību un uz kurām attiecas noteikumu  projekta prasības.</w:t>
            </w:r>
          </w:p>
        </w:tc>
      </w:tr>
      <w:tr w:rsidR="005406A7" w:rsidRPr="005406A7" w:rsidTr="005E1D3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C12EC7" w:rsidRPr="005406A7" w:rsidRDefault="00100F82" w:rsidP="000249E8">
            <w:pPr>
              <w:spacing w:after="0" w:line="240" w:lineRule="auto"/>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Noteikumu projektā, salīdzinot ar  šobrīd spēkā esošajos noteikumos  noteikto</w:t>
            </w:r>
            <w:r w:rsidR="00D272EA" w:rsidRPr="005406A7">
              <w:rPr>
                <w:rFonts w:ascii="Times New Roman" w:hAnsi="Times New Roman" w:cs="Times New Roman"/>
                <w:color w:val="000000" w:themeColor="text1"/>
                <w:sz w:val="24"/>
                <w:szCs w:val="24"/>
              </w:rPr>
              <w:t>,</w:t>
            </w:r>
            <w:r w:rsidR="00032795" w:rsidRPr="005406A7">
              <w:rPr>
                <w:rFonts w:ascii="Times New Roman" w:hAnsi="Times New Roman" w:cs="Times New Roman"/>
                <w:color w:val="000000" w:themeColor="text1"/>
                <w:sz w:val="24"/>
                <w:szCs w:val="24"/>
              </w:rPr>
              <w:t xml:space="preserve"> </w:t>
            </w:r>
            <w:r w:rsidR="00D272EA" w:rsidRPr="005406A7">
              <w:rPr>
                <w:rFonts w:ascii="Times New Roman" w:hAnsi="Times New Roman" w:cs="Times New Roman"/>
                <w:color w:val="000000" w:themeColor="text1"/>
                <w:sz w:val="24"/>
                <w:szCs w:val="24"/>
              </w:rPr>
              <w:t xml:space="preserve">paredzēts palielināt administratīvo slogu, </w:t>
            </w:r>
          </w:p>
          <w:p w:rsidR="00715DA9" w:rsidRPr="005406A7" w:rsidRDefault="00D272EA" w:rsidP="000249E8">
            <w:pPr>
              <w:spacing w:after="0" w:line="240" w:lineRule="auto"/>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 xml:space="preserve">1) </w:t>
            </w:r>
            <w:r w:rsidR="00100F82" w:rsidRPr="005406A7">
              <w:rPr>
                <w:rFonts w:ascii="Times New Roman" w:hAnsi="Times New Roman" w:cs="Times New Roman"/>
                <w:color w:val="000000" w:themeColor="text1"/>
                <w:sz w:val="24"/>
                <w:szCs w:val="24"/>
              </w:rPr>
              <w:t xml:space="preserve"> </w:t>
            </w:r>
            <w:r w:rsidR="00C12EC7" w:rsidRPr="005406A7">
              <w:rPr>
                <w:rFonts w:ascii="Times New Roman" w:hAnsi="Times New Roman" w:cs="Times New Roman"/>
                <w:color w:val="000000" w:themeColor="text1"/>
                <w:sz w:val="24"/>
                <w:szCs w:val="24"/>
              </w:rPr>
              <w:t xml:space="preserve">nosakot operatoram pienākumu </w:t>
            </w:r>
            <w:r w:rsidR="00100F82" w:rsidRPr="005406A7">
              <w:rPr>
                <w:rFonts w:ascii="Times New Roman" w:hAnsi="Times New Roman" w:cs="Times New Roman"/>
                <w:color w:val="000000" w:themeColor="text1"/>
                <w:sz w:val="24"/>
                <w:szCs w:val="24"/>
              </w:rPr>
              <w:t>saskaņot ar Valsts vides  dienesta attiecīgo reģionālo vides pārvaldi, pakaišu kūtsmēslu novietošanu ārpus dzīvnieku novietnes,   pamatojot izņēmuma gadījuma nepieciešamību</w:t>
            </w:r>
            <w:r w:rsidR="00C12EC7" w:rsidRPr="005406A7">
              <w:rPr>
                <w:rFonts w:ascii="Times New Roman" w:hAnsi="Times New Roman" w:cs="Times New Roman"/>
                <w:color w:val="000000" w:themeColor="text1"/>
                <w:sz w:val="24"/>
                <w:szCs w:val="24"/>
              </w:rPr>
              <w:t xml:space="preserve"> ar iesniegumu</w:t>
            </w:r>
            <w:r w:rsidR="00715DA9" w:rsidRPr="005406A7">
              <w:rPr>
                <w:rFonts w:ascii="Times New Roman" w:hAnsi="Times New Roman" w:cs="Times New Roman"/>
                <w:color w:val="000000" w:themeColor="text1"/>
                <w:sz w:val="24"/>
                <w:szCs w:val="24"/>
              </w:rPr>
              <w:t xml:space="preserve">, </w:t>
            </w:r>
            <w:r w:rsidR="00C12EC7" w:rsidRPr="005406A7">
              <w:rPr>
                <w:rFonts w:ascii="Times New Roman" w:hAnsi="Times New Roman" w:cs="Times New Roman"/>
                <w:color w:val="000000" w:themeColor="text1"/>
                <w:sz w:val="24"/>
                <w:szCs w:val="24"/>
              </w:rPr>
              <w:t>saimniecības lauku</w:t>
            </w:r>
            <w:r w:rsidR="00715DA9" w:rsidRPr="005406A7">
              <w:rPr>
                <w:rFonts w:ascii="Times New Roman" w:hAnsi="Times New Roman" w:cs="Times New Roman"/>
                <w:color w:val="000000" w:themeColor="text1"/>
                <w:sz w:val="24"/>
                <w:szCs w:val="24"/>
              </w:rPr>
              <w:t xml:space="preserve"> bloka</w:t>
            </w:r>
            <w:r w:rsidR="00C12EC7" w:rsidRPr="005406A7">
              <w:rPr>
                <w:rFonts w:ascii="Times New Roman" w:hAnsi="Times New Roman" w:cs="Times New Roman"/>
                <w:color w:val="000000" w:themeColor="text1"/>
                <w:sz w:val="24"/>
                <w:szCs w:val="24"/>
              </w:rPr>
              <w:t xml:space="preserve"> karti</w:t>
            </w:r>
            <w:r w:rsidR="00715DA9" w:rsidRPr="005406A7">
              <w:rPr>
                <w:rFonts w:ascii="Times New Roman" w:hAnsi="Times New Roman" w:cs="Times New Roman"/>
                <w:color w:val="000000" w:themeColor="text1"/>
                <w:sz w:val="24"/>
                <w:szCs w:val="24"/>
              </w:rPr>
              <w:t xml:space="preserve">, </w:t>
            </w:r>
            <w:r w:rsidR="00C12EC7" w:rsidRPr="005406A7">
              <w:rPr>
                <w:rFonts w:ascii="Times New Roman" w:hAnsi="Times New Roman" w:cs="Times New Roman"/>
                <w:color w:val="000000" w:themeColor="text1"/>
                <w:sz w:val="24"/>
                <w:szCs w:val="24"/>
              </w:rPr>
              <w:t>kurā atzīmē kaudzes atrašanās vietu</w:t>
            </w:r>
            <w:r w:rsidR="00715DA9" w:rsidRPr="005406A7">
              <w:rPr>
                <w:rFonts w:ascii="Times New Roman" w:hAnsi="Times New Roman" w:cs="Times New Roman"/>
                <w:color w:val="000000" w:themeColor="text1"/>
                <w:sz w:val="24"/>
                <w:szCs w:val="24"/>
              </w:rPr>
              <w:t xml:space="preserve"> un meliorācijas pasi</w:t>
            </w:r>
            <w:r w:rsidR="00616D29" w:rsidRPr="005406A7">
              <w:rPr>
                <w:rFonts w:ascii="Times New Roman" w:hAnsi="Times New Roman" w:cs="Times New Roman"/>
                <w:color w:val="000000" w:themeColor="text1"/>
                <w:sz w:val="24"/>
                <w:szCs w:val="24"/>
              </w:rPr>
              <w:t>;</w:t>
            </w:r>
          </w:p>
          <w:p w:rsidR="00C12EC7" w:rsidRPr="005406A7" w:rsidRDefault="00C12EC7" w:rsidP="000249E8">
            <w:pPr>
              <w:spacing w:after="0" w:line="240" w:lineRule="auto"/>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 xml:space="preserve">2) </w:t>
            </w:r>
            <w:r w:rsidR="00033A20" w:rsidRPr="005406A7">
              <w:rPr>
                <w:rFonts w:ascii="Times New Roman" w:hAnsi="Times New Roman" w:cs="Times New Roman"/>
                <w:color w:val="000000" w:themeColor="text1"/>
                <w:sz w:val="24"/>
                <w:szCs w:val="24"/>
              </w:rPr>
              <w:t>Valsts vides dienesta reģionālā</w:t>
            </w:r>
            <w:r w:rsidR="00100F82" w:rsidRPr="005406A7">
              <w:rPr>
                <w:rFonts w:ascii="Times New Roman" w:hAnsi="Times New Roman" w:cs="Times New Roman"/>
                <w:color w:val="000000" w:themeColor="text1"/>
                <w:sz w:val="24"/>
                <w:szCs w:val="24"/>
              </w:rPr>
              <w:t xml:space="preserve"> vides pārvalde izvē</w:t>
            </w:r>
            <w:r w:rsidR="00396137" w:rsidRPr="005406A7">
              <w:rPr>
                <w:rFonts w:ascii="Times New Roman" w:hAnsi="Times New Roman" w:cs="Times New Roman"/>
                <w:color w:val="000000" w:themeColor="text1"/>
                <w:sz w:val="24"/>
                <w:szCs w:val="24"/>
              </w:rPr>
              <w:t>r</w:t>
            </w:r>
            <w:r w:rsidR="00100F82" w:rsidRPr="005406A7">
              <w:rPr>
                <w:rFonts w:ascii="Times New Roman" w:hAnsi="Times New Roman" w:cs="Times New Roman"/>
                <w:color w:val="000000" w:themeColor="text1"/>
                <w:sz w:val="24"/>
                <w:szCs w:val="24"/>
              </w:rPr>
              <w:t>t</w:t>
            </w:r>
            <w:r w:rsidR="001B36D4" w:rsidRPr="005406A7">
              <w:rPr>
                <w:rFonts w:ascii="Times New Roman" w:hAnsi="Times New Roman" w:cs="Times New Roman"/>
                <w:color w:val="000000" w:themeColor="text1"/>
                <w:sz w:val="24"/>
                <w:szCs w:val="24"/>
              </w:rPr>
              <w:t>ē iesniegt</w:t>
            </w:r>
            <w:r w:rsidR="00D272EA" w:rsidRPr="005406A7">
              <w:rPr>
                <w:rFonts w:ascii="Times New Roman" w:hAnsi="Times New Roman" w:cs="Times New Roman"/>
                <w:color w:val="000000" w:themeColor="text1"/>
                <w:sz w:val="24"/>
                <w:szCs w:val="24"/>
              </w:rPr>
              <w:t>o</w:t>
            </w:r>
            <w:r w:rsidR="001B36D4" w:rsidRPr="005406A7">
              <w:rPr>
                <w:rFonts w:ascii="Times New Roman" w:hAnsi="Times New Roman" w:cs="Times New Roman"/>
                <w:color w:val="000000" w:themeColor="text1"/>
                <w:sz w:val="24"/>
                <w:szCs w:val="24"/>
              </w:rPr>
              <w:t xml:space="preserve"> prasīb</w:t>
            </w:r>
            <w:r w:rsidR="00D272EA" w:rsidRPr="005406A7">
              <w:rPr>
                <w:rFonts w:ascii="Times New Roman" w:hAnsi="Times New Roman" w:cs="Times New Roman"/>
                <w:color w:val="000000" w:themeColor="text1"/>
                <w:sz w:val="24"/>
                <w:szCs w:val="24"/>
              </w:rPr>
              <w:t>u</w:t>
            </w:r>
            <w:r w:rsidR="001B36D4" w:rsidRPr="005406A7">
              <w:rPr>
                <w:rFonts w:ascii="Times New Roman" w:hAnsi="Times New Roman" w:cs="Times New Roman"/>
                <w:color w:val="000000" w:themeColor="text1"/>
                <w:sz w:val="24"/>
                <w:szCs w:val="24"/>
              </w:rPr>
              <w:t xml:space="preserve"> un dod saskaņojum</w:t>
            </w:r>
            <w:r w:rsidR="00D272EA" w:rsidRPr="005406A7">
              <w:rPr>
                <w:rFonts w:ascii="Times New Roman" w:hAnsi="Times New Roman" w:cs="Times New Roman"/>
                <w:color w:val="000000" w:themeColor="text1"/>
                <w:sz w:val="24"/>
                <w:szCs w:val="24"/>
              </w:rPr>
              <w:t>u</w:t>
            </w:r>
            <w:r w:rsidR="001B36D4" w:rsidRPr="005406A7">
              <w:rPr>
                <w:rFonts w:ascii="Times New Roman" w:hAnsi="Times New Roman" w:cs="Times New Roman"/>
                <w:color w:val="000000" w:themeColor="text1"/>
                <w:sz w:val="24"/>
                <w:szCs w:val="24"/>
              </w:rPr>
              <w:t xml:space="preserve"> vai atteikum</w:t>
            </w:r>
            <w:r w:rsidR="00D272EA" w:rsidRPr="005406A7">
              <w:rPr>
                <w:rFonts w:ascii="Times New Roman" w:hAnsi="Times New Roman" w:cs="Times New Roman"/>
                <w:color w:val="000000" w:themeColor="text1"/>
                <w:sz w:val="24"/>
                <w:szCs w:val="24"/>
              </w:rPr>
              <w:t>u</w:t>
            </w:r>
            <w:r w:rsidR="001B36D4" w:rsidRPr="005406A7">
              <w:rPr>
                <w:rFonts w:ascii="Times New Roman" w:hAnsi="Times New Roman" w:cs="Times New Roman"/>
                <w:color w:val="000000" w:themeColor="text1"/>
                <w:sz w:val="24"/>
                <w:szCs w:val="24"/>
              </w:rPr>
              <w:t xml:space="preserve"> veikt šo darbību</w:t>
            </w:r>
            <w:r w:rsidR="00C41F63" w:rsidRPr="005406A7">
              <w:rPr>
                <w:rFonts w:ascii="Times New Roman" w:hAnsi="Times New Roman" w:cs="Times New Roman"/>
                <w:color w:val="000000" w:themeColor="text1"/>
                <w:sz w:val="24"/>
                <w:szCs w:val="24"/>
              </w:rPr>
              <w:t xml:space="preserve"> e</w:t>
            </w:r>
            <w:r w:rsidR="00032795" w:rsidRPr="005406A7">
              <w:rPr>
                <w:rFonts w:ascii="Times New Roman" w:hAnsi="Times New Roman" w:cs="Times New Roman"/>
                <w:color w:val="000000" w:themeColor="text1"/>
                <w:sz w:val="24"/>
                <w:szCs w:val="24"/>
              </w:rPr>
              <w:t>s</w:t>
            </w:r>
            <w:r w:rsidR="00C41F63" w:rsidRPr="005406A7">
              <w:rPr>
                <w:rFonts w:ascii="Times New Roman" w:hAnsi="Times New Roman" w:cs="Times New Roman"/>
                <w:color w:val="000000" w:themeColor="text1"/>
                <w:sz w:val="24"/>
                <w:szCs w:val="24"/>
              </w:rPr>
              <w:t>ošo funkciju ietvaros</w:t>
            </w:r>
            <w:r w:rsidR="00616D29" w:rsidRPr="005406A7">
              <w:rPr>
                <w:rFonts w:ascii="Times New Roman" w:hAnsi="Times New Roman" w:cs="Times New Roman"/>
                <w:color w:val="000000" w:themeColor="text1"/>
                <w:sz w:val="24"/>
                <w:szCs w:val="24"/>
              </w:rPr>
              <w:t>;</w:t>
            </w:r>
          </w:p>
          <w:p w:rsidR="00032795" w:rsidRPr="005406A7" w:rsidRDefault="00C12EC7" w:rsidP="000249E8">
            <w:pPr>
              <w:spacing w:after="0" w:line="240" w:lineRule="auto"/>
              <w:jc w:val="both"/>
              <w:rPr>
                <w:rFonts w:ascii="Times New Roman" w:hAnsi="Times New Roman" w:cs="Times New Roman"/>
                <w:color w:val="000000" w:themeColor="text1"/>
                <w:sz w:val="24"/>
                <w:szCs w:val="24"/>
              </w:rPr>
            </w:pPr>
            <w:r w:rsidRPr="005406A7">
              <w:rPr>
                <w:rFonts w:ascii="Times New Roman" w:hAnsi="Times New Roman" w:cs="Times New Roman"/>
                <w:color w:val="000000" w:themeColor="text1"/>
                <w:sz w:val="24"/>
                <w:szCs w:val="24"/>
              </w:rPr>
              <w:t xml:space="preserve">3) </w:t>
            </w:r>
            <w:r w:rsidR="00D272EA" w:rsidRPr="005406A7">
              <w:rPr>
                <w:rFonts w:ascii="Times New Roman" w:hAnsi="Times New Roman" w:cs="Times New Roman"/>
                <w:color w:val="000000" w:themeColor="text1"/>
                <w:sz w:val="24"/>
                <w:szCs w:val="24"/>
              </w:rPr>
              <w:t>operator</w:t>
            </w:r>
            <w:r w:rsidRPr="005406A7">
              <w:rPr>
                <w:rFonts w:ascii="Times New Roman" w:hAnsi="Times New Roman" w:cs="Times New Roman"/>
                <w:color w:val="000000" w:themeColor="text1"/>
                <w:sz w:val="24"/>
                <w:szCs w:val="24"/>
              </w:rPr>
              <w:t xml:space="preserve">am, kurš </w:t>
            </w:r>
            <w:r w:rsidR="00032795" w:rsidRPr="005406A7">
              <w:rPr>
                <w:rFonts w:ascii="Times New Roman" w:hAnsi="Times New Roman" w:cs="Times New Roman"/>
                <w:color w:val="000000" w:themeColor="text1"/>
                <w:sz w:val="24"/>
                <w:szCs w:val="24"/>
              </w:rPr>
              <w:t xml:space="preserve">apsaimnieko lagūnas tipa krātuvi, </w:t>
            </w:r>
            <w:r w:rsidRPr="005406A7">
              <w:rPr>
                <w:rFonts w:ascii="Times New Roman" w:hAnsi="Times New Roman" w:cs="Times New Roman"/>
                <w:color w:val="000000" w:themeColor="text1"/>
                <w:sz w:val="24"/>
                <w:szCs w:val="24"/>
              </w:rPr>
              <w:t xml:space="preserve">noteikta prasība veikt </w:t>
            </w:r>
            <w:r w:rsidR="00032795" w:rsidRPr="005406A7">
              <w:rPr>
                <w:rFonts w:ascii="Times New Roman" w:hAnsi="Times New Roman" w:cs="Times New Roman"/>
                <w:color w:val="000000" w:themeColor="text1"/>
                <w:sz w:val="24"/>
                <w:szCs w:val="24"/>
              </w:rPr>
              <w:t xml:space="preserve">pazemes ūdeņu kvalitātes mērījumus un tos iesniegt reģionālajā vides pārvaldē, lai sekotu krātuves pamatnes un </w:t>
            </w:r>
            <w:r w:rsidR="00D272EA" w:rsidRPr="005406A7">
              <w:rPr>
                <w:rFonts w:ascii="Times New Roman" w:hAnsi="Times New Roman" w:cs="Times New Roman"/>
                <w:color w:val="000000" w:themeColor="text1"/>
                <w:sz w:val="24"/>
                <w:szCs w:val="24"/>
              </w:rPr>
              <w:t>sienu hidroizolācijas stāvoklim</w:t>
            </w:r>
            <w:r w:rsidRPr="005406A7">
              <w:rPr>
                <w:rFonts w:ascii="Times New Roman" w:hAnsi="Times New Roman" w:cs="Times New Roman"/>
                <w:color w:val="000000" w:themeColor="text1"/>
                <w:sz w:val="24"/>
                <w:szCs w:val="24"/>
              </w:rPr>
              <w:t>.</w:t>
            </w:r>
          </w:p>
          <w:p w:rsidR="005E1D34" w:rsidRPr="005406A7" w:rsidRDefault="005E1D34" w:rsidP="00396137">
            <w:pPr>
              <w:spacing w:after="0" w:line="240" w:lineRule="auto"/>
              <w:jc w:val="both"/>
              <w:rPr>
                <w:rFonts w:ascii="Times New Roman" w:eastAsia="Times New Roman" w:hAnsi="Times New Roman" w:cs="Times New Roman"/>
                <w:color w:val="000000" w:themeColor="text1"/>
                <w:sz w:val="24"/>
                <w:szCs w:val="24"/>
                <w:lang w:eastAsia="lv-LV"/>
              </w:rPr>
            </w:pPr>
          </w:p>
        </w:tc>
      </w:tr>
      <w:tr w:rsidR="005406A7" w:rsidRPr="005406A7" w:rsidTr="005E1D3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7D7576" w:rsidRDefault="00B65E4D" w:rsidP="00081BA6">
            <w:pPr>
              <w:pStyle w:val="Sarakstarindkopa"/>
              <w:ind w:left="0" w:firstLine="492"/>
              <w:jc w:val="both"/>
              <w:rPr>
                <w:rFonts w:ascii="Times New Roman" w:hAnsi="Times New Roman"/>
                <w:bCs/>
                <w:color w:val="000000" w:themeColor="text1"/>
                <w:sz w:val="24"/>
                <w:szCs w:val="24"/>
              </w:rPr>
            </w:pPr>
            <w:r w:rsidRPr="005406A7">
              <w:rPr>
                <w:rFonts w:ascii="Times New Roman" w:hAnsi="Times New Roman"/>
                <w:color w:val="000000" w:themeColor="text1"/>
                <w:sz w:val="24"/>
                <w:szCs w:val="24"/>
              </w:rPr>
              <w:t>Skat. Anotācijas pielikumu</w:t>
            </w:r>
            <w:r w:rsidR="00FB67E1" w:rsidRPr="005406A7">
              <w:rPr>
                <w:rFonts w:ascii="Times New Roman" w:hAnsi="Times New Roman"/>
                <w:color w:val="000000" w:themeColor="text1"/>
                <w:sz w:val="24"/>
                <w:szCs w:val="24"/>
              </w:rPr>
              <w:t>, kurā iekļauts a</w:t>
            </w:r>
            <w:r w:rsidR="00293014" w:rsidRPr="005406A7">
              <w:rPr>
                <w:rFonts w:ascii="Times New Roman" w:hAnsi="Times New Roman"/>
                <w:color w:val="000000" w:themeColor="text1"/>
                <w:sz w:val="24"/>
                <w:szCs w:val="24"/>
              </w:rPr>
              <w:t xml:space="preserve">dministratīvo izmaksu novērtējums, ko rada noteikumu projekta prasības operatoram un Valsts vides dienestam saskaņā ar </w:t>
            </w:r>
            <w:r w:rsidR="00DD2D08" w:rsidRPr="005406A7">
              <w:rPr>
                <w:rFonts w:ascii="Times New Roman" w:hAnsi="Times New Roman"/>
                <w:bCs/>
                <w:color w:val="000000" w:themeColor="text1"/>
                <w:sz w:val="24"/>
                <w:szCs w:val="24"/>
              </w:rPr>
              <w:t>4.5.</w:t>
            </w:r>
            <w:r w:rsidR="00293014" w:rsidRPr="005406A7">
              <w:rPr>
                <w:rFonts w:ascii="Times New Roman" w:hAnsi="Times New Roman"/>
                <w:bCs/>
                <w:color w:val="000000" w:themeColor="text1"/>
                <w:sz w:val="24"/>
                <w:szCs w:val="24"/>
              </w:rPr>
              <w:t>apakšpunktu::</w:t>
            </w:r>
            <w:r w:rsidR="00DD2D08" w:rsidRPr="005406A7">
              <w:rPr>
                <w:rFonts w:ascii="Times New Roman" w:hAnsi="Times New Roman"/>
                <w:bCs/>
                <w:color w:val="000000" w:themeColor="text1"/>
                <w:sz w:val="24"/>
                <w:szCs w:val="24"/>
              </w:rPr>
              <w:t xml:space="preserve"> </w:t>
            </w:r>
          </w:p>
          <w:p w:rsidR="00B073E1" w:rsidRPr="00B073E1" w:rsidRDefault="00B073E1" w:rsidP="00B073E1">
            <w:pPr>
              <w:spacing w:after="0" w:line="240" w:lineRule="auto"/>
              <w:ind w:firstLine="720"/>
              <w:jc w:val="both"/>
              <w:rPr>
                <w:rFonts w:ascii="Times New Roman" w:hAnsi="Times New Roman" w:cs="Times New Roman"/>
                <w:sz w:val="24"/>
                <w:szCs w:val="24"/>
              </w:rPr>
            </w:pPr>
            <w:r w:rsidRPr="00B073E1">
              <w:rPr>
                <w:rFonts w:ascii="Times New Roman" w:hAnsi="Times New Roman" w:cs="Times New Roman"/>
                <w:sz w:val="24"/>
                <w:szCs w:val="24"/>
              </w:rPr>
              <w:t xml:space="preserve">4.5. lai pakaišu kūtsmēslus uzglabātu ārpus novietnes: </w:t>
            </w:r>
          </w:p>
          <w:p w:rsidR="00B073E1" w:rsidRPr="00B073E1" w:rsidRDefault="00B073E1" w:rsidP="00B073E1">
            <w:pPr>
              <w:pStyle w:val="Sarakstarindkopa"/>
              <w:ind w:left="34"/>
              <w:jc w:val="both"/>
              <w:rPr>
                <w:rFonts w:ascii="Times New Roman" w:hAnsi="Times New Roman"/>
                <w:color w:val="FF0000"/>
                <w:sz w:val="24"/>
                <w:szCs w:val="24"/>
              </w:rPr>
            </w:pPr>
            <w:r w:rsidRPr="00B073E1">
              <w:rPr>
                <w:rFonts w:ascii="Times New Roman" w:hAnsi="Times New Roman"/>
                <w:sz w:val="24"/>
                <w:szCs w:val="24"/>
              </w:rPr>
              <w:t>4.5.1. operators Valsts vides dienesta reģionālajā vides pārvaldē (turpmāk – pārvalde) iesniedz iesniegumu, kurā pamato šo noteikumu 4.4.4.apakšpunktā minēto izņēmuma gadījuma nepieciešamību. Iesniegumā norāda zemes vienības kadastra apzīmējumu un apliecina pakaišu kūtsmēslu uzglabāšanas vietas atbilstību šo noteikumu 4.6.</w:t>
            </w:r>
            <w:r w:rsidRPr="00B073E1" w:rsidDel="00347016">
              <w:rPr>
                <w:rFonts w:ascii="Times New Roman" w:hAnsi="Times New Roman"/>
                <w:sz w:val="24"/>
                <w:szCs w:val="24"/>
              </w:rPr>
              <w:t xml:space="preserve"> </w:t>
            </w:r>
            <w:r w:rsidRPr="00B073E1">
              <w:rPr>
                <w:rFonts w:ascii="Times New Roman" w:hAnsi="Times New Roman"/>
                <w:sz w:val="24"/>
                <w:szCs w:val="24"/>
              </w:rPr>
              <w:t xml:space="preserve">apakšpunkta prasībām, un tam pievieno Lauku atbalsta dienesta lauku bloka karti (mērogā 1 : 5000 vai mērogā 1: 10 000, ne vecāka par pieciem gadiem), uz kuras atzīmē paredzamo pakaišu kūtsmēslu uzglabāšanas vietu. </w:t>
            </w:r>
            <w:r w:rsidRPr="00B073E1">
              <w:rPr>
                <w:rFonts w:ascii="Times New Roman" w:hAnsi="Times New Roman"/>
                <w:bCs/>
                <w:sz w:val="24"/>
                <w:szCs w:val="24"/>
              </w:rPr>
              <w:t xml:space="preserve"> Ja operators veic kūtsmēslu krātuves atjaunošanu vai pārbūvi, iesniegumā norāda darba izpildes laiku; </w:t>
            </w:r>
          </w:p>
          <w:p w:rsidR="00B073E1" w:rsidRPr="00B073E1" w:rsidRDefault="00B073E1" w:rsidP="00B073E1">
            <w:pPr>
              <w:pStyle w:val="Sarakstarindkopa"/>
              <w:ind w:left="34" w:firstLine="686"/>
              <w:jc w:val="both"/>
              <w:rPr>
                <w:rFonts w:ascii="Times New Roman" w:hAnsi="Times New Roman"/>
                <w:sz w:val="24"/>
                <w:szCs w:val="24"/>
              </w:rPr>
            </w:pPr>
            <w:r w:rsidRPr="00B073E1">
              <w:rPr>
                <w:rFonts w:ascii="Times New Roman" w:hAnsi="Times New Roman"/>
                <w:sz w:val="24"/>
                <w:szCs w:val="24"/>
              </w:rPr>
              <w:t xml:space="preserve">4.5.2. pārvalde, pamatojoties uz iesniegtajiem dokumentiem, saskaņo pakaišu kūtsmēslu uzglabāšanas vietu ārpus novietnes. Ja, veicot pārbaudi, valsts vides inspektors konstatē pakaišu kūtsmēslu uzglabāšanas vietas vai veida neatbilstību šo noteikumu 4.6.apakšpunkta prasībām un pārvaldes noteiktajā termiņā operators nav veicis pasākumus šo neatbilstību novēršanai, pārvalde atceļ pakaišu kūtsmēslu uzglabāšanas vietas saskaņojumu. Operatora pienākums ir aizvākt neatbilstošā vietā </w:t>
            </w:r>
            <w:r w:rsidRPr="00B073E1">
              <w:rPr>
                <w:rFonts w:ascii="Times New Roman" w:hAnsi="Times New Roman"/>
                <w:sz w:val="24"/>
                <w:szCs w:val="24"/>
              </w:rPr>
              <w:lastRenderedPageBreak/>
              <w:t>uzglabātos kūtsmēslus un nodrošināt to apsaimniekošanu atbilstoši normatīva</w:t>
            </w:r>
            <w:r>
              <w:rPr>
                <w:rFonts w:ascii="Times New Roman" w:hAnsi="Times New Roman"/>
                <w:sz w:val="24"/>
                <w:szCs w:val="24"/>
              </w:rPr>
              <w:t>jos aktos noteiktajām prasībām;”</w:t>
            </w:r>
          </w:p>
          <w:p w:rsidR="00293014" w:rsidRPr="005406A7" w:rsidRDefault="00293014" w:rsidP="00293014">
            <w:pPr>
              <w:spacing w:after="0"/>
              <w:ind w:firstLine="360"/>
              <w:jc w:val="both"/>
              <w:rPr>
                <w:color w:val="000000" w:themeColor="text1"/>
                <w:sz w:val="24"/>
                <w:szCs w:val="24"/>
              </w:rPr>
            </w:pPr>
            <w:r w:rsidRPr="00081BA6">
              <w:rPr>
                <w:rFonts w:ascii="Times New Roman" w:hAnsi="Times New Roman" w:cs="Times New Roman"/>
                <w:color w:val="000000" w:themeColor="text1"/>
                <w:sz w:val="24"/>
                <w:szCs w:val="24"/>
              </w:rPr>
              <w:t>Administratīvas izmaksas, ko rada operatoram</w:t>
            </w:r>
            <w:r w:rsidRPr="005406A7">
              <w:rPr>
                <w:rFonts w:ascii="Times New Roman" w:hAnsi="Times New Roman" w:cs="Times New Roman"/>
                <w:color w:val="000000" w:themeColor="text1"/>
                <w:sz w:val="24"/>
                <w:szCs w:val="24"/>
              </w:rPr>
              <w:t xml:space="preserve"> noteikumu projekta 13.</w:t>
            </w:r>
            <w:r w:rsidR="00FB67E1" w:rsidRPr="005406A7">
              <w:rPr>
                <w:rFonts w:ascii="Times New Roman" w:hAnsi="Times New Roman" w:cs="Times New Roman"/>
                <w:color w:val="000000" w:themeColor="text1"/>
                <w:sz w:val="24"/>
                <w:szCs w:val="24"/>
              </w:rPr>
              <w:t>p</w:t>
            </w:r>
            <w:r w:rsidRPr="005406A7">
              <w:rPr>
                <w:rFonts w:ascii="Times New Roman" w:hAnsi="Times New Roman" w:cs="Times New Roman"/>
                <w:color w:val="000000" w:themeColor="text1"/>
                <w:sz w:val="24"/>
                <w:szCs w:val="24"/>
              </w:rPr>
              <w:t>unkt</w:t>
            </w:r>
            <w:r w:rsidR="00FB67E1" w:rsidRPr="005406A7">
              <w:rPr>
                <w:rFonts w:ascii="Times New Roman" w:hAnsi="Times New Roman" w:cs="Times New Roman"/>
                <w:color w:val="000000" w:themeColor="text1"/>
                <w:sz w:val="24"/>
                <w:szCs w:val="24"/>
              </w:rPr>
              <w:t>a prasības:</w:t>
            </w:r>
          </w:p>
          <w:p w:rsidR="00293014" w:rsidRPr="005406A7" w:rsidRDefault="00293014" w:rsidP="00293014">
            <w:pPr>
              <w:spacing w:after="0"/>
              <w:ind w:firstLine="360"/>
              <w:jc w:val="both"/>
              <w:rPr>
                <w:rFonts w:ascii="Times New Roman" w:hAnsi="Times New Roman" w:cs="Times New Roman"/>
                <w:color w:val="000000" w:themeColor="text1"/>
                <w:sz w:val="24"/>
                <w:szCs w:val="24"/>
                <w:highlight w:val="cyan"/>
              </w:rPr>
            </w:pPr>
            <w:r w:rsidRPr="005406A7">
              <w:rPr>
                <w:rFonts w:ascii="Times New Roman" w:hAnsi="Times New Roman" w:cs="Times New Roman"/>
                <w:color w:val="000000" w:themeColor="text1"/>
                <w:sz w:val="24"/>
                <w:szCs w:val="24"/>
              </w:rPr>
              <w:t>„13. Operators, kurš apsaimnieko lagūnas tipa krātuvi un kurā ierīkoti urbumi vai drenāžas sistēma ar novērošanas aku, nodrošina šādas prasības:</w:t>
            </w:r>
          </w:p>
          <w:p w:rsidR="00293014" w:rsidRPr="005406A7" w:rsidRDefault="008531B1" w:rsidP="0029301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93014" w:rsidRPr="005406A7">
              <w:rPr>
                <w:rFonts w:ascii="Times New Roman" w:hAnsi="Times New Roman" w:cs="Times New Roman"/>
                <w:color w:val="000000" w:themeColor="text1"/>
                <w:sz w:val="24"/>
                <w:szCs w:val="24"/>
              </w:rPr>
              <w:t>13.1. krātuves ekspluatācijas laikā pazemes ūdeņu kvalitātes mērījumus novērošanas (monitoringa)</w:t>
            </w:r>
            <w:r w:rsidR="00293014" w:rsidRPr="005406A7">
              <w:rPr>
                <w:rFonts w:ascii="Times New Roman" w:hAnsi="Times New Roman" w:cs="Times New Roman"/>
                <w:b/>
                <w:color w:val="000000" w:themeColor="text1"/>
                <w:sz w:val="24"/>
                <w:szCs w:val="24"/>
              </w:rPr>
              <w:t xml:space="preserve"> </w:t>
            </w:r>
            <w:r w:rsidR="00293014" w:rsidRPr="005406A7">
              <w:rPr>
                <w:rFonts w:ascii="Times New Roman" w:hAnsi="Times New Roman" w:cs="Times New Roman"/>
                <w:color w:val="000000" w:themeColor="text1"/>
                <w:sz w:val="24"/>
                <w:szCs w:val="24"/>
              </w:rPr>
              <w:t>vietās veic reizi gadā pirms krātuves iztukšošanas un analīžu rezultāti mēneša laikā pēc to saņemšanas tiek iesniegti attiecīgajā reģionālajā vides pārvaldē.”</w:t>
            </w:r>
          </w:p>
          <w:p w:rsidR="00B65E4D" w:rsidRPr="005406A7" w:rsidRDefault="00293014" w:rsidP="00A119DB">
            <w:pPr>
              <w:spacing w:after="0" w:line="240" w:lineRule="auto"/>
              <w:jc w:val="both"/>
              <w:rPr>
                <w:rFonts w:ascii="Times New Roman" w:eastAsia="Times New Roman" w:hAnsi="Times New Roman" w:cs="Times New Roman"/>
                <w:color w:val="000000" w:themeColor="text1"/>
                <w:sz w:val="24"/>
                <w:szCs w:val="24"/>
                <w:lang w:eastAsia="lv-LV"/>
              </w:rPr>
            </w:pPr>
            <w:r w:rsidRPr="005406A7">
              <w:rPr>
                <w:rFonts w:ascii="Times New Roman" w:hAnsi="Times New Roman" w:cs="Times New Roman"/>
                <w:color w:val="000000" w:themeColor="text1"/>
                <w:sz w:val="24"/>
                <w:szCs w:val="24"/>
              </w:rPr>
              <w:t>13.2. pazemes ūdeņos nosaka šādus parametrus: kopējais slāpeklis (N</w:t>
            </w:r>
            <w:r w:rsidRPr="005406A7">
              <w:rPr>
                <w:rFonts w:ascii="Times New Roman" w:hAnsi="Times New Roman" w:cs="Times New Roman"/>
                <w:color w:val="000000" w:themeColor="text1"/>
                <w:sz w:val="24"/>
                <w:szCs w:val="24"/>
                <w:vertAlign w:val="subscript"/>
              </w:rPr>
              <w:t>kop.</w:t>
            </w:r>
            <w:r w:rsidRPr="005406A7">
              <w:rPr>
                <w:rFonts w:ascii="Times New Roman" w:hAnsi="Times New Roman" w:cs="Times New Roman"/>
                <w:color w:val="000000" w:themeColor="text1"/>
                <w:sz w:val="24"/>
                <w:szCs w:val="24"/>
              </w:rPr>
              <w:t>) un atsevišķie slāpekļa savienojumi (nitrāti, nitrīti un amonijs), kopējais fosfors (P</w:t>
            </w:r>
            <w:r w:rsidRPr="005406A7">
              <w:rPr>
                <w:rFonts w:ascii="Times New Roman" w:hAnsi="Times New Roman" w:cs="Times New Roman"/>
                <w:color w:val="000000" w:themeColor="text1"/>
                <w:sz w:val="24"/>
                <w:szCs w:val="24"/>
                <w:vertAlign w:val="subscript"/>
              </w:rPr>
              <w:t>kop.</w:t>
            </w:r>
            <w:r w:rsidRPr="005406A7">
              <w:rPr>
                <w:rFonts w:ascii="Times New Roman" w:hAnsi="Times New Roman" w:cs="Times New Roman"/>
                <w:color w:val="000000" w:themeColor="text1"/>
                <w:sz w:val="24"/>
                <w:szCs w:val="24"/>
              </w:rPr>
              <w:t xml:space="preserve">). Uz vietas paraugu noņemšanas laikā nosaka ūdens pH. Pazemes ūdeņu kvalitātes novērtēšanas robežlielumi noteikti noteikumos </w:t>
            </w:r>
            <w:r w:rsidRPr="005406A7">
              <w:rPr>
                <w:rFonts w:ascii="Times New Roman" w:hAnsi="Times New Roman" w:cs="Times New Roman"/>
                <w:bCs/>
                <w:color w:val="000000" w:themeColor="text1"/>
                <w:sz w:val="24"/>
                <w:szCs w:val="24"/>
              </w:rPr>
              <w:t>par virszemes un pazemes ūdeņu kvalitāti.</w:t>
            </w:r>
          </w:p>
        </w:tc>
      </w:tr>
      <w:tr w:rsidR="005406A7" w:rsidRPr="005406A7" w:rsidTr="005E1D3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E1D34" w:rsidRPr="005406A7" w:rsidRDefault="000170B1"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Nav</w:t>
            </w:r>
          </w:p>
        </w:tc>
      </w:tr>
    </w:tbl>
    <w:p w:rsidR="005E1D34" w:rsidRPr="005406A7" w:rsidRDefault="005E1D34" w:rsidP="005C4C49">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2"/>
        <w:gridCol w:w="1194"/>
        <w:gridCol w:w="1556"/>
        <w:gridCol w:w="1105"/>
        <w:gridCol w:w="1195"/>
        <w:gridCol w:w="1069"/>
      </w:tblGrid>
      <w:tr w:rsidR="005406A7" w:rsidRPr="005406A7" w:rsidTr="005E1D34">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5406A7" w:rsidRPr="005406A7" w:rsidTr="005E1D34">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E1D34" w:rsidRPr="005406A7" w:rsidRDefault="00BD1F7F"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2014</w:t>
            </w:r>
            <w:r w:rsidR="00396137" w:rsidRPr="005406A7">
              <w:rPr>
                <w:rFonts w:ascii="Times New Roman" w:eastAsia="Times New Roman" w:hAnsi="Times New Roman" w:cs="Times New Roman"/>
                <w:b/>
                <w:bCs/>
                <w:color w:val="000000" w:themeColor="text1"/>
                <w:sz w:val="24"/>
                <w:szCs w:val="24"/>
                <w:lang w:eastAsia="lv-LV"/>
              </w:rPr>
              <w:t>.</w:t>
            </w:r>
            <w:r w:rsidRPr="005406A7">
              <w:rPr>
                <w:rFonts w:ascii="Times New Roman" w:eastAsia="Times New Roman" w:hAnsi="Times New Roman" w:cs="Times New Roman"/>
                <w:b/>
                <w:bCs/>
                <w:color w:val="000000" w:themeColor="text1"/>
                <w:sz w:val="24"/>
                <w:szCs w:val="24"/>
                <w:lang w:eastAsia="lv-LV"/>
              </w:rPr>
              <w:t xml:space="preserve"> 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Turpmākie trīs gadi (</w:t>
            </w:r>
            <w:r w:rsidRPr="005406A7">
              <w:rPr>
                <w:rFonts w:ascii="Times New Roman" w:eastAsia="Times New Roman" w:hAnsi="Times New Roman" w:cs="Times New Roman"/>
                <w:i/>
                <w:iCs/>
                <w:color w:val="000000" w:themeColor="text1"/>
                <w:sz w:val="24"/>
                <w:szCs w:val="24"/>
                <w:lang w:eastAsia="lv-LV"/>
              </w:rPr>
              <w:t>euro</w:t>
            </w:r>
            <w:r w:rsidRPr="005406A7">
              <w:rPr>
                <w:rFonts w:ascii="Times New Roman" w:eastAsia="Times New Roman" w:hAnsi="Times New Roman" w:cs="Times New Roman"/>
                <w:color w:val="000000" w:themeColor="text1"/>
                <w:sz w:val="24"/>
                <w:szCs w:val="24"/>
                <w:lang w:eastAsia="lv-LV"/>
              </w:rPr>
              <w:t>)</w:t>
            </w:r>
          </w:p>
        </w:tc>
      </w:tr>
      <w:tr w:rsidR="005406A7" w:rsidRPr="005406A7" w:rsidTr="005E1D3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b/>
                <w:b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b/>
                <w:bCs/>
                <w:color w:val="000000" w:themeColor="text1"/>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p>
          <w:p w:rsidR="00FF457C" w:rsidRPr="005406A7" w:rsidRDefault="00FF457C"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p>
          <w:p w:rsidR="00FF457C" w:rsidRPr="005406A7" w:rsidRDefault="00FF457C"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1B36D4">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lv-LV"/>
              </w:rPr>
            </w:pPr>
          </w:p>
          <w:p w:rsidR="00FF457C" w:rsidRPr="005406A7" w:rsidRDefault="00FF457C" w:rsidP="001B36D4">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2017</w:t>
            </w:r>
          </w:p>
        </w:tc>
      </w:tr>
      <w:tr w:rsidR="005406A7" w:rsidRPr="005406A7" w:rsidTr="005E1D3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b/>
                <w:bCs/>
                <w:color w:val="000000" w:themeColor="text1"/>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izmaiņas, salīdzinot ar kārtējo (n) gadu</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6</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lastRenderedPageBreak/>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0</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r w:rsidR="000249E8" w:rsidRPr="005406A7">
              <w:rPr>
                <w:rFonts w:ascii="Times New Roman" w:eastAsia="Times New Roman" w:hAnsi="Times New Roman" w:cs="Times New Roman"/>
                <w:color w:val="000000" w:themeColor="text1"/>
                <w:sz w:val="24"/>
                <w:szCs w:val="24"/>
                <w:lang w:eastAsia="lv-LV"/>
              </w:rPr>
              <w:t>Nav.</w:t>
            </w: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r>
      <w:tr w:rsidR="005406A7" w:rsidRPr="005406A7" w:rsidTr="005E1D3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r>
      <w:tr w:rsidR="005406A7" w:rsidRPr="005406A7" w:rsidTr="005E1D34">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BD1F7F" w:rsidRPr="005406A7" w:rsidRDefault="00AB22F3"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Pasākumi tiks realizēti esošā budžeta ietvaros.</w:t>
            </w:r>
          </w:p>
        </w:tc>
      </w:tr>
    </w:tbl>
    <w:p w:rsidR="005E1D34" w:rsidRPr="005406A7" w:rsidRDefault="005E1D34" w:rsidP="005C4C49">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5406A7" w:rsidRPr="005406A7" w:rsidTr="005E1D3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5406A7" w:rsidRPr="005406A7" w:rsidTr="005E1D3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5E1D34" w:rsidRPr="005406A7" w:rsidRDefault="00812B7E"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Nav</w:t>
            </w:r>
          </w:p>
        </w:tc>
      </w:tr>
      <w:tr w:rsidR="005406A7" w:rsidRPr="005406A7" w:rsidTr="005E1D3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0170B1" w:rsidRPr="005406A7" w:rsidRDefault="00A64913" w:rsidP="000170B1">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Nav.</w:t>
            </w:r>
          </w:p>
          <w:p w:rsidR="005E1D34" w:rsidRPr="005406A7" w:rsidRDefault="005E1D34" w:rsidP="000170B1">
            <w:pPr>
              <w:spacing w:after="0" w:line="240" w:lineRule="auto"/>
              <w:rPr>
                <w:rFonts w:ascii="Times New Roman" w:eastAsia="Times New Roman" w:hAnsi="Times New Roman" w:cs="Times New Roman"/>
                <w:color w:val="000000" w:themeColor="text1"/>
                <w:sz w:val="24"/>
                <w:szCs w:val="24"/>
                <w:lang w:eastAsia="lv-LV"/>
              </w:rPr>
            </w:pPr>
          </w:p>
        </w:tc>
      </w:tr>
      <w:tr w:rsidR="005406A7" w:rsidRPr="005406A7" w:rsidTr="005E1D3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5E1D34" w:rsidRPr="005406A7" w:rsidRDefault="00812B7E"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Nav</w:t>
            </w:r>
          </w:p>
        </w:tc>
      </w:tr>
    </w:tbl>
    <w:p w:rsidR="005E1D34" w:rsidRPr="005406A7" w:rsidRDefault="005E1D34" w:rsidP="005C4C49">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5406A7" w:rsidRPr="005406A7" w:rsidTr="005E1D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5406A7" w:rsidRPr="005406A7" w:rsidTr="005E1D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w:t>
            </w:r>
          </w:p>
        </w:tc>
        <w:tc>
          <w:tcPr>
            <w:tcW w:w="4890" w:type="dxa"/>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0249E8" w:rsidRPr="005406A7" w:rsidRDefault="00FF457C" w:rsidP="00DB71C5">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Padomes 1991. gada 12. decembra Direktīvas 91/676/EEK attiecībā uz ūdeņu aizsardzību pret piesārņojumu ar nitrātiem, kas cēlušies no lauksaimnieciskas darbības</w:t>
            </w:r>
            <w:r w:rsidR="00D97DEF" w:rsidRPr="005406A7">
              <w:rPr>
                <w:rFonts w:ascii="Times New Roman" w:eastAsia="Times New Roman" w:hAnsi="Times New Roman" w:cs="Times New Roman"/>
                <w:color w:val="000000" w:themeColor="text1"/>
                <w:sz w:val="24"/>
                <w:szCs w:val="24"/>
                <w:lang w:eastAsia="lv-LV"/>
              </w:rPr>
              <w:t>, (turpmāk – Direktīva 91/676)</w:t>
            </w:r>
          </w:p>
        </w:tc>
      </w:tr>
      <w:tr w:rsidR="005406A7" w:rsidRPr="005406A7" w:rsidTr="005E1D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w:t>
            </w:r>
          </w:p>
        </w:tc>
        <w:tc>
          <w:tcPr>
            <w:tcW w:w="4890" w:type="dxa"/>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FF457C">
            <w:pPr>
              <w:spacing w:after="0" w:line="240" w:lineRule="auto"/>
              <w:rPr>
                <w:rFonts w:ascii="Times New Roman" w:eastAsia="Times New Roman" w:hAnsi="Times New Roman" w:cs="Times New Roman"/>
                <w:color w:val="000000" w:themeColor="text1"/>
                <w:sz w:val="24"/>
                <w:szCs w:val="24"/>
                <w:lang w:eastAsia="lv-LV"/>
              </w:rPr>
            </w:pPr>
          </w:p>
          <w:p w:rsidR="00FF457C" w:rsidRPr="005406A7" w:rsidRDefault="00FF457C" w:rsidP="00FF457C">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Projekts šo jomu neskar</w:t>
            </w:r>
          </w:p>
        </w:tc>
      </w:tr>
      <w:tr w:rsidR="005406A7" w:rsidRPr="005406A7" w:rsidTr="005E1D34">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lastRenderedPageBreak/>
              <w:t>3.</w:t>
            </w:r>
          </w:p>
        </w:tc>
        <w:tc>
          <w:tcPr>
            <w:tcW w:w="4890" w:type="dxa"/>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5E1D34" w:rsidRPr="005406A7" w:rsidRDefault="00812B7E"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Nav</w:t>
            </w:r>
          </w:p>
        </w:tc>
      </w:tr>
    </w:tbl>
    <w:p w:rsidR="005E1D34" w:rsidRPr="005406A7" w:rsidRDefault="005E1D34" w:rsidP="005C4C49">
      <w:pPr>
        <w:spacing w:after="0" w:line="240" w:lineRule="auto"/>
        <w:rPr>
          <w:rFonts w:ascii="Times New Roman" w:eastAsia="Times New Roman" w:hAnsi="Times New Roman" w:cs="Times New Roman"/>
          <w:color w:val="000000" w:themeColor="text1"/>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7"/>
        <w:gridCol w:w="300"/>
        <w:gridCol w:w="1742"/>
        <w:gridCol w:w="1292"/>
        <w:gridCol w:w="1292"/>
        <w:gridCol w:w="2478"/>
      </w:tblGrid>
      <w:tr w:rsidR="005406A7" w:rsidRPr="005406A7" w:rsidTr="005E1D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1.tabula</w:t>
            </w:r>
            <w:r w:rsidRPr="005406A7">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5406A7" w:rsidRPr="005406A7"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Attiecīgā ES tiesību akta datums, numurs un nosaukums</w:t>
            </w:r>
          </w:p>
        </w:tc>
        <w:tc>
          <w:tcPr>
            <w:tcW w:w="3850" w:type="pct"/>
            <w:gridSpan w:val="5"/>
            <w:tcBorders>
              <w:top w:val="outset" w:sz="6" w:space="0" w:color="auto"/>
              <w:left w:val="outset" w:sz="6" w:space="0" w:color="auto"/>
              <w:bottom w:val="outset" w:sz="6" w:space="0" w:color="auto"/>
              <w:right w:val="outset" w:sz="6" w:space="0" w:color="auto"/>
            </w:tcBorders>
            <w:hideMark/>
          </w:tcPr>
          <w:p w:rsidR="005E1D34" w:rsidRPr="005406A7" w:rsidRDefault="00D97DEF"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Direktīva 91/676</w:t>
            </w:r>
          </w:p>
        </w:tc>
      </w:tr>
      <w:tr w:rsidR="005406A7" w:rsidRPr="005406A7"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A</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B</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w:t>
            </w:r>
          </w:p>
        </w:tc>
        <w:tc>
          <w:tcPr>
            <w:tcW w:w="1300" w:type="pct"/>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D</w:t>
            </w:r>
          </w:p>
        </w:tc>
      </w:tr>
      <w:tr w:rsidR="005406A7" w:rsidRPr="005406A7"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hAnsi="Times New Roman" w:cs="Times New Roman"/>
                <w:b/>
                <w:bCs/>
                <w:i/>
                <w:iCs/>
                <w:color w:val="000000" w:themeColor="text1"/>
                <w:sz w:val="24"/>
                <w:szCs w:val="24"/>
              </w:rPr>
            </w:pPr>
          </w:p>
          <w:p w:rsidR="00BD1F7F" w:rsidRPr="005406A7" w:rsidRDefault="00BD1F7F"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100" w:type="pct"/>
            <w:gridSpan w:val="2"/>
            <w:tcBorders>
              <w:top w:val="outset" w:sz="6" w:space="0" w:color="auto"/>
              <w:left w:val="outset" w:sz="6" w:space="0" w:color="auto"/>
              <w:bottom w:val="outset" w:sz="6" w:space="0" w:color="auto"/>
              <w:right w:val="outset" w:sz="6" w:space="0" w:color="auto"/>
            </w:tcBorders>
            <w:hideMark/>
          </w:tcPr>
          <w:p w:rsidR="005E1D34" w:rsidRPr="005406A7" w:rsidRDefault="00BD1F7F"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gridSpan w:val="2"/>
            <w:tcBorders>
              <w:top w:val="outset" w:sz="6" w:space="0" w:color="auto"/>
              <w:left w:val="outset" w:sz="6" w:space="0" w:color="auto"/>
              <w:bottom w:val="outset" w:sz="6" w:space="0" w:color="auto"/>
              <w:right w:val="outset" w:sz="6" w:space="0" w:color="auto"/>
            </w:tcBorders>
            <w:hideMark/>
          </w:tcPr>
          <w:p w:rsidR="000249E8" w:rsidRPr="005406A7" w:rsidRDefault="000249E8" w:rsidP="00A6246F">
            <w:pPr>
              <w:spacing w:after="0" w:line="240" w:lineRule="auto"/>
              <w:rPr>
                <w:rFonts w:ascii="Times New Roman" w:hAnsi="Times New Roman" w:cs="Times New Roman"/>
                <w:color w:val="000000" w:themeColor="text1"/>
              </w:rPr>
            </w:pPr>
            <w:r w:rsidRPr="005406A7">
              <w:rPr>
                <w:rFonts w:ascii="Times New Roman" w:hAnsi="Times New Roman" w:cs="Times New Roman"/>
                <w:color w:val="000000" w:themeColor="text1"/>
              </w:rPr>
              <w:t xml:space="preserve">Informācija par to, vai šīs tabulas A ailē minētās ES tiesību akta vienības tiek pārņemtas vai ieviestas pilnībā vai daļēji. </w:t>
            </w:r>
          </w:p>
          <w:p w:rsidR="000249E8" w:rsidRPr="005406A7" w:rsidRDefault="000249E8" w:rsidP="00A6246F">
            <w:pPr>
              <w:pStyle w:val="tvhtml"/>
              <w:spacing w:before="0" w:beforeAutospacing="0" w:after="0" w:afterAutospacing="0"/>
              <w:rPr>
                <w:color w:val="000000" w:themeColor="text1"/>
              </w:rPr>
            </w:pPr>
            <w:r w:rsidRPr="005406A7">
              <w:rPr>
                <w:color w:val="000000" w:themeColor="text1"/>
              </w:rPr>
              <w:t>Ja attiecīgā ES tiesību akta vienība tiek pārņemta vai ieviesta daļēji, sniedz attiecīgu skaidrojumu, kā arī precīzi norāda, kad un kādā veidā ES tiesību akta vienība tiks pārņemta vai ieviesta pilnībā.</w:t>
            </w:r>
          </w:p>
          <w:p w:rsidR="005E1D34" w:rsidRPr="005406A7" w:rsidRDefault="000249E8"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hAnsi="Times New Roman" w:cs="Times New Roman"/>
                <w:color w:val="000000" w:themeColor="text1"/>
              </w:rPr>
              <w:t>Norāda institūciju, kas ir atbildīga par šo saistību izpildi pilnībā</w:t>
            </w:r>
          </w:p>
        </w:tc>
        <w:tc>
          <w:tcPr>
            <w:tcW w:w="1300" w:type="pct"/>
            <w:tcBorders>
              <w:top w:val="outset" w:sz="6" w:space="0" w:color="auto"/>
              <w:left w:val="outset" w:sz="6" w:space="0" w:color="auto"/>
              <w:bottom w:val="outset" w:sz="6" w:space="0" w:color="auto"/>
              <w:right w:val="outset" w:sz="6" w:space="0" w:color="auto"/>
            </w:tcBorders>
            <w:hideMark/>
          </w:tcPr>
          <w:p w:rsidR="000249E8" w:rsidRPr="005406A7" w:rsidRDefault="000249E8" w:rsidP="000249E8">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Informācija par to, vai šīs tabulas B ailē minētās projekta vienības paredz stingrākas prasības nekā šīs tabulas A ailē minētās ES tiesību akta vienības. </w:t>
            </w:r>
          </w:p>
          <w:p w:rsidR="000249E8" w:rsidRPr="005406A7" w:rsidRDefault="000249E8" w:rsidP="000249E8">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rsidR="005E1D34" w:rsidRPr="005406A7" w:rsidRDefault="000249E8"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r w:rsidR="00A6246F" w:rsidRPr="005406A7">
              <w:rPr>
                <w:rFonts w:ascii="Times New Roman" w:eastAsia="Times New Roman" w:hAnsi="Times New Roman" w:cs="Times New Roman"/>
                <w:color w:val="000000" w:themeColor="text1"/>
                <w:sz w:val="24"/>
                <w:szCs w:val="24"/>
                <w:lang w:eastAsia="lv-LV"/>
              </w:rPr>
              <w:t xml:space="preserve"> </w:t>
            </w:r>
          </w:p>
        </w:tc>
      </w:tr>
      <w:tr w:rsidR="005406A7" w:rsidRPr="005406A7" w:rsidTr="00AA7890">
        <w:trPr>
          <w:trHeight w:val="1978"/>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BD1F7F" w:rsidRPr="005406A7" w:rsidRDefault="00BD1F7F"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Direktīvas 91/67</w:t>
            </w:r>
            <w:r w:rsidR="00D97DEF" w:rsidRPr="005406A7">
              <w:rPr>
                <w:rFonts w:ascii="Times New Roman" w:eastAsia="Times New Roman" w:hAnsi="Times New Roman" w:cs="Times New Roman"/>
                <w:color w:val="000000" w:themeColor="text1"/>
                <w:sz w:val="24"/>
                <w:szCs w:val="24"/>
                <w:lang w:eastAsia="lv-LV"/>
              </w:rPr>
              <w:t>6</w:t>
            </w:r>
            <w:r w:rsidRPr="005406A7">
              <w:rPr>
                <w:rFonts w:ascii="Times New Roman" w:eastAsia="Times New Roman" w:hAnsi="Times New Roman" w:cs="Times New Roman"/>
                <w:color w:val="000000" w:themeColor="text1"/>
                <w:sz w:val="24"/>
                <w:szCs w:val="24"/>
                <w:lang w:eastAsia="lv-LV"/>
              </w:rPr>
              <w:t xml:space="preserve"> </w:t>
            </w:r>
            <w:r w:rsidR="00D97DEF" w:rsidRPr="005406A7">
              <w:rPr>
                <w:rFonts w:ascii="Times New Roman" w:eastAsia="Times New Roman" w:hAnsi="Times New Roman" w:cs="Times New Roman"/>
                <w:color w:val="000000" w:themeColor="text1"/>
                <w:sz w:val="24"/>
                <w:szCs w:val="24"/>
                <w:lang w:eastAsia="lv-LV"/>
              </w:rPr>
              <w:t xml:space="preserve">5.panta 4.punkta (a) apakšpunkts, 4.panta 1.punkta (a)apakšpunkts </w:t>
            </w:r>
            <w:r w:rsidRPr="005406A7">
              <w:rPr>
                <w:rFonts w:ascii="Times New Roman" w:eastAsia="Times New Roman" w:hAnsi="Times New Roman" w:cs="Times New Roman"/>
                <w:color w:val="000000" w:themeColor="text1"/>
                <w:sz w:val="24"/>
                <w:szCs w:val="24"/>
                <w:lang w:eastAsia="lv-LV"/>
              </w:rPr>
              <w:t>III pielikuma 1.2.apakšpunkts</w:t>
            </w:r>
            <w:r w:rsidR="00C85A2E" w:rsidRPr="005406A7">
              <w:rPr>
                <w:rFonts w:ascii="Times New Roman" w:eastAsia="Times New Roman" w:hAnsi="Times New Roman" w:cs="Times New Roman"/>
                <w:color w:val="000000" w:themeColor="text1"/>
                <w:sz w:val="24"/>
                <w:szCs w:val="24"/>
                <w:lang w:eastAsia="lv-LV"/>
              </w:rPr>
              <w:t xml:space="preserve"> un II pielikuma A.da\las 5.apakšpunkts </w:t>
            </w:r>
          </w:p>
          <w:p w:rsidR="0075520E" w:rsidRPr="005406A7" w:rsidRDefault="0075520E" w:rsidP="005E1D34">
            <w:pPr>
              <w:spacing w:after="0" w:line="240" w:lineRule="auto"/>
              <w:rPr>
                <w:rFonts w:ascii="Times New Roman" w:eastAsia="Times New Roman" w:hAnsi="Times New Roman" w:cs="Times New Roman"/>
                <w:color w:val="000000" w:themeColor="text1"/>
                <w:sz w:val="24"/>
                <w:szCs w:val="24"/>
                <w:lang w:eastAsia="lv-LV"/>
              </w:rPr>
            </w:pPr>
          </w:p>
          <w:p w:rsidR="0012502B" w:rsidRPr="005406A7" w:rsidRDefault="0012502B" w:rsidP="0075520E">
            <w:pPr>
              <w:spacing w:after="0" w:line="240" w:lineRule="auto"/>
              <w:rPr>
                <w:rFonts w:ascii="Times New Roman" w:eastAsia="Times New Roman" w:hAnsi="Times New Roman" w:cs="Times New Roman"/>
                <w:color w:val="000000" w:themeColor="text1"/>
                <w:sz w:val="24"/>
                <w:szCs w:val="24"/>
                <w:lang w:eastAsia="lv-LV"/>
              </w:rPr>
            </w:pPr>
          </w:p>
          <w:p w:rsidR="0012502B" w:rsidRPr="005406A7" w:rsidRDefault="0012502B" w:rsidP="0075520E">
            <w:pPr>
              <w:spacing w:after="0" w:line="240" w:lineRule="auto"/>
              <w:rPr>
                <w:rFonts w:ascii="Times New Roman" w:eastAsia="Times New Roman" w:hAnsi="Times New Roman" w:cs="Times New Roman"/>
                <w:color w:val="000000" w:themeColor="text1"/>
                <w:sz w:val="24"/>
                <w:szCs w:val="24"/>
                <w:lang w:eastAsia="lv-LV"/>
              </w:rPr>
            </w:pPr>
          </w:p>
          <w:p w:rsidR="0075520E" w:rsidRPr="005406A7" w:rsidRDefault="0075520E" w:rsidP="005E1D34">
            <w:pPr>
              <w:spacing w:after="0" w:line="240" w:lineRule="auto"/>
              <w:rPr>
                <w:rFonts w:ascii="Times New Roman" w:eastAsia="Times New Roman" w:hAnsi="Times New Roman" w:cs="Times New Roman"/>
                <w:color w:val="000000" w:themeColor="text1"/>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5E1D34" w:rsidRPr="005406A7" w:rsidRDefault="008402FD" w:rsidP="0075520E">
            <w:pPr>
              <w:spacing w:after="0" w:line="240" w:lineRule="auto"/>
              <w:jc w:val="both"/>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lastRenderedPageBreak/>
              <w:t>Direktīvas prasības tiek pārņemtas ar noteikumu projektu</w:t>
            </w:r>
            <w:r w:rsidR="00C85A2E" w:rsidRPr="005406A7">
              <w:rPr>
                <w:rFonts w:ascii="Times New Roman" w:eastAsia="Times New Roman" w:hAnsi="Times New Roman" w:cs="Times New Roman"/>
                <w:color w:val="000000" w:themeColor="text1"/>
                <w:sz w:val="24"/>
                <w:szCs w:val="24"/>
                <w:lang w:eastAsia="lv-LV"/>
              </w:rPr>
              <w:t>.</w:t>
            </w:r>
          </w:p>
          <w:p w:rsidR="0012502B" w:rsidRPr="005406A7" w:rsidRDefault="0012502B" w:rsidP="0075520E">
            <w:pPr>
              <w:spacing w:after="0" w:line="240" w:lineRule="auto"/>
              <w:jc w:val="both"/>
              <w:rPr>
                <w:rFonts w:ascii="Times New Roman" w:eastAsia="Times New Roman" w:hAnsi="Times New Roman" w:cs="Times New Roman"/>
                <w:color w:val="000000" w:themeColor="text1"/>
                <w:sz w:val="24"/>
                <w:szCs w:val="24"/>
                <w:lang w:eastAsia="lv-LV"/>
              </w:rPr>
            </w:pPr>
          </w:p>
          <w:p w:rsidR="0075520E" w:rsidRPr="005406A7" w:rsidRDefault="0075520E" w:rsidP="0075520E">
            <w:pPr>
              <w:spacing w:after="0" w:line="240" w:lineRule="auto"/>
              <w:jc w:val="both"/>
              <w:rPr>
                <w:rFonts w:ascii="Times New Roman" w:eastAsia="Times New Roman" w:hAnsi="Times New Roman" w:cs="Times New Roman"/>
                <w:color w:val="000000" w:themeColor="text1"/>
                <w:sz w:val="24"/>
                <w:szCs w:val="24"/>
                <w:lang w:eastAsia="lv-LV"/>
              </w:rPr>
            </w:pPr>
          </w:p>
        </w:tc>
        <w:tc>
          <w:tcPr>
            <w:tcW w:w="1400" w:type="pct"/>
            <w:gridSpan w:val="2"/>
            <w:tcBorders>
              <w:top w:val="outset" w:sz="6" w:space="0" w:color="auto"/>
              <w:left w:val="outset" w:sz="6" w:space="0" w:color="auto"/>
              <w:bottom w:val="outset" w:sz="6" w:space="0" w:color="auto"/>
              <w:right w:val="outset" w:sz="6" w:space="0" w:color="auto"/>
            </w:tcBorders>
            <w:hideMark/>
          </w:tcPr>
          <w:p w:rsidR="005E1D34" w:rsidRPr="005406A7" w:rsidRDefault="0012502B" w:rsidP="00FF457C">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Direktīvas prasības tiek pārņemtas pilnībā</w:t>
            </w:r>
          </w:p>
          <w:p w:rsidR="0012502B" w:rsidRPr="005406A7" w:rsidRDefault="0012502B" w:rsidP="00FF457C">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p>
          <w:p w:rsidR="0012502B" w:rsidRPr="005406A7" w:rsidRDefault="0012502B" w:rsidP="00FF457C">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p>
          <w:p w:rsidR="0012502B" w:rsidRPr="005406A7" w:rsidRDefault="0012502B" w:rsidP="00FF457C">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p>
        </w:tc>
        <w:tc>
          <w:tcPr>
            <w:tcW w:w="1300" w:type="pct"/>
            <w:tcBorders>
              <w:top w:val="outset" w:sz="6" w:space="0" w:color="auto"/>
              <w:left w:val="outset" w:sz="6" w:space="0" w:color="auto"/>
              <w:bottom w:val="outset" w:sz="6" w:space="0" w:color="auto"/>
              <w:right w:val="outset" w:sz="6" w:space="0" w:color="auto"/>
            </w:tcBorders>
            <w:hideMark/>
          </w:tcPr>
          <w:p w:rsidR="005E1D34" w:rsidRPr="005406A7" w:rsidRDefault="0012502B" w:rsidP="0012502B">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Noteikumu projekta vienības neparedz stingrākas prasības kā šīs  A ailē minētas ES tiesību normas</w:t>
            </w:r>
          </w:p>
          <w:p w:rsidR="0012502B" w:rsidRPr="005406A7" w:rsidRDefault="0012502B" w:rsidP="0012502B">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p>
        </w:tc>
      </w:tr>
      <w:tr w:rsidR="005406A7" w:rsidRPr="005406A7" w:rsidTr="00AA7890">
        <w:trPr>
          <w:trHeight w:val="2154"/>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AA7890" w:rsidRPr="005406A7" w:rsidRDefault="00AA7890" w:rsidP="00AA7890">
            <w:pPr>
              <w:spacing w:after="0" w:line="240" w:lineRule="auto"/>
              <w:rPr>
                <w:rFonts w:ascii="Times New Roman" w:eastAsia="Times New Roman" w:hAnsi="Times New Roman" w:cs="Times New Roman"/>
                <w:color w:val="000000" w:themeColor="text1"/>
                <w:sz w:val="24"/>
                <w:szCs w:val="24"/>
                <w:lang w:eastAsia="lv-LV"/>
              </w:rPr>
            </w:pPr>
          </w:p>
          <w:p w:rsidR="00AA7890" w:rsidRPr="005406A7" w:rsidRDefault="00AA7890" w:rsidP="00AA7890">
            <w:pPr>
              <w:spacing w:after="0" w:line="240" w:lineRule="auto"/>
              <w:rPr>
                <w:rFonts w:ascii="Times New Roman" w:eastAsia="Times New Roman" w:hAnsi="Times New Roman" w:cs="Times New Roman"/>
                <w:color w:val="000000" w:themeColor="text1"/>
                <w:sz w:val="24"/>
                <w:szCs w:val="24"/>
                <w:lang w:eastAsia="lv-LV"/>
              </w:rPr>
            </w:pPr>
          </w:p>
          <w:p w:rsidR="00AA7890" w:rsidRPr="005406A7" w:rsidRDefault="00AA7890" w:rsidP="005E1D34">
            <w:pPr>
              <w:spacing w:after="0" w:line="240" w:lineRule="auto"/>
              <w:rPr>
                <w:rFonts w:ascii="Times New Roman" w:eastAsia="Times New Roman" w:hAnsi="Times New Roman" w:cs="Times New Roman"/>
                <w:color w:val="000000" w:themeColor="text1"/>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tcPr>
          <w:p w:rsidR="00AA7890" w:rsidRPr="005406A7" w:rsidRDefault="00AA7890" w:rsidP="00AA7890">
            <w:pPr>
              <w:spacing w:after="0" w:line="240" w:lineRule="auto"/>
              <w:jc w:val="both"/>
              <w:rPr>
                <w:rFonts w:ascii="Times New Roman" w:eastAsia="Times New Roman" w:hAnsi="Times New Roman" w:cs="Times New Roman"/>
                <w:color w:val="000000" w:themeColor="text1"/>
                <w:sz w:val="24"/>
                <w:szCs w:val="24"/>
                <w:lang w:eastAsia="lv-LV"/>
              </w:rPr>
            </w:pPr>
          </w:p>
          <w:p w:rsidR="00AA7890" w:rsidRPr="005406A7" w:rsidRDefault="00AA7890" w:rsidP="0075520E">
            <w:pPr>
              <w:spacing w:after="0" w:line="240" w:lineRule="auto"/>
              <w:jc w:val="both"/>
              <w:rPr>
                <w:rFonts w:ascii="Times New Roman" w:eastAsia="Times New Roman" w:hAnsi="Times New Roman" w:cs="Times New Roman"/>
                <w:color w:val="000000" w:themeColor="text1"/>
                <w:sz w:val="24"/>
                <w:szCs w:val="24"/>
                <w:lang w:eastAsia="lv-LV"/>
              </w:rPr>
            </w:pPr>
          </w:p>
        </w:tc>
        <w:tc>
          <w:tcPr>
            <w:tcW w:w="1400" w:type="pct"/>
            <w:gridSpan w:val="2"/>
            <w:tcBorders>
              <w:top w:val="outset" w:sz="6" w:space="0" w:color="auto"/>
              <w:left w:val="outset" w:sz="6" w:space="0" w:color="auto"/>
              <w:bottom w:val="outset" w:sz="6" w:space="0" w:color="auto"/>
              <w:right w:val="outset" w:sz="6" w:space="0" w:color="auto"/>
            </w:tcBorders>
          </w:tcPr>
          <w:p w:rsidR="00AA7890" w:rsidRPr="005406A7" w:rsidRDefault="00AA7890" w:rsidP="00AA7890">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p>
        </w:tc>
        <w:tc>
          <w:tcPr>
            <w:tcW w:w="1300" w:type="pct"/>
            <w:tcBorders>
              <w:top w:val="outset" w:sz="6" w:space="0" w:color="auto"/>
              <w:left w:val="outset" w:sz="6" w:space="0" w:color="auto"/>
              <w:bottom w:val="outset" w:sz="6" w:space="0" w:color="auto"/>
              <w:right w:val="outset" w:sz="6" w:space="0" w:color="auto"/>
            </w:tcBorders>
          </w:tcPr>
          <w:p w:rsidR="00AA7890" w:rsidRPr="005406A7" w:rsidRDefault="00AA7890" w:rsidP="00AA7890">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p>
        </w:tc>
      </w:tr>
      <w:tr w:rsidR="005406A7" w:rsidRPr="005406A7"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5406A7">
              <w:rPr>
                <w:rFonts w:ascii="Times New Roman" w:eastAsia="Times New Roman" w:hAnsi="Times New Roman" w:cs="Times New Roman"/>
                <w:color w:val="000000" w:themeColor="text1"/>
                <w:sz w:val="24"/>
                <w:szCs w:val="24"/>
                <w:lang w:eastAsia="lv-LV"/>
              </w:rPr>
              <w:br/>
              <w:t>Kādēļ?</w:t>
            </w:r>
          </w:p>
        </w:tc>
        <w:tc>
          <w:tcPr>
            <w:tcW w:w="3850" w:type="pct"/>
            <w:gridSpan w:val="5"/>
            <w:tcBorders>
              <w:top w:val="outset" w:sz="6" w:space="0" w:color="auto"/>
              <w:left w:val="outset" w:sz="6" w:space="0" w:color="auto"/>
              <w:bottom w:val="outset" w:sz="6" w:space="0" w:color="auto"/>
              <w:right w:val="outset" w:sz="6" w:space="0" w:color="auto"/>
            </w:tcBorders>
            <w:hideMark/>
          </w:tcPr>
          <w:p w:rsidR="00D63B5C" w:rsidRPr="005406A7" w:rsidRDefault="00874A1F" w:rsidP="00437429">
            <w:pPr>
              <w:spacing w:after="0" w:line="240" w:lineRule="auto"/>
              <w:jc w:val="both"/>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Pamatojoties uz </w:t>
            </w:r>
            <w:r w:rsidR="00616D29" w:rsidRPr="005406A7">
              <w:rPr>
                <w:rFonts w:ascii="Times New Roman" w:eastAsia="Times New Roman" w:hAnsi="Times New Roman" w:cs="Times New Roman"/>
                <w:color w:val="000000" w:themeColor="text1"/>
                <w:sz w:val="24"/>
                <w:szCs w:val="24"/>
                <w:lang w:eastAsia="lv-LV"/>
              </w:rPr>
              <w:t xml:space="preserve">datiem par </w:t>
            </w:r>
            <w:r w:rsidRPr="005406A7">
              <w:rPr>
                <w:rFonts w:ascii="Times New Roman" w:eastAsia="Times New Roman" w:hAnsi="Times New Roman" w:cs="Times New Roman"/>
                <w:color w:val="000000" w:themeColor="text1"/>
                <w:sz w:val="24"/>
                <w:szCs w:val="24"/>
                <w:lang w:eastAsia="lv-LV"/>
              </w:rPr>
              <w:t>Latvijas klimatiskiem un meteoroloģiskiem apstākļiem,</w:t>
            </w:r>
            <w:r w:rsidR="00616D29" w:rsidRPr="005406A7">
              <w:rPr>
                <w:rFonts w:ascii="Times New Roman" w:eastAsia="Times New Roman" w:hAnsi="Times New Roman" w:cs="Times New Roman"/>
                <w:color w:val="000000" w:themeColor="text1"/>
                <w:sz w:val="24"/>
                <w:szCs w:val="24"/>
                <w:lang w:eastAsia="lv-LV"/>
              </w:rPr>
              <w:t xml:space="preserve"> kā arī </w:t>
            </w:r>
            <w:r w:rsidR="00E8259F" w:rsidRPr="005406A7">
              <w:rPr>
                <w:rFonts w:ascii="Times New Roman" w:eastAsia="Times New Roman" w:hAnsi="Times New Roman" w:cs="Times New Roman"/>
                <w:color w:val="000000" w:themeColor="text1"/>
                <w:sz w:val="24"/>
                <w:szCs w:val="24"/>
                <w:lang w:eastAsia="lv-LV"/>
              </w:rPr>
              <w:t>datiem par punktveida piesā</w:t>
            </w:r>
            <w:r w:rsidR="00616D29" w:rsidRPr="005406A7">
              <w:rPr>
                <w:rFonts w:ascii="Times New Roman" w:eastAsia="Times New Roman" w:hAnsi="Times New Roman" w:cs="Times New Roman"/>
                <w:color w:val="000000" w:themeColor="text1"/>
                <w:sz w:val="24"/>
                <w:szCs w:val="24"/>
                <w:lang w:eastAsia="lv-LV"/>
              </w:rPr>
              <w:t>rņ</w:t>
            </w:r>
            <w:r w:rsidR="00E8259F" w:rsidRPr="005406A7">
              <w:rPr>
                <w:rFonts w:ascii="Times New Roman" w:eastAsia="Times New Roman" w:hAnsi="Times New Roman" w:cs="Times New Roman"/>
                <w:color w:val="000000" w:themeColor="text1"/>
                <w:sz w:val="24"/>
                <w:szCs w:val="24"/>
                <w:lang w:eastAsia="lv-LV"/>
              </w:rPr>
              <w:t>ojumu, kas tika veikts zinātniskā pētījuma „</w:t>
            </w:r>
            <w:r w:rsidR="003C36CE" w:rsidRPr="005406A7">
              <w:rPr>
                <w:rFonts w:ascii="Times New Roman" w:eastAsia="Times New Roman" w:hAnsi="Times New Roman" w:cs="Times New Roman"/>
                <w:color w:val="000000" w:themeColor="text1"/>
                <w:sz w:val="24"/>
                <w:szCs w:val="24"/>
                <w:lang w:eastAsia="lv-LV"/>
              </w:rPr>
              <w:t>Virszemes ūdeņu un gruntsūdeņu kvalitātes pārraudzība īpaši jutīgajās teritorijās un lauksaimniecības zemēs l</w:t>
            </w:r>
            <w:r w:rsidRPr="005406A7">
              <w:rPr>
                <w:rFonts w:ascii="Times New Roman" w:eastAsia="Times New Roman" w:hAnsi="Times New Roman" w:cs="Times New Roman"/>
                <w:color w:val="000000" w:themeColor="text1"/>
                <w:sz w:val="24"/>
                <w:szCs w:val="24"/>
                <w:lang w:eastAsia="lv-LV"/>
              </w:rPr>
              <w:t>auksaimniecības noteču monitoring</w:t>
            </w:r>
            <w:r w:rsidR="003C36CE" w:rsidRPr="005406A7">
              <w:rPr>
                <w:rFonts w:ascii="Times New Roman" w:eastAsia="Times New Roman" w:hAnsi="Times New Roman" w:cs="Times New Roman"/>
                <w:color w:val="000000" w:themeColor="text1"/>
                <w:sz w:val="24"/>
                <w:szCs w:val="24"/>
                <w:lang w:eastAsia="lv-LV"/>
              </w:rPr>
              <w:t>a ietvaros”</w:t>
            </w:r>
            <w:r w:rsidR="00E8259F" w:rsidRPr="005406A7">
              <w:rPr>
                <w:rFonts w:ascii="Times New Roman" w:eastAsia="Times New Roman" w:hAnsi="Times New Roman" w:cs="Times New Roman"/>
                <w:color w:val="000000" w:themeColor="text1"/>
                <w:sz w:val="24"/>
                <w:szCs w:val="24"/>
                <w:lang w:eastAsia="lv-LV"/>
              </w:rPr>
              <w:t xml:space="preserve"> notei</w:t>
            </w:r>
            <w:r w:rsidR="00616D29" w:rsidRPr="005406A7">
              <w:rPr>
                <w:rFonts w:ascii="Times New Roman" w:eastAsia="Times New Roman" w:hAnsi="Times New Roman" w:cs="Times New Roman"/>
                <w:color w:val="000000" w:themeColor="text1"/>
                <w:sz w:val="24"/>
                <w:szCs w:val="24"/>
                <w:lang w:eastAsia="lv-LV"/>
              </w:rPr>
              <w:t>ktas</w:t>
            </w:r>
            <w:r w:rsidR="00E8259F" w:rsidRPr="005406A7">
              <w:rPr>
                <w:rFonts w:ascii="Times New Roman" w:eastAsia="Times New Roman" w:hAnsi="Times New Roman" w:cs="Times New Roman"/>
                <w:color w:val="000000" w:themeColor="text1"/>
                <w:sz w:val="24"/>
                <w:szCs w:val="24"/>
                <w:lang w:eastAsia="lv-LV"/>
              </w:rPr>
              <w:t xml:space="preserve"> prasības kūtsmēslu apsaimniekošanai. </w:t>
            </w:r>
          </w:p>
          <w:p w:rsidR="00437429" w:rsidRPr="005406A7" w:rsidRDefault="00437429" w:rsidP="00D97DEF">
            <w:pPr>
              <w:spacing w:after="0" w:line="240" w:lineRule="auto"/>
              <w:jc w:val="both"/>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Sakarā ar to, ka Latvijā vairs nav spēkā Rīcības programma</w:t>
            </w:r>
            <w:r w:rsidR="00D97DEF" w:rsidRPr="005406A7">
              <w:rPr>
                <w:rFonts w:ascii="Times New Roman" w:eastAsia="Times New Roman" w:hAnsi="Times New Roman" w:cs="Times New Roman"/>
                <w:color w:val="000000" w:themeColor="text1"/>
                <w:sz w:val="24"/>
                <w:szCs w:val="24"/>
                <w:lang w:eastAsia="lv-LV"/>
              </w:rPr>
              <w:t>,</w:t>
            </w:r>
            <w:r w:rsidRPr="005406A7">
              <w:rPr>
                <w:rFonts w:ascii="Times New Roman" w:eastAsia="Times New Roman" w:hAnsi="Times New Roman" w:cs="Times New Roman"/>
                <w:color w:val="000000" w:themeColor="text1"/>
                <w:sz w:val="24"/>
                <w:szCs w:val="24"/>
                <w:lang w:eastAsia="lv-LV"/>
              </w:rPr>
              <w:t xml:space="preserve"> </w:t>
            </w:r>
            <w:r w:rsidR="00D97DEF" w:rsidRPr="005406A7">
              <w:rPr>
                <w:rFonts w:ascii="Times New Roman" w:eastAsia="Times New Roman" w:hAnsi="Times New Roman" w:cs="Times New Roman"/>
                <w:color w:val="000000" w:themeColor="text1"/>
                <w:sz w:val="24"/>
                <w:szCs w:val="24"/>
                <w:lang w:eastAsia="lv-LV"/>
              </w:rPr>
              <w:t>Direktīva 91/676</w:t>
            </w:r>
            <w:r w:rsidRPr="005406A7">
              <w:rPr>
                <w:rFonts w:ascii="Times New Roman" w:eastAsia="Times New Roman" w:hAnsi="Times New Roman" w:cs="Times New Roman"/>
                <w:color w:val="000000" w:themeColor="text1"/>
                <w:sz w:val="24"/>
                <w:szCs w:val="24"/>
                <w:lang w:eastAsia="lv-LV"/>
              </w:rPr>
              <w:t xml:space="preserve"> Latvijā tiek pārņemta ar </w:t>
            </w:r>
            <w:r w:rsidR="00D97DEF" w:rsidRPr="005406A7">
              <w:rPr>
                <w:rFonts w:ascii="Times New Roman" w:eastAsia="Times New Roman" w:hAnsi="Times New Roman" w:cs="Times New Roman"/>
                <w:color w:val="000000" w:themeColor="text1"/>
                <w:sz w:val="24"/>
                <w:szCs w:val="24"/>
                <w:lang w:eastAsia="lv-LV"/>
              </w:rPr>
              <w:t>M</w:t>
            </w:r>
            <w:r w:rsidRPr="005406A7">
              <w:rPr>
                <w:rFonts w:ascii="Times New Roman" w:eastAsia="Times New Roman" w:hAnsi="Times New Roman" w:cs="Times New Roman"/>
                <w:color w:val="000000" w:themeColor="text1"/>
                <w:sz w:val="24"/>
                <w:szCs w:val="24"/>
                <w:lang w:eastAsia="lv-LV"/>
              </w:rPr>
              <w:t xml:space="preserve">inistru kabineta noteikumiem. </w:t>
            </w:r>
          </w:p>
        </w:tc>
      </w:tr>
      <w:tr w:rsidR="005406A7" w:rsidRPr="005406A7"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p w:rsidR="00D63B5C" w:rsidRPr="005406A7" w:rsidRDefault="00A6246F" w:rsidP="00A6246F">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w:t>
            </w:r>
            <w:r w:rsidR="00D63B5C" w:rsidRPr="005406A7">
              <w:rPr>
                <w:rFonts w:ascii="Times New Roman" w:eastAsia="Times New Roman" w:hAnsi="Times New Roman" w:cs="Times New Roman"/>
                <w:color w:val="000000" w:themeColor="text1"/>
                <w:sz w:val="24"/>
                <w:szCs w:val="24"/>
                <w:lang w:eastAsia="lv-LV"/>
              </w:rPr>
              <w:t>rojekts šo jomu neskar</w:t>
            </w:r>
            <w:r w:rsidR="0041649E" w:rsidRPr="005406A7">
              <w:rPr>
                <w:rFonts w:ascii="Times New Roman" w:eastAsia="Times New Roman" w:hAnsi="Times New Roman" w:cs="Times New Roman"/>
                <w:color w:val="000000" w:themeColor="text1"/>
                <w:sz w:val="24"/>
                <w:szCs w:val="24"/>
                <w:lang w:eastAsia="lv-LV"/>
              </w:rPr>
              <w:t>.</w:t>
            </w:r>
          </w:p>
        </w:tc>
      </w:tr>
      <w:tr w:rsidR="005406A7" w:rsidRPr="005406A7" w:rsidTr="005E1D34">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Cita informācija</w:t>
            </w:r>
          </w:p>
        </w:tc>
        <w:tc>
          <w:tcPr>
            <w:tcW w:w="3850" w:type="pct"/>
            <w:gridSpan w:val="5"/>
            <w:tcBorders>
              <w:top w:val="outset" w:sz="6" w:space="0" w:color="auto"/>
              <w:left w:val="outset" w:sz="6" w:space="0" w:color="auto"/>
              <w:bottom w:val="outset" w:sz="6" w:space="0" w:color="auto"/>
              <w:right w:val="outset" w:sz="6" w:space="0" w:color="auto"/>
            </w:tcBorders>
            <w:hideMark/>
          </w:tcPr>
          <w:p w:rsidR="005E1D34" w:rsidRPr="005406A7" w:rsidRDefault="00D97DEF" w:rsidP="00E8259F">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D</w:t>
            </w:r>
            <w:r w:rsidR="00E8259F" w:rsidRPr="005406A7">
              <w:rPr>
                <w:rFonts w:ascii="Times New Roman" w:eastAsia="Times New Roman" w:hAnsi="Times New Roman" w:cs="Times New Roman"/>
                <w:color w:val="000000" w:themeColor="text1"/>
                <w:sz w:val="24"/>
                <w:szCs w:val="24"/>
                <w:lang w:eastAsia="lv-LV"/>
              </w:rPr>
              <w:t xml:space="preserve">irektīvas </w:t>
            </w:r>
            <w:r w:rsidRPr="005406A7">
              <w:rPr>
                <w:rFonts w:ascii="Times New Roman" w:eastAsia="Times New Roman" w:hAnsi="Times New Roman" w:cs="Times New Roman"/>
                <w:color w:val="000000" w:themeColor="text1"/>
                <w:sz w:val="24"/>
                <w:szCs w:val="24"/>
                <w:lang w:eastAsia="lv-LV"/>
              </w:rPr>
              <w:t xml:space="preserve">91/676 </w:t>
            </w:r>
            <w:r w:rsidR="00E8259F" w:rsidRPr="005406A7">
              <w:rPr>
                <w:rFonts w:ascii="Times New Roman" w:eastAsia="Times New Roman" w:hAnsi="Times New Roman" w:cs="Times New Roman"/>
                <w:color w:val="000000" w:themeColor="text1"/>
                <w:sz w:val="24"/>
                <w:szCs w:val="24"/>
                <w:lang w:eastAsia="lv-LV"/>
              </w:rPr>
              <w:t>prasības  ir pārņemtas ar šobrīd spēkā esošiem MK noteikumiem Nr.33 un MK noteikumiem Nr.628</w:t>
            </w:r>
          </w:p>
        </w:tc>
      </w:tr>
      <w:tr w:rsidR="005406A7" w:rsidRPr="005406A7" w:rsidTr="005E1D34">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2.tabula</w:t>
            </w:r>
            <w:r w:rsidRPr="005406A7">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5406A7">
              <w:rPr>
                <w:rFonts w:ascii="Times New Roman" w:eastAsia="Times New Roman" w:hAnsi="Times New Roman" w:cs="Times New Roman"/>
                <w:b/>
                <w:bCs/>
                <w:color w:val="000000" w:themeColor="text1"/>
                <w:sz w:val="24"/>
                <w:szCs w:val="24"/>
                <w:lang w:eastAsia="lv-LV"/>
              </w:rPr>
              <w:br/>
              <w:t>Pasākumi šo saistību izpildei</w:t>
            </w:r>
          </w:p>
        </w:tc>
      </w:tr>
      <w:tr w:rsidR="005406A7" w:rsidRPr="005406A7"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Attiecīgā starptautiskā tiesību akta vai starptautiskas </w:t>
            </w:r>
            <w:r w:rsidRPr="005406A7">
              <w:rPr>
                <w:rFonts w:ascii="Times New Roman" w:eastAsia="Times New Roman" w:hAnsi="Times New Roman" w:cs="Times New Roman"/>
                <w:color w:val="000000" w:themeColor="text1"/>
                <w:sz w:val="24"/>
                <w:szCs w:val="24"/>
                <w:lang w:eastAsia="lv-LV"/>
              </w:rPr>
              <w:lastRenderedPageBreak/>
              <w:t>institūcijas vai organizācijas dokumenta (turpmāk – starptautiskais dokuments) datums, numurs un nosaukums</w:t>
            </w:r>
          </w:p>
        </w:tc>
        <w:tc>
          <w:tcPr>
            <w:tcW w:w="3700" w:type="pct"/>
            <w:gridSpan w:val="4"/>
            <w:tcBorders>
              <w:top w:val="outset" w:sz="6" w:space="0" w:color="auto"/>
              <w:left w:val="outset" w:sz="6" w:space="0" w:color="auto"/>
              <w:bottom w:val="outset" w:sz="6" w:space="0" w:color="auto"/>
              <w:right w:val="outset" w:sz="6" w:space="0" w:color="auto"/>
            </w:tcBorders>
            <w:hideMark/>
          </w:tcPr>
          <w:p w:rsidR="00D63B5C" w:rsidRPr="005406A7" w:rsidRDefault="00D63B5C" w:rsidP="005E1D34">
            <w:pPr>
              <w:spacing w:after="0" w:line="240" w:lineRule="auto"/>
              <w:rPr>
                <w:rFonts w:ascii="Times New Roman" w:eastAsia="Times New Roman" w:hAnsi="Times New Roman" w:cs="Times New Roman"/>
                <w:color w:val="000000" w:themeColor="text1"/>
                <w:sz w:val="24"/>
                <w:szCs w:val="24"/>
                <w:u w:val="single"/>
                <w:lang w:eastAsia="lv-LV"/>
              </w:rPr>
            </w:pPr>
          </w:p>
          <w:p w:rsidR="00662AB6" w:rsidRPr="005406A7" w:rsidRDefault="00662AB6"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Projekts šo jomu neskar.</w:t>
            </w:r>
          </w:p>
          <w:p w:rsidR="0041649E" w:rsidRPr="005406A7" w:rsidRDefault="0041649E" w:rsidP="00662AB6">
            <w:pPr>
              <w:spacing w:after="0" w:line="240" w:lineRule="auto"/>
              <w:rPr>
                <w:rFonts w:ascii="Times New Roman" w:eastAsia="Times New Roman" w:hAnsi="Times New Roman" w:cs="Times New Roman"/>
                <w:color w:val="000000" w:themeColor="text1"/>
                <w:sz w:val="24"/>
                <w:szCs w:val="24"/>
                <w:lang w:eastAsia="lv-LV"/>
              </w:rPr>
            </w:pPr>
          </w:p>
        </w:tc>
      </w:tr>
      <w:tr w:rsidR="005406A7" w:rsidRPr="005406A7"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lastRenderedPageBreak/>
              <w:t>A</w:t>
            </w:r>
          </w:p>
        </w:tc>
        <w:tc>
          <w:tcPr>
            <w:tcW w:w="1650" w:type="pct"/>
            <w:gridSpan w:val="2"/>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B</w:t>
            </w:r>
          </w:p>
        </w:tc>
        <w:tc>
          <w:tcPr>
            <w:tcW w:w="2100" w:type="pct"/>
            <w:gridSpan w:val="2"/>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w:t>
            </w:r>
          </w:p>
        </w:tc>
      </w:tr>
      <w:tr w:rsidR="005406A7" w:rsidRPr="005406A7"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Starptautiskās saistības (pēc būtības), kas izriet no norādītā starptautiskā dokumenta. </w:t>
            </w:r>
          </w:p>
          <w:p w:rsidR="005E1D34" w:rsidRPr="005406A7" w:rsidRDefault="005E1D34"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Konkrēti veicamie pasākumi vai uzdevumi, kas nepieciešami šo starptautisko saistību izpildei</w:t>
            </w:r>
          </w:p>
        </w:tc>
        <w:tc>
          <w:tcPr>
            <w:tcW w:w="1650" w:type="pct"/>
            <w:gridSpan w:val="2"/>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00" w:type="pct"/>
            <w:gridSpan w:val="2"/>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Informācija par to, vai starptautiskās saistības, kas minētas šīs tabulas A ailē, tiek izpildītas pilnībā vai daļēji. </w:t>
            </w:r>
          </w:p>
          <w:p w:rsidR="005E1D34" w:rsidRPr="005406A7" w:rsidRDefault="005E1D34"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Ja attiecīgās starptautiskās saistības tiek izpildītas daļēji, sniedz skaidrojumu, kā arī precīzi norāda, kad un kādā veidā starptautiskās saistības tiks izpildītas pilnībā.</w:t>
            </w:r>
          </w:p>
          <w:p w:rsidR="005E1D34" w:rsidRPr="005406A7" w:rsidRDefault="005E1D34"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Norāda institūciju, kas ir atbildīga par šo saistību izpildi pilnībā</w:t>
            </w:r>
          </w:p>
        </w:tc>
      </w:tr>
      <w:tr w:rsidR="005406A7" w:rsidRPr="005406A7"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p w:rsidR="00D63B5C" w:rsidRPr="005406A7" w:rsidRDefault="00D63B5C"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Projekts šo jomu neskar</w:t>
            </w:r>
          </w:p>
          <w:p w:rsidR="00A6246F" w:rsidRPr="005406A7" w:rsidRDefault="00A6246F" w:rsidP="005E1D34">
            <w:pPr>
              <w:spacing w:after="0" w:line="240" w:lineRule="auto"/>
              <w:rPr>
                <w:rFonts w:ascii="Times New Roman" w:eastAsia="Times New Roman" w:hAnsi="Times New Roman" w:cs="Times New Roman"/>
                <w:color w:val="000000" w:themeColor="text1"/>
                <w:sz w:val="24"/>
                <w:szCs w:val="24"/>
                <w:lang w:eastAsia="lv-LV"/>
              </w:rPr>
            </w:pPr>
          </w:p>
        </w:tc>
        <w:tc>
          <w:tcPr>
            <w:tcW w:w="1650" w:type="pct"/>
            <w:gridSpan w:val="2"/>
            <w:tcBorders>
              <w:top w:val="outset" w:sz="6" w:space="0" w:color="auto"/>
              <w:left w:val="outset" w:sz="6" w:space="0" w:color="auto"/>
              <w:bottom w:val="outset" w:sz="6" w:space="0" w:color="auto"/>
              <w:right w:val="outset" w:sz="6" w:space="0" w:color="auto"/>
            </w:tcBorders>
            <w:hideMark/>
          </w:tcPr>
          <w:p w:rsidR="0041649E" w:rsidRPr="005406A7" w:rsidRDefault="00D63B5C" w:rsidP="005E1D34">
            <w:pPr>
              <w:spacing w:after="0" w:line="240" w:lineRule="auto"/>
              <w:rPr>
                <w:rFonts w:ascii="Times New Roman" w:hAnsi="Times New Roman" w:cs="Times New Roman"/>
                <w:color w:val="000000" w:themeColor="text1"/>
              </w:rPr>
            </w:pPr>
            <w:r w:rsidRPr="005406A7">
              <w:rPr>
                <w:rFonts w:ascii="Times New Roman" w:hAnsi="Times New Roman" w:cs="Times New Roman"/>
                <w:color w:val="000000" w:themeColor="text1"/>
              </w:rPr>
              <w:t xml:space="preserve"> </w:t>
            </w:r>
          </w:p>
          <w:p w:rsidR="005E1D34" w:rsidRPr="005406A7" w:rsidRDefault="00D63B5C"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Projekts šo jomu neskar</w:t>
            </w:r>
            <w:r w:rsidRPr="005406A7" w:rsidDel="00D63B5C">
              <w:rPr>
                <w:rFonts w:ascii="Times New Roman" w:eastAsia="Times New Roman" w:hAnsi="Times New Roman" w:cs="Times New Roman"/>
                <w:color w:val="000000" w:themeColor="text1"/>
                <w:sz w:val="24"/>
                <w:szCs w:val="24"/>
                <w:lang w:eastAsia="lv-LV"/>
              </w:rPr>
              <w:t xml:space="preserve"> </w:t>
            </w:r>
            <w:r w:rsidR="0041649E" w:rsidRPr="005406A7">
              <w:rPr>
                <w:rFonts w:ascii="Times New Roman" w:eastAsia="Times New Roman" w:hAnsi="Times New Roman" w:cs="Times New Roman"/>
                <w:color w:val="000000" w:themeColor="text1"/>
                <w:sz w:val="24"/>
                <w:szCs w:val="24"/>
                <w:lang w:eastAsia="lv-LV"/>
              </w:rPr>
              <w:t>.</w:t>
            </w:r>
          </w:p>
        </w:tc>
        <w:tc>
          <w:tcPr>
            <w:tcW w:w="2100" w:type="pct"/>
            <w:gridSpan w:val="2"/>
            <w:tcBorders>
              <w:top w:val="outset" w:sz="6" w:space="0" w:color="auto"/>
              <w:left w:val="outset" w:sz="6" w:space="0" w:color="auto"/>
              <w:bottom w:val="outset" w:sz="6" w:space="0" w:color="auto"/>
              <w:right w:val="outset" w:sz="6" w:space="0" w:color="auto"/>
            </w:tcBorders>
            <w:hideMark/>
          </w:tcPr>
          <w:p w:rsidR="0041649E" w:rsidRPr="005406A7" w:rsidRDefault="0041649E" w:rsidP="0041649E">
            <w:pPr>
              <w:spacing w:after="0" w:line="240" w:lineRule="auto"/>
              <w:rPr>
                <w:rFonts w:ascii="Times New Roman" w:eastAsia="Times New Roman" w:hAnsi="Times New Roman" w:cs="Times New Roman"/>
                <w:color w:val="000000" w:themeColor="text1"/>
                <w:sz w:val="24"/>
                <w:szCs w:val="24"/>
                <w:lang w:eastAsia="lv-LV"/>
              </w:rPr>
            </w:pPr>
          </w:p>
          <w:p w:rsidR="00D63B5C" w:rsidRPr="005406A7" w:rsidRDefault="00D63B5C" w:rsidP="0041649E">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Projekts šo jomu neskar</w:t>
            </w:r>
            <w:r w:rsidR="0041649E" w:rsidRPr="005406A7">
              <w:rPr>
                <w:rFonts w:ascii="Times New Roman" w:eastAsia="Times New Roman" w:hAnsi="Times New Roman" w:cs="Times New Roman"/>
                <w:color w:val="000000" w:themeColor="text1"/>
                <w:sz w:val="24"/>
                <w:szCs w:val="24"/>
                <w:lang w:eastAsia="lv-LV"/>
              </w:rPr>
              <w:t>.</w:t>
            </w:r>
          </w:p>
        </w:tc>
      </w:tr>
      <w:tr w:rsidR="005406A7" w:rsidRPr="005406A7"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Vai starptautiskajā dokumentā paredzētās saistības nav pretrunā ar jau esošajām Latvijas Republikas starptautiskajām saistībām</w:t>
            </w:r>
          </w:p>
        </w:tc>
        <w:tc>
          <w:tcPr>
            <w:tcW w:w="3700" w:type="pct"/>
            <w:gridSpan w:val="4"/>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p w:rsidR="00D63B5C" w:rsidRPr="005406A7" w:rsidRDefault="00D63B5C"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Projekts šo jomu neskar</w:t>
            </w:r>
            <w:r w:rsidR="0041649E" w:rsidRPr="005406A7">
              <w:rPr>
                <w:rFonts w:ascii="Times New Roman" w:eastAsia="Times New Roman" w:hAnsi="Times New Roman" w:cs="Times New Roman"/>
                <w:color w:val="000000" w:themeColor="text1"/>
                <w:sz w:val="24"/>
                <w:szCs w:val="24"/>
                <w:lang w:eastAsia="lv-LV"/>
              </w:rPr>
              <w:t>.</w:t>
            </w:r>
          </w:p>
        </w:tc>
      </w:tr>
      <w:tr w:rsidR="005406A7" w:rsidRPr="005406A7" w:rsidTr="005E1D34">
        <w:trPr>
          <w:tblCellSpacing w:w="15" w:type="dxa"/>
          <w:jc w:val="center"/>
        </w:trPr>
        <w:tc>
          <w:tcPr>
            <w:tcW w:w="1300" w:type="pct"/>
            <w:gridSpan w:val="2"/>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Cita informācija</w:t>
            </w:r>
          </w:p>
        </w:tc>
        <w:tc>
          <w:tcPr>
            <w:tcW w:w="3700" w:type="pct"/>
            <w:gridSpan w:val="4"/>
            <w:tcBorders>
              <w:top w:val="outset" w:sz="6" w:space="0" w:color="auto"/>
              <w:left w:val="outset" w:sz="6" w:space="0" w:color="auto"/>
              <w:bottom w:val="outset" w:sz="6" w:space="0" w:color="auto"/>
              <w:right w:val="outset" w:sz="6" w:space="0" w:color="auto"/>
            </w:tcBorders>
            <w:hideMark/>
          </w:tcPr>
          <w:p w:rsidR="005E1D34" w:rsidRPr="005406A7" w:rsidRDefault="00C504FC"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Nav</w:t>
            </w:r>
          </w:p>
        </w:tc>
      </w:tr>
    </w:tbl>
    <w:p w:rsidR="005E1D34" w:rsidRPr="005406A7" w:rsidRDefault="005E1D34" w:rsidP="005C4C49">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5406A7" w:rsidRPr="005406A7" w:rsidTr="005E1D34">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5406A7" w:rsidRPr="005406A7" w:rsidTr="005E1D34">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5E1D34" w:rsidRPr="005406A7" w:rsidRDefault="00A6246F"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Noteikumu projekts tika ievietots Zemkopības ministrijas tīmekļa vietnē. </w:t>
            </w:r>
          </w:p>
          <w:p w:rsidR="00D63B5C" w:rsidRPr="005406A7" w:rsidRDefault="00D63B5C" w:rsidP="005E1D34">
            <w:pPr>
              <w:spacing w:after="0" w:line="240" w:lineRule="auto"/>
              <w:rPr>
                <w:rFonts w:ascii="Times New Roman" w:eastAsia="Times New Roman" w:hAnsi="Times New Roman" w:cs="Times New Roman"/>
                <w:color w:val="000000" w:themeColor="text1"/>
                <w:sz w:val="24"/>
                <w:szCs w:val="24"/>
                <w:lang w:eastAsia="lv-LV"/>
              </w:rPr>
            </w:pPr>
          </w:p>
        </w:tc>
      </w:tr>
      <w:tr w:rsidR="005406A7" w:rsidRPr="005406A7" w:rsidTr="005E1D34">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5E1D34" w:rsidRPr="005406A7" w:rsidRDefault="00A6246F"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Noteikumu projekts pirms izsludināšanas Valsts Sekretāru sanāksmē saskaņots ar Lauksaimnieku organizāciju sadarbības padomi un Zemnieku sa</w:t>
            </w:r>
            <w:r w:rsidR="008F68A8" w:rsidRPr="005406A7">
              <w:rPr>
                <w:rFonts w:ascii="Times New Roman" w:eastAsia="Times New Roman" w:hAnsi="Times New Roman" w:cs="Times New Roman"/>
                <w:color w:val="000000" w:themeColor="text1"/>
                <w:sz w:val="24"/>
                <w:szCs w:val="24"/>
                <w:lang w:eastAsia="lv-LV"/>
              </w:rPr>
              <w:t>e</w:t>
            </w:r>
            <w:r w:rsidRPr="005406A7">
              <w:rPr>
                <w:rFonts w:ascii="Times New Roman" w:eastAsia="Times New Roman" w:hAnsi="Times New Roman" w:cs="Times New Roman"/>
                <w:color w:val="000000" w:themeColor="text1"/>
                <w:sz w:val="24"/>
                <w:szCs w:val="24"/>
                <w:lang w:eastAsia="lv-LV"/>
              </w:rPr>
              <w:t>im</w:t>
            </w:r>
            <w:r w:rsidR="00E2594F" w:rsidRPr="005406A7">
              <w:rPr>
                <w:rFonts w:ascii="Times New Roman" w:eastAsia="Times New Roman" w:hAnsi="Times New Roman" w:cs="Times New Roman"/>
                <w:color w:val="000000" w:themeColor="text1"/>
                <w:sz w:val="24"/>
                <w:szCs w:val="24"/>
                <w:lang w:eastAsia="lv-LV"/>
              </w:rPr>
              <w:t>u</w:t>
            </w:r>
            <w:r w:rsidRPr="005406A7">
              <w:rPr>
                <w:rFonts w:ascii="Times New Roman" w:eastAsia="Times New Roman" w:hAnsi="Times New Roman" w:cs="Times New Roman"/>
                <w:color w:val="000000" w:themeColor="text1"/>
                <w:sz w:val="24"/>
                <w:szCs w:val="24"/>
                <w:lang w:eastAsia="lv-LV"/>
              </w:rPr>
              <w:t xml:space="preserve">. </w:t>
            </w:r>
          </w:p>
          <w:p w:rsidR="00A6246F" w:rsidRPr="005406A7" w:rsidRDefault="00A6246F"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Saņemts LOSP iebildums par pazemes ūdeņu kvalitāte</w:t>
            </w:r>
            <w:r w:rsidR="00E2594F" w:rsidRPr="005406A7">
              <w:rPr>
                <w:rFonts w:ascii="Times New Roman" w:eastAsia="Times New Roman" w:hAnsi="Times New Roman" w:cs="Times New Roman"/>
                <w:color w:val="000000" w:themeColor="text1"/>
                <w:sz w:val="24"/>
                <w:szCs w:val="24"/>
                <w:lang w:eastAsia="lv-LV"/>
              </w:rPr>
              <w:t>s</w:t>
            </w:r>
            <w:r w:rsidRPr="005406A7">
              <w:rPr>
                <w:rFonts w:ascii="Times New Roman" w:eastAsia="Times New Roman" w:hAnsi="Times New Roman" w:cs="Times New Roman"/>
                <w:color w:val="000000" w:themeColor="text1"/>
                <w:sz w:val="24"/>
                <w:szCs w:val="24"/>
                <w:lang w:eastAsia="lv-LV"/>
              </w:rPr>
              <w:t xml:space="preserve"> mērījumiem lagūnas tipa kūtsmēslu krātuves uzraudzībai.</w:t>
            </w:r>
          </w:p>
          <w:p w:rsidR="00D63B5C" w:rsidRPr="005406A7" w:rsidRDefault="00D63B5C" w:rsidP="005E1D34">
            <w:pPr>
              <w:spacing w:after="0" w:line="240" w:lineRule="auto"/>
              <w:rPr>
                <w:rFonts w:ascii="Times New Roman" w:eastAsia="Times New Roman" w:hAnsi="Times New Roman" w:cs="Times New Roman"/>
                <w:color w:val="000000" w:themeColor="text1"/>
                <w:sz w:val="24"/>
                <w:szCs w:val="24"/>
                <w:lang w:eastAsia="lv-LV"/>
              </w:rPr>
            </w:pPr>
          </w:p>
          <w:p w:rsidR="00D63B5C" w:rsidRPr="005406A7" w:rsidRDefault="00D63B5C" w:rsidP="005E1D34">
            <w:pPr>
              <w:spacing w:after="0" w:line="240" w:lineRule="auto"/>
              <w:rPr>
                <w:rFonts w:ascii="Times New Roman" w:eastAsia="Times New Roman" w:hAnsi="Times New Roman" w:cs="Times New Roman"/>
                <w:color w:val="000000" w:themeColor="text1"/>
                <w:sz w:val="24"/>
                <w:szCs w:val="24"/>
                <w:lang w:eastAsia="lv-LV"/>
              </w:rPr>
            </w:pPr>
          </w:p>
        </w:tc>
      </w:tr>
      <w:tr w:rsidR="005406A7" w:rsidRPr="005406A7" w:rsidTr="005E1D34">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D63B5C" w:rsidRPr="005406A7" w:rsidRDefault="00A6246F"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Nevalstisko organizāciju pārstāvju izteiktie priekšlikumi </w:t>
            </w:r>
            <w:r w:rsidR="00235581" w:rsidRPr="005406A7">
              <w:rPr>
                <w:rFonts w:ascii="Times New Roman" w:eastAsia="Times New Roman" w:hAnsi="Times New Roman" w:cs="Times New Roman"/>
                <w:color w:val="000000" w:themeColor="text1"/>
                <w:sz w:val="24"/>
                <w:szCs w:val="24"/>
                <w:lang w:eastAsia="lv-LV"/>
              </w:rPr>
              <w:t xml:space="preserve">izvērtēti un </w:t>
            </w:r>
            <w:r w:rsidRPr="005406A7">
              <w:rPr>
                <w:rFonts w:ascii="Times New Roman" w:eastAsia="Times New Roman" w:hAnsi="Times New Roman" w:cs="Times New Roman"/>
                <w:color w:val="000000" w:themeColor="text1"/>
                <w:sz w:val="24"/>
                <w:szCs w:val="24"/>
                <w:lang w:eastAsia="lv-LV"/>
              </w:rPr>
              <w:t>vērā ņemti daļēji.</w:t>
            </w:r>
          </w:p>
          <w:p w:rsidR="00D63B5C" w:rsidRPr="005406A7" w:rsidRDefault="00CC00C3" w:rsidP="00CC00C3">
            <w:pPr>
              <w:spacing w:after="0" w:line="240" w:lineRule="auto"/>
              <w:jc w:val="both"/>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olor w:val="000000" w:themeColor="text1"/>
                <w:sz w:val="24"/>
                <w:szCs w:val="24"/>
                <w:lang w:eastAsia="lv-LV"/>
              </w:rPr>
              <w:lastRenderedPageBreak/>
              <w:t xml:space="preserve">Biedrības „Latvijas ezeri” priekšlikums par pakaišu kūtsmēslu laukuma nenovietošanu meliorētās platībās ar drenām tiks izskatīts Lauksaimniecības un vides aizsardzības konsultatīvajā padomē, pieaicinot meliorācijas jomas speciālistus, ekspertus, kā arī zinātniekus, lai lemtu par minētās prasības iekļaušanu ministru kabineta noteikumos. </w:t>
            </w:r>
          </w:p>
        </w:tc>
      </w:tr>
      <w:tr w:rsidR="005406A7" w:rsidRPr="005406A7" w:rsidTr="005E1D34">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lastRenderedPageBreak/>
              <w:t>4.</w:t>
            </w:r>
          </w:p>
        </w:tc>
        <w:tc>
          <w:tcPr>
            <w:tcW w:w="15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0170B1">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Nav</w:t>
            </w:r>
          </w:p>
        </w:tc>
      </w:tr>
    </w:tbl>
    <w:p w:rsidR="005E1D34" w:rsidRPr="005406A7" w:rsidRDefault="005E1D34" w:rsidP="005C4C49">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406A7" w:rsidRPr="005406A7" w:rsidTr="005E1D3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1D34" w:rsidRPr="005406A7" w:rsidRDefault="005E1D34" w:rsidP="005E1D34">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v-LV"/>
              </w:rPr>
            </w:pPr>
            <w:r w:rsidRPr="005406A7">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5406A7" w:rsidRPr="005406A7" w:rsidTr="005E1D3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0170B1" w:rsidRPr="005406A7" w:rsidRDefault="00235581" w:rsidP="000170B1">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Noteikumu projekta izpildi nodrošinās </w:t>
            </w:r>
            <w:r w:rsidR="000170B1" w:rsidRPr="005406A7">
              <w:rPr>
                <w:rFonts w:ascii="Times New Roman" w:eastAsia="Times New Roman" w:hAnsi="Times New Roman" w:cs="Times New Roman"/>
                <w:color w:val="000000" w:themeColor="text1"/>
                <w:sz w:val="24"/>
                <w:szCs w:val="24"/>
                <w:lang w:eastAsia="lv-LV"/>
              </w:rPr>
              <w:t>Vides aizsardzības un reģionālās attīstības ministrija, Valsts vides dienests</w:t>
            </w:r>
            <w:r w:rsidRPr="005406A7">
              <w:rPr>
                <w:rFonts w:ascii="Times New Roman" w:eastAsia="Times New Roman" w:hAnsi="Times New Roman" w:cs="Times New Roman"/>
                <w:color w:val="000000" w:themeColor="text1"/>
                <w:sz w:val="24"/>
                <w:szCs w:val="24"/>
                <w:lang w:eastAsia="lv-LV"/>
              </w:rPr>
              <w:t xml:space="preserve"> un </w:t>
            </w:r>
            <w:r w:rsidR="00C504FC" w:rsidRPr="005406A7">
              <w:rPr>
                <w:rFonts w:ascii="Times New Roman" w:eastAsia="Times New Roman" w:hAnsi="Times New Roman" w:cs="Times New Roman"/>
                <w:color w:val="000000" w:themeColor="text1"/>
                <w:sz w:val="24"/>
                <w:szCs w:val="24"/>
                <w:lang w:eastAsia="lv-LV"/>
              </w:rPr>
              <w:t>Zemkopības ministrija</w:t>
            </w:r>
            <w:r w:rsidR="00E2594F" w:rsidRPr="005406A7">
              <w:rPr>
                <w:rFonts w:ascii="Times New Roman" w:eastAsia="Times New Roman" w:hAnsi="Times New Roman" w:cs="Times New Roman"/>
                <w:color w:val="000000" w:themeColor="text1"/>
                <w:sz w:val="24"/>
                <w:szCs w:val="24"/>
                <w:lang w:eastAsia="lv-LV"/>
              </w:rPr>
              <w:t>.</w:t>
            </w:r>
          </w:p>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p>
        </w:tc>
      </w:tr>
      <w:tr w:rsidR="005406A7" w:rsidRPr="005406A7" w:rsidTr="005E1D3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5E1D34" w:rsidRPr="005406A7" w:rsidRDefault="005E1D34"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5E1D34" w:rsidRPr="005406A7" w:rsidRDefault="00235581" w:rsidP="00235581">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hAnsi="Times New Roman" w:cs="Times New Roman"/>
                <w:color w:val="000000" w:themeColor="text1"/>
              </w:rPr>
              <w:t>Projekts šo jomu neskar.</w:t>
            </w:r>
          </w:p>
        </w:tc>
      </w:tr>
      <w:tr w:rsidR="005406A7" w:rsidRPr="005406A7" w:rsidTr="005E1D3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5E1D34" w:rsidRPr="005406A7" w:rsidRDefault="005E1D34" w:rsidP="005E1D34">
            <w:pPr>
              <w:spacing w:after="0"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5E1D34" w:rsidRPr="005406A7" w:rsidRDefault="00C504FC" w:rsidP="005E1D34">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5406A7">
              <w:rPr>
                <w:rFonts w:ascii="Times New Roman" w:eastAsia="Times New Roman" w:hAnsi="Times New Roman" w:cs="Times New Roman"/>
                <w:color w:val="000000" w:themeColor="text1"/>
                <w:sz w:val="24"/>
                <w:szCs w:val="24"/>
                <w:lang w:eastAsia="lv-LV"/>
              </w:rPr>
              <w:t>Nav</w:t>
            </w:r>
          </w:p>
        </w:tc>
      </w:tr>
    </w:tbl>
    <w:p w:rsidR="003B6248" w:rsidRPr="005406A7" w:rsidRDefault="003B6248">
      <w:pPr>
        <w:rPr>
          <w:rFonts w:ascii="Times New Roman" w:hAnsi="Times New Roman" w:cs="Times New Roman"/>
          <w:color w:val="000000" w:themeColor="text1"/>
        </w:rPr>
      </w:pPr>
    </w:p>
    <w:p w:rsidR="009338B4" w:rsidRPr="005406A7" w:rsidRDefault="009338B4">
      <w:pPr>
        <w:rPr>
          <w:rFonts w:ascii="Times New Roman" w:hAnsi="Times New Roman" w:cs="Times New Roman"/>
          <w:color w:val="000000" w:themeColor="text1"/>
          <w:sz w:val="28"/>
          <w:szCs w:val="28"/>
        </w:rPr>
      </w:pPr>
    </w:p>
    <w:p w:rsidR="009338B4" w:rsidRPr="005406A7" w:rsidRDefault="009338B4" w:rsidP="005406A7">
      <w:pPr>
        <w:spacing w:after="0" w:line="240" w:lineRule="auto"/>
        <w:ind w:firstLine="720"/>
        <w:rPr>
          <w:rFonts w:ascii="Times New Roman" w:hAnsi="Times New Roman" w:cs="Times New Roman"/>
          <w:color w:val="000000" w:themeColor="text1"/>
          <w:sz w:val="28"/>
          <w:szCs w:val="28"/>
        </w:rPr>
      </w:pPr>
    </w:p>
    <w:p w:rsidR="005406A7" w:rsidRDefault="00235581" w:rsidP="005406A7">
      <w:pPr>
        <w:spacing w:after="0" w:line="240" w:lineRule="auto"/>
        <w:ind w:firstLine="720"/>
        <w:rPr>
          <w:rFonts w:ascii="Times New Roman" w:hAnsi="Times New Roman" w:cs="Times New Roman"/>
          <w:color w:val="000000" w:themeColor="text1"/>
          <w:sz w:val="28"/>
          <w:szCs w:val="28"/>
        </w:rPr>
      </w:pPr>
      <w:r w:rsidRPr="005406A7">
        <w:rPr>
          <w:rFonts w:ascii="Times New Roman" w:hAnsi="Times New Roman" w:cs="Times New Roman"/>
          <w:color w:val="000000" w:themeColor="text1"/>
          <w:sz w:val="28"/>
          <w:szCs w:val="28"/>
        </w:rPr>
        <w:t xml:space="preserve">Zemkopības ministrs </w:t>
      </w:r>
      <w:r w:rsidRPr="005406A7">
        <w:rPr>
          <w:rFonts w:ascii="Times New Roman" w:hAnsi="Times New Roman" w:cs="Times New Roman"/>
          <w:color w:val="000000" w:themeColor="text1"/>
          <w:sz w:val="28"/>
          <w:szCs w:val="28"/>
        </w:rPr>
        <w:tab/>
      </w:r>
      <w:r w:rsidRPr="005406A7">
        <w:rPr>
          <w:rFonts w:ascii="Times New Roman" w:hAnsi="Times New Roman" w:cs="Times New Roman"/>
          <w:color w:val="000000" w:themeColor="text1"/>
          <w:sz w:val="28"/>
          <w:szCs w:val="28"/>
        </w:rPr>
        <w:tab/>
      </w:r>
      <w:r w:rsidRPr="005406A7">
        <w:rPr>
          <w:rFonts w:ascii="Times New Roman" w:hAnsi="Times New Roman" w:cs="Times New Roman"/>
          <w:color w:val="000000" w:themeColor="text1"/>
          <w:sz w:val="28"/>
          <w:szCs w:val="28"/>
        </w:rPr>
        <w:tab/>
      </w:r>
      <w:r w:rsidRPr="005406A7">
        <w:rPr>
          <w:rFonts w:ascii="Times New Roman" w:hAnsi="Times New Roman" w:cs="Times New Roman"/>
          <w:color w:val="000000" w:themeColor="text1"/>
          <w:sz w:val="28"/>
          <w:szCs w:val="28"/>
        </w:rPr>
        <w:tab/>
      </w:r>
      <w:r w:rsidRPr="005406A7">
        <w:rPr>
          <w:rFonts w:ascii="Times New Roman" w:hAnsi="Times New Roman" w:cs="Times New Roman"/>
          <w:color w:val="000000" w:themeColor="text1"/>
          <w:sz w:val="28"/>
          <w:szCs w:val="28"/>
        </w:rPr>
        <w:tab/>
      </w:r>
      <w:r w:rsidRPr="005406A7">
        <w:rPr>
          <w:rFonts w:ascii="Times New Roman" w:hAnsi="Times New Roman" w:cs="Times New Roman"/>
          <w:color w:val="000000" w:themeColor="text1"/>
          <w:sz w:val="28"/>
          <w:szCs w:val="28"/>
        </w:rPr>
        <w:tab/>
        <w:t xml:space="preserve">J.Dūklavs </w:t>
      </w:r>
    </w:p>
    <w:p w:rsidR="005406A7" w:rsidRPr="005406A7" w:rsidRDefault="005406A7" w:rsidP="005406A7">
      <w:pPr>
        <w:spacing w:after="0" w:line="240" w:lineRule="auto"/>
        <w:ind w:firstLine="720"/>
        <w:rPr>
          <w:rFonts w:ascii="Times New Roman" w:hAnsi="Times New Roman" w:cs="Times New Roman"/>
          <w:sz w:val="28"/>
          <w:szCs w:val="28"/>
        </w:rPr>
      </w:pPr>
    </w:p>
    <w:p w:rsidR="005406A7" w:rsidRPr="005406A7" w:rsidRDefault="005406A7" w:rsidP="005406A7">
      <w:pPr>
        <w:rPr>
          <w:rFonts w:ascii="Times New Roman" w:hAnsi="Times New Roman" w:cs="Times New Roman"/>
          <w:sz w:val="28"/>
          <w:szCs w:val="28"/>
        </w:rPr>
      </w:pPr>
    </w:p>
    <w:p w:rsidR="005406A7" w:rsidRPr="005406A7" w:rsidRDefault="005406A7" w:rsidP="005406A7">
      <w:pPr>
        <w:rPr>
          <w:rFonts w:ascii="Times New Roman" w:hAnsi="Times New Roman" w:cs="Times New Roman"/>
          <w:sz w:val="28"/>
          <w:szCs w:val="28"/>
        </w:rPr>
      </w:pPr>
    </w:p>
    <w:p w:rsidR="005406A7" w:rsidRPr="005406A7" w:rsidRDefault="005406A7" w:rsidP="005406A7">
      <w:pPr>
        <w:rPr>
          <w:rFonts w:ascii="Times New Roman" w:hAnsi="Times New Roman" w:cs="Times New Roman"/>
          <w:sz w:val="28"/>
          <w:szCs w:val="28"/>
        </w:rPr>
      </w:pPr>
    </w:p>
    <w:p w:rsidR="005406A7" w:rsidRPr="005406A7" w:rsidRDefault="005406A7" w:rsidP="005406A7">
      <w:pPr>
        <w:rPr>
          <w:rFonts w:ascii="Times New Roman" w:hAnsi="Times New Roman" w:cs="Times New Roman"/>
          <w:sz w:val="28"/>
          <w:szCs w:val="28"/>
        </w:rPr>
      </w:pPr>
    </w:p>
    <w:p w:rsidR="005406A7" w:rsidRDefault="005406A7" w:rsidP="005406A7">
      <w:pPr>
        <w:rPr>
          <w:rFonts w:ascii="Times New Roman" w:hAnsi="Times New Roman" w:cs="Times New Roman"/>
          <w:sz w:val="28"/>
          <w:szCs w:val="28"/>
        </w:rPr>
      </w:pPr>
    </w:p>
    <w:p w:rsidR="005406A7" w:rsidRDefault="005406A7" w:rsidP="005406A7">
      <w:pPr>
        <w:rPr>
          <w:rFonts w:ascii="Times New Roman" w:hAnsi="Times New Roman" w:cs="Times New Roman"/>
          <w:sz w:val="28"/>
          <w:szCs w:val="28"/>
        </w:rPr>
      </w:pPr>
    </w:p>
    <w:p w:rsidR="005C4C49" w:rsidRDefault="005C4C49" w:rsidP="005406A7">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18.12.2014. 12:04</w:t>
      </w:r>
    </w:p>
    <w:p w:rsidR="005406A7" w:rsidRDefault="005406A7" w:rsidP="005406A7">
      <w:pPr>
        <w:spacing w:after="0" w:line="240" w:lineRule="auto"/>
        <w:rPr>
          <w:rFonts w:ascii="Times New Roman" w:hAnsi="Times New Roman" w:cs="Times New Roman"/>
          <w:color w:val="000000" w:themeColor="text1"/>
          <w:sz w:val="20"/>
          <w:szCs w:val="20"/>
        </w:rPr>
      </w:pPr>
      <w:r w:rsidRPr="00D67A8C">
        <w:rPr>
          <w:rFonts w:ascii="Times New Roman" w:hAnsi="Times New Roman" w:cs="Times New Roman"/>
          <w:color w:val="000000" w:themeColor="text1"/>
          <w:sz w:val="20"/>
          <w:szCs w:val="20"/>
        </w:rPr>
        <w:t>Ļ.Tralmaka</w:t>
      </w:r>
    </w:p>
    <w:p w:rsidR="005C4C49" w:rsidRDefault="005C4C49" w:rsidP="005406A7">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2992</w:t>
      </w:r>
      <w:r>
        <w:rPr>
          <w:rFonts w:ascii="Times New Roman" w:hAnsi="Times New Roman" w:cs="Times New Roman"/>
          <w:sz w:val="20"/>
          <w:szCs w:val="20"/>
        </w:rPr>
        <w:fldChar w:fldCharType="end"/>
      </w:r>
    </w:p>
    <w:p w:rsidR="005406A7" w:rsidRPr="00D67A8C" w:rsidRDefault="005406A7" w:rsidP="005406A7">
      <w:pPr>
        <w:spacing w:after="0" w:line="240" w:lineRule="auto"/>
        <w:rPr>
          <w:rFonts w:ascii="Times New Roman" w:hAnsi="Times New Roman" w:cs="Times New Roman"/>
          <w:color w:val="000000" w:themeColor="text1"/>
          <w:sz w:val="20"/>
          <w:szCs w:val="20"/>
        </w:rPr>
      </w:pPr>
      <w:bookmarkStart w:id="0" w:name="_GoBack"/>
      <w:bookmarkEnd w:id="0"/>
      <w:r w:rsidRPr="00D67A8C">
        <w:rPr>
          <w:rFonts w:ascii="Times New Roman" w:hAnsi="Times New Roman" w:cs="Times New Roman"/>
          <w:color w:val="000000" w:themeColor="text1"/>
          <w:sz w:val="20"/>
          <w:szCs w:val="20"/>
        </w:rPr>
        <w:t>67027683</w:t>
      </w:r>
      <w:r w:rsidRPr="00D67A8C">
        <w:rPr>
          <w:rFonts w:ascii="Times New Roman" w:hAnsi="Times New Roman" w:cs="Times New Roman"/>
          <w:color w:val="000000" w:themeColor="text1"/>
          <w:sz w:val="20"/>
          <w:szCs w:val="20"/>
        </w:rPr>
        <w:fldChar w:fldCharType="begin"/>
      </w:r>
      <w:r w:rsidRPr="00D67A8C">
        <w:rPr>
          <w:rFonts w:ascii="Times New Roman" w:hAnsi="Times New Roman" w:cs="Times New Roman"/>
          <w:color w:val="000000" w:themeColor="text1"/>
          <w:sz w:val="20"/>
          <w:szCs w:val="20"/>
        </w:rPr>
        <w:instrText xml:space="preserve"> NUMWORDS   \* MERGEFORMAT </w:instrText>
      </w:r>
      <w:r w:rsidRPr="00D67A8C">
        <w:rPr>
          <w:rFonts w:ascii="Times New Roman" w:hAnsi="Times New Roman" w:cs="Times New Roman"/>
          <w:color w:val="000000" w:themeColor="text1"/>
          <w:sz w:val="20"/>
          <w:szCs w:val="20"/>
        </w:rPr>
        <w:fldChar w:fldCharType="end"/>
      </w:r>
      <w:r w:rsidRPr="00D67A8C">
        <w:rPr>
          <w:rFonts w:ascii="Times New Roman" w:hAnsi="Times New Roman" w:cs="Times New Roman"/>
          <w:color w:val="000000" w:themeColor="text1"/>
          <w:sz w:val="20"/>
          <w:szCs w:val="20"/>
        </w:rPr>
        <w:t>, Lubova.Tralmaka@zm.gov.lv</w:t>
      </w:r>
    </w:p>
    <w:p w:rsidR="00235581" w:rsidRPr="005406A7" w:rsidRDefault="00235581" w:rsidP="005406A7">
      <w:pPr>
        <w:rPr>
          <w:rFonts w:ascii="Times New Roman" w:hAnsi="Times New Roman" w:cs="Times New Roman"/>
          <w:sz w:val="28"/>
          <w:szCs w:val="28"/>
        </w:rPr>
      </w:pPr>
    </w:p>
    <w:sectPr w:rsidR="00235581" w:rsidRPr="005406A7" w:rsidSect="005406A7">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57" w:rsidRDefault="00812157" w:rsidP="009338B4">
      <w:pPr>
        <w:spacing w:after="0" w:line="240" w:lineRule="auto"/>
      </w:pPr>
      <w:r>
        <w:separator/>
      </w:r>
    </w:p>
  </w:endnote>
  <w:endnote w:type="continuationSeparator" w:id="0">
    <w:p w:rsidR="00812157" w:rsidRDefault="00812157" w:rsidP="0093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49" w:rsidRPr="005406A7" w:rsidRDefault="005C4C49" w:rsidP="005C4C49">
    <w:pPr>
      <w:pStyle w:val="Kjene"/>
      <w:jc w:val="both"/>
      <w:rPr>
        <w:rFonts w:ascii="Times New Roman" w:hAnsi="Times New Roman" w:cs="Times New Roman"/>
        <w:sz w:val="20"/>
        <w:szCs w:val="20"/>
      </w:rPr>
    </w:pPr>
    <w:r>
      <w:rPr>
        <w:rFonts w:ascii="Times New Roman" w:hAnsi="Times New Roman" w:cs="Times New Roman"/>
        <w:sz w:val="20"/>
        <w:szCs w:val="20"/>
      </w:rPr>
      <w:t>ZMAnot_17121</w:t>
    </w:r>
    <w:r w:rsidRPr="005406A7">
      <w:rPr>
        <w:rFonts w:ascii="Times New Roman" w:hAnsi="Times New Roman" w:cs="Times New Roman"/>
        <w:sz w:val="20"/>
        <w:szCs w:val="20"/>
      </w:rPr>
      <w:t>4; Noteikumu projekts „Īpašās prasības piesārņojošo darbību veikšanai dzīvnieku novietnēs”</w:t>
    </w:r>
    <w:r w:rsidRPr="005406A7">
      <w:rPr>
        <w:rFonts w:ascii="Times New Roman" w:hAnsi="Times New Roman" w:cs="Times New Roman"/>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A7" w:rsidRPr="005406A7" w:rsidRDefault="005C4C49" w:rsidP="005406A7">
    <w:pPr>
      <w:pStyle w:val="Kjene"/>
      <w:jc w:val="both"/>
      <w:rPr>
        <w:rFonts w:ascii="Times New Roman" w:hAnsi="Times New Roman" w:cs="Times New Roman"/>
        <w:sz w:val="20"/>
        <w:szCs w:val="20"/>
      </w:rPr>
    </w:pPr>
    <w:r>
      <w:rPr>
        <w:rFonts w:ascii="Times New Roman" w:hAnsi="Times New Roman" w:cs="Times New Roman"/>
        <w:sz w:val="20"/>
        <w:szCs w:val="20"/>
      </w:rPr>
      <w:t>ZMAnot_17</w:t>
    </w:r>
    <w:r w:rsidR="00A32907">
      <w:rPr>
        <w:rFonts w:ascii="Times New Roman" w:hAnsi="Times New Roman" w:cs="Times New Roman"/>
        <w:sz w:val="20"/>
        <w:szCs w:val="20"/>
      </w:rPr>
      <w:t>121</w:t>
    </w:r>
    <w:r w:rsidR="005406A7" w:rsidRPr="005406A7">
      <w:rPr>
        <w:rFonts w:ascii="Times New Roman" w:hAnsi="Times New Roman" w:cs="Times New Roman"/>
        <w:sz w:val="20"/>
        <w:szCs w:val="20"/>
      </w:rPr>
      <w:t>4; Noteikumu projekts „Īpašās prasības piesārņojošo darbību veikšanai dzīvnieku novietnēs”</w:t>
    </w:r>
    <w:r w:rsidR="005406A7" w:rsidRPr="005406A7">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57" w:rsidRDefault="00812157" w:rsidP="009338B4">
      <w:pPr>
        <w:spacing w:after="0" w:line="240" w:lineRule="auto"/>
      </w:pPr>
      <w:r>
        <w:separator/>
      </w:r>
    </w:p>
  </w:footnote>
  <w:footnote w:type="continuationSeparator" w:id="0">
    <w:p w:rsidR="00812157" w:rsidRDefault="00812157" w:rsidP="00933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8273286"/>
      <w:docPartObj>
        <w:docPartGallery w:val="Page Numbers (Top of Page)"/>
        <w:docPartUnique/>
      </w:docPartObj>
    </w:sdtPr>
    <w:sdtEndPr/>
    <w:sdtContent>
      <w:p w:rsidR="005406A7" w:rsidRPr="005406A7" w:rsidRDefault="005406A7">
        <w:pPr>
          <w:pStyle w:val="Galvene"/>
          <w:jc w:val="center"/>
          <w:rPr>
            <w:rFonts w:ascii="Times New Roman" w:hAnsi="Times New Roman" w:cs="Times New Roman"/>
            <w:sz w:val="24"/>
            <w:szCs w:val="24"/>
          </w:rPr>
        </w:pPr>
        <w:r w:rsidRPr="005406A7">
          <w:rPr>
            <w:rFonts w:ascii="Times New Roman" w:hAnsi="Times New Roman" w:cs="Times New Roman"/>
            <w:sz w:val="24"/>
            <w:szCs w:val="24"/>
          </w:rPr>
          <w:fldChar w:fldCharType="begin"/>
        </w:r>
        <w:r w:rsidRPr="005406A7">
          <w:rPr>
            <w:rFonts w:ascii="Times New Roman" w:hAnsi="Times New Roman" w:cs="Times New Roman"/>
            <w:sz w:val="24"/>
            <w:szCs w:val="24"/>
          </w:rPr>
          <w:instrText>PAGE   \* MERGEFORMAT</w:instrText>
        </w:r>
        <w:r w:rsidRPr="005406A7">
          <w:rPr>
            <w:rFonts w:ascii="Times New Roman" w:hAnsi="Times New Roman" w:cs="Times New Roman"/>
            <w:sz w:val="24"/>
            <w:szCs w:val="24"/>
          </w:rPr>
          <w:fldChar w:fldCharType="separate"/>
        </w:r>
        <w:r w:rsidR="005C4C49">
          <w:rPr>
            <w:rFonts w:ascii="Times New Roman" w:hAnsi="Times New Roman" w:cs="Times New Roman"/>
            <w:noProof/>
            <w:sz w:val="24"/>
            <w:szCs w:val="24"/>
          </w:rPr>
          <w:t>11</w:t>
        </w:r>
        <w:r w:rsidRPr="005406A7">
          <w:rPr>
            <w:rFonts w:ascii="Times New Roman" w:hAnsi="Times New Roman" w:cs="Times New Roman"/>
            <w:sz w:val="24"/>
            <w:szCs w:val="24"/>
          </w:rPr>
          <w:fldChar w:fldCharType="end"/>
        </w:r>
      </w:p>
    </w:sdtContent>
  </w:sdt>
  <w:p w:rsidR="005406A7" w:rsidRPr="005406A7" w:rsidRDefault="005406A7">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1926"/>
    <w:multiLevelType w:val="hybridMultilevel"/>
    <w:tmpl w:val="0BDE827A"/>
    <w:lvl w:ilvl="0" w:tplc="0A6E93D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96D2C42"/>
    <w:multiLevelType w:val="hybridMultilevel"/>
    <w:tmpl w:val="C13EFAF2"/>
    <w:lvl w:ilvl="0" w:tplc="6F8A5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F76232D"/>
    <w:multiLevelType w:val="hybridMultilevel"/>
    <w:tmpl w:val="A6105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C3387F"/>
    <w:multiLevelType w:val="hybridMultilevel"/>
    <w:tmpl w:val="3FE4790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0C0475"/>
    <w:multiLevelType w:val="hybridMultilevel"/>
    <w:tmpl w:val="80D03E3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6B9718E"/>
    <w:multiLevelType w:val="hybridMultilevel"/>
    <w:tmpl w:val="80D03E3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34"/>
    <w:rsid w:val="000170B1"/>
    <w:rsid w:val="00022F5F"/>
    <w:rsid w:val="000249E8"/>
    <w:rsid w:val="00032795"/>
    <w:rsid w:val="00033A20"/>
    <w:rsid w:val="00066385"/>
    <w:rsid w:val="00070893"/>
    <w:rsid w:val="00081BA6"/>
    <w:rsid w:val="000866D1"/>
    <w:rsid w:val="00100F82"/>
    <w:rsid w:val="00120081"/>
    <w:rsid w:val="0012502B"/>
    <w:rsid w:val="00180505"/>
    <w:rsid w:val="001A701D"/>
    <w:rsid w:val="001B36D4"/>
    <w:rsid w:val="001D67BA"/>
    <w:rsid w:val="00200D29"/>
    <w:rsid w:val="00235581"/>
    <w:rsid w:val="002834E1"/>
    <w:rsid w:val="00293014"/>
    <w:rsid w:val="002C5F26"/>
    <w:rsid w:val="002D46AF"/>
    <w:rsid w:val="0031323B"/>
    <w:rsid w:val="00326E7D"/>
    <w:rsid w:val="00333444"/>
    <w:rsid w:val="00337FEF"/>
    <w:rsid w:val="0038425E"/>
    <w:rsid w:val="00396137"/>
    <w:rsid w:val="0039794B"/>
    <w:rsid w:val="003B6248"/>
    <w:rsid w:val="003C23D2"/>
    <w:rsid w:val="003C36CE"/>
    <w:rsid w:val="003D02EC"/>
    <w:rsid w:val="003D043B"/>
    <w:rsid w:val="003F1C6C"/>
    <w:rsid w:val="003F437A"/>
    <w:rsid w:val="0041649E"/>
    <w:rsid w:val="00437429"/>
    <w:rsid w:val="00476771"/>
    <w:rsid w:val="00476B2E"/>
    <w:rsid w:val="0050123C"/>
    <w:rsid w:val="005406A7"/>
    <w:rsid w:val="005949C1"/>
    <w:rsid w:val="005C4C49"/>
    <w:rsid w:val="005C6413"/>
    <w:rsid w:val="005D7967"/>
    <w:rsid w:val="005E1149"/>
    <w:rsid w:val="005E1D34"/>
    <w:rsid w:val="00607A23"/>
    <w:rsid w:val="00616D29"/>
    <w:rsid w:val="006414A6"/>
    <w:rsid w:val="00662AB6"/>
    <w:rsid w:val="006B4131"/>
    <w:rsid w:val="006B6EA6"/>
    <w:rsid w:val="006C2E15"/>
    <w:rsid w:val="006D7683"/>
    <w:rsid w:val="006F1637"/>
    <w:rsid w:val="007101B0"/>
    <w:rsid w:val="00715DA9"/>
    <w:rsid w:val="0075520E"/>
    <w:rsid w:val="00755342"/>
    <w:rsid w:val="00757E8C"/>
    <w:rsid w:val="00776F20"/>
    <w:rsid w:val="007C714D"/>
    <w:rsid w:val="007D7576"/>
    <w:rsid w:val="00812157"/>
    <w:rsid w:val="00812B7E"/>
    <w:rsid w:val="0081743B"/>
    <w:rsid w:val="00831C3B"/>
    <w:rsid w:val="00835B36"/>
    <w:rsid w:val="008402FD"/>
    <w:rsid w:val="00850F62"/>
    <w:rsid w:val="00851D0B"/>
    <w:rsid w:val="008531B1"/>
    <w:rsid w:val="0085527F"/>
    <w:rsid w:val="00874A1F"/>
    <w:rsid w:val="008807BA"/>
    <w:rsid w:val="00882417"/>
    <w:rsid w:val="008D4047"/>
    <w:rsid w:val="008F0D0A"/>
    <w:rsid w:val="008F68A8"/>
    <w:rsid w:val="009309BD"/>
    <w:rsid w:val="00932C19"/>
    <w:rsid w:val="009338B4"/>
    <w:rsid w:val="00945E07"/>
    <w:rsid w:val="00992DD8"/>
    <w:rsid w:val="009D1356"/>
    <w:rsid w:val="00A119DB"/>
    <w:rsid w:val="00A15BEE"/>
    <w:rsid w:val="00A26E55"/>
    <w:rsid w:val="00A32907"/>
    <w:rsid w:val="00A51328"/>
    <w:rsid w:val="00A6246F"/>
    <w:rsid w:val="00A64913"/>
    <w:rsid w:val="00A855F6"/>
    <w:rsid w:val="00AA7890"/>
    <w:rsid w:val="00AB22F3"/>
    <w:rsid w:val="00AC16D4"/>
    <w:rsid w:val="00B073E1"/>
    <w:rsid w:val="00B1047C"/>
    <w:rsid w:val="00B243CE"/>
    <w:rsid w:val="00B507E5"/>
    <w:rsid w:val="00B539E6"/>
    <w:rsid w:val="00B65E4D"/>
    <w:rsid w:val="00BD1F7F"/>
    <w:rsid w:val="00C01BBA"/>
    <w:rsid w:val="00C07E74"/>
    <w:rsid w:val="00C12EC7"/>
    <w:rsid w:val="00C34986"/>
    <w:rsid w:val="00C41F63"/>
    <w:rsid w:val="00C504FC"/>
    <w:rsid w:val="00C541ED"/>
    <w:rsid w:val="00C66C1B"/>
    <w:rsid w:val="00C85A2E"/>
    <w:rsid w:val="00C928A1"/>
    <w:rsid w:val="00CC00C3"/>
    <w:rsid w:val="00CC363C"/>
    <w:rsid w:val="00CF5E04"/>
    <w:rsid w:val="00D1120E"/>
    <w:rsid w:val="00D272EA"/>
    <w:rsid w:val="00D33B8C"/>
    <w:rsid w:val="00D41DBC"/>
    <w:rsid w:val="00D475EA"/>
    <w:rsid w:val="00D51B76"/>
    <w:rsid w:val="00D63B5C"/>
    <w:rsid w:val="00D97DEF"/>
    <w:rsid w:val="00DA1D91"/>
    <w:rsid w:val="00DB01EA"/>
    <w:rsid w:val="00DB191D"/>
    <w:rsid w:val="00DB71C5"/>
    <w:rsid w:val="00DD2D08"/>
    <w:rsid w:val="00E0559F"/>
    <w:rsid w:val="00E2594F"/>
    <w:rsid w:val="00E474F4"/>
    <w:rsid w:val="00E5130D"/>
    <w:rsid w:val="00E54E6E"/>
    <w:rsid w:val="00E67740"/>
    <w:rsid w:val="00E8259F"/>
    <w:rsid w:val="00E91F85"/>
    <w:rsid w:val="00E93096"/>
    <w:rsid w:val="00F00290"/>
    <w:rsid w:val="00F40571"/>
    <w:rsid w:val="00F44C8B"/>
    <w:rsid w:val="00F812C3"/>
    <w:rsid w:val="00FB67E1"/>
    <w:rsid w:val="00FD2116"/>
    <w:rsid w:val="00FE26DF"/>
    <w:rsid w:val="00FF4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03DDCCF6-2709-4F2F-8B37-DA9D70B0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5E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E1D34"/>
    <w:rPr>
      <w:color w:val="0000FF"/>
      <w:u w:val="single"/>
    </w:rPr>
  </w:style>
  <w:style w:type="paragraph" w:customStyle="1" w:styleId="tvhtml">
    <w:name w:val="tv_html"/>
    <w:basedOn w:val="Parasts"/>
    <w:rsid w:val="005E1D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Parasts"/>
    <w:rsid w:val="005949C1"/>
    <w:pPr>
      <w:spacing w:after="567" w:line="360" w:lineRule="auto"/>
      <w:jc w:val="center"/>
    </w:pPr>
    <w:rPr>
      <w:rFonts w:ascii="Verdana" w:eastAsia="Times New Roman" w:hAnsi="Verdana" w:cs="Times New Roman"/>
      <w:b/>
      <w:bCs/>
      <w:sz w:val="28"/>
      <w:szCs w:val="28"/>
      <w:lang w:eastAsia="lv-LV"/>
    </w:rPr>
  </w:style>
  <w:style w:type="paragraph" w:customStyle="1" w:styleId="tv2131">
    <w:name w:val="tv2131"/>
    <w:basedOn w:val="Parasts"/>
    <w:rsid w:val="005949C1"/>
    <w:pPr>
      <w:spacing w:before="240" w:after="0" w:line="360" w:lineRule="auto"/>
      <w:ind w:firstLine="300"/>
      <w:jc w:val="both"/>
    </w:pPr>
    <w:rPr>
      <w:rFonts w:ascii="Verdana" w:eastAsia="Times New Roman" w:hAnsi="Verdana" w:cs="Times New Roman"/>
      <w:sz w:val="18"/>
      <w:szCs w:val="18"/>
      <w:lang w:eastAsia="lv-LV"/>
    </w:rPr>
  </w:style>
  <w:style w:type="paragraph" w:styleId="Sarakstarindkopa">
    <w:name w:val="List Paragraph"/>
    <w:basedOn w:val="Parasts"/>
    <w:uiPriority w:val="34"/>
    <w:qFormat/>
    <w:rsid w:val="005949C1"/>
    <w:pPr>
      <w:spacing w:after="0" w:line="240" w:lineRule="auto"/>
      <w:ind w:left="720"/>
    </w:pPr>
    <w:rPr>
      <w:rFonts w:ascii="Calibri" w:eastAsia="Calibri" w:hAnsi="Calibri" w:cs="Times New Roman"/>
      <w:lang w:eastAsia="lv-LV"/>
    </w:rPr>
  </w:style>
  <w:style w:type="paragraph" w:customStyle="1" w:styleId="Default">
    <w:name w:val="Default"/>
    <w:rsid w:val="00F812C3"/>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3842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425E"/>
    <w:rPr>
      <w:rFonts w:ascii="Segoe UI" w:hAnsi="Segoe UI" w:cs="Segoe UI"/>
      <w:sz w:val="18"/>
      <w:szCs w:val="18"/>
    </w:rPr>
  </w:style>
  <w:style w:type="paragraph" w:customStyle="1" w:styleId="naisf">
    <w:name w:val="naisf"/>
    <w:basedOn w:val="Parasts"/>
    <w:rsid w:val="002834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D1F7F"/>
    <w:rPr>
      <w:sz w:val="16"/>
      <w:szCs w:val="16"/>
    </w:rPr>
  </w:style>
  <w:style w:type="paragraph" w:styleId="Komentrateksts">
    <w:name w:val="annotation text"/>
    <w:basedOn w:val="Parasts"/>
    <w:link w:val="KomentratekstsRakstz"/>
    <w:uiPriority w:val="99"/>
    <w:semiHidden/>
    <w:unhideWhenUsed/>
    <w:rsid w:val="00BD1F7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D1F7F"/>
    <w:rPr>
      <w:sz w:val="20"/>
      <w:szCs w:val="20"/>
    </w:rPr>
  </w:style>
  <w:style w:type="paragraph" w:styleId="Komentratma">
    <w:name w:val="annotation subject"/>
    <w:basedOn w:val="Komentrateksts"/>
    <w:next w:val="Komentrateksts"/>
    <w:link w:val="KomentratmaRakstz"/>
    <w:uiPriority w:val="99"/>
    <w:semiHidden/>
    <w:unhideWhenUsed/>
    <w:rsid w:val="00BD1F7F"/>
    <w:rPr>
      <w:b/>
      <w:bCs/>
    </w:rPr>
  </w:style>
  <w:style w:type="character" w:customStyle="1" w:styleId="KomentratmaRakstz">
    <w:name w:val="Komentāra tēma Rakstz."/>
    <w:basedOn w:val="KomentratekstsRakstz"/>
    <w:link w:val="Komentratma"/>
    <w:uiPriority w:val="99"/>
    <w:semiHidden/>
    <w:rsid w:val="00BD1F7F"/>
    <w:rPr>
      <w:b/>
      <w:bCs/>
      <w:sz w:val="20"/>
      <w:szCs w:val="20"/>
    </w:rPr>
  </w:style>
  <w:style w:type="paragraph" w:styleId="Galvene">
    <w:name w:val="header"/>
    <w:basedOn w:val="Parasts"/>
    <w:link w:val="GalveneRakstz"/>
    <w:uiPriority w:val="99"/>
    <w:unhideWhenUsed/>
    <w:rsid w:val="009338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38B4"/>
  </w:style>
  <w:style w:type="paragraph" w:styleId="Kjene">
    <w:name w:val="footer"/>
    <w:basedOn w:val="Parasts"/>
    <w:link w:val="KjeneRakstz"/>
    <w:uiPriority w:val="99"/>
    <w:unhideWhenUsed/>
    <w:rsid w:val="009338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59432">
      <w:bodyDiv w:val="1"/>
      <w:marLeft w:val="0"/>
      <w:marRight w:val="0"/>
      <w:marTop w:val="0"/>
      <w:marBottom w:val="0"/>
      <w:divBdr>
        <w:top w:val="none" w:sz="0" w:space="0" w:color="auto"/>
        <w:left w:val="none" w:sz="0" w:space="0" w:color="auto"/>
        <w:bottom w:val="none" w:sz="0" w:space="0" w:color="auto"/>
        <w:right w:val="none" w:sz="0" w:space="0" w:color="auto"/>
      </w:divBdr>
      <w:divsChild>
        <w:div w:id="1608927805">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sChild>
                <w:div w:id="2076469380">
                  <w:marLeft w:val="0"/>
                  <w:marRight w:val="0"/>
                  <w:marTop w:val="0"/>
                  <w:marBottom w:val="0"/>
                  <w:divBdr>
                    <w:top w:val="none" w:sz="0" w:space="0" w:color="auto"/>
                    <w:left w:val="none" w:sz="0" w:space="0" w:color="auto"/>
                    <w:bottom w:val="none" w:sz="0" w:space="0" w:color="auto"/>
                    <w:right w:val="none" w:sz="0" w:space="0" w:color="auto"/>
                  </w:divBdr>
                  <w:divsChild>
                    <w:div w:id="555122228">
                      <w:marLeft w:val="0"/>
                      <w:marRight w:val="0"/>
                      <w:marTop w:val="0"/>
                      <w:marBottom w:val="0"/>
                      <w:divBdr>
                        <w:top w:val="none" w:sz="0" w:space="0" w:color="auto"/>
                        <w:left w:val="none" w:sz="0" w:space="0" w:color="auto"/>
                        <w:bottom w:val="none" w:sz="0" w:space="0" w:color="auto"/>
                        <w:right w:val="none" w:sz="0" w:space="0" w:color="auto"/>
                      </w:divBdr>
                    </w:div>
                    <w:div w:id="1336035910">
                      <w:marLeft w:val="0"/>
                      <w:marRight w:val="0"/>
                      <w:marTop w:val="0"/>
                      <w:marBottom w:val="0"/>
                      <w:divBdr>
                        <w:top w:val="none" w:sz="0" w:space="0" w:color="auto"/>
                        <w:left w:val="none" w:sz="0" w:space="0" w:color="auto"/>
                        <w:bottom w:val="none" w:sz="0" w:space="0" w:color="auto"/>
                        <w:right w:val="none" w:sz="0" w:space="0" w:color="auto"/>
                      </w:divBdr>
                    </w:div>
                    <w:div w:id="291131154">
                      <w:marLeft w:val="0"/>
                      <w:marRight w:val="0"/>
                      <w:marTop w:val="0"/>
                      <w:marBottom w:val="0"/>
                      <w:divBdr>
                        <w:top w:val="none" w:sz="0" w:space="0" w:color="auto"/>
                        <w:left w:val="none" w:sz="0" w:space="0" w:color="auto"/>
                        <w:bottom w:val="none" w:sz="0" w:space="0" w:color="auto"/>
                        <w:right w:val="none" w:sz="0" w:space="0" w:color="auto"/>
                      </w:divBdr>
                    </w:div>
                  </w:divsChild>
                </w:div>
                <w:div w:id="799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3200">
      <w:bodyDiv w:val="1"/>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719979240">
              <w:marLeft w:val="0"/>
              <w:marRight w:val="0"/>
              <w:marTop w:val="0"/>
              <w:marBottom w:val="0"/>
              <w:divBdr>
                <w:top w:val="none" w:sz="0" w:space="0" w:color="auto"/>
                <w:left w:val="none" w:sz="0" w:space="0" w:color="auto"/>
                <w:bottom w:val="none" w:sz="0" w:space="0" w:color="auto"/>
                <w:right w:val="none" w:sz="0" w:space="0" w:color="auto"/>
              </w:divBdr>
              <w:divsChild>
                <w:div w:id="1190753903">
                  <w:marLeft w:val="0"/>
                  <w:marRight w:val="0"/>
                  <w:marTop w:val="0"/>
                  <w:marBottom w:val="0"/>
                  <w:divBdr>
                    <w:top w:val="none" w:sz="0" w:space="0" w:color="auto"/>
                    <w:left w:val="none" w:sz="0" w:space="0" w:color="auto"/>
                    <w:bottom w:val="none" w:sz="0" w:space="0" w:color="auto"/>
                    <w:right w:val="none" w:sz="0" w:space="0" w:color="auto"/>
                  </w:divBdr>
                  <w:divsChild>
                    <w:div w:id="9496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1L0676:LV: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68349-DC63-422C-BBFE-9A4FD342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3050</Words>
  <Characters>20714</Characters>
  <Application>Microsoft Office Word</Application>
  <DocSecurity>0</DocSecurity>
  <Lines>863</Lines>
  <Paragraphs>349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Ļubova Tralmaka</dc:creator>
  <cp:lastModifiedBy>Renārs Žagars</cp:lastModifiedBy>
  <cp:revision>15</cp:revision>
  <cp:lastPrinted>2014-10-31T15:12:00Z</cp:lastPrinted>
  <dcterms:created xsi:type="dcterms:W3CDTF">2014-12-17T09:50:00Z</dcterms:created>
  <dcterms:modified xsi:type="dcterms:W3CDTF">2014-12-18T10:05:00Z</dcterms:modified>
</cp:coreProperties>
</file>