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38" w:rsidRPr="005F48DF" w:rsidRDefault="00AE5338" w:rsidP="00F32D52">
      <w:pPr>
        <w:spacing w:after="0" w:line="240" w:lineRule="auto"/>
        <w:jc w:val="center"/>
        <w:rPr>
          <w:rFonts w:ascii="Times New Roman" w:hAnsi="Times New Roman"/>
          <w:b/>
          <w:sz w:val="28"/>
          <w:szCs w:val="28"/>
        </w:rPr>
      </w:pPr>
      <w:bookmarkStart w:id="0" w:name="468683"/>
      <w:bookmarkStart w:id="1" w:name="OLE_LINK1"/>
      <w:bookmarkStart w:id="2" w:name="OLE_LINK2"/>
      <w:bookmarkEnd w:id="0"/>
      <w:r w:rsidRPr="005F48DF">
        <w:rPr>
          <w:rFonts w:ascii="Times New Roman" w:eastAsia="Calibri" w:hAnsi="Times New Roman" w:cs="Times New Roman"/>
          <w:b/>
          <w:sz w:val="28"/>
          <w:szCs w:val="28"/>
        </w:rPr>
        <w:t xml:space="preserve">Ministru kabineta </w:t>
      </w:r>
      <w:r w:rsidR="00441340" w:rsidRPr="005F48DF">
        <w:rPr>
          <w:rFonts w:ascii="Times New Roman" w:eastAsia="Calibri" w:hAnsi="Times New Roman" w:cs="Times New Roman"/>
          <w:b/>
          <w:sz w:val="28"/>
          <w:szCs w:val="28"/>
        </w:rPr>
        <w:t>rīkojuma</w:t>
      </w:r>
      <w:r w:rsidRPr="005F48DF">
        <w:rPr>
          <w:rFonts w:ascii="Times New Roman" w:eastAsia="Calibri" w:hAnsi="Times New Roman" w:cs="Times New Roman"/>
          <w:b/>
          <w:sz w:val="28"/>
          <w:szCs w:val="28"/>
        </w:rPr>
        <w:t xml:space="preserve"> projekta</w:t>
      </w:r>
      <w:bookmarkStart w:id="3" w:name="OLE_LINK3"/>
      <w:bookmarkStart w:id="4" w:name="OLE_LINK4"/>
      <w:bookmarkStart w:id="5" w:name="OLE_LINK7"/>
      <w:bookmarkStart w:id="6" w:name="OLE_LINK8"/>
      <w:bookmarkEnd w:id="1"/>
      <w:bookmarkEnd w:id="2"/>
      <w:r w:rsidR="00F32D52" w:rsidRPr="005F48DF">
        <w:rPr>
          <w:rFonts w:ascii="Times New Roman" w:eastAsia="Calibri" w:hAnsi="Times New Roman" w:cs="Times New Roman"/>
          <w:b/>
          <w:sz w:val="28"/>
          <w:szCs w:val="28"/>
        </w:rPr>
        <w:t xml:space="preserve"> </w:t>
      </w:r>
      <w:r w:rsidRPr="005F48DF">
        <w:rPr>
          <w:rFonts w:ascii="Times New Roman" w:hAnsi="Times New Roman"/>
          <w:b/>
          <w:sz w:val="28"/>
          <w:szCs w:val="28"/>
        </w:rPr>
        <w:t>„</w:t>
      </w:r>
      <w:bookmarkEnd w:id="3"/>
      <w:bookmarkEnd w:id="4"/>
      <w:bookmarkEnd w:id="5"/>
      <w:bookmarkEnd w:id="6"/>
      <w:r w:rsidR="00E71904" w:rsidRPr="005F48DF">
        <w:rPr>
          <w:rFonts w:ascii="Times New Roman" w:hAnsi="Times New Roman"/>
          <w:b/>
          <w:sz w:val="28"/>
          <w:szCs w:val="28"/>
        </w:rPr>
        <w:t>Par apropri</w:t>
      </w:r>
      <w:r w:rsidR="008257C1">
        <w:rPr>
          <w:rFonts w:ascii="Times New Roman" w:hAnsi="Times New Roman"/>
          <w:b/>
          <w:sz w:val="28"/>
          <w:szCs w:val="28"/>
        </w:rPr>
        <w:t xml:space="preserve">ācijas pārdali </w:t>
      </w:r>
      <w:r w:rsidR="00E71904" w:rsidRPr="005F48DF">
        <w:rPr>
          <w:rFonts w:ascii="Times New Roman" w:hAnsi="Times New Roman"/>
          <w:b/>
          <w:sz w:val="28"/>
          <w:szCs w:val="28"/>
        </w:rPr>
        <w:t>”</w:t>
      </w:r>
      <w:r w:rsidRPr="005F48DF">
        <w:rPr>
          <w:rFonts w:ascii="Times New Roman" w:hAnsi="Times New Roman"/>
          <w:b/>
          <w:sz w:val="28"/>
          <w:szCs w:val="28"/>
        </w:rPr>
        <w:t xml:space="preserve"> sākotnējās ietekmes novērtējuma ziņojums (anotācija)</w:t>
      </w:r>
    </w:p>
    <w:p w:rsidR="00017C64" w:rsidRPr="005F48DF" w:rsidRDefault="00017C64" w:rsidP="00F32D52">
      <w:pPr>
        <w:spacing w:after="0" w:line="240" w:lineRule="auto"/>
        <w:jc w:val="center"/>
        <w:rPr>
          <w:rFonts w:ascii="Times New Roman" w:hAnsi="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8"/>
        <w:gridCol w:w="552"/>
        <w:gridCol w:w="775"/>
        <w:gridCol w:w="7426"/>
      </w:tblGrid>
      <w:tr w:rsidR="00514935" w:rsidRPr="005F48DF" w:rsidTr="00514935">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514935" w:rsidRPr="005F48DF" w:rsidRDefault="00514935" w:rsidP="0051493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F48DF">
              <w:rPr>
                <w:rFonts w:ascii="Times New Roman" w:eastAsia="Times New Roman" w:hAnsi="Times New Roman" w:cs="Times New Roman"/>
                <w:b/>
                <w:bCs/>
                <w:sz w:val="28"/>
                <w:szCs w:val="28"/>
                <w:lang w:eastAsia="lv-LV"/>
              </w:rPr>
              <w:t>I. Tiesību akta projekta izstrādes nepieciešamība</w:t>
            </w:r>
          </w:p>
        </w:tc>
      </w:tr>
      <w:tr w:rsidR="00AE5338" w:rsidRPr="005F48DF" w:rsidTr="00017C64">
        <w:trPr>
          <w:trHeight w:val="405"/>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1.</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Pamatojums</w:t>
            </w:r>
          </w:p>
        </w:tc>
        <w:tc>
          <w:tcPr>
            <w:tcW w:w="3019" w:type="pct"/>
            <w:tcBorders>
              <w:top w:val="outset" w:sz="6" w:space="0" w:color="414142"/>
              <w:left w:val="outset" w:sz="6" w:space="0" w:color="414142"/>
              <w:bottom w:val="outset" w:sz="6" w:space="0" w:color="414142"/>
              <w:right w:val="outset" w:sz="6" w:space="0" w:color="414142"/>
            </w:tcBorders>
            <w:hideMark/>
          </w:tcPr>
          <w:p w:rsidR="00514935" w:rsidRPr="005F48DF" w:rsidRDefault="00AE5338" w:rsidP="00926C59">
            <w:pPr>
              <w:spacing w:after="0" w:line="240" w:lineRule="auto"/>
              <w:jc w:val="both"/>
              <w:rPr>
                <w:rFonts w:ascii="Times New Roman" w:eastAsia="Times New Roman" w:hAnsi="Times New Roman" w:cs="Times New Roman"/>
                <w:sz w:val="28"/>
                <w:szCs w:val="28"/>
                <w:lang w:eastAsia="lv-LV"/>
              </w:rPr>
            </w:pPr>
            <w:r w:rsidRPr="005F48DF">
              <w:rPr>
                <w:rFonts w:ascii="Times New Roman" w:eastAsia="Calibri" w:hAnsi="Times New Roman" w:cs="Times New Roman"/>
                <w:sz w:val="28"/>
                <w:szCs w:val="28"/>
              </w:rPr>
              <w:t xml:space="preserve">Ministru kabineta </w:t>
            </w:r>
            <w:r w:rsidR="00E71904" w:rsidRPr="005F48DF">
              <w:rPr>
                <w:rFonts w:ascii="Times New Roman" w:eastAsia="Calibri" w:hAnsi="Times New Roman" w:cs="Times New Roman"/>
                <w:sz w:val="28"/>
                <w:szCs w:val="28"/>
              </w:rPr>
              <w:t>rīkojuma</w:t>
            </w:r>
            <w:r w:rsidRPr="005F48DF">
              <w:rPr>
                <w:rFonts w:ascii="Times New Roman" w:eastAsia="Calibri" w:hAnsi="Times New Roman" w:cs="Times New Roman"/>
                <w:sz w:val="28"/>
                <w:szCs w:val="28"/>
              </w:rPr>
              <w:t xml:space="preserve"> projekts </w:t>
            </w:r>
            <w:r w:rsidR="00E71904" w:rsidRPr="005F48DF">
              <w:rPr>
                <w:rFonts w:ascii="Times New Roman" w:eastAsia="Calibri" w:hAnsi="Times New Roman" w:cs="Times New Roman"/>
                <w:sz w:val="28"/>
                <w:szCs w:val="28"/>
              </w:rPr>
              <w:t>“</w:t>
            </w:r>
            <w:r w:rsidR="00E71904" w:rsidRPr="005F48DF">
              <w:rPr>
                <w:rFonts w:ascii="Times New Roman" w:eastAsia="Calibri" w:hAnsi="Times New Roman" w:cs="Times New Roman"/>
                <w:bCs/>
                <w:sz w:val="28"/>
                <w:szCs w:val="28"/>
              </w:rPr>
              <w:t>Par apropriācijas pārdali ” (turpmāk – projekts) sagatavots, pamatojoties uz likuma</w:t>
            </w:r>
            <w:r w:rsidR="00F866EF" w:rsidRPr="005F48DF">
              <w:rPr>
                <w:rFonts w:ascii="Times New Roman" w:eastAsia="Calibri" w:hAnsi="Times New Roman" w:cs="Times New Roman"/>
                <w:bCs/>
                <w:sz w:val="28"/>
                <w:szCs w:val="28"/>
              </w:rPr>
              <w:t xml:space="preserve"> </w:t>
            </w:r>
            <w:r w:rsidR="00E71904" w:rsidRPr="005F48DF">
              <w:rPr>
                <w:rFonts w:ascii="Times New Roman" w:eastAsia="Calibri" w:hAnsi="Times New Roman" w:cs="Times New Roman"/>
                <w:bCs/>
                <w:sz w:val="28"/>
                <w:szCs w:val="28"/>
              </w:rPr>
              <w:t>par budžetu un finanšu vadību 9.panta 1</w:t>
            </w:r>
            <w:r w:rsidR="0078752A">
              <w:rPr>
                <w:rFonts w:ascii="Times New Roman" w:eastAsia="Calibri" w:hAnsi="Times New Roman" w:cs="Times New Roman"/>
                <w:bCs/>
                <w:sz w:val="28"/>
                <w:szCs w:val="28"/>
              </w:rPr>
              <w:t>3</w:t>
            </w:r>
            <w:r w:rsidR="00E71904" w:rsidRPr="005F48DF">
              <w:rPr>
                <w:rFonts w:ascii="Times New Roman" w:eastAsia="Calibri" w:hAnsi="Times New Roman" w:cs="Times New Roman"/>
                <w:bCs/>
                <w:sz w:val="28"/>
                <w:szCs w:val="28"/>
              </w:rPr>
              <w:t>.</w:t>
            </w:r>
            <w:r w:rsidR="0078752A">
              <w:rPr>
                <w:rFonts w:ascii="Times New Roman" w:eastAsia="Calibri" w:hAnsi="Times New Roman" w:cs="Times New Roman"/>
                <w:bCs/>
                <w:sz w:val="28"/>
                <w:szCs w:val="28"/>
              </w:rPr>
              <w:t xml:space="preserve">1 </w:t>
            </w:r>
            <w:r w:rsidR="00E71904" w:rsidRPr="005F48DF">
              <w:rPr>
                <w:rFonts w:ascii="Times New Roman" w:eastAsia="Calibri" w:hAnsi="Times New Roman" w:cs="Times New Roman"/>
                <w:bCs/>
                <w:sz w:val="28"/>
                <w:szCs w:val="28"/>
              </w:rPr>
              <w:t xml:space="preserve">daļu </w:t>
            </w:r>
            <w:r w:rsidR="001D767D" w:rsidRPr="005F48DF">
              <w:rPr>
                <w:rFonts w:ascii="Times New Roman" w:eastAsia="Calibri" w:hAnsi="Times New Roman" w:cs="Times New Roman"/>
                <w:bCs/>
                <w:sz w:val="28"/>
                <w:szCs w:val="28"/>
              </w:rPr>
              <w:t>un likuma „</w:t>
            </w:r>
            <w:r w:rsidR="00926C59">
              <w:rPr>
                <w:rFonts w:ascii="Times New Roman" w:eastAsia="Calibri" w:hAnsi="Times New Roman" w:cs="Times New Roman"/>
                <w:bCs/>
                <w:sz w:val="28"/>
                <w:szCs w:val="28"/>
              </w:rPr>
              <w:t>P</w:t>
            </w:r>
            <w:r w:rsidR="001D767D" w:rsidRPr="005F48DF">
              <w:rPr>
                <w:rFonts w:ascii="Times New Roman" w:eastAsia="Calibri" w:hAnsi="Times New Roman" w:cs="Times New Roman"/>
                <w:bCs/>
                <w:sz w:val="28"/>
                <w:szCs w:val="28"/>
              </w:rPr>
              <w:t>ar valsts budžetu 2014.gadam”</w:t>
            </w:r>
            <w:r w:rsidR="0078752A">
              <w:rPr>
                <w:rFonts w:ascii="Times New Roman" w:eastAsia="Calibri" w:hAnsi="Times New Roman" w:cs="Times New Roman"/>
                <w:bCs/>
                <w:sz w:val="28"/>
                <w:szCs w:val="28"/>
              </w:rPr>
              <w:t xml:space="preserve"> 32.panta 11.daļu un 33.panta 3.daļu</w:t>
            </w:r>
          </w:p>
        </w:tc>
      </w:tr>
      <w:tr w:rsidR="00AE5338" w:rsidRPr="005F48DF" w:rsidTr="00017C64">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2.</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19" w:type="pct"/>
            <w:tcBorders>
              <w:top w:val="outset" w:sz="6" w:space="0" w:color="414142"/>
              <w:left w:val="outset" w:sz="6" w:space="0" w:color="414142"/>
              <w:bottom w:val="outset" w:sz="6" w:space="0" w:color="414142"/>
              <w:right w:val="outset" w:sz="6" w:space="0" w:color="414142"/>
            </w:tcBorders>
            <w:hideMark/>
          </w:tcPr>
          <w:p w:rsidR="007363AC" w:rsidRPr="005F48DF" w:rsidRDefault="00283BAF" w:rsidP="00283BAF">
            <w:pPr>
              <w:spacing w:line="240" w:lineRule="auto"/>
              <w:jc w:val="both"/>
              <w:rPr>
                <w:rFonts w:ascii="Times New Roman" w:hAnsi="Times New Roman" w:cs="Times New Roman"/>
                <w:iCs/>
                <w:sz w:val="28"/>
                <w:szCs w:val="28"/>
                <w:lang w:eastAsia="lv-LV"/>
              </w:rPr>
            </w:pPr>
            <w:r>
              <w:rPr>
                <w:rFonts w:ascii="Times New Roman" w:hAnsi="Times New Roman" w:cs="Times New Roman"/>
                <w:iCs/>
                <w:sz w:val="28"/>
                <w:szCs w:val="28"/>
                <w:lang w:eastAsia="lv-LV"/>
              </w:rPr>
              <w:t xml:space="preserve">          </w:t>
            </w:r>
            <w:r w:rsidR="007363AC" w:rsidRPr="005F48DF">
              <w:rPr>
                <w:rFonts w:ascii="Times New Roman" w:hAnsi="Times New Roman" w:cs="Times New Roman"/>
                <w:iCs/>
                <w:sz w:val="28"/>
                <w:szCs w:val="28"/>
                <w:lang w:eastAsia="lv-LV"/>
              </w:rPr>
              <w:t>Zemkopības ministrijai 2014.gadā ir piešķirts finansējums jaunajai politikas iniciatīvai (turpmāk – JPI) „ES Kopējās lauksaimniecības politikas reformas ieviešana un ZM un tās padotībā esošo iestāžu uz klientu orientētās pakalpojumu sist</w:t>
            </w:r>
            <w:r w:rsidR="008257C1">
              <w:rPr>
                <w:rFonts w:ascii="Times New Roman" w:hAnsi="Times New Roman" w:cs="Times New Roman"/>
                <w:iCs/>
                <w:sz w:val="28"/>
                <w:szCs w:val="28"/>
                <w:lang w:eastAsia="lv-LV"/>
              </w:rPr>
              <w:t>ēmas attīstība 2014.-2020.gadā”</w:t>
            </w:r>
            <w:r w:rsidR="007363AC" w:rsidRPr="005F48DF">
              <w:rPr>
                <w:rFonts w:ascii="Times New Roman" w:hAnsi="Times New Roman" w:cs="Times New Roman"/>
                <w:iCs/>
                <w:sz w:val="28"/>
                <w:szCs w:val="28"/>
                <w:lang w:eastAsia="lv-LV"/>
              </w:rPr>
              <w:t xml:space="preserve">. Šīs JPI ietvaros ir jāveic Tiešo maksājumu reforma. </w:t>
            </w:r>
          </w:p>
          <w:p w:rsidR="00BC6323" w:rsidRPr="005F48DF" w:rsidRDefault="00BC6323" w:rsidP="007363AC">
            <w:pPr>
              <w:spacing w:line="240" w:lineRule="auto"/>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Tiešo maksājumu reformas ieviešanai ir pieņemti šādi ES normatīvie akti:</w:t>
            </w:r>
          </w:p>
          <w:tbl>
            <w:tblPr>
              <w:tblW w:w="11205" w:type="dxa"/>
              <w:shd w:val="clear" w:color="auto" w:fill="FFFFFF"/>
              <w:tblCellMar>
                <w:left w:w="0" w:type="dxa"/>
                <w:right w:w="0" w:type="dxa"/>
              </w:tblCellMar>
              <w:tblLook w:val="04A0" w:firstRow="1" w:lastRow="0" w:firstColumn="1" w:lastColumn="0" w:noHBand="0" w:noVBand="1"/>
            </w:tblPr>
            <w:tblGrid>
              <w:gridCol w:w="11205"/>
            </w:tblGrid>
            <w:tr w:rsidR="00BC6323" w:rsidRPr="005F48DF" w:rsidTr="00B95246">
              <w:tc>
                <w:tcPr>
                  <w:tcW w:w="0" w:type="auto"/>
                  <w:shd w:val="clear" w:color="auto" w:fill="FFFFFF"/>
                  <w:vAlign w:val="center"/>
                  <w:hideMark/>
                </w:tcPr>
                <w:p w:rsidR="00BC6323" w:rsidRPr="005F48DF" w:rsidRDefault="00BC6323" w:rsidP="007363AC">
                  <w:pPr>
                    <w:spacing w:line="240" w:lineRule="auto"/>
                    <w:jc w:val="both"/>
                    <w:rPr>
                      <w:rFonts w:ascii="Times New Roman" w:hAnsi="Times New Roman" w:cs="Times New Roman"/>
                      <w:iCs/>
                      <w:sz w:val="28"/>
                      <w:szCs w:val="28"/>
                      <w:lang w:eastAsia="lv-LV"/>
                    </w:rPr>
                  </w:pPr>
                </w:p>
              </w:tc>
            </w:tr>
          </w:tbl>
          <w:p w:rsidR="00BC6323" w:rsidRPr="005F48DF" w:rsidRDefault="00524994" w:rsidP="007363AC">
            <w:pPr>
              <w:spacing w:line="240" w:lineRule="auto"/>
              <w:ind w:hanging="360"/>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 xml:space="preserve">1)  1. </w:t>
            </w:r>
            <w:r w:rsidR="00BC6323" w:rsidRPr="005F48DF">
              <w:rPr>
                <w:rFonts w:ascii="Times New Roman" w:hAnsi="Times New Roman" w:cs="Times New Roman"/>
                <w:iCs/>
                <w:sz w:val="28"/>
                <w:szCs w:val="28"/>
                <w:lang w:eastAsia="lv-LV"/>
              </w:rPr>
              <w:t>Par maksājumu piešķiršanu (shēmas, kopīgie noteikumi) - Eiropas Parlamenta un Pa</w:t>
            </w:r>
            <w:r w:rsidR="008257C1">
              <w:rPr>
                <w:rFonts w:ascii="Times New Roman" w:hAnsi="Times New Roman" w:cs="Times New Roman"/>
                <w:iCs/>
                <w:sz w:val="28"/>
                <w:szCs w:val="28"/>
                <w:lang w:eastAsia="lv-LV"/>
              </w:rPr>
              <w:t>domes Regula (ES) Nr. 1307/201 (2013. gada 17. decembris</w:t>
            </w:r>
            <w:r w:rsidR="00BC6323" w:rsidRPr="005F48DF">
              <w:rPr>
                <w:rFonts w:ascii="Times New Roman" w:hAnsi="Times New Roman" w:cs="Times New Roman"/>
                <w:iCs/>
                <w:sz w:val="28"/>
                <w:szCs w:val="28"/>
                <w:lang w:eastAsia="lv-LV"/>
              </w:rPr>
              <w:t>), ar ko izveido noteikumus par lauksaimniekiem paredzētiem tiešajiem maksājumiem, kurus veic saskaņā ar kopējās lauksaimniecības politikas atbalsta shēmām, un ar ko atceļ Padomes Regulu (EK) Nr. 637/2008 un Padomes Regulu (EK) Nr. 73/2009;</w:t>
            </w:r>
          </w:p>
          <w:p w:rsidR="00BC6323" w:rsidRPr="005F48DF" w:rsidRDefault="00524994" w:rsidP="007363AC">
            <w:pPr>
              <w:spacing w:line="240" w:lineRule="auto"/>
              <w:ind w:hanging="360"/>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 xml:space="preserve">2)  2. </w:t>
            </w:r>
            <w:r w:rsidR="00BC6323" w:rsidRPr="005F48DF">
              <w:rPr>
                <w:rFonts w:ascii="Times New Roman" w:hAnsi="Times New Roman" w:cs="Times New Roman"/>
                <w:iCs/>
                <w:sz w:val="28"/>
                <w:szCs w:val="28"/>
                <w:lang w:eastAsia="lv-LV"/>
              </w:rPr>
              <w:t xml:space="preserve">Par maksājumu administrēšanu, kontroli, KLP atbalsta pasākumiem kopējiem noteikumiem - </w:t>
            </w:r>
            <w:hyperlink r:id="rId8" w:tgtFrame="_blank" w:history="1">
              <w:r w:rsidR="00BC6323" w:rsidRPr="005F48DF">
                <w:rPr>
                  <w:rFonts w:ascii="Times New Roman" w:hAnsi="Times New Roman" w:cs="Times New Roman"/>
                  <w:iCs/>
                  <w:sz w:val="28"/>
                  <w:szCs w:val="28"/>
                  <w:lang w:eastAsia="lv-LV"/>
                </w:rPr>
                <w:t>Eiropas Parlamenta un Pado</w:t>
              </w:r>
              <w:r w:rsidR="008257C1">
                <w:rPr>
                  <w:rFonts w:ascii="Times New Roman" w:hAnsi="Times New Roman" w:cs="Times New Roman"/>
                  <w:iCs/>
                  <w:sz w:val="28"/>
                  <w:szCs w:val="28"/>
                  <w:lang w:eastAsia="lv-LV"/>
                </w:rPr>
                <w:t>mes Regula (ES) Nr. 1306/2013 (</w:t>
              </w:r>
              <w:r w:rsidR="00BC6323" w:rsidRPr="005F48DF">
                <w:rPr>
                  <w:rFonts w:ascii="Times New Roman" w:hAnsi="Times New Roman" w:cs="Times New Roman"/>
                  <w:iCs/>
                  <w:sz w:val="28"/>
                  <w:szCs w:val="28"/>
                  <w:lang w:eastAsia="lv-LV"/>
                </w:rPr>
                <w:t>2013. gada 17.</w:t>
              </w:r>
              <w:r w:rsidR="008257C1">
                <w:rPr>
                  <w:rFonts w:ascii="Times New Roman" w:hAnsi="Times New Roman" w:cs="Times New Roman"/>
                  <w:iCs/>
                  <w:sz w:val="28"/>
                  <w:szCs w:val="28"/>
                  <w:lang w:eastAsia="lv-LV"/>
                </w:rPr>
                <w:t xml:space="preserve"> decembris</w:t>
              </w:r>
              <w:r w:rsidR="00BC6323" w:rsidRPr="005F48DF">
                <w:rPr>
                  <w:rFonts w:ascii="Times New Roman" w:hAnsi="Times New Roman" w:cs="Times New Roman"/>
                  <w:iCs/>
                  <w:sz w:val="28"/>
                  <w:szCs w:val="28"/>
                  <w:lang w:eastAsia="lv-LV"/>
                </w:rPr>
                <w:t>) par kopējās lauksaimniecības politikas finansēšanu, pārvaldību un uzraudzību un Padomes Regulu (EEK) Nr. 352/78, (EK) Nr. 165/94, (EK) Nr. 2799/98, (EK) Nr. 814/2000, (EK) Nr. 1290/2005 un (EK) Nr. 485/2008 atcel</w:t>
              </w:r>
            </w:hyperlink>
            <w:r w:rsidR="00BC6323" w:rsidRPr="005F48DF">
              <w:rPr>
                <w:rFonts w:ascii="Times New Roman" w:hAnsi="Times New Roman" w:cs="Times New Roman"/>
                <w:iCs/>
                <w:sz w:val="28"/>
                <w:szCs w:val="28"/>
                <w:lang w:eastAsia="lv-LV"/>
              </w:rPr>
              <w:t>šanu. </w:t>
            </w:r>
          </w:p>
          <w:p w:rsidR="00BC6323" w:rsidRPr="005F48DF" w:rsidRDefault="00BC6323" w:rsidP="007363AC">
            <w:pPr>
              <w:spacing w:line="240" w:lineRule="auto"/>
              <w:ind w:firstLine="720"/>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Lai ieviestu minētos pamataktus, joprojām izskatīšanas procesā ir divas deleģētās regulas un divas īstenošanas regulas</w:t>
            </w:r>
            <w:r w:rsidR="00524994" w:rsidRPr="005F48DF">
              <w:rPr>
                <w:rFonts w:ascii="Times New Roman" w:hAnsi="Times New Roman" w:cs="Times New Roman"/>
                <w:iCs/>
                <w:sz w:val="28"/>
                <w:szCs w:val="28"/>
                <w:lang w:eastAsia="lv-LV"/>
              </w:rPr>
              <w:t>, kas aizkavē dalībvalsts izvēli</w:t>
            </w:r>
            <w:r w:rsidRPr="005F48DF">
              <w:rPr>
                <w:rFonts w:ascii="Times New Roman" w:hAnsi="Times New Roman" w:cs="Times New Roman"/>
                <w:iCs/>
                <w:sz w:val="28"/>
                <w:szCs w:val="28"/>
                <w:lang w:eastAsia="lv-LV"/>
              </w:rPr>
              <w:t>:</w:t>
            </w:r>
          </w:p>
          <w:p w:rsidR="00B95246" w:rsidRPr="00B95246" w:rsidRDefault="00B95246" w:rsidP="00B95246">
            <w:pPr>
              <w:ind w:hanging="360"/>
              <w:jc w:val="both"/>
              <w:rPr>
                <w:rFonts w:ascii="Times New Roman" w:eastAsia="Times New Roman" w:hAnsi="Times New Roman" w:cs="Times New Roman"/>
                <w:sz w:val="28"/>
                <w:szCs w:val="28"/>
                <w:lang w:eastAsia="lv-LV"/>
              </w:rPr>
            </w:pPr>
            <w:r w:rsidRPr="00BB6E91">
              <w:rPr>
                <w:rFonts w:ascii="Calibri" w:eastAsia="Times New Roman" w:hAnsi="Calibri" w:cs="Segoe UI"/>
                <w:color w:val="1F497D"/>
                <w:lang w:eastAsia="lv-LV"/>
              </w:rPr>
              <w:t xml:space="preserve">1)      </w:t>
            </w:r>
            <w:r w:rsidRPr="00B95246">
              <w:rPr>
                <w:rFonts w:ascii="Times New Roman" w:eastAsia="Times New Roman" w:hAnsi="Times New Roman" w:cs="Times New Roman"/>
                <w:sz w:val="28"/>
                <w:szCs w:val="28"/>
                <w:lang w:eastAsia="lv-LV"/>
              </w:rPr>
              <w:t xml:space="preserve">1. Komisijas deleģētās regulas projekts ar ko papildina Eiropas Parlamenta un Padomes Regulu (ES) Nr. 1307/2013, ar ko izveido noteikumus par lauksaimniekiem paredzētiem tiešajiem maksājumiem, kurus veic saskaņā ar kopējās lauksaimniecības politikas atbalsta shēmām, un ar kuru groza minētās regulas X </w:t>
            </w:r>
            <w:r w:rsidRPr="00B95246">
              <w:rPr>
                <w:rFonts w:ascii="Times New Roman" w:eastAsia="Times New Roman" w:hAnsi="Times New Roman" w:cs="Times New Roman"/>
                <w:sz w:val="28"/>
                <w:szCs w:val="28"/>
                <w:lang w:eastAsia="lv-LV"/>
              </w:rPr>
              <w:lastRenderedPageBreak/>
              <w:t>pielikumu;</w:t>
            </w:r>
          </w:p>
          <w:p w:rsidR="00B95246" w:rsidRPr="00B95246" w:rsidRDefault="00B95246" w:rsidP="00B95246">
            <w:pPr>
              <w:ind w:hanging="360"/>
              <w:jc w:val="both"/>
              <w:rPr>
                <w:rFonts w:ascii="Times New Roman" w:eastAsia="Times New Roman" w:hAnsi="Times New Roman" w:cs="Times New Roman"/>
                <w:sz w:val="28"/>
                <w:szCs w:val="28"/>
                <w:lang w:eastAsia="lv-LV"/>
              </w:rPr>
            </w:pPr>
            <w:r w:rsidRPr="00B95246">
              <w:rPr>
                <w:rFonts w:ascii="Times New Roman" w:eastAsia="Times New Roman" w:hAnsi="Times New Roman" w:cs="Times New Roman"/>
                <w:sz w:val="28"/>
                <w:szCs w:val="28"/>
                <w:lang w:eastAsia="lv-LV"/>
              </w:rPr>
              <w:t>2)      2. Komisijas īstenošanas regulas projekts, kas nosaka kārtību Eiropas Parlamenta un Padomes Regulas (ES) Nr. 1307/2013 piemērošanai, kas izveido noteikumus par lauksaimniekiem paredzētiem tiešajiem maksājumiem, kurus veic saskaņā ar kopējās lauksaimniecības politikas atbalsta shēmām;</w:t>
            </w:r>
          </w:p>
          <w:p w:rsidR="00B95246" w:rsidRPr="00B95246" w:rsidRDefault="00B95246" w:rsidP="00B95246">
            <w:pPr>
              <w:ind w:hanging="360"/>
              <w:jc w:val="both"/>
              <w:rPr>
                <w:rFonts w:ascii="Times New Roman" w:eastAsia="Times New Roman" w:hAnsi="Times New Roman" w:cs="Times New Roman"/>
                <w:sz w:val="28"/>
                <w:szCs w:val="28"/>
                <w:lang w:eastAsia="lv-LV"/>
              </w:rPr>
            </w:pPr>
            <w:r w:rsidRPr="00B95246">
              <w:rPr>
                <w:rFonts w:ascii="Times New Roman" w:eastAsia="Times New Roman" w:hAnsi="Times New Roman" w:cs="Times New Roman"/>
                <w:sz w:val="28"/>
                <w:szCs w:val="28"/>
                <w:lang w:eastAsia="lv-LV"/>
              </w:rPr>
              <w:t>3)      3. Komisijas deleģētās regulas projekts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p>
          <w:p w:rsidR="00B95246" w:rsidRPr="00B95246" w:rsidRDefault="00B95246" w:rsidP="00B95246">
            <w:pPr>
              <w:ind w:hanging="360"/>
              <w:jc w:val="both"/>
              <w:rPr>
                <w:rFonts w:ascii="Times New Roman" w:eastAsia="Times New Roman" w:hAnsi="Times New Roman" w:cs="Times New Roman"/>
                <w:sz w:val="28"/>
                <w:szCs w:val="28"/>
                <w:lang w:eastAsia="lv-LV"/>
              </w:rPr>
            </w:pPr>
            <w:r w:rsidRPr="00B95246">
              <w:rPr>
                <w:rFonts w:ascii="Times New Roman" w:eastAsia="Times New Roman" w:hAnsi="Times New Roman" w:cs="Times New Roman"/>
                <w:sz w:val="28"/>
                <w:szCs w:val="28"/>
                <w:lang w:eastAsia="lv-LV"/>
              </w:rPr>
              <w:t>4)      4. Komisijas īstenošanas regulas projekts, kas nosaka kārtību Eiropas Parlamenta un Padomes Regulas (ES) Nr. 1306/2013 piemērošanai attiecībā uz integrēto administrācijas un kontroles sistēmu, lauku attīstības atbalsta pasākumiem un savstarpējo atbilstību.</w:t>
            </w:r>
          </w:p>
          <w:p w:rsidR="007363AC" w:rsidRPr="005F48DF" w:rsidRDefault="00BC6323" w:rsidP="007363AC">
            <w:pPr>
              <w:spacing w:line="240" w:lineRule="auto"/>
              <w:ind w:firstLine="720"/>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 Dalībvalsts izvēles ir iespējams pieņemt tikai pēc augstāk minēto deleģēto aktu pieņemšanas</w:t>
            </w:r>
            <w:r w:rsidR="008257C1">
              <w:rPr>
                <w:rFonts w:ascii="Times New Roman" w:hAnsi="Times New Roman" w:cs="Times New Roman"/>
                <w:iCs/>
                <w:sz w:val="28"/>
                <w:szCs w:val="28"/>
                <w:lang w:eastAsia="lv-LV"/>
              </w:rPr>
              <w:t xml:space="preserve"> un ieviešanas</w:t>
            </w:r>
            <w:r w:rsidRPr="005F48DF">
              <w:rPr>
                <w:rFonts w:ascii="Times New Roman" w:hAnsi="Times New Roman" w:cs="Times New Roman"/>
                <w:iCs/>
                <w:sz w:val="28"/>
                <w:szCs w:val="28"/>
                <w:lang w:eastAsia="lv-LV"/>
              </w:rPr>
              <w:t>. Ņemot vērā, ka šie akti vēl nav pieņemti, tad  dalībvalstīm (t.sk. Latvijai) nav iespējams pieņemt visus nacionālos lēmumus attiecībā uz Tiešo maksājumu reformas ieviešanu ar 2015. gadu. Tas arī ir aizkavējis IT sistēmu izstrādi</w:t>
            </w:r>
            <w:r w:rsidR="007363AC" w:rsidRPr="005F48DF">
              <w:rPr>
                <w:rFonts w:ascii="Times New Roman" w:hAnsi="Times New Roman" w:cs="Times New Roman"/>
                <w:iCs/>
                <w:sz w:val="28"/>
                <w:szCs w:val="28"/>
                <w:lang w:eastAsia="lv-LV"/>
              </w:rPr>
              <w:t xml:space="preserve"> 2014.gadā.</w:t>
            </w:r>
            <w:r w:rsidRPr="005F48DF">
              <w:rPr>
                <w:rFonts w:ascii="Times New Roman" w:hAnsi="Times New Roman" w:cs="Times New Roman"/>
                <w:iCs/>
                <w:sz w:val="28"/>
                <w:szCs w:val="28"/>
                <w:lang w:eastAsia="lv-LV"/>
              </w:rPr>
              <w:t xml:space="preserve"> </w:t>
            </w:r>
          </w:p>
          <w:p w:rsidR="00B95246" w:rsidRDefault="007363AC" w:rsidP="00B95246">
            <w:pPr>
              <w:spacing w:line="240" w:lineRule="auto"/>
              <w:ind w:firstLine="720"/>
              <w:jc w:val="both"/>
              <w:rPr>
                <w:rFonts w:ascii="Times New Roman" w:hAnsi="Times New Roman" w:cs="Times New Roman"/>
                <w:iCs/>
                <w:sz w:val="28"/>
                <w:szCs w:val="28"/>
                <w:lang w:eastAsia="lv-LV"/>
              </w:rPr>
            </w:pPr>
            <w:r w:rsidRPr="005F48DF">
              <w:rPr>
                <w:rFonts w:ascii="Times New Roman" w:hAnsi="Times New Roman" w:cs="Times New Roman"/>
                <w:iCs/>
                <w:sz w:val="28"/>
                <w:szCs w:val="28"/>
                <w:lang w:eastAsia="lv-LV"/>
              </w:rPr>
              <w:t>Lai nodrošinātu ES Kopējās lauksaimniecības politikas reformas ieviešanu  tam paredzētajā termiņā piešķirto līdzekļu ietvaros ir nepieciešams veikt apropriācijas pārdali Zemkopības ministrijai piešķirto līdzekļu ietvaros pārplānojot to apgūšanu pa gadiem</w:t>
            </w:r>
            <w:r w:rsidR="00B95246">
              <w:rPr>
                <w:rFonts w:ascii="Times New Roman" w:hAnsi="Times New Roman" w:cs="Times New Roman"/>
                <w:iCs/>
                <w:sz w:val="28"/>
                <w:szCs w:val="28"/>
                <w:lang w:eastAsia="lv-LV"/>
              </w:rPr>
              <w:t xml:space="preserve">. 2014.gadā tiks samazināts finansējums Lauku atbalsta dienestam un Zemkopības ministrijai. Šis finansējums tiks pārcelts uz iestādēm, kuras 2014.gadā veiks savu JPI apgūšanu, kura bija plānota 2015.-2017.gados.  Attiecīgi šīm iestādēm tiks samazināts finansējums 2015. – 2017.gados, lai Lauku atbalsta dienests un Zemkopības ministrija varētu īstenot savas JPI vidējā termiņā. </w:t>
            </w:r>
          </w:p>
          <w:p w:rsidR="00386796" w:rsidRDefault="00B95246" w:rsidP="00386796">
            <w:pPr>
              <w:spacing w:line="240" w:lineRule="auto"/>
              <w:ind w:firstLine="720"/>
              <w:jc w:val="both"/>
              <w:rPr>
                <w:rFonts w:ascii="Times New Roman" w:hAnsi="Times New Roman" w:cs="Times New Roman"/>
                <w:iCs/>
                <w:sz w:val="28"/>
                <w:szCs w:val="28"/>
                <w:lang w:eastAsia="lv-LV"/>
              </w:rPr>
            </w:pPr>
            <w:r>
              <w:rPr>
                <w:rFonts w:ascii="Times New Roman" w:hAnsi="Times New Roman" w:cs="Times New Roman"/>
                <w:iCs/>
                <w:sz w:val="28"/>
                <w:szCs w:val="28"/>
                <w:lang w:eastAsia="lv-LV"/>
              </w:rPr>
              <w:t xml:space="preserve">Šāda līdzekļu pārplānošana pa gadiem un iestādēm </w:t>
            </w:r>
            <w:r w:rsidR="00386796">
              <w:rPr>
                <w:rFonts w:ascii="Times New Roman" w:hAnsi="Times New Roman" w:cs="Times New Roman"/>
                <w:iCs/>
                <w:sz w:val="28"/>
                <w:szCs w:val="28"/>
                <w:lang w:eastAsia="lv-LV"/>
              </w:rPr>
              <w:t>ļaus</w:t>
            </w:r>
            <w:r>
              <w:rPr>
                <w:rFonts w:ascii="Times New Roman" w:hAnsi="Times New Roman" w:cs="Times New Roman"/>
                <w:iCs/>
                <w:sz w:val="28"/>
                <w:szCs w:val="28"/>
                <w:lang w:eastAsia="lv-LV"/>
              </w:rPr>
              <w:t xml:space="preserve"> Zemkopības ministrijai pilnībā īstenot  resoram piešķirto </w:t>
            </w:r>
            <w:r>
              <w:rPr>
                <w:rFonts w:ascii="Times New Roman" w:hAnsi="Times New Roman" w:cs="Times New Roman"/>
                <w:iCs/>
                <w:sz w:val="28"/>
                <w:szCs w:val="28"/>
                <w:lang w:eastAsia="lv-LV"/>
              </w:rPr>
              <w:lastRenderedPageBreak/>
              <w:t xml:space="preserve">finansējumu </w:t>
            </w:r>
            <w:r w:rsidR="00F2727A">
              <w:rPr>
                <w:rFonts w:ascii="Times New Roman" w:hAnsi="Times New Roman" w:cs="Times New Roman"/>
                <w:iCs/>
                <w:sz w:val="28"/>
                <w:szCs w:val="28"/>
                <w:lang w:eastAsia="lv-LV"/>
              </w:rPr>
              <w:t xml:space="preserve">JPI </w:t>
            </w:r>
            <w:r>
              <w:rPr>
                <w:rFonts w:ascii="Times New Roman" w:hAnsi="Times New Roman" w:cs="Times New Roman"/>
                <w:iCs/>
                <w:sz w:val="28"/>
                <w:szCs w:val="28"/>
                <w:lang w:eastAsia="lv-LV"/>
              </w:rPr>
              <w:t>vidējā termiņā</w:t>
            </w:r>
            <w:r w:rsidR="00386796">
              <w:rPr>
                <w:rFonts w:ascii="Times New Roman" w:hAnsi="Times New Roman" w:cs="Times New Roman"/>
                <w:iCs/>
                <w:sz w:val="28"/>
                <w:szCs w:val="28"/>
                <w:lang w:eastAsia="lv-LV"/>
              </w:rPr>
              <w:t>.</w:t>
            </w:r>
          </w:p>
          <w:p w:rsidR="00386796" w:rsidRDefault="00386796" w:rsidP="00386796">
            <w:pPr>
              <w:spacing w:line="240" w:lineRule="auto"/>
              <w:ind w:firstLine="720"/>
              <w:jc w:val="both"/>
              <w:rPr>
                <w:rFonts w:ascii="Times New Roman" w:hAnsi="Times New Roman" w:cs="Times New Roman"/>
                <w:iCs/>
                <w:sz w:val="28"/>
                <w:szCs w:val="28"/>
                <w:lang w:eastAsia="lv-LV"/>
              </w:rPr>
            </w:pPr>
            <w:r>
              <w:rPr>
                <w:rFonts w:ascii="Times New Roman" w:hAnsi="Times New Roman" w:cs="Times New Roman"/>
                <w:iCs/>
                <w:sz w:val="28"/>
                <w:szCs w:val="28"/>
                <w:lang w:eastAsia="lv-LV"/>
              </w:rPr>
              <w:t>Apropriācijas pārdalē iesaistītās institūcijas un to īstenotās JPI:</w:t>
            </w:r>
          </w:p>
          <w:p w:rsidR="00386796" w:rsidRPr="00386796" w:rsidRDefault="00386796" w:rsidP="00386796">
            <w:pPr>
              <w:pStyle w:val="Sarakstarindkopa"/>
              <w:numPr>
                <w:ilvl w:val="0"/>
                <w:numId w:val="6"/>
              </w:numPr>
              <w:spacing w:line="240" w:lineRule="auto"/>
              <w:jc w:val="both"/>
              <w:rPr>
                <w:rFonts w:ascii="Times New Roman" w:hAnsi="Times New Roman" w:cs="Times New Roman"/>
                <w:sz w:val="28"/>
                <w:szCs w:val="28"/>
              </w:rPr>
            </w:pPr>
            <w:r>
              <w:rPr>
                <w:rFonts w:ascii="Times New Roman" w:hAnsi="Times New Roman" w:cs="Times New Roman"/>
                <w:iCs/>
                <w:sz w:val="28"/>
                <w:szCs w:val="28"/>
                <w:lang w:eastAsia="lv-LV"/>
              </w:rPr>
              <w:t xml:space="preserve">Lauku atbalsta dienestam tiks samazināta 2014.gadā paredzētā JPI summa </w:t>
            </w:r>
            <w:r w:rsidR="007F1729">
              <w:rPr>
                <w:rFonts w:ascii="Times New Roman" w:hAnsi="Times New Roman" w:cs="Times New Roman"/>
                <w:iCs/>
                <w:sz w:val="28"/>
                <w:szCs w:val="28"/>
                <w:lang w:eastAsia="lv-LV"/>
              </w:rPr>
              <w:t xml:space="preserve">par EUR 432 290 </w:t>
            </w:r>
            <w:r>
              <w:rPr>
                <w:rFonts w:ascii="Times New Roman" w:hAnsi="Times New Roman" w:cs="Times New Roman"/>
                <w:iCs/>
                <w:sz w:val="28"/>
                <w:szCs w:val="28"/>
                <w:lang w:eastAsia="lv-LV"/>
              </w:rPr>
              <w:t>tās apgūšanu pārvirzot uz 2015.gadu</w:t>
            </w:r>
            <w:r w:rsidR="007F1729">
              <w:rPr>
                <w:rFonts w:ascii="Times New Roman" w:hAnsi="Times New Roman" w:cs="Times New Roman"/>
                <w:iCs/>
                <w:sz w:val="28"/>
                <w:szCs w:val="28"/>
                <w:lang w:eastAsia="lv-LV"/>
              </w:rPr>
              <w:t xml:space="preserve"> par EUR 352 720, kā arī prioritātes īstenošanā iesaistot Lauksaimniecības datu centru tam 2014.gadā pārdalot finansējumu EUR 79 570 apmērā.</w:t>
            </w:r>
          </w:p>
          <w:p w:rsidR="00386796" w:rsidRDefault="00386796" w:rsidP="00386796">
            <w:pPr>
              <w:pStyle w:val="Sarakstarindkopa"/>
              <w:numPr>
                <w:ilvl w:val="0"/>
                <w:numId w:val="6"/>
              </w:numPr>
              <w:spacing w:line="240" w:lineRule="auto"/>
              <w:jc w:val="both"/>
              <w:rPr>
                <w:rFonts w:ascii="Times New Roman" w:hAnsi="Times New Roman" w:cs="Times New Roman"/>
                <w:sz w:val="28"/>
                <w:szCs w:val="28"/>
              </w:rPr>
            </w:pPr>
            <w:r w:rsidRPr="005F48DF">
              <w:rPr>
                <w:rFonts w:ascii="Times New Roman" w:hAnsi="Times New Roman" w:cs="Times New Roman"/>
                <w:iCs/>
                <w:sz w:val="28"/>
                <w:szCs w:val="28"/>
                <w:lang w:eastAsia="lv-LV"/>
              </w:rPr>
              <w:t>Lai nodrošinātu Regulas 1306/201 izpildi, kura paredz īstenot administratīvās kontroles 100% atbalsta iesniegumu gadījumā, kā arī pārbaudes uz vietas saimniecībās šis prioritātes īstenošanā ir nepieciešams iesaistīt Lauksaimniecības datu centru. Lai nodrošinātu minēto prasību izpildes kontroli un neapdraudētu tiešmaksājumu likumību, nepieciešams pilnveidot Lauksaimniecības datu centra dzīvnieku un novietņu reģistrācijas datu bāzi, lai nodrošinātu prasību izpildes kontrolei nepieciešamo datu uzskaiti un varētu īstenot administratīvās kontroles. Datu bāze papildināma, lai nodrošinātu produktīvajiem lauksaimniecības dzīvniekiem lietoto veterināro zāļu un dzīvnieku veselības stāvokļa izsekojamību, kā arī svaigpiena kvalitātes rādītāju atbilstības uzraudzību.</w:t>
            </w:r>
            <w:r w:rsidR="001D418A">
              <w:rPr>
                <w:rFonts w:ascii="Times New Roman" w:hAnsi="Times New Roman" w:cs="Times New Roman"/>
                <w:iCs/>
                <w:sz w:val="28"/>
                <w:szCs w:val="28"/>
                <w:lang w:eastAsia="lv-LV"/>
              </w:rPr>
              <w:t xml:space="preserve"> </w:t>
            </w:r>
            <w:r>
              <w:rPr>
                <w:rFonts w:ascii="Times New Roman" w:hAnsi="Times New Roman" w:cs="Times New Roman"/>
                <w:iCs/>
                <w:sz w:val="28"/>
                <w:szCs w:val="28"/>
                <w:lang w:eastAsia="lv-LV"/>
              </w:rPr>
              <w:t>Lauksaimniecības datu centrs tiks iesaistīts prioritātes īstenošanā to veicot 2014.gadā</w:t>
            </w:r>
            <w:r w:rsidR="007F1729">
              <w:rPr>
                <w:rFonts w:ascii="Times New Roman" w:hAnsi="Times New Roman" w:cs="Times New Roman"/>
                <w:iCs/>
                <w:sz w:val="28"/>
                <w:szCs w:val="28"/>
                <w:lang w:eastAsia="lv-LV"/>
              </w:rPr>
              <w:t xml:space="preserve"> par EUR 79 570</w:t>
            </w:r>
            <w:r>
              <w:rPr>
                <w:rFonts w:ascii="Times New Roman" w:hAnsi="Times New Roman" w:cs="Times New Roman"/>
                <w:iCs/>
                <w:sz w:val="28"/>
                <w:szCs w:val="28"/>
                <w:lang w:eastAsia="lv-LV"/>
              </w:rPr>
              <w:t>.</w:t>
            </w:r>
            <w:r w:rsidR="005F48DF" w:rsidRPr="00386796">
              <w:rPr>
                <w:rFonts w:ascii="Times New Roman" w:hAnsi="Times New Roman" w:cs="Times New Roman"/>
                <w:sz w:val="28"/>
                <w:szCs w:val="28"/>
              </w:rPr>
              <w:t xml:space="preserve"> </w:t>
            </w:r>
          </w:p>
          <w:p w:rsidR="001D418A" w:rsidRDefault="001D418A" w:rsidP="001D418A">
            <w:pPr>
              <w:pStyle w:val="Sarakstarindkopa"/>
              <w:numPr>
                <w:ilvl w:val="0"/>
                <w:numId w:val="6"/>
              </w:numPr>
              <w:spacing w:line="240" w:lineRule="auto"/>
              <w:jc w:val="both"/>
              <w:rPr>
                <w:rFonts w:ascii="Times New Roman" w:hAnsi="Times New Roman" w:cs="Times New Roman"/>
                <w:sz w:val="28"/>
                <w:szCs w:val="28"/>
              </w:rPr>
            </w:pPr>
            <w:r w:rsidRPr="009432FB">
              <w:rPr>
                <w:rFonts w:ascii="Times New Roman" w:hAnsi="Times New Roman" w:cs="Times New Roman"/>
                <w:sz w:val="28"/>
                <w:szCs w:val="28"/>
              </w:rPr>
              <w:t>Zemkopības ministrijai tiks samazināta 2014.</w:t>
            </w:r>
            <w:r w:rsidR="007F1729">
              <w:rPr>
                <w:rFonts w:ascii="Times New Roman" w:hAnsi="Times New Roman" w:cs="Times New Roman"/>
                <w:sz w:val="28"/>
                <w:szCs w:val="28"/>
              </w:rPr>
              <w:t>gadā EUR 62 990</w:t>
            </w:r>
            <w:r w:rsidRPr="009432FB">
              <w:rPr>
                <w:rFonts w:ascii="Times New Roman" w:hAnsi="Times New Roman" w:cs="Times New Roman"/>
                <w:sz w:val="28"/>
                <w:szCs w:val="28"/>
              </w:rPr>
              <w:t xml:space="preserve"> </w:t>
            </w:r>
            <w:r w:rsidR="007F1729">
              <w:rPr>
                <w:rFonts w:ascii="Times New Roman" w:hAnsi="Times New Roman" w:cs="Times New Roman"/>
                <w:sz w:val="28"/>
                <w:szCs w:val="28"/>
              </w:rPr>
              <w:t>u</w:t>
            </w:r>
            <w:r w:rsidRPr="009432FB">
              <w:rPr>
                <w:rFonts w:ascii="Times New Roman" w:hAnsi="Times New Roman" w:cs="Times New Roman"/>
                <w:sz w:val="28"/>
                <w:szCs w:val="28"/>
              </w:rPr>
              <w:t xml:space="preserve">n 2015.gadā  </w:t>
            </w:r>
            <w:r w:rsidR="007F1729">
              <w:rPr>
                <w:rFonts w:ascii="Times New Roman" w:hAnsi="Times New Roman" w:cs="Times New Roman"/>
                <w:sz w:val="28"/>
                <w:szCs w:val="28"/>
              </w:rPr>
              <w:t>EUR 50</w:t>
            </w:r>
            <w:r w:rsidR="008257C1">
              <w:rPr>
                <w:rFonts w:ascii="Times New Roman" w:hAnsi="Times New Roman" w:cs="Times New Roman"/>
                <w:sz w:val="28"/>
                <w:szCs w:val="28"/>
              </w:rPr>
              <w:t> </w:t>
            </w:r>
            <w:r w:rsidR="007F1729">
              <w:rPr>
                <w:rFonts w:ascii="Times New Roman" w:hAnsi="Times New Roman" w:cs="Times New Roman"/>
                <w:sz w:val="28"/>
                <w:szCs w:val="28"/>
              </w:rPr>
              <w:t>282</w:t>
            </w:r>
            <w:r w:rsidR="008257C1">
              <w:rPr>
                <w:rFonts w:ascii="Times New Roman" w:hAnsi="Times New Roman" w:cs="Times New Roman"/>
                <w:sz w:val="28"/>
                <w:szCs w:val="28"/>
              </w:rPr>
              <w:t xml:space="preserve"> apmērā </w:t>
            </w:r>
            <w:r w:rsidRPr="009432FB">
              <w:rPr>
                <w:rFonts w:ascii="Times New Roman" w:hAnsi="Times New Roman" w:cs="Times New Roman"/>
                <w:sz w:val="28"/>
                <w:szCs w:val="28"/>
              </w:rPr>
              <w:t xml:space="preserve">paredzētā JPI summa tās apgūšanu pārvirzot uz 2016 un 2017.gadu. </w:t>
            </w:r>
            <w:r w:rsidR="00F2727A" w:rsidRPr="009432FB">
              <w:rPr>
                <w:rFonts w:ascii="Times New Roman" w:hAnsi="Times New Roman" w:cs="Times New Roman"/>
                <w:sz w:val="28"/>
                <w:szCs w:val="28"/>
              </w:rPr>
              <w:t>Šāda finansējuma pārvirzīšana nepieciešama, jo  g</w:t>
            </w:r>
            <w:r w:rsidRPr="009432FB">
              <w:rPr>
                <w:rFonts w:ascii="Times New Roman" w:hAnsi="Times New Roman" w:cs="Times New Roman"/>
                <w:sz w:val="28"/>
                <w:szCs w:val="28"/>
              </w:rPr>
              <w:t>atavojot priekšlikumus jaunajām politikas iniciatīvām 2013.gadā Eiropas Lauksaimniecības fonda lauku attīstībai (ELFLA) un Eiropas Lauksaimniecības garantiju fonda (ELGF) izdevumu sertifikācijai nepieciešamā finansējuma apjoma prognozes tika pamatotas ar tobrīd rīcībā esošo informāciju par Eiropas Komisijas (EK) plānotajiem regulu projektiem par ikgadējo Eiropas Savienības (ES) fondu izdevumu sertifikāciju 2014-2020 ES finanšu plānošanas periodā.</w:t>
            </w:r>
            <w:r w:rsidR="00F2727A" w:rsidRPr="009432FB">
              <w:rPr>
                <w:rFonts w:ascii="Times New Roman" w:hAnsi="Times New Roman" w:cs="Times New Roman"/>
                <w:sz w:val="28"/>
                <w:szCs w:val="28"/>
              </w:rPr>
              <w:t xml:space="preserve"> Šāda izdevumu pārplānošana ir izskaidrojama ar to, ka 2014.gada sākumā no JPI finansējuma tika nomaksāta 2013.gada ELFLA un ELGF izdevumu sertifikācijas līguma ietvaros atlikusī summa, savukārt par 2014.gada sertifikāciju atbilstoši 2014.gada 16.jūnijā noslēgtajam līgumam izdevumi būs jāveic tikai 2015.gada sākumā</w:t>
            </w:r>
            <w:r w:rsidR="009432FB" w:rsidRPr="009432FB">
              <w:rPr>
                <w:rFonts w:ascii="Times New Roman" w:hAnsi="Times New Roman" w:cs="Times New Roman"/>
                <w:sz w:val="28"/>
                <w:szCs w:val="28"/>
              </w:rPr>
              <w:t xml:space="preserve">. Līgums noslēgts uz 4.gadiem un </w:t>
            </w:r>
            <w:r w:rsidR="009432FB" w:rsidRPr="009432FB">
              <w:rPr>
                <w:rFonts w:ascii="Times New Roman" w:hAnsi="Times New Roman" w:cs="Times New Roman"/>
                <w:sz w:val="28"/>
                <w:szCs w:val="28"/>
              </w:rPr>
              <w:lastRenderedPageBreak/>
              <w:t>neparedzot avansa iespēju.</w:t>
            </w:r>
            <w:r w:rsidRPr="009432FB">
              <w:rPr>
                <w:rFonts w:ascii="Times New Roman" w:hAnsi="Times New Roman" w:cs="Times New Roman"/>
                <w:sz w:val="28"/>
                <w:szCs w:val="28"/>
              </w:rPr>
              <w:t xml:space="preserve"> </w:t>
            </w:r>
          </w:p>
          <w:p w:rsidR="009432FB" w:rsidRDefault="009432FB" w:rsidP="009432FB">
            <w:pPr>
              <w:pStyle w:val="Sarakstarindkopa"/>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Valsts augu aizsardzības dienestam (VAAD) tiks palielināti izdevumi 2014.gadā par </w:t>
            </w:r>
            <w:r w:rsidRPr="009432FB">
              <w:rPr>
                <w:rFonts w:ascii="Times New Roman" w:hAnsi="Times New Roman" w:cs="Times New Roman"/>
                <w:sz w:val="28"/>
                <w:szCs w:val="28"/>
              </w:rPr>
              <w:t>EUR 130</w:t>
            </w:r>
            <w:r>
              <w:rPr>
                <w:rFonts w:ascii="Times New Roman" w:hAnsi="Times New Roman" w:cs="Times New Roman"/>
                <w:sz w:val="28"/>
                <w:szCs w:val="28"/>
              </w:rPr>
              <w:t xml:space="preserve"> </w:t>
            </w:r>
            <w:r w:rsidRPr="009432FB">
              <w:rPr>
                <w:rFonts w:ascii="Times New Roman" w:hAnsi="Times New Roman" w:cs="Times New Roman"/>
                <w:sz w:val="28"/>
                <w:szCs w:val="28"/>
              </w:rPr>
              <w:t xml:space="preserve">680 </w:t>
            </w:r>
            <w:r>
              <w:rPr>
                <w:rFonts w:ascii="Times New Roman" w:hAnsi="Times New Roman" w:cs="Times New Roman"/>
                <w:sz w:val="28"/>
                <w:szCs w:val="28"/>
              </w:rPr>
              <w:t>nodrošinot 6 vieglo automobiļu iegādi, kurus tika plānots iegādāties 2015.gadā.  Automobiļi paredzēti, lai</w:t>
            </w:r>
            <w:r w:rsidRPr="009432FB">
              <w:rPr>
                <w:rFonts w:ascii="Times New Roman" w:hAnsi="Times New Roman" w:cs="Times New Roman"/>
                <w:sz w:val="28"/>
                <w:szCs w:val="28"/>
              </w:rPr>
              <w:t xml:space="preserve"> atjaunotu VAAD novecojušo autoparku, VAAD nozares specifisko funkciju veikšanai ir nepieciešami vieglie automobiļi, kas paredzētas lietošanai pa zemākās kategorijas valsts vai pašvaldību autoceļiem, kā arī pa lauku ceļiem. Automobiļiem izvirzāmas šādas paaugstinātās tehniskās prasības - automobilim ir paaugstināts klīrenss, automobilis aprīkots ar pilnpiedziņu, automobiļa aizmugurējie sēdekļi ir transformējami un izņemami. </w:t>
            </w:r>
          </w:p>
          <w:p w:rsidR="00183F4E" w:rsidRPr="007F1729" w:rsidRDefault="009432FB" w:rsidP="007F1729">
            <w:pPr>
              <w:pStyle w:val="Sarakstarindkopa"/>
              <w:numPr>
                <w:ilvl w:val="0"/>
                <w:numId w:val="6"/>
              </w:numPr>
              <w:spacing w:line="240" w:lineRule="auto"/>
              <w:jc w:val="both"/>
              <w:rPr>
                <w:rFonts w:ascii="Times New Roman" w:hAnsi="Times New Roman" w:cs="Times New Roman"/>
                <w:iCs/>
                <w:sz w:val="28"/>
                <w:szCs w:val="28"/>
                <w:lang w:eastAsia="lv-LV"/>
              </w:rPr>
            </w:pPr>
            <w:r>
              <w:rPr>
                <w:rFonts w:ascii="Times New Roman" w:hAnsi="Times New Roman" w:cs="Times New Roman"/>
                <w:sz w:val="28"/>
                <w:szCs w:val="28"/>
              </w:rPr>
              <w:t xml:space="preserve">Valsts meža dienestam tiks palielināti izdevumi 2014.gadā </w:t>
            </w:r>
            <w:r w:rsidR="007F1729">
              <w:rPr>
                <w:rFonts w:ascii="Times New Roman" w:hAnsi="Times New Roman" w:cs="Times New Roman"/>
                <w:sz w:val="28"/>
                <w:szCs w:val="28"/>
              </w:rPr>
              <w:t xml:space="preserve">par EUR 285 030 </w:t>
            </w:r>
            <w:r>
              <w:rPr>
                <w:rFonts w:ascii="Times New Roman" w:hAnsi="Times New Roman" w:cs="Times New Roman"/>
                <w:sz w:val="28"/>
                <w:szCs w:val="28"/>
              </w:rPr>
              <w:t xml:space="preserve">nodrošinot </w:t>
            </w:r>
            <w:r w:rsidR="007F1729" w:rsidRPr="009432FB">
              <w:rPr>
                <w:rFonts w:ascii="Times New Roman" w:hAnsi="Times New Roman" w:cs="Times New Roman"/>
                <w:sz w:val="28"/>
                <w:szCs w:val="28"/>
              </w:rPr>
              <w:t>divu specializēto meža ugunsapsardzības autocisternu piegādi</w:t>
            </w:r>
            <w:r w:rsidR="008257C1">
              <w:rPr>
                <w:rFonts w:ascii="Times New Roman" w:hAnsi="Times New Roman" w:cs="Times New Roman"/>
                <w:sz w:val="28"/>
                <w:szCs w:val="28"/>
              </w:rPr>
              <w:t xml:space="preserve"> kuras tika plānots iegādāties 2015 un 2016.gados</w:t>
            </w:r>
            <w:r w:rsidR="007F1729">
              <w:rPr>
                <w:rFonts w:ascii="Times New Roman" w:hAnsi="Times New Roman" w:cs="Times New Roman"/>
                <w:sz w:val="28"/>
                <w:szCs w:val="28"/>
              </w:rPr>
              <w:t xml:space="preserve">. </w:t>
            </w:r>
            <w:r w:rsidRPr="009432FB">
              <w:rPr>
                <w:rFonts w:ascii="Times New Roman" w:hAnsi="Times New Roman" w:cs="Times New Roman"/>
                <w:sz w:val="28"/>
                <w:szCs w:val="28"/>
              </w:rPr>
              <w:t>Valsts meža dienests 2014. gadā ir izsludinājis atklātu konkursu par</w:t>
            </w:r>
            <w:r w:rsidR="007F1729" w:rsidRPr="009432FB">
              <w:rPr>
                <w:rFonts w:ascii="Times New Roman" w:hAnsi="Times New Roman" w:cs="Times New Roman"/>
                <w:sz w:val="28"/>
                <w:szCs w:val="28"/>
              </w:rPr>
              <w:t xml:space="preserve"> divu specializēto meža ugunsapsardzības autocisternu piegādi</w:t>
            </w:r>
            <w:r w:rsidRPr="009432FB">
              <w:rPr>
                <w:rFonts w:ascii="Times New Roman" w:hAnsi="Times New Roman" w:cs="Times New Roman"/>
                <w:sz w:val="28"/>
                <w:szCs w:val="28"/>
              </w:rPr>
              <w:t>. Izvēloties iepirkuma procedūrā iesniegto piedāvājumu ar zemāko cenu, Valsts meža dienesta plānotais finansējums autocisternu iegādei izrādījās nepietiekams</w:t>
            </w:r>
            <w:r w:rsidR="007F1729">
              <w:rPr>
                <w:rFonts w:ascii="Times New Roman" w:hAnsi="Times New Roman" w:cs="Times New Roman"/>
                <w:sz w:val="28"/>
                <w:szCs w:val="28"/>
              </w:rPr>
              <w:t>.</w:t>
            </w:r>
            <w:r w:rsidRPr="009432FB">
              <w:rPr>
                <w:rFonts w:ascii="Times New Roman" w:hAnsi="Times New Roman" w:cs="Times New Roman"/>
                <w:sz w:val="28"/>
                <w:szCs w:val="28"/>
              </w:rPr>
              <w:t xml:space="preserve"> Sadārdzinājums pret plānoto iestājies sakarā ar to, ka sākot ar 2014. gadu šāda veida transportlīdzeklim jāatbilst EURO 6 emisijas standartam, ražotājs ir būtiski paaugstinājis autocisternas cenu, pamatojot to ar lielajām investīcijām EURO 6 standarta prasību atbilstības nodrošināšanai</w:t>
            </w:r>
            <w:r w:rsidR="007F1729">
              <w:rPr>
                <w:rFonts w:ascii="Times New Roman" w:hAnsi="Times New Roman" w:cs="Times New Roman"/>
                <w:sz w:val="28"/>
                <w:szCs w:val="28"/>
              </w:rPr>
              <w:t>.</w:t>
            </w:r>
            <w:r w:rsidRPr="009432FB">
              <w:rPr>
                <w:rFonts w:ascii="Times New Roman" w:hAnsi="Times New Roman" w:cs="Times New Roman"/>
                <w:sz w:val="28"/>
                <w:szCs w:val="28"/>
              </w:rPr>
              <w:t xml:space="preserve">   </w:t>
            </w:r>
          </w:p>
          <w:p w:rsidR="007F1729" w:rsidRPr="005F48DF" w:rsidRDefault="007F1729" w:rsidP="007F1729">
            <w:pPr>
              <w:pStyle w:val="Sarakstarindkopa"/>
              <w:spacing w:line="240" w:lineRule="auto"/>
              <w:ind w:left="360"/>
              <w:jc w:val="both"/>
              <w:rPr>
                <w:rFonts w:ascii="Times New Roman" w:hAnsi="Times New Roman" w:cs="Times New Roman"/>
                <w:iCs/>
                <w:sz w:val="28"/>
                <w:szCs w:val="28"/>
                <w:lang w:eastAsia="lv-LV"/>
              </w:rPr>
            </w:pPr>
            <w:r>
              <w:rPr>
                <w:rFonts w:ascii="Times New Roman" w:hAnsi="Times New Roman" w:cs="Times New Roman"/>
                <w:sz w:val="28"/>
                <w:szCs w:val="28"/>
              </w:rPr>
              <w:t>Visas iepriekšminētās izdevumu izmaiņas starp gadiem un ZM iestādēm tiek veiktas neietekmējot Zemkopības ministrijai piešķirto finansējumu vidējā termiņā.</w:t>
            </w:r>
          </w:p>
        </w:tc>
      </w:tr>
      <w:tr w:rsidR="00AE5338" w:rsidRPr="005F48DF" w:rsidTr="00017C64">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lastRenderedPageBreak/>
              <w:t>3.</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Projekta izstrādē iesaistītās institūcijas</w:t>
            </w:r>
          </w:p>
        </w:tc>
        <w:tc>
          <w:tcPr>
            <w:tcW w:w="3019" w:type="pct"/>
            <w:tcBorders>
              <w:top w:val="outset" w:sz="6" w:space="0" w:color="414142"/>
              <w:left w:val="outset" w:sz="6" w:space="0" w:color="414142"/>
              <w:bottom w:val="outset" w:sz="6" w:space="0" w:color="414142"/>
              <w:right w:val="outset" w:sz="6" w:space="0" w:color="414142"/>
            </w:tcBorders>
            <w:hideMark/>
          </w:tcPr>
          <w:p w:rsidR="00D614AF" w:rsidRPr="005F48DF" w:rsidRDefault="001D767D" w:rsidP="00183F4E">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Zemkopības ministrija, Lauku atbalsta dienests, Lauksaimniecības datu centrs, Valsts augu aizsardzības dienests, Valsts meža dienests</w:t>
            </w:r>
          </w:p>
          <w:p w:rsidR="003459A9" w:rsidRPr="005F48DF" w:rsidRDefault="003459A9" w:rsidP="00183F4E">
            <w:pPr>
              <w:spacing w:after="0" w:line="240" w:lineRule="auto"/>
              <w:jc w:val="both"/>
              <w:rPr>
                <w:rFonts w:ascii="Times New Roman" w:eastAsia="Times New Roman" w:hAnsi="Times New Roman" w:cs="Times New Roman"/>
                <w:sz w:val="28"/>
                <w:szCs w:val="28"/>
                <w:lang w:eastAsia="lv-LV"/>
              </w:rPr>
            </w:pPr>
          </w:p>
        </w:tc>
      </w:tr>
      <w:tr w:rsidR="00AE5338" w:rsidRPr="005F48DF" w:rsidTr="00017C64">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4.</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Cita informācija</w:t>
            </w:r>
          </w:p>
        </w:tc>
        <w:tc>
          <w:tcPr>
            <w:tcW w:w="3019"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Nav</w:t>
            </w:r>
          </w:p>
        </w:tc>
      </w:tr>
      <w:tr w:rsidR="00514935" w:rsidRPr="005F48DF" w:rsidTr="00514935">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514935" w:rsidRPr="005F48DF" w:rsidRDefault="00514935" w:rsidP="00C910A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F48D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AE5338" w:rsidRPr="005F48DF" w:rsidTr="003459A9">
        <w:trPr>
          <w:trHeight w:val="465"/>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1.</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 xml:space="preserve">Sabiedrības mērķgrupas, kuras </w:t>
            </w:r>
            <w:r w:rsidRPr="005F48DF">
              <w:rPr>
                <w:rFonts w:ascii="Times New Roman" w:eastAsia="Times New Roman" w:hAnsi="Times New Roman" w:cs="Times New Roman"/>
                <w:sz w:val="28"/>
                <w:szCs w:val="28"/>
                <w:lang w:eastAsia="lv-LV"/>
              </w:rPr>
              <w:lastRenderedPageBreak/>
              <w:t>tiesiskais regulējums ietekmē vai varētu ietekmēt</w:t>
            </w:r>
          </w:p>
        </w:tc>
        <w:tc>
          <w:tcPr>
            <w:tcW w:w="3019" w:type="pct"/>
            <w:tcBorders>
              <w:top w:val="outset" w:sz="6" w:space="0" w:color="414142"/>
              <w:left w:val="outset" w:sz="6" w:space="0" w:color="414142"/>
              <w:bottom w:val="outset" w:sz="6" w:space="0" w:color="414142"/>
              <w:right w:val="outset" w:sz="6" w:space="0" w:color="414142"/>
            </w:tcBorders>
            <w:hideMark/>
          </w:tcPr>
          <w:p w:rsidR="000A7055" w:rsidRPr="005F48DF" w:rsidRDefault="00283BAF" w:rsidP="00D75EDF">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lastRenderedPageBreak/>
              <w:t>Projekts šo jomu neskar</w:t>
            </w:r>
          </w:p>
        </w:tc>
      </w:tr>
      <w:tr w:rsidR="00AE5338" w:rsidRPr="005F48DF" w:rsidTr="003459A9">
        <w:trPr>
          <w:trHeight w:val="510"/>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lastRenderedPageBreak/>
              <w:t>2.</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Tiesiskā regulējuma ietekme uz tautsaimniecību un administratīvo slogu</w:t>
            </w:r>
          </w:p>
        </w:tc>
        <w:tc>
          <w:tcPr>
            <w:tcW w:w="3019" w:type="pct"/>
            <w:tcBorders>
              <w:top w:val="outset" w:sz="6" w:space="0" w:color="414142"/>
              <w:left w:val="outset" w:sz="6" w:space="0" w:color="414142"/>
              <w:bottom w:val="outset" w:sz="6" w:space="0" w:color="414142"/>
              <w:right w:val="outset" w:sz="6" w:space="0" w:color="414142"/>
            </w:tcBorders>
            <w:hideMark/>
          </w:tcPr>
          <w:p w:rsidR="00B644EA" w:rsidRPr="005F48DF" w:rsidRDefault="00E11BA0"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Projekts šo jomu neskar</w:t>
            </w:r>
          </w:p>
        </w:tc>
      </w:tr>
      <w:tr w:rsidR="00AE5338" w:rsidRPr="005F48DF" w:rsidTr="003459A9">
        <w:trPr>
          <w:trHeight w:val="510"/>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3.</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Administratīvo izmaksu monetārs novērtējums</w:t>
            </w:r>
          </w:p>
        </w:tc>
        <w:tc>
          <w:tcPr>
            <w:tcW w:w="3019" w:type="pct"/>
            <w:tcBorders>
              <w:top w:val="outset" w:sz="6" w:space="0" w:color="414142"/>
              <w:left w:val="outset" w:sz="6" w:space="0" w:color="414142"/>
              <w:bottom w:val="outset" w:sz="6" w:space="0" w:color="414142"/>
              <w:right w:val="outset" w:sz="6" w:space="0" w:color="414142"/>
            </w:tcBorders>
            <w:hideMark/>
          </w:tcPr>
          <w:p w:rsidR="007E2D71" w:rsidRPr="005F48DF" w:rsidRDefault="0012402C"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sz w:val="28"/>
                <w:szCs w:val="28"/>
                <w:lang w:eastAsia="lv-LV"/>
              </w:rPr>
              <w:t>P</w:t>
            </w:r>
            <w:r w:rsidR="007E2D71" w:rsidRPr="005F48DF">
              <w:rPr>
                <w:rFonts w:ascii="Times New Roman" w:eastAsia="Times New Roman" w:hAnsi="Times New Roman"/>
                <w:sz w:val="28"/>
                <w:szCs w:val="28"/>
                <w:lang w:eastAsia="lv-LV"/>
              </w:rPr>
              <w:t>rojekts šo jomu neskar</w:t>
            </w:r>
          </w:p>
        </w:tc>
      </w:tr>
      <w:tr w:rsidR="00AE5338" w:rsidRPr="005F48DF" w:rsidTr="003459A9">
        <w:trPr>
          <w:trHeight w:val="345"/>
        </w:trPr>
        <w:tc>
          <w:tcPr>
            <w:tcW w:w="397"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4.</w:t>
            </w:r>
          </w:p>
        </w:tc>
        <w:tc>
          <w:tcPr>
            <w:tcW w:w="1584" w:type="pct"/>
            <w:gridSpan w:val="2"/>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Cita informācija</w:t>
            </w:r>
          </w:p>
        </w:tc>
        <w:tc>
          <w:tcPr>
            <w:tcW w:w="3019"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Nav</w:t>
            </w:r>
          </w:p>
        </w:tc>
      </w:tr>
      <w:tr w:rsidR="003547A7" w:rsidRPr="005F48DF" w:rsidTr="00B95246">
        <w:tblPrEx>
          <w:jc w:val="center"/>
        </w:tblPrEx>
        <w:trPr>
          <w:trHeight w:val="36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3547A7" w:rsidRPr="005F48DF" w:rsidRDefault="003547A7" w:rsidP="00B333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F48DF">
              <w:rPr>
                <w:rFonts w:ascii="Times New Roman" w:eastAsia="Times New Roman" w:hAnsi="Times New Roman" w:cs="Times New Roman"/>
                <w:b/>
                <w:bCs/>
                <w:sz w:val="28"/>
                <w:szCs w:val="28"/>
                <w:lang w:eastAsia="lv-LV"/>
              </w:rPr>
              <w:t>III. Tiesību akta projekta ietekme uz valsts budžetu un pašvaldību budžetiem</w:t>
            </w:r>
          </w:p>
        </w:tc>
      </w:tr>
      <w:tr w:rsidR="003547A7" w:rsidRPr="005F48DF" w:rsidTr="00B95246">
        <w:tblPrEx>
          <w:jc w:val="center"/>
        </w:tblPrEx>
        <w:trPr>
          <w:jc w:val="center"/>
        </w:trPr>
        <w:tc>
          <w:tcPr>
            <w:tcW w:w="989" w:type="pct"/>
            <w:gridSpan w:val="2"/>
            <w:tcBorders>
              <w:top w:val="outset" w:sz="6" w:space="0" w:color="414142"/>
              <w:left w:val="outset" w:sz="6" w:space="0" w:color="414142"/>
              <w:bottom w:val="outset" w:sz="6" w:space="0" w:color="414142"/>
              <w:right w:val="outset" w:sz="6" w:space="0" w:color="414142"/>
            </w:tcBorders>
          </w:tcPr>
          <w:p w:rsidR="003547A7" w:rsidRPr="005F48DF" w:rsidRDefault="003547A7" w:rsidP="003547A7">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7. Cita informācija</w:t>
            </w:r>
          </w:p>
        </w:tc>
        <w:tc>
          <w:tcPr>
            <w:tcW w:w="4011" w:type="pct"/>
            <w:gridSpan w:val="2"/>
            <w:tcBorders>
              <w:top w:val="outset" w:sz="6" w:space="0" w:color="414142"/>
              <w:left w:val="outset" w:sz="6" w:space="0" w:color="414142"/>
              <w:bottom w:val="outset" w:sz="6" w:space="0" w:color="414142"/>
              <w:right w:val="outset" w:sz="6" w:space="0" w:color="414142"/>
            </w:tcBorders>
            <w:vAlign w:val="center"/>
          </w:tcPr>
          <w:p w:rsidR="003547A7" w:rsidRPr="005F48DF" w:rsidRDefault="00BC6323" w:rsidP="003547A7">
            <w:pPr>
              <w:pStyle w:val="tv2131"/>
              <w:shd w:val="clear" w:color="auto" w:fill="FFFFFF" w:themeFill="background1"/>
              <w:spacing w:line="240" w:lineRule="auto"/>
              <w:ind w:firstLine="0"/>
              <w:jc w:val="both"/>
              <w:rPr>
                <w:rFonts w:eastAsiaTheme="minorHAnsi"/>
                <w:color w:val="auto"/>
                <w:sz w:val="28"/>
                <w:szCs w:val="28"/>
                <w:lang w:eastAsia="en-US"/>
              </w:rPr>
            </w:pPr>
            <w:r w:rsidRPr="005F48DF">
              <w:rPr>
                <w:rFonts w:eastAsiaTheme="minorHAnsi"/>
                <w:color w:val="auto"/>
                <w:sz w:val="28"/>
                <w:szCs w:val="28"/>
                <w:lang w:eastAsia="en-US"/>
              </w:rPr>
              <w:t>Apropriācijas pārdale tiek veikta Zemkopības ministrijai piešķirto valsts budžeta līdzekļu ietvaros.</w:t>
            </w:r>
          </w:p>
          <w:p w:rsidR="003547A7" w:rsidRPr="005F48DF" w:rsidRDefault="003547A7" w:rsidP="003547A7">
            <w:pPr>
              <w:pStyle w:val="tv2131"/>
              <w:shd w:val="clear" w:color="auto" w:fill="FFFFFF" w:themeFill="background1"/>
              <w:spacing w:line="240" w:lineRule="auto"/>
              <w:ind w:firstLine="0"/>
              <w:jc w:val="both"/>
              <w:rPr>
                <w:rFonts w:eastAsiaTheme="minorHAnsi"/>
                <w:color w:val="auto"/>
                <w:sz w:val="28"/>
                <w:szCs w:val="28"/>
                <w:lang w:eastAsia="en-US"/>
              </w:rPr>
            </w:pPr>
          </w:p>
        </w:tc>
      </w:tr>
    </w:tbl>
    <w:p w:rsidR="000F3892" w:rsidRPr="005F48DF" w:rsidRDefault="000F3892" w:rsidP="00C910AC">
      <w:pPr>
        <w:jc w:val="both"/>
        <w:rPr>
          <w:rFonts w:ascii="Times New Roman" w:hAnsi="Times New Roman" w:cs="Times New Roman"/>
          <w:sz w:val="28"/>
          <w:szCs w:val="28"/>
        </w:rPr>
      </w:pPr>
    </w:p>
    <w:p w:rsidR="002A0F4A" w:rsidRPr="005F48DF" w:rsidRDefault="002A0F4A" w:rsidP="002A0F4A">
      <w:pPr>
        <w:pStyle w:val="naisf"/>
        <w:spacing w:before="0" w:after="0"/>
        <w:ind w:firstLine="0"/>
        <w:rPr>
          <w:sz w:val="28"/>
          <w:szCs w:val="28"/>
        </w:rPr>
      </w:pPr>
      <w:r w:rsidRPr="005F48DF">
        <w:rPr>
          <w:sz w:val="28"/>
          <w:szCs w:val="28"/>
        </w:rPr>
        <w:t xml:space="preserve">Anotācijas  </w:t>
      </w:r>
      <w:r w:rsidR="00BC6323" w:rsidRPr="005F48DF">
        <w:rPr>
          <w:sz w:val="28"/>
          <w:szCs w:val="28"/>
        </w:rPr>
        <w:t>I</w:t>
      </w:r>
      <w:r w:rsidR="00417D8C" w:rsidRPr="005F48DF">
        <w:rPr>
          <w:sz w:val="28"/>
          <w:szCs w:val="28"/>
        </w:rPr>
        <w:t>V</w:t>
      </w:r>
      <w:r w:rsidRPr="005F48DF">
        <w:rPr>
          <w:sz w:val="28"/>
          <w:szCs w:val="28"/>
        </w:rPr>
        <w:t xml:space="preserve"> un VI sadaļa – projekts šīs jomas neskar.</w:t>
      </w:r>
    </w:p>
    <w:p w:rsidR="00972FDE" w:rsidRPr="005F48DF" w:rsidRDefault="00972FDE" w:rsidP="002A0F4A">
      <w:pPr>
        <w:pStyle w:val="naisf"/>
        <w:spacing w:before="0" w:after="0"/>
        <w:ind w:firstLine="0"/>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14935" w:rsidRPr="005F48DF"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14935" w:rsidRPr="005F48DF" w:rsidRDefault="00514935" w:rsidP="0051493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F48DF">
              <w:rPr>
                <w:rFonts w:ascii="Arial" w:eastAsia="Times New Roman" w:hAnsi="Arial" w:cs="Arial"/>
                <w:sz w:val="28"/>
                <w:szCs w:val="28"/>
                <w:lang w:eastAsia="lv-LV"/>
              </w:rPr>
              <w:t> </w:t>
            </w:r>
            <w:r w:rsidRPr="005F48DF">
              <w:rPr>
                <w:rFonts w:ascii="Times New Roman" w:eastAsia="Times New Roman" w:hAnsi="Times New Roman" w:cs="Times New Roman"/>
                <w:b/>
                <w:bCs/>
                <w:sz w:val="28"/>
                <w:szCs w:val="28"/>
                <w:lang w:eastAsia="lv-LV"/>
              </w:rPr>
              <w:t>VII. Tiesību akta projekta izpildes nodrošināšana un tās ietekme uz institūcijām</w:t>
            </w:r>
          </w:p>
        </w:tc>
      </w:tr>
      <w:tr w:rsidR="00514935" w:rsidRPr="005F48DF" w:rsidTr="005149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94C72" w:rsidRPr="005F48DF" w:rsidRDefault="00994C72" w:rsidP="00994C72">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Zemkopības ministrija, Lauku atbalsta dienests, Lauksaimniecības datu centrs, Valsts augu aizsardzības dienests, Valsts meža dienests</w:t>
            </w:r>
          </w:p>
          <w:p w:rsidR="0098651A" w:rsidRPr="005F48DF" w:rsidRDefault="0098651A" w:rsidP="004019A6">
            <w:pPr>
              <w:spacing w:after="0" w:line="240" w:lineRule="auto"/>
              <w:jc w:val="both"/>
              <w:rPr>
                <w:rFonts w:ascii="Times New Roman" w:eastAsia="Times New Roman" w:hAnsi="Times New Roman" w:cs="Times New Roman"/>
                <w:sz w:val="28"/>
                <w:szCs w:val="28"/>
                <w:lang w:eastAsia="lv-LV"/>
              </w:rPr>
            </w:pPr>
          </w:p>
        </w:tc>
      </w:tr>
      <w:tr w:rsidR="00514935" w:rsidRPr="005F48DF" w:rsidTr="0051493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10AC"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Projekta izpildes ietekme uz pārvaldes funkcijām un institucionālo struktūru.</w:t>
            </w:r>
          </w:p>
          <w:p w:rsidR="00514935" w:rsidRPr="005F48DF" w:rsidRDefault="00514935" w:rsidP="00C910AC">
            <w:pPr>
              <w:spacing w:after="0" w:line="240" w:lineRule="auto"/>
              <w:jc w:val="both"/>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 xml:space="preserve">Jaunu institūciju izveide, esošu institūciju likvidācija </w:t>
            </w:r>
            <w:r w:rsidRPr="005F48DF">
              <w:rPr>
                <w:rFonts w:ascii="Times New Roman" w:eastAsia="Times New Roman" w:hAnsi="Times New Roman" w:cs="Times New Roman"/>
                <w:sz w:val="28"/>
                <w:szCs w:val="28"/>
                <w:lang w:eastAsia="lv-LV"/>
              </w:rPr>
              <w:lastRenderedPageBreak/>
              <w:t>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8651A" w:rsidRPr="005F48DF" w:rsidRDefault="0098651A"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lastRenderedPageBreak/>
              <w:t xml:space="preserve">Projekts šo jomu neskar </w:t>
            </w:r>
            <w:r w:rsidR="00B333A0" w:rsidRPr="005F48DF">
              <w:rPr>
                <w:rFonts w:ascii="Times New Roman" w:eastAsia="Times New Roman" w:hAnsi="Times New Roman" w:cs="Times New Roman"/>
                <w:sz w:val="28"/>
                <w:szCs w:val="28"/>
                <w:lang w:eastAsia="lv-LV"/>
              </w:rPr>
              <w:t>.</w:t>
            </w:r>
          </w:p>
        </w:tc>
      </w:tr>
      <w:tr w:rsidR="00514935" w:rsidRPr="005F48DF" w:rsidTr="0051493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after="0" w:line="240" w:lineRule="auto"/>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14935" w:rsidRPr="005F48DF" w:rsidRDefault="00514935" w:rsidP="00514935">
            <w:pPr>
              <w:spacing w:before="100" w:beforeAutospacing="1" w:after="100" w:afterAutospacing="1" w:line="293" w:lineRule="atLeast"/>
              <w:rPr>
                <w:rFonts w:ascii="Times New Roman" w:eastAsia="Times New Roman" w:hAnsi="Times New Roman" w:cs="Times New Roman"/>
                <w:sz w:val="28"/>
                <w:szCs w:val="28"/>
                <w:lang w:eastAsia="lv-LV"/>
              </w:rPr>
            </w:pPr>
            <w:r w:rsidRPr="005F48DF">
              <w:rPr>
                <w:rFonts w:ascii="Times New Roman" w:eastAsia="Times New Roman" w:hAnsi="Times New Roman" w:cs="Times New Roman"/>
                <w:sz w:val="28"/>
                <w:szCs w:val="28"/>
                <w:lang w:eastAsia="lv-LV"/>
              </w:rPr>
              <w:t>Nav</w:t>
            </w:r>
          </w:p>
        </w:tc>
      </w:tr>
    </w:tbl>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8651A" w:rsidRPr="005F48DF" w:rsidRDefault="00994C72" w:rsidP="00934DBF">
      <w:pPr>
        <w:spacing w:after="0" w:line="240" w:lineRule="auto"/>
        <w:ind w:firstLine="720"/>
        <w:rPr>
          <w:rFonts w:ascii="Times New Roman" w:hAnsi="Times New Roman" w:cs="Times New Roman"/>
          <w:sz w:val="28"/>
          <w:szCs w:val="28"/>
        </w:rPr>
      </w:pPr>
      <w:r w:rsidRPr="005F48DF">
        <w:rPr>
          <w:rFonts w:ascii="Times New Roman" w:hAnsi="Times New Roman" w:cs="Times New Roman"/>
          <w:sz w:val="28"/>
          <w:szCs w:val="28"/>
        </w:rPr>
        <w:t>Zemkopības ministrs</w:t>
      </w:r>
      <w:r w:rsidR="0098651A" w:rsidRPr="005F48DF">
        <w:rPr>
          <w:rFonts w:ascii="Times New Roman" w:hAnsi="Times New Roman" w:cs="Times New Roman"/>
          <w:sz w:val="28"/>
          <w:szCs w:val="28"/>
        </w:rPr>
        <w:t xml:space="preserve">                                                   </w:t>
      </w:r>
      <w:r w:rsidR="008257C1">
        <w:rPr>
          <w:rFonts w:ascii="Times New Roman" w:hAnsi="Times New Roman" w:cs="Times New Roman"/>
          <w:sz w:val="28"/>
          <w:szCs w:val="28"/>
        </w:rPr>
        <w:tab/>
      </w:r>
      <w:r w:rsidR="00934DBF">
        <w:rPr>
          <w:rFonts w:ascii="Times New Roman" w:hAnsi="Times New Roman" w:cs="Times New Roman"/>
          <w:sz w:val="28"/>
          <w:szCs w:val="28"/>
        </w:rPr>
        <w:t xml:space="preserve"> </w:t>
      </w:r>
      <w:r w:rsidRPr="005F48DF">
        <w:rPr>
          <w:rFonts w:ascii="Times New Roman" w:hAnsi="Times New Roman" w:cs="Times New Roman"/>
          <w:sz w:val="28"/>
          <w:szCs w:val="28"/>
        </w:rPr>
        <w:t>J.Dūklavs</w:t>
      </w:r>
      <w:r w:rsidR="0098651A" w:rsidRPr="005F48DF">
        <w:rPr>
          <w:rFonts w:ascii="Times New Roman" w:hAnsi="Times New Roman" w:cs="Times New Roman"/>
          <w:sz w:val="28"/>
          <w:szCs w:val="28"/>
        </w:rPr>
        <w:tab/>
        <w:t xml:space="preserve">                                   </w:t>
      </w: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F6507B" w:rsidRDefault="0098651A" w:rsidP="00934DBF">
      <w:pPr>
        <w:spacing w:after="0" w:line="240" w:lineRule="auto"/>
        <w:ind w:firstLine="720"/>
        <w:rPr>
          <w:rFonts w:ascii="Times New Roman" w:hAnsi="Times New Roman" w:cs="Times New Roman"/>
          <w:sz w:val="28"/>
          <w:szCs w:val="28"/>
        </w:rPr>
      </w:pPr>
      <w:r w:rsidRPr="005F48DF">
        <w:rPr>
          <w:rFonts w:ascii="Times New Roman" w:hAnsi="Times New Roman" w:cs="Times New Roman"/>
          <w:sz w:val="28"/>
          <w:szCs w:val="28"/>
        </w:rPr>
        <w:t xml:space="preserve">Valsts sekretāre     </w:t>
      </w:r>
      <w:r w:rsidR="00934DBF">
        <w:rPr>
          <w:rFonts w:ascii="Times New Roman" w:hAnsi="Times New Roman" w:cs="Times New Roman"/>
          <w:sz w:val="28"/>
          <w:szCs w:val="28"/>
        </w:rPr>
        <w:t xml:space="preserve">                               </w:t>
      </w:r>
      <w:r w:rsidR="00934DBF">
        <w:rPr>
          <w:rFonts w:ascii="Times New Roman" w:hAnsi="Times New Roman" w:cs="Times New Roman"/>
          <w:sz w:val="28"/>
          <w:szCs w:val="28"/>
        </w:rPr>
        <w:tab/>
      </w:r>
      <w:r w:rsidR="00934DBF">
        <w:rPr>
          <w:rFonts w:ascii="Times New Roman" w:hAnsi="Times New Roman" w:cs="Times New Roman"/>
          <w:sz w:val="28"/>
          <w:szCs w:val="28"/>
        </w:rPr>
        <w:tab/>
      </w:r>
      <w:r w:rsidRPr="005F48DF">
        <w:rPr>
          <w:rFonts w:ascii="Times New Roman" w:hAnsi="Times New Roman" w:cs="Times New Roman"/>
          <w:sz w:val="28"/>
          <w:szCs w:val="28"/>
        </w:rPr>
        <w:t xml:space="preserve">    </w:t>
      </w:r>
      <w:r w:rsidR="008257C1">
        <w:rPr>
          <w:rFonts w:ascii="Times New Roman" w:hAnsi="Times New Roman" w:cs="Times New Roman"/>
          <w:sz w:val="28"/>
          <w:szCs w:val="28"/>
        </w:rPr>
        <w:t xml:space="preserve">            </w:t>
      </w:r>
      <w:r w:rsidR="00934DBF">
        <w:rPr>
          <w:rFonts w:ascii="Times New Roman" w:hAnsi="Times New Roman" w:cs="Times New Roman"/>
          <w:sz w:val="28"/>
          <w:szCs w:val="28"/>
        </w:rPr>
        <w:tab/>
      </w:r>
      <w:r w:rsidR="008257C1">
        <w:rPr>
          <w:rFonts w:ascii="Times New Roman" w:hAnsi="Times New Roman" w:cs="Times New Roman"/>
          <w:sz w:val="28"/>
          <w:szCs w:val="28"/>
        </w:rPr>
        <w:t xml:space="preserve"> </w:t>
      </w:r>
      <w:r w:rsidR="002356F5" w:rsidRPr="005F48DF">
        <w:rPr>
          <w:rFonts w:ascii="Times New Roman" w:hAnsi="Times New Roman" w:cs="Times New Roman"/>
          <w:sz w:val="28"/>
          <w:szCs w:val="28"/>
        </w:rPr>
        <w:t>D.Lucaua</w:t>
      </w: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Default="00934DBF" w:rsidP="00934DBF">
      <w:pPr>
        <w:spacing w:after="0" w:line="240" w:lineRule="auto"/>
        <w:ind w:firstLine="720"/>
        <w:rPr>
          <w:rFonts w:ascii="Times New Roman" w:hAnsi="Times New Roman" w:cs="Times New Roman"/>
          <w:sz w:val="28"/>
          <w:szCs w:val="28"/>
        </w:rPr>
      </w:pPr>
    </w:p>
    <w:p w:rsidR="00934DBF" w:rsidRPr="005F48DF" w:rsidRDefault="00934DBF" w:rsidP="00934DBF">
      <w:pPr>
        <w:spacing w:after="0" w:line="240" w:lineRule="auto"/>
        <w:ind w:firstLine="720"/>
        <w:rPr>
          <w:rFonts w:ascii="Times New Roman" w:hAnsi="Times New Roman" w:cs="Times New Roman"/>
          <w:sz w:val="28"/>
          <w:szCs w:val="28"/>
        </w:rPr>
      </w:pPr>
    </w:p>
    <w:p w:rsidR="00934DBF" w:rsidRDefault="00934DBF" w:rsidP="004F7C43">
      <w:pPr>
        <w:pStyle w:val="Bezatstarpm"/>
      </w:pPr>
      <w:r>
        <w:t>2014.06.20. 10:35</w:t>
      </w:r>
    </w:p>
    <w:p w:rsidR="00934DBF" w:rsidRDefault="00934DBF" w:rsidP="004F7C43">
      <w:pPr>
        <w:pStyle w:val="Bezatstarpm"/>
      </w:pPr>
      <w:fldSimple w:instr=" NUMWORDS   \* MERGEFORMAT ">
        <w:r>
          <w:rPr>
            <w:noProof/>
          </w:rPr>
          <w:t>1195</w:t>
        </w:r>
      </w:fldSimple>
    </w:p>
    <w:p w:rsidR="004F7C43" w:rsidRPr="00934DBF" w:rsidRDefault="004F7C43" w:rsidP="004F7C43">
      <w:pPr>
        <w:pStyle w:val="Bezatstarpm"/>
      </w:pPr>
      <w:bookmarkStart w:id="7" w:name="_GoBack"/>
      <w:bookmarkEnd w:id="7"/>
      <w:r w:rsidRPr="00934DBF">
        <w:t>Ņ.Ivanova</w:t>
      </w:r>
    </w:p>
    <w:p w:rsidR="0098651A" w:rsidRPr="00934DBF" w:rsidRDefault="004F7C43" w:rsidP="00934DBF">
      <w:pPr>
        <w:pStyle w:val="Bezatstarpm"/>
      </w:pPr>
      <w:r w:rsidRPr="00934DBF">
        <w:t>67027632, Nina.Ivanova@zm.gov.lv</w:t>
      </w:r>
    </w:p>
    <w:sectPr w:rsidR="0098651A" w:rsidRPr="00934DBF" w:rsidSect="00934DBF">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75" w:rsidRDefault="00864175" w:rsidP="0098651A">
      <w:pPr>
        <w:spacing w:after="0" w:line="240" w:lineRule="auto"/>
      </w:pPr>
      <w:r>
        <w:separator/>
      </w:r>
    </w:p>
  </w:endnote>
  <w:endnote w:type="continuationSeparator" w:id="0">
    <w:p w:rsidR="00864175" w:rsidRDefault="00864175"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46" w:rsidRPr="00934DBF" w:rsidRDefault="00B95246" w:rsidP="00934DBF">
    <w:pPr>
      <w:spacing w:after="0" w:line="240" w:lineRule="auto"/>
      <w:jc w:val="both"/>
      <w:rPr>
        <w:rFonts w:ascii="Times New Roman" w:hAnsi="Times New Roman" w:cs="Times New Roman"/>
        <w:sz w:val="24"/>
        <w:szCs w:val="24"/>
      </w:rPr>
    </w:pPr>
    <w:r w:rsidRPr="003459A9">
      <w:rPr>
        <w:rFonts w:ascii="Times New Roman" w:hAnsi="Times New Roman" w:cs="Times New Roman"/>
        <w:sz w:val="24"/>
        <w:szCs w:val="24"/>
      </w:rPr>
      <w:t>ZMAnot_</w:t>
    </w:r>
    <w:r w:rsidR="00283BAF">
      <w:rPr>
        <w:rFonts w:ascii="Times New Roman" w:hAnsi="Times New Roman" w:cs="Times New Roman"/>
        <w:sz w:val="24"/>
        <w:szCs w:val="24"/>
      </w:rPr>
      <w:t>19</w:t>
    </w:r>
    <w:r w:rsidRPr="003459A9">
      <w:rPr>
        <w:rFonts w:ascii="Times New Roman" w:hAnsi="Times New Roman" w:cs="Times New Roman"/>
        <w:sz w:val="24"/>
        <w:szCs w:val="24"/>
      </w:rPr>
      <w:t xml:space="preserve">0614_pardale; </w:t>
    </w:r>
    <w:r w:rsidRPr="003459A9">
      <w:rPr>
        <w:rFonts w:ascii="Times New Roman" w:eastAsia="Calibri" w:hAnsi="Times New Roman" w:cs="Times New Roman"/>
        <w:sz w:val="24"/>
        <w:szCs w:val="24"/>
      </w:rPr>
      <w:t xml:space="preserve">Ministru kabineta </w:t>
    </w:r>
    <w:r>
      <w:rPr>
        <w:rFonts w:ascii="Times New Roman" w:eastAsia="Calibri" w:hAnsi="Times New Roman" w:cs="Times New Roman"/>
        <w:sz w:val="24"/>
        <w:szCs w:val="24"/>
      </w:rPr>
      <w:t>rīkojuma</w:t>
    </w:r>
    <w:r w:rsidRPr="003459A9">
      <w:rPr>
        <w:rFonts w:ascii="Times New Roman" w:eastAsia="Calibri" w:hAnsi="Times New Roman" w:cs="Times New Roman"/>
        <w:sz w:val="24"/>
        <w:szCs w:val="24"/>
      </w:rPr>
      <w:t xml:space="preserve"> projekta </w:t>
    </w:r>
    <w:r w:rsidRPr="003459A9">
      <w:rPr>
        <w:rFonts w:ascii="Times New Roman" w:hAnsi="Times New Roman" w:cs="Times New Roman"/>
        <w:sz w:val="24"/>
        <w:szCs w:val="24"/>
      </w:rPr>
      <w:t>„Par apropriācijas pārdali</w:t>
    </w:r>
    <w:r>
      <w:rPr>
        <w:rFonts w:ascii="Times New Roman" w:hAnsi="Times New Roman" w:cs="Times New Roman"/>
        <w:sz w:val="24"/>
        <w:szCs w:val="24"/>
      </w:rPr>
      <w:t>”</w:t>
    </w:r>
    <w:r w:rsidRPr="003459A9">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46" w:rsidRPr="00934DBF" w:rsidRDefault="00B95246" w:rsidP="00934DBF">
    <w:pPr>
      <w:spacing w:after="0" w:line="240" w:lineRule="auto"/>
      <w:jc w:val="both"/>
      <w:rPr>
        <w:rFonts w:ascii="Times New Roman" w:hAnsi="Times New Roman" w:cs="Times New Roman"/>
        <w:sz w:val="24"/>
        <w:szCs w:val="24"/>
      </w:rPr>
    </w:pPr>
    <w:r w:rsidRPr="003459A9">
      <w:rPr>
        <w:rFonts w:ascii="Times New Roman" w:hAnsi="Times New Roman" w:cs="Times New Roman"/>
        <w:sz w:val="24"/>
        <w:szCs w:val="24"/>
      </w:rPr>
      <w:t>ZMAnot_</w:t>
    </w:r>
    <w:r w:rsidR="00283BAF">
      <w:rPr>
        <w:rFonts w:ascii="Times New Roman" w:hAnsi="Times New Roman" w:cs="Times New Roman"/>
        <w:sz w:val="24"/>
        <w:szCs w:val="24"/>
      </w:rPr>
      <w:t>19</w:t>
    </w:r>
    <w:r w:rsidRPr="003459A9">
      <w:rPr>
        <w:rFonts w:ascii="Times New Roman" w:hAnsi="Times New Roman" w:cs="Times New Roman"/>
        <w:sz w:val="24"/>
        <w:szCs w:val="24"/>
      </w:rPr>
      <w:t xml:space="preserve">0614_pardale; </w:t>
    </w:r>
    <w:bookmarkStart w:id="8" w:name="OLE_LINK18"/>
    <w:bookmarkStart w:id="9" w:name="OLE_LINK19"/>
    <w:r w:rsidRPr="003459A9">
      <w:rPr>
        <w:rFonts w:ascii="Times New Roman" w:eastAsia="Calibri" w:hAnsi="Times New Roman" w:cs="Times New Roman"/>
        <w:sz w:val="24"/>
        <w:szCs w:val="24"/>
      </w:rPr>
      <w:t xml:space="preserve">Ministru kabineta </w:t>
    </w:r>
    <w:r>
      <w:rPr>
        <w:rFonts w:ascii="Times New Roman" w:eastAsia="Calibri" w:hAnsi="Times New Roman" w:cs="Times New Roman"/>
        <w:sz w:val="24"/>
        <w:szCs w:val="24"/>
      </w:rPr>
      <w:t>rīkojuma</w:t>
    </w:r>
    <w:r w:rsidRPr="003459A9">
      <w:rPr>
        <w:rFonts w:ascii="Times New Roman" w:eastAsia="Calibri" w:hAnsi="Times New Roman" w:cs="Times New Roman"/>
        <w:sz w:val="24"/>
        <w:szCs w:val="24"/>
      </w:rPr>
      <w:t xml:space="preserve"> projekta </w:t>
    </w:r>
    <w:r w:rsidRPr="003459A9">
      <w:rPr>
        <w:rFonts w:ascii="Times New Roman" w:hAnsi="Times New Roman" w:cs="Times New Roman"/>
        <w:sz w:val="24"/>
        <w:szCs w:val="24"/>
      </w:rPr>
      <w:t>„Par apropriācijas pārdali starp ministrijām” sākotnējās ietekmes novērtējuma ziņojums (anotācija)</w:t>
    </w:r>
  </w:p>
  <w:bookmarkEnd w:id="8"/>
  <w:bookmarkEnd w:i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75" w:rsidRDefault="00864175" w:rsidP="0098651A">
      <w:pPr>
        <w:spacing w:after="0" w:line="240" w:lineRule="auto"/>
      </w:pPr>
      <w:r>
        <w:separator/>
      </w:r>
    </w:p>
  </w:footnote>
  <w:footnote w:type="continuationSeparator" w:id="0">
    <w:p w:rsidR="00864175" w:rsidRDefault="00864175"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45833"/>
      <w:docPartObj>
        <w:docPartGallery w:val="Page Numbers (Top of Page)"/>
        <w:docPartUnique/>
      </w:docPartObj>
    </w:sdtPr>
    <w:sdtEndPr/>
    <w:sdtContent>
      <w:p w:rsidR="00B95246" w:rsidRPr="00934DBF" w:rsidRDefault="00934DBF">
        <w:pPr>
          <w:pStyle w:val="Galvene"/>
          <w:jc w:val="center"/>
          <w:rPr>
            <w:rFonts w:ascii="Times New Roman" w:hAnsi="Times New Roman" w:cs="Times New Roman"/>
            <w:sz w:val="24"/>
            <w:szCs w:val="24"/>
          </w:rPr>
        </w:pPr>
        <w:r w:rsidRPr="00934DBF">
          <w:rPr>
            <w:rFonts w:ascii="Times New Roman" w:hAnsi="Times New Roman" w:cs="Times New Roman"/>
            <w:sz w:val="24"/>
            <w:szCs w:val="24"/>
          </w:rPr>
          <w:fldChar w:fldCharType="begin"/>
        </w:r>
        <w:r w:rsidRPr="00934DBF">
          <w:rPr>
            <w:rFonts w:ascii="Times New Roman" w:hAnsi="Times New Roman" w:cs="Times New Roman"/>
            <w:sz w:val="24"/>
            <w:szCs w:val="24"/>
          </w:rPr>
          <w:instrText xml:space="preserve"> PAGE   \* MERGEFORMAT </w:instrText>
        </w:r>
        <w:r w:rsidRPr="00934DBF">
          <w:rPr>
            <w:rFonts w:ascii="Times New Roman" w:hAnsi="Times New Roman" w:cs="Times New Roman"/>
            <w:sz w:val="24"/>
            <w:szCs w:val="24"/>
          </w:rPr>
          <w:fldChar w:fldCharType="separate"/>
        </w:r>
        <w:r>
          <w:rPr>
            <w:rFonts w:ascii="Times New Roman" w:hAnsi="Times New Roman" w:cs="Times New Roman"/>
            <w:noProof/>
            <w:sz w:val="24"/>
            <w:szCs w:val="24"/>
          </w:rPr>
          <w:t>5</w:t>
        </w:r>
        <w:r w:rsidRPr="00934DBF">
          <w:rPr>
            <w:rFonts w:ascii="Times New Roman" w:hAnsi="Times New Roman" w:cs="Times New Roman"/>
            <w:noProof/>
            <w:sz w:val="24"/>
            <w:szCs w:val="24"/>
          </w:rPr>
          <w:fldChar w:fldCharType="end"/>
        </w:r>
      </w:p>
    </w:sdtContent>
  </w:sdt>
  <w:p w:rsidR="00B95246" w:rsidRPr="00934DBF" w:rsidRDefault="00B95246">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66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A8785B"/>
    <w:multiLevelType w:val="hybridMultilevel"/>
    <w:tmpl w:val="8250B1AC"/>
    <w:lvl w:ilvl="0" w:tplc="7070DA70">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nsid w:val="668665EE"/>
    <w:multiLevelType w:val="hybridMultilevel"/>
    <w:tmpl w:val="C3EA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15B0"/>
    <w:rsid w:val="000120C7"/>
    <w:rsid w:val="00017C64"/>
    <w:rsid w:val="00025889"/>
    <w:rsid w:val="0003533C"/>
    <w:rsid w:val="00040AD0"/>
    <w:rsid w:val="0005655B"/>
    <w:rsid w:val="000856E8"/>
    <w:rsid w:val="00087DF6"/>
    <w:rsid w:val="000963E9"/>
    <w:rsid w:val="000A7055"/>
    <w:rsid w:val="000A75D1"/>
    <w:rsid w:val="000D7DDB"/>
    <w:rsid w:val="000E1BF2"/>
    <w:rsid w:val="000F3892"/>
    <w:rsid w:val="000F527D"/>
    <w:rsid w:val="001068A8"/>
    <w:rsid w:val="0012402C"/>
    <w:rsid w:val="001277E1"/>
    <w:rsid w:val="00131D0B"/>
    <w:rsid w:val="0014120C"/>
    <w:rsid w:val="001463C7"/>
    <w:rsid w:val="00167678"/>
    <w:rsid w:val="00167720"/>
    <w:rsid w:val="001762C8"/>
    <w:rsid w:val="00180D34"/>
    <w:rsid w:val="00183F4E"/>
    <w:rsid w:val="001D3AF1"/>
    <w:rsid w:val="001D418A"/>
    <w:rsid w:val="001D767D"/>
    <w:rsid w:val="001F2748"/>
    <w:rsid w:val="001F6966"/>
    <w:rsid w:val="00202249"/>
    <w:rsid w:val="00202838"/>
    <w:rsid w:val="00205081"/>
    <w:rsid w:val="00223BE8"/>
    <w:rsid w:val="002324BC"/>
    <w:rsid w:val="002356F5"/>
    <w:rsid w:val="00254EF8"/>
    <w:rsid w:val="00265DF7"/>
    <w:rsid w:val="002705F2"/>
    <w:rsid w:val="00283BAF"/>
    <w:rsid w:val="002A0F4A"/>
    <w:rsid w:val="002A6826"/>
    <w:rsid w:val="002B4A29"/>
    <w:rsid w:val="002B66AC"/>
    <w:rsid w:val="002C7D6C"/>
    <w:rsid w:val="003124CD"/>
    <w:rsid w:val="00321364"/>
    <w:rsid w:val="003374C7"/>
    <w:rsid w:val="003407C0"/>
    <w:rsid w:val="003459A9"/>
    <w:rsid w:val="00351253"/>
    <w:rsid w:val="003547A7"/>
    <w:rsid w:val="0035593A"/>
    <w:rsid w:val="00361721"/>
    <w:rsid w:val="00373069"/>
    <w:rsid w:val="00383C40"/>
    <w:rsid w:val="00386796"/>
    <w:rsid w:val="003A123A"/>
    <w:rsid w:val="003A4233"/>
    <w:rsid w:val="003A4EEC"/>
    <w:rsid w:val="003B0846"/>
    <w:rsid w:val="003B2559"/>
    <w:rsid w:val="003B63D2"/>
    <w:rsid w:val="003E3883"/>
    <w:rsid w:val="003F4268"/>
    <w:rsid w:val="004019A6"/>
    <w:rsid w:val="00405B2D"/>
    <w:rsid w:val="00406D4E"/>
    <w:rsid w:val="00417D8C"/>
    <w:rsid w:val="004242E7"/>
    <w:rsid w:val="00433930"/>
    <w:rsid w:val="004379AE"/>
    <w:rsid w:val="00441340"/>
    <w:rsid w:val="00452D4A"/>
    <w:rsid w:val="004568DB"/>
    <w:rsid w:val="00471602"/>
    <w:rsid w:val="004731C6"/>
    <w:rsid w:val="004D178A"/>
    <w:rsid w:val="004D26D7"/>
    <w:rsid w:val="004E597B"/>
    <w:rsid w:val="004F6154"/>
    <w:rsid w:val="004F7C43"/>
    <w:rsid w:val="00511470"/>
    <w:rsid w:val="00514935"/>
    <w:rsid w:val="00524994"/>
    <w:rsid w:val="005415B0"/>
    <w:rsid w:val="00542075"/>
    <w:rsid w:val="0054699A"/>
    <w:rsid w:val="00553F0C"/>
    <w:rsid w:val="00555E16"/>
    <w:rsid w:val="005B489E"/>
    <w:rsid w:val="005C064D"/>
    <w:rsid w:val="005F46E4"/>
    <w:rsid w:val="005F48DF"/>
    <w:rsid w:val="005F6922"/>
    <w:rsid w:val="00643AC6"/>
    <w:rsid w:val="006556B2"/>
    <w:rsid w:val="0069413F"/>
    <w:rsid w:val="006A1D5A"/>
    <w:rsid w:val="006A777E"/>
    <w:rsid w:val="006D1BA2"/>
    <w:rsid w:val="006D29DA"/>
    <w:rsid w:val="006D3FDA"/>
    <w:rsid w:val="006E2760"/>
    <w:rsid w:val="006F2163"/>
    <w:rsid w:val="006F6DAD"/>
    <w:rsid w:val="007014E7"/>
    <w:rsid w:val="00701818"/>
    <w:rsid w:val="00704A0C"/>
    <w:rsid w:val="00706045"/>
    <w:rsid w:val="007363AC"/>
    <w:rsid w:val="007369F4"/>
    <w:rsid w:val="00737F0F"/>
    <w:rsid w:val="00752D71"/>
    <w:rsid w:val="00755DA9"/>
    <w:rsid w:val="00762B3D"/>
    <w:rsid w:val="0078752A"/>
    <w:rsid w:val="007A6298"/>
    <w:rsid w:val="007B59D6"/>
    <w:rsid w:val="007C02B7"/>
    <w:rsid w:val="007C79A7"/>
    <w:rsid w:val="007E2D71"/>
    <w:rsid w:val="007E5FCE"/>
    <w:rsid w:val="007F1361"/>
    <w:rsid w:val="007F1729"/>
    <w:rsid w:val="008071A0"/>
    <w:rsid w:val="008257C1"/>
    <w:rsid w:val="00834362"/>
    <w:rsid w:val="008352AC"/>
    <w:rsid w:val="0083585D"/>
    <w:rsid w:val="00852482"/>
    <w:rsid w:val="00864175"/>
    <w:rsid w:val="0089149F"/>
    <w:rsid w:val="008C14D2"/>
    <w:rsid w:val="008C2E05"/>
    <w:rsid w:val="008D4621"/>
    <w:rsid w:val="00902B05"/>
    <w:rsid w:val="009132DF"/>
    <w:rsid w:val="009152D4"/>
    <w:rsid w:val="009216EF"/>
    <w:rsid w:val="00921AAE"/>
    <w:rsid w:val="00926C59"/>
    <w:rsid w:val="009326E4"/>
    <w:rsid w:val="00934DBF"/>
    <w:rsid w:val="0094034C"/>
    <w:rsid w:val="009432FB"/>
    <w:rsid w:val="0095022A"/>
    <w:rsid w:val="00972FDE"/>
    <w:rsid w:val="0098651A"/>
    <w:rsid w:val="00994C72"/>
    <w:rsid w:val="009A6673"/>
    <w:rsid w:val="009B52BA"/>
    <w:rsid w:val="009C1662"/>
    <w:rsid w:val="009C745E"/>
    <w:rsid w:val="009D0D61"/>
    <w:rsid w:val="00A20D6A"/>
    <w:rsid w:val="00A5207C"/>
    <w:rsid w:val="00A750ED"/>
    <w:rsid w:val="00A80AA8"/>
    <w:rsid w:val="00AA0C1B"/>
    <w:rsid w:val="00AA1B83"/>
    <w:rsid w:val="00AC47B0"/>
    <w:rsid w:val="00AC4D59"/>
    <w:rsid w:val="00AD5B2D"/>
    <w:rsid w:val="00AE5338"/>
    <w:rsid w:val="00AF08DA"/>
    <w:rsid w:val="00AF3CF5"/>
    <w:rsid w:val="00B231BC"/>
    <w:rsid w:val="00B30C3F"/>
    <w:rsid w:val="00B31A71"/>
    <w:rsid w:val="00B333A0"/>
    <w:rsid w:val="00B33EB8"/>
    <w:rsid w:val="00B44EFA"/>
    <w:rsid w:val="00B47C02"/>
    <w:rsid w:val="00B6194B"/>
    <w:rsid w:val="00B627B7"/>
    <w:rsid w:val="00B644EA"/>
    <w:rsid w:val="00B67901"/>
    <w:rsid w:val="00B85763"/>
    <w:rsid w:val="00B86BEF"/>
    <w:rsid w:val="00B8736C"/>
    <w:rsid w:val="00B95246"/>
    <w:rsid w:val="00BA743F"/>
    <w:rsid w:val="00BB4EED"/>
    <w:rsid w:val="00BB6B2D"/>
    <w:rsid w:val="00BC6323"/>
    <w:rsid w:val="00BE36A9"/>
    <w:rsid w:val="00BF2494"/>
    <w:rsid w:val="00BF5A64"/>
    <w:rsid w:val="00C14AB8"/>
    <w:rsid w:val="00C26D9E"/>
    <w:rsid w:val="00C32329"/>
    <w:rsid w:val="00C43A99"/>
    <w:rsid w:val="00C611C6"/>
    <w:rsid w:val="00C655FF"/>
    <w:rsid w:val="00C84D4B"/>
    <w:rsid w:val="00C910AC"/>
    <w:rsid w:val="00C9257E"/>
    <w:rsid w:val="00CB4C0D"/>
    <w:rsid w:val="00CC3E5F"/>
    <w:rsid w:val="00CE1FCF"/>
    <w:rsid w:val="00CF7BEF"/>
    <w:rsid w:val="00CF7CDC"/>
    <w:rsid w:val="00D049B2"/>
    <w:rsid w:val="00D17283"/>
    <w:rsid w:val="00D17D4A"/>
    <w:rsid w:val="00D329D5"/>
    <w:rsid w:val="00D42167"/>
    <w:rsid w:val="00D47C27"/>
    <w:rsid w:val="00D614AF"/>
    <w:rsid w:val="00D67A70"/>
    <w:rsid w:val="00D7074A"/>
    <w:rsid w:val="00D73AE0"/>
    <w:rsid w:val="00D75EDF"/>
    <w:rsid w:val="00D82AF9"/>
    <w:rsid w:val="00D90E8E"/>
    <w:rsid w:val="00DA0AA8"/>
    <w:rsid w:val="00DA1ACD"/>
    <w:rsid w:val="00DB02F0"/>
    <w:rsid w:val="00DB2980"/>
    <w:rsid w:val="00DB6921"/>
    <w:rsid w:val="00DD3620"/>
    <w:rsid w:val="00E054C6"/>
    <w:rsid w:val="00E11BA0"/>
    <w:rsid w:val="00E11D92"/>
    <w:rsid w:val="00E13B22"/>
    <w:rsid w:val="00E1538F"/>
    <w:rsid w:val="00E153AE"/>
    <w:rsid w:val="00E3279C"/>
    <w:rsid w:val="00E4296B"/>
    <w:rsid w:val="00E44CFD"/>
    <w:rsid w:val="00E5754E"/>
    <w:rsid w:val="00E71904"/>
    <w:rsid w:val="00E71AE4"/>
    <w:rsid w:val="00E72C8C"/>
    <w:rsid w:val="00E801F2"/>
    <w:rsid w:val="00E831EF"/>
    <w:rsid w:val="00E9134F"/>
    <w:rsid w:val="00EA4E86"/>
    <w:rsid w:val="00EB144D"/>
    <w:rsid w:val="00EB6D02"/>
    <w:rsid w:val="00EC791B"/>
    <w:rsid w:val="00ED051D"/>
    <w:rsid w:val="00ED6770"/>
    <w:rsid w:val="00EF5E0D"/>
    <w:rsid w:val="00F05F02"/>
    <w:rsid w:val="00F163AA"/>
    <w:rsid w:val="00F2727A"/>
    <w:rsid w:val="00F32D52"/>
    <w:rsid w:val="00F34E76"/>
    <w:rsid w:val="00F42815"/>
    <w:rsid w:val="00F429CD"/>
    <w:rsid w:val="00F51084"/>
    <w:rsid w:val="00F53209"/>
    <w:rsid w:val="00F6507B"/>
    <w:rsid w:val="00F677ED"/>
    <w:rsid w:val="00F767AF"/>
    <w:rsid w:val="00F866EF"/>
    <w:rsid w:val="00F86AC5"/>
    <w:rsid w:val="00F95248"/>
    <w:rsid w:val="00FA4F48"/>
    <w:rsid w:val="00FC2A46"/>
    <w:rsid w:val="00FC2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9A6A1-36C2-412D-A1D6-C6A72DC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4C0D"/>
  </w:style>
  <w:style w:type="paragraph" w:styleId="Virsraksts4">
    <w:name w:val="heading 4"/>
    <w:basedOn w:val="Parasts"/>
    <w:link w:val="Virsraksts4Rakstz"/>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Virsraksts5">
    <w:name w:val="heading 5"/>
    <w:basedOn w:val="Parasts"/>
    <w:next w:val="Parasts"/>
    <w:link w:val="Virsraksts5Rakstz"/>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167678"/>
    <w:rPr>
      <w:rFonts w:ascii="Times New Roman" w:eastAsia="Times New Roman" w:hAnsi="Times New Roman" w:cs="Times New Roman"/>
      <w:b/>
      <w:bCs/>
      <w:sz w:val="24"/>
      <w:szCs w:val="24"/>
      <w:lang w:eastAsia="lv-LV"/>
    </w:rPr>
  </w:style>
  <w:style w:type="character" w:styleId="HTMLakronms">
    <w:name w:val="HTML Acronym"/>
    <w:basedOn w:val="Noklusjumarindkopasfonts"/>
    <w:uiPriority w:val="99"/>
    <w:semiHidden/>
    <w:unhideWhenUsed/>
    <w:rsid w:val="00167678"/>
  </w:style>
  <w:style w:type="character" w:customStyle="1" w:styleId="apple-converted-space">
    <w:name w:val="apple-converted-space"/>
    <w:basedOn w:val="Noklusjumarindkopasfonts"/>
    <w:rsid w:val="004F6154"/>
  </w:style>
  <w:style w:type="paragraph" w:customStyle="1" w:styleId="labojumupamats">
    <w:name w:val="labojumu_pamats"/>
    <w:basedOn w:val="Parasts"/>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935"/>
    <w:rPr>
      <w:color w:val="0000FF"/>
      <w:u w:val="single"/>
    </w:rPr>
  </w:style>
  <w:style w:type="paragraph" w:customStyle="1" w:styleId="tvhtml">
    <w:name w:val="tv_html"/>
    <w:basedOn w:val="Parasts"/>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Parasts"/>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Parasts"/>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Parasts"/>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A0F4A"/>
    <w:rPr>
      <w:sz w:val="16"/>
      <w:szCs w:val="16"/>
    </w:rPr>
  </w:style>
  <w:style w:type="paragraph" w:styleId="Komentrateksts">
    <w:name w:val="annotation text"/>
    <w:basedOn w:val="Parasts"/>
    <w:link w:val="KomentratekstsRakstz"/>
    <w:uiPriority w:val="99"/>
    <w:semiHidden/>
    <w:unhideWhenUsed/>
    <w:rsid w:val="002A0F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0F4A"/>
    <w:rPr>
      <w:sz w:val="20"/>
      <w:szCs w:val="20"/>
    </w:rPr>
  </w:style>
  <w:style w:type="paragraph" w:styleId="Komentratma">
    <w:name w:val="annotation subject"/>
    <w:basedOn w:val="Komentrateksts"/>
    <w:next w:val="Komentrateksts"/>
    <w:link w:val="KomentratmaRakstz"/>
    <w:uiPriority w:val="99"/>
    <w:semiHidden/>
    <w:unhideWhenUsed/>
    <w:rsid w:val="002A0F4A"/>
    <w:rPr>
      <w:b/>
      <w:bCs/>
    </w:rPr>
  </w:style>
  <w:style w:type="character" w:customStyle="1" w:styleId="KomentratmaRakstz">
    <w:name w:val="Komentāra tēma Rakstz."/>
    <w:basedOn w:val="KomentratekstsRakstz"/>
    <w:link w:val="Komentratma"/>
    <w:uiPriority w:val="99"/>
    <w:semiHidden/>
    <w:rsid w:val="002A0F4A"/>
    <w:rPr>
      <w:b/>
      <w:bCs/>
      <w:sz w:val="20"/>
      <w:szCs w:val="20"/>
    </w:rPr>
  </w:style>
  <w:style w:type="paragraph" w:styleId="Balonteksts">
    <w:name w:val="Balloon Text"/>
    <w:basedOn w:val="Parasts"/>
    <w:link w:val="BalontekstsRakstz"/>
    <w:uiPriority w:val="99"/>
    <w:semiHidden/>
    <w:unhideWhenUsed/>
    <w:rsid w:val="002A0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0F4A"/>
    <w:rPr>
      <w:rFonts w:ascii="Tahoma" w:hAnsi="Tahoma" w:cs="Tahoma"/>
      <w:sz w:val="16"/>
      <w:szCs w:val="16"/>
    </w:rPr>
  </w:style>
  <w:style w:type="character" w:customStyle="1" w:styleId="Virsraksts5Rakstz">
    <w:name w:val="Virsraksts 5 Rakstz."/>
    <w:basedOn w:val="Noklusjumarindkopasfonts"/>
    <w:link w:val="Virsraksts5"/>
    <w:uiPriority w:val="9"/>
    <w:semiHidden/>
    <w:rsid w:val="0098651A"/>
    <w:rPr>
      <w:rFonts w:asciiTheme="majorHAnsi" w:eastAsiaTheme="majorEastAsia" w:hAnsiTheme="majorHAnsi" w:cstheme="majorBidi"/>
      <w:color w:val="243F60" w:themeColor="accent1" w:themeShade="7F"/>
    </w:rPr>
  </w:style>
  <w:style w:type="paragraph" w:styleId="Bezatstarpm">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9865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651A"/>
  </w:style>
  <w:style w:type="paragraph" w:styleId="Kjene">
    <w:name w:val="footer"/>
    <w:basedOn w:val="Parasts"/>
    <w:link w:val="KjeneRakstz"/>
    <w:uiPriority w:val="99"/>
    <w:unhideWhenUsed/>
    <w:rsid w:val="009865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651A"/>
  </w:style>
  <w:style w:type="character" w:styleId="Izteiksmgs">
    <w:name w:val="Strong"/>
    <w:basedOn w:val="Noklusjumarindkopasfonts"/>
    <w:uiPriority w:val="22"/>
    <w:qFormat/>
    <w:rsid w:val="00762B3D"/>
    <w:rPr>
      <w:b/>
      <w:bCs/>
    </w:rPr>
  </w:style>
  <w:style w:type="paragraph" w:styleId="Paraststmeklis">
    <w:name w:val="Normal (Web)"/>
    <w:basedOn w:val="Parasts"/>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EC791B"/>
    <w:pPr>
      <w:ind w:left="720"/>
      <w:contextualSpacing/>
    </w:pPr>
  </w:style>
  <w:style w:type="paragraph" w:customStyle="1" w:styleId="naisc">
    <w:name w:val="naisc"/>
    <w:basedOn w:val="Parasts"/>
    <w:rsid w:val="00706045"/>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E801F2"/>
  </w:style>
  <w:style w:type="paragraph" w:customStyle="1" w:styleId="naiskr">
    <w:name w:val="naiskr"/>
    <w:basedOn w:val="Parasts"/>
    <w:rsid w:val="00A750ED"/>
    <w:pPr>
      <w:spacing w:before="75" w:after="75" w:line="240" w:lineRule="auto"/>
    </w:pPr>
    <w:rPr>
      <w:rFonts w:ascii="Times New Roman" w:eastAsia="Times New Roman" w:hAnsi="Times New Roman" w:cs="Times New Roman"/>
      <w:sz w:val="24"/>
      <w:szCs w:val="24"/>
      <w:lang w:eastAsia="lv-LV"/>
    </w:rPr>
  </w:style>
  <w:style w:type="paragraph" w:customStyle="1" w:styleId="doc-ti2">
    <w:name w:val="doc-ti2"/>
    <w:basedOn w:val="Parasts"/>
    <w:rsid w:val="001D767D"/>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apple-style-span">
    <w:name w:val="apple-style-span"/>
    <w:basedOn w:val="Noklusjumarindkopasfonts"/>
    <w:rsid w:val="0094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004524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7923058">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1481388756">
                              <w:marLeft w:val="0"/>
                              <w:marRight w:val="0"/>
                              <w:marTop w:val="480"/>
                              <w:marBottom w:val="240"/>
                              <w:divBdr>
                                <w:top w:val="none" w:sz="0" w:space="0" w:color="auto"/>
                                <w:left w:val="none" w:sz="0" w:space="0" w:color="auto"/>
                                <w:bottom w:val="none" w:sz="0" w:space="0" w:color="auto"/>
                                <w:right w:val="none" w:sz="0" w:space="0" w:color="auto"/>
                              </w:divBdr>
                            </w:div>
                            <w:div w:id="3091002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3910">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53984143">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ad.gov.lv/owa/redir.aspx?C=3iab0J0v_0uXAyK4Dn5x-iStXLwsX9EIaijGGeZja28whpi1OwVvr7nu50aOEdH80-_hW4_z8qY.&amp;URL=http%3a%2f%2feur-lex.europa.eu%2flegal-content%2fAUTO%2f%3furi%3dCELEX%3a02013R1306-20140101%26qid%3d1403166370257%26rid%3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7A6C-3878-44F6-A6F4-41E7B68B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1265</Words>
  <Characters>8785</Characters>
  <Application>Microsoft Office Word</Application>
  <DocSecurity>0</DocSecurity>
  <Lines>302</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28.jūlija noteikumos Nr.836 „Pedagogu darba samaksas noteikumi”” sākotnējās ietekmes novērtējuma ziņojums (anotācija)</vt: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Nina.Ivanova</dc:creator>
  <dc:description>Nina.Ivanova@zm.gov.lv, tel.67027632</dc:description>
  <cp:lastModifiedBy>ZM Lietvedibas nodala</cp:lastModifiedBy>
  <cp:revision>17</cp:revision>
  <cp:lastPrinted>2014-06-19T12:54:00Z</cp:lastPrinted>
  <dcterms:created xsi:type="dcterms:W3CDTF">2014-06-19T11:15:00Z</dcterms:created>
  <dcterms:modified xsi:type="dcterms:W3CDTF">2014-06-20T07:35:00Z</dcterms:modified>
</cp:coreProperties>
</file>