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76" w:rsidRPr="00290226" w:rsidRDefault="00DD4976" w:rsidP="00290226">
      <w:pPr>
        <w:pStyle w:val="naisc"/>
        <w:spacing w:before="0" w:after="0"/>
        <w:rPr>
          <w:b/>
          <w:bCs/>
          <w:sz w:val="28"/>
          <w:szCs w:val="28"/>
        </w:rPr>
      </w:pPr>
      <w:bookmarkStart w:id="0" w:name="OLE_LINK1"/>
      <w:r w:rsidRPr="00290226">
        <w:rPr>
          <w:b/>
          <w:bCs/>
          <w:sz w:val="28"/>
          <w:szCs w:val="28"/>
        </w:rPr>
        <w:t>Ministru kabineta noteikumu projekt</w:t>
      </w:r>
      <w:bookmarkEnd w:id="0"/>
      <w:r w:rsidR="00CC316B">
        <w:rPr>
          <w:b/>
          <w:bCs/>
          <w:sz w:val="28"/>
          <w:szCs w:val="28"/>
        </w:rPr>
        <w:t>s</w:t>
      </w:r>
      <w:r w:rsidRPr="00290226">
        <w:rPr>
          <w:b/>
          <w:bCs/>
          <w:sz w:val="28"/>
          <w:szCs w:val="28"/>
        </w:rPr>
        <w:t xml:space="preserve"> „Grozījum</w:t>
      </w:r>
      <w:r w:rsidR="00C577F8">
        <w:rPr>
          <w:b/>
          <w:bCs/>
          <w:sz w:val="28"/>
          <w:szCs w:val="28"/>
        </w:rPr>
        <w:t>i</w:t>
      </w:r>
      <w:r w:rsidRPr="00290226">
        <w:rPr>
          <w:b/>
          <w:bCs/>
          <w:sz w:val="28"/>
          <w:szCs w:val="28"/>
        </w:rPr>
        <w:t xml:space="preserve"> Ministru kabineta 2009.gada 7.jūlija noteikumos Nr.746 „Lauksaimniecības un lauku attīstības kredītu garantēšanas kārtība</w:t>
      </w:r>
      <w:r w:rsidRPr="00290226">
        <w:rPr>
          <w:b/>
          <w:sz w:val="28"/>
          <w:szCs w:val="28"/>
        </w:rPr>
        <w:t>”</w:t>
      </w:r>
      <w:r w:rsidRPr="0029022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290226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90226">
          <w:rPr>
            <w:b/>
            <w:bCs/>
            <w:sz w:val="28"/>
            <w:szCs w:val="28"/>
          </w:rPr>
          <w:t>ziņojums</w:t>
        </w:r>
      </w:smartTag>
      <w:r w:rsidRPr="00290226">
        <w:rPr>
          <w:b/>
          <w:bCs/>
          <w:sz w:val="28"/>
          <w:szCs w:val="28"/>
        </w:rPr>
        <w:t xml:space="preserve"> (anotācija)</w:t>
      </w:r>
    </w:p>
    <w:p w:rsidR="00DD4976" w:rsidRDefault="00DD4976" w:rsidP="00422589">
      <w:pPr>
        <w:jc w:val="center"/>
      </w:pPr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0"/>
        <w:gridCol w:w="5883"/>
      </w:tblGrid>
      <w:tr w:rsidR="00DD4976" w:rsidRPr="00ED22C8" w:rsidTr="00C72A47">
        <w:trPr>
          <w:trHeight w:val="419"/>
        </w:trPr>
        <w:tc>
          <w:tcPr>
            <w:tcW w:w="5000" w:type="pct"/>
            <w:gridSpan w:val="3"/>
            <w:vAlign w:val="center"/>
          </w:tcPr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DD4976" w:rsidRPr="00ED22C8" w:rsidTr="00422589">
        <w:trPr>
          <w:trHeight w:val="415"/>
        </w:trPr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208" w:type="pct"/>
          </w:tcPr>
          <w:p w:rsidR="00DD4976" w:rsidRPr="00D11110" w:rsidRDefault="00DD4976" w:rsidP="00A210C2">
            <w:pPr>
              <w:pStyle w:val="Virsraksts3"/>
              <w:shd w:val="clear" w:color="auto" w:fill="FFFFFF"/>
              <w:spacing w:before="0" w:beforeAutospacing="0" w:after="0" w:afterAutospacing="0"/>
              <w:ind w:right="57"/>
              <w:jc w:val="both"/>
            </w:pPr>
            <w:r w:rsidRPr="00D11110">
              <w:rPr>
                <w:b w:val="0"/>
                <w:sz w:val="24"/>
                <w:szCs w:val="24"/>
              </w:rPr>
              <w:t>Ministru kabineta noteikumu projekts „Grozījum</w:t>
            </w:r>
            <w:r w:rsidR="00D6458C">
              <w:rPr>
                <w:b w:val="0"/>
                <w:sz w:val="24"/>
                <w:szCs w:val="24"/>
              </w:rPr>
              <w:t>i</w:t>
            </w:r>
            <w:r w:rsidRPr="00D11110">
              <w:rPr>
                <w:b w:val="0"/>
                <w:sz w:val="24"/>
                <w:szCs w:val="24"/>
              </w:rPr>
              <w:t xml:space="preserve"> Ministru kabineta 2009.gada 7.jūlija noteikumos Nr.746 „Lauksaimniecības un lauku attīstības kredītu garantēšanas kārtība</w:t>
            </w:r>
            <w:r w:rsidRPr="00AC4A9C">
              <w:rPr>
                <w:b w:val="0"/>
                <w:bCs w:val="0"/>
                <w:sz w:val="24"/>
                <w:szCs w:val="24"/>
              </w:rPr>
              <w:t>”</w:t>
            </w:r>
            <w:r w:rsidRPr="00D11110">
              <w:rPr>
                <w:b w:val="0"/>
                <w:sz w:val="24"/>
                <w:szCs w:val="24"/>
              </w:rPr>
              <w:t>” (turpmāk – noteikumu projekts) sagatavots, pamatojoties uz Lauksaimniecības un lauku attīstības likuma 5.panta desmito daļu.</w:t>
            </w:r>
          </w:p>
        </w:tc>
      </w:tr>
      <w:tr w:rsidR="00DD4976" w:rsidRPr="00ED22C8" w:rsidTr="00422589">
        <w:trPr>
          <w:trHeight w:val="472"/>
        </w:trPr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DD4976" w:rsidRPr="005C0889" w:rsidRDefault="00BD42DF" w:rsidP="00E9056B">
            <w:pPr>
              <w:pStyle w:val="Virsraksts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D11110">
              <w:rPr>
                <w:b w:val="0"/>
                <w:sz w:val="24"/>
                <w:szCs w:val="24"/>
              </w:rPr>
              <w:t>Saskaņ</w:t>
            </w:r>
            <w:r>
              <w:rPr>
                <w:b w:val="0"/>
                <w:sz w:val="24"/>
                <w:szCs w:val="24"/>
              </w:rPr>
              <w:t>ā</w:t>
            </w:r>
            <w:r w:rsidRPr="00D11110">
              <w:rPr>
                <w:b w:val="0"/>
                <w:sz w:val="24"/>
                <w:szCs w:val="24"/>
              </w:rPr>
              <w:t xml:space="preserve"> ar spēkā esoš</w:t>
            </w:r>
            <w:r w:rsidR="00E273E3">
              <w:rPr>
                <w:b w:val="0"/>
                <w:sz w:val="24"/>
                <w:szCs w:val="24"/>
              </w:rPr>
              <w:t>ajiem</w:t>
            </w:r>
            <w:r w:rsidRPr="00D11110">
              <w:rPr>
                <w:b w:val="0"/>
                <w:sz w:val="24"/>
                <w:szCs w:val="24"/>
              </w:rPr>
              <w:t xml:space="preserve"> Ministru kabineta 2009.gada 7.jūlija noteikum</w:t>
            </w:r>
            <w:r w:rsidR="00E273E3">
              <w:rPr>
                <w:b w:val="0"/>
                <w:sz w:val="24"/>
                <w:szCs w:val="24"/>
              </w:rPr>
              <w:t>iem</w:t>
            </w:r>
            <w:r w:rsidRPr="00D11110">
              <w:rPr>
                <w:b w:val="0"/>
                <w:sz w:val="24"/>
                <w:szCs w:val="24"/>
              </w:rPr>
              <w:t xml:space="preserve"> Nr.746 „Lauksaimniecības un lauku attīstības kredītu garantēšanas kārtība”” (turpmāk – noteikumi Nr.746)</w:t>
            </w:r>
            <w:r w:rsidR="00C577F8">
              <w:rPr>
                <w:b w:val="0"/>
                <w:sz w:val="24"/>
                <w:szCs w:val="24"/>
              </w:rPr>
              <w:t xml:space="preserve"> kredītgarantijas piešķir atbilstoši</w:t>
            </w:r>
            <w:r w:rsidR="00C577F8" w:rsidRPr="00C577F8">
              <w:rPr>
                <w:b w:val="0"/>
                <w:sz w:val="24"/>
                <w:szCs w:val="24"/>
              </w:rPr>
              <w:t xml:space="preserve"> Padomes 2005.gada 20.septembra Regulai (EK) Nr.</w:t>
            </w:r>
            <w:hyperlink r:id="rId6" w:tgtFrame="_blank" w:history="1">
              <w:r w:rsidR="00C577F8" w:rsidRPr="00C577F8">
                <w:rPr>
                  <w:b w:val="0"/>
                  <w:sz w:val="24"/>
                  <w:szCs w:val="24"/>
                </w:rPr>
                <w:t>1698/2005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 par atbalstu lauku attīstībai no Eiropas Lauksaimniecības fonda lauku attīstībai (ELFLA) (Eiropas Savienības Oficiālais Vēstnesis, 2005.gada 21.oktobris, Nr.L277</w:t>
            </w:r>
            <w:r w:rsidR="00C577F8">
              <w:rPr>
                <w:b w:val="0"/>
                <w:sz w:val="24"/>
                <w:szCs w:val="24"/>
              </w:rPr>
              <w:t>) (turpmāk – Komisijas regula Nr.</w:t>
            </w:r>
            <w:hyperlink r:id="rId7" w:tgtFrame="_blank" w:history="1">
              <w:r w:rsidR="00C577F8">
                <w:rPr>
                  <w:b w:val="0"/>
                  <w:sz w:val="24"/>
                  <w:szCs w:val="24"/>
                </w:rPr>
                <w:t>1698</w:t>
              </w:r>
              <w:r w:rsidR="00C577F8" w:rsidRPr="00C577F8">
                <w:rPr>
                  <w:b w:val="0"/>
                  <w:sz w:val="24"/>
                  <w:szCs w:val="24"/>
                </w:rPr>
                <w:t>/20</w:t>
              </w:r>
              <w:r w:rsidR="00C577F8">
                <w:rPr>
                  <w:b w:val="0"/>
                  <w:sz w:val="24"/>
                  <w:szCs w:val="24"/>
                </w:rPr>
                <w:t>05</w:t>
              </w:r>
            </w:hyperlink>
            <w:r w:rsidR="00C577F8">
              <w:rPr>
                <w:b w:val="0"/>
                <w:sz w:val="24"/>
                <w:szCs w:val="24"/>
              </w:rPr>
              <w:t>),</w:t>
            </w:r>
            <w:r w:rsidR="001B13F6">
              <w:rPr>
                <w:b w:val="0"/>
                <w:sz w:val="24"/>
                <w:szCs w:val="24"/>
              </w:rPr>
              <w:t xml:space="preserve"> </w:t>
            </w:r>
            <w:r w:rsidR="001B13F6" w:rsidRPr="00C577F8">
              <w:rPr>
                <w:b w:val="0"/>
                <w:sz w:val="24"/>
                <w:szCs w:val="24"/>
              </w:rPr>
              <w:t>Komisijas 1999.gada 15.aprīļa Regula (EK) Nr.</w:t>
            </w:r>
            <w:hyperlink r:id="rId8" w:tgtFrame="_blank" w:history="1">
              <w:r w:rsidR="001B13F6" w:rsidRPr="00C577F8">
                <w:rPr>
                  <w:b w:val="0"/>
                  <w:sz w:val="24"/>
                  <w:szCs w:val="24"/>
                </w:rPr>
                <w:t>800/1999</w:t>
              </w:r>
            </w:hyperlink>
            <w:r w:rsidR="001B13F6" w:rsidRPr="00C577F8">
              <w:rPr>
                <w:b w:val="0"/>
                <w:sz w:val="24"/>
                <w:szCs w:val="24"/>
              </w:rPr>
              <w:t>, ar kuru nosaka kopējus sīki izstrādātus noteikumus eksporta kompensāciju sistēmas piemērošanai lauksaimniecības produktiem (Eiropas Savienības Oficiālais Vēstnesis, 1999.gada 17.aprīlis, Nr.L102)</w:t>
            </w:r>
            <w:r w:rsidR="001B13F6">
              <w:rPr>
                <w:b w:val="0"/>
                <w:sz w:val="24"/>
                <w:szCs w:val="24"/>
              </w:rPr>
              <w:t xml:space="preserve"> (turpmāk – Komisijas regula Nr.800/1999),</w:t>
            </w:r>
            <w:r w:rsidR="00C577F8">
              <w:rPr>
                <w:b w:val="0"/>
                <w:sz w:val="24"/>
                <w:szCs w:val="24"/>
              </w:rPr>
              <w:t xml:space="preserve"> </w:t>
            </w:r>
            <w:r w:rsidR="00C577F8" w:rsidRPr="00C577F8">
              <w:rPr>
                <w:b w:val="0"/>
                <w:sz w:val="24"/>
                <w:szCs w:val="24"/>
              </w:rPr>
              <w:t>Komisijas 2006.gada 15.decembra Regulai (EK) Nr.</w:t>
            </w:r>
            <w:hyperlink r:id="rId9" w:tgtFrame="_blank" w:history="1">
              <w:r w:rsidR="00C577F8" w:rsidRPr="00C577F8">
                <w:rPr>
                  <w:b w:val="0"/>
                  <w:sz w:val="24"/>
                  <w:szCs w:val="24"/>
                </w:rPr>
                <w:t>1998/2006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 par Līguma 87. un 88.panta piemērošanu </w:t>
            </w:r>
            <w:r w:rsidR="00C577F8" w:rsidRPr="00C577F8">
              <w:rPr>
                <w:b w:val="0"/>
                <w:i/>
                <w:sz w:val="24"/>
                <w:szCs w:val="24"/>
              </w:rPr>
              <w:t>de minimis</w:t>
            </w:r>
            <w:r w:rsidR="00C577F8" w:rsidRPr="00C577F8">
              <w:rPr>
                <w:b w:val="0"/>
                <w:sz w:val="24"/>
                <w:szCs w:val="24"/>
              </w:rPr>
              <w:t xml:space="preserve"> atbalstam (Eiropas Savienības Oficiālais Vēstnesis, 2006.gada 28.decembris, Nr.L379) (turpmāk – Komisijas regula Nr.</w:t>
            </w:r>
            <w:hyperlink r:id="rId10" w:tgtFrame="_blank" w:history="1">
              <w:r w:rsidR="00C577F8" w:rsidRPr="00C577F8">
                <w:rPr>
                  <w:b w:val="0"/>
                  <w:sz w:val="24"/>
                  <w:szCs w:val="24"/>
                </w:rPr>
                <w:t>1998/2006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>)</w:t>
            </w:r>
            <w:r w:rsidR="00C577F8">
              <w:rPr>
                <w:b w:val="0"/>
                <w:sz w:val="24"/>
                <w:szCs w:val="24"/>
              </w:rPr>
              <w:t xml:space="preserve"> un </w:t>
            </w:r>
            <w:r w:rsidR="00C577F8" w:rsidRPr="00C577F8">
              <w:rPr>
                <w:b w:val="0"/>
                <w:sz w:val="24"/>
                <w:szCs w:val="24"/>
              </w:rPr>
              <w:t xml:space="preserve">Komisijas 2007.gada 20.decembra Regulai (EK) Nr. </w:t>
            </w:r>
            <w:hyperlink r:id="rId11" w:tgtFrame="_blank" w:history="1">
              <w:r w:rsidR="00C577F8" w:rsidRPr="00C577F8">
                <w:rPr>
                  <w:b w:val="0"/>
                  <w:sz w:val="24"/>
                  <w:szCs w:val="24"/>
                </w:rPr>
                <w:t>1535/2007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 par EK līguma 87. un 88.panta piemērošanu </w:t>
            </w:r>
            <w:r w:rsidR="00C577F8" w:rsidRPr="00C577F8">
              <w:rPr>
                <w:b w:val="0"/>
                <w:i/>
                <w:sz w:val="24"/>
                <w:szCs w:val="24"/>
              </w:rPr>
              <w:t>de minimis</w:t>
            </w:r>
            <w:r w:rsidR="00C577F8" w:rsidRPr="00C577F8">
              <w:rPr>
                <w:b w:val="0"/>
                <w:sz w:val="24"/>
                <w:szCs w:val="24"/>
              </w:rPr>
              <w:t xml:space="preserve"> atbalstam lauksaimniecības produktu ražošanas nozarē (Eiropas Savienības Oficiālais Vēstnesis, 2007.gada 21.decembris, Nr.L337) (turpmāk – Komisijas regula Nr.</w:t>
            </w:r>
            <w:hyperlink r:id="rId12" w:tgtFrame="_blank" w:history="1">
              <w:r w:rsidR="00C577F8" w:rsidRPr="00C577F8">
                <w:rPr>
                  <w:b w:val="0"/>
                  <w:sz w:val="24"/>
                  <w:szCs w:val="24"/>
                </w:rPr>
                <w:t>1535/2007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>)</w:t>
            </w:r>
            <w:r w:rsidR="00C577F8">
              <w:rPr>
                <w:b w:val="0"/>
                <w:sz w:val="24"/>
                <w:szCs w:val="24"/>
              </w:rPr>
              <w:t xml:space="preserve">. </w:t>
            </w:r>
            <w:r w:rsidR="00E273E3">
              <w:rPr>
                <w:b w:val="0"/>
                <w:sz w:val="24"/>
                <w:szCs w:val="24"/>
              </w:rPr>
              <w:t>Minētie</w:t>
            </w:r>
            <w:r w:rsidR="00C577F8">
              <w:rPr>
                <w:b w:val="0"/>
                <w:sz w:val="24"/>
                <w:szCs w:val="24"/>
              </w:rPr>
              <w:t xml:space="preserve"> Eiropas Savienības normatīvie akti tiek aizstāti ar jauniem Eiropas Savienības normatīvajiem aktiem, tādēļ precizēts </w:t>
            </w:r>
            <w:r w:rsidR="00C577F8" w:rsidRPr="00D11110">
              <w:rPr>
                <w:b w:val="0"/>
                <w:sz w:val="24"/>
                <w:szCs w:val="24"/>
              </w:rPr>
              <w:t>noteikum</w:t>
            </w:r>
            <w:r w:rsidR="00C577F8">
              <w:rPr>
                <w:b w:val="0"/>
                <w:sz w:val="24"/>
                <w:szCs w:val="24"/>
              </w:rPr>
              <w:t>u</w:t>
            </w:r>
            <w:r w:rsidR="00C577F8" w:rsidRPr="00D11110">
              <w:rPr>
                <w:b w:val="0"/>
                <w:sz w:val="24"/>
                <w:szCs w:val="24"/>
              </w:rPr>
              <w:t xml:space="preserve"> Nr.746</w:t>
            </w:r>
            <w:r w:rsidR="00C577F8">
              <w:rPr>
                <w:b w:val="0"/>
                <w:sz w:val="24"/>
                <w:szCs w:val="24"/>
              </w:rPr>
              <w:t xml:space="preserve"> 2.2.1.apakšpukts, kur</w:t>
            </w:r>
            <w:r w:rsidR="00E273E3">
              <w:rPr>
                <w:b w:val="0"/>
                <w:sz w:val="24"/>
                <w:szCs w:val="24"/>
              </w:rPr>
              <w:t>ā</w:t>
            </w:r>
            <w:r w:rsidR="00C577F8">
              <w:rPr>
                <w:b w:val="0"/>
                <w:sz w:val="24"/>
                <w:szCs w:val="24"/>
              </w:rPr>
              <w:t xml:space="preserve"> Komisijas regula Nr.</w:t>
            </w:r>
            <w:hyperlink r:id="rId13" w:tgtFrame="_blank" w:history="1">
              <w:r w:rsidR="00C577F8">
                <w:rPr>
                  <w:b w:val="0"/>
                  <w:sz w:val="24"/>
                  <w:szCs w:val="24"/>
                </w:rPr>
                <w:t>1698</w:t>
              </w:r>
              <w:r w:rsidR="00C577F8" w:rsidRPr="00C577F8">
                <w:rPr>
                  <w:b w:val="0"/>
                  <w:sz w:val="24"/>
                  <w:szCs w:val="24"/>
                </w:rPr>
                <w:t>/20</w:t>
              </w:r>
              <w:r w:rsidR="00C577F8">
                <w:rPr>
                  <w:b w:val="0"/>
                  <w:sz w:val="24"/>
                  <w:szCs w:val="24"/>
                </w:rPr>
                <w:t>05</w:t>
              </w:r>
            </w:hyperlink>
            <w:r w:rsidR="00C577F8">
              <w:rPr>
                <w:b w:val="0"/>
                <w:sz w:val="24"/>
                <w:szCs w:val="24"/>
              </w:rPr>
              <w:t xml:space="preserve"> aizstāta ar </w:t>
            </w:r>
            <w:r w:rsidR="00C577F8" w:rsidRPr="00C577F8">
              <w:rPr>
                <w:b w:val="0"/>
                <w:sz w:val="24"/>
                <w:szCs w:val="24"/>
              </w:rPr>
              <w:t>Padomes 2013.gada 17.decembra Regul</w:t>
            </w:r>
            <w:r w:rsidR="00E273E3">
              <w:rPr>
                <w:b w:val="0"/>
                <w:sz w:val="24"/>
                <w:szCs w:val="24"/>
              </w:rPr>
              <w:t>u</w:t>
            </w:r>
            <w:r w:rsidR="00C577F8" w:rsidRPr="00C577F8">
              <w:rPr>
                <w:b w:val="0"/>
                <w:sz w:val="24"/>
                <w:szCs w:val="24"/>
              </w:rPr>
              <w:t xml:space="preserve"> (EK) Nr.1305/2013 par atbalstu lauku attīstībai no Eiropas Lauksaimniecības fonda lauku attīstībai (ELFLA) (Eiropas Savienības Oficiālais Vēstnesis, 2013.gada 20.decembris, Nr.L34</w:t>
            </w:r>
            <w:r w:rsidR="00C577F8">
              <w:rPr>
                <w:b w:val="0"/>
                <w:sz w:val="24"/>
                <w:szCs w:val="24"/>
              </w:rPr>
              <w:t>7) (</w:t>
            </w:r>
            <w:r w:rsidR="00C577F8" w:rsidRPr="00C577F8">
              <w:rPr>
                <w:b w:val="0"/>
                <w:sz w:val="24"/>
                <w:szCs w:val="24"/>
              </w:rPr>
              <w:t xml:space="preserve">turpmāk – Komisijas regula Nr. </w:t>
            </w:r>
            <w:hyperlink r:id="rId14" w:tgtFrame="_blank" w:history="1">
              <w:r w:rsidR="00C577F8" w:rsidRPr="00C577F8">
                <w:rPr>
                  <w:b w:val="0"/>
                  <w:sz w:val="24"/>
                  <w:szCs w:val="24"/>
                </w:rPr>
                <w:t>1</w:t>
              </w:r>
              <w:r w:rsidR="00C577F8">
                <w:rPr>
                  <w:b w:val="0"/>
                  <w:sz w:val="24"/>
                  <w:szCs w:val="24"/>
                </w:rPr>
                <w:t>305</w:t>
              </w:r>
              <w:r w:rsidR="00C577F8" w:rsidRPr="00C577F8">
                <w:rPr>
                  <w:b w:val="0"/>
                  <w:sz w:val="24"/>
                  <w:szCs w:val="24"/>
                </w:rPr>
                <w:t>/2013</w:t>
              </w:r>
            </w:hyperlink>
            <w:r w:rsidR="00C577F8">
              <w:rPr>
                <w:b w:val="0"/>
                <w:sz w:val="24"/>
                <w:szCs w:val="24"/>
              </w:rPr>
              <w:t>),</w:t>
            </w:r>
            <w:r w:rsidR="00C577F8" w:rsidRPr="00C577F8">
              <w:rPr>
                <w:b w:val="0"/>
                <w:sz w:val="24"/>
                <w:szCs w:val="24"/>
              </w:rPr>
              <w:t xml:space="preserve"> </w:t>
            </w:r>
            <w:r w:rsidR="00C577F8">
              <w:rPr>
                <w:b w:val="0"/>
                <w:sz w:val="24"/>
                <w:szCs w:val="24"/>
              </w:rPr>
              <w:t>2.1.6.</w:t>
            </w:r>
            <w:r w:rsidR="00C577F8">
              <w:rPr>
                <w:b w:val="0"/>
                <w:sz w:val="24"/>
                <w:szCs w:val="24"/>
                <w:vertAlign w:val="superscript"/>
              </w:rPr>
              <w:t>1</w:t>
            </w:r>
            <w:r w:rsidR="00C577F8">
              <w:rPr>
                <w:b w:val="0"/>
                <w:sz w:val="24"/>
                <w:szCs w:val="24"/>
              </w:rPr>
              <w:t xml:space="preserve">, 2.1.7., 7.4., 10.7., 12.6. un </w:t>
            </w:r>
            <w:r w:rsidR="00083B0E">
              <w:rPr>
                <w:b w:val="0"/>
                <w:sz w:val="24"/>
                <w:szCs w:val="24"/>
              </w:rPr>
              <w:t>1</w:t>
            </w:r>
            <w:r w:rsidR="00C577F8">
              <w:rPr>
                <w:b w:val="0"/>
                <w:sz w:val="24"/>
                <w:szCs w:val="24"/>
              </w:rPr>
              <w:t>.pielikuma 8.8.apakšpunktā Komisijas regula Nr.</w:t>
            </w:r>
            <w:hyperlink r:id="rId15" w:tgtFrame="_blank" w:history="1">
              <w:r w:rsidR="00C577F8" w:rsidRPr="00C577F8">
                <w:rPr>
                  <w:b w:val="0"/>
                  <w:sz w:val="24"/>
                  <w:szCs w:val="24"/>
                </w:rPr>
                <w:t>1998/2006</w:t>
              </w:r>
            </w:hyperlink>
            <w:r w:rsidR="00C577F8">
              <w:rPr>
                <w:b w:val="0"/>
                <w:sz w:val="24"/>
                <w:szCs w:val="24"/>
              </w:rPr>
              <w:t xml:space="preserve"> aizstāta ar </w:t>
            </w:r>
            <w:r w:rsidR="00C577F8" w:rsidRPr="00C577F8">
              <w:rPr>
                <w:b w:val="0"/>
                <w:sz w:val="24"/>
                <w:szCs w:val="24"/>
              </w:rPr>
              <w:t xml:space="preserve">Komisijas 2013.gada 18.decembra </w:t>
            </w:r>
            <w:r w:rsidR="00C577F8" w:rsidRPr="00C577F8">
              <w:rPr>
                <w:b w:val="0"/>
                <w:sz w:val="24"/>
                <w:szCs w:val="24"/>
              </w:rPr>
              <w:lastRenderedPageBreak/>
              <w:t>Regul</w:t>
            </w:r>
            <w:r w:rsidR="00C577F8">
              <w:rPr>
                <w:b w:val="0"/>
                <w:sz w:val="24"/>
                <w:szCs w:val="24"/>
              </w:rPr>
              <w:t>u (EK) Nr.</w:t>
            </w:r>
            <w:hyperlink r:id="rId16" w:tgtFrame="_blank" w:history="1">
              <w:r w:rsidR="00C577F8" w:rsidRPr="00C577F8">
                <w:rPr>
                  <w:b w:val="0"/>
                  <w:sz w:val="24"/>
                  <w:szCs w:val="24"/>
                </w:rPr>
                <w:t>1407/2013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 par Līguma par Eiropas Savienības darbību 107. un 108.panta piemērošanu </w:t>
            </w:r>
            <w:r w:rsidR="00C577F8" w:rsidRPr="00C577F8">
              <w:rPr>
                <w:b w:val="0"/>
                <w:i/>
                <w:sz w:val="24"/>
                <w:szCs w:val="24"/>
              </w:rPr>
              <w:t>de minimis</w:t>
            </w:r>
            <w:r w:rsidR="00C577F8" w:rsidRPr="00C577F8">
              <w:rPr>
                <w:b w:val="0"/>
                <w:sz w:val="24"/>
                <w:szCs w:val="24"/>
              </w:rPr>
              <w:t xml:space="preserve"> atbalstam (Eiropas Savienības Oficiālais Vēstnesis, 2013.gada 24.decembris, Nr. L 352) (turpmāk – Komisijas regula Nr. </w:t>
            </w:r>
            <w:hyperlink r:id="rId17" w:tgtFrame="_blank" w:history="1">
              <w:r w:rsidR="00C577F8" w:rsidRPr="00C577F8">
                <w:rPr>
                  <w:b w:val="0"/>
                  <w:sz w:val="24"/>
                  <w:szCs w:val="24"/>
                </w:rPr>
                <w:t>1407/2013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>)</w:t>
            </w:r>
            <w:r w:rsidR="00C577F8">
              <w:rPr>
                <w:b w:val="0"/>
                <w:sz w:val="24"/>
                <w:szCs w:val="24"/>
              </w:rPr>
              <w:t xml:space="preserve"> un 2.1.7., 7.4., 10.7. un 12.7.apakšpunktā </w:t>
            </w:r>
            <w:r w:rsidR="00C577F8" w:rsidRPr="00C577F8">
              <w:rPr>
                <w:b w:val="0"/>
                <w:sz w:val="24"/>
                <w:szCs w:val="24"/>
              </w:rPr>
              <w:t>Komisijas regula Nr.</w:t>
            </w:r>
            <w:hyperlink r:id="rId18" w:tgtFrame="_blank" w:history="1">
              <w:r w:rsidR="00C577F8" w:rsidRPr="00C577F8">
                <w:rPr>
                  <w:b w:val="0"/>
                  <w:sz w:val="24"/>
                  <w:szCs w:val="24"/>
                </w:rPr>
                <w:t>1535/2007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 </w:t>
            </w:r>
            <w:r w:rsidR="00C577F8">
              <w:rPr>
                <w:b w:val="0"/>
                <w:sz w:val="24"/>
                <w:szCs w:val="24"/>
              </w:rPr>
              <w:t xml:space="preserve">aizstāta ar </w:t>
            </w:r>
            <w:r w:rsidR="00C577F8" w:rsidRPr="00C577F8">
              <w:rPr>
                <w:b w:val="0"/>
                <w:sz w:val="24"/>
                <w:szCs w:val="24"/>
              </w:rPr>
              <w:t>Komisijas 2013.gada 18.decembra Regul</w:t>
            </w:r>
            <w:r w:rsidR="00E273E3">
              <w:rPr>
                <w:b w:val="0"/>
                <w:sz w:val="24"/>
                <w:szCs w:val="24"/>
              </w:rPr>
              <w:t>u</w:t>
            </w:r>
            <w:r w:rsidR="00C577F8" w:rsidRPr="00C577F8">
              <w:rPr>
                <w:b w:val="0"/>
                <w:sz w:val="24"/>
                <w:szCs w:val="24"/>
              </w:rPr>
              <w:t xml:space="preserve"> (EK) Nr.</w:t>
            </w:r>
            <w:hyperlink r:id="rId19" w:tgtFrame="_blank" w:history="1">
              <w:r w:rsidR="00C577F8" w:rsidRPr="00C577F8">
                <w:rPr>
                  <w:b w:val="0"/>
                  <w:sz w:val="24"/>
                  <w:szCs w:val="24"/>
                </w:rPr>
                <w:t>1408/2013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 par Līguma par Eiropas Savienības darbību 107. un 108.panta piemērošanu </w:t>
            </w:r>
            <w:r w:rsidR="00C577F8" w:rsidRPr="00C577F8">
              <w:rPr>
                <w:b w:val="0"/>
                <w:i/>
                <w:sz w:val="24"/>
                <w:szCs w:val="24"/>
              </w:rPr>
              <w:t>de minimis</w:t>
            </w:r>
            <w:r w:rsidR="00C577F8" w:rsidRPr="00C577F8">
              <w:rPr>
                <w:b w:val="0"/>
                <w:sz w:val="24"/>
                <w:szCs w:val="24"/>
              </w:rPr>
              <w:t xml:space="preserve"> atbalstam lauksaimniecības nozarē (Eiropas Savienības Oficiālais Vēstnesis, 2013.gada 24.decembris, Nr.L352) </w:t>
            </w:r>
            <w:r w:rsidR="00C577F8">
              <w:rPr>
                <w:b w:val="0"/>
                <w:sz w:val="24"/>
                <w:szCs w:val="24"/>
              </w:rPr>
              <w:t>(turpmāk – Komisijas regula Nr.</w:t>
            </w:r>
            <w:hyperlink r:id="rId20" w:tgtFrame="_blank" w:history="1">
              <w:r w:rsidR="00C577F8" w:rsidRPr="00C577F8">
                <w:rPr>
                  <w:b w:val="0"/>
                  <w:sz w:val="24"/>
                  <w:szCs w:val="24"/>
                </w:rPr>
                <w:t>1408/2013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>)</w:t>
            </w:r>
            <w:r w:rsidR="00C577F8">
              <w:rPr>
                <w:b w:val="0"/>
                <w:sz w:val="24"/>
                <w:szCs w:val="24"/>
              </w:rPr>
              <w:t xml:space="preserve">. Noteikumu Nr.746 2.2. apakšpunktā </w:t>
            </w:r>
            <w:r w:rsidR="00C577F8" w:rsidRPr="00C577F8">
              <w:rPr>
                <w:b w:val="0"/>
                <w:sz w:val="24"/>
                <w:szCs w:val="24"/>
              </w:rPr>
              <w:t xml:space="preserve">Komisijas </w:t>
            </w:r>
            <w:r w:rsidR="00742739">
              <w:rPr>
                <w:b w:val="0"/>
                <w:sz w:val="24"/>
                <w:szCs w:val="24"/>
              </w:rPr>
              <w:t>r</w:t>
            </w:r>
            <w:r w:rsidR="00C577F8" w:rsidRPr="00C577F8">
              <w:rPr>
                <w:b w:val="0"/>
                <w:sz w:val="24"/>
                <w:szCs w:val="24"/>
              </w:rPr>
              <w:t>egula Nr.</w:t>
            </w:r>
            <w:hyperlink r:id="rId21" w:tgtFrame="_blank" w:history="1">
              <w:r w:rsidR="00C577F8" w:rsidRPr="00C577F8">
                <w:rPr>
                  <w:b w:val="0"/>
                  <w:sz w:val="24"/>
                  <w:szCs w:val="24"/>
                </w:rPr>
                <w:t>800/1999</w:t>
              </w:r>
            </w:hyperlink>
            <w:r w:rsidR="00C577F8" w:rsidRPr="00C577F8">
              <w:rPr>
                <w:b w:val="0"/>
                <w:sz w:val="24"/>
                <w:szCs w:val="24"/>
              </w:rPr>
              <w:t xml:space="preserve">, </w:t>
            </w:r>
            <w:r w:rsidR="00C577F8">
              <w:rPr>
                <w:b w:val="0"/>
                <w:sz w:val="24"/>
                <w:szCs w:val="24"/>
              </w:rPr>
              <w:t xml:space="preserve">aizstāta ar </w:t>
            </w:r>
            <w:r w:rsidR="00C577F8" w:rsidRPr="00C577F8">
              <w:rPr>
                <w:b w:val="0"/>
                <w:sz w:val="24"/>
                <w:szCs w:val="24"/>
              </w:rPr>
              <w:t>Komisijas 2009gada 7.j</w:t>
            </w:r>
            <w:r w:rsidR="00C577F8">
              <w:rPr>
                <w:b w:val="0"/>
                <w:sz w:val="24"/>
                <w:szCs w:val="24"/>
              </w:rPr>
              <w:t>ūlija Regul</w:t>
            </w:r>
            <w:r w:rsidR="00E273E3">
              <w:rPr>
                <w:b w:val="0"/>
                <w:sz w:val="24"/>
                <w:szCs w:val="24"/>
              </w:rPr>
              <w:t>u</w:t>
            </w:r>
            <w:r w:rsidR="00C577F8">
              <w:rPr>
                <w:b w:val="0"/>
                <w:sz w:val="24"/>
                <w:szCs w:val="24"/>
              </w:rPr>
              <w:t xml:space="preserve"> (EK) Nr.612/2009,</w:t>
            </w:r>
            <w:r w:rsidR="00C577F8" w:rsidRPr="00C577F8">
              <w:rPr>
                <w:b w:val="0"/>
                <w:sz w:val="24"/>
                <w:szCs w:val="24"/>
              </w:rPr>
              <w:t xml:space="preserve"> ar kuru nosaka kopējus sīki izstrādātus noteikumus eksporta kompensāciju sistēmas piemērošanai lauksaimniecības produktiem (Eiropas Savienības Oficiālais Vēstnesis, 2009.gada 17.jūlijs, Nr.L186)</w:t>
            </w:r>
            <w:r w:rsidR="00083B0E">
              <w:rPr>
                <w:b w:val="0"/>
                <w:sz w:val="24"/>
                <w:szCs w:val="24"/>
              </w:rPr>
              <w:t>, kā arī atbilstoši precizēts 1.pielikuma 9.1.apakšpunkts</w:t>
            </w:r>
            <w:r w:rsidR="005C0889">
              <w:rPr>
                <w:b w:val="0"/>
                <w:sz w:val="24"/>
                <w:szCs w:val="24"/>
              </w:rPr>
              <w:t xml:space="preserve">. Noteikumu Nr.746 </w:t>
            </w:r>
            <w:r w:rsidR="00083B0E">
              <w:rPr>
                <w:b w:val="0"/>
                <w:sz w:val="24"/>
                <w:szCs w:val="24"/>
              </w:rPr>
              <w:t>1</w:t>
            </w:r>
            <w:r w:rsidR="005C0889">
              <w:rPr>
                <w:b w:val="0"/>
                <w:sz w:val="24"/>
                <w:szCs w:val="24"/>
              </w:rPr>
              <w:t>.pielikuma 8.4., 8.6.</w:t>
            </w:r>
            <w:r w:rsidR="00E273E3">
              <w:rPr>
                <w:b w:val="0"/>
                <w:sz w:val="24"/>
                <w:szCs w:val="24"/>
              </w:rPr>
              <w:t xml:space="preserve"> un</w:t>
            </w:r>
            <w:r w:rsidR="005C0889">
              <w:rPr>
                <w:b w:val="0"/>
                <w:sz w:val="24"/>
                <w:szCs w:val="24"/>
              </w:rPr>
              <w:t xml:space="preserve"> 8.10.apakšpunkts un piezīmes precizētas atbilstoši Komisijas regulas Nr.</w:t>
            </w:r>
            <w:hyperlink r:id="rId22" w:tgtFrame="_blank" w:history="1">
              <w:r w:rsidR="005C0889" w:rsidRPr="00C577F8">
                <w:rPr>
                  <w:b w:val="0"/>
                  <w:sz w:val="24"/>
                  <w:szCs w:val="24"/>
                </w:rPr>
                <w:t>1408/2013</w:t>
              </w:r>
            </w:hyperlink>
            <w:r w:rsidR="005C0889">
              <w:rPr>
                <w:b w:val="0"/>
                <w:sz w:val="24"/>
                <w:szCs w:val="24"/>
              </w:rPr>
              <w:t xml:space="preserve"> 3.panta 2.punktam un 4.panta 6.punktam.</w:t>
            </w:r>
            <w:r w:rsidR="00083B0E">
              <w:rPr>
                <w:b w:val="0"/>
                <w:sz w:val="24"/>
                <w:szCs w:val="24"/>
              </w:rPr>
              <w:t xml:space="preserve"> Noteikumi Nr.746 papildināti ar jaunu 5.</w:t>
            </w:r>
            <w:r w:rsidR="00083B0E">
              <w:rPr>
                <w:b w:val="0"/>
                <w:sz w:val="24"/>
                <w:szCs w:val="24"/>
                <w:vertAlign w:val="superscript"/>
              </w:rPr>
              <w:t>2</w:t>
            </w:r>
            <w:r w:rsidR="00083B0E">
              <w:rPr>
                <w:b w:val="0"/>
                <w:sz w:val="24"/>
                <w:szCs w:val="24"/>
              </w:rPr>
              <w:t xml:space="preserve"> </w:t>
            </w:r>
            <w:r w:rsidR="00FA60CF">
              <w:rPr>
                <w:b w:val="0"/>
                <w:sz w:val="24"/>
                <w:szCs w:val="24"/>
              </w:rPr>
              <w:t xml:space="preserve">punktu </w:t>
            </w:r>
            <w:r w:rsidR="00083B0E">
              <w:rPr>
                <w:b w:val="0"/>
                <w:sz w:val="24"/>
                <w:szCs w:val="24"/>
              </w:rPr>
              <w:t>ar ko tiek ieviestas Komisijas regulas Nr.</w:t>
            </w:r>
            <w:hyperlink r:id="rId23" w:tgtFrame="_blank" w:history="1">
              <w:r w:rsidR="00083B0E" w:rsidRPr="00C577F8">
                <w:rPr>
                  <w:b w:val="0"/>
                  <w:sz w:val="24"/>
                  <w:szCs w:val="24"/>
                </w:rPr>
                <w:t>1408/2013</w:t>
              </w:r>
            </w:hyperlink>
            <w:r w:rsidR="00083B0E">
              <w:rPr>
                <w:b w:val="0"/>
                <w:sz w:val="24"/>
                <w:szCs w:val="24"/>
              </w:rPr>
              <w:t xml:space="preserve"> prasības attiecībā uz maksātnespējas procesu un lielo uzņēmumu </w:t>
            </w:r>
            <w:r w:rsidR="00CD39FB">
              <w:rPr>
                <w:b w:val="0"/>
                <w:sz w:val="24"/>
                <w:szCs w:val="24"/>
              </w:rPr>
              <w:t xml:space="preserve">kredītreitingu. </w:t>
            </w:r>
            <w:r w:rsidR="00E273E3">
              <w:rPr>
                <w:b w:val="0"/>
                <w:sz w:val="24"/>
                <w:szCs w:val="24"/>
              </w:rPr>
              <w:t>Turklāt n</w:t>
            </w:r>
            <w:r w:rsidR="00E46641">
              <w:rPr>
                <w:b w:val="0"/>
                <w:sz w:val="24"/>
                <w:szCs w:val="24"/>
              </w:rPr>
              <w:t>oteikumos Nr.746 tiek paredzēts jauns 29. punkts, kas nodrošinās lauku attīstības programm</w:t>
            </w:r>
            <w:r w:rsidR="00E273E3">
              <w:rPr>
                <w:b w:val="0"/>
                <w:sz w:val="24"/>
                <w:szCs w:val="24"/>
              </w:rPr>
              <w:t>ā</w:t>
            </w:r>
            <w:r w:rsidR="00E46641">
              <w:rPr>
                <w:b w:val="0"/>
                <w:sz w:val="24"/>
                <w:szCs w:val="24"/>
              </w:rPr>
              <w:t xml:space="preserve"> 2007.</w:t>
            </w:r>
            <w:r w:rsidR="00E273E3">
              <w:rPr>
                <w:b w:val="0"/>
                <w:sz w:val="24"/>
                <w:szCs w:val="24"/>
              </w:rPr>
              <w:t>–</w:t>
            </w:r>
            <w:r w:rsidR="00E46641">
              <w:rPr>
                <w:b w:val="0"/>
                <w:sz w:val="24"/>
                <w:szCs w:val="24"/>
              </w:rPr>
              <w:t>2013.gadam atbalstīto projektu ieviešanu</w:t>
            </w:r>
            <w:r w:rsidR="002D1ADB">
              <w:rPr>
                <w:b w:val="0"/>
                <w:sz w:val="24"/>
                <w:szCs w:val="24"/>
              </w:rPr>
              <w:t xml:space="preserve"> atbilstoši attiecīg</w:t>
            </w:r>
            <w:r w:rsidR="00E273E3">
              <w:rPr>
                <w:b w:val="0"/>
                <w:sz w:val="24"/>
                <w:szCs w:val="24"/>
              </w:rPr>
              <w:t>aj</w:t>
            </w:r>
            <w:r w:rsidR="002D1ADB">
              <w:rPr>
                <w:b w:val="0"/>
                <w:sz w:val="24"/>
                <w:szCs w:val="24"/>
              </w:rPr>
              <w:t>ā plānošanas posmā pastāvošajiem nosacījumiem.</w:t>
            </w:r>
          </w:p>
        </w:tc>
      </w:tr>
      <w:tr w:rsidR="00DD4976" w:rsidRPr="00ED22C8" w:rsidTr="00422589">
        <w:trPr>
          <w:trHeight w:val="476"/>
        </w:trPr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208" w:type="pct"/>
          </w:tcPr>
          <w:p w:rsidR="00DD4976" w:rsidRPr="00ED22C8" w:rsidRDefault="00D74102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Valsts akciju sabiedrība „</w:t>
            </w:r>
            <w:r w:rsidRPr="00ED22C8">
              <w:rPr>
                <w:rFonts w:ascii="Times New Roman" w:hAnsi="Times New Roman"/>
                <w:sz w:val="24"/>
                <w:szCs w:val="24"/>
              </w:rPr>
              <w:t>Lauku attīstības fonds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DD4976" w:rsidRPr="00ED22C8" w:rsidTr="00422589">
        <w:tc>
          <w:tcPr>
            <w:tcW w:w="227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65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8" w:type="pct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>
              <w:t>Nav.</w:t>
            </w:r>
          </w:p>
        </w:tc>
      </w:tr>
    </w:tbl>
    <w:p w:rsidR="00DD4976" w:rsidRPr="00DD49B6" w:rsidRDefault="00DD4976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DD4976" w:rsidRPr="00ED22C8" w:rsidTr="00C72A47">
        <w:trPr>
          <w:trHeight w:val="556"/>
        </w:trPr>
        <w:tc>
          <w:tcPr>
            <w:tcW w:w="9503" w:type="dxa"/>
            <w:gridSpan w:val="3"/>
            <w:vAlign w:val="center"/>
          </w:tcPr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II. Tiesību akta projekta ietekme uz sabiedrību, tautsaimniecības attīstību</w:t>
            </w:r>
          </w:p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DD4976" w:rsidRPr="00ED22C8" w:rsidTr="00C72A47">
        <w:trPr>
          <w:trHeight w:val="467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DD4976" w:rsidRPr="00ED22C8" w:rsidRDefault="00DD4976" w:rsidP="00775F7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21"/>
            <w:bookmarkEnd w:id="1"/>
            <w:r w:rsidRPr="00290226">
              <w:rPr>
                <w:rFonts w:ascii="Times New Roman" w:hAnsi="Times New Roman"/>
                <w:bCs/>
                <w:sz w:val="24"/>
                <w:szCs w:val="24"/>
              </w:rPr>
              <w:t>Ministru kabineta noteikumu projekts attiecas uz pārtikas pārstrādes nozari un zvejas un akvakultūras produktu apstrādi.</w:t>
            </w:r>
          </w:p>
        </w:tc>
      </w:tr>
      <w:tr w:rsidR="00DD4976" w:rsidRPr="00ED22C8" w:rsidTr="00C72A47">
        <w:trPr>
          <w:trHeight w:val="523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DD4976" w:rsidRPr="00290226" w:rsidRDefault="00DD4976" w:rsidP="00775F7D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226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DD4976" w:rsidRPr="00ED22C8" w:rsidTr="00C72A47">
        <w:trPr>
          <w:trHeight w:val="523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DD4976" w:rsidRPr="00290226" w:rsidRDefault="00DD4976" w:rsidP="00C72A4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226"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  <w:tr w:rsidR="00DD4976" w:rsidRPr="00ED22C8" w:rsidTr="00C72A47">
        <w:trPr>
          <w:trHeight w:val="357"/>
        </w:trPr>
        <w:tc>
          <w:tcPr>
            <w:tcW w:w="431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DD4976" w:rsidRPr="00DD49B6" w:rsidRDefault="00DD4976" w:rsidP="00C72A4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DD4976" w:rsidRPr="00ED22C8" w:rsidRDefault="00DD4976" w:rsidP="00C72A4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DD4976" w:rsidRDefault="00DD4976" w:rsidP="00290226">
      <w:pPr>
        <w:pStyle w:val="naiskr"/>
        <w:spacing w:before="0" w:after="0"/>
        <w:rPr>
          <w:i/>
        </w:rPr>
      </w:pPr>
      <w:r>
        <w:rPr>
          <w:i/>
        </w:rPr>
        <w:t xml:space="preserve">  </w:t>
      </w:r>
      <w:r w:rsidR="0086479D">
        <w:rPr>
          <w:i/>
        </w:rPr>
        <w:t>III</w:t>
      </w:r>
      <w:r w:rsidR="00A210C2">
        <w:rPr>
          <w:i/>
        </w:rPr>
        <w:t xml:space="preserve"> </w:t>
      </w:r>
      <w:r w:rsidR="0086479D">
        <w:rPr>
          <w:i/>
        </w:rPr>
        <w:t xml:space="preserve">un </w:t>
      </w:r>
      <w:r>
        <w:rPr>
          <w:i/>
        </w:rPr>
        <w:t xml:space="preserve">IV </w:t>
      </w:r>
      <w:r w:rsidRPr="00CF1981">
        <w:rPr>
          <w:i/>
        </w:rPr>
        <w:t>sadaļa – projekts šo jomu neskar.</w:t>
      </w:r>
    </w:p>
    <w:tbl>
      <w:tblPr>
        <w:tblW w:w="96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482"/>
        <w:gridCol w:w="267"/>
        <w:gridCol w:w="740"/>
        <w:gridCol w:w="1103"/>
        <w:gridCol w:w="1173"/>
        <w:gridCol w:w="1656"/>
        <w:gridCol w:w="2759"/>
      </w:tblGrid>
      <w:tr w:rsidR="0086479D" w:rsidRPr="00B84678" w:rsidTr="0086479D">
        <w:trPr>
          <w:jc w:val="center"/>
        </w:trPr>
        <w:tc>
          <w:tcPr>
            <w:tcW w:w="96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86479D" w:rsidRPr="00091D8A" w:rsidTr="0086479D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 xml:space="preserve">Saistības pret Eiropas </w:t>
            </w:r>
            <w:r w:rsidRPr="00B84678">
              <w:rPr>
                <w:rFonts w:ascii="Times New Roman" w:hAnsi="Times New Roman"/>
                <w:sz w:val="24"/>
                <w:szCs w:val="24"/>
              </w:rPr>
              <w:lastRenderedPageBreak/>
              <w:t>Savienību</w:t>
            </w:r>
          </w:p>
        </w:tc>
        <w:tc>
          <w:tcPr>
            <w:tcW w:w="6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86479D" w:rsidRDefault="0086479D" w:rsidP="00C8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Komisijas regula Nr. </w:t>
            </w:r>
            <w:hyperlink r:id="rId24" w:tgtFrame="_blank" w:history="1">
              <w:r w:rsidRPr="0086479D">
                <w:rPr>
                  <w:rFonts w:ascii="Times New Roman" w:hAnsi="Times New Roman"/>
                  <w:sz w:val="24"/>
                  <w:szCs w:val="24"/>
                </w:rPr>
                <w:t>1305/2013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9D" w:rsidRPr="0086479D" w:rsidRDefault="0086479D" w:rsidP="00C8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Komisijas regula Nr. </w:t>
            </w:r>
            <w:hyperlink r:id="rId25" w:tgtFrame="_blank" w:history="1">
              <w:r w:rsidRPr="0086479D">
                <w:rPr>
                  <w:rFonts w:ascii="Times New Roman" w:hAnsi="Times New Roman"/>
                  <w:sz w:val="24"/>
                  <w:szCs w:val="24"/>
                </w:rPr>
                <w:t>1407/2013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9D" w:rsidRPr="00091D8A" w:rsidRDefault="0086479D" w:rsidP="00C86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9D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hyperlink r:id="rId26" w:tgtFrame="_blank" w:history="1">
              <w:r w:rsidRPr="0086479D">
                <w:rPr>
                  <w:rFonts w:ascii="Times New Roman" w:hAnsi="Times New Roman"/>
                  <w:sz w:val="24"/>
                  <w:szCs w:val="24"/>
                </w:rPr>
                <w:t>1408/2013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479D" w:rsidRPr="00B84678" w:rsidTr="0086479D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5A2">
              <w:rPr>
                <w:rFonts w:ascii="Times New Roman" w:hAnsi="Times New Roman"/>
                <w:color w:val="000000"/>
                <w:sz w:val="24"/>
                <w:szCs w:val="24"/>
              </w:rPr>
              <w:t>Projekts šo jomu neskar.</w:t>
            </w:r>
          </w:p>
        </w:tc>
      </w:tr>
      <w:tr w:rsidR="0086479D" w:rsidRPr="00B84678" w:rsidTr="0086479D">
        <w:trPr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86479D" w:rsidRPr="00B84678" w:rsidTr="0086479D">
        <w:trPr>
          <w:jc w:val="center"/>
        </w:trPr>
        <w:tc>
          <w:tcPr>
            <w:tcW w:w="96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1.tabula</w:t>
            </w:r>
          </w:p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86479D" w:rsidRPr="00B84678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76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9D">
              <w:rPr>
                <w:rFonts w:ascii="Times New Roman" w:hAnsi="Times New Roman"/>
                <w:sz w:val="24"/>
                <w:szCs w:val="24"/>
              </w:rPr>
              <w:t xml:space="preserve">Komisijas regula Nr. </w:t>
            </w:r>
            <w:hyperlink r:id="rId27" w:tgtFrame="_blank" w:history="1">
              <w:r w:rsidRPr="0086479D">
                <w:rPr>
                  <w:rFonts w:ascii="Times New Roman" w:hAnsi="Times New Roman"/>
                  <w:sz w:val="24"/>
                  <w:szCs w:val="24"/>
                </w:rPr>
                <w:t>1305/2013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9D" w:rsidRPr="0086479D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9D">
              <w:rPr>
                <w:rFonts w:ascii="Times New Roman" w:hAnsi="Times New Roman"/>
                <w:sz w:val="24"/>
                <w:szCs w:val="24"/>
              </w:rPr>
              <w:t xml:space="preserve">Komisijas regula Nr. </w:t>
            </w:r>
            <w:hyperlink r:id="rId28" w:tgtFrame="_blank" w:history="1">
              <w:r w:rsidRPr="0086479D">
                <w:rPr>
                  <w:rFonts w:ascii="Times New Roman" w:hAnsi="Times New Roman"/>
                  <w:sz w:val="24"/>
                  <w:szCs w:val="24"/>
                </w:rPr>
                <w:t>1407/2013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479D" w:rsidRPr="00B84678" w:rsidRDefault="0086479D" w:rsidP="0086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79D">
              <w:rPr>
                <w:rFonts w:ascii="Times New Roman" w:hAnsi="Times New Roman"/>
                <w:sz w:val="24"/>
                <w:szCs w:val="24"/>
              </w:rPr>
              <w:t>Komisijas regulas Nr.</w:t>
            </w:r>
            <w:hyperlink r:id="rId29" w:tgtFrame="_blank" w:history="1">
              <w:r w:rsidRPr="0086479D">
                <w:rPr>
                  <w:rFonts w:ascii="Times New Roman" w:hAnsi="Times New Roman"/>
                  <w:sz w:val="24"/>
                  <w:szCs w:val="24"/>
                </w:rPr>
                <w:t>1408/2013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C72" w:rsidRPr="00B84678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F42C72" w:rsidRPr="00B84678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Informācija par to, vai šīs tabulas A ailē minētās ES tiesību akta vienības tiek pārņemtas vai ieviestas pilnībā vai daļēji.</w:t>
            </w:r>
          </w:p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Informācija par to, vai šīs tabulas B ailē minētās projekta vienības paredz stingrākas prasības nekā šīs tabulas A ailē minētās ES tiesību akta vienības.</w:t>
            </w:r>
          </w:p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Ja projekts satur stingrā</w:t>
            </w:r>
            <w:r w:rsidRPr="00B84678">
              <w:rPr>
                <w:rFonts w:ascii="Times New Roman" w:hAnsi="Times New Roman"/>
                <w:sz w:val="24"/>
                <w:szCs w:val="24"/>
              </w:rPr>
              <w:softHyphen/>
              <w:t>kas prasības nekā attie</w:t>
            </w:r>
            <w:r w:rsidRPr="00B84678">
              <w:rPr>
                <w:rFonts w:ascii="Times New Roman" w:hAnsi="Times New Roman"/>
                <w:sz w:val="24"/>
                <w:szCs w:val="24"/>
              </w:rPr>
              <w:softHyphen/>
              <w:t>cīgais ES tiesību akts, norāda pamatojumu un samērīgumu.</w:t>
            </w:r>
          </w:p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42C72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Nr.1407/2013 6.pants 1.punkts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AE0DCF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E46641">
              <w:rPr>
                <w:rFonts w:ascii="Times New Roman" w:hAnsi="Times New Roman"/>
                <w:sz w:val="24"/>
                <w:szCs w:val="24"/>
              </w:rPr>
              <w:t xml:space="preserve"> projekta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641">
              <w:rPr>
                <w:rFonts w:ascii="Times New Roman" w:hAnsi="Times New Roman"/>
                <w:sz w:val="24"/>
                <w:szCs w:val="24"/>
              </w:rPr>
              <w:t>2.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 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Nr.1407/2013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42C72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Nr.1407/2013 3.pants 2.punkts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0179D1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E46641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0179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6641"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Nr.1407/2013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42C72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Komisijas Regulas Nr.1407/2013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2.pants 2.punkts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0179D1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</w:t>
            </w:r>
            <w:r w:rsidR="00E46641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0179D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.</w:t>
            </w:r>
            <w:r w:rsidR="00E46641"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Komisijas Regulas Nr.1407/2013 prasības tiek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Noteikumu projekta vienības neparedz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stingrākas prasības kā šīs tabulas A ailē minētās ES tiesību akta vienības.</w:t>
            </w:r>
          </w:p>
        </w:tc>
      </w:tr>
      <w:tr w:rsidR="00B31486" w:rsidRPr="00016696" w:rsidTr="00B31486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B31486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Komisijas Regulas Nr.1407/2013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pants </w:t>
            </w:r>
            <w:r>
              <w:rPr>
                <w:rFonts w:ascii="Times New Roman" w:hAnsi="Times New Roman"/>
                <w:sz w:val="24"/>
                <w:szCs w:val="24"/>
              </w:rPr>
              <w:t>6.punkts a) apakšpunkts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61513B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61513B">
              <w:rPr>
                <w:rFonts w:ascii="Times New Roman" w:hAnsi="Times New Roman"/>
                <w:sz w:val="24"/>
                <w:szCs w:val="24"/>
              </w:rPr>
              <w:t>4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unkts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F30EF7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Nr.1407/2013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F30EF7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42C72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Nr.1408/2013 6.pants 1.punkts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F42C72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F42C72">
              <w:rPr>
                <w:rFonts w:ascii="Times New Roman" w:hAnsi="Times New Roman"/>
                <w:sz w:val="24"/>
                <w:szCs w:val="24"/>
              </w:rPr>
              <w:t>projekta 3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.</w:t>
            </w:r>
            <w:r w:rsidR="00F42C72"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Nr.1408/2013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42C72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Nr.1408/2013 3.pants 2.punkts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0179D1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F42C72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0179D1">
              <w:rPr>
                <w:rFonts w:ascii="Times New Roman" w:hAnsi="Times New Roman"/>
                <w:sz w:val="24"/>
                <w:szCs w:val="24"/>
              </w:rPr>
              <w:t>7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.</w:t>
            </w:r>
            <w:r w:rsidR="00F42C72"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Nr.1408/2013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F42C72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Nr.1408/2013 2.pants 2.punkts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0179D1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 w:rsidR="00F42C72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0179D1">
              <w:rPr>
                <w:rFonts w:ascii="Times New Roman" w:hAnsi="Times New Roman"/>
                <w:sz w:val="24"/>
                <w:szCs w:val="24"/>
              </w:rPr>
              <w:t>7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.</w:t>
            </w:r>
            <w:r w:rsidR="00F42C72"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Nr.1408/2013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B31486" w:rsidRPr="00016696" w:rsidTr="00F30EF7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B31486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/2013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.pants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6.punkts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a) apakšpunkts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61513B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Noteikumu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 w:rsidR="0061513B">
              <w:rPr>
                <w:rFonts w:ascii="Times New Roman" w:hAnsi="Times New Roman"/>
                <w:sz w:val="24"/>
                <w:szCs w:val="24"/>
              </w:rPr>
              <w:t>4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unkts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B31486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Komisijas Regulas Nr.140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16696">
              <w:rPr>
                <w:rFonts w:ascii="Times New Roman" w:hAnsi="Times New Roman"/>
                <w:sz w:val="24"/>
                <w:szCs w:val="24"/>
              </w:rPr>
              <w:t>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1486" w:rsidRPr="00016696" w:rsidRDefault="00B31486" w:rsidP="00F30EF7">
            <w:pPr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42739" w:rsidRPr="00016696" w:rsidTr="00F30EF7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739" w:rsidRPr="00742739" w:rsidRDefault="00742739" w:rsidP="00742739">
            <w:pPr>
              <w:rPr>
                <w:rFonts w:ascii="Times New Roman" w:hAnsi="Times New Roman"/>
                <w:sz w:val="24"/>
                <w:szCs w:val="24"/>
              </w:rPr>
            </w:pPr>
            <w:r w:rsidRPr="00742739">
              <w:rPr>
                <w:rFonts w:ascii="Times New Roman" w:hAnsi="Times New Roman"/>
                <w:sz w:val="24"/>
                <w:szCs w:val="24"/>
              </w:rPr>
              <w:t>Komisijas Regulas Nr.1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27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2739">
              <w:rPr>
                <w:rFonts w:ascii="Times New Roman" w:hAnsi="Times New Roman"/>
                <w:sz w:val="24"/>
                <w:szCs w:val="24"/>
              </w:rPr>
              <w:t xml:space="preserve">/2013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42739">
              <w:rPr>
                <w:rFonts w:ascii="Times New Roman" w:hAnsi="Times New Roman"/>
                <w:sz w:val="24"/>
                <w:szCs w:val="24"/>
              </w:rPr>
              <w:t xml:space="preserve">.pants </w:t>
            </w:r>
          </w:p>
        </w:tc>
        <w:tc>
          <w:tcPr>
            <w:tcW w:w="2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739" w:rsidRPr="00742739" w:rsidRDefault="00742739" w:rsidP="00742739">
            <w:pPr>
              <w:rPr>
                <w:rFonts w:ascii="Times New Roman" w:hAnsi="Times New Roman"/>
                <w:sz w:val="24"/>
                <w:szCs w:val="24"/>
              </w:rPr>
            </w:pPr>
            <w:r w:rsidRPr="00742739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2739">
              <w:rPr>
                <w:rFonts w:ascii="Times New Roman" w:hAnsi="Times New Roman"/>
                <w:sz w:val="24"/>
                <w:szCs w:val="24"/>
              </w:rPr>
              <w:t xml:space="preserve">. punkts </w:t>
            </w:r>
          </w:p>
        </w:tc>
        <w:tc>
          <w:tcPr>
            <w:tcW w:w="2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739" w:rsidRPr="00742739" w:rsidRDefault="00742739" w:rsidP="00D9748E">
            <w:pPr>
              <w:rPr>
                <w:rFonts w:ascii="Times New Roman" w:hAnsi="Times New Roman"/>
                <w:sz w:val="24"/>
                <w:szCs w:val="24"/>
              </w:rPr>
            </w:pPr>
            <w:r w:rsidRPr="00742739">
              <w:rPr>
                <w:rFonts w:ascii="Times New Roman" w:hAnsi="Times New Roman"/>
                <w:sz w:val="24"/>
                <w:szCs w:val="24"/>
              </w:rPr>
              <w:t>Komisijas Regulas Nr.1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273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42739">
              <w:rPr>
                <w:rFonts w:ascii="Times New Roman" w:hAnsi="Times New Roman"/>
                <w:sz w:val="24"/>
                <w:szCs w:val="24"/>
              </w:rPr>
              <w:t>/2013 prasības tiek ieviestas pilnībā.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739" w:rsidRPr="00742739" w:rsidRDefault="00742739" w:rsidP="00D9748E">
            <w:pPr>
              <w:rPr>
                <w:rFonts w:ascii="Times New Roman" w:hAnsi="Times New Roman"/>
                <w:sz w:val="24"/>
                <w:szCs w:val="24"/>
              </w:rPr>
            </w:pPr>
            <w:r w:rsidRPr="00742739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86479D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Kā ir izmantota ES tiesību aktā paredzētā rīcības brīvība dalībvalstij pārņemt vai ieviest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noteiktas ES tiesību akta normas?</w:t>
            </w:r>
          </w:p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Kādēļ?</w:t>
            </w:r>
          </w:p>
        </w:tc>
        <w:tc>
          <w:tcPr>
            <w:tcW w:w="76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86479D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Saistības sniegt paziņojumu ES institūcijām un ES dalībvalstīm atbilstoši normatīvajiem aktiem, kas regulē informācijas sniegšanu par tehnisko noteikumu, valsts atbalsta piešķir</w:t>
            </w:r>
            <w:r w:rsidRPr="00016696">
              <w:rPr>
                <w:rFonts w:ascii="Times New Roman" w:hAnsi="Times New Roman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76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6479D" w:rsidRPr="00016696" w:rsidTr="0086479D">
        <w:trPr>
          <w:jc w:val="center"/>
        </w:trPr>
        <w:tc>
          <w:tcPr>
            <w:tcW w:w="1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6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86479D" w:rsidRPr="00016696" w:rsidTr="0086479D">
        <w:trPr>
          <w:jc w:val="center"/>
        </w:trPr>
        <w:tc>
          <w:tcPr>
            <w:tcW w:w="960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696">
              <w:rPr>
                <w:rFonts w:ascii="Times New Roman" w:hAnsi="Times New Roman"/>
                <w:b/>
                <w:sz w:val="24"/>
                <w:szCs w:val="24"/>
              </w:rPr>
              <w:t>2.tabula</w:t>
            </w:r>
          </w:p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696">
              <w:rPr>
                <w:rFonts w:ascii="Times New Roman" w:hAnsi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6696">
              <w:rPr>
                <w:rFonts w:ascii="Times New Roman" w:hAnsi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86479D" w:rsidRPr="00016696" w:rsidTr="0086479D">
        <w:trPr>
          <w:jc w:val="center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7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86479D" w:rsidRPr="00016696" w:rsidTr="0086479D">
        <w:trPr>
          <w:jc w:val="center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86479D" w:rsidRPr="00016696" w:rsidTr="0086479D">
        <w:trPr>
          <w:jc w:val="center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Starptautiskās saistības (pēc būtības), kas izriet no norādītā starptautis</w:t>
            </w:r>
            <w:r w:rsidRPr="00016696">
              <w:rPr>
                <w:rFonts w:ascii="Times New Roman" w:hAnsi="Times New Roman"/>
                <w:sz w:val="24"/>
                <w:szCs w:val="24"/>
              </w:rPr>
              <w:softHyphen/>
              <w:t>kā dokumenta.</w:t>
            </w:r>
          </w:p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 xml:space="preserve">Konkrēti veicamie pasākumi vai uzdevumi, kas nepieciešami šo </w:t>
            </w: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starptautisko saistību izpildei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lastRenderedPageBreak/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4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Informācija par to, vai starptautiskās saistības, kas minētas šīs tabulas A ailē, tiek izpildītas pilnībā vai daļēji.</w:t>
            </w:r>
          </w:p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:rsidR="0086479D" w:rsidRPr="00016696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696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</w:t>
            </w:r>
          </w:p>
        </w:tc>
      </w:tr>
      <w:tr w:rsidR="0086479D" w:rsidRPr="00B84678" w:rsidTr="0086479D">
        <w:trPr>
          <w:jc w:val="center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lastRenderedPageBreak/>
              <w:t>Iekļauj informāciju atbilstoši instrukcijas 58.1.apakšpunktā noteiktajam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  <w:tc>
          <w:tcPr>
            <w:tcW w:w="4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86479D" w:rsidRPr="00B84678" w:rsidTr="0086479D">
        <w:trPr>
          <w:jc w:val="center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Vai starptautiskajā dokumentā paredzētās saistības nav pretrunā ar jau esošajām Latvijas Republikas starptautis</w:t>
            </w:r>
            <w:r w:rsidRPr="00B84678">
              <w:rPr>
                <w:rFonts w:ascii="Times New Roman" w:hAnsi="Times New Roman"/>
                <w:sz w:val="24"/>
                <w:szCs w:val="24"/>
              </w:rPr>
              <w:softHyphen/>
              <w:t>kajām saistībām</w:t>
            </w:r>
          </w:p>
        </w:tc>
        <w:tc>
          <w:tcPr>
            <w:tcW w:w="7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86479D" w:rsidRPr="00B84678" w:rsidTr="0086479D">
        <w:trPr>
          <w:jc w:val="center"/>
        </w:trPr>
        <w:tc>
          <w:tcPr>
            <w:tcW w:w="2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74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79D" w:rsidRPr="00B84678" w:rsidRDefault="0086479D" w:rsidP="00C86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678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DD4976" w:rsidRPr="00DD49B6" w:rsidDel="009D1634" w:rsidRDefault="00DD4976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DD4976" w:rsidRPr="00ED22C8" w:rsidTr="00C72A47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DD4976" w:rsidRPr="00DD49B6" w:rsidRDefault="00DD4976" w:rsidP="00C72A47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DD4976" w:rsidRPr="00ED22C8" w:rsidTr="00C72A47">
        <w:trPr>
          <w:trHeight w:val="553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DD4976" w:rsidRPr="00ED22C8" w:rsidRDefault="00D74102" w:rsidP="00D741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61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Sanāksme ar </w:t>
            </w:r>
            <w:r w:rsidR="00E273E3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alsts akciju sabiedrību „</w:t>
            </w:r>
            <w:r w:rsidRPr="00ED22C8">
              <w:rPr>
                <w:rFonts w:ascii="Times New Roman" w:hAnsi="Times New Roman"/>
                <w:sz w:val="24"/>
                <w:szCs w:val="24"/>
              </w:rPr>
              <w:t>Lauku attīstības fonds</w:t>
            </w:r>
          </w:p>
        </w:tc>
      </w:tr>
      <w:tr w:rsidR="00DD4976" w:rsidRPr="00ED22C8" w:rsidTr="00C72A47">
        <w:trPr>
          <w:trHeight w:val="339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DD4976" w:rsidRPr="00ED22C8" w:rsidRDefault="00312025" w:rsidP="00CC31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62"/>
            <w:bookmarkEnd w:id="3"/>
            <w:r w:rsidRPr="00BD42DF">
              <w:rPr>
                <w:rFonts w:ascii="Times New Roman" w:hAnsi="Times New Roman"/>
                <w:sz w:val="24"/>
                <w:szCs w:val="24"/>
              </w:rPr>
              <w:t xml:space="preserve">Saskaņots </w:t>
            </w:r>
            <w:r w:rsidR="00E273E3">
              <w:rPr>
                <w:rFonts w:ascii="Times New Roman" w:hAnsi="Times New Roman"/>
                <w:sz w:val="24"/>
                <w:szCs w:val="24"/>
              </w:rPr>
              <w:t>ar v</w:t>
            </w:r>
            <w:r w:rsidR="0086479D">
              <w:rPr>
                <w:rFonts w:ascii="Times New Roman" w:hAnsi="Times New Roman"/>
                <w:sz w:val="24"/>
                <w:szCs w:val="24"/>
              </w:rPr>
              <w:t>alsts akciju sabiedrīb</w:t>
            </w:r>
            <w:r w:rsidR="00E273E3">
              <w:rPr>
                <w:rFonts w:ascii="Times New Roman" w:hAnsi="Times New Roman"/>
                <w:sz w:val="24"/>
                <w:szCs w:val="24"/>
              </w:rPr>
              <w:t>u</w:t>
            </w:r>
            <w:r w:rsidR="0086479D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86479D" w:rsidRPr="00ED22C8">
              <w:rPr>
                <w:rFonts w:ascii="Times New Roman" w:hAnsi="Times New Roman"/>
                <w:sz w:val="24"/>
                <w:szCs w:val="24"/>
              </w:rPr>
              <w:t>Lauku attīstības fonds</w:t>
            </w:r>
            <w:r w:rsidR="0086479D">
              <w:rPr>
                <w:rFonts w:ascii="Times New Roman" w:hAnsi="Times New Roman"/>
                <w:sz w:val="24"/>
                <w:szCs w:val="24"/>
              </w:rPr>
              <w:t>”</w:t>
            </w:r>
            <w:r w:rsidRPr="00BD42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4976" w:rsidRPr="00ED22C8" w:rsidTr="00C72A47">
        <w:trPr>
          <w:trHeight w:val="476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DD4976" w:rsidRPr="00290226" w:rsidRDefault="00312025" w:rsidP="00DF175E">
            <w:pPr>
              <w:pStyle w:val="naiskr"/>
              <w:spacing w:before="0" w:after="0"/>
              <w:jc w:val="both"/>
            </w:pPr>
            <w:r>
              <w:t>Iebildumu un priekšlikumu par projektu nav.</w:t>
            </w:r>
          </w:p>
        </w:tc>
      </w:tr>
      <w:tr w:rsidR="00DD4976" w:rsidRPr="00ED22C8" w:rsidTr="00C72A47">
        <w:trPr>
          <w:trHeight w:val="476"/>
          <w:jc w:val="center"/>
        </w:trPr>
        <w:tc>
          <w:tcPr>
            <w:tcW w:w="476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2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DD4976" w:rsidRPr="00ED22C8" w:rsidRDefault="00DD4976" w:rsidP="00C72A4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ED22C8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DD4976" w:rsidRPr="00290226" w:rsidRDefault="00DD4976" w:rsidP="001E0C14">
            <w:pPr>
              <w:pStyle w:val="naiskr"/>
              <w:spacing w:before="0" w:after="0"/>
              <w:jc w:val="both"/>
            </w:pPr>
            <w:r>
              <w:t>Nav</w:t>
            </w:r>
            <w:r w:rsidRPr="00290226">
              <w:t>.</w:t>
            </w:r>
          </w:p>
        </w:tc>
      </w:tr>
    </w:tbl>
    <w:p w:rsidR="00DD4976" w:rsidRDefault="00DD4976" w:rsidP="000330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D74102" w:rsidRPr="00DD49B6" w:rsidTr="0033172A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D74102" w:rsidRPr="00DD49B6" w:rsidTr="0033172A">
        <w:trPr>
          <w:trHeight w:val="427"/>
          <w:jc w:val="center"/>
        </w:trPr>
        <w:tc>
          <w:tcPr>
            <w:tcW w:w="437" w:type="dxa"/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466" w:type="dxa"/>
          </w:tcPr>
          <w:p w:rsidR="00D74102" w:rsidRPr="00E24A36" w:rsidRDefault="00D74102" w:rsidP="0033172A">
            <w:pPr>
              <w:pStyle w:val="naisnod"/>
              <w:spacing w:before="0" w:after="0"/>
              <w:ind w:left="57" w:right="57" w:hanging="57"/>
            </w:pPr>
            <w:bookmarkStart w:id="4" w:name="p66"/>
            <w:bookmarkStart w:id="5" w:name="p67"/>
            <w:bookmarkStart w:id="6" w:name="p68"/>
            <w:bookmarkStart w:id="7" w:name="p69"/>
            <w:bookmarkEnd w:id="4"/>
            <w:bookmarkEnd w:id="5"/>
            <w:bookmarkEnd w:id="6"/>
            <w:bookmarkEnd w:id="7"/>
            <w:r w:rsidRPr="00E24A36">
              <w:rPr>
                <w:iCs/>
              </w:rPr>
              <w:t xml:space="preserve">Noteikumu projekta izpildi nodrošinās </w:t>
            </w:r>
            <w:r w:rsidR="00A74B31">
              <w:t>v</w:t>
            </w:r>
            <w:r>
              <w:t>alsts akciju sabiedrība „</w:t>
            </w:r>
            <w:r w:rsidRPr="00ED22C8">
              <w:t>Lauku attīstības fonds</w:t>
            </w:r>
            <w:r>
              <w:t>”</w:t>
            </w:r>
            <w:r w:rsidRPr="00E24A36">
              <w:rPr>
                <w:iCs/>
              </w:rPr>
              <w:t>.</w:t>
            </w:r>
          </w:p>
        </w:tc>
      </w:tr>
      <w:tr w:rsidR="00D74102" w:rsidRPr="00DD49B6" w:rsidTr="0033172A">
        <w:trPr>
          <w:trHeight w:val="463"/>
          <w:jc w:val="center"/>
        </w:trPr>
        <w:tc>
          <w:tcPr>
            <w:tcW w:w="437" w:type="dxa"/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466" w:type="dxa"/>
          </w:tcPr>
          <w:p w:rsidR="00D74102" w:rsidRPr="00E24A36" w:rsidRDefault="00D74102" w:rsidP="0033172A">
            <w:pPr>
              <w:pStyle w:val="naisnod"/>
              <w:spacing w:before="0" w:after="0"/>
              <w:ind w:left="57" w:right="57" w:hanging="57"/>
            </w:pPr>
            <w:r w:rsidRPr="00E24A36">
              <w:t>Projekts šo jomu neskar.</w:t>
            </w:r>
          </w:p>
        </w:tc>
      </w:tr>
      <w:tr w:rsidR="00D74102" w:rsidRPr="00DD49B6" w:rsidTr="0033172A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D49B6" w:rsidRDefault="00D74102" w:rsidP="0033172A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D49B6" w:rsidRDefault="00D74102" w:rsidP="0033172A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02" w:rsidRPr="00DD49B6" w:rsidRDefault="00D74102" w:rsidP="003317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172FA" w:rsidRPr="00DE1DEA" w:rsidRDefault="009172FA" w:rsidP="00DE1DEA">
      <w:pPr>
        <w:pStyle w:val="naisf"/>
        <w:spacing w:before="0" w:beforeAutospacing="0" w:after="0" w:afterAutospacing="0"/>
        <w:ind w:left="57" w:right="57"/>
        <w:rPr>
          <w:sz w:val="28"/>
          <w:szCs w:val="28"/>
        </w:rPr>
      </w:pPr>
    </w:p>
    <w:p w:rsidR="00DE1DEA" w:rsidRPr="00DE1DEA" w:rsidRDefault="00DE1DEA" w:rsidP="0014485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DE1DEA">
        <w:rPr>
          <w:sz w:val="28"/>
          <w:szCs w:val="28"/>
        </w:rPr>
        <w:t>Zemkopības ministra p.i.</w:t>
      </w:r>
      <w:r w:rsidR="0014485D">
        <w:rPr>
          <w:sz w:val="28"/>
          <w:szCs w:val="28"/>
        </w:rPr>
        <w:t xml:space="preserve"> -</w:t>
      </w:r>
    </w:p>
    <w:p w:rsidR="00DE1DEA" w:rsidRPr="00DE1DEA" w:rsidRDefault="00DE1DEA" w:rsidP="0014485D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  <w:r w:rsidRPr="00DE1DEA">
        <w:rPr>
          <w:sz w:val="28"/>
          <w:szCs w:val="28"/>
        </w:rPr>
        <w:t>satiksmes ministrs</w:t>
      </w:r>
      <w:r w:rsidRPr="00DE1DEA">
        <w:rPr>
          <w:sz w:val="28"/>
          <w:szCs w:val="28"/>
        </w:rPr>
        <w:tab/>
      </w:r>
      <w:r w:rsidRPr="00DE1DEA">
        <w:rPr>
          <w:sz w:val="28"/>
          <w:szCs w:val="28"/>
        </w:rPr>
        <w:tab/>
      </w:r>
      <w:r w:rsidRPr="00DE1DEA">
        <w:rPr>
          <w:sz w:val="28"/>
          <w:szCs w:val="28"/>
        </w:rPr>
        <w:tab/>
      </w:r>
      <w:r w:rsidRPr="00DE1DEA">
        <w:rPr>
          <w:sz w:val="28"/>
          <w:szCs w:val="28"/>
        </w:rPr>
        <w:tab/>
      </w:r>
      <w:r w:rsidR="0014485D">
        <w:rPr>
          <w:sz w:val="28"/>
          <w:szCs w:val="28"/>
        </w:rPr>
        <w:tab/>
      </w:r>
      <w:r w:rsidRPr="00DE1DEA">
        <w:rPr>
          <w:sz w:val="28"/>
          <w:szCs w:val="28"/>
        </w:rPr>
        <w:tab/>
      </w:r>
      <w:r w:rsidRPr="00DE1DEA">
        <w:rPr>
          <w:sz w:val="28"/>
          <w:szCs w:val="28"/>
        </w:rPr>
        <w:tab/>
        <w:t>A. Matīss</w:t>
      </w:r>
    </w:p>
    <w:p w:rsidR="00DD4976" w:rsidRDefault="00DD4976" w:rsidP="002902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4485D" w:rsidRDefault="0014485D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2014.06.10. 11:34</w:t>
      </w:r>
    </w:p>
    <w:p w:rsidR="0014485D" w:rsidRPr="0014485D" w:rsidRDefault="0014485D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485D">
        <w:rPr>
          <w:rFonts w:ascii="Times New Roman" w:hAnsi="Times New Roman"/>
          <w:sz w:val="20"/>
          <w:szCs w:val="20"/>
        </w:rPr>
        <w:fldChar w:fldCharType="begin"/>
      </w:r>
      <w:r w:rsidRPr="0014485D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14485D">
        <w:rPr>
          <w:rFonts w:ascii="Times New Roman" w:hAnsi="Times New Roman"/>
          <w:sz w:val="20"/>
          <w:szCs w:val="20"/>
        </w:rPr>
        <w:fldChar w:fldCharType="separate"/>
      </w:r>
      <w:r w:rsidRPr="0014485D">
        <w:rPr>
          <w:rFonts w:ascii="Times New Roman" w:hAnsi="Times New Roman"/>
          <w:noProof/>
          <w:sz w:val="20"/>
          <w:szCs w:val="20"/>
        </w:rPr>
        <w:t>1445</w:t>
      </w:r>
      <w:r w:rsidRPr="0014485D">
        <w:rPr>
          <w:rFonts w:ascii="Times New Roman" w:hAnsi="Times New Roman"/>
          <w:sz w:val="20"/>
          <w:szCs w:val="20"/>
        </w:rPr>
        <w:fldChar w:fldCharType="end"/>
      </w:r>
    </w:p>
    <w:p w:rsidR="00DD4976" w:rsidRPr="00290226" w:rsidRDefault="00DD4976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0226">
        <w:rPr>
          <w:rFonts w:ascii="Times New Roman" w:hAnsi="Times New Roman"/>
          <w:sz w:val="20"/>
          <w:szCs w:val="20"/>
        </w:rPr>
        <w:t>L.Voiče</w:t>
      </w:r>
    </w:p>
    <w:p w:rsidR="00DD4976" w:rsidRPr="00290226" w:rsidRDefault="00DD4976" w:rsidP="002902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0226">
        <w:rPr>
          <w:rFonts w:ascii="Times New Roman" w:hAnsi="Times New Roman"/>
          <w:sz w:val="20"/>
          <w:szCs w:val="20"/>
        </w:rPr>
        <w:t>67027121, Linda.Voice@zm.gov.lv</w:t>
      </w:r>
      <w:bookmarkStart w:id="8" w:name="_GoBack"/>
      <w:bookmarkEnd w:id="8"/>
    </w:p>
    <w:sectPr w:rsidR="00DD4976" w:rsidRPr="00290226" w:rsidSect="0014485D">
      <w:headerReference w:type="default" r:id="rId30"/>
      <w:footerReference w:type="default" r:id="rId31"/>
      <w:footerReference w:type="first" r:id="rId3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45A" w:rsidRDefault="0020645A" w:rsidP="00215205">
      <w:pPr>
        <w:spacing w:after="0" w:line="240" w:lineRule="auto"/>
      </w:pPr>
      <w:r>
        <w:separator/>
      </w:r>
    </w:p>
  </w:endnote>
  <w:endnote w:type="continuationSeparator" w:id="0">
    <w:p w:rsidR="0020645A" w:rsidRDefault="0020645A" w:rsidP="0021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76" w:rsidRPr="00215205" w:rsidRDefault="00DD4976" w:rsidP="00215205">
    <w:pPr>
      <w:pStyle w:val="Kjene"/>
      <w:rPr>
        <w:rFonts w:ascii="Times New Roman" w:hAnsi="Times New Roman"/>
      </w:rPr>
    </w:pPr>
    <w:r w:rsidRPr="00215205">
      <w:rPr>
        <w:rFonts w:ascii="Times New Roman" w:hAnsi="Times New Roman"/>
      </w:rPr>
      <w:t>ZM</w:t>
    </w:r>
    <w:r>
      <w:rPr>
        <w:rFonts w:ascii="Times New Roman" w:hAnsi="Times New Roman"/>
      </w:rPr>
      <w:t>An</w:t>
    </w:r>
    <w:r w:rsidRPr="00215205">
      <w:rPr>
        <w:rFonts w:ascii="Times New Roman" w:hAnsi="Times New Roman"/>
      </w:rPr>
      <w:t>ot_</w:t>
    </w:r>
    <w:r w:rsidR="00A22FE5">
      <w:rPr>
        <w:rFonts w:ascii="Times New Roman" w:hAnsi="Times New Roman"/>
      </w:rPr>
      <w:t>0906</w:t>
    </w:r>
    <w:r w:rsidR="00CC316B">
      <w:rPr>
        <w:rFonts w:ascii="Times New Roman" w:hAnsi="Times New Roman"/>
      </w:rPr>
      <w:t>14;</w:t>
    </w:r>
    <w:r w:rsidRPr="00215205">
      <w:rPr>
        <w:rFonts w:ascii="Times New Roman" w:hAnsi="Times New Roman"/>
      </w:rPr>
      <w:t xml:space="preserve"> Ministru kabineta noteikumu projekt</w:t>
    </w:r>
    <w:r w:rsidR="00CC316B">
      <w:rPr>
        <w:rFonts w:ascii="Times New Roman" w:hAnsi="Times New Roman"/>
      </w:rPr>
      <w:t>s</w:t>
    </w:r>
    <w:r w:rsidRPr="00215205">
      <w:rPr>
        <w:rFonts w:ascii="Times New Roman" w:hAnsi="Times New Roman"/>
      </w:rPr>
      <w:t xml:space="preserve"> „Grozījum</w:t>
    </w:r>
    <w:r w:rsidR="00C577F8">
      <w:rPr>
        <w:rFonts w:ascii="Times New Roman" w:hAnsi="Times New Roman"/>
      </w:rPr>
      <w:t>i</w:t>
    </w:r>
    <w:r w:rsidRPr="00215205">
      <w:rPr>
        <w:rFonts w:ascii="Times New Roman" w:hAnsi="Times New Roman"/>
      </w:rPr>
      <w:t xml:space="preserve"> Ministru kabineta 2009.gada 7.jūlija noteikumos Nr.746 „</w:t>
    </w:r>
    <w:r w:rsidRPr="00215205">
      <w:rPr>
        <w:rFonts w:ascii="Times New Roman" w:hAnsi="Times New Roman"/>
        <w:bCs/>
      </w:rPr>
      <w:t>Lauksaimniecības un lauku attīstības kredītu garantēšanas kārtība</w:t>
    </w:r>
    <w:r w:rsidRPr="00215205">
      <w:rPr>
        <w:rStyle w:val="Izteiksmgs"/>
        <w:rFonts w:ascii="Times New Roman" w:hAnsi="Times New Roman"/>
        <w:b w:val="0"/>
        <w:bCs/>
        <w:color w:val="000000"/>
      </w:rPr>
      <w:t>”</w:t>
    </w:r>
    <w:r w:rsidRPr="00215205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5D" w:rsidRPr="00215205" w:rsidRDefault="0014485D" w:rsidP="0014485D">
    <w:pPr>
      <w:pStyle w:val="Kjene"/>
      <w:rPr>
        <w:rFonts w:ascii="Times New Roman" w:hAnsi="Times New Roman"/>
      </w:rPr>
    </w:pPr>
    <w:r>
      <w:rPr>
        <w:rFonts w:ascii="Times New Roman" w:hAnsi="Times New Roman"/>
      </w:rPr>
      <w:t>Z</w:t>
    </w:r>
    <w:r w:rsidRPr="00215205">
      <w:rPr>
        <w:rFonts w:ascii="Times New Roman" w:hAnsi="Times New Roman"/>
      </w:rPr>
      <w:t>M</w:t>
    </w:r>
    <w:r>
      <w:rPr>
        <w:rFonts w:ascii="Times New Roman" w:hAnsi="Times New Roman"/>
      </w:rPr>
      <w:t>An</w:t>
    </w:r>
    <w:r w:rsidRPr="00215205">
      <w:rPr>
        <w:rFonts w:ascii="Times New Roman" w:hAnsi="Times New Roman"/>
      </w:rPr>
      <w:t>ot_</w:t>
    </w:r>
    <w:r>
      <w:rPr>
        <w:rFonts w:ascii="Times New Roman" w:hAnsi="Times New Roman"/>
      </w:rPr>
      <w:t>090614;</w:t>
    </w:r>
    <w:r w:rsidRPr="00215205">
      <w:rPr>
        <w:rFonts w:ascii="Times New Roman" w:hAnsi="Times New Roman"/>
      </w:rPr>
      <w:t xml:space="preserve"> Ministru kabineta noteikumu projekt</w:t>
    </w:r>
    <w:r>
      <w:rPr>
        <w:rFonts w:ascii="Times New Roman" w:hAnsi="Times New Roman"/>
      </w:rPr>
      <w:t>s</w:t>
    </w:r>
    <w:r w:rsidRPr="00215205">
      <w:rPr>
        <w:rFonts w:ascii="Times New Roman" w:hAnsi="Times New Roman"/>
      </w:rPr>
      <w:t xml:space="preserve"> „Grozījum</w:t>
    </w:r>
    <w:r>
      <w:rPr>
        <w:rFonts w:ascii="Times New Roman" w:hAnsi="Times New Roman"/>
      </w:rPr>
      <w:t>i</w:t>
    </w:r>
    <w:r w:rsidRPr="00215205">
      <w:rPr>
        <w:rFonts w:ascii="Times New Roman" w:hAnsi="Times New Roman"/>
      </w:rPr>
      <w:t xml:space="preserve"> Ministru kabineta 2009.gada 7.jūlija noteikumos Nr.746 „</w:t>
    </w:r>
    <w:r w:rsidRPr="00215205">
      <w:rPr>
        <w:rFonts w:ascii="Times New Roman" w:hAnsi="Times New Roman"/>
        <w:bCs/>
      </w:rPr>
      <w:t>Lauksaimniecības un lauku attīstības kredītu garantēšanas kārtība</w:t>
    </w:r>
    <w:r w:rsidRPr="00215205">
      <w:rPr>
        <w:rStyle w:val="Izteiksmgs"/>
        <w:rFonts w:ascii="Times New Roman" w:hAnsi="Times New Roman"/>
        <w:b w:val="0"/>
        <w:bCs/>
        <w:color w:val="000000"/>
      </w:rPr>
      <w:t>”</w:t>
    </w:r>
    <w:r w:rsidRPr="00215205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45A" w:rsidRDefault="0020645A" w:rsidP="00215205">
      <w:pPr>
        <w:spacing w:after="0" w:line="240" w:lineRule="auto"/>
      </w:pPr>
      <w:r>
        <w:separator/>
      </w:r>
    </w:p>
  </w:footnote>
  <w:footnote w:type="continuationSeparator" w:id="0">
    <w:p w:rsidR="0020645A" w:rsidRDefault="0020645A" w:rsidP="0021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5D" w:rsidRPr="0014485D" w:rsidRDefault="0014485D">
    <w:pPr>
      <w:pStyle w:val="Galvene"/>
      <w:jc w:val="center"/>
      <w:rPr>
        <w:rFonts w:ascii="Times New Roman" w:hAnsi="Times New Roman"/>
        <w:sz w:val="24"/>
        <w:szCs w:val="24"/>
      </w:rPr>
    </w:pPr>
    <w:r w:rsidRPr="0014485D">
      <w:rPr>
        <w:rFonts w:ascii="Times New Roman" w:hAnsi="Times New Roman"/>
        <w:sz w:val="24"/>
        <w:szCs w:val="24"/>
      </w:rPr>
      <w:fldChar w:fldCharType="begin"/>
    </w:r>
    <w:r w:rsidRPr="0014485D">
      <w:rPr>
        <w:rFonts w:ascii="Times New Roman" w:hAnsi="Times New Roman"/>
        <w:sz w:val="24"/>
        <w:szCs w:val="24"/>
      </w:rPr>
      <w:instrText>PAGE   \* MERGEFORMAT</w:instrText>
    </w:r>
    <w:r w:rsidRPr="0014485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14485D">
      <w:rPr>
        <w:rFonts w:ascii="Times New Roman" w:hAnsi="Times New Roman"/>
        <w:sz w:val="24"/>
        <w:szCs w:val="24"/>
      </w:rPr>
      <w:fldChar w:fldCharType="end"/>
    </w:r>
  </w:p>
  <w:p w:rsidR="0014485D" w:rsidRPr="0014485D" w:rsidRDefault="0014485D" w:rsidP="0014485D">
    <w:pPr>
      <w:pStyle w:val="Galvene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F17"/>
    <w:rsid w:val="000179D1"/>
    <w:rsid w:val="00022FDB"/>
    <w:rsid w:val="000330A2"/>
    <w:rsid w:val="00043575"/>
    <w:rsid w:val="00070D13"/>
    <w:rsid w:val="00083B0E"/>
    <w:rsid w:val="000A5443"/>
    <w:rsid w:val="001142DE"/>
    <w:rsid w:val="001335B0"/>
    <w:rsid w:val="00144730"/>
    <w:rsid w:val="0014485D"/>
    <w:rsid w:val="001B13F6"/>
    <w:rsid w:val="001B5B7E"/>
    <w:rsid w:val="001E0C14"/>
    <w:rsid w:val="001F0C4B"/>
    <w:rsid w:val="001F3DA3"/>
    <w:rsid w:val="001F5F42"/>
    <w:rsid w:val="00200B15"/>
    <w:rsid w:val="00203D71"/>
    <w:rsid w:val="0020645A"/>
    <w:rsid w:val="00215205"/>
    <w:rsid w:val="00232801"/>
    <w:rsid w:val="00236404"/>
    <w:rsid w:val="00280A6F"/>
    <w:rsid w:val="00283BF9"/>
    <w:rsid w:val="00290226"/>
    <w:rsid w:val="002C1E60"/>
    <w:rsid w:val="002D1ADB"/>
    <w:rsid w:val="002F2128"/>
    <w:rsid w:val="00312025"/>
    <w:rsid w:val="00315554"/>
    <w:rsid w:val="00332B34"/>
    <w:rsid w:val="00337773"/>
    <w:rsid w:val="00340B5A"/>
    <w:rsid w:val="0035345D"/>
    <w:rsid w:val="00370D5B"/>
    <w:rsid w:val="003C2C98"/>
    <w:rsid w:val="003F76CC"/>
    <w:rsid w:val="00422589"/>
    <w:rsid w:val="00431697"/>
    <w:rsid w:val="00444241"/>
    <w:rsid w:val="00475114"/>
    <w:rsid w:val="00477230"/>
    <w:rsid w:val="00487504"/>
    <w:rsid w:val="00487C57"/>
    <w:rsid w:val="004A0587"/>
    <w:rsid w:val="004C182D"/>
    <w:rsid w:val="004E7726"/>
    <w:rsid w:val="00506F54"/>
    <w:rsid w:val="005108E2"/>
    <w:rsid w:val="0052773C"/>
    <w:rsid w:val="00554BDF"/>
    <w:rsid w:val="005944C6"/>
    <w:rsid w:val="005B1379"/>
    <w:rsid w:val="005C0889"/>
    <w:rsid w:val="005C46DC"/>
    <w:rsid w:val="005E6377"/>
    <w:rsid w:val="0060417C"/>
    <w:rsid w:val="00605699"/>
    <w:rsid w:val="0061513B"/>
    <w:rsid w:val="006167D9"/>
    <w:rsid w:val="00616810"/>
    <w:rsid w:val="00664A48"/>
    <w:rsid w:val="006D63BD"/>
    <w:rsid w:val="006F466E"/>
    <w:rsid w:val="0073022B"/>
    <w:rsid w:val="00742739"/>
    <w:rsid w:val="00753F17"/>
    <w:rsid w:val="00754B03"/>
    <w:rsid w:val="00775F7D"/>
    <w:rsid w:val="0077727B"/>
    <w:rsid w:val="00780AFB"/>
    <w:rsid w:val="00790D2C"/>
    <w:rsid w:val="007A059D"/>
    <w:rsid w:val="007D7632"/>
    <w:rsid w:val="007E447D"/>
    <w:rsid w:val="00824A88"/>
    <w:rsid w:val="0086479D"/>
    <w:rsid w:val="008B0AA4"/>
    <w:rsid w:val="008C6D1A"/>
    <w:rsid w:val="008F4667"/>
    <w:rsid w:val="009172FA"/>
    <w:rsid w:val="00961CEA"/>
    <w:rsid w:val="009704F7"/>
    <w:rsid w:val="00976B83"/>
    <w:rsid w:val="00985699"/>
    <w:rsid w:val="00985741"/>
    <w:rsid w:val="00986E38"/>
    <w:rsid w:val="009876A6"/>
    <w:rsid w:val="009C2337"/>
    <w:rsid w:val="009D1634"/>
    <w:rsid w:val="009D2BEA"/>
    <w:rsid w:val="00A14B94"/>
    <w:rsid w:val="00A15336"/>
    <w:rsid w:val="00A210C2"/>
    <w:rsid w:val="00A22FE5"/>
    <w:rsid w:val="00A24EE1"/>
    <w:rsid w:val="00A374CE"/>
    <w:rsid w:val="00A375C5"/>
    <w:rsid w:val="00A74B31"/>
    <w:rsid w:val="00AC4A9C"/>
    <w:rsid w:val="00AE0DCF"/>
    <w:rsid w:val="00B232A4"/>
    <w:rsid w:val="00B26368"/>
    <w:rsid w:val="00B31486"/>
    <w:rsid w:val="00B53ABB"/>
    <w:rsid w:val="00B5430B"/>
    <w:rsid w:val="00B57DF9"/>
    <w:rsid w:val="00B71D7C"/>
    <w:rsid w:val="00BA655F"/>
    <w:rsid w:val="00BD42DF"/>
    <w:rsid w:val="00BD75A0"/>
    <w:rsid w:val="00C17B18"/>
    <w:rsid w:val="00C42B7D"/>
    <w:rsid w:val="00C577F8"/>
    <w:rsid w:val="00C65490"/>
    <w:rsid w:val="00C72A47"/>
    <w:rsid w:val="00C87DDB"/>
    <w:rsid w:val="00C902D6"/>
    <w:rsid w:val="00CB5708"/>
    <w:rsid w:val="00CC316B"/>
    <w:rsid w:val="00CC6FC7"/>
    <w:rsid w:val="00CD39FB"/>
    <w:rsid w:val="00CF1981"/>
    <w:rsid w:val="00D11110"/>
    <w:rsid w:val="00D25E38"/>
    <w:rsid w:val="00D37516"/>
    <w:rsid w:val="00D41368"/>
    <w:rsid w:val="00D6458C"/>
    <w:rsid w:val="00D74102"/>
    <w:rsid w:val="00DD4631"/>
    <w:rsid w:val="00DD4976"/>
    <w:rsid w:val="00DD49B6"/>
    <w:rsid w:val="00DE1DEA"/>
    <w:rsid w:val="00DE6F77"/>
    <w:rsid w:val="00DF175E"/>
    <w:rsid w:val="00E20F7A"/>
    <w:rsid w:val="00E273E3"/>
    <w:rsid w:val="00E323E5"/>
    <w:rsid w:val="00E46641"/>
    <w:rsid w:val="00E532CF"/>
    <w:rsid w:val="00E8323F"/>
    <w:rsid w:val="00E9056B"/>
    <w:rsid w:val="00E92FDD"/>
    <w:rsid w:val="00EA155D"/>
    <w:rsid w:val="00ED22C8"/>
    <w:rsid w:val="00EE67A6"/>
    <w:rsid w:val="00F068A4"/>
    <w:rsid w:val="00F40876"/>
    <w:rsid w:val="00F42C72"/>
    <w:rsid w:val="00FA3D91"/>
    <w:rsid w:val="00FA60CF"/>
    <w:rsid w:val="00FD0F0B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2A268F21-A0BA-448D-A7C9-44F9DDE1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1486"/>
    <w:pPr>
      <w:spacing w:after="200" w:line="276" w:lineRule="auto"/>
    </w:pPr>
    <w:rPr>
      <w:rFonts w:eastAsia="Times New Roman"/>
      <w:sz w:val="22"/>
      <w:szCs w:val="22"/>
    </w:rPr>
  </w:style>
  <w:style w:type="paragraph" w:styleId="Virsraksts3">
    <w:name w:val="heading 3"/>
    <w:basedOn w:val="Parasts"/>
    <w:link w:val="Virsraksts3Rakstz"/>
    <w:uiPriority w:val="9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link w:val="Virsraksts3"/>
    <w:uiPriority w:val="99"/>
    <w:locked/>
    <w:rsid w:val="000330A2"/>
    <w:rPr>
      <w:rFonts w:ascii="Times New Roman" w:hAnsi="Times New Roman"/>
      <w:b/>
      <w:sz w:val="27"/>
      <w:lang w:eastAsia="lv-LV"/>
    </w:rPr>
  </w:style>
  <w:style w:type="paragraph" w:customStyle="1" w:styleId="naisf">
    <w:name w:val="naisf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nod">
    <w:name w:val="naisnod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iskr">
    <w:name w:val="naiskr"/>
    <w:basedOn w:val="Parasts"/>
    <w:uiPriority w:val="99"/>
    <w:rsid w:val="000330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Izteiksmgs">
    <w:name w:val="Strong"/>
    <w:uiPriority w:val="99"/>
    <w:qFormat/>
    <w:rsid w:val="00290226"/>
    <w:rPr>
      <w:rFonts w:cs="Times New Roman"/>
      <w:b/>
    </w:rPr>
  </w:style>
  <w:style w:type="paragraph" w:customStyle="1" w:styleId="naisc">
    <w:name w:val="naisc"/>
    <w:basedOn w:val="Parasts"/>
    <w:uiPriority w:val="99"/>
    <w:rsid w:val="00290226"/>
    <w:pPr>
      <w:spacing w:before="450" w:after="300" w:line="240" w:lineRule="auto"/>
      <w:jc w:val="center"/>
    </w:pPr>
    <w:rPr>
      <w:rFonts w:ascii="Times New Roman" w:hAnsi="Times New Roman"/>
      <w:sz w:val="26"/>
      <w:szCs w:val="26"/>
    </w:rPr>
  </w:style>
  <w:style w:type="paragraph" w:styleId="Galvene">
    <w:name w:val="header"/>
    <w:basedOn w:val="Parasts"/>
    <w:link w:val="GalveneRakstz"/>
    <w:uiPriority w:val="99"/>
    <w:rsid w:val="0021520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link w:val="Galvene"/>
    <w:uiPriority w:val="99"/>
    <w:locked/>
    <w:rsid w:val="00215205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rsid w:val="00215205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215205"/>
    <w:rPr>
      <w:rFonts w:eastAsia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21520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215205"/>
    <w:rPr>
      <w:rFonts w:ascii="Tahoma" w:hAnsi="Tahoma"/>
      <w:sz w:val="16"/>
      <w:lang w:eastAsia="lv-LV"/>
    </w:rPr>
  </w:style>
  <w:style w:type="character" w:styleId="Komentraatsauce">
    <w:name w:val="annotation reference"/>
    <w:uiPriority w:val="99"/>
    <w:semiHidden/>
    <w:unhideWhenUsed/>
    <w:rsid w:val="00CC316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6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CC316B"/>
    <w:rPr>
      <w:rFonts w:eastAsia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6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CC316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ONSLEG:1999R0800:20080608:LV:HTML" TargetMode="External"/><Relationship Id="rId13" Type="http://schemas.openxmlformats.org/officeDocument/2006/relationships/hyperlink" Target="http://eur-lex.europa.eu/LexUriServ/LexUriServ.do?uri=OJ:L:2007:337:0035:01:LV:HTML" TargetMode="External"/><Relationship Id="rId18" Type="http://schemas.openxmlformats.org/officeDocument/2006/relationships/hyperlink" Target="http://eur-lex.europa.eu/LexUriServ/LexUriServ.do?uri=OJ:L:2007:337:0035:01:LV:HTML" TargetMode="External"/><Relationship Id="rId26" Type="http://schemas.openxmlformats.org/officeDocument/2006/relationships/hyperlink" Target="http://eur-lex.europa.eu/LexUriServ/LexUriServ.do?uri=OJ:L:2007:337:0035:01:LV: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ur-lex.europa.eu/LexUriServ/LexUriServ.do?uri=CONSLEG:1999R0800:20080608:LV: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ur-lex.europa.eu/LexUriServ/LexUriServ.do?uri=OJ:L:2007:337:0035:01:LV:HTML" TargetMode="External"/><Relationship Id="rId12" Type="http://schemas.openxmlformats.org/officeDocument/2006/relationships/hyperlink" Target="http://eur-lex.europa.eu/LexUriServ/LexUriServ.do?uri=OJ:L:2007:337:0035:01:LV:HTML" TargetMode="External"/><Relationship Id="rId17" Type="http://schemas.openxmlformats.org/officeDocument/2006/relationships/hyperlink" Target="http://eur-lex.europa.eu/LexUriServ/LexUriServ.do?uri=OJ:L:2006:379:0005:01:LV:HTML" TargetMode="External"/><Relationship Id="rId25" Type="http://schemas.openxmlformats.org/officeDocument/2006/relationships/hyperlink" Target="http://eur-lex.europa.eu/LexUriServ/LexUriServ.do?uri=OJ:L:2006:379:0005:01:LV: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ur-lex.europa.eu/LexUriServ/LexUriServ.do?uri=OJ:L:2006:379:0005:01:LV:HTML" TargetMode="External"/><Relationship Id="rId20" Type="http://schemas.openxmlformats.org/officeDocument/2006/relationships/hyperlink" Target="http://eur-lex.europa.eu/LexUriServ/LexUriServ.do?uri=OJ:L:2007:337:0035:01:LV:HTML" TargetMode="External"/><Relationship Id="rId29" Type="http://schemas.openxmlformats.org/officeDocument/2006/relationships/hyperlink" Target="http://eur-lex.europa.eu/LexUriServ/LexUriServ.do?uri=OJ:L:2007:337:0035:01:LV: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ur-lex.europa.eu/LexUriServ/LexUriServ.do?uri=CONSLEG:2005R1698:20100101:LV:HTML" TargetMode="External"/><Relationship Id="rId11" Type="http://schemas.openxmlformats.org/officeDocument/2006/relationships/hyperlink" Target="http://eur-lex.europa.eu/LexUriServ/LexUriServ.do?uri=OJ:L:2007:337:0035:01:LV:HTML" TargetMode="External"/><Relationship Id="rId24" Type="http://schemas.openxmlformats.org/officeDocument/2006/relationships/hyperlink" Target="http://eur-lex.europa.eu/LexUriServ/LexUriServ.do?uri=OJ:L:2007:337:0035:01:LV:HTML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eur-lex.europa.eu/LexUriServ/LexUriServ.do?uri=OJ:L:2006:379:0005:01:LV:HTML" TargetMode="External"/><Relationship Id="rId23" Type="http://schemas.openxmlformats.org/officeDocument/2006/relationships/hyperlink" Target="http://eur-lex.europa.eu/LexUriServ/LexUriServ.do?uri=OJ:L:2007:337:0035:01:LV:HTML" TargetMode="External"/><Relationship Id="rId28" Type="http://schemas.openxmlformats.org/officeDocument/2006/relationships/hyperlink" Target="http://eur-lex.europa.eu/LexUriServ/LexUriServ.do?uri=OJ:L:2006:379:0005:01:LV:HTML" TargetMode="External"/><Relationship Id="rId10" Type="http://schemas.openxmlformats.org/officeDocument/2006/relationships/hyperlink" Target="http://eur-lex.europa.eu/LexUriServ/LexUriServ.do?uri=OJ:L:2006:379:0005:01:LV:HTML" TargetMode="External"/><Relationship Id="rId19" Type="http://schemas.openxmlformats.org/officeDocument/2006/relationships/hyperlink" Target="http://eur-lex.europa.eu/LexUriServ/LexUriServ.do?uri=OJ:L:2007:337:0035:01:LV: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ur-lex.europa.eu/LexUriServ/LexUriServ.do?uri=OJ:L:2006:379:0005:01:LV:HTML" TargetMode="External"/><Relationship Id="rId14" Type="http://schemas.openxmlformats.org/officeDocument/2006/relationships/hyperlink" Target="http://eur-lex.europa.eu/LexUriServ/LexUriServ.do?uri=OJ:L:2007:337:0035:01:LV:HTML" TargetMode="External"/><Relationship Id="rId22" Type="http://schemas.openxmlformats.org/officeDocument/2006/relationships/hyperlink" Target="http://eur-lex.europa.eu/LexUriServ/LexUriServ.do?uri=OJ:L:2007:337:0035:01:LV:HTML" TargetMode="External"/><Relationship Id="rId27" Type="http://schemas.openxmlformats.org/officeDocument/2006/relationships/hyperlink" Target="http://eur-lex.europa.eu/LexUriServ/LexUriServ.do?uri=OJ:L:2007:337:0035:01:LV: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1793</Words>
  <Characters>12787</Characters>
  <Application>Microsoft Office Word</Application>
  <DocSecurity>0</DocSecurity>
  <Lines>581</Lines>
  <Paragraphs>214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Voiče</dc:creator>
  <cp:lastModifiedBy>ZM Lietvedibas nodala</cp:lastModifiedBy>
  <cp:revision>30</cp:revision>
  <cp:lastPrinted>2014-02-28T07:40:00Z</cp:lastPrinted>
  <dcterms:created xsi:type="dcterms:W3CDTF">2014-03-03T09:02:00Z</dcterms:created>
  <dcterms:modified xsi:type="dcterms:W3CDTF">2014-06-10T08:34:00Z</dcterms:modified>
</cp:coreProperties>
</file>