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4" w:rsidRPr="00FC5585" w:rsidRDefault="00325A84" w:rsidP="00325A84">
      <w:pPr>
        <w:jc w:val="center"/>
        <w:rPr>
          <w:b/>
          <w:bCs/>
          <w:sz w:val="28"/>
          <w:szCs w:val="28"/>
        </w:rPr>
      </w:pPr>
      <w:r w:rsidRPr="00FC5585">
        <w:rPr>
          <w:b/>
          <w:sz w:val="28"/>
          <w:szCs w:val="28"/>
        </w:rPr>
        <w:t>Ministru kabineta rīkojuma projekta „Par finanšu līdzekļu piešķiršanu no valsts budžeta programmas „Līdzekļi neparedzētiem gadījumiem””</w:t>
      </w:r>
    </w:p>
    <w:p w:rsidR="00325A84" w:rsidRPr="00FC5585" w:rsidRDefault="00325A84" w:rsidP="00325A84">
      <w:pPr>
        <w:jc w:val="center"/>
        <w:rPr>
          <w:b/>
          <w:bCs/>
          <w:sz w:val="28"/>
          <w:szCs w:val="28"/>
        </w:rPr>
      </w:pPr>
      <w:r w:rsidRPr="00FC5585">
        <w:rPr>
          <w:b/>
          <w:bCs/>
          <w:sz w:val="28"/>
          <w:szCs w:val="28"/>
        </w:rPr>
        <w:t>sākotnējās ietekmes novērtējuma ziņojums (anotācija)</w:t>
      </w:r>
    </w:p>
    <w:p w:rsidR="00FC5585" w:rsidRPr="003A7D81" w:rsidRDefault="00FC5585" w:rsidP="00325A8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219"/>
      </w:tblGrid>
      <w:tr w:rsidR="00325A84" w:rsidRPr="003A7D81" w:rsidTr="00A44DD7">
        <w:tc>
          <w:tcPr>
            <w:tcW w:w="9287" w:type="dxa"/>
            <w:gridSpan w:val="3"/>
          </w:tcPr>
          <w:p w:rsidR="00325A84" w:rsidRPr="003A7D81" w:rsidRDefault="00325A84" w:rsidP="00A44DD7">
            <w:pPr>
              <w:jc w:val="center"/>
            </w:pPr>
            <w:r w:rsidRPr="003A7D81">
              <w:rPr>
                <w:b/>
                <w:bCs/>
              </w:rPr>
              <w:t>I. Tiesību akta projekta izstrādes nepieciešamība</w:t>
            </w:r>
          </w:p>
        </w:tc>
      </w:tr>
      <w:tr w:rsidR="00325A84" w:rsidRPr="003A7D81" w:rsidTr="00D90BE4">
        <w:trPr>
          <w:trHeight w:val="2145"/>
        </w:trPr>
        <w:tc>
          <w:tcPr>
            <w:tcW w:w="648" w:type="dxa"/>
          </w:tcPr>
          <w:p w:rsidR="00325A84" w:rsidRPr="003A7D81" w:rsidRDefault="00325A84" w:rsidP="00A44DD7">
            <w:pPr>
              <w:jc w:val="both"/>
            </w:pPr>
            <w:r w:rsidRPr="003A7D81">
              <w:t>1.</w:t>
            </w:r>
          </w:p>
        </w:tc>
        <w:tc>
          <w:tcPr>
            <w:tcW w:w="3420" w:type="dxa"/>
          </w:tcPr>
          <w:p w:rsidR="00325A84" w:rsidRPr="003A7D81" w:rsidRDefault="00325A84" w:rsidP="00A44DD7">
            <w:pPr>
              <w:jc w:val="both"/>
            </w:pPr>
            <w:r w:rsidRPr="003A7D81">
              <w:t> Pamatojums</w:t>
            </w:r>
          </w:p>
        </w:tc>
        <w:tc>
          <w:tcPr>
            <w:tcW w:w="5219" w:type="dxa"/>
          </w:tcPr>
          <w:p w:rsidR="00325A84" w:rsidRDefault="00325A84" w:rsidP="004276B7">
            <w:pPr>
              <w:jc w:val="both"/>
            </w:pPr>
            <w:r w:rsidRPr="004276B7">
              <w:t>Ministru kabineta rīkojuma projekts „Par finanšu līdzekļu piešķiršanu no valsts budžeta programmas „Līdzekļi neparedzētiem gadījumiem”” (turpmāk – rīkojuma projekts) izstrādāts saskaņā ar Ministru kabineta 2009.gada 22.decembra noteikumu Nr.1644 „Kārtība, kādā pieprasa un izlieto budžeta programmas "Līdzekļi neparedzētiem gadījumiem" līdzekļus” 3.punktu</w:t>
            </w:r>
            <w:r w:rsidR="00081ABB">
              <w:t>.</w:t>
            </w:r>
            <w:r w:rsidRPr="004276B7">
              <w:t xml:space="preserve"> </w:t>
            </w:r>
          </w:p>
          <w:p w:rsidR="001D69BF" w:rsidRDefault="001D69BF" w:rsidP="001D69BF">
            <w:pPr>
              <w:jc w:val="both"/>
            </w:pPr>
            <w:r w:rsidRPr="009E6A6F">
              <w:t>Tā kā starptautiskās org</w:t>
            </w:r>
            <w:r w:rsidR="00AB49E5">
              <w:t>anizācijas savu iemaksu lielumu nosaka ņemot vērā</w:t>
            </w:r>
            <w:r w:rsidRPr="009E6A6F">
              <w:t xml:space="preserve"> valstu ekonomiskās izaugsmes rādītājus, </w:t>
            </w:r>
            <w:r>
              <w:t>pašreiz Latvijai ir palielinājušās prognozētās iemaksas, kā arī veiktās prognozes rāda, ka</w:t>
            </w:r>
            <w:r w:rsidRPr="009E6A6F">
              <w:t xml:space="preserve"> Latvijas iemaksas palielināsies</w:t>
            </w:r>
            <w:r>
              <w:t xml:space="preserve"> arī turpmāk.</w:t>
            </w:r>
          </w:p>
          <w:p w:rsidR="003E6AB5" w:rsidRPr="00EB7AAB" w:rsidRDefault="00BF0BEC" w:rsidP="001D69BF">
            <w:pPr>
              <w:jc w:val="both"/>
              <w:rPr>
                <w:highlight w:val="green"/>
              </w:rPr>
            </w:pPr>
            <w:r>
              <w:t xml:space="preserve">Lai nodrošinātu starptautisko saistību izpildi un Latvijas prezidentūru </w:t>
            </w:r>
            <w:r w:rsidRPr="00D15CCD">
              <w:t>Eiropas Savienības Padomē</w:t>
            </w:r>
            <w:r>
              <w:t xml:space="preserve"> 2015.gadā uzsāktu bez parādsaistībām, </w:t>
            </w:r>
            <w:r w:rsidRPr="00D15CCD">
              <w:t>Zemkopības ministrija</w:t>
            </w:r>
            <w:r>
              <w:t>i ir nepieciešams papildus finansējums iemaksām starptautiskajās organizācijās</w:t>
            </w:r>
            <w:r w:rsidR="001D69BF">
              <w:t>.</w:t>
            </w:r>
            <w:r w:rsidR="001D69BF" w:rsidRPr="009E6A6F">
              <w:t xml:space="preserve"> </w:t>
            </w:r>
          </w:p>
        </w:tc>
      </w:tr>
      <w:tr w:rsidR="00325A84" w:rsidRPr="003A7D81" w:rsidTr="00A44DD7">
        <w:tc>
          <w:tcPr>
            <w:tcW w:w="648" w:type="dxa"/>
          </w:tcPr>
          <w:p w:rsidR="00325A84" w:rsidRPr="003A7D81" w:rsidRDefault="00325A84" w:rsidP="00A44DD7">
            <w:pPr>
              <w:jc w:val="both"/>
            </w:pPr>
            <w:r w:rsidRPr="003A7D81">
              <w:t>2.</w:t>
            </w:r>
          </w:p>
        </w:tc>
        <w:tc>
          <w:tcPr>
            <w:tcW w:w="3420" w:type="dxa"/>
          </w:tcPr>
          <w:p w:rsidR="00325A84" w:rsidRPr="003A7D81" w:rsidRDefault="00325A84" w:rsidP="00A44DD7">
            <w:pPr>
              <w:jc w:val="both"/>
            </w:pPr>
            <w:r w:rsidRPr="003A7D81">
              <w:rPr>
                <w:iCs/>
              </w:rPr>
              <w:t>Pašreizējā situācija un problēmas, kuru risināšanai tiesību akta projekts izstrādāts, tiesiskā regulējuma mērķis un būtība</w:t>
            </w:r>
          </w:p>
        </w:tc>
        <w:tc>
          <w:tcPr>
            <w:tcW w:w="5219" w:type="dxa"/>
          </w:tcPr>
          <w:p w:rsidR="00BF0BEC" w:rsidRDefault="00BF0BEC" w:rsidP="00BF0BEC">
            <w:pPr>
              <w:jc w:val="both"/>
              <w:rPr>
                <w:sz w:val="20"/>
                <w:szCs w:val="20"/>
              </w:rPr>
            </w:pPr>
            <w:r w:rsidRPr="00D55588">
              <w:rPr>
                <w:szCs w:val="28"/>
              </w:rPr>
              <w:t>Zemkopības ministrijas pārziņā ir 28 Eiropas Savienības Padomes darba grupas un komitejas, kuru darba vadība būs Latvijas prezidentūras kompetencē</w:t>
            </w:r>
            <w:r>
              <w:rPr>
                <w:szCs w:val="28"/>
              </w:rPr>
              <w:t xml:space="preserve">, un </w:t>
            </w:r>
            <w:r w:rsidRPr="00D55588">
              <w:rPr>
                <w:szCs w:val="28"/>
              </w:rPr>
              <w:t xml:space="preserve">Latvijas prezidentūras laikā būs jānovada aptuveni 260 darba grupu un komiteju sanāksmes. </w:t>
            </w:r>
          </w:p>
          <w:p w:rsidR="00BF0BEC" w:rsidRPr="00956F43" w:rsidRDefault="001D69BF" w:rsidP="001D69BF">
            <w:pPr>
              <w:jc w:val="both"/>
            </w:pPr>
            <w:r>
              <w:rPr>
                <w:szCs w:val="28"/>
              </w:rPr>
              <w:t xml:space="preserve">             </w:t>
            </w:r>
            <w:r w:rsidR="00BF0BEC" w:rsidRPr="00D55588">
              <w:rPr>
                <w:szCs w:val="28"/>
              </w:rPr>
              <w:t xml:space="preserve">Zemkopības ministrija prezidentūras laikā būs atbildīga arī par dažādiem jautājumiem saistībā ar starptautiskajām organizācijām, piemēram, </w:t>
            </w:r>
            <w:r w:rsidR="00BF0BEC" w:rsidRPr="00956F43">
              <w:t>Apvienoto Nāciju Organizācijas (turpmāk</w:t>
            </w:r>
            <w:r w:rsidR="00BF0BEC">
              <w:t xml:space="preserve"> – ANO)</w:t>
            </w:r>
            <w:r w:rsidR="00BF0BEC" w:rsidRPr="00D55588">
              <w:rPr>
                <w:szCs w:val="28"/>
              </w:rPr>
              <w:t xml:space="preserve"> Pārtikas un lauksaimniecības organizāciju, ANO Mežu forumu, Komisiju par fitosanitāriem pasākumiem, Dzīvnieku veselības organizāciju, Pasaules Tirdzniecības organizācijas lauksaimniecības komiteju un Sanitāro un fitosanitāro pasākumu komiteju, Starptautisko cukura organizāciju, Starptautisko graudu padomi, kā arī virkni starptautisko organizāciju zivsaimniecības nozarē.</w:t>
            </w:r>
            <w:r w:rsidR="00BF0BEC">
              <w:rPr>
                <w:szCs w:val="28"/>
              </w:rPr>
              <w:t xml:space="preserve"> </w:t>
            </w:r>
            <w:r w:rsidR="00BF0BEC" w:rsidRPr="00115B50">
              <w:rPr>
                <w:szCs w:val="28"/>
              </w:rPr>
              <w:t xml:space="preserve">Jāņem vērā, Latvijai kā prezidējošais valstij ir jāvada Apvienoto Nāciju Organizācijas (turpmāk – ANO) Pārtikas un lauksaimniecības organizāciju darba grupa un jāpārstāv Eiropas Savienība (turpmāk – ES) sarunās ar Pārtikas un lauksaimniecības organizāciju </w:t>
            </w:r>
            <w:r w:rsidR="00BF0BEC" w:rsidRPr="0027516C">
              <w:rPr>
                <w:szCs w:val="28"/>
              </w:rPr>
              <w:t>par jaunā budžeta ietvara (2016</w:t>
            </w:r>
            <w:r w:rsidR="00BF0BEC">
              <w:rPr>
                <w:szCs w:val="28"/>
              </w:rPr>
              <w:t>.</w:t>
            </w:r>
            <w:r w:rsidR="00BF0BEC" w:rsidRPr="0027516C">
              <w:rPr>
                <w:szCs w:val="28"/>
              </w:rPr>
              <w:t xml:space="preserve">-2017. gadam) apstiprināšanu, kā arī jāturpina diskusijas par </w:t>
            </w:r>
            <w:r w:rsidR="00BF0BEC" w:rsidRPr="0027516C">
              <w:rPr>
                <w:szCs w:val="28"/>
              </w:rPr>
              <w:lastRenderedPageBreak/>
              <w:t xml:space="preserve">kompetenču sadalījumu starp Eiropas Komisiju un ES dalībvalstīm. Latvijai kā </w:t>
            </w:r>
            <w:r w:rsidR="00BF0BEC" w:rsidRPr="00115B50">
              <w:rPr>
                <w:szCs w:val="28"/>
              </w:rPr>
              <w:t>prezidējošai</w:t>
            </w:r>
            <w:r w:rsidR="00BF0BEC" w:rsidRPr="0027516C">
              <w:rPr>
                <w:szCs w:val="28"/>
              </w:rPr>
              <w:t xml:space="preserve"> valstij ir jāpārstāv ES intereses, </w:t>
            </w:r>
            <w:r w:rsidR="00BF0BEC">
              <w:rPr>
                <w:szCs w:val="28"/>
              </w:rPr>
              <w:t>jā</w:t>
            </w:r>
            <w:r w:rsidR="00BF0BEC" w:rsidRPr="0027516C">
              <w:rPr>
                <w:szCs w:val="28"/>
              </w:rPr>
              <w:t>nodrošin</w:t>
            </w:r>
            <w:r w:rsidR="00BF0BEC">
              <w:rPr>
                <w:szCs w:val="28"/>
              </w:rPr>
              <w:t>a</w:t>
            </w:r>
            <w:r w:rsidR="00BF0BEC" w:rsidRPr="0027516C">
              <w:rPr>
                <w:szCs w:val="28"/>
              </w:rPr>
              <w:t xml:space="preserve"> informācijas aprit</w:t>
            </w:r>
            <w:r w:rsidR="00BF0BEC">
              <w:rPr>
                <w:szCs w:val="28"/>
              </w:rPr>
              <w:t>e</w:t>
            </w:r>
            <w:r w:rsidR="00BF0BEC" w:rsidRPr="0027516C">
              <w:rPr>
                <w:szCs w:val="28"/>
              </w:rPr>
              <w:t xml:space="preserve"> un standartu kontrol</w:t>
            </w:r>
            <w:r w:rsidR="00BF0BEC">
              <w:rPr>
                <w:szCs w:val="28"/>
              </w:rPr>
              <w:t>e</w:t>
            </w:r>
            <w:r w:rsidR="00BF0BEC" w:rsidRPr="0027516C">
              <w:rPr>
                <w:szCs w:val="28"/>
              </w:rPr>
              <w:t xml:space="preserve"> Latvijai tik būtiskajā zivsaimniecības un akvakultūras jomā.</w:t>
            </w:r>
            <w:r w:rsidR="00BF0BEC">
              <w:rPr>
                <w:sz w:val="20"/>
                <w:szCs w:val="20"/>
              </w:rPr>
              <w:t xml:space="preserve"> </w:t>
            </w:r>
            <w:r w:rsidR="00BF0BEC">
              <w:rPr>
                <w:szCs w:val="28"/>
              </w:rPr>
              <w:t xml:space="preserve">Dalība starptautiskajā organizācijā zvejniecības attīstībai Austrumu un Centrālajā Eiropā </w:t>
            </w:r>
            <w:r w:rsidR="00BF0BEC" w:rsidRPr="0027516C">
              <w:rPr>
                <w:i/>
                <w:szCs w:val="28"/>
              </w:rPr>
              <w:t>EUROFISH</w:t>
            </w:r>
            <w:r w:rsidR="00BF0BEC">
              <w:rPr>
                <w:sz w:val="20"/>
                <w:szCs w:val="20"/>
              </w:rPr>
              <w:t xml:space="preserve"> </w:t>
            </w:r>
            <w:r w:rsidR="00BF0BEC">
              <w:rPr>
                <w:szCs w:val="28"/>
              </w:rPr>
              <w:t xml:space="preserve">nodrošina sadarbības iespējas un kontaktus starp ES un trešajām valstīm un šo valstu tirgos. Tāpat arī organizācijas ietvaros tiek risināti dažādi nozīmīgi jautājumi reģionālajā līmenī, īpaši attiecībā uz jūras velšu drošību, tirdzniecību un ilgtspējīgas akvakultūras attīstību Baltijā. </w:t>
            </w:r>
            <w:r w:rsidR="00BF0BEC">
              <w:rPr>
                <w:sz w:val="20"/>
                <w:szCs w:val="20"/>
              </w:rPr>
              <w:t xml:space="preserve"> </w:t>
            </w:r>
            <w:r w:rsidR="00BF0BEC">
              <w:t xml:space="preserve">Tādējādi Latvijai kā prezidējošai valstij ir svarīgi izpildīt starptautiskās saistības, nodrošinot dalības maksu </w:t>
            </w:r>
            <w:r w:rsidR="00BF0BEC" w:rsidRPr="00956F43">
              <w:t xml:space="preserve">ANO Pārtikas </w:t>
            </w:r>
            <w:r w:rsidR="00BF0BEC">
              <w:t xml:space="preserve">un lauksaimniecības organizācijā un </w:t>
            </w:r>
            <w:r w:rsidR="00BF0BEC" w:rsidRPr="00947D9C">
              <w:rPr>
                <w:i/>
              </w:rPr>
              <w:t>EUROFISH</w:t>
            </w:r>
            <w:r w:rsidR="00BF0BEC">
              <w:t xml:space="preserve"> organizācijā.</w:t>
            </w:r>
          </w:p>
          <w:p w:rsidR="00BF0BEC" w:rsidRDefault="00BF0BEC" w:rsidP="00BF0BEC">
            <w:pPr>
              <w:ind w:firstLine="709"/>
              <w:jc w:val="both"/>
            </w:pPr>
            <w:r w:rsidRPr="00956F43">
              <w:t xml:space="preserve">ANO Pārtikas un lauksaimniecības organizācija (turpmāk </w:t>
            </w:r>
            <w:r>
              <w:t>–</w:t>
            </w:r>
            <w:r w:rsidRPr="00956F43">
              <w:t xml:space="preserve"> </w:t>
            </w:r>
            <w:r w:rsidRPr="00947D9C">
              <w:rPr>
                <w:i/>
              </w:rPr>
              <w:t>FAO</w:t>
            </w:r>
            <w:r w:rsidRPr="00956F43">
              <w:t>) ir dibināta 1945. gadā. Tās mērķis ir nabadzības mazināšana</w:t>
            </w:r>
            <w:r>
              <w:t xml:space="preserve"> sekmējot</w:t>
            </w:r>
            <w:r w:rsidRPr="00956F43">
              <w:t xml:space="preserve"> lauksaimniecības</w:t>
            </w:r>
            <w:r>
              <w:t>, mežsaimniecības un zivsaimniecības</w:t>
            </w:r>
            <w:r w:rsidRPr="00956F43">
              <w:t xml:space="preserve"> attīstīb</w:t>
            </w:r>
            <w:r>
              <w:t>u</w:t>
            </w:r>
            <w:r w:rsidRPr="00956F43">
              <w:t xml:space="preserve"> </w:t>
            </w:r>
            <w:r>
              <w:t>visā pasaulē</w:t>
            </w:r>
            <w:r w:rsidRPr="00956F43">
              <w:t>, veicinot veselīgas un drošas pārtikas ražošanu attīstības valstīs</w:t>
            </w:r>
            <w:r>
              <w:t>, kā arī</w:t>
            </w:r>
            <w:r w:rsidRPr="00956F43">
              <w:t xml:space="preserve"> dzīves kvalitātes uzlabošanos nabadzīgajos lauku apvidos visā pasaulē.. </w:t>
            </w:r>
            <w:r w:rsidRPr="00947D9C">
              <w:rPr>
                <w:i/>
              </w:rPr>
              <w:t>FAO</w:t>
            </w:r>
            <w:r w:rsidRPr="00956F43">
              <w:t xml:space="preserve"> ir 183 dalībvalstis un viena dalīborganizācija – Eiropas Savienība.</w:t>
            </w:r>
            <w:r>
              <w:t xml:space="preserve"> </w:t>
            </w:r>
            <w:r w:rsidRPr="00956F43">
              <w:t xml:space="preserve">Latvija ir </w:t>
            </w:r>
            <w:r w:rsidRPr="00947D9C">
              <w:rPr>
                <w:i/>
              </w:rPr>
              <w:t xml:space="preserve">FAO </w:t>
            </w:r>
            <w:r w:rsidRPr="00956F43">
              <w:t xml:space="preserve">locekle kopš 1991. gada. </w:t>
            </w:r>
            <w:r>
              <w:t>Tā kā</w:t>
            </w:r>
            <w:r w:rsidRPr="00956F43">
              <w:t xml:space="preserve"> 2016.</w:t>
            </w:r>
            <w:r>
              <w:t>–</w:t>
            </w:r>
            <w:r w:rsidRPr="00956F43">
              <w:t xml:space="preserve">2017. gadā spēkā būs </w:t>
            </w:r>
            <w:r>
              <w:t>ANO iemaksu skala, Latvijas</w:t>
            </w:r>
            <w:r w:rsidRPr="00956F43">
              <w:t xml:space="preserve"> dalības maksa </w:t>
            </w:r>
            <w:r w:rsidRPr="00947D9C">
              <w:rPr>
                <w:i/>
              </w:rPr>
              <w:t xml:space="preserve">FAO </w:t>
            </w:r>
            <w:r w:rsidRPr="00956F43">
              <w:t xml:space="preserve">palielināsies. </w:t>
            </w:r>
          </w:p>
          <w:p w:rsidR="00BF0BEC" w:rsidRPr="00263E57" w:rsidRDefault="00BF0BEC" w:rsidP="00BF0BEC">
            <w:pPr>
              <w:jc w:val="both"/>
            </w:pPr>
            <w:r>
              <w:tab/>
            </w:r>
            <w:r w:rsidRPr="00263E57">
              <w:t>ANO iemaksu skalas aprēķināšanas pamatprincips ir valsts spēja maksāt (</w:t>
            </w:r>
            <w:r>
              <w:t xml:space="preserve">angļu valodā – </w:t>
            </w:r>
            <w:r w:rsidRPr="00947D9C">
              <w:rPr>
                <w:i/>
              </w:rPr>
              <w:t>capacity to pay</w:t>
            </w:r>
            <w:r w:rsidRPr="00263E57">
              <w:t xml:space="preserve">). Šo pamatprincipu visas ANO dalībvalstis ir vienprātīgi atbalstījušas ik reizi, vienojoties par kārtējo ANO iemaksu skalu. Galvenā nozīme iemaksas daļas aprēķinā ir valsts nacionālā kopprodukta (turpmāk </w:t>
            </w:r>
            <w:r>
              <w:t xml:space="preserve">– </w:t>
            </w:r>
            <w:r w:rsidRPr="00263E57">
              <w:t xml:space="preserve">NKP) rādītājiem. Sākotnēji tiek noteikts, </w:t>
            </w:r>
            <w:r>
              <w:t>cik liela</w:t>
            </w:r>
            <w:r w:rsidRPr="00263E57">
              <w:t xml:space="preserve"> ir katras valsts daļa no visas pasaules kopprodukta. T</w:t>
            </w:r>
            <w:r>
              <w:t>urpm</w:t>
            </w:r>
            <w:r w:rsidRPr="00263E57">
              <w:t>ākā skalas aprēķināšanas formula ir visai sarežģīta, piemērojot virkni elementus un kritērijus, piemēram, iemaksas daļas minimālais slieksnis (0</w:t>
            </w:r>
            <w:r>
              <w:t>,</w:t>
            </w:r>
            <w:r w:rsidRPr="00263E57">
              <w:t xml:space="preserve">001% no ANO budžeta) un griesti (22%), atlaides vismazāk attīstītajām valstīm, valsts parāda koeficients un citi. </w:t>
            </w:r>
          </w:p>
          <w:p w:rsidR="00BF0BEC" w:rsidRPr="00FD7E4E" w:rsidRDefault="00BF0BEC" w:rsidP="00BF0BEC">
            <w:pPr>
              <w:ind w:firstLine="720"/>
              <w:jc w:val="both"/>
            </w:pPr>
            <w:r>
              <w:t xml:space="preserve">Tādējādi </w:t>
            </w:r>
            <w:r w:rsidRPr="00263E57">
              <w:t xml:space="preserve">Zemkopības ministrijai </w:t>
            </w:r>
            <w:r w:rsidRPr="00FD7E4E">
              <w:t>turpmākajos gados būs nepieciešami papildu līdzekļi dalības maksas segšanai</w:t>
            </w:r>
            <w:r w:rsidRPr="00134517">
              <w:t xml:space="preserve"> </w:t>
            </w:r>
            <w:r w:rsidRPr="00947D9C">
              <w:rPr>
                <w:i/>
              </w:rPr>
              <w:t>FAO</w:t>
            </w:r>
            <w:r w:rsidRPr="00FD7E4E">
              <w:t xml:space="preserve">: </w:t>
            </w:r>
          </w:p>
          <w:p w:rsidR="00BF0BEC" w:rsidRPr="00FD7E4E" w:rsidRDefault="00BF0BEC" w:rsidP="00BF0BEC">
            <w:pPr>
              <w:pStyle w:val="Sarakstarindkopa"/>
              <w:numPr>
                <w:ilvl w:val="0"/>
                <w:numId w:val="3"/>
              </w:numPr>
              <w:jc w:val="both"/>
              <w:rPr>
                <w:rFonts w:cs="Times New Roman"/>
              </w:rPr>
            </w:pPr>
            <w:r w:rsidRPr="00FD7E4E">
              <w:rPr>
                <w:rFonts w:cs="Times New Roman"/>
              </w:rPr>
              <w:t>2014.gadā</w:t>
            </w:r>
            <w:r>
              <w:rPr>
                <w:rFonts w:cs="Times New Roman"/>
              </w:rPr>
              <w:t> –</w:t>
            </w:r>
            <w:r w:rsidRPr="00FD7E4E">
              <w:rPr>
                <w:rFonts w:cs="Times New Roman"/>
              </w:rPr>
              <w:t xml:space="preserve"> EUR 89 636,74;</w:t>
            </w:r>
          </w:p>
          <w:p w:rsidR="00BF0BEC" w:rsidRDefault="00BF0BEC" w:rsidP="00BF0BEC">
            <w:pPr>
              <w:pStyle w:val="Sarakstarindkopa"/>
              <w:numPr>
                <w:ilvl w:val="0"/>
                <w:numId w:val="3"/>
              </w:numPr>
              <w:jc w:val="both"/>
              <w:rPr>
                <w:rFonts w:cs="Times New Roman"/>
              </w:rPr>
            </w:pPr>
            <w:r>
              <w:rPr>
                <w:rFonts w:cs="Times New Roman"/>
              </w:rPr>
              <w:t xml:space="preserve">2015.gadā – </w:t>
            </w:r>
            <w:r w:rsidRPr="00FD7E4E">
              <w:rPr>
                <w:rFonts w:cs="Times New Roman"/>
              </w:rPr>
              <w:t>EUR</w:t>
            </w:r>
            <w:r>
              <w:rPr>
                <w:rFonts w:cs="Times New Roman"/>
              </w:rPr>
              <w:t xml:space="preserve"> 178 255,</w:t>
            </w:r>
            <w:r w:rsidRPr="00FD7E4E">
              <w:rPr>
                <w:rFonts w:cs="Times New Roman"/>
              </w:rPr>
              <w:t>03;</w:t>
            </w:r>
          </w:p>
          <w:p w:rsidR="00BF0BEC" w:rsidRDefault="00BF0BEC" w:rsidP="00BF0BEC">
            <w:pPr>
              <w:pStyle w:val="Sarakstarindkopa"/>
              <w:numPr>
                <w:ilvl w:val="0"/>
                <w:numId w:val="3"/>
              </w:numPr>
              <w:jc w:val="both"/>
              <w:rPr>
                <w:rFonts w:cs="Times New Roman"/>
              </w:rPr>
            </w:pPr>
            <w:r>
              <w:rPr>
                <w:rFonts w:cs="Times New Roman"/>
              </w:rPr>
              <w:lastRenderedPageBreak/>
              <w:t xml:space="preserve">2016.gadā – </w:t>
            </w:r>
            <w:r w:rsidRPr="00FD7E4E">
              <w:rPr>
                <w:rFonts w:cs="Times New Roman"/>
              </w:rPr>
              <w:t>EUR</w:t>
            </w:r>
            <w:r>
              <w:rPr>
                <w:rFonts w:cs="Times New Roman"/>
              </w:rPr>
              <w:t xml:space="preserve"> 179 859,34</w:t>
            </w:r>
            <w:r w:rsidRPr="00FD7E4E">
              <w:rPr>
                <w:rFonts w:cs="Times New Roman"/>
              </w:rPr>
              <w:t>;</w:t>
            </w:r>
          </w:p>
          <w:p w:rsidR="00BF0BEC" w:rsidRDefault="00BF0BEC" w:rsidP="00BF0BEC">
            <w:pPr>
              <w:pStyle w:val="Sarakstarindkopa"/>
              <w:numPr>
                <w:ilvl w:val="0"/>
                <w:numId w:val="3"/>
              </w:numPr>
              <w:jc w:val="both"/>
              <w:rPr>
                <w:rFonts w:cs="Times New Roman"/>
              </w:rPr>
            </w:pPr>
            <w:r>
              <w:rPr>
                <w:rFonts w:cs="Times New Roman"/>
              </w:rPr>
              <w:t xml:space="preserve">2017.gadā – </w:t>
            </w:r>
            <w:r w:rsidRPr="00FD7E4E">
              <w:rPr>
                <w:rFonts w:cs="Times New Roman"/>
              </w:rPr>
              <w:t>EUR</w:t>
            </w:r>
            <w:r>
              <w:rPr>
                <w:rFonts w:cs="Times New Roman"/>
              </w:rPr>
              <w:t xml:space="preserve"> 179 859,34</w:t>
            </w:r>
            <w:r w:rsidRPr="00FD7E4E">
              <w:rPr>
                <w:rFonts w:cs="Times New Roman"/>
              </w:rPr>
              <w:t xml:space="preserve">.  </w:t>
            </w:r>
          </w:p>
          <w:p w:rsidR="00BF0BEC" w:rsidRPr="00FD7E4E" w:rsidRDefault="00BF0BEC" w:rsidP="00BF0BEC">
            <w:pPr>
              <w:ind w:firstLine="720"/>
              <w:jc w:val="both"/>
            </w:pPr>
            <w:r w:rsidRPr="00FD7E4E">
              <w:t>2016.un 2017.gad</w:t>
            </w:r>
            <w:r>
              <w:t>a</w:t>
            </w:r>
            <w:r w:rsidRPr="00FD7E4E">
              <w:t xml:space="preserve"> dalības maksas aprēķins </w:t>
            </w:r>
            <w:r>
              <w:t>pagaidām</w:t>
            </w:r>
            <w:r w:rsidRPr="00FD7E4E">
              <w:t xml:space="preserve"> ir aptuvens, jo vēl nav zināmi NKP rādītāji, </w:t>
            </w:r>
            <w:r>
              <w:t>tāpēc dalībmaksa 2016. un</w:t>
            </w:r>
            <w:r w:rsidRPr="00FD7E4E">
              <w:t xml:space="preserve"> 2017.gadā var </w:t>
            </w:r>
            <w:r>
              <w:t xml:space="preserve">būt </w:t>
            </w:r>
            <w:r w:rsidRPr="00FD7E4E">
              <w:t xml:space="preserve">arī </w:t>
            </w:r>
            <w:r>
              <w:t>lielāka</w:t>
            </w:r>
            <w:r w:rsidRPr="00FD7E4E">
              <w:t>.</w:t>
            </w:r>
          </w:p>
          <w:p w:rsidR="00BF0BEC" w:rsidRDefault="00BF0BEC" w:rsidP="00BF0BEC">
            <w:pPr>
              <w:ind w:firstLine="720"/>
              <w:jc w:val="both"/>
            </w:pPr>
            <w:r w:rsidRPr="00947D9C">
              <w:rPr>
                <w:i/>
              </w:rPr>
              <w:t>EUROFISH</w:t>
            </w:r>
            <w:r w:rsidRPr="00956F43">
              <w:t xml:space="preserve"> ir 2002.gadā dibināta starptautiska bezpeļņas starpvalstu organizācija, kuras mērķis ir nodrošināt informācijas apriti un standartu kontroli zivsaimniecības un akvakultūras jomā. </w:t>
            </w:r>
            <w:r w:rsidRPr="00947D9C">
              <w:rPr>
                <w:i/>
              </w:rPr>
              <w:t>EUROFISH</w:t>
            </w:r>
            <w:r w:rsidRPr="00956F43">
              <w:t xml:space="preserve"> sastāvā ir 12 dalībvalst</w:t>
            </w:r>
            <w:r>
              <w:t>u</w:t>
            </w:r>
            <w:r w:rsidRPr="00956F43">
              <w:t>. Latvi</w:t>
            </w:r>
            <w:r>
              <w:t xml:space="preserve">ja ir </w:t>
            </w:r>
            <w:r w:rsidRPr="00947D9C">
              <w:rPr>
                <w:i/>
              </w:rPr>
              <w:t>EUROFISH</w:t>
            </w:r>
            <w:r>
              <w:t xml:space="preserve"> dalībvalsts kopš</w:t>
            </w:r>
            <w:r w:rsidRPr="00956F43">
              <w:t xml:space="preserve"> 2002.gada 15.maija. </w:t>
            </w:r>
          </w:p>
          <w:p w:rsidR="00BF0BEC" w:rsidRDefault="00BF0BEC" w:rsidP="00BF0BEC">
            <w:pPr>
              <w:ind w:firstLine="720"/>
              <w:jc w:val="both"/>
            </w:pPr>
            <w:r>
              <w:t>Ievērojot to, ka Latvija</w:t>
            </w:r>
            <w:r w:rsidRPr="00FD7E4E">
              <w:t xml:space="preserve"> no 3. kategorijas valstu grupas </w:t>
            </w:r>
            <w:r>
              <w:t>virzās</w:t>
            </w:r>
            <w:r w:rsidRPr="00FD7E4E">
              <w:t xml:space="preserve"> uz 2</w:t>
            </w:r>
            <w:r>
              <w:t>. </w:t>
            </w:r>
            <w:r w:rsidRPr="00FD7E4E">
              <w:t>kategorijas valstu grupu</w:t>
            </w:r>
            <w:r>
              <w:t xml:space="preserve">, palielinās tās </w:t>
            </w:r>
            <w:r w:rsidRPr="00263E57">
              <w:t>dalības maksas</w:t>
            </w:r>
            <w:r>
              <w:t xml:space="preserve"> EUROFISH, un turpmāk dalības maksa būs šāda:</w:t>
            </w:r>
          </w:p>
          <w:p w:rsidR="00BF0BEC" w:rsidRPr="000E00DA" w:rsidRDefault="00BF0BEC" w:rsidP="00BF0BEC">
            <w:pPr>
              <w:pStyle w:val="Sarakstarindkopa"/>
              <w:numPr>
                <w:ilvl w:val="0"/>
                <w:numId w:val="4"/>
              </w:numPr>
              <w:jc w:val="both"/>
              <w:rPr>
                <w:rFonts w:cs="Times New Roman"/>
              </w:rPr>
            </w:pPr>
            <w:r w:rsidRPr="000E00DA">
              <w:rPr>
                <w:rFonts w:cs="Times New Roman"/>
              </w:rPr>
              <w:t>2014. gadā</w:t>
            </w:r>
            <w:r>
              <w:rPr>
                <w:rFonts w:cs="Times New Roman"/>
              </w:rPr>
              <w:t xml:space="preserve"> –</w:t>
            </w:r>
            <w:r w:rsidRPr="000E00DA">
              <w:rPr>
                <w:rFonts w:cs="Times New Roman"/>
              </w:rPr>
              <w:t xml:space="preserve"> EUR 9308,00;</w:t>
            </w:r>
            <w:r>
              <w:rPr>
                <w:rFonts w:cs="Times New Roman"/>
              </w:rPr>
              <w:t xml:space="preserve"> </w:t>
            </w:r>
          </w:p>
          <w:p w:rsidR="00BF0BEC" w:rsidRDefault="00BF0BEC" w:rsidP="00BF0BEC">
            <w:pPr>
              <w:pStyle w:val="Sarakstarindkopa"/>
              <w:numPr>
                <w:ilvl w:val="0"/>
                <w:numId w:val="4"/>
              </w:numPr>
              <w:jc w:val="both"/>
              <w:rPr>
                <w:rFonts w:cs="Times New Roman"/>
              </w:rPr>
            </w:pPr>
            <w:r w:rsidRPr="00FD7E4E">
              <w:rPr>
                <w:rFonts w:cs="Times New Roman"/>
              </w:rPr>
              <w:t>2015.gadā</w:t>
            </w:r>
            <w:r>
              <w:rPr>
                <w:rFonts w:cs="Times New Roman"/>
              </w:rPr>
              <w:t xml:space="preserve"> – EUR 33 083,00;</w:t>
            </w:r>
          </w:p>
          <w:p w:rsidR="00BF0BEC" w:rsidRDefault="00BF0BEC" w:rsidP="00BF0BEC">
            <w:pPr>
              <w:pStyle w:val="Sarakstarindkopa"/>
              <w:numPr>
                <w:ilvl w:val="0"/>
                <w:numId w:val="4"/>
              </w:numPr>
              <w:jc w:val="both"/>
              <w:rPr>
                <w:rFonts w:cs="Times New Roman"/>
              </w:rPr>
            </w:pPr>
            <w:r>
              <w:rPr>
                <w:rFonts w:cs="Times New Roman"/>
              </w:rPr>
              <w:t>2016.gadā – EUR 33 083,00;</w:t>
            </w:r>
          </w:p>
          <w:p w:rsidR="00BF0BEC" w:rsidRDefault="00BF0BEC" w:rsidP="00BF0BEC">
            <w:pPr>
              <w:pStyle w:val="Sarakstarindkopa"/>
              <w:numPr>
                <w:ilvl w:val="0"/>
                <w:numId w:val="4"/>
              </w:numPr>
              <w:jc w:val="both"/>
              <w:rPr>
                <w:rFonts w:cs="Times New Roman"/>
              </w:rPr>
            </w:pPr>
            <w:r>
              <w:rPr>
                <w:rFonts w:cs="Times New Roman"/>
              </w:rPr>
              <w:t>2017.gadā – EUR 33 083,00.</w:t>
            </w:r>
          </w:p>
          <w:p w:rsidR="00BF0BEC" w:rsidRDefault="00BF0BEC" w:rsidP="00BF0BEC">
            <w:pPr>
              <w:ind w:firstLine="720"/>
              <w:jc w:val="both"/>
            </w:pPr>
          </w:p>
          <w:p w:rsidR="004276B7" w:rsidRPr="003831CB" w:rsidRDefault="004276B7" w:rsidP="001D69BF">
            <w:pPr>
              <w:ind w:firstLine="720"/>
              <w:jc w:val="both"/>
            </w:pPr>
          </w:p>
        </w:tc>
      </w:tr>
      <w:tr w:rsidR="00325A84" w:rsidRPr="003A7D81" w:rsidTr="00A44DD7">
        <w:tc>
          <w:tcPr>
            <w:tcW w:w="648" w:type="dxa"/>
          </w:tcPr>
          <w:p w:rsidR="00325A84" w:rsidRPr="003A7D81" w:rsidRDefault="00325A84" w:rsidP="00A44DD7">
            <w:pPr>
              <w:jc w:val="both"/>
            </w:pPr>
            <w:r w:rsidRPr="003A7D81">
              <w:lastRenderedPageBreak/>
              <w:t>3.</w:t>
            </w:r>
          </w:p>
        </w:tc>
        <w:tc>
          <w:tcPr>
            <w:tcW w:w="3420" w:type="dxa"/>
          </w:tcPr>
          <w:p w:rsidR="00325A84" w:rsidRPr="003A7D81" w:rsidRDefault="00325A84" w:rsidP="00A44DD7">
            <w:pPr>
              <w:jc w:val="both"/>
            </w:pPr>
            <w:r w:rsidRPr="003A7D81">
              <w:t>Projekta izstrādē iesaistītās institūcijas</w:t>
            </w:r>
          </w:p>
        </w:tc>
        <w:tc>
          <w:tcPr>
            <w:tcW w:w="5219" w:type="dxa"/>
          </w:tcPr>
          <w:p w:rsidR="00325A84" w:rsidRPr="003A7D81" w:rsidRDefault="001D69BF" w:rsidP="00A44DD7">
            <w:pPr>
              <w:jc w:val="both"/>
            </w:pPr>
            <w:r>
              <w:t>Nav</w:t>
            </w:r>
          </w:p>
        </w:tc>
      </w:tr>
      <w:tr w:rsidR="00325A84" w:rsidRPr="003A7D81" w:rsidTr="00A44DD7">
        <w:tc>
          <w:tcPr>
            <w:tcW w:w="648" w:type="dxa"/>
          </w:tcPr>
          <w:p w:rsidR="00325A84" w:rsidRPr="003A7D81" w:rsidRDefault="00325A84" w:rsidP="00A44DD7">
            <w:pPr>
              <w:jc w:val="both"/>
            </w:pPr>
            <w:r w:rsidRPr="003A7D81">
              <w:t>4.</w:t>
            </w:r>
          </w:p>
        </w:tc>
        <w:tc>
          <w:tcPr>
            <w:tcW w:w="3420" w:type="dxa"/>
          </w:tcPr>
          <w:p w:rsidR="00325A84" w:rsidRPr="003A7D81" w:rsidRDefault="00325A84" w:rsidP="00A44DD7">
            <w:pPr>
              <w:jc w:val="both"/>
            </w:pPr>
            <w:r w:rsidRPr="003A7D81">
              <w:t>Cita informācija</w:t>
            </w:r>
          </w:p>
        </w:tc>
        <w:tc>
          <w:tcPr>
            <w:tcW w:w="5219" w:type="dxa"/>
          </w:tcPr>
          <w:p w:rsidR="00325A84" w:rsidRPr="003A7D81" w:rsidRDefault="00325A84" w:rsidP="00A44DD7">
            <w:pPr>
              <w:jc w:val="both"/>
            </w:pPr>
            <w:r w:rsidRPr="00B62F58">
              <w:t>Projekts šo jomu neskar.</w:t>
            </w:r>
          </w:p>
        </w:tc>
      </w:tr>
    </w:tbl>
    <w:p w:rsidR="00325A84" w:rsidRPr="003A7D81" w:rsidRDefault="00325A84" w:rsidP="00325A84">
      <w:pPr>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729"/>
        <w:gridCol w:w="5039"/>
      </w:tblGrid>
      <w:tr w:rsidR="00325A84" w:rsidRPr="003A7D81" w:rsidTr="00A44DD7">
        <w:tc>
          <w:tcPr>
            <w:tcW w:w="9287" w:type="dxa"/>
            <w:gridSpan w:val="3"/>
          </w:tcPr>
          <w:p w:rsidR="00325A84" w:rsidRPr="003A7D81" w:rsidRDefault="00325A84" w:rsidP="00A44DD7">
            <w:pPr>
              <w:jc w:val="center"/>
            </w:pPr>
            <w:r w:rsidRPr="003A7D81">
              <w:rPr>
                <w:b/>
                <w:bCs/>
              </w:rPr>
              <w:t xml:space="preserve">II. </w:t>
            </w:r>
            <w:r w:rsidRPr="003A7D81">
              <w:rPr>
                <w:b/>
              </w:rPr>
              <w:t>Tiesību akta projekta ietekme uz sabiedrību, tautsaimniecības attīstību un administratīvo slogu</w:t>
            </w:r>
          </w:p>
        </w:tc>
      </w:tr>
      <w:tr w:rsidR="00325A84" w:rsidRPr="003A7D81" w:rsidTr="00A44DD7">
        <w:tc>
          <w:tcPr>
            <w:tcW w:w="519" w:type="dxa"/>
          </w:tcPr>
          <w:p w:rsidR="00325A84" w:rsidRPr="003A7D81" w:rsidRDefault="00325A84" w:rsidP="00A44DD7">
            <w:pPr>
              <w:jc w:val="both"/>
            </w:pPr>
            <w:r w:rsidRPr="003A7D81">
              <w:t>1.</w:t>
            </w:r>
          </w:p>
        </w:tc>
        <w:tc>
          <w:tcPr>
            <w:tcW w:w="3729" w:type="dxa"/>
          </w:tcPr>
          <w:p w:rsidR="00325A84" w:rsidRPr="003A7D81" w:rsidRDefault="00325A84" w:rsidP="00A44DD7">
            <w:pPr>
              <w:rPr>
                <w:iCs/>
              </w:rPr>
            </w:pPr>
            <w:r w:rsidRPr="003A7D81">
              <w:rPr>
                <w:iCs/>
              </w:rPr>
              <w:t>Sabiedrības mērķgrupas, kuras tiesiskais regulējums ietekmē vai varētu ietekmēt</w:t>
            </w:r>
          </w:p>
        </w:tc>
        <w:tc>
          <w:tcPr>
            <w:tcW w:w="5039" w:type="dxa"/>
          </w:tcPr>
          <w:p w:rsidR="00325A84" w:rsidRPr="003A7D81" w:rsidRDefault="001D69BF" w:rsidP="00085CEC">
            <w:pPr>
              <w:jc w:val="both"/>
            </w:pPr>
            <w:r w:rsidRPr="003A7D81">
              <w:t>Projekts šo jomu neskar.</w:t>
            </w:r>
          </w:p>
        </w:tc>
      </w:tr>
      <w:tr w:rsidR="00325A84" w:rsidRPr="003A7D81" w:rsidTr="00A44DD7">
        <w:tc>
          <w:tcPr>
            <w:tcW w:w="519" w:type="dxa"/>
          </w:tcPr>
          <w:p w:rsidR="00325A84" w:rsidRPr="003A7D81" w:rsidRDefault="00325A84" w:rsidP="00A44DD7">
            <w:pPr>
              <w:jc w:val="both"/>
            </w:pPr>
            <w:r w:rsidRPr="003A7D81">
              <w:t>2.</w:t>
            </w:r>
          </w:p>
        </w:tc>
        <w:tc>
          <w:tcPr>
            <w:tcW w:w="3729" w:type="dxa"/>
          </w:tcPr>
          <w:p w:rsidR="00325A84" w:rsidRPr="003A7D81" w:rsidRDefault="00325A84" w:rsidP="00A44DD7">
            <w:pPr>
              <w:rPr>
                <w:iCs/>
              </w:rPr>
            </w:pPr>
            <w:r w:rsidRPr="003A7D81">
              <w:rPr>
                <w:iCs/>
              </w:rPr>
              <w:t>Tiesiskā regulējuma ietekme uz tautsaimniecību un administratīvo slogu</w:t>
            </w:r>
          </w:p>
        </w:tc>
        <w:tc>
          <w:tcPr>
            <w:tcW w:w="5039" w:type="dxa"/>
          </w:tcPr>
          <w:p w:rsidR="00325A84" w:rsidRPr="003A7D81" w:rsidRDefault="001D69BF" w:rsidP="00A44DD7">
            <w:pPr>
              <w:jc w:val="both"/>
            </w:pPr>
            <w:r w:rsidRPr="003A7D81">
              <w:t>Projekts šo jomu neskar.</w:t>
            </w:r>
          </w:p>
        </w:tc>
      </w:tr>
      <w:tr w:rsidR="00325A84" w:rsidRPr="003A7D81" w:rsidTr="00A44DD7">
        <w:tc>
          <w:tcPr>
            <w:tcW w:w="519" w:type="dxa"/>
          </w:tcPr>
          <w:p w:rsidR="00325A84" w:rsidRPr="003A7D81" w:rsidRDefault="00325A84" w:rsidP="00A44DD7">
            <w:pPr>
              <w:jc w:val="both"/>
            </w:pPr>
            <w:r w:rsidRPr="003A7D81">
              <w:t>3.</w:t>
            </w:r>
          </w:p>
        </w:tc>
        <w:tc>
          <w:tcPr>
            <w:tcW w:w="3729" w:type="dxa"/>
          </w:tcPr>
          <w:p w:rsidR="00325A84" w:rsidRPr="003A7D81" w:rsidRDefault="00325A84" w:rsidP="00A44DD7">
            <w:pPr>
              <w:rPr>
                <w:iCs/>
              </w:rPr>
            </w:pPr>
            <w:r w:rsidRPr="003A7D81">
              <w:rPr>
                <w:iCs/>
              </w:rPr>
              <w:t>Administratīvo izmaksu monetārs novērtējums</w:t>
            </w:r>
          </w:p>
        </w:tc>
        <w:tc>
          <w:tcPr>
            <w:tcW w:w="5039" w:type="dxa"/>
          </w:tcPr>
          <w:p w:rsidR="00325A84" w:rsidRPr="003A7D81" w:rsidRDefault="00325A84" w:rsidP="00A44DD7">
            <w:pPr>
              <w:jc w:val="both"/>
            </w:pPr>
            <w:r w:rsidRPr="003A7D81">
              <w:t>Projekts šo jomu neskar.</w:t>
            </w:r>
          </w:p>
        </w:tc>
      </w:tr>
      <w:tr w:rsidR="00325A84" w:rsidRPr="003A7D81" w:rsidTr="00A44DD7">
        <w:tc>
          <w:tcPr>
            <w:tcW w:w="519" w:type="dxa"/>
          </w:tcPr>
          <w:p w:rsidR="00325A84" w:rsidRPr="003A7D81" w:rsidRDefault="00325A84" w:rsidP="00A44DD7">
            <w:pPr>
              <w:jc w:val="both"/>
            </w:pPr>
            <w:r w:rsidRPr="003A7D81">
              <w:t>4.</w:t>
            </w:r>
          </w:p>
        </w:tc>
        <w:tc>
          <w:tcPr>
            <w:tcW w:w="3729" w:type="dxa"/>
          </w:tcPr>
          <w:p w:rsidR="00325A84" w:rsidRPr="003A7D81" w:rsidRDefault="00325A84" w:rsidP="00A44DD7">
            <w:pPr>
              <w:rPr>
                <w:iCs/>
              </w:rPr>
            </w:pPr>
            <w:r w:rsidRPr="003A7D81">
              <w:rPr>
                <w:iCs/>
              </w:rPr>
              <w:t>Cita informācija</w:t>
            </w:r>
          </w:p>
        </w:tc>
        <w:tc>
          <w:tcPr>
            <w:tcW w:w="5039" w:type="dxa"/>
          </w:tcPr>
          <w:p w:rsidR="00325A84" w:rsidRPr="003A7D81" w:rsidRDefault="00325A84" w:rsidP="00A44DD7">
            <w:pPr>
              <w:jc w:val="both"/>
            </w:pPr>
            <w:r w:rsidRPr="003A7D81">
              <w:t>Projekts šo jomu neskar.</w:t>
            </w:r>
          </w:p>
        </w:tc>
      </w:tr>
    </w:tbl>
    <w:p w:rsidR="00325A84" w:rsidRPr="003A7D81" w:rsidRDefault="00325A84" w:rsidP="00325A84">
      <w:pPr>
        <w:jc w:val="both"/>
      </w:pPr>
      <w:r w:rsidRPr="003A7D81">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325A84" w:rsidRPr="003A7D81" w:rsidTr="00A44DD7">
        <w:tc>
          <w:tcPr>
            <w:tcW w:w="9288" w:type="dxa"/>
            <w:gridSpan w:val="6"/>
          </w:tcPr>
          <w:p w:rsidR="00325A84" w:rsidRPr="003A7D81" w:rsidRDefault="00325A84" w:rsidP="00A44DD7">
            <w:pPr>
              <w:jc w:val="center"/>
            </w:pPr>
            <w:r w:rsidRPr="003A7D81">
              <w:rPr>
                <w:b/>
                <w:bCs/>
              </w:rPr>
              <w:t>III. Tiesību akta projekta ietekme uz valsts budžetu un pašvaldību budžetiem</w:t>
            </w:r>
          </w:p>
        </w:tc>
      </w:tr>
      <w:tr w:rsidR="00325A84" w:rsidRPr="003A7D81" w:rsidTr="00A44DD7">
        <w:tc>
          <w:tcPr>
            <w:tcW w:w="2268" w:type="dxa"/>
            <w:vMerge w:val="restart"/>
          </w:tcPr>
          <w:p w:rsidR="00325A84" w:rsidRPr="003A7D81" w:rsidRDefault="00325A84" w:rsidP="00A44DD7">
            <w:pPr>
              <w:jc w:val="center"/>
            </w:pPr>
            <w:r w:rsidRPr="003A7D81">
              <w:rPr>
                <w:b/>
                <w:bCs/>
              </w:rPr>
              <w:t>Rādītāji</w:t>
            </w:r>
          </w:p>
        </w:tc>
        <w:tc>
          <w:tcPr>
            <w:tcW w:w="2700" w:type="dxa"/>
            <w:gridSpan w:val="2"/>
            <w:vMerge w:val="restart"/>
          </w:tcPr>
          <w:p w:rsidR="00325A84" w:rsidRPr="003A7D81" w:rsidRDefault="00325A84" w:rsidP="00A44DD7">
            <w:pPr>
              <w:jc w:val="center"/>
              <w:rPr>
                <w:b/>
                <w:bCs/>
              </w:rPr>
            </w:pPr>
            <w:r w:rsidRPr="003A7D81">
              <w:rPr>
                <w:b/>
                <w:bCs/>
              </w:rPr>
              <w:t>n-tais gads</w:t>
            </w:r>
          </w:p>
          <w:p w:rsidR="00325A84" w:rsidRPr="003A7D81" w:rsidRDefault="00325A84" w:rsidP="00A44DD7">
            <w:pPr>
              <w:jc w:val="center"/>
              <w:rPr>
                <w:b/>
                <w:bCs/>
              </w:rPr>
            </w:pPr>
            <w:r w:rsidRPr="003A7D81">
              <w:rPr>
                <w:b/>
                <w:bCs/>
              </w:rPr>
              <w:t>2014.gads</w:t>
            </w:r>
          </w:p>
          <w:p w:rsidR="00325A84" w:rsidRPr="003A7D81" w:rsidRDefault="00325A84" w:rsidP="00A44DD7">
            <w:pPr>
              <w:jc w:val="center"/>
              <w:rPr>
                <w:i/>
              </w:rPr>
            </w:pPr>
          </w:p>
        </w:tc>
        <w:tc>
          <w:tcPr>
            <w:tcW w:w="4320" w:type="dxa"/>
            <w:gridSpan w:val="3"/>
          </w:tcPr>
          <w:p w:rsidR="00325A84" w:rsidRPr="003A7D81" w:rsidRDefault="00325A84" w:rsidP="00A44DD7">
            <w:pPr>
              <w:tabs>
                <w:tab w:val="left" w:pos="3480"/>
              </w:tabs>
              <w:jc w:val="center"/>
              <w:rPr>
                <w:b/>
              </w:rPr>
            </w:pPr>
            <w:r w:rsidRPr="003A7D81">
              <w:rPr>
                <w:b/>
              </w:rPr>
              <w:t xml:space="preserve">Turpmākie trīs gadi </w:t>
            </w:r>
            <w:r w:rsidRPr="003A7D81">
              <w:rPr>
                <w:b/>
                <w:i/>
              </w:rPr>
              <w:t>(euro)</w:t>
            </w:r>
          </w:p>
        </w:tc>
      </w:tr>
      <w:tr w:rsidR="00325A84" w:rsidRPr="003A7D81" w:rsidTr="00A44DD7">
        <w:tc>
          <w:tcPr>
            <w:tcW w:w="2268" w:type="dxa"/>
            <w:vMerge/>
          </w:tcPr>
          <w:p w:rsidR="00325A84" w:rsidRPr="003A7D81" w:rsidRDefault="00325A84" w:rsidP="00A44DD7">
            <w:pPr>
              <w:jc w:val="both"/>
            </w:pPr>
          </w:p>
        </w:tc>
        <w:tc>
          <w:tcPr>
            <w:tcW w:w="2700" w:type="dxa"/>
            <w:gridSpan w:val="2"/>
            <w:vMerge/>
          </w:tcPr>
          <w:p w:rsidR="00325A84" w:rsidRPr="003A7D81" w:rsidRDefault="00325A84" w:rsidP="00A44DD7">
            <w:pPr>
              <w:jc w:val="both"/>
            </w:pPr>
          </w:p>
        </w:tc>
        <w:tc>
          <w:tcPr>
            <w:tcW w:w="1440" w:type="dxa"/>
          </w:tcPr>
          <w:p w:rsidR="00325A84" w:rsidRPr="003A7D81" w:rsidRDefault="00325A84" w:rsidP="00A44DD7">
            <w:pPr>
              <w:jc w:val="center"/>
            </w:pPr>
            <w:r w:rsidRPr="003A7D81">
              <w:rPr>
                <w:b/>
                <w:bCs/>
              </w:rPr>
              <w:t>n+1 (2015.gads)</w:t>
            </w:r>
          </w:p>
        </w:tc>
        <w:tc>
          <w:tcPr>
            <w:tcW w:w="1440" w:type="dxa"/>
          </w:tcPr>
          <w:p w:rsidR="00325A84" w:rsidRPr="003A7D81" w:rsidRDefault="00325A84" w:rsidP="00A44DD7">
            <w:pPr>
              <w:jc w:val="center"/>
              <w:rPr>
                <w:b/>
                <w:bCs/>
              </w:rPr>
            </w:pPr>
            <w:r w:rsidRPr="003A7D81">
              <w:rPr>
                <w:b/>
                <w:bCs/>
              </w:rPr>
              <w:t xml:space="preserve">n+2 </w:t>
            </w:r>
          </w:p>
          <w:p w:rsidR="00325A84" w:rsidRPr="003A7D81" w:rsidRDefault="00325A84" w:rsidP="00A44DD7">
            <w:pPr>
              <w:jc w:val="center"/>
            </w:pPr>
            <w:r w:rsidRPr="003A7D81">
              <w:rPr>
                <w:b/>
                <w:bCs/>
              </w:rPr>
              <w:t>(2016.gads)</w:t>
            </w:r>
          </w:p>
        </w:tc>
        <w:tc>
          <w:tcPr>
            <w:tcW w:w="1440" w:type="dxa"/>
          </w:tcPr>
          <w:p w:rsidR="00325A84" w:rsidRPr="003A7D81" w:rsidRDefault="00325A84" w:rsidP="00A44DD7">
            <w:pPr>
              <w:ind w:right="4"/>
              <w:jc w:val="center"/>
              <w:rPr>
                <w:b/>
                <w:bCs/>
              </w:rPr>
            </w:pPr>
            <w:r w:rsidRPr="003A7D81">
              <w:rPr>
                <w:b/>
                <w:bCs/>
              </w:rPr>
              <w:t>n+3</w:t>
            </w:r>
          </w:p>
          <w:p w:rsidR="00325A84" w:rsidRPr="003A7D81" w:rsidRDefault="00325A84" w:rsidP="00A44DD7">
            <w:pPr>
              <w:ind w:right="4"/>
              <w:jc w:val="center"/>
            </w:pPr>
            <w:r w:rsidRPr="003A7D81">
              <w:rPr>
                <w:b/>
                <w:bCs/>
              </w:rPr>
              <w:t>(2017.gads)</w:t>
            </w:r>
          </w:p>
        </w:tc>
      </w:tr>
      <w:tr w:rsidR="00325A84" w:rsidRPr="003A7D81" w:rsidTr="00A44DD7">
        <w:tc>
          <w:tcPr>
            <w:tcW w:w="2268" w:type="dxa"/>
            <w:vMerge/>
          </w:tcPr>
          <w:p w:rsidR="00325A84" w:rsidRPr="003A7D81" w:rsidRDefault="00325A84" w:rsidP="00A44DD7">
            <w:pPr>
              <w:jc w:val="both"/>
            </w:pPr>
          </w:p>
        </w:tc>
        <w:tc>
          <w:tcPr>
            <w:tcW w:w="1260" w:type="dxa"/>
          </w:tcPr>
          <w:p w:rsidR="00325A84" w:rsidRPr="003A7D81" w:rsidRDefault="00325A84" w:rsidP="00A44DD7">
            <w:pPr>
              <w:jc w:val="both"/>
            </w:pPr>
            <w:r w:rsidRPr="003A7D81">
              <w:t> Saskaņā ar valsts budžetu kārtējam gadam</w:t>
            </w:r>
          </w:p>
        </w:tc>
        <w:tc>
          <w:tcPr>
            <w:tcW w:w="1440" w:type="dxa"/>
          </w:tcPr>
          <w:p w:rsidR="00325A84" w:rsidRPr="003A7D81" w:rsidRDefault="00325A84" w:rsidP="00A44DD7">
            <w:pPr>
              <w:ind w:left="-61"/>
              <w:jc w:val="both"/>
            </w:pPr>
            <w:r w:rsidRPr="003A7D81">
              <w:t> Izmaiņas kārtējā gadā, salīdzinot ar budžetu kārtējam gadam</w:t>
            </w:r>
          </w:p>
        </w:tc>
        <w:tc>
          <w:tcPr>
            <w:tcW w:w="1440" w:type="dxa"/>
          </w:tcPr>
          <w:p w:rsidR="00325A84" w:rsidRPr="003A7D81" w:rsidRDefault="00325A84" w:rsidP="00A44DD7">
            <w:pPr>
              <w:ind w:left="-108"/>
              <w:jc w:val="both"/>
            </w:pPr>
            <w:r w:rsidRPr="003A7D81">
              <w:t>Izmaiņas, salīdzinot ar kārtējo (n) gadu</w:t>
            </w:r>
          </w:p>
        </w:tc>
        <w:tc>
          <w:tcPr>
            <w:tcW w:w="1440" w:type="dxa"/>
          </w:tcPr>
          <w:p w:rsidR="00325A84" w:rsidRPr="003A7D81" w:rsidRDefault="00325A84" w:rsidP="00A44DD7">
            <w:pPr>
              <w:tabs>
                <w:tab w:val="left" w:pos="0"/>
              </w:tabs>
              <w:ind w:right="-108"/>
              <w:jc w:val="both"/>
            </w:pPr>
            <w:r w:rsidRPr="003A7D81">
              <w:t>Izmaiņas, salīdzinot ar kārtējo (n) gadu</w:t>
            </w:r>
          </w:p>
        </w:tc>
        <w:tc>
          <w:tcPr>
            <w:tcW w:w="1440" w:type="dxa"/>
          </w:tcPr>
          <w:p w:rsidR="00325A84" w:rsidRPr="003A7D81" w:rsidRDefault="00325A84" w:rsidP="00A44DD7">
            <w:pPr>
              <w:jc w:val="both"/>
            </w:pPr>
            <w:r w:rsidRPr="003A7D81">
              <w:t> Izmaiņas, salīdzinot ar kārtējo (n) gadu</w:t>
            </w:r>
          </w:p>
        </w:tc>
      </w:tr>
      <w:tr w:rsidR="00325A84" w:rsidRPr="003A7D81" w:rsidTr="00A44DD7">
        <w:tc>
          <w:tcPr>
            <w:tcW w:w="2268" w:type="dxa"/>
          </w:tcPr>
          <w:p w:rsidR="00325A84" w:rsidRPr="003A7D81" w:rsidRDefault="00325A84" w:rsidP="00A44DD7">
            <w:pPr>
              <w:jc w:val="center"/>
            </w:pPr>
            <w:r w:rsidRPr="003A7D81">
              <w:t>1</w:t>
            </w:r>
          </w:p>
        </w:tc>
        <w:tc>
          <w:tcPr>
            <w:tcW w:w="1260" w:type="dxa"/>
          </w:tcPr>
          <w:p w:rsidR="00325A84" w:rsidRPr="003A7D81" w:rsidRDefault="00325A84" w:rsidP="00A44DD7">
            <w:pPr>
              <w:jc w:val="center"/>
            </w:pPr>
            <w:r w:rsidRPr="003A7D81">
              <w:t>2</w:t>
            </w:r>
          </w:p>
        </w:tc>
        <w:tc>
          <w:tcPr>
            <w:tcW w:w="1440" w:type="dxa"/>
          </w:tcPr>
          <w:p w:rsidR="00325A84" w:rsidRPr="003A7D81" w:rsidRDefault="00325A84" w:rsidP="00A44DD7">
            <w:pPr>
              <w:jc w:val="center"/>
            </w:pPr>
            <w:r w:rsidRPr="003A7D81">
              <w:t>3</w:t>
            </w:r>
          </w:p>
        </w:tc>
        <w:tc>
          <w:tcPr>
            <w:tcW w:w="1440" w:type="dxa"/>
          </w:tcPr>
          <w:p w:rsidR="00325A84" w:rsidRPr="003A7D81" w:rsidRDefault="00325A84" w:rsidP="00A44DD7">
            <w:pPr>
              <w:jc w:val="center"/>
            </w:pPr>
            <w:r w:rsidRPr="003A7D81">
              <w:t>4</w:t>
            </w:r>
          </w:p>
        </w:tc>
        <w:tc>
          <w:tcPr>
            <w:tcW w:w="1440" w:type="dxa"/>
          </w:tcPr>
          <w:p w:rsidR="00325A84" w:rsidRPr="003A7D81" w:rsidRDefault="00325A84" w:rsidP="00A44DD7">
            <w:pPr>
              <w:jc w:val="center"/>
            </w:pPr>
            <w:r w:rsidRPr="003A7D81">
              <w:t>5</w:t>
            </w:r>
          </w:p>
        </w:tc>
        <w:tc>
          <w:tcPr>
            <w:tcW w:w="1440" w:type="dxa"/>
          </w:tcPr>
          <w:p w:rsidR="00325A84" w:rsidRPr="003A7D81" w:rsidRDefault="00325A84" w:rsidP="00A44DD7">
            <w:pPr>
              <w:jc w:val="center"/>
            </w:pPr>
            <w:r w:rsidRPr="003A7D81">
              <w:t>6</w:t>
            </w:r>
          </w:p>
        </w:tc>
      </w:tr>
      <w:tr w:rsidR="00325A84" w:rsidRPr="003A7D81" w:rsidTr="00A44DD7">
        <w:tc>
          <w:tcPr>
            <w:tcW w:w="2268" w:type="dxa"/>
          </w:tcPr>
          <w:p w:rsidR="00325A84" w:rsidRPr="003A7D81" w:rsidRDefault="00325A84" w:rsidP="00A44DD7">
            <w:pPr>
              <w:jc w:val="both"/>
            </w:pPr>
            <w:r w:rsidRPr="003A7D81">
              <w:lastRenderedPageBreak/>
              <w:t>1. Budžeta ieņēmumi:</w:t>
            </w:r>
          </w:p>
        </w:tc>
        <w:tc>
          <w:tcPr>
            <w:tcW w:w="1260" w:type="dxa"/>
          </w:tcPr>
          <w:p w:rsidR="00325A84" w:rsidRPr="00B638C0" w:rsidRDefault="003831CB" w:rsidP="00A44DD7">
            <w:pPr>
              <w:jc w:val="center"/>
            </w:pPr>
            <w:r>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1.1. valsts pamatbudžets, tai skaitā ieņēmumi no maksas pakalpo-jumiem un citi pašu ieņēmumi</w:t>
            </w:r>
          </w:p>
        </w:tc>
        <w:tc>
          <w:tcPr>
            <w:tcW w:w="1260" w:type="dxa"/>
          </w:tcPr>
          <w:p w:rsidR="00325A84" w:rsidRPr="00B638C0" w:rsidRDefault="003831CB" w:rsidP="00A44DD7">
            <w:pPr>
              <w:jc w:val="center"/>
            </w:pPr>
            <w:r>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1.2. valsts speciālais budžets</w:t>
            </w:r>
          </w:p>
        </w:tc>
        <w:tc>
          <w:tcPr>
            <w:tcW w:w="1260" w:type="dxa"/>
          </w:tcPr>
          <w:p w:rsidR="00325A84" w:rsidRPr="00B638C0" w:rsidRDefault="00325A84" w:rsidP="00A44DD7">
            <w:pPr>
              <w:jc w:val="center"/>
            </w:pPr>
            <w:r w:rsidRPr="00B638C0">
              <w:t>0</w:t>
            </w:r>
          </w:p>
        </w:tc>
        <w:tc>
          <w:tcPr>
            <w:tcW w:w="1440" w:type="dxa"/>
          </w:tcPr>
          <w:p w:rsidR="00325A84" w:rsidRPr="00D158F0" w:rsidRDefault="00325A84" w:rsidP="00A44DD7">
            <w:pPr>
              <w:jc w:val="center"/>
            </w:pPr>
            <w:r w:rsidRPr="00D158F0">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1.3. pašvaldību budžets</w:t>
            </w:r>
          </w:p>
        </w:tc>
        <w:tc>
          <w:tcPr>
            <w:tcW w:w="1260" w:type="dxa"/>
          </w:tcPr>
          <w:p w:rsidR="00325A84" w:rsidRPr="00B638C0" w:rsidRDefault="00325A84" w:rsidP="00A44DD7">
            <w:pPr>
              <w:jc w:val="center"/>
            </w:pPr>
            <w:r w:rsidRPr="00B638C0">
              <w:t>0</w:t>
            </w:r>
          </w:p>
        </w:tc>
        <w:tc>
          <w:tcPr>
            <w:tcW w:w="1440" w:type="dxa"/>
          </w:tcPr>
          <w:p w:rsidR="00325A84" w:rsidRPr="00D158F0" w:rsidRDefault="00325A84" w:rsidP="00A44DD7">
            <w:pPr>
              <w:jc w:val="center"/>
            </w:pPr>
            <w:r w:rsidRPr="00D158F0">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2. Budžeta izdevumi:</w:t>
            </w:r>
          </w:p>
        </w:tc>
        <w:tc>
          <w:tcPr>
            <w:tcW w:w="1260" w:type="dxa"/>
          </w:tcPr>
          <w:p w:rsidR="00325A84" w:rsidRPr="00B638C0" w:rsidRDefault="003831CB" w:rsidP="00A44DD7">
            <w:pPr>
              <w:jc w:val="center"/>
            </w:pPr>
            <w:r>
              <w:t>0</w:t>
            </w:r>
          </w:p>
        </w:tc>
        <w:tc>
          <w:tcPr>
            <w:tcW w:w="1440" w:type="dxa"/>
          </w:tcPr>
          <w:p w:rsidR="00325A84" w:rsidRPr="00D35C55" w:rsidRDefault="001D69BF" w:rsidP="00C65F87">
            <w:pPr>
              <w:jc w:val="center"/>
            </w:pPr>
            <w:r w:rsidRPr="00D35C55">
              <w:t>98 945</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2.1. valsts pamatbudžets</w:t>
            </w:r>
          </w:p>
        </w:tc>
        <w:tc>
          <w:tcPr>
            <w:tcW w:w="1260" w:type="dxa"/>
          </w:tcPr>
          <w:p w:rsidR="00325A84" w:rsidRPr="00B638C0" w:rsidRDefault="003831CB" w:rsidP="00A44DD7">
            <w:pPr>
              <w:jc w:val="center"/>
            </w:pPr>
            <w:r>
              <w:t>0</w:t>
            </w:r>
          </w:p>
        </w:tc>
        <w:tc>
          <w:tcPr>
            <w:tcW w:w="1440" w:type="dxa"/>
          </w:tcPr>
          <w:p w:rsidR="00325A84" w:rsidRPr="00D35C55" w:rsidRDefault="001D69BF" w:rsidP="00A44DD7">
            <w:pPr>
              <w:jc w:val="center"/>
            </w:pPr>
            <w:r w:rsidRPr="00D35C55">
              <w:t>98 945</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2.2. valsts speciālais budžets</w:t>
            </w:r>
          </w:p>
        </w:tc>
        <w:tc>
          <w:tcPr>
            <w:tcW w:w="1260" w:type="dxa"/>
          </w:tcPr>
          <w:p w:rsidR="00325A84" w:rsidRPr="003A7D81" w:rsidRDefault="00325A84" w:rsidP="00A44DD7">
            <w:pPr>
              <w:jc w:val="center"/>
            </w:pPr>
            <w:r w:rsidRPr="003A7D81">
              <w:t>0</w:t>
            </w:r>
          </w:p>
        </w:tc>
        <w:tc>
          <w:tcPr>
            <w:tcW w:w="1440" w:type="dxa"/>
          </w:tcPr>
          <w:p w:rsidR="00325A84" w:rsidRPr="00D35C55" w:rsidRDefault="00325A84" w:rsidP="00A44DD7">
            <w:pPr>
              <w:jc w:val="center"/>
            </w:pPr>
            <w:r w:rsidRPr="00D35C55">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2.3. pašvaldību budžets</w:t>
            </w:r>
          </w:p>
        </w:tc>
        <w:tc>
          <w:tcPr>
            <w:tcW w:w="1260" w:type="dxa"/>
          </w:tcPr>
          <w:p w:rsidR="00325A84" w:rsidRPr="003A7D81" w:rsidRDefault="00325A84" w:rsidP="00A44DD7">
            <w:pPr>
              <w:jc w:val="center"/>
            </w:pPr>
            <w:r w:rsidRPr="003A7D81">
              <w:t>0</w:t>
            </w:r>
          </w:p>
        </w:tc>
        <w:tc>
          <w:tcPr>
            <w:tcW w:w="1440" w:type="dxa"/>
          </w:tcPr>
          <w:p w:rsidR="00325A84" w:rsidRPr="00D35C55" w:rsidRDefault="00325A84" w:rsidP="00A44DD7">
            <w:pPr>
              <w:jc w:val="center"/>
            </w:pPr>
            <w:r w:rsidRPr="00D35C55">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3. Finansiālā ietekme:</w:t>
            </w:r>
          </w:p>
        </w:tc>
        <w:tc>
          <w:tcPr>
            <w:tcW w:w="1260" w:type="dxa"/>
          </w:tcPr>
          <w:p w:rsidR="00325A84" w:rsidRPr="003A7D81" w:rsidRDefault="00325A84" w:rsidP="00A44DD7">
            <w:pPr>
              <w:jc w:val="center"/>
            </w:pPr>
            <w:r w:rsidRPr="003A7D81">
              <w:t>0</w:t>
            </w:r>
          </w:p>
        </w:tc>
        <w:tc>
          <w:tcPr>
            <w:tcW w:w="1440" w:type="dxa"/>
          </w:tcPr>
          <w:p w:rsidR="00325A84" w:rsidRPr="00D35C55" w:rsidRDefault="00AB49E5" w:rsidP="00437768">
            <w:pPr>
              <w:jc w:val="center"/>
            </w:pPr>
            <w:r w:rsidRPr="00D35C55">
              <w:rPr>
                <w:bCs/>
              </w:rPr>
              <w:t>-98 945</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3.1. valsts pamatbudžets</w:t>
            </w:r>
          </w:p>
        </w:tc>
        <w:tc>
          <w:tcPr>
            <w:tcW w:w="1260" w:type="dxa"/>
          </w:tcPr>
          <w:p w:rsidR="00325A84" w:rsidRPr="003A7D81" w:rsidRDefault="00325A84" w:rsidP="00A44DD7">
            <w:pPr>
              <w:jc w:val="center"/>
            </w:pPr>
            <w:r w:rsidRPr="003A7D81">
              <w:t>0</w:t>
            </w:r>
          </w:p>
        </w:tc>
        <w:tc>
          <w:tcPr>
            <w:tcW w:w="1440" w:type="dxa"/>
          </w:tcPr>
          <w:p w:rsidR="00325A84" w:rsidRPr="00D35C55" w:rsidRDefault="00AB49E5" w:rsidP="00437768">
            <w:pPr>
              <w:jc w:val="center"/>
            </w:pPr>
            <w:r w:rsidRPr="00D35C55">
              <w:rPr>
                <w:bCs/>
              </w:rPr>
              <w:t>-98 945</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3.2. speciālais budžets</w:t>
            </w:r>
          </w:p>
        </w:tc>
        <w:tc>
          <w:tcPr>
            <w:tcW w:w="1260" w:type="dxa"/>
          </w:tcPr>
          <w:p w:rsidR="00325A84" w:rsidRPr="003A7D81" w:rsidRDefault="00325A84" w:rsidP="00A44DD7">
            <w:pPr>
              <w:jc w:val="center"/>
            </w:pPr>
            <w:r w:rsidRPr="003A7D81">
              <w:t>0</w:t>
            </w:r>
          </w:p>
        </w:tc>
        <w:tc>
          <w:tcPr>
            <w:tcW w:w="1440" w:type="dxa"/>
          </w:tcPr>
          <w:p w:rsidR="00325A84" w:rsidRPr="00D35C55" w:rsidRDefault="00325A84" w:rsidP="00A44DD7">
            <w:pPr>
              <w:jc w:val="center"/>
            </w:pPr>
            <w:r w:rsidRPr="00D35C55">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3.3. pašvaldību budžets</w:t>
            </w:r>
          </w:p>
        </w:tc>
        <w:tc>
          <w:tcPr>
            <w:tcW w:w="1260" w:type="dxa"/>
          </w:tcPr>
          <w:p w:rsidR="00325A84" w:rsidRPr="003A7D81" w:rsidRDefault="00325A84" w:rsidP="00A44DD7">
            <w:pPr>
              <w:jc w:val="center"/>
            </w:pPr>
            <w:r w:rsidRPr="003A7D81">
              <w:t>0</w:t>
            </w:r>
          </w:p>
        </w:tc>
        <w:tc>
          <w:tcPr>
            <w:tcW w:w="1440" w:type="dxa"/>
          </w:tcPr>
          <w:p w:rsidR="00325A84" w:rsidRPr="00D35C55" w:rsidRDefault="00325A84" w:rsidP="00A44DD7">
            <w:pPr>
              <w:jc w:val="center"/>
            </w:pPr>
            <w:r w:rsidRPr="00D35C55">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vMerge w:val="restart"/>
          </w:tcPr>
          <w:p w:rsidR="00325A84" w:rsidRPr="003A7D81" w:rsidRDefault="00325A84" w:rsidP="00A44DD7">
            <w:pPr>
              <w:jc w:val="both"/>
            </w:pPr>
            <w:r w:rsidRPr="003A7D81">
              <w:t>4. Finanšu līdzekļi papildu izde</w:t>
            </w:r>
            <w:r w:rsidRPr="003A7D81">
              <w:softHyphen/>
              <w:t>vumu finansēšanai (kompensējošu izdevumu samazinājumu norāda ar "+" zīmi)</w:t>
            </w:r>
          </w:p>
        </w:tc>
        <w:tc>
          <w:tcPr>
            <w:tcW w:w="1260" w:type="dxa"/>
            <w:vMerge w:val="restart"/>
          </w:tcPr>
          <w:p w:rsidR="00325A84" w:rsidRPr="003A7D81" w:rsidRDefault="00325A84" w:rsidP="00A44DD7">
            <w:pPr>
              <w:jc w:val="center"/>
            </w:pPr>
            <w:r w:rsidRPr="003A7D81">
              <w:t>X</w:t>
            </w:r>
          </w:p>
        </w:tc>
        <w:tc>
          <w:tcPr>
            <w:tcW w:w="1440" w:type="dxa"/>
          </w:tcPr>
          <w:p w:rsidR="00325A84" w:rsidRPr="00D35C55" w:rsidRDefault="00325A84" w:rsidP="00A44DD7">
            <w:pPr>
              <w:jc w:val="center"/>
            </w:pPr>
            <w:r w:rsidRPr="00D35C55">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vMerge/>
          </w:tcPr>
          <w:p w:rsidR="00325A84" w:rsidRPr="003A7D81" w:rsidRDefault="00325A84" w:rsidP="00A44DD7">
            <w:pPr>
              <w:jc w:val="both"/>
            </w:pPr>
          </w:p>
        </w:tc>
        <w:tc>
          <w:tcPr>
            <w:tcW w:w="1260" w:type="dxa"/>
            <w:vMerge/>
          </w:tcPr>
          <w:p w:rsidR="00325A84" w:rsidRPr="003A7D81" w:rsidRDefault="00325A84" w:rsidP="00A44DD7">
            <w:pPr>
              <w:jc w:val="both"/>
            </w:pPr>
          </w:p>
        </w:tc>
        <w:tc>
          <w:tcPr>
            <w:tcW w:w="1440" w:type="dxa"/>
          </w:tcPr>
          <w:p w:rsidR="00325A84" w:rsidRPr="00D35C55" w:rsidRDefault="00325A84" w:rsidP="00A44DD7">
            <w:pPr>
              <w:jc w:val="center"/>
            </w:pPr>
            <w:r w:rsidRPr="00D35C55">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vMerge/>
          </w:tcPr>
          <w:p w:rsidR="00325A84" w:rsidRPr="003A7D81" w:rsidRDefault="00325A84" w:rsidP="00A44DD7">
            <w:pPr>
              <w:jc w:val="both"/>
            </w:pPr>
          </w:p>
        </w:tc>
        <w:tc>
          <w:tcPr>
            <w:tcW w:w="1260" w:type="dxa"/>
            <w:vMerge/>
          </w:tcPr>
          <w:p w:rsidR="00325A84" w:rsidRPr="003A7D81" w:rsidRDefault="00325A84" w:rsidP="00A44DD7">
            <w:pPr>
              <w:jc w:val="both"/>
            </w:pPr>
          </w:p>
        </w:tc>
        <w:tc>
          <w:tcPr>
            <w:tcW w:w="1440" w:type="dxa"/>
          </w:tcPr>
          <w:p w:rsidR="00325A84" w:rsidRPr="00D35C55" w:rsidRDefault="00846BE5" w:rsidP="00A44DD7">
            <w:pPr>
              <w:jc w:val="center"/>
            </w:pPr>
            <w:r w:rsidRPr="00D35C55">
              <w:t>+ 98 945</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5. Precizēta finansiālā ietekme:</w:t>
            </w:r>
          </w:p>
        </w:tc>
        <w:tc>
          <w:tcPr>
            <w:tcW w:w="1260" w:type="dxa"/>
            <w:vMerge w:val="restart"/>
          </w:tcPr>
          <w:p w:rsidR="00325A84" w:rsidRPr="003A7D81" w:rsidRDefault="00325A84" w:rsidP="00A44DD7">
            <w:pPr>
              <w:jc w:val="center"/>
            </w:pPr>
            <w:r w:rsidRPr="003A7D81">
              <w:t>X</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5.1. valsts pamatbudžets</w:t>
            </w:r>
          </w:p>
        </w:tc>
        <w:tc>
          <w:tcPr>
            <w:tcW w:w="1260" w:type="dxa"/>
            <w:vMerge/>
          </w:tcPr>
          <w:p w:rsidR="00325A84" w:rsidRPr="003A7D81" w:rsidRDefault="00325A84" w:rsidP="00A44DD7">
            <w:pPr>
              <w:jc w:val="both"/>
            </w:pP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5.2. speciālais budžets</w:t>
            </w:r>
          </w:p>
        </w:tc>
        <w:tc>
          <w:tcPr>
            <w:tcW w:w="1260" w:type="dxa"/>
            <w:vMerge/>
          </w:tcPr>
          <w:p w:rsidR="00325A84" w:rsidRPr="003A7D81" w:rsidRDefault="00325A84" w:rsidP="00A44DD7">
            <w:pPr>
              <w:jc w:val="both"/>
            </w:pP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 5.3. pašvaldību budžets</w:t>
            </w:r>
          </w:p>
        </w:tc>
        <w:tc>
          <w:tcPr>
            <w:tcW w:w="1260" w:type="dxa"/>
            <w:vMerge/>
          </w:tcPr>
          <w:p w:rsidR="00325A84" w:rsidRPr="003A7D81" w:rsidRDefault="00325A84" w:rsidP="00A44DD7">
            <w:pPr>
              <w:jc w:val="both"/>
            </w:pP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c>
          <w:tcPr>
            <w:tcW w:w="1440" w:type="dxa"/>
          </w:tcPr>
          <w:p w:rsidR="00325A84" w:rsidRPr="003A7D81" w:rsidRDefault="00325A84" w:rsidP="00A44DD7">
            <w:pPr>
              <w:jc w:val="center"/>
            </w:pPr>
            <w:r w:rsidRPr="003A7D81">
              <w:t>0</w:t>
            </w:r>
          </w:p>
        </w:tc>
      </w:tr>
      <w:tr w:rsidR="00325A84" w:rsidRPr="003A7D81" w:rsidTr="00A44DD7">
        <w:tc>
          <w:tcPr>
            <w:tcW w:w="2268" w:type="dxa"/>
          </w:tcPr>
          <w:p w:rsidR="00325A84" w:rsidRPr="003A7D81" w:rsidRDefault="00325A84" w:rsidP="00A44DD7">
            <w:pPr>
              <w:jc w:val="both"/>
            </w:pPr>
            <w:r w:rsidRPr="003A7D81">
              <w:t>6. Detalizēts ieņēmumu un izdevu</w:t>
            </w:r>
            <w:r w:rsidRPr="003A7D81">
              <w:softHyphen/>
              <w:t xml:space="preserve">mu aprēķins (ja nepieciešams, detalizētu ieņēmumu un izdevumu aprēķinu var pievienot anotācijas </w:t>
            </w:r>
            <w:r w:rsidRPr="003A7D81">
              <w:lastRenderedPageBreak/>
              <w:t>pielikumā):</w:t>
            </w:r>
          </w:p>
        </w:tc>
        <w:tc>
          <w:tcPr>
            <w:tcW w:w="7020" w:type="dxa"/>
            <w:gridSpan w:val="5"/>
          </w:tcPr>
          <w:p w:rsidR="00325A84" w:rsidRPr="003A7D81" w:rsidRDefault="001D69BF" w:rsidP="00A44DD7">
            <w:pPr>
              <w:pStyle w:val="Paraststmeklis"/>
              <w:spacing w:before="0" w:beforeAutospacing="0" w:after="0" w:afterAutospacing="0"/>
              <w:jc w:val="both"/>
            </w:pPr>
            <w:r>
              <w:lastRenderedPageBreak/>
              <w:t>Nav nepieciešams</w:t>
            </w:r>
            <w:r w:rsidR="00325A84" w:rsidRPr="003A7D81">
              <w:t xml:space="preserve"> </w:t>
            </w:r>
          </w:p>
        </w:tc>
      </w:tr>
      <w:tr w:rsidR="00325A84" w:rsidRPr="003A7D81" w:rsidTr="00A44DD7">
        <w:tc>
          <w:tcPr>
            <w:tcW w:w="2268" w:type="dxa"/>
          </w:tcPr>
          <w:p w:rsidR="00325A84" w:rsidRPr="003A7D81" w:rsidRDefault="00325A84" w:rsidP="00A44DD7">
            <w:pPr>
              <w:jc w:val="both"/>
            </w:pPr>
            <w:r w:rsidRPr="003A7D81">
              <w:lastRenderedPageBreak/>
              <w:t>6.1. detalizēts ieņēmumu aprēķins</w:t>
            </w:r>
          </w:p>
        </w:tc>
        <w:tc>
          <w:tcPr>
            <w:tcW w:w="7020" w:type="dxa"/>
            <w:gridSpan w:val="5"/>
          </w:tcPr>
          <w:p w:rsidR="00325A84" w:rsidRPr="003A7D81" w:rsidRDefault="00325A84" w:rsidP="00A44DD7">
            <w:pPr>
              <w:jc w:val="both"/>
            </w:pPr>
            <w:r w:rsidRPr="003A7D81">
              <w:t>Projekts šo jomu neskar.</w:t>
            </w:r>
          </w:p>
        </w:tc>
      </w:tr>
      <w:tr w:rsidR="00325A84" w:rsidRPr="003A7D81" w:rsidTr="00A44DD7">
        <w:tc>
          <w:tcPr>
            <w:tcW w:w="2268" w:type="dxa"/>
          </w:tcPr>
          <w:p w:rsidR="00325A84" w:rsidRPr="003A7D81" w:rsidRDefault="00325A84" w:rsidP="00A44DD7">
            <w:pPr>
              <w:jc w:val="both"/>
            </w:pPr>
            <w:r w:rsidRPr="003A7D81">
              <w:t>6.2. detalizēts izdevumu aprēķins</w:t>
            </w:r>
          </w:p>
        </w:tc>
        <w:tc>
          <w:tcPr>
            <w:tcW w:w="7020" w:type="dxa"/>
            <w:gridSpan w:val="5"/>
          </w:tcPr>
          <w:p w:rsidR="00325A84" w:rsidRPr="003A7D81" w:rsidRDefault="00325A84" w:rsidP="00A44DD7">
            <w:pPr>
              <w:jc w:val="both"/>
            </w:pPr>
          </w:p>
        </w:tc>
      </w:tr>
      <w:tr w:rsidR="00325A84" w:rsidRPr="003A7D81" w:rsidTr="00A44DD7">
        <w:tc>
          <w:tcPr>
            <w:tcW w:w="2268" w:type="dxa"/>
          </w:tcPr>
          <w:p w:rsidR="00325A84" w:rsidRPr="003A7D81" w:rsidRDefault="00325A84" w:rsidP="00A44DD7">
            <w:pPr>
              <w:jc w:val="both"/>
            </w:pPr>
            <w:r w:rsidRPr="003A7D81">
              <w:t>7. Cita informācija</w:t>
            </w:r>
          </w:p>
        </w:tc>
        <w:tc>
          <w:tcPr>
            <w:tcW w:w="7020" w:type="dxa"/>
            <w:gridSpan w:val="5"/>
          </w:tcPr>
          <w:p w:rsidR="00325A84" w:rsidRPr="003A7D81" w:rsidRDefault="00325A84" w:rsidP="00A44DD7">
            <w:pPr>
              <w:pStyle w:val="Paraststmeklis"/>
              <w:spacing w:before="0" w:beforeAutospacing="0" w:after="0" w:afterAutospacing="0"/>
              <w:jc w:val="both"/>
            </w:pPr>
            <w:r w:rsidRPr="003A7D81">
              <w:t>Izdevum</w:t>
            </w:r>
            <w:r>
              <w:t>i tiek</w:t>
            </w:r>
            <w:r w:rsidRPr="003A7D81">
              <w:t xml:space="preserve"> se</w:t>
            </w:r>
            <w:r>
              <w:t>gti</w:t>
            </w:r>
            <w:r w:rsidRPr="003A7D81">
              <w:t xml:space="preserve"> no valsts budžeta programmas 02.00.00 „Līdzekļi neparedzētiem gadījumiem”. </w:t>
            </w:r>
          </w:p>
        </w:tc>
      </w:tr>
    </w:tbl>
    <w:p w:rsidR="00325A84" w:rsidRPr="003A7D81" w:rsidRDefault="00325A84" w:rsidP="00325A84">
      <w:pPr>
        <w:jc w:val="both"/>
        <w:rPr>
          <w:i/>
        </w:rPr>
      </w:pPr>
      <w:r w:rsidRPr="003A7D81">
        <w:rPr>
          <w:i/>
        </w:rPr>
        <w:t>Anotācijas IV, V, VI un VII sadaļa –</w:t>
      </w:r>
      <w:r w:rsidRPr="003A7D81">
        <w:t xml:space="preserve"> projekts šo jomu neskar.</w:t>
      </w:r>
    </w:p>
    <w:p w:rsidR="00D35C55" w:rsidRDefault="00D35C55" w:rsidP="00D35C55">
      <w:pPr>
        <w:jc w:val="both"/>
      </w:pPr>
    </w:p>
    <w:p w:rsidR="00D35C55" w:rsidRDefault="00D35C55" w:rsidP="00D35C55">
      <w:pPr>
        <w:jc w:val="both"/>
      </w:pPr>
    </w:p>
    <w:p w:rsidR="00D35C55" w:rsidRDefault="00D35C55" w:rsidP="00D35C55">
      <w:pPr>
        <w:jc w:val="both"/>
      </w:pPr>
    </w:p>
    <w:p w:rsidR="00D35C55" w:rsidRDefault="00D35C55" w:rsidP="00D35C55">
      <w:pPr>
        <w:jc w:val="both"/>
      </w:pPr>
    </w:p>
    <w:p w:rsidR="00D35C55" w:rsidRDefault="00D35C55" w:rsidP="00D35C55">
      <w:pPr>
        <w:jc w:val="both"/>
      </w:pPr>
    </w:p>
    <w:p w:rsidR="00D35C55" w:rsidRDefault="00D35C55" w:rsidP="00D35C55">
      <w:pPr>
        <w:jc w:val="both"/>
      </w:pPr>
    </w:p>
    <w:p w:rsidR="00D35C55" w:rsidRDefault="00D35C55" w:rsidP="00D35C55">
      <w:pPr>
        <w:jc w:val="both"/>
      </w:pPr>
    </w:p>
    <w:p w:rsidR="00325A84" w:rsidRPr="00FC5585" w:rsidRDefault="00325A84" w:rsidP="00FC5585">
      <w:pPr>
        <w:ind w:firstLine="720"/>
        <w:jc w:val="both"/>
        <w:rPr>
          <w:sz w:val="28"/>
          <w:szCs w:val="28"/>
        </w:rPr>
      </w:pPr>
      <w:r w:rsidRPr="00FC5585">
        <w:rPr>
          <w:sz w:val="28"/>
          <w:szCs w:val="28"/>
        </w:rPr>
        <w:t>Zemkopības ministrs</w:t>
      </w:r>
      <w:r w:rsidRPr="00FC5585">
        <w:rPr>
          <w:sz w:val="28"/>
          <w:szCs w:val="28"/>
        </w:rPr>
        <w:tab/>
      </w:r>
      <w:r w:rsidRPr="00FC5585">
        <w:rPr>
          <w:sz w:val="28"/>
          <w:szCs w:val="28"/>
        </w:rPr>
        <w:tab/>
      </w:r>
      <w:r w:rsidRPr="00FC5585">
        <w:rPr>
          <w:sz w:val="28"/>
          <w:szCs w:val="28"/>
        </w:rPr>
        <w:tab/>
      </w:r>
      <w:r w:rsidRPr="00FC5585">
        <w:rPr>
          <w:sz w:val="28"/>
          <w:szCs w:val="28"/>
        </w:rPr>
        <w:tab/>
      </w:r>
      <w:r w:rsidRPr="00FC5585">
        <w:rPr>
          <w:sz w:val="28"/>
          <w:szCs w:val="28"/>
        </w:rPr>
        <w:tab/>
      </w:r>
      <w:r w:rsidRPr="00FC5585">
        <w:rPr>
          <w:sz w:val="28"/>
          <w:szCs w:val="28"/>
        </w:rPr>
        <w:tab/>
        <w:t xml:space="preserve">J.Dūklavs </w:t>
      </w:r>
    </w:p>
    <w:p w:rsidR="00B638C0" w:rsidRDefault="00B638C0" w:rsidP="00325A84">
      <w:pPr>
        <w:pStyle w:val="naisf"/>
        <w:tabs>
          <w:tab w:val="left" w:pos="720"/>
        </w:tabs>
        <w:spacing w:before="0" w:after="0"/>
        <w:ind w:firstLine="0"/>
        <w:rPr>
          <w:sz w:val="20"/>
          <w:szCs w:val="20"/>
        </w:rPr>
      </w:pPr>
    </w:p>
    <w:p w:rsidR="00D35C55" w:rsidRDefault="00D35C55" w:rsidP="00325A84">
      <w:pPr>
        <w:pStyle w:val="naisf"/>
        <w:tabs>
          <w:tab w:val="left" w:pos="720"/>
        </w:tabs>
        <w:spacing w:before="0" w:after="0"/>
        <w:ind w:firstLine="0"/>
        <w:rPr>
          <w:sz w:val="20"/>
          <w:szCs w:val="20"/>
          <w:highlight w:val="yellow"/>
        </w:rPr>
      </w:pPr>
    </w:p>
    <w:p w:rsidR="00D35C55" w:rsidRDefault="00D35C55" w:rsidP="00325A84">
      <w:pPr>
        <w:pStyle w:val="naisf"/>
        <w:tabs>
          <w:tab w:val="left" w:pos="720"/>
        </w:tabs>
        <w:spacing w:before="0" w:after="0"/>
        <w:ind w:firstLine="0"/>
        <w:rPr>
          <w:sz w:val="20"/>
          <w:szCs w:val="20"/>
          <w:highlight w:val="yellow"/>
        </w:rPr>
      </w:pPr>
    </w:p>
    <w:p w:rsidR="00D35C55" w:rsidRDefault="00D35C5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pStyle w:val="naisf"/>
        <w:tabs>
          <w:tab w:val="left" w:pos="720"/>
        </w:tabs>
        <w:spacing w:before="0" w:after="0"/>
        <w:ind w:firstLine="0"/>
        <w:rPr>
          <w:sz w:val="20"/>
          <w:szCs w:val="20"/>
          <w:highlight w:val="yellow"/>
        </w:rPr>
      </w:pPr>
    </w:p>
    <w:p w:rsidR="00FC5585" w:rsidRDefault="00FC5585" w:rsidP="00325A84">
      <w:pPr>
        <w:rPr>
          <w:sz w:val="20"/>
          <w:szCs w:val="20"/>
        </w:rPr>
      </w:pPr>
      <w:r>
        <w:rPr>
          <w:sz w:val="20"/>
          <w:szCs w:val="20"/>
        </w:rPr>
        <w:t>24.11.2014. 12:35</w:t>
      </w:r>
    </w:p>
    <w:p w:rsidR="00FC5585" w:rsidRDefault="00FC5585" w:rsidP="00325A84">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1021</w:t>
      </w:r>
      <w:r>
        <w:rPr>
          <w:sz w:val="20"/>
          <w:szCs w:val="20"/>
        </w:rPr>
        <w:fldChar w:fldCharType="end"/>
      </w:r>
    </w:p>
    <w:p w:rsidR="00FC5585" w:rsidRDefault="00FC5585" w:rsidP="00325A84">
      <w:pPr>
        <w:rPr>
          <w:sz w:val="20"/>
          <w:szCs w:val="20"/>
        </w:rPr>
      </w:pPr>
      <w:bookmarkStart w:id="0" w:name="_GoBack"/>
      <w:bookmarkEnd w:id="0"/>
      <w:r>
        <w:rPr>
          <w:sz w:val="20"/>
          <w:szCs w:val="20"/>
        </w:rPr>
        <w:t>K.Kaika</w:t>
      </w:r>
    </w:p>
    <w:p w:rsidR="00325A84" w:rsidRPr="003A7D81" w:rsidRDefault="00325A84" w:rsidP="00325A84">
      <w:pPr>
        <w:rPr>
          <w:sz w:val="20"/>
          <w:szCs w:val="20"/>
        </w:rPr>
      </w:pPr>
      <w:r w:rsidRPr="003A7D81">
        <w:rPr>
          <w:sz w:val="20"/>
          <w:szCs w:val="20"/>
        </w:rPr>
        <w:t>67027</w:t>
      </w:r>
      <w:r w:rsidR="00AB49E5">
        <w:rPr>
          <w:sz w:val="20"/>
          <w:szCs w:val="20"/>
        </w:rPr>
        <w:t>637</w:t>
      </w:r>
      <w:r w:rsidRPr="003A7D81">
        <w:rPr>
          <w:sz w:val="20"/>
          <w:szCs w:val="20"/>
        </w:rPr>
        <w:t xml:space="preserve">, </w:t>
      </w:r>
      <w:r w:rsidR="00527AC8">
        <w:rPr>
          <w:sz w:val="20"/>
          <w:szCs w:val="20"/>
        </w:rPr>
        <w:t>Kristīne.K</w:t>
      </w:r>
      <w:r w:rsidR="001D69BF">
        <w:rPr>
          <w:sz w:val="20"/>
          <w:szCs w:val="20"/>
        </w:rPr>
        <w:t>aika</w:t>
      </w:r>
      <w:r w:rsidRPr="003A7D81">
        <w:rPr>
          <w:sz w:val="20"/>
          <w:szCs w:val="20"/>
        </w:rPr>
        <w:t>@zm.gov.lv</w:t>
      </w:r>
    </w:p>
    <w:p w:rsidR="001E7A0B" w:rsidRDefault="001E7A0B"/>
    <w:sectPr w:rsidR="001E7A0B" w:rsidSect="00FC558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C6" w:rsidRDefault="006C38C6" w:rsidP="00527AC8">
      <w:r>
        <w:separator/>
      </w:r>
    </w:p>
  </w:endnote>
  <w:endnote w:type="continuationSeparator" w:id="0">
    <w:p w:rsidR="006C38C6" w:rsidRDefault="006C38C6" w:rsidP="0052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Pr="00E21DB7" w:rsidRDefault="00AB49E5" w:rsidP="00A44DD7">
    <w:pPr>
      <w:jc w:val="both"/>
      <w:rPr>
        <w:b/>
        <w:bCs/>
        <w:sz w:val="20"/>
        <w:szCs w:val="20"/>
      </w:rPr>
    </w:pPr>
    <w:r>
      <w:rPr>
        <w:sz w:val="20"/>
        <w:szCs w:val="20"/>
      </w:rPr>
      <w:t>ZMAnot_2411</w:t>
    </w:r>
    <w:r w:rsidR="00EB7AAB">
      <w:rPr>
        <w:sz w:val="20"/>
        <w:szCs w:val="20"/>
      </w:rPr>
      <w:t>14</w:t>
    </w:r>
    <w:r w:rsidR="00EB7AAB" w:rsidRPr="006A7080">
      <w:rPr>
        <w:sz w:val="20"/>
        <w:szCs w:val="20"/>
      </w:rPr>
      <w:t>_</w:t>
    </w:r>
    <w:r w:rsidR="00EB7AAB" w:rsidRPr="00E21DB7">
      <w:rPr>
        <w:sz w:val="20"/>
        <w:szCs w:val="20"/>
      </w:rPr>
      <w:t>Minis</w:t>
    </w:r>
    <w:r w:rsidR="00EB7AAB">
      <w:rPr>
        <w:sz w:val="20"/>
        <w:szCs w:val="20"/>
      </w:rPr>
      <w:t>tru kabineta rīkojuma projekta „P</w:t>
    </w:r>
    <w:r w:rsidR="00EB7AAB" w:rsidRPr="00E21DB7">
      <w:rPr>
        <w:sz w:val="20"/>
        <w:szCs w:val="20"/>
      </w:rPr>
      <w:t xml:space="preserve">ar finanšu līdzekļu piešķiršanu no </w:t>
    </w:r>
    <w:r w:rsidR="00EB7AAB">
      <w:rPr>
        <w:sz w:val="20"/>
        <w:szCs w:val="20"/>
      </w:rPr>
      <w:t xml:space="preserve">valsts </w:t>
    </w:r>
    <w:r>
      <w:rPr>
        <w:sz w:val="20"/>
        <w:szCs w:val="20"/>
      </w:rPr>
      <w:t xml:space="preserve">pamatbudžeta </w:t>
    </w:r>
    <w:r w:rsidR="00EB7AAB" w:rsidRPr="00E21DB7">
      <w:rPr>
        <w:sz w:val="20"/>
        <w:szCs w:val="20"/>
      </w:rPr>
      <w:t>programmas „Līdzekļi neparedzētiem gadījumiem”</w:t>
    </w:r>
    <w:r w:rsidR="00EB7AAB">
      <w:rPr>
        <w:sz w:val="20"/>
        <w:szCs w:val="20"/>
      </w:rPr>
      <w:t>”</w:t>
    </w:r>
    <w:r w:rsidR="00EB7AAB" w:rsidRPr="00E21DB7">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Pr="00E21DB7" w:rsidRDefault="00EB7AAB" w:rsidP="00A44DD7">
    <w:pPr>
      <w:jc w:val="both"/>
      <w:rPr>
        <w:b/>
        <w:bCs/>
        <w:sz w:val="20"/>
        <w:szCs w:val="20"/>
      </w:rPr>
    </w:pPr>
    <w:bookmarkStart w:id="1" w:name="OLE_LINK1"/>
    <w:bookmarkStart w:id="2" w:name="OLE_LINK2"/>
    <w:r>
      <w:rPr>
        <w:sz w:val="20"/>
        <w:szCs w:val="20"/>
      </w:rPr>
      <w:t>ZMAnot_</w:t>
    </w:r>
    <w:r w:rsidR="00FC5585">
      <w:rPr>
        <w:sz w:val="20"/>
        <w:szCs w:val="20"/>
      </w:rPr>
      <w:t>241114</w:t>
    </w:r>
    <w:r w:rsidRPr="006A7080">
      <w:rPr>
        <w:sz w:val="20"/>
        <w:szCs w:val="20"/>
      </w:rPr>
      <w:t>_</w:t>
    </w:r>
    <w:r w:rsidRPr="00E21DB7">
      <w:rPr>
        <w:sz w:val="20"/>
        <w:szCs w:val="20"/>
      </w:rPr>
      <w:t>Minis</w:t>
    </w:r>
    <w:r>
      <w:rPr>
        <w:sz w:val="20"/>
        <w:szCs w:val="20"/>
      </w:rPr>
      <w:t>tru kabineta rīkojuma projekta „P</w:t>
    </w:r>
    <w:r w:rsidRPr="00E21DB7">
      <w:rPr>
        <w:sz w:val="20"/>
        <w:szCs w:val="20"/>
      </w:rPr>
      <w:t xml:space="preserve">ar finanšu līdzekļu piešķiršanu no </w:t>
    </w:r>
    <w:r>
      <w:rPr>
        <w:sz w:val="20"/>
        <w:szCs w:val="20"/>
      </w:rPr>
      <w:t xml:space="preserve">valsts </w:t>
    </w:r>
    <w:r w:rsidRPr="00E21DB7">
      <w:rPr>
        <w:sz w:val="20"/>
        <w:szCs w:val="20"/>
      </w:rPr>
      <w:t>pamatbudžeta apakšprogrammas „Līdzekļi neparedzētiem gadījumiem”</w:t>
    </w:r>
    <w:r>
      <w:rPr>
        <w:sz w:val="20"/>
        <w:szCs w:val="20"/>
      </w:rPr>
      <w:t>”</w:t>
    </w:r>
    <w:r w:rsidRPr="00E21DB7">
      <w:rPr>
        <w:sz w:val="20"/>
        <w:szCs w:val="20"/>
      </w:rPr>
      <w:t xml:space="preserve"> anotācija</w:t>
    </w:r>
  </w:p>
  <w:bookmarkEnd w:id="1"/>
  <w:bookmarkEnd w:i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C6" w:rsidRDefault="006C38C6" w:rsidP="00527AC8">
      <w:r>
        <w:separator/>
      </w:r>
    </w:p>
  </w:footnote>
  <w:footnote w:type="continuationSeparator" w:id="0">
    <w:p w:rsidR="006C38C6" w:rsidRDefault="006C38C6" w:rsidP="0052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Default="00FC689C" w:rsidP="00A44DD7">
    <w:pPr>
      <w:pStyle w:val="Galvene"/>
      <w:jc w:val="center"/>
    </w:pPr>
    <w:r>
      <w:rPr>
        <w:rStyle w:val="Lappusesnumurs"/>
      </w:rPr>
      <w:fldChar w:fldCharType="begin"/>
    </w:r>
    <w:r w:rsidR="00EB7AAB">
      <w:rPr>
        <w:rStyle w:val="Lappusesnumurs"/>
      </w:rPr>
      <w:instrText xml:space="preserve"> PAGE </w:instrText>
    </w:r>
    <w:r>
      <w:rPr>
        <w:rStyle w:val="Lappusesnumurs"/>
      </w:rPr>
      <w:fldChar w:fldCharType="separate"/>
    </w:r>
    <w:r w:rsidR="00FC5585">
      <w:rPr>
        <w:rStyle w:val="Lappusesnumurs"/>
        <w:noProof/>
      </w:rPr>
      <w:t>5</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0A0"/>
    <w:multiLevelType w:val="hybridMultilevel"/>
    <w:tmpl w:val="0740640A"/>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nsid w:val="0A906D98"/>
    <w:multiLevelType w:val="hybridMultilevel"/>
    <w:tmpl w:val="71EE4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43415FA9"/>
    <w:multiLevelType w:val="multilevel"/>
    <w:tmpl w:val="A1F4AB2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Virsraksts5"/>
      <w:suff w:val="space"/>
      <w:lvlText w:val="%5."/>
      <w:lvlJc w:val="left"/>
      <w:pPr>
        <w:ind w:left="0" w:firstLine="0"/>
      </w:pPr>
      <w:rPr>
        <w:rFonts w:cs="Times New Roman" w:hint="default"/>
      </w:rPr>
    </w:lvl>
    <w:lvl w:ilvl="5">
      <w:start w:val="1"/>
      <w:numFmt w:val="decimal"/>
      <w:pStyle w:val="Sarakstarindkopa1"/>
      <w:suff w:val="space"/>
      <w:lvlText w:val="%5.%6."/>
      <w:lvlJc w:val="left"/>
      <w:pPr>
        <w:ind w:left="2127" w:firstLine="0"/>
      </w:pPr>
      <w:rPr>
        <w:rFonts w:cs="Times New Roman" w:hint="default"/>
        <w:b w:val="0"/>
        <w:i w:val="0"/>
      </w:rPr>
    </w:lvl>
    <w:lvl w:ilvl="6">
      <w:start w:val="1"/>
      <w:numFmt w:val="decimal"/>
      <w:pStyle w:val="LP2"/>
      <w:suff w:val="space"/>
      <w:lvlText w:val="%5.%6.%7."/>
      <w:lvlJc w:val="left"/>
      <w:pPr>
        <w:ind w:left="850" w:firstLine="0"/>
      </w:pPr>
      <w:rPr>
        <w:rFonts w:cs="Times New Roman" w:hint="default"/>
        <w:b w:val="0"/>
        <w:i w:val="0"/>
      </w:rPr>
    </w:lvl>
    <w:lvl w:ilvl="7">
      <w:start w:val="1"/>
      <w:numFmt w:val="decimal"/>
      <w:lvlText w:val="%5.%6.%7.%8."/>
      <w:lvlJc w:val="left"/>
      <w:pPr>
        <w:tabs>
          <w:tab w:val="num" w:pos="1134"/>
        </w:tabs>
        <w:ind w:left="284" w:firstLine="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F36162E"/>
    <w:multiLevelType w:val="hybridMultilevel"/>
    <w:tmpl w:val="3A7648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A84"/>
    <w:rsid w:val="000273E0"/>
    <w:rsid w:val="000344F5"/>
    <w:rsid w:val="00041F5D"/>
    <w:rsid w:val="00050D84"/>
    <w:rsid w:val="00067171"/>
    <w:rsid w:val="00081ABB"/>
    <w:rsid w:val="00085CEC"/>
    <w:rsid w:val="00142A76"/>
    <w:rsid w:val="001D69BF"/>
    <w:rsid w:val="001E7A0B"/>
    <w:rsid w:val="002B75E2"/>
    <w:rsid w:val="002D02BF"/>
    <w:rsid w:val="0032021F"/>
    <w:rsid w:val="00325A84"/>
    <w:rsid w:val="003536AF"/>
    <w:rsid w:val="00372A07"/>
    <w:rsid w:val="003831CB"/>
    <w:rsid w:val="003B1CF7"/>
    <w:rsid w:val="003E6AB5"/>
    <w:rsid w:val="004276B7"/>
    <w:rsid w:val="00437768"/>
    <w:rsid w:val="00491003"/>
    <w:rsid w:val="004D0CEB"/>
    <w:rsid w:val="005232EC"/>
    <w:rsid w:val="00527AC8"/>
    <w:rsid w:val="005B5186"/>
    <w:rsid w:val="006C38C6"/>
    <w:rsid w:val="007B40C4"/>
    <w:rsid w:val="00816D5F"/>
    <w:rsid w:val="00841005"/>
    <w:rsid w:val="00846BE5"/>
    <w:rsid w:val="008D6CCA"/>
    <w:rsid w:val="009248BB"/>
    <w:rsid w:val="009612E1"/>
    <w:rsid w:val="00980CEA"/>
    <w:rsid w:val="00A02662"/>
    <w:rsid w:val="00A40C7A"/>
    <w:rsid w:val="00A44DD7"/>
    <w:rsid w:val="00A4588F"/>
    <w:rsid w:val="00A503EE"/>
    <w:rsid w:val="00A62E1E"/>
    <w:rsid w:val="00AB49E5"/>
    <w:rsid w:val="00AF3EDC"/>
    <w:rsid w:val="00B46288"/>
    <w:rsid w:val="00B55CE7"/>
    <w:rsid w:val="00B638C0"/>
    <w:rsid w:val="00BA25C2"/>
    <w:rsid w:val="00BF0BEC"/>
    <w:rsid w:val="00C65F87"/>
    <w:rsid w:val="00C86EDF"/>
    <w:rsid w:val="00CC7EF3"/>
    <w:rsid w:val="00D2372F"/>
    <w:rsid w:val="00D2757A"/>
    <w:rsid w:val="00D35C55"/>
    <w:rsid w:val="00D632BB"/>
    <w:rsid w:val="00D8382B"/>
    <w:rsid w:val="00D90BE4"/>
    <w:rsid w:val="00DA5659"/>
    <w:rsid w:val="00E47975"/>
    <w:rsid w:val="00E8233E"/>
    <w:rsid w:val="00EB7AAB"/>
    <w:rsid w:val="00EC1E0A"/>
    <w:rsid w:val="00EE42B0"/>
    <w:rsid w:val="00F25471"/>
    <w:rsid w:val="00FC5585"/>
    <w:rsid w:val="00FC689C"/>
    <w:rsid w:val="00FD7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4FB26-97EC-4998-A839-837CAF70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5A84"/>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iPriority w:val="9"/>
    <w:semiHidden/>
    <w:unhideWhenUsed/>
    <w:qFormat/>
    <w:rsid w:val="004276B7"/>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qFormat/>
    <w:rsid w:val="00325A84"/>
    <w:pPr>
      <w:keepNext/>
      <w:keepLines/>
      <w:widowControl w:val="0"/>
      <w:numPr>
        <w:ilvl w:val="4"/>
        <w:numId w:val="1"/>
      </w:numPr>
      <w:spacing w:before="200"/>
      <w:jc w:val="both"/>
      <w:outlineLvl w:val="4"/>
    </w:pPr>
    <w:rPr>
      <w:rFonts w:ascii="Calibri" w:eastAsia="Calibri" w:hAnsi="Calibri" w:cs="Arial Unicode MS"/>
      <w:b/>
      <w:lang w:eastAsia="en-US"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325A84"/>
    <w:rPr>
      <w:rFonts w:ascii="Calibri" w:eastAsia="Calibri" w:hAnsi="Calibri" w:cs="Arial Unicode MS"/>
      <w:b/>
      <w:sz w:val="24"/>
      <w:szCs w:val="24"/>
      <w:lang w:bidi="lo-LA"/>
    </w:rPr>
  </w:style>
  <w:style w:type="paragraph" w:styleId="Galvene">
    <w:name w:val="header"/>
    <w:basedOn w:val="Parasts"/>
    <w:link w:val="GalveneRakstz"/>
    <w:rsid w:val="00325A84"/>
    <w:pPr>
      <w:tabs>
        <w:tab w:val="center" w:pos="4153"/>
        <w:tab w:val="right" w:pos="8306"/>
      </w:tabs>
    </w:pPr>
  </w:style>
  <w:style w:type="character" w:customStyle="1" w:styleId="GalveneRakstz">
    <w:name w:val="Galvene Rakstz."/>
    <w:basedOn w:val="Noklusjumarindkopasfonts"/>
    <w:link w:val="Galvene"/>
    <w:rsid w:val="00325A84"/>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325A84"/>
    <w:pPr>
      <w:tabs>
        <w:tab w:val="center" w:pos="4153"/>
        <w:tab w:val="right" w:pos="8306"/>
      </w:tabs>
    </w:pPr>
  </w:style>
  <w:style w:type="character" w:customStyle="1" w:styleId="KjeneRakstz">
    <w:name w:val="Kājene Rakstz."/>
    <w:basedOn w:val="Noklusjumarindkopasfonts"/>
    <w:link w:val="Kjene"/>
    <w:uiPriority w:val="99"/>
    <w:rsid w:val="00325A84"/>
    <w:rPr>
      <w:rFonts w:ascii="Times New Roman" w:eastAsia="Times New Roman" w:hAnsi="Times New Roman" w:cs="Times New Roman"/>
      <w:sz w:val="24"/>
      <w:szCs w:val="24"/>
    </w:rPr>
  </w:style>
  <w:style w:type="character" w:styleId="Lappusesnumurs">
    <w:name w:val="page number"/>
    <w:basedOn w:val="Noklusjumarindkopasfonts"/>
    <w:rsid w:val="00325A84"/>
  </w:style>
  <w:style w:type="paragraph" w:customStyle="1" w:styleId="naisf">
    <w:name w:val="naisf"/>
    <w:basedOn w:val="Parasts"/>
    <w:rsid w:val="00325A84"/>
    <w:pPr>
      <w:spacing w:before="75" w:after="75"/>
      <w:ind w:firstLine="375"/>
      <w:jc w:val="both"/>
    </w:pPr>
  </w:style>
  <w:style w:type="paragraph" w:styleId="Paraststmeklis">
    <w:name w:val="Normal (Web)"/>
    <w:basedOn w:val="Parasts"/>
    <w:rsid w:val="00325A84"/>
    <w:pPr>
      <w:spacing w:before="100" w:beforeAutospacing="1" w:after="100" w:afterAutospacing="1"/>
    </w:pPr>
  </w:style>
  <w:style w:type="paragraph" w:customStyle="1" w:styleId="Sarakstarindkopa1">
    <w:name w:val="Saraksta rindkopa1"/>
    <w:basedOn w:val="Parasts"/>
    <w:link w:val="SarakstarindkopaRakstz"/>
    <w:qFormat/>
    <w:rsid w:val="00325A84"/>
    <w:pPr>
      <w:widowControl w:val="0"/>
      <w:numPr>
        <w:ilvl w:val="5"/>
        <w:numId w:val="1"/>
      </w:numPr>
      <w:contextualSpacing/>
    </w:pPr>
    <w:rPr>
      <w:rFonts w:eastAsia="Calibri"/>
      <w:lang w:eastAsia="en-US"/>
    </w:rPr>
  </w:style>
  <w:style w:type="paragraph" w:customStyle="1" w:styleId="LP2">
    <w:name w:val="LP2"/>
    <w:basedOn w:val="Sarakstarindkopa1"/>
    <w:rsid w:val="00325A84"/>
    <w:pPr>
      <w:numPr>
        <w:ilvl w:val="6"/>
      </w:numPr>
      <w:tabs>
        <w:tab w:val="num" w:pos="360"/>
      </w:tabs>
    </w:pPr>
  </w:style>
  <w:style w:type="character" w:customStyle="1" w:styleId="SarakstarindkopaRakstz">
    <w:name w:val="Saraksta rindkopa Rakstz."/>
    <w:link w:val="Sarakstarindkopa1"/>
    <w:locked/>
    <w:rsid w:val="00325A84"/>
    <w:rPr>
      <w:rFonts w:ascii="Times New Roman" w:eastAsia="Calibri" w:hAnsi="Times New Roman" w:cs="Times New Roman"/>
      <w:sz w:val="24"/>
      <w:szCs w:val="24"/>
    </w:rPr>
  </w:style>
  <w:style w:type="character" w:customStyle="1" w:styleId="Virsraksts4Rakstz">
    <w:name w:val="Virsraksts 4 Rakstz."/>
    <w:basedOn w:val="Noklusjumarindkopasfonts"/>
    <w:link w:val="Virsraksts4"/>
    <w:uiPriority w:val="9"/>
    <w:semiHidden/>
    <w:rsid w:val="004276B7"/>
    <w:rPr>
      <w:rFonts w:asciiTheme="majorHAnsi" w:eastAsiaTheme="majorEastAsia" w:hAnsiTheme="majorHAnsi" w:cstheme="majorBidi"/>
      <w:b/>
      <w:bCs/>
      <w:i/>
      <w:iCs/>
      <w:color w:val="4F81BD" w:themeColor="accent1"/>
      <w:sz w:val="24"/>
      <w:szCs w:val="24"/>
      <w:lang w:eastAsia="lv-LV"/>
    </w:rPr>
  </w:style>
  <w:style w:type="paragraph" w:styleId="Balonteksts">
    <w:name w:val="Balloon Text"/>
    <w:basedOn w:val="Parasts"/>
    <w:link w:val="BalontekstsRakstz"/>
    <w:uiPriority w:val="99"/>
    <w:semiHidden/>
    <w:unhideWhenUsed/>
    <w:rsid w:val="00CC7EF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EF3"/>
    <w:rPr>
      <w:rFonts w:ascii="Tahoma" w:eastAsia="Times New Roman" w:hAnsi="Tahoma" w:cs="Tahoma"/>
      <w:sz w:val="16"/>
      <w:szCs w:val="16"/>
      <w:lang w:eastAsia="lv-LV"/>
    </w:rPr>
  </w:style>
  <w:style w:type="paragraph" w:styleId="Sarakstarindkopa">
    <w:name w:val="List Paragraph"/>
    <w:basedOn w:val="Parasts"/>
    <w:uiPriority w:val="34"/>
    <w:qFormat/>
    <w:rsid w:val="00BF0BEC"/>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D61F6-080C-4F7B-8E51-E10C6151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1046</Words>
  <Characters>6727</Characters>
  <Application>Microsoft Office Word</Application>
  <DocSecurity>0</DocSecurity>
  <Lines>420</Lines>
  <Paragraphs>215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5</cp:revision>
  <cp:lastPrinted>2014-11-24T08:09:00Z</cp:lastPrinted>
  <dcterms:created xsi:type="dcterms:W3CDTF">2014-11-24T08:25:00Z</dcterms:created>
  <dcterms:modified xsi:type="dcterms:W3CDTF">2014-11-24T10:35:00Z</dcterms:modified>
</cp:coreProperties>
</file>