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84" w:rsidRPr="00BE6D95" w:rsidRDefault="00325A84" w:rsidP="00325A84">
      <w:pPr>
        <w:jc w:val="center"/>
        <w:rPr>
          <w:b/>
          <w:bCs/>
          <w:sz w:val="28"/>
          <w:szCs w:val="28"/>
        </w:rPr>
      </w:pPr>
      <w:r w:rsidRPr="00BE6D95">
        <w:rPr>
          <w:b/>
          <w:sz w:val="28"/>
          <w:szCs w:val="28"/>
        </w:rPr>
        <w:t>Ministru kabineta rīkojuma projekta „Par finanšu līdzekļu piešķiršanu no valsts budžeta programmas „Līdzekļi neparedzētiem gadījumiem””</w:t>
      </w:r>
    </w:p>
    <w:p w:rsidR="00325A84" w:rsidRPr="00BE6D95" w:rsidRDefault="00325A84" w:rsidP="00325A84">
      <w:pPr>
        <w:jc w:val="center"/>
        <w:rPr>
          <w:b/>
          <w:bCs/>
          <w:sz w:val="28"/>
          <w:szCs w:val="28"/>
        </w:rPr>
      </w:pPr>
      <w:r w:rsidRPr="00BE6D95">
        <w:rPr>
          <w:b/>
          <w:bCs/>
          <w:sz w:val="28"/>
          <w:szCs w:val="28"/>
        </w:rPr>
        <w:t xml:space="preserve">sākotnējās ietekmes novērtējuma </w:t>
      </w:r>
      <w:smartTag w:uri="urn:schemas-microsoft-com:office:smarttags" w:element="phone">
        <w:smartTagPr>
          <w:attr w:name="id" w:val="-1"/>
          <w:attr w:name="baseform" w:val="ziņojums"/>
          <w:attr w:name="text" w:val="ziņojums"/>
        </w:smartTagPr>
        <w:r w:rsidRPr="00BE6D95">
          <w:rPr>
            <w:b/>
            <w:bCs/>
            <w:sz w:val="28"/>
            <w:szCs w:val="28"/>
          </w:rPr>
          <w:t>ziņojums</w:t>
        </w:r>
      </w:smartTag>
      <w:r w:rsidRPr="00BE6D95">
        <w:rPr>
          <w:b/>
          <w:bCs/>
          <w:sz w:val="28"/>
          <w:szCs w:val="28"/>
        </w:rPr>
        <w:t xml:space="preserve"> (anotācija)</w:t>
      </w:r>
    </w:p>
    <w:p w:rsidR="00BE6D95" w:rsidRPr="003A7D81" w:rsidRDefault="00BE6D95" w:rsidP="00325A8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5219"/>
      </w:tblGrid>
      <w:tr w:rsidR="00325A84" w:rsidRPr="003A7D81" w:rsidTr="00A44DD7">
        <w:tc>
          <w:tcPr>
            <w:tcW w:w="9287" w:type="dxa"/>
            <w:gridSpan w:val="3"/>
          </w:tcPr>
          <w:p w:rsidR="00325A84" w:rsidRPr="003A7D81" w:rsidRDefault="00325A84" w:rsidP="00A44DD7">
            <w:pPr>
              <w:jc w:val="center"/>
            </w:pPr>
            <w:r w:rsidRPr="003A7D81">
              <w:rPr>
                <w:b/>
                <w:bCs/>
              </w:rPr>
              <w:t>I. Tiesību akta projekta izstrādes nepieciešamība</w:t>
            </w:r>
          </w:p>
        </w:tc>
      </w:tr>
      <w:tr w:rsidR="00325A84" w:rsidRPr="003A7D81" w:rsidTr="00D90BE4">
        <w:trPr>
          <w:trHeight w:val="2145"/>
        </w:trPr>
        <w:tc>
          <w:tcPr>
            <w:tcW w:w="648" w:type="dxa"/>
          </w:tcPr>
          <w:p w:rsidR="00325A84" w:rsidRPr="003A7D81" w:rsidRDefault="00325A84" w:rsidP="00A44DD7">
            <w:pPr>
              <w:jc w:val="both"/>
            </w:pPr>
            <w:r w:rsidRPr="003A7D81">
              <w:t>1.</w:t>
            </w:r>
          </w:p>
        </w:tc>
        <w:tc>
          <w:tcPr>
            <w:tcW w:w="3420" w:type="dxa"/>
          </w:tcPr>
          <w:p w:rsidR="00325A84" w:rsidRPr="003A7D81" w:rsidRDefault="00325A84" w:rsidP="00A44DD7">
            <w:pPr>
              <w:jc w:val="both"/>
            </w:pPr>
            <w:r w:rsidRPr="003A7D81">
              <w:t> Pamatojums</w:t>
            </w:r>
          </w:p>
        </w:tc>
        <w:tc>
          <w:tcPr>
            <w:tcW w:w="5219" w:type="dxa"/>
          </w:tcPr>
          <w:p w:rsidR="00325A84" w:rsidRDefault="00325A84" w:rsidP="004276B7">
            <w:pPr>
              <w:jc w:val="both"/>
            </w:pPr>
            <w:r w:rsidRPr="004276B7">
              <w:t>Ministru kabineta rīkojuma projekts „Par finanšu līdzekļu piešķiršanu no valsts budžeta programmas „Līdzekļi neparedzētiem gadījumiem”” (turpmāk – rīkojuma projekts) izstrādāts saskaņā ar Ministru kabineta 2009.gada 22.decembra noteikumu Nr.1644 „Kārtība, kādā pieprasa un izlieto budžeta programmas "Līdzekļi neparedzētiem gadījumiem" līdzekļus” 3.punktu</w:t>
            </w:r>
            <w:r w:rsidR="00081ABB">
              <w:t>.</w:t>
            </w:r>
            <w:r w:rsidRPr="004276B7">
              <w:t xml:space="preserve"> </w:t>
            </w:r>
          </w:p>
          <w:p w:rsidR="003E6AB5" w:rsidRPr="00EB7AAB" w:rsidRDefault="003E6AB5" w:rsidP="000E4C31">
            <w:pPr>
              <w:jc w:val="both"/>
              <w:rPr>
                <w:highlight w:val="green"/>
              </w:rPr>
            </w:pPr>
            <w:r w:rsidRPr="007642A2">
              <w:t>Jaun</w:t>
            </w:r>
            <w:r w:rsidR="005925BF" w:rsidRPr="007642A2">
              <w:t>i</w:t>
            </w:r>
            <w:r w:rsidRPr="007642A2">
              <w:t xml:space="preserve"> bakteriālo iedegu perēkļ</w:t>
            </w:r>
            <w:r w:rsidR="005925BF" w:rsidRPr="007642A2">
              <w:t>i</w:t>
            </w:r>
            <w:r w:rsidRPr="007642A2">
              <w:t xml:space="preserve"> </w:t>
            </w:r>
            <w:r w:rsidR="005925BF" w:rsidRPr="007642A2">
              <w:t xml:space="preserve">2013.gadā </w:t>
            </w:r>
            <w:r w:rsidRPr="007642A2">
              <w:t>atklā</w:t>
            </w:r>
            <w:r w:rsidR="005925BF" w:rsidRPr="007642A2">
              <w:t>ti</w:t>
            </w:r>
            <w:r w:rsidRPr="007642A2">
              <w:t xml:space="preserve"> un </w:t>
            </w:r>
            <w:r w:rsidR="005925BF" w:rsidRPr="007642A2">
              <w:t xml:space="preserve">nepieciešamība pēc līdzekļiem to </w:t>
            </w:r>
            <w:r w:rsidR="000E4C31" w:rsidRPr="007642A2">
              <w:t>papildus pārbaudēm</w:t>
            </w:r>
            <w:r w:rsidR="005925BF" w:rsidRPr="007642A2">
              <w:t xml:space="preserve"> </w:t>
            </w:r>
            <w:r w:rsidRPr="007642A2">
              <w:t>rad</w:t>
            </w:r>
            <w:r w:rsidR="005925BF" w:rsidRPr="007642A2">
              <w:t>ā</w:t>
            </w:r>
            <w:r w:rsidRPr="007642A2">
              <w:t xml:space="preserve">s pēc termiņa, kad </w:t>
            </w:r>
            <w:r w:rsidR="005925BF" w:rsidRPr="007642A2">
              <w:t xml:space="preserve">2014.gada budžeta projekts jau </w:t>
            </w:r>
            <w:r w:rsidRPr="007642A2">
              <w:t>tika plānots un iesni</w:t>
            </w:r>
            <w:r w:rsidR="00EB7AAB" w:rsidRPr="007642A2">
              <w:t>egts tālākai izvērtēšanai</w:t>
            </w:r>
            <w:r w:rsidRPr="007642A2">
              <w:t>.</w:t>
            </w:r>
            <w:r w:rsidR="00EB7AAB" w:rsidRPr="007642A2">
              <w:t xml:space="preserve"> Laikus neparedzot līdzekļus un neveicot papildu pārbaudes bakteriālo iedegu izplatības noteikšanai, nav iespējams paredzēt slimības iespējamo izplatību. </w:t>
            </w:r>
          </w:p>
        </w:tc>
      </w:tr>
      <w:tr w:rsidR="00325A84" w:rsidRPr="003A7D81" w:rsidTr="00A44DD7">
        <w:tc>
          <w:tcPr>
            <w:tcW w:w="648" w:type="dxa"/>
          </w:tcPr>
          <w:p w:rsidR="00325A84" w:rsidRPr="003A7D81" w:rsidRDefault="00325A84" w:rsidP="00A44DD7">
            <w:pPr>
              <w:jc w:val="both"/>
            </w:pPr>
            <w:r w:rsidRPr="003A7D81">
              <w:t>2.</w:t>
            </w:r>
          </w:p>
        </w:tc>
        <w:tc>
          <w:tcPr>
            <w:tcW w:w="3420" w:type="dxa"/>
          </w:tcPr>
          <w:p w:rsidR="00325A84" w:rsidRPr="003A7D81" w:rsidRDefault="00325A84" w:rsidP="00A44DD7">
            <w:pPr>
              <w:jc w:val="both"/>
            </w:pPr>
            <w:r w:rsidRPr="003A7D81">
              <w:rPr>
                <w:iCs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219" w:type="dxa"/>
          </w:tcPr>
          <w:p w:rsidR="004276B7" w:rsidRPr="004276B7" w:rsidRDefault="004276B7" w:rsidP="00B638C0">
            <w:pPr>
              <w:pStyle w:val="Virsraksts4"/>
              <w:ind w:firstLine="752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4276B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Augu karantīnas organisms bakteriālās iedegas </w:t>
            </w:r>
            <w:r w:rsidRPr="00B638C0">
              <w:rPr>
                <w:rFonts w:ascii="Times New Roman" w:hAnsi="Times New Roman" w:cs="Times New Roman"/>
                <w:b w:val="0"/>
                <w:color w:val="auto"/>
              </w:rPr>
              <w:t>Erwinia amylovora</w:t>
            </w:r>
            <w:r w:rsidRPr="004276B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(turpmāk – bakteriālās iedegas) ir ļoti bīstama augļkoku slimība. Šī slimība var izraisīt postījumus līdz pat 80 % ap</w:t>
            </w:r>
            <w:r w:rsidR="00CC7EF3">
              <w:rPr>
                <w:rFonts w:ascii="Times New Roman" w:hAnsi="Times New Roman" w:cs="Times New Roman"/>
                <w:b w:val="0"/>
                <w:i w:val="0"/>
                <w:color w:val="auto"/>
              </w:rPr>
              <w:t>jomā</w:t>
            </w:r>
            <w:r w:rsidRPr="004276B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no augļu dārza stādījumiem. Inficētais augs agri vai vēlu aiziet bojā. Baktērija piemērotos apstākļos ātri izplatās un ir grūti ierobežojama.</w:t>
            </w:r>
          </w:p>
          <w:p w:rsidR="004276B7" w:rsidRPr="006271B7" w:rsidRDefault="00CC7EF3" w:rsidP="00CC7EF3">
            <w:pPr>
              <w:ind w:firstLine="720"/>
              <w:jc w:val="both"/>
            </w:pPr>
            <w:r>
              <w:t>S</w:t>
            </w:r>
            <w:r w:rsidRPr="006271B7">
              <w:t>askaņā ar Augu aizsardzības likuma 12.panta otro daļu un 18.panta otrās daļas 3.punktu ir jāiznīcina</w:t>
            </w:r>
            <w:r>
              <w:t xml:space="preserve"> gan</w:t>
            </w:r>
            <w:r w:rsidRPr="006271B7">
              <w:t xml:space="preserve"> </w:t>
            </w:r>
            <w:r>
              <w:t>b</w:t>
            </w:r>
            <w:r w:rsidRPr="006271B7">
              <w:t>akteriālās iedegas</w:t>
            </w:r>
            <w:r>
              <w:t>, kas</w:t>
            </w:r>
            <w:r w:rsidRPr="006271B7">
              <w:t xml:space="preserve"> </w:t>
            </w:r>
            <w:r>
              <w:t>ir</w:t>
            </w:r>
            <w:r w:rsidRPr="006271B7">
              <w:t xml:space="preserve"> augu karantīnas organisms, </w:t>
            </w:r>
            <w:r>
              <w:t xml:space="preserve">gan </w:t>
            </w:r>
            <w:r w:rsidRPr="006271B7">
              <w:t>ar šo slimību iespējami inficētie augi.</w:t>
            </w:r>
          </w:p>
          <w:p w:rsidR="003E6AB5" w:rsidRDefault="009248BB" w:rsidP="003E6AB5">
            <w:pPr>
              <w:ind w:firstLine="720"/>
              <w:jc w:val="both"/>
            </w:pPr>
            <w:r w:rsidRPr="006271B7">
              <w:t>Latvijai ir piešķirts aizsargājamās zonas statuss attiecībā uz bakteriālajām iedegām. Augus no aizsargājamās zonas bez ierobežojumiem var izplatīt Eiropas Savienībā</w:t>
            </w:r>
            <w:r>
              <w:t xml:space="preserve">, </w:t>
            </w:r>
            <w:r w:rsidRPr="007642A2">
              <w:t>tādējādi veicinot Latvijas uzņēmējdarbības (stādaudzēšanas, augļkoku komercdārzu ierīkošan</w:t>
            </w:r>
            <w:r w:rsidR="005925BF" w:rsidRPr="007642A2">
              <w:t>as</w:t>
            </w:r>
            <w:r w:rsidRPr="007642A2">
              <w:t>) attīstību,</w:t>
            </w:r>
            <w:r w:rsidRPr="006271B7">
              <w:t xml:space="preserve"> bet augu ievešanai aizsargājamā zonā ir noteiktas stingrākas prasības, kā arī tiek veiktas regulāras pārbaudes un pasākumi, lai šis organisms neieviestos šajā teritorijā.</w:t>
            </w:r>
            <w:r>
              <w:t xml:space="preserve"> </w:t>
            </w:r>
            <w:r w:rsidRPr="007642A2">
              <w:t>Laikus nekonstatē</w:t>
            </w:r>
            <w:r w:rsidR="005925BF" w:rsidRPr="007642A2">
              <w:t>ta</w:t>
            </w:r>
            <w:r w:rsidRPr="007642A2">
              <w:t xml:space="preserve"> bakteriāl</w:t>
            </w:r>
            <w:r w:rsidR="005925BF" w:rsidRPr="007642A2">
              <w:t>a</w:t>
            </w:r>
            <w:r w:rsidRPr="007642A2">
              <w:t xml:space="preserve"> iedeg</w:t>
            </w:r>
            <w:r w:rsidR="005925BF" w:rsidRPr="007642A2">
              <w:t>a</w:t>
            </w:r>
            <w:r w:rsidRPr="007642A2">
              <w:t xml:space="preserve"> var izplatīties, rad</w:t>
            </w:r>
            <w:r w:rsidR="005925BF" w:rsidRPr="007642A2">
              <w:t>o</w:t>
            </w:r>
            <w:r w:rsidRPr="007642A2">
              <w:t>t zaudējumus gan uzņēmējiem, gan sabiedrībai kopumā, jo vienīgais fitosanitārais pasākums ir inficēto koku un to tuvumā augošo saimniekaugu iznīcināšana sadedzinot.</w:t>
            </w:r>
          </w:p>
          <w:p w:rsidR="00085CEC" w:rsidRDefault="004276B7" w:rsidP="004276B7">
            <w:pPr>
              <w:ind w:firstLine="720"/>
              <w:jc w:val="both"/>
              <w:rPr>
                <w:bCs/>
              </w:rPr>
            </w:pPr>
            <w:r w:rsidRPr="00BD767D">
              <w:rPr>
                <w:bCs/>
                <w:color w:val="000000"/>
              </w:rPr>
              <w:t xml:space="preserve">Inficēties ar bakteriālajām iedegām var </w:t>
            </w:r>
            <w:r w:rsidRPr="00BD767D">
              <w:t>ābeles (</w:t>
            </w:r>
            <w:r w:rsidRPr="00BD767D">
              <w:rPr>
                <w:i/>
              </w:rPr>
              <w:t>Malus</w:t>
            </w:r>
            <w:r w:rsidRPr="00BD767D">
              <w:t>), bumbieres (</w:t>
            </w:r>
            <w:r w:rsidRPr="00BD767D">
              <w:rPr>
                <w:i/>
              </w:rPr>
              <w:t>Pyrus</w:t>
            </w:r>
            <w:r w:rsidRPr="00BD767D">
              <w:t xml:space="preserve">), </w:t>
            </w:r>
            <w:r w:rsidR="00085CEC" w:rsidRPr="00BD767D">
              <w:t>krūmcidonijas (</w:t>
            </w:r>
            <w:r w:rsidR="00085CEC" w:rsidRPr="00BD767D">
              <w:rPr>
                <w:i/>
              </w:rPr>
              <w:t>Chaenomeles</w:t>
            </w:r>
            <w:r w:rsidR="00085CEC" w:rsidRPr="00B638C0">
              <w:t xml:space="preserve">), kas ir </w:t>
            </w:r>
            <w:r w:rsidR="00085CEC" w:rsidRPr="00B638C0">
              <w:rPr>
                <w:bCs/>
              </w:rPr>
              <w:t xml:space="preserve">Latvijas augļkopībai </w:t>
            </w:r>
            <w:r w:rsidR="00085CEC" w:rsidRPr="00B638C0">
              <w:rPr>
                <w:bCs/>
              </w:rPr>
              <w:lastRenderedPageBreak/>
              <w:t>nozīmīgas augu sugas,</w:t>
            </w:r>
            <w:r w:rsidR="00085CEC">
              <w:rPr>
                <w:bCs/>
              </w:rPr>
              <w:t xml:space="preserve"> kā arī</w:t>
            </w:r>
            <w:r w:rsidR="00085CEC">
              <w:t xml:space="preserve"> </w:t>
            </w:r>
            <w:r w:rsidRPr="00BD767D">
              <w:t>vilkābeles (</w:t>
            </w:r>
            <w:r w:rsidRPr="00BD767D">
              <w:rPr>
                <w:i/>
              </w:rPr>
              <w:t>Crataegus</w:t>
            </w:r>
            <w:r w:rsidRPr="00BD767D">
              <w:t>), pīlādži (</w:t>
            </w:r>
            <w:r w:rsidRPr="00BD767D">
              <w:rPr>
                <w:i/>
              </w:rPr>
              <w:t>Sorbus</w:t>
            </w:r>
            <w:r w:rsidRPr="00BD767D">
              <w:t>), klintenes (</w:t>
            </w:r>
            <w:r w:rsidRPr="00BD767D">
              <w:rPr>
                <w:i/>
              </w:rPr>
              <w:t>Cotoneaster</w:t>
            </w:r>
            <w:r w:rsidRPr="00BD767D">
              <w:t>), cidonijas (</w:t>
            </w:r>
            <w:r w:rsidRPr="00BD767D">
              <w:rPr>
                <w:i/>
              </w:rPr>
              <w:t>Cydonia</w:t>
            </w:r>
            <w:r w:rsidRPr="00BD767D">
              <w:t>), korintes (</w:t>
            </w:r>
            <w:r w:rsidRPr="00BD767D">
              <w:rPr>
                <w:i/>
              </w:rPr>
              <w:t>Amelanchier</w:t>
            </w:r>
            <w:r w:rsidRPr="00BD767D">
              <w:t>), eriobotrijas (</w:t>
            </w:r>
            <w:r w:rsidRPr="00BD767D">
              <w:rPr>
                <w:i/>
              </w:rPr>
              <w:t>Eriobotrya</w:t>
            </w:r>
            <w:r w:rsidRPr="00BD767D">
              <w:t>) un ugunsērkšķi (</w:t>
            </w:r>
            <w:r w:rsidRPr="00BD767D">
              <w:rPr>
                <w:i/>
              </w:rPr>
              <w:t>Pyracantha</w:t>
            </w:r>
            <w:r w:rsidRPr="00BD767D">
              <w:t>) (turpmāk – saimniekaugs)</w:t>
            </w:r>
            <w:r w:rsidR="00085CEC">
              <w:t xml:space="preserve">, </w:t>
            </w:r>
            <w:r w:rsidR="00085CEC" w:rsidRPr="00B638C0">
              <w:t>kas ir plaši izplatīti apstādījumos</w:t>
            </w:r>
            <w:r w:rsidRPr="00B638C0">
              <w:rPr>
                <w:bCs/>
                <w:color w:val="000000"/>
              </w:rPr>
              <w:t>.</w:t>
            </w:r>
            <w:r w:rsidRPr="00BD767D">
              <w:rPr>
                <w:bCs/>
              </w:rPr>
              <w:t xml:space="preserve"> </w:t>
            </w:r>
          </w:p>
          <w:p w:rsidR="004276B7" w:rsidRPr="0032049A" w:rsidRDefault="00CC7EF3" w:rsidP="00CC7EF3">
            <w:pPr>
              <w:ind w:firstLine="720"/>
              <w:jc w:val="both"/>
              <w:rPr>
                <w:strike/>
              </w:rPr>
            </w:pPr>
            <w:r w:rsidRPr="00BD767D">
              <w:t>Lai pārbaudītu, vai Latvijā ir sastopamas bakteriālās iedegas</w:t>
            </w:r>
            <w:r>
              <w:t>,</w:t>
            </w:r>
            <w:r w:rsidRPr="00BD767D">
              <w:t xml:space="preserve"> </w:t>
            </w:r>
            <w:r>
              <w:t>dienests,</w:t>
            </w:r>
            <w:r w:rsidRPr="00BD767D">
              <w:t xml:space="preserve"> </w:t>
            </w:r>
            <w:r>
              <w:t>ievērojot savu</w:t>
            </w:r>
            <w:r w:rsidRPr="00BD767D">
              <w:t xml:space="preserve"> darbības stratēģiju, kā arī piešķirto valsts dotāciju, kopš 1998.gada</w:t>
            </w:r>
            <w:r w:rsidRPr="00BD767D" w:rsidDel="00EE31E9">
              <w:t xml:space="preserve"> </w:t>
            </w:r>
            <w:r w:rsidRPr="00BD767D">
              <w:t>veic bakteriālo iedegu oficiālo</w:t>
            </w:r>
            <w:r w:rsidRPr="00BD767D">
              <w:rPr>
                <w:i/>
              </w:rPr>
              <w:t xml:space="preserve"> </w:t>
            </w:r>
            <w:r w:rsidRPr="00BD767D">
              <w:t>monitoringu visā Latvijas teritorijā</w:t>
            </w:r>
            <w:r>
              <w:t xml:space="preserve"> </w:t>
            </w:r>
            <w:r w:rsidRPr="0032049A">
              <w:t xml:space="preserve">dažādās </w:t>
            </w:r>
            <w:r>
              <w:t xml:space="preserve">šīs slimības </w:t>
            </w:r>
            <w:r w:rsidRPr="0032049A">
              <w:t>saimniekaugu audzēšanas un augšanas vietās – augļu koku un dekoratīvo augu stādaudzētavās, komercdārzos, piemājas dārzos, pamestos dārzos, apstādījumos</w:t>
            </w:r>
            <w:r>
              <w:t> – un</w:t>
            </w:r>
            <w:r w:rsidRPr="0032049A">
              <w:t xml:space="preserve"> savvaļā </w:t>
            </w:r>
            <w:r>
              <w:t>augošiem augiem.</w:t>
            </w:r>
            <w:r w:rsidR="004276B7" w:rsidRPr="0032049A">
              <w:t xml:space="preserve"> </w:t>
            </w:r>
          </w:p>
          <w:p w:rsidR="00CC7EF3" w:rsidRDefault="00CC7EF3" w:rsidP="00CC7EF3">
            <w:pPr>
              <w:ind w:firstLine="720"/>
              <w:jc w:val="both"/>
            </w:pPr>
            <w:r w:rsidRPr="00BD767D">
              <w:t>Bakteriālās iedegas Latvijā pirmo reizi tika konstatētas 2007.gada jūlijā, kad tika atklāti 26 šīs slimības perēkļi Zemgales, Rīgas, Latgales un Dienvidkurzemes reģion</w:t>
            </w:r>
            <w:r>
              <w:t>ā</w:t>
            </w:r>
            <w:r w:rsidRPr="00BD767D">
              <w:t>. Visplašāk bakteriālās iedegas bija izplatītas Zemgalē. Pirmais šī augu karantīnas organisma perēklis tika atklāts 30 km no Lietuvas robežas Jelgavas rajona Staļģenē, kur bija inficēti 67</w:t>
            </w:r>
            <w:r>
              <w:t> </w:t>
            </w:r>
            <w:r w:rsidRPr="00BD767D">
              <w:t>piemājas dārzos augošie bakteriālo iedegu saimniekaugi. Pēc tam tika veiktas ļoti intensīvas pārbaudes visā Latvijas teritorijā, kopā 2490 pārbaudēs apseko</w:t>
            </w:r>
            <w:r>
              <w:t>jot</w:t>
            </w:r>
            <w:r w:rsidRPr="00BD767D">
              <w:t xml:space="preserve"> 2342 dažādas saimniekaugu augšanas un audzēšanas vietas </w:t>
            </w:r>
            <w:r>
              <w:t>–</w:t>
            </w:r>
            <w:r w:rsidRPr="00BD767D">
              <w:t xml:space="preserve"> komercdārz</w:t>
            </w:r>
            <w:r>
              <w:t>us</w:t>
            </w:r>
            <w:r w:rsidRPr="00BD767D">
              <w:t>, ražojoš</w:t>
            </w:r>
            <w:r>
              <w:t>os</w:t>
            </w:r>
            <w:r w:rsidRPr="00BD767D">
              <w:t xml:space="preserve"> dārz</w:t>
            </w:r>
            <w:r>
              <w:t>us</w:t>
            </w:r>
            <w:r w:rsidRPr="00BD767D">
              <w:t>, piemājas dārz</w:t>
            </w:r>
            <w:r>
              <w:t>us</w:t>
            </w:r>
            <w:r w:rsidRPr="00BD767D">
              <w:t>, apstādījum</w:t>
            </w:r>
            <w:r>
              <w:t>us</w:t>
            </w:r>
            <w:r w:rsidRPr="00BD767D">
              <w:t>, park</w:t>
            </w:r>
            <w:r>
              <w:t>us</w:t>
            </w:r>
            <w:r w:rsidRPr="00BD767D">
              <w:t>, kā arī savvaļā augoš</w:t>
            </w:r>
            <w:r>
              <w:t>os</w:t>
            </w:r>
            <w:r w:rsidRPr="00BD767D">
              <w:t xml:space="preserve"> saimniekaug</w:t>
            </w:r>
            <w:r>
              <w:t>us</w:t>
            </w:r>
            <w:r w:rsidRPr="00BD767D">
              <w:t>. Pārbaudes tika veiktas arī stādaudzētavās, kur</w:t>
            </w:r>
            <w:r>
              <w:t>ā</w:t>
            </w:r>
            <w:r w:rsidRPr="00BD767D">
              <w:t>s audzē stādīšanai paredzētos bakteriālo iedegu saimniekaugus.</w:t>
            </w:r>
            <w:r>
              <w:t xml:space="preserve"> Kopš tā laika pārbaudes notiek regulāri.</w:t>
            </w:r>
            <w:r w:rsidRPr="00DE098A">
              <w:rPr>
                <w:sz w:val="28"/>
                <w:szCs w:val="28"/>
              </w:rPr>
              <w:t xml:space="preserve"> </w:t>
            </w:r>
            <w:r w:rsidRPr="003867A0">
              <w:t xml:space="preserve">Tāpat dienests veic uzraudzības pārbaudes bakteriālo iedegu perēkļos, kā arī buferzonā trīs kilometru rādiusā ap </w:t>
            </w:r>
            <w:r>
              <w:t>t</w:t>
            </w:r>
            <w:r w:rsidRPr="003867A0">
              <w:t>iem.</w:t>
            </w:r>
            <w:r w:rsidRPr="00661F56">
              <w:t xml:space="preserve"> </w:t>
            </w:r>
          </w:p>
          <w:p w:rsidR="004276B7" w:rsidRPr="003867A0" w:rsidRDefault="00CC7EF3" w:rsidP="00CC7EF3">
            <w:pPr>
              <w:ind w:firstLine="720"/>
              <w:jc w:val="both"/>
            </w:pPr>
            <w:r>
              <w:t>Ā</w:t>
            </w:r>
            <w:r w:rsidRPr="00BD767D">
              <w:t>tr</w:t>
            </w:r>
            <w:r>
              <w:t>ā</w:t>
            </w:r>
            <w:r w:rsidRPr="00BD767D">
              <w:t xml:space="preserve"> rīcība slimības konstatēšanas gadā</w:t>
            </w:r>
            <w:r>
              <w:t xml:space="preserve"> (2007.)</w:t>
            </w:r>
            <w:r w:rsidRPr="00BD767D">
              <w:t>, intensīv</w:t>
            </w:r>
            <w:r>
              <w:t>ās</w:t>
            </w:r>
            <w:r w:rsidRPr="00BD767D">
              <w:t xml:space="preserve"> pārbaud</w:t>
            </w:r>
            <w:r>
              <w:t>es</w:t>
            </w:r>
            <w:r w:rsidRPr="00BD767D">
              <w:t xml:space="preserve"> un stingr</w:t>
            </w:r>
            <w:r>
              <w:t>ie</w:t>
            </w:r>
            <w:r w:rsidRPr="00BD767D">
              <w:t xml:space="preserve"> piemērot</w:t>
            </w:r>
            <w:r>
              <w:t>ie</w:t>
            </w:r>
            <w:r w:rsidRPr="00BD767D">
              <w:t xml:space="preserve"> fitosanitār</w:t>
            </w:r>
            <w:r>
              <w:t>ie</w:t>
            </w:r>
            <w:r w:rsidRPr="00BD767D">
              <w:t xml:space="preserve"> pasākumi </w:t>
            </w:r>
            <w:r>
              <w:t>turpmāk</w:t>
            </w:r>
            <w:r w:rsidRPr="00BD767D">
              <w:t>ajos gados</w:t>
            </w:r>
            <w:r>
              <w:t xml:space="preserve"> ir ļāvuši krietni samazināt</w:t>
            </w:r>
            <w:r w:rsidRPr="00BD767D">
              <w:t xml:space="preserve"> konstatēto jauno perēkļu skait</w:t>
            </w:r>
            <w:r>
              <w:t>u,</w:t>
            </w:r>
            <w:r w:rsidR="002B75E2">
              <w:t xml:space="preserve"> </w:t>
            </w:r>
            <w:r w:rsidR="002B75E2" w:rsidRPr="00B638C0">
              <w:t>un 2012.gadā bakteriālā iedega netika konstatēta.</w:t>
            </w:r>
          </w:p>
          <w:p w:rsidR="00325A84" w:rsidRDefault="004276B7" w:rsidP="002B75E2">
            <w:pPr>
              <w:widowControl w:val="0"/>
              <w:spacing w:before="120"/>
              <w:ind w:firstLine="720"/>
              <w:jc w:val="both"/>
            </w:pPr>
            <w:r w:rsidRPr="00B638C0">
              <w:t xml:space="preserve">2013.gadā bija piemēroti </w:t>
            </w:r>
            <w:r w:rsidR="002B75E2" w:rsidRPr="00B638C0">
              <w:t>laik</w:t>
            </w:r>
            <w:r w:rsidRPr="00B638C0">
              <w:t>apstākļi bakteriālās iedegas attīstībai</w:t>
            </w:r>
            <w:r w:rsidR="002B75E2" w:rsidRPr="00B638C0">
              <w:t xml:space="preserve">, </w:t>
            </w:r>
            <w:r w:rsidR="00CC7EF3">
              <w:t>un</w:t>
            </w:r>
            <w:r w:rsidRPr="00B638C0">
              <w:t xml:space="preserve"> 8 gadījumos tika atklātas bakteriālas iedegas Zemgalē, Kurzemē un Rīgā.</w:t>
            </w:r>
          </w:p>
          <w:p w:rsidR="004276B7" w:rsidRDefault="00CC7EF3" w:rsidP="004276B7">
            <w:pPr>
              <w:ind w:firstLine="720"/>
              <w:jc w:val="both"/>
            </w:pPr>
            <w:r>
              <w:t>Ievērojot</w:t>
            </w:r>
            <w:r w:rsidRPr="00BD767D">
              <w:t xml:space="preserve"> esošo situ</w:t>
            </w:r>
            <w:r>
              <w:t xml:space="preserve">āciju Latvijā, var secināt, ka </w:t>
            </w:r>
            <w:r w:rsidRPr="00BD767D">
              <w:t xml:space="preserve">bakteriālās iedegas </w:t>
            </w:r>
            <w:r>
              <w:t xml:space="preserve">ir </w:t>
            </w:r>
            <w:r w:rsidRPr="00BD767D">
              <w:t>izplatītas reģionos, kur</w:t>
            </w:r>
            <w:r>
              <w:t>ās</w:t>
            </w:r>
            <w:r w:rsidRPr="00BD767D">
              <w:t xml:space="preserve"> aktīv</w:t>
            </w:r>
            <w:r>
              <w:t>i tiek audzēti</w:t>
            </w:r>
            <w:r w:rsidRPr="00BD767D">
              <w:t xml:space="preserve"> saimniekaug</w:t>
            </w:r>
            <w:r>
              <w:t>i.</w:t>
            </w:r>
            <w:r w:rsidRPr="00BD767D">
              <w:t xml:space="preserve"> </w:t>
            </w:r>
            <w:r>
              <w:t xml:space="preserve">Daudz </w:t>
            </w:r>
            <w:r w:rsidRPr="00BD767D">
              <w:t xml:space="preserve">augļu koku komercdārzu </w:t>
            </w:r>
            <w:r>
              <w:t xml:space="preserve">ir </w:t>
            </w:r>
            <w:r w:rsidRPr="00BD767D">
              <w:t>Zemgales un Rīgas reģionā</w:t>
            </w:r>
            <w:r>
              <w:t>, kur ir arī</w:t>
            </w:r>
            <w:r w:rsidRPr="00BD767D">
              <w:t xml:space="preserve"> liels </w:t>
            </w:r>
            <w:r>
              <w:t xml:space="preserve">to </w:t>
            </w:r>
            <w:r w:rsidRPr="00BD767D">
              <w:t>augļu koku un dekoratīvo stād</w:t>
            </w:r>
            <w:r>
              <w:t xml:space="preserve">audzētavu īpatsvars, kurās audzē </w:t>
            </w:r>
            <w:r w:rsidRPr="00BD767D">
              <w:t>bakteriālās iedegas</w:t>
            </w:r>
            <w:r>
              <w:t xml:space="preserve"> </w:t>
            </w:r>
            <w:r w:rsidRPr="00BD767D">
              <w:t xml:space="preserve">saimniekaugus, </w:t>
            </w:r>
            <w:r>
              <w:t>turklāt</w:t>
            </w:r>
            <w:r w:rsidRPr="00BD767D">
              <w:t xml:space="preserve"> </w:t>
            </w:r>
            <w:r>
              <w:t xml:space="preserve">šajos reģionos </w:t>
            </w:r>
            <w:r w:rsidRPr="00BD767D">
              <w:lastRenderedPageBreak/>
              <w:t>atrodas valstij nozīmīgie botāniskie dārzi un divi saimniekaugu genofondi.</w:t>
            </w:r>
            <w:r w:rsidR="004276B7" w:rsidRPr="00BD767D">
              <w:t xml:space="preserve"> </w:t>
            </w:r>
          </w:p>
          <w:p w:rsidR="009248BB" w:rsidRPr="00BD767D" w:rsidRDefault="005925BF" w:rsidP="009248BB">
            <w:pPr>
              <w:ind w:firstLine="720"/>
              <w:jc w:val="both"/>
            </w:pPr>
            <w:r w:rsidRPr="007642A2">
              <w:t>Tāpēc valstiski svarīgi ir veikt pārbaudes 2013.gada perēkļu buferzonās bakteriālās iedegas izplatības noteikšanai un laikus apkarot, ja tā konstatēta, tādējādi saglabājot vienu no nozīmīgām lauksaimniecības nozarēm – augļkopību, kā arī novēršot būtisku ietekmi uz apkārtējo vidi un privātpersonu īpašumu, jo bakteriālās iedegas saimniekaugi ir izplatīti pilsētu un to parku apstādījumos, kā arī piemājas dārzos</w:t>
            </w:r>
            <w:r w:rsidR="009248BB" w:rsidRPr="007642A2">
              <w:t>.</w:t>
            </w:r>
            <w:r w:rsidR="009248BB" w:rsidRPr="00BD767D">
              <w:t xml:space="preserve"> </w:t>
            </w:r>
          </w:p>
          <w:p w:rsidR="004276B7" w:rsidRDefault="00CC7EF3" w:rsidP="004276B7">
            <w:pPr>
              <w:ind w:firstLine="720"/>
              <w:jc w:val="both"/>
              <w:rPr>
                <w:color w:val="0070C0"/>
              </w:rPr>
            </w:pPr>
            <w:r w:rsidRPr="00BD767D">
              <w:t>Lai apzinātu situāciju 2013.gadā konstatētajos perēkļos un buferzonās, ir nepieciešams veikt papildu pārbaudes</w:t>
            </w:r>
            <w:r w:rsidRPr="00B31300">
              <w:t xml:space="preserve"> bakteriāl</w:t>
            </w:r>
            <w:r>
              <w:t>o</w:t>
            </w:r>
            <w:r w:rsidRPr="00B31300">
              <w:t xml:space="preserve"> iedeg</w:t>
            </w:r>
            <w:r>
              <w:t>u</w:t>
            </w:r>
            <w:r w:rsidRPr="00B31300">
              <w:t xml:space="preserve"> </w:t>
            </w:r>
            <w:r w:rsidRPr="004646C4">
              <w:t>izplatīb</w:t>
            </w:r>
            <w:r>
              <w:t>as</w:t>
            </w:r>
            <w:r w:rsidRPr="004646C4">
              <w:t xml:space="preserve"> </w:t>
            </w:r>
            <w:r>
              <w:t>noteikšanai,</w:t>
            </w:r>
            <w:r w:rsidRPr="004646C4">
              <w:t xml:space="preserve"> </w:t>
            </w:r>
            <w:r>
              <w:t>t.i.,</w:t>
            </w:r>
            <w:r w:rsidRPr="004646C4">
              <w:t xml:space="preserve"> vai </w:t>
            </w:r>
            <w:r w:rsidRPr="00BD767D">
              <w:t xml:space="preserve">nav inficējušies citi šajā vietā </w:t>
            </w:r>
            <w:r>
              <w:t xml:space="preserve">un apkārtnē </w:t>
            </w:r>
            <w:r w:rsidRPr="00BD767D">
              <w:t>augošie bakteriālo iedegu saimniekaugi</w:t>
            </w:r>
            <w:r>
              <w:t xml:space="preserve">, kā arī </w:t>
            </w:r>
            <w:r w:rsidRPr="00BD767D">
              <w:t>vai 2013.gadā piemērotie fitosanitārie pasākum</w:t>
            </w:r>
            <w:r>
              <w:t>i ir bijuši pietiekami efektīvi.</w:t>
            </w:r>
            <w:r w:rsidR="004276B7" w:rsidRPr="00E14A06">
              <w:rPr>
                <w:color w:val="0070C0"/>
              </w:rPr>
              <w:t xml:space="preserve"> </w:t>
            </w:r>
          </w:p>
          <w:p w:rsidR="004276B7" w:rsidRPr="00BD767D" w:rsidRDefault="004276B7" w:rsidP="004276B7">
            <w:pPr>
              <w:ind w:firstLine="720"/>
              <w:jc w:val="both"/>
            </w:pPr>
            <w:r>
              <w:t xml:space="preserve">Papildu </w:t>
            </w:r>
            <w:r w:rsidRPr="00BD767D">
              <w:t>naudas līdzekļi Valsts augu aizsardzības dienestam</w:t>
            </w:r>
            <w:r>
              <w:t xml:space="preserve"> </w:t>
            </w:r>
            <w:r w:rsidRPr="00BD767D">
              <w:t xml:space="preserve">nepieciešami </w:t>
            </w:r>
            <w:r w:rsidR="00CC7EF3">
              <w:t xml:space="preserve">no </w:t>
            </w:r>
            <w:r w:rsidRPr="00BD767D">
              <w:t>2014.</w:t>
            </w:r>
            <w:r w:rsidRPr="00661F56">
              <w:t xml:space="preserve">gada </w:t>
            </w:r>
            <w:r w:rsidR="002D02BF">
              <w:t xml:space="preserve"> </w:t>
            </w:r>
            <w:r w:rsidR="002D02BF" w:rsidRPr="007642A2">
              <w:t>jūnija</w:t>
            </w:r>
            <w:r w:rsidRPr="00661F56">
              <w:t>,</w:t>
            </w:r>
            <w:r w:rsidRPr="00BD767D">
              <w:t xml:space="preserve"> lai varētu iepirkt laboratorijas iekārtas un paraugu testēšanai nepieciešamos serumus</w:t>
            </w:r>
            <w:r w:rsidR="00CC7EF3">
              <w:t xml:space="preserve"> un</w:t>
            </w:r>
            <w:r w:rsidRPr="00BD767D">
              <w:t xml:space="preserve"> lai </w:t>
            </w:r>
            <w:r w:rsidR="00CC7EF3">
              <w:t>no</w:t>
            </w:r>
            <w:r w:rsidRPr="00BD767D">
              <w:t xml:space="preserve"> jūnij</w:t>
            </w:r>
            <w:r w:rsidR="00CC7EF3">
              <w:t>a</w:t>
            </w:r>
            <w:r w:rsidRPr="00BD767D">
              <w:t xml:space="preserve"> būtu iespēja veikt pārbaudes un ņemt paraugus.</w:t>
            </w:r>
          </w:p>
          <w:p w:rsidR="004276B7" w:rsidRPr="003831CB" w:rsidRDefault="003831CB" w:rsidP="009248BB">
            <w:pPr>
              <w:jc w:val="both"/>
            </w:pPr>
            <w:r>
              <w:rPr>
                <w:iCs/>
              </w:rPr>
              <w:t>27.00.00.budžeta programmā „Augu veselība un augu aprites uzraudzība” Valsts augu aizsardzības dienestam b</w:t>
            </w:r>
            <w:r w:rsidRPr="003831CB">
              <w:rPr>
                <w:iCs/>
              </w:rPr>
              <w:t xml:space="preserve">akteriālo </w:t>
            </w:r>
            <w:r w:rsidRPr="007642A2">
              <w:rPr>
                <w:iCs/>
              </w:rPr>
              <w:t>iedegu</w:t>
            </w:r>
            <w:r w:rsidR="00C86EDF" w:rsidRPr="007642A2">
              <w:rPr>
                <w:iCs/>
              </w:rPr>
              <w:t xml:space="preserve"> izplatības noteikšanai</w:t>
            </w:r>
            <w:r w:rsidRPr="007642A2">
              <w:rPr>
                <w:iCs/>
              </w:rPr>
              <w:t xml:space="preserve"> </w:t>
            </w:r>
            <w:r w:rsidR="00C86EDF" w:rsidRPr="007642A2">
              <w:rPr>
                <w:iCs/>
              </w:rPr>
              <w:t xml:space="preserve"> perēkļos, buferzonas un genofondā</w:t>
            </w:r>
            <w:r w:rsidRPr="007642A2">
              <w:rPr>
                <w:iCs/>
              </w:rPr>
              <w:t xml:space="preserve"> 2014.gadam ir </w:t>
            </w:r>
            <w:r w:rsidR="009248BB" w:rsidRPr="007642A2">
              <w:rPr>
                <w:iCs/>
              </w:rPr>
              <w:t>ieplānoti</w:t>
            </w:r>
            <w:r w:rsidRPr="007642A2">
              <w:rPr>
                <w:iCs/>
              </w:rPr>
              <w:t xml:space="preserve"> EUR </w:t>
            </w:r>
            <w:r w:rsidR="000344F5" w:rsidRPr="007642A2">
              <w:t>66</w:t>
            </w:r>
            <w:r w:rsidR="005925BF" w:rsidRPr="007642A2">
              <w:t> </w:t>
            </w:r>
            <w:r w:rsidR="000344F5" w:rsidRPr="007642A2">
              <w:t>903</w:t>
            </w:r>
            <w:r w:rsidRPr="007642A2">
              <w:t xml:space="preserve">, </w:t>
            </w:r>
            <w:r w:rsidR="009248BB" w:rsidRPr="007642A2">
              <w:t xml:space="preserve">monitoringam visā Latvijas teritorijā </w:t>
            </w:r>
            <w:r w:rsidR="005925BF" w:rsidRPr="007642A2">
              <w:t xml:space="preserve">– </w:t>
            </w:r>
            <w:r w:rsidR="009248BB" w:rsidRPr="007642A2">
              <w:t xml:space="preserve">EUR </w:t>
            </w:r>
            <w:r w:rsidR="000344F5" w:rsidRPr="007642A2">
              <w:t>119373</w:t>
            </w:r>
            <w:r w:rsidR="009248BB" w:rsidRPr="007642A2">
              <w:t xml:space="preserve">, </w:t>
            </w:r>
            <w:r w:rsidR="005925BF" w:rsidRPr="007642A2">
              <w:t>un</w:t>
            </w:r>
            <w:r w:rsidR="009248BB" w:rsidRPr="007642A2">
              <w:t xml:space="preserve"> </w:t>
            </w:r>
            <w:r w:rsidRPr="007642A2">
              <w:t xml:space="preserve">papildus nepieciešams EUR </w:t>
            </w:r>
            <w:r w:rsidR="000344F5" w:rsidRPr="007642A2">
              <w:t>25</w:t>
            </w:r>
            <w:r w:rsidR="005925BF" w:rsidRPr="007642A2">
              <w:t> </w:t>
            </w:r>
            <w:r w:rsidR="000344F5" w:rsidRPr="007642A2">
              <w:t>702</w:t>
            </w:r>
            <w:r w:rsidR="009248BB" w:rsidRPr="007642A2">
              <w:rPr>
                <w:color w:val="000000"/>
              </w:rPr>
              <w:t xml:space="preserve"> </w:t>
            </w:r>
            <w:r w:rsidR="009248BB" w:rsidRPr="007642A2">
              <w:rPr>
                <w:iCs/>
              </w:rPr>
              <w:t xml:space="preserve">iedegu izplatības </w:t>
            </w:r>
            <w:r w:rsidR="00A503EE" w:rsidRPr="007642A2">
              <w:rPr>
                <w:iCs/>
              </w:rPr>
              <w:t>noteikšanai  perēkļos, buferzonā</w:t>
            </w:r>
            <w:r w:rsidR="009248BB" w:rsidRPr="007642A2">
              <w:rPr>
                <w:iCs/>
              </w:rPr>
              <w:t>s un genofondā.</w:t>
            </w:r>
          </w:p>
        </w:tc>
      </w:tr>
      <w:tr w:rsidR="00325A84" w:rsidRPr="003A7D81" w:rsidTr="00A44DD7">
        <w:tc>
          <w:tcPr>
            <w:tcW w:w="648" w:type="dxa"/>
          </w:tcPr>
          <w:p w:rsidR="00325A84" w:rsidRPr="003A7D81" w:rsidRDefault="00325A84" w:rsidP="00A44DD7">
            <w:pPr>
              <w:jc w:val="both"/>
            </w:pPr>
            <w:r w:rsidRPr="003A7D81">
              <w:lastRenderedPageBreak/>
              <w:t>3.</w:t>
            </w:r>
          </w:p>
        </w:tc>
        <w:tc>
          <w:tcPr>
            <w:tcW w:w="3420" w:type="dxa"/>
          </w:tcPr>
          <w:p w:rsidR="00325A84" w:rsidRPr="003A7D81" w:rsidRDefault="00325A84" w:rsidP="00A44DD7">
            <w:pPr>
              <w:jc w:val="both"/>
            </w:pPr>
            <w:r w:rsidRPr="003A7D81">
              <w:t>Projekta izstrādē iesaistītās institūcijas</w:t>
            </w:r>
          </w:p>
        </w:tc>
        <w:tc>
          <w:tcPr>
            <w:tcW w:w="5219" w:type="dxa"/>
          </w:tcPr>
          <w:p w:rsidR="00325A84" w:rsidRPr="003A7D81" w:rsidRDefault="00A44DD7" w:rsidP="00A44DD7">
            <w:pPr>
              <w:jc w:val="both"/>
            </w:pPr>
            <w:r>
              <w:t>Valsts augu aizsardzības dienests</w:t>
            </w:r>
          </w:p>
        </w:tc>
      </w:tr>
      <w:tr w:rsidR="00325A84" w:rsidRPr="003A7D81" w:rsidTr="00A44DD7">
        <w:tc>
          <w:tcPr>
            <w:tcW w:w="648" w:type="dxa"/>
          </w:tcPr>
          <w:p w:rsidR="00325A84" w:rsidRPr="003A7D81" w:rsidRDefault="00325A84" w:rsidP="00A44DD7">
            <w:pPr>
              <w:jc w:val="both"/>
            </w:pPr>
            <w:r w:rsidRPr="003A7D81">
              <w:t>4.</w:t>
            </w:r>
          </w:p>
        </w:tc>
        <w:tc>
          <w:tcPr>
            <w:tcW w:w="3420" w:type="dxa"/>
          </w:tcPr>
          <w:p w:rsidR="00325A84" w:rsidRPr="003A7D81" w:rsidRDefault="00325A84" w:rsidP="00A44DD7">
            <w:pPr>
              <w:jc w:val="both"/>
            </w:pPr>
            <w:r w:rsidRPr="003A7D81">
              <w:t>Cita informācija</w:t>
            </w:r>
          </w:p>
        </w:tc>
        <w:tc>
          <w:tcPr>
            <w:tcW w:w="5219" w:type="dxa"/>
          </w:tcPr>
          <w:p w:rsidR="00325A84" w:rsidRPr="003A7D81" w:rsidRDefault="00325A84" w:rsidP="00A44DD7">
            <w:pPr>
              <w:jc w:val="both"/>
            </w:pPr>
            <w:r w:rsidRPr="00B62F58">
              <w:t>Projekts šo jomu neskar.</w:t>
            </w:r>
          </w:p>
        </w:tc>
      </w:tr>
    </w:tbl>
    <w:p w:rsidR="00325A84" w:rsidRPr="003A7D81" w:rsidRDefault="00325A84" w:rsidP="00325A84">
      <w:pPr>
        <w:jc w:val="both"/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3729"/>
        <w:gridCol w:w="5039"/>
      </w:tblGrid>
      <w:tr w:rsidR="00325A84" w:rsidRPr="003A7D81" w:rsidTr="00A44DD7">
        <w:tc>
          <w:tcPr>
            <w:tcW w:w="9287" w:type="dxa"/>
            <w:gridSpan w:val="3"/>
          </w:tcPr>
          <w:p w:rsidR="00325A84" w:rsidRPr="003A7D81" w:rsidRDefault="00325A84" w:rsidP="00A44DD7">
            <w:pPr>
              <w:jc w:val="center"/>
            </w:pPr>
            <w:r w:rsidRPr="003A7D81">
              <w:rPr>
                <w:b/>
                <w:bCs/>
              </w:rPr>
              <w:t xml:space="preserve">II. </w:t>
            </w:r>
            <w:r w:rsidRPr="003A7D81">
              <w:rPr>
                <w:b/>
              </w:rPr>
              <w:t>Tiesību akta projekta ietekme uz sabiedrību, tautsaimniecības attīstību un administratīvo slogu</w:t>
            </w:r>
          </w:p>
        </w:tc>
      </w:tr>
      <w:tr w:rsidR="00325A84" w:rsidRPr="003A7D81" w:rsidTr="00A44DD7">
        <w:tc>
          <w:tcPr>
            <w:tcW w:w="519" w:type="dxa"/>
          </w:tcPr>
          <w:p w:rsidR="00325A84" w:rsidRPr="003A7D81" w:rsidRDefault="00325A84" w:rsidP="00A44DD7">
            <w:pPr>
              <w:jc w:val="both"/>
            </w:pPr>
            <w:r w:rsidRPr="003A7D81">
              <w:t>1.</w:t>
            </w:r>
          </w:p>
        </w:tc>
        <w:tc>
          <w:tcPr>
            <w:tcW w:w="3729" w:type="dxa"/>
          </w:tcPr>
          <w:p w:rsidR="00325A84" w:rsidRPr="003A7D81" w:rsidRDefault="00325A84" w:rsidP="00A44DD7">
            <w:pPr>
              <w:rPr>
                <w:iCs/>
              </w:rPr>
            </w:pPr>
            <w:r w:rsidRPr="003A7D81">
              <w:rPr>
                <w:iCs/>
              </w:rPr>
              <w:t>Sabiedrības mērķgrupas, kuras tiesiskais regulējums ietekmē vai varētu ietekmēt</w:t>
            </w:r>
          </w:p>
        </w:tc>
        <w:tc>
          <w:tcPr>
            <w:tcW w:w="5039" w:type="dxa"/>
          </w:tcPr>
          <w:p w:rsidR="00325A84" w:rsidRPr="003A7D81" w:rsidRDefault="00A44DD7" w:rsidP="00085CEC">
            <w:pPr>
              <w:jc w:val="both"/>
            </w:pPr>
            <w:r>
              <w:t>Veicot papildu pārbaudes un analizējot paraugus, laikus tiks konstatēta bakteriālo iedegu izplatība, tiks veikti fitosanitārie pasākumi, tā</w:t>
            </w:r>
            <w:r w:rsidR="00CC7EF3">
              <w:t xml:space="preserve"> </w:t>
            </w:r>
            <w:r>
              <w:t>aizkavē</w:t>
            </w:r>
            <w:r w:rsidR="00CC7EF3">
              <w:t>jot</w:t>
            </w:r>
            <w:r>
              <w:t xml:space="preserve"> bakteriālās iedegas tālāku izplatību gan komercdārzos, </w:t>
            </w:r>
            <w:r w:rsidRPr="00B638C0">
              <w:t xml:space="preserve">gan </w:t>
            </w:r>
            <w:r w:rsidR="00085CEC" w:rsidRPr="00B638C0">
              <w:t xml:space="preserve">piemājas dārzos, </w:t>
            </w:r>
            <w:r w:rsidR="00CC7EF3">
              <w:t>gan</w:t>
            </w:r>
            <w:r w:rsidR="00085CEC" w:rsidRPr="00B638C0">
              <w:t xml:space="preserve"> pilsētu apstādījumos</w:t>
            </w:r>
            <w:r w:rsidRPr="00B638C0">
              <w:t>.</w:t>
            </w:r>
          </w:p>
        </w:tc>
      </w:tr>
      <w:tr w:rsidR="00325A84" w:rsidRPr="003A7D81" w:rsidTr="00A44DD7">
        <w:tc>
          <w:tcPr>
            <w:tcW w:w="519" w:type="dxa"/>
          </w:tcPr>
          <w:p w:rsidR="00325A84" w:rsidRPr="003A7D81" w:rsidRDefault="00325A84" w:rsidP="00A44DD7">
            <w:pPr>
              <w:jc w:val="both"/>
            </w:pPr>
            <w:r w:rsidRPr="003A7D81">
              <w:t>2.</w:t>
            </w:r>
          </w:p>
        </w:tc>
        <w:tc>
          <w:tcPr>
            <w:tcW w:w="3729" w:type="dxa"/>
          </w:tcPr>
          <w:p w:rsidR="00325A84" w:rsidRPr="003A7D81" w:rsidRDefault="00325A84" w:rsidP="00A44DD7">
            <w:pPr>
              <w:rPr>
                <w:iCs/>
              </w:rPr>
            </w:pPr>
            <w:r w:rsidRPr="003A7D81">
              <w:rPr>
                <w:iCs/>
              </w:rPr>
              <w:t>Tiesiskā regulējuma ietekme uz tautsaimniecību un administratīvo slogu</w:t>
            </w:r>
          </w:p>
        </w:tc>
        <w:tc>
          <w:tcPr>
            <w:tcW w:w="5039" w:type="dxa"/>
          </w:tcPr>
          <w:p w:rsidR="00325A84" w:rsidRPr="003A7D81" w:rsidRDefault="00A44DD7" w:rsidP="00A44DD7">
            <w:pPr>
              <w:jc w:val="both"/>
            </w:pPr>
            <w:r>
              <w:t>Ja tiks konstatētas bakteriālās iedegas, saimniekaugu īpašniekam būs jāveic Valsts augu aizsardzības dienesta uzliktie fitosanitārie pasākumi.</w:t>
            </w:r>
          </w:p>
        </w:tc>
      </w:tr>
      <w:tr w:rsidR="00325A84" w:rsidRPr="003A7D81" w:rsidTr="00A44DD7">
        <w:tc>
          <w:tcPr>
            <w:tcW w:w="519" w:type="dxa"/>
          </w:tcPr>
          <w:p w:rsidR="00325A84" w:rsidRPr="003A7D81" w:rsidRDefault="00325A84" w:rsidP="00A44DD7">
            <w:pPr>
              <w:jc w:val="both"/>
            </w:pPr>
            <w:r w:rsidRPr="003A7D81">
              <w:t>3.</w:t>
            </w:r>
          </w:p>
        </w:tc>
        <w:tc>
          <w:tcPr>
            <w:tcW w:w="3729" w:type="dxa"/>
          </w:tcPr>
          <w:p w:rsidR="00325A84" w:rsidRPr="003A7D81" w:rsidRDefault="00325A84" w:rsidP="00A44DD7">
            <w:pPr>
              <w:rPr>
                <w:iCs/>
              </w:rPr>
            </w:pPr>
            <w:r w:rsidRPr="003A7D81">
              <w:rPr>
                <w:iCs/>
              </w:rPr>
              <w:t>Administratīvo izmaksu monetārs novērtējums</w:t>
            </w:r>
          </w:p>
        </w:tc>
        <w:tc>
          <w:tcPr>
            <w:tcW w:w="5039" w:type="dxa"/>
          </w:tcPr>
          <w:p w:rsidR="00325A84" w:rsidRPr="003A7D81" w:rsidRDefault="00325A84" w:rsidP="00A44DD7">
            <w:pPr>
              <w:jc w:val="both"/>
            </w:pPr>
            <w:r w:rsidRPr="003A7D81">
              <w:t>Projekts šo jomu neskar.</w:t>
            </w:r>
          </w:p>
        </w:tc>
      </w:tr>
      <w:tr w:rsidR="00325A84" w:rsidRPr="003A7D81" w:rsidTr="00A44DD7">
        <w:tc>
          <w:tcPr>
            <w:tcW w:w="519" w:type="dxa"/>
          </w:tcPr>
          <w:p w:rsidR="00325A84" w:rsidRPr="003A7D81" w:rsidRDefault="00325A84" w:rsidP="00A44DD7">
            <w:pPr>
              <w:jc w:val="both"/>
            </w:pPr>
            <w:r w:rsidRPr="003A7D81">
              <w:t>4.</w:t>
            </w:r>
          </w:p>
        </w:tc>
        <w:tc>
          <w:tcPr>
            <w:tcW w:w="3729" w:type="dxa"/>
          </w:tcPr>
          <w:p w:rsidR="00325A84" w:rsidRPr="003A7D81" w:rsidRDefault="00325A84" w:rsidP="00A44DD7">
            <w:pPr>
              <w:rPr>
                <w:iCs/>
              </w:rPr>
            </w:pPr>
            <w:r w:rsidRPr="003A7D81">
              <w:rPr>
                <w:iCs/>
              </w:rPr>
              <w:t>Cita informācija</w:t>
            </w:r>
          </w:p>
        </w:tc>
        <w:tc>
          <w:tcPr>
            <w:tcW w:w="5039" w:type="dxa"/>
          </w:tcPr>
          <w:p w:rsidR="00325A84" w:rsidRPr="003A7D81" w:rsidRDefault="00325A84" w:rsidP="00A44DD7">
            <w:pPr>
              <w:jc w:val="both"/>
            </w:pPr>
            <w:r w:rsidRPr="003A7D81">
              <w:t>Projekts šo jomu neskar.</w:t>
            </w:r>
          </w:p>
        </w:tc>
      </w:tr>
    </w:tbl>
    <w:p w:rsidR="00325A84" w:rsidRPr="003A7D81" w:rsidRDefault="00325A84" w:rsidP="00325A84">
      <w:pPr>
        <w:jc w:val="both"/>
      </w:pPr>
      <w:r w:rsidRPr="003A7D81">
        <w:lastRenderedPageBreak/>
        <w:t> 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440"/>
        <w:gridCol w:w="1440"/>
        <w:gridCol w:w="1440"/>
        <w:gridCol w:w="1440"/>
      </w:tblGrid>
      <w:tr w:rsidR="00325A84" w:rsidRPr="003A7D81" w:rsidTr="00A44DD7">
        <w:tc>
          <w:tcPr>
            <w:tcW w:w="9288" w:type="dxa"/>
            <w:gridSpan w:val="6"/>
          </w:tcPr>
          <w:p w:rsidR="00325A84" w:rsidRPr="003A7D81" w:rsidRDefault="00325A84" w:rsidP="00A44DD7">
            <w:pPr>
              <w:jc w:val="center"/>
            </w:pPr>
            <w:r w:rsidRPr="003A7D81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325A84" w:rsidRPr="003A7D81" w:rsidTr="00A44DD7">
        <w:tc>
          <w:tcPr>
            <w:tcW w:w="2268" w:type="dxa"/>
            <w:vMerge w:val="restart"/>
          </w:tcPr>
          <w:p w:rsidR="00325A84" w:rsidRPr="003A7D81" w:rsidRDefault="00325A84" w:rsidP="00A44DD7">
            <w:pPr>
              <w:jc w:val="center"/>
            </w:pPr>
            <w:r w:rsidRPr="003A7D81">
              <w:rPr>
                <w:b/>
                <w:bCs/>
              </w:rPr>
              <w:t>Rādītāji</w:t>
            </w:r>
          </w:p>
        </w:tc>
        <w:tc>
          <w:tcPr>
            <w:tcW w:w="2700" w:type="dxa"/>
            <w:gridSpan w:val="2"/>
            <w:vMerge w:val="restart"/>
          </w:tcPr>
          <w:p w:rsidR="00325A84" w:rsidRPr="003A7D81" w:rsidRDefault="00325A84" w:rsidP="00A44DD7">
            <w:pPr>
              <w:jc w:val="center"/>
              <w:rPr>
                <w:b/>
                <w:bCs/>
              </w:rPr>
            </w:pPr>
            <w:r w:rsidRPr="003A7D81">
              <w:rPr>
                <w:b/>
                <w:bCs/>
              </w:rPr>
              <w:t>n-tais gads</w:t>
            </w:r>
          </w:p>
          <w:p w:rsidR="00325A84" w:rsidRPr="003A7D81" w:rsidRDefault="00325A84" w:rsidP="00A44DD7">
            <w:pPr>
              <w:jc w:val="center"/>
              <w:rPr>
                <w:b/>
                <w:bCs/>
              </w:rPr>
            </w:pPr>
            <w:r w:rsidRPr="003A7D81">
              <w:rPr>
                <w:b/>
                <w:bCs/>
              </w:rPr>
              <w:t>2014.gads</w:t>
            </w:r>
          </w:p>
          <w:p w:rsidR="00325A84" w:rsidRPr="003A7D81" w:rsidRDefault="00325A84" w:rsidP="00A44DD7">
            <w:pPr>
              <w:jc w:val="center"/>
              <w:rPr>
                <w:i/>
              </w:rPr>
            </w:pPr>
          </w:p>
        </w:tc>
        <w:tc>
          <w:tcPr>
            <w:tcW w:w="4320" w:type="dxa"/>
            <w:gridSpan w:val="3"/>
          </w:tcPr>
          <w:p w:rsidR="00325A84" w:rsidRPr="003A7D81" w:rsidRDefault="00325A84" w:rsidP="00A44DD7">
            <w:pPr>
              <w:tabs>
                <w:tab w:val="left" w:pos="3480"/>
              </w:tabs>
              <w:jc w:val="center"/>
              <w:rPr>
                <w:b/>
              </w:rPr>
            </w:pPr>
            <w:r w:rsidRPr="003A7D81">
              <w:rPr>
                <w:b/>
              </w:rPr>
              <w:t xml:space="preserve">Turpmākie trīs gadi </w:t>
            </w:r>
            <w:r w:rsidRPr="003A7D81">
              <w:rPr>
                <w:b/>
                <w:i/>
              </w:rPr>
              <w:t>(euro)</w:t>
            </w:r>
          </w:p>
        </w:tc>
      </w:tr>
      <w:tr w:rsidR="00325A84" w:rsidRPr="003A7D81" w:rsidTr="00A44DD7">
        <w:tc>
          <w:tcPr>
            <w:tcW w:w="2268" w:type="dxa"/>
            <w:vMerge/>
          </w:tcPr>
          <w:p w:rsidR="00325A84" w:rsidRPr="003A7D81" w:rsidRDefault="00325A84" w:rsidP="00A44DD7">
            <w:pPr>
              <w:jc w:val="both"/>
            </w:pPr>
          </w:p>
        </w:tc>
        <w:tc>
          <w:tcPr>
            <w:tcW w:w="2700" w:type="dxa"/>
            <w:gridSpan w:val="2"/>
            <w:vMerge/>
          </w:tcPr>
          <w:p w:rsidR="00325A84" w:rsidRPr="003A7D81" w:rsidRDefault="00325A84" w:rsidP="00A44DD7">
            <w:pPr>
              <w:jc w:val="both"/>
            </w:pP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rPr>
                <w:b/>
                <w:bCs/>
              </w:rPr>
              <w:t>n+1 (2015.gads)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  <w:rPr>
                <w:b/>
                <w:bCs/>
              </w:rPr>
            </w:pPr>
            <w:r w:rsidRPr="003A7D81">
              <w:rPr>
                <w:b/>
                <w:bCs/>
              </w:rPr>
              <w:t xml:space="preserve">n+2 </w:t>
            </w:r>
          </w:p>
          <w:p w:rsidR="00325A84" w:rsidRPr="003A7D81" w:rsidRDefault="00325A84" w:rsidP="00A44DD7">
            <w:pPr>
              <w:jc w:val="center"/>
            </w:pPr>
            <w:r w:rsidRPr="003A7D81">
              <w:rPr>
                <w:b/>
                <w:bCs/>
              </w:rPr>
              <w:t>(2016.gads)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ind w:right="4"/>
              <w:jc w:val="center"/>
              <w:rPr>
                <w:b/>
                <w:bCs/>
              </w:rPr>
            </w:pPr>
            <w:r w:rsidRPr="003A7D81">
              <w:rPr>
                <w:b/>
                <w:bCs/>
              </w:rPr>
              <w:t>n+3</w:t>
            </w:r>
          </w:p>
          <w:p w:rsidR="00325A84" w:rsidRPr="003A7D81" w:rsidRDefault="00325A84" w:rsidP="00A44DD7">
            <w:pPr>
              <w:ind w:right="4"/>
              <w:jc w:val="center"/>
            </w:pPr>
            <w:r w:rsidRPr="003A7D81">
              <w:rPr>
                <w:b/>
                <w:bCs/>
              </w:rPr>
              <w:t>(2017.gads)</w:t>
            </w:r>
          </w:p>
        </w:tc>
      </w:tr>
      <w:tr w:rsidR="00325A84" w:rsidRPr="003A7D81" w:rsidTr="00A44DD7">
        <w:tc>
          <w:tcPr>
            <w:tcW w:w="2268" w:type="dxa"/>
            <w:vMerge/>
          </w:tcPr>
          <w:p w:rsidR="00325A84" w:rsidRPr="003A7D81" w:rsidRDefault="00325A84" w:rsidP="00A44DD7">
            <w:pPr>
              <w:jc w:val="both"/>
            </w:pPr>
          </w:p>
        </w:tc>
        <w:tc>
          <w:tcPr>
            <w:tcW w:w="1260" w:type="dxa"/>
          </w:tcPr>
          <w:p w:rsidR="00325A84" w:rsidRPr="003A7D81" w:rsidRDefault="00325A84" w:rsidP="00A44DD7">
            <w:pPr>
              <w:jc w:val="both"/>
            </w:pPr>
            <w:r w:rsidRPr="003A7D81">
              <w:t> Saskaņā ar valsts budžetu kārtējam gadam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ind w:left="-61"/>
              <w:jc w:val="both"/>
            </w:pPr>
            <w:r w:rsidRPr="003A7D81">
              <w:t> I</w:t>
            </w:r>
            <w:smartTag w:uri="urn:schemas-microsoft-com:office:smarttags" w:element="PersonName">
              <w:r w:rsidRPr="003A7D81">
                <w:t>zm</w:t>
              </w:r>
            </w:smartTag>
            <w:r w:rsidRPr="003A7D81">
              <w:t>aiņas kārtējā gadā, salīdzinot ar budžetu kārtējam gadam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ind w:left="-108"/>
              <w:jc w:val="both"/>
            </w:pPr>
            <w:r w:rsidRPr="003A7D81">
              <w:t>I</w:t>
            </w:r>
            <w:smartTag w:uri="urn:schemas-microsoft-com:office:smarttags" w:element="PersonName">
              <w:r w:rsidRPr="003A7D81">
                <w:t>zm</w:t>
              </w:r>
            </w:smartTag>
            <w:r w:rsidRPr="003A7D81">
              <w:t>aiņas, salīdzinot ar kārtējo (n) gadu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tabs>
                <w:tab w:val="left" w:pos="0"/>
              </w:tabs>
              <w:ind w:right="-108"/>
              <w:jc w:val="both"/>
            </w:pPr>
            <w:r w:rsidRPr="003A7D81">
              <w:t>I</w:t>
            </w:r>
            <w:smartTag w:uri="urn:schemas-microsoft-com:office:smarttags" w:element="PersonName">
              <w:r w:rsidRPr="003A7D81">
                <w:t>zm</w:t>
              </w:r>
            </w:smartTag>
            <w:r w:rsidRPr="003A7D81">
              <w:t>aiņas, salīdzinot ar kārtējo (n) gadu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both"/>
            </w:pPr>
            <w:r w:rsidRPr="003A7D81">
              <w:t> I</w:t>
            </w:r>
            <w:smartTag w:uri="urn:schemas-microsoft-com:office:smarttags" w:element="PersonName">
              <w:r w:rsidRPr="003A7D81">
                <w:t>zm</w:t>
              </w:r>
            </w:smartTag>
            <w:r w:rsidRPr="003A7D81">
              <w:t>aiņas, salīdzinot ar kārtējo (n) gadu</w:t>
            </w:r>
          </w:p>
        </w:tc>
      </w:tr>
      <w:tr w:rsidR="00325A84" w:rsidRPr="003A7D81" w:rsidTr="00A44DD7">
        <w:tc>
          <w:tcPr>
            <w:tcW w:w="2268" w:type="dxa"/>
          </w:tcPr>
          <w:p w:rsidR="00325A84" w:rsidRPr="003A7D81" w:rsidRDefault="00325A84" w:rsidP="00A44DD7">
            <w:pPr>
              <w:jc w:val="center"/>
            </w:pPr>
            <w:r w:rsidRPr="003A7D81">
              <w:t>1</w:t>
            </w:r>
          </w:p>
        </w:tc>
        <w:tc>
          <w:tcPr>
            <w:tcW w:w="1260" w:type="dxa"/>
          </w:tcPr>
          <w:p w:rsidR="00325A84" w:rsidRPr="003A7D81" w:rsidRDefault="00325A84" w:rsidP="00A44DD7">
            <w:pPr>
              <w:jc w:val="center"/>
            </w:pPr>
            <w:r w:rsidRPr="003A7D81">
              <w:t>2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3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4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5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6</w:t>
            </w:r>
          </w:p>
        </w:tc>
      </w:tr>
      <w:tr w:rsidR="00325A84" w:rsidRPr="003A7D81" w:rsidTr="00A44DD7">
        <w:tc>
          <w:tcPr>
            <w:tcW w:w="2268" w:type="dxa"/>
          </w:tcPr>
          <w:p w:rsidR="00325A84" w:rsidRPr="003A7D81" w:rsidRDefault="00325A84" w:rsidP="00A44DD7">
            <w:pPr>
              <w:jc w:val="both"/>
            </w:pPr>
            <w:r w:rsidRPr="003A7D81">
              <w:t>1. Budžeta ieņēmumi:</w:t>
            </w:r>
          </w:p>
        </w:tc>
        <w:tc>
          <w:tcPr>
            <w:tcW w:w="1260" w:type="dxa"/>
          </w:tcPr>
          <w:p w:rsidR="00325A84" w:rsidRPr="00B638C0" w:rsidRDefault="003831CB" w:rsidP="00A44DD7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</w:tr>
      <w:tr w:rsidR="00325A84" w:rsidRPr="003A7D81" w:rsidTr="00A44DD7">
        <w:tc>
          <w:tcPr>
            <w:tcW w:w="2268" w:type="dxa"/>
          </w:tcPr>
          <w:p w:rsidR="00325A84" w:rsidRPr="003A7D81" w:rsidRDefault="00325A84" w:rsidP="00A44DD7">
            <w:pPr>
              <w:jc w:val="both"/>
            </w:pPr>
            <w:r w:rsidRPr="003A7D81">
              <w:t>1.1. valsts pamatbudžets, tai skaitā ieņēmumi no maksas pakalpo-jumiem un citi pašu ieņēmumi</w:t>
            </w:r>
          </w:p>
        </w:tc>
        <w:tc>
          <w:tcPr>
            <w:tcW w:w="1260" w:type="dxa"/>
          </w:tcPr>
          <w:p w:rsidR="00325A84" w:rsidRPr="00B638C0" w:rsidRDefault="003831CB" w:rsidP="00A44DD7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</w:tr>
      <w:tr w:rsidR="00325A84" w:rsidRPr="003A7D81" w:rsidTr="00A44DD7">
        <w:tc>
          <w:tcPr>
            <w:tcW w:w="2268" w:type="dxa"/>
          </w:tcPr>
          <w:p w:rsidR="00325A84" w:rsidRPr="003A7D81" w:rsidRDefault="00325A84" w:rsidP="00A44DD7">
            <w:pPr>
              <w:jc w:val="both"/>
            </w:pPr>
            <w:r w:rsidRPr="003A7D81">
              <w:t>1.2. valsts speciālais budžets</w:t>
            </w:r>
          </w:p>
        </w:tc>
        <w:tc>
          <w:tcPr>
            <w:tcW w:w="1260" w:type="dxa"/>
          </w:tcPr>
          <w:p w:rsidR="00325A84" w:rsidRPr="00B638C0" w:rsidRDefault="00325A84" w:rsidP="00A44DD7">
            <w:pPr>
              <w:jc w:val="center"/>
            </w:pPr>
            <w:r w:rsidRPr="00B638C0">
              <w:t>0</w:t>
            </w:r>
          </w:p>
        </w:tc>
        <w:tc>
          <w:tcPr>
            <w:tcW w:w="1440" w:type="dxa"/>
          </w:tcPr>
          <w:p w:rsidR="00325A84" w:rsidRPr="00D158F0" w:rsidRDefault="00325A84" w:rsidP="00A44DD7">
            <w:pPr>
              <w:jc w:val="center"/>
            </w:pPr>
            <w:r w:rsidRPr="00D158F0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</w:tr>
      <w:tr w:rsidR="00325A84" w:rsidRPr="003A7D81" w:rsidTr="00A44DD7">
        <w:tc>
          <w:tcPr>
            <w:tcW w:w="2268" w:type="dxa"/>
          </w:tcPr>
          <w:p w:rsidR="00325A84" w:rsidRPr="003A7D81" w:rsidRDefault="00325A84" w:rsidP="00A44DD7">
            <w:pPr>
              <w:jc w:val="both"/>
            </w:pPr>
            <w:r w:rsidRPr="003A7D81">
              <w:t>1.3. pašvaldību budžets</w:t>
            </w:r>
          </w:p>
        </w:tc>
        <w:tc>
          <w:tcPr>
            <w:tcW w:w="1260" w:type="dxa"/>
          </w:tcPr>
          <w:p w:rsidR="00325A84" w:rsidRPr="00B638C0" w:rsidRDefault="00325A84" w:rsidP="00A44DD7">
            <w:pPr>
              <w:jc w:val="center"/>
            </w:pPr>
            <w:r w:rsidRPr="00B638C0">
              <w:t>0</w:t>
            </w:r>
          </w:p>
        </w:tc>
        <w:tc>
          <w:tcPr>
            <w:tcW w:w="1440" w:type="dxa"/>
          </w:tcPr>
          <w:p w:rsidR="00325A84" w:rsidRPr="00D158F0" w:rsidRDefault="00325A84" w:rsidP="00A44DD7">
            <w:pPr>
              <w:jc w:val="center"/>
            </w:pPr>
            <w:r w:rsidRPr="00D158F0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</w:tr>
      <w:tr w:rsidR="00325A84" w:rsidRPr="003A7D81" w:rsidTr="00A44DD7">
        <w:tc>
          <w:tcPr>
            <w:tcW w:w="2268" w:type="dxa"/>
          </w:tcPr>
          <w:p w:rsidR="00325A84" w:rsidRPr="003A7D81" w:rsidRDefault="00325A84" w:rsidP="00A44DD7">
            <w:pPr>
              <w:jc w:val="both"/>
            </w:pPr>
            <w:r w:rsidRPr="003A7D81">
              <w:t>2. Budžeta izdevumi:</w:t>
            </w:r>
          </w:p>
        </w:tc>
        <w:tc>
          <w:tcPr>
            <w:tcW w:w="1260" w:type="dxa"/>
          </w:tcPr>
          <w:p w:rsidR="00325A84" w:rsidRPr="00B638C0" w:rsidRDefault="003831CB" w:rsidP="00A44DD7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325A84" w:rsidRPr="000344F5" w:rsidRDefault="000344F5" w:rsidP="00C65F87">
            <w:pPr>
              <w:jc w:val="center"/>
            </w:pPr>
            <w:r w:rsidRPr="000344F5">
              <w:t>25702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</w:tr>
      <w:tr w:rsidR="00325A84" w:rsidRPr="003A7D81" w:rsidTr="00A44DD7">
        <w:tc>
          <w:tcPr>
            <w:tcW w:w="2268" w:type="dxa"/>
          </w:tcPr>
          <w:p w:rsidR="00325A84" w:rsidRPr="003A7D81" w:rsidRDefault="00325A84" w:rsidP="00A44DD7">
            <w:pPr>
              <w:jc w:val="both"/>
            </w:pPr>
            <w:r w:rsidRPr="003A7D81">
              <w:t>2.1. valsts pamatbudžets</w:t>
            </w:r>
          </w:p>
        </w:tc>
        <w:tc>
          <w:tcPr>
            <w:tcW w:w="1260" w:type="dxa"/>
          </w:tcPr>
          <w:p w:rsidR="00325A84" w:rsidRPr="00B638C0" w:rsidRDefault="003831CB" w:rsidP="00A44DD7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325A84" w:rsidRPr="000344F5" w:rsidRDefault="000344F5" w:rsidP="00A44DD7">
            <w:pPr>
              <w:jc w:val="center"/>
            </w:pPr>
            <w:r w:rsidRPr="000344F5">
              <w:t>25702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</w:tr>
      <w:tr w:rsidR="00325A84" w:rsidRPr="003A7D81" w:rsidTr="00A44DD7">
        <w:tc>
          <w:tcPr>
            <w:tcW w:w="2268" w:type="dxa"/>
          </w:tcPr>
          <w:p w:rsidR="00325A84" w:rsidRPr="003A7D81" w:rsidRDefault="00325A84" w:rsidP="00A44DD7">
            <w:pPr>
              <w:jc w:val="both"/>
            </w:pPr>
            <w:r w:rsidRPr="003A7D81">
              <w:t>2.2. valsts speciālais budžets</w:t>
            </w:r>
          </w:p>
        </w:tc>
        <w:tc>
          <w:tcPr>
            <w:tcW w:w="126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0344F5" w:rsidRDefault="00325A84" w:rsidP="00A44DD7">
            <w:pPr>
              <w:jc w:val="center"/>
            </w:pPr>
            <w:r w:rsidRPr="000344F5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</w:tr>
      <w:tr w:rsidR="00325A84" w:rsidRPr="003A7D81" w:rsidTr="00A44DD7">
        <w:tc>
          <w:tcPr>
            <w:tcW w:w="2268" w:type="dxa"/>
          </w:tcPr>
          <w:p w:rsidR="00325A84" w:rsidRPr="003A7D81" w:rsidRDefault="00325A84" w:rsidP="00A44DD7">
            <w:pPr>
              <w:jc w:val="both"/>
            </w:pPr>
            <w:r w:rsidRPr="003A7D81">
              <w:t>2.3. pašvaldību budžets</w:t>
            </w:r>
          </w:p>
        </w:tc>
        <w:tc>
          <w:tcPr>
            <w:tcW w:w="126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0344F5" w:rsidRDefault="00325A84" w:rsidP="00A44DD7">
            <w:pPr>
              <w:jc w:val="center"/>
            </w:pPr>
            <w:r w:rsidRPr="000344F5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</w:tr>
      <w:tr w:rsidR="00325A84" w:rsidRPr="003A7D81" w:rsidTr="00A44DD7">
        <w:tc>
          <w:tcPr>
            <w:tcW w:w="2268" w:type="dxa"/>
          </w:tcPr>
          <w:p w:rsidR="00325A84" w:rsidRPr="003A7D81" w:rsidRDefault="00325A84" w:rsidP="00A44DD7">
            <w:pPr>
              <w:jc w:val="both"/>
            </w:pPr>
            <w:r w:rsidRPr="003A7D81">
              <w:t>3. Finansiālā ietekme:</w:t>
            </w:r>
          </w:p>
        </w:tc>
        <w:tc>
          <w:tcPr>
            <w:tcW w:w="126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0344F5" w:rsidRDefault="00325A84" w:rsidP="00437768">
            <w:pPr>
              <w:jc w:val="center"/>
            </w:pPr>
            <w:r w:rsidRPr="000344F5">
              <w:rPr>
                <w:bCs/>
              </w:rPr>
              <w:t>–</w:t>
            </w:r>
            <w:r w:rsidR="00CC7EF3" w:rsidRPr="000344F5">
              <w:rPr>
                <w:bCs/>
              </w:rPr>
              <w:t> </w:t>
            </w:r>
            <w:r w:rsidR="000344F5" w:rsidRPr="000344F5">
              <w:t>25702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</w:tr>
      <w:tr w:rsidR="00325A84" w:rsidRPr="003A7D81" w:rsidTr="00A44DD7">
        <w:tc>
          <w:tcPr>
            <w:tcW w:w="2268" w:type="dxa"/>
          </w:tcPr>
          <w:p w:rsidR="00325A84" w:rsidRPr="003A7D81" w:rsidRDefault="00325A84" w:rsidP="00A44DD7">
            <w:pPr>
              <w:jc w:val="both"/>
            </w:pPr>
            <w:r w:rsidRPr="003A7D81">
              <w:t>3.1. valsts pamatbudžets</w:t>
            </w:r>
          </w:p>
        </w:tc>
        <w:tc>
          <w:tcPr>
            <w:tcW w:w="126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0344F5" w:rsidRDefault="00325A84" w:rsidP="00437768">
            <w:pPr>
              <w:jc w:val="center"/>
            </w:pPr>
            <w:r w:rsidRPr="000344F5">
              <w:rPr>
                <w:bCs/>
              </w:rPr>
              <w:t>–</w:t>
            </w:r>
            <w:r w:rsidR="00CC7EF3" w:rsidRPr="000344F5">
              <w:rPr>
                <w:bCs/>
              </w:rPr>
              <w:t> </w:t>
            </w:r>
            <w:r w:rsidR="000344F5" w:rsidRPr="000344F5">
              <w:t>25702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</w:tr>
      <w:tr w:rsidR="00325A84" w:rsidRPr="003A7D81" w:rsidTr="00A44DD7">
        <w:tc>
          <w:tcPr>
            <w:tcW w:w="2268" w:type="dxa"/>
          </w:tcPr>
          <w:p w:rsidR="00325A84" w:rsidRPr="003A7D81" w:rsidRDefault="00325A84" w:rsidP="00A44DD7">
            <w:pPr>
              <w:jc w:val="both"/>
            </w:pPr>
            <w:r w:rsidRPr="003A7D81">
              <w:t>3.2. speciālais budžets</w:t>
            </w:r>
          </w:p>
        </w:tc>
        <w:tc>
          <w:tcPr>
            <w:tcW w:w="126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0344F5" w:rsidRDefault="00325A84" w:rsidP="00A44DD7">
            <w:pPr>
              <w:jc w:val="center"/>
            </w:pPr>
            <w:r w:rsidRPr="000344F5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</w:tr>
      <w:tr w:rsidR="00325A84" w:rsidRPr="003A7D81" w:rsidTr="00A44DD7">
        <w:tc>
          <w:tcPr>
            <w:tcW w:w="2268" w:type="dxa"/>
          </w:tcPr>
          <w:p w:rsidR="00325A84" w:rsidRPr="003A7D81" w:rsidRDefault="00325A84" w:rsidP="00A44DD7">
            <w:pPr>
              <w:jc w:val="both"/>
            </w:pPr>
            <w:r w:rsidRPr="003A7D81">
              <w:t>3.3. pašvaldību budžets</w:t>
            </w:r>
          </w:p>
        </w:tc>
        <w:tc>
          <w:tcPr>
            <w:tcW w:w="126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0344F5" w:rsidRDefault="00325A84" w:rsidP="00A44DD7">
            <w:pPr>
              <w:jc w:val="center"/>
            </w:pPr>
            <w:r w:rsidRPr="000344F5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</w:tr>
      <w:tr w:rsidR="00325A84" w:rsidRPr="003A7D81" w:rsidTr="00A44DD7">
        <w:tc>
          <w:tcPr>
            <w:tcW w:w="2268" w:type="dxa"/>
            <w:vMerge w:val="restart"/>
          </w:tcPr>
          <w:p w:rsidR="00325A84" w:rsidRPr="003A7D81" w:rsidRDefault="00325A84" w:rsidP="00A44DD7">
            <w:pPr>
              <w:jc w:val="both"/>
            </w:pPr>
            <w:r w:rsidRPr="003A7D81">
              <w:t>4. Finanšu līdzekļi papildu izde</w:t>
            </w:r>
            <w:r w:rsidRPr="003A7D81">
              <w:softHyphen/>
              <w:t>vumu finansēšanai (kompensējošu izdevumu samazinājumu norāda ar "+" zīmi)</w:t>
            </w:r>
          </w:p>
        </w:tc>
        <w:tc>
          <w:tcPr>
            <w:tcW w:w="1260" w:type="dxa"/>
            <w:vMerge w:val="restart"/>
          </w:tcPr>
          <w:p w:rsidR="00325A84" w:rsidRPr="003A7D81" w:rsidRDefault="00325A84" w:rsidP="00A44DD7">
            <w:pPr>
              <w:jc w:val="center"/>
            </w:pPr>
            <w:r w:rsidRPr="003A7D81">
              <w:t>X</w:t>
            </w:r>
          </w:p>
        </w:tc>
        <w:tc>
          <w:tcPr>
            <w:tcW w:w="1440" w:type="dxa"/>
          </w:tcPr>
          <w:p w:rsidR="00325A84" w:rsidRPr="000344F5" w:rsidRDefault="00325A84" w:rsidP="00A44DD7">
            <w:pPr>
              <w:jc w:val="center"/>
            </w:pPr>
            <w:r w:rsidRPr="000344F5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</w:tr>
      <w:tr w:rsidR="00325A84" w:rsidRPr="003A7D81" w:rsidTr="00A44DD7">
        <w:tc>
          <w:tcPr>
            <w:tcW w:w="2268" w:type="dxa"/>
            <w:vMerge/>
          </w:tcPr>
          <w:p w:rsidR="00325A84" w:rsidRPr="003A7D81" w:rsidRDefault="00325A84" w:rsidP="00A44DD7">
            <w:pPr>
              <w:jc w:val="both"/>
            </w:pPr>
          </w:p>
        </w:tc>
        <w:tc>
          <w:tcPr>
            <w:tcW w:w="1260" w:type="dxa"/>
            <w:vMerge/>
          </w:tcPr>
          <w:p w:rsidR="00325A84" w:rsidRPr="003A7D81" w:rsidRDefault="00325A84" w:rsidP="00A44DD7">
            <w:pPr>
              <w:jc w:val="both"/>
            </w:pPr>
          </w:p>
        </w:tc>
        <w:tc>
          <w:tcPr>
            <w:tcW w:w="1440" w:type="dxa"/>
          </w:tcPr>
          <w:p w:rsidR="00325A84" w:rsidRPr="000344F5" w:rsidRDefault="00325A84" w:rsidP="00A44DD7">
            <w:pPr>
              <w:jc w:val="center"/>
            </w:pPr>
            <w:r w:rsidRPr="000344F5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</w:tr>
      <w:tr w:rsidR="00325A84" w:rsidRPr="003A7D81" w:rsidTr="00A44DD7">
        <w:tc>
          <w:tcPr>
            <w:tcW w:w="2268" w:type="dxa"/>
            <w:vMerge/>
          </w:tcPr>
          <w:p w:rsidR="00325A84" w:rsidRPr="003A7D81" w:rsidRDefault="00325A84" w:rsidP="00A44DD7">
            <w:pPr>
              <w:jc w:val="both"/>
            </w:pPr>
          </w:p>
        </w:tc>
        <w:tc>
          <w:tcPr>
            <w:tcW w:w="1260" w:type="dxa"/>
            <w:vMerge/>
          </w:tcPr>
          <w:p w:rsidR="00325A84" w:rsidRPr="003A7D81" w:rsidRDefault="00325A84" w:rsidP="00A44DD7">
            <w:pPr>
              <w:jc w:val="both"/>
            </w:pPr>
          </w:p>
        </w:tc>
        <w:tc>
          <w:tcPr>
            <w:tcW w:w="1440" w:type="dxa"/>
          </w:tcPr>
          <w:p w:rsidR="00325A84" w:rsidRPr="000344F5" w:rsidRDefault="00C65F87" w:rsidP="00A44DD7">
            <w:pPr>
              <w:jc w:val="center"/>
            </w:pPr>
            <w:r w:rsidRPr="000344F5">
              <w:t>+</w:t>
            </w:r>
            <w:r w:rsidR="00CC7EF3" w:rsidRPr="000344F5">
              <w:t> </w:t>
            </w:r>
            <w:r w:rsidR="000344F5" w:rsidRPr="000344F5">
              <w:t>25702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</w:tr>
      <w:tr w:rsidR="00325A84" w:rsidRPr="003A7D81" w:rsidTr="00A44DD7">
        <w:tc>
          <w:tcPr>
            <w:tcW w:w="2268" w:type="dxa"/>
          </w:tcPr>
          <w:p w:rsidR="00325A84" w:rsidRPr="003A7D81" w:rsidRDefault="00325A84" w:rsidP="00A44DD7">
            <w:pPr>
              <w:jc w:val="both"/>
            </w:pPr>
            <w:r w:rsidRPr="003A7D81">
              <w:t>5. Precizēta finansiālā ietekme:</w:t>
            </w:r>
          </w:p>
        </w:tc>
        <w:tc>
          <w:tcPr>
            <w:tcW w:w="1260" w:type="dxa"/>
            <w:vMerge w:val="restart"/>
          </w:tcPr>
          <w:p w:rsidR="00325A84" w:rsidRPr="003A7D81" w:rsidRDefault="00325A84" w:rsidP="00A44DD7">
            <w:pPr>
              <w:jc w:val="center"/>
            </w:pPr>
            <w:r w:rsidRPr="003A7D81">
              <w:t>X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</w:tr>
      <w:tr w:rsidR="00325A84" w:rsidRPr="003A7D81" w:rsidTr="00A44DD7">
        <w:tc>
          <w:tcPr>
            <w:tcW w:w="2268" w:type="dxa"/>
          </w:tcPr>
          <w:p w:rsidR="00325A84" w:rsidRPr="003A7D81" w:rsidRDefault="00325A84" w:rsidP="00A44DD7">
            <w:pPr>
              <w:jc w:val="both"/>
            </w:pPr>
            <w:r w:rsidRPr="003A7D81">
              <w:t>5.1. valsts pamatbudžets</w:t>
            </w:r>
          </w:p>
        </w:tc>
        <w:tc>
          <w:tcPr>
            <w:tcW w:w="1260" w:type="dxa"/>
            <w:vMerge/>
          </w:tcPr>
          <w:p w:rsidR="00325A84" w:rsidRPr="003A7D81" w:rsidRDefault="00325A84" w:rsidP="00A44DD7">
            <w:pPr>
              <w:jc w:val="both"/>
            </w:pP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</w:tr>
      <w:tr w:rsidR="00325A84" w:rsidRPr="003A7D81" w:rsidTr="00A44DD7">
        <w:tc>
          <w:tcPr>
            <w:tcW w:w="2268" w:type="dxa"/>
          </w:tcPr>
          <w:p w:rsidR="00325A84" w:rsidRPr="003A7D81" w:rsidRDefault="00325A84" w:rsidP="00A44DD7">
            <w:pPr>
              <w:jc w:val="both"/>
            </w:pPr>
            <w:r w:rsidRPr="003A7D81">
              <w:t xml:space="preserve">5.2. speciālais </w:t>
            </w:r>
            <w:r w:rsidRPr="003A7D81">
              <w:lastRenderedPageBreak/>
              <w:t>budžets</w:t>
            </w:r>
          </w:p>
        </w:tc>
        <w:tc>
          <w:tcPr>
            <w:tcW w:w="1260" w:type="dxa"/>
            <w:vMerge/>
          </w:tcPr>
          <w:p w:rsidR="00325A84" w:rsidRPr="003A7D81" w:rsidRDefault="00325A84" w:rsidP="00A44DD7">
            <w:pPr>
              <w:jc w:val="both"/>
            </w:pP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</w:tr>
      <w:tr w:rsidR="00325A84" w:rsidRPr="003A7D81" w:rsidTr="00A44DD7">
        <w:tc>
          <w:tcPr>
            <w:tcW w:w="2268" w:type="dxa"/>
          </w:tcPr>
          <w:p w:rsidR="00325A84" w:rsidRPr="003A7D81" w:rsidRDefault="00325A84" w:rsidP="00A44DD7">
            <w:pPr>
              <w:jc w:val="both"/>
            </w:pPr>
            <w:r w:rsidRPr="003A7D81">
              <w:lastRenderedPageBreak/>
              <w:t> 5.3. pašvaldību budžets</w:t>
            </w:r>
          </w:p>
        </w:tc>
        <w:tc>
          <w:tcPr>
            <w:tcW w:w="1260" w:type="dxa"/>
            <w:vMerge/>
          </w:tcPr>
          <w:p w:rsidR="00325A84" w:rsidRPr="003A7D81" w:rsidRDefault="00325A84" w:rsidP="00A44DD7">
            <w:pPr>
              <w:jc w:val="both"/>
            </w:pP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  <w:tc>
          <w:tcPr>
            <w:tcW w:w="1440" w:type="dxa"/>
          </w:tcPr>
          <w:p w:rsidR="00325A84" w:rsidRPr="003A7D81" w:rsidRDefault="00325A84" w:rsidP="00A44DD7">
            <w:pPr>
              <w:jc w:val="center"/>
            </w:pPr>
            <w:r w:rsidRPr="003A7D81">
              <w:t>0</w:t>
            </w:r>
          </w:p>
        </w:tc>
      </w:tr>
      <w:tr w:rsidR="00325A84" w:rsidRPr="003A7D81" w:rsidTr="00A44DD7">
        <w:tc>
          <w:tcPr>
            <w:tcW w:w="2268" w:type="dxa"/>
          </w:tcPr>
          <w:p w:rsidR="00325A84" w:rsidRPr="003A7D81" w:rsidRDefault="00325A84" w:rsidP="00A44DD7">
            <w:pPr>
              <w:jc w:val="both"/>
            </w:pPr>
            <w:r w:rsidRPr="003A7D81">
              <w:t>6. Detalizēts ieņēmumu un izdevu</w:t>
            </w:r>
            <w:r w:rsidRPr="003A7D81"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7020" w:type="dxa"/>
            <w:gridSpan w:val="5"/>
          </w:tcPr>
          <w:p w:rsidR="00325A84" w:rsidRPr="003A7D81" w:rsidRDefault="00325A84" w:rsidP="00A44DD7">
            <w:pPr>
              <w:pStyle w:val="Paraststmeklis"/>
              <w:spacing w:before="0" w:beforeAutospacing="0" w:after="0" w:afterAutospacing="0"/>
              <w:jc w:val="both"/>
            </w:pPr>
            <w:r w:rsidRPr="003A7D81">
              <w:t xml:space="preserve">Papildu informācija anotācijas pielikumā. </w:t>
            </w:r>
          </w:p>
        </w:tc>
      </w:tr>
      <w:tr w:rsidR="00325A84" w:rsidRPr="003A7D81" w:rsidTr="00A44DD7">
        <w:tc>
          <w:tcPr>
            <w:tcW w:w="2268" w:type="dxa"/>
          </w:tcPr>
          <w:p w:rsidR="00325A84" w:rsidRPr="003A7D81" w:rsidRDefault="00325A84" w:rsidP="00A44DD7">
            <w:pPr>
              <w:jc w:val="both"/>
            </w:pPr>
            <w:r w:rsidRPr="003A7D81">
              <w:t>6.1. detalizēts ieņēmumu aprēķins</w:t>
            </w:r>
          </w:p>
        </w:tc>
        <w:tc>
          <w:tcPr>
            <w:tcW w:w="7020" w:type="dxa"/>
            <w:gridSpan w:val="5"/>
          </w:tcPr>
          <w:p w:rsidR="00325A84" w:rsidRPr="003A7D81" w:rsidRDefault="00325A84" w:rsidP="00A44DD7">
            <w:pPr>
              <w:jc w:val="both"/>
            </w:pPr>
            <w:r w:rsidRPr="003A7D81">
              <w:t>Projekts šo jomu neskar.</w:t>
            </w:r>
          </w:p>
        </w:tc>
      </w:tr>
      <w:tr w:rsidR="00325A84" w:rsidRPr="003A7D81" w:rsidTr="00A44DD7">
        <w:tc>
          <w:tcPr>
            <w:tcW w:w="2268" w:type="dxa"/>
          </w:tcPr>
          <w:p w:rsidR="00325A84" w:rsidRPr="003A7D81" w:rsidRDefault="00325A84" w:rsidP="00A44DD7">
            <w:pPr>
              <w:jc w:val="both"/>
            </w:pPr>
            <w:r w:rsidRPr="003A7D81">
              <w:t>6.2. detalizēts izdevumu aprēķins</w:t>
            </w:r>
          </w:p>
        </w:tc>
        <w:tc>
          <w:tcPr>
            <w:tcW w:w="7020" w:type="dxa"/>
            <w:gridSpan w:val="5"/>
          </w:tcPr>
          <w:p w:rsidR="00325A84" w:rsidRPr="003A7D81" w:rsidRDefault="00325A84" w:rsidP="00A44DD7">
            <w:pPr>
              <w:jc w:val="both"/>
            </w:pPr>
          </w:p>
        </w:tc>
      </w:tr>
      <w:tr w:rsidR="00325A84" w:rsidRPr="003A7D81" w:rsidTr="00A44DD7">
        <w:tc>
          <w:tcPr>
            <w:tcW w:w="2268" w:type="dxa"/>
          </w:tcPr>
          <w:p w:rsidR="00325A84" w:rsidRPr="003A7D81" w:rsidRDefault="00325A84" w:rsidP="00A44DD7">
            <w:pPr>
              <w:jc w:val="both"/>
            </w:pPr>
            <w:r w:rsidRPr="003A7D81">
              <w:t>7. Cita informācija</w:t>
            </w:r>
          </w:p>
        </w:tc>
        <w:tc>
          <w:tcPr>
            <w:tcW w:w="7020" w:type="dxa"/>
            <w:gridSpan w:val="5"/>
          </w:tcPr>
          <w:p w:rsidR="00325A84" w:rsidRPr="003A7D81" w:rsidRDefault="00325A84" w:rsidP="00A44DD7">
            <w:pPr>
              <w:pStyle w:val="Paraststmeklis"/>
              <w:spacing w:before="0" w:beforeAutospacing="0" w:after="0" w:afterAutospacing="0"/>
              <w:jc w:val="both"/>
            </w:pPr>
            <w:r w:rsidRPr="003A7D81">
              <w:t>Izdevum</w:t>
            </w:r>
            <w:r>
              <w:t>i tiek</w:t>
            </w:r>
            <w:r w:rsidRPr="003A7D81">
              <w:t xml:space="preserve"> se</w:t>
            </w:r>
            <w:r>
              <w:t>gti</w:t>
            </w:r>
            <w:r w:rsidRPr="003A7D81">
              <w:t xml:space="preserve"> no valsts budžeta programmas 02.00.00 „Līdzekļi neparedzētiem gadījumiem”. </w:t>
            </w:r>
          </w:p>
        </w:tc>
      </w:tr>
    </w:tbl>
    <w:p w:rsidR="00325A84" w:rsidRPr="003A7D81" w:rsidRDefault="00325A84" w:rsidP="00325A84">
      <w:pPr>
        <w:jc w:val="both"/>
        <w:rPr>
          <w:i/>
        </w:rPr>
      </w:pPr>
      <w:r w:rsidRPr="003A7D81">
        <w:rPr>
          <w:i/>
        </w:rPr>
        <w:t>Anotācijas IV, V, VI un VII sadaļa –</w:t>
      </w:r>
      <w:r w:rsidRPr="003A7D81">
        <w:t xml:space="preserve"> projekts šo jomu neskar.</w:t>
      </w:r>
    </w:p>
    <w:p w:rsidR="00325A84" w:rsidRPr="003A7D81" w:rsidRDefault="00325A84" w:rsidP="00325A84">
      <w:pPr>
        <w:jc w:val="both"/>
      </w:pPr>
    </w:p>
    <w:p w:rsidR="00BE6D95" w:rsidRDefault="00BE6D95" w:rsidP="00527AC8">
      <w:pPr>
        <w:ind w:firstLine="720"/>
        <w:jc w:val="both"/>
        <w:rPr>
          <w:sz w:val="28"/>
          <w:szCs w:val="28"/>
        </w:rPr>
      </w:pPr>
    </w:p>
    <w:p w:rsidR="00325A84" w:rsidRPr="00BE6D95" w:rsidRDefault="00325A84" w:rsidP="00527AC8">
      <w:pPr>
        <w:ind w:firstLine="720"/>
        <w:jc w:val="both"/>
        <w:rPr>
          <w:sz w:val="28"/>
          <w:szCs w:val="28"/>
        </w:rPr>
      </w:pPr>
      <w:r w:rsidRPr="00BE6D95">
        <w:rPr>
          <w:sz w:val="28"/>
          <w:szCs w:val="28"/>
        </w:rPr>
        <w:t>Zemkopības ministrs</w:t>
      </w:r>
      <w:r w:rsidRPr="00BE6D95">
        <w:rPr>
          <w:sz w:val="28"/>
          <w:szCs w:val="28"/>
        </w:rPr>
        <w:tab/>
      </w:r>
      <w:r w:rsidRPr="00BE6D95">
        <w:rPr>
          <w:sz w:val="28"/>
          <w:szCs w:val="28"/>
        </w:rPr>
        <w:tab/>
      </w:r>
      <w:r w:rsidRPr="00BE6D95">
        <w:rPr>
          <w:sz w:val="28"/>
          <w:szCs w:val="28"/>
        </w:rPr>
        <w:tab/>
      </w:r>
      <w:r w:rsidRPr="00BE6D95">
        <w:rPr>
          <w:sz w:val="28"/>
          <w:szCs w:val="28"/>
        </w:rPr>
        <w:tab/>
      </w:r>
      <w:r w:rsidRPr="00BE6D95">
        <w:rPr>
          <w:sz w:val="28"/>
          <w:szCs w:val="28"/>
        </w:rPr>
        <w:tab/>
      </w:r>
      <w:r w:rsidRPr="00BE6D95">
        <w:rPr>
          <w:sz w:val="28"/>
          <w:szCs w:val="28"/>
        </w:rPr>
        <w:tab/>
        <w:t xml:space="preserve">J.Dūklavs </w:t>
      </w:r>
    </w:p>
    <w:p w:rsidR="00B638C0" w:rsidRDefault="00B638C0" w:rsidP="00325A84">
      <w:pPr>
        <w:pStyle w:val="naisf"/>
        <w:tabs>
          <w:tab w:val="left" w:pos="720"/>
        </w:tabs>
        <w:spacing w:before="0" w:after="0"/>
        <w:ind w:firstLine="0"/>
        <w:rPr>
          <w:sz w:val="20"/>
          <w:szCs w:val="20"/>
        </w:rPr>
      </w:pPr>
    </w:p>
    <w:p w:rsidR="00BE6D95" w:rsidRDefault="00BE6D95" w:rsidP="00325A84">
      <w:pPr>
        <w:pStyle w:val="naisf"/>
        <w:tabs>
          <w:tab w:val="left" w:pos="720"/>
        </w:tabs>
        <w:spacing w:before="0" w:after="0"/>
        <w:ind w:firstLine="0"/>
        <w:rPr>
          <w:sz w:val="20"/>
          <w:szCs w:val="20"/>
        </w:rPr>
      </w:pPr>
    </w:p>
    <w:p w:rsidR="00BE6D95" w:rsidRDefault="00BE6D95" w:rsidP="00325A84">
      <w:pPr>
        <w:pStyle w:val="naisf"/>
        <w:tabs>
          <w:tab w:val="left" w:pos="720"/>
        </w:tabs>
        <w:spacing w:before="0" w:after="0"/>
        <w:ind w:firstLine="0"/>
        <w:rPr>
          <w:sz w:val="20"/>
          <w:szCs w:val="20"/>
        </w:rPr>
      </w:pPr>
    </w:p>
    <w:p w:rsidR="00BE6D95" w:rsidRDefault="00BE6D95" w:rsidP="00325A84">
      <w:pPr>
        <w:pStyle w:val="naisf"/>
        <w:tabs>
          <w:tab w:val="left" w:pos="720"/>
        </w:tabs>
        <w:spacing w:before="0" w:after="0"/>
        <w:ind w:firstLine="0"/>
        <w:rPr>
          <w:sz w:val="20"/>
          <w:szCs w:val="20"/>
        </w:rPr>
      </w:pPr>
    </w:p>
    <w:p w:rsidR="00BE6D95" w:rsidRDefault="00BE6D95" w:rsidP="00325A84">
      <w:pPr>
        <w:pStyle w:val="naisf"/>
        <w:tabs>
          <w:tab w:val="left" w:pos="720"/>
        </w:tabs>
        <w:spacing w:before="0" w:after="0"/>
        <w:ind w:firstLine="0"/>
        <w:rPr>
          <w:sz w:val="20"/>
          <w:szCs w:val="20"/>
        </w:rPr>
      </w:pPr>
    </w:p>
    <w:p w:rsidR="00BE6D95" w:rsidRDefault="00BE6D95" w:rsidP="00325A84">
      <w:pPr>
        <w:pStyle w:val="naisf"/>
        <w:tabs>
          <w:tab w:val="left" w:pos="720"/>
        </w:tabs>
        <w:spacing w:before="0" w:after="0"/>
        <w:ind w:firstLine="0"/>
        <w:rPr>
          <w:sz w:val="20"/>
          <w:szCs w:val="20"/>
        </w:rPr>
      </w:pPr>
    </w:p>
    <w:p w:rsidR="00BE6D95" w:rsidRDefault="00BE6D95" w:rsidP="00325A84">
      <w:pPr>
        <w:pStyle w:val="naisf"/>
        <w:tabs>
          <w:tab w:val="left" w:pos="720"/>
        </w:tabs>
        <w:spacing w:before="0" w:after="0"/>
        <w:ind w:firstLine="0"/>
        <w:rPr>
          <w:sz w:val="20"/>
          <w:szCs w:val="20"/>
        </w:rPr>
      </w:pPr>
    </w:p>
    <w:p w:rsidR="00BE6D95" w:rsidRDefault="00BE6D95" w:rsidP="00325A84">
      <w:pPr>
        <w:pStyle w:val="naisf"/>
        <w:tabs>
          <w:tab w:val="left" w:pos="720"/>
        </w:tabs>
        <w:spacing w:before="0" w:after="0"/>
        <w:ind w:firstLine="0"/>
        <w:rPr>
          <w:sz w:val="20"/>
          <w:szCs w:val="20"/>
        </w:rPr>
      </w:pPr>
    </w:p>
    <w:p w:rsidR="00BE6D95" w:rsidRDefault="00BE6D95" w:rsidP="00325A84">
      <w:pPr>
        <w:pStyle w:val="naisf"/>
        <w:tabs>
          <w:tab w:val="left" w:pos="720"/>
        </w:tabs>
        <w:spacing w:before="0" w:after="0"/>
        <w:ind w:firstLine="0"/>
        <w:rPr>
          <w:sz w:val="20"/>
          <w:szCs w:val="20"/>
        </w:rPr>
      </w:pPr>
    </w:p>
    <w:p w:rsidR="00BE6D95" w:rsidRDefault="00BE6D95" w:rsidP="00325A84">
      <w:pPr>
        <w:pStyle w:val="naisf"/>
        <w:tabs>
          <w:tab w:val="left" w:pos="720"/>
        </w:tabs>
        <w:spacing w:before="0" w:after="0"/>
        <w:ind w:firstLine="0"/>
        <w:rPr>
          <w:sz w:val="20"/>
          <w:szCs w:val="20"/>
        </w:rPr>
      </w:pPr>
    </w:p>
    <w:p w:rsidR="00BE6D95" w:rsidRDefault="00BE6D95" w:rsidP="00325A84">
      <w:pPr>
        <w:pStyle w:val="naisf"/>
        <w:tabs>
          <w:tab w:val="left" w:pos="720"/>
        </w:tabs>
        <w:spacing w:before="0" w:after="0"/>
        <w:ind w:firstLine="0"/>
        <w:rPr>
          <w:sz w:val="20"/>
          <w:szCs w:val="20"/>
        </w:rPr>
      </w:pPr>
    </w:p>
    <w:p w:rsidR="00BE6D95" w:rsidRDefault="00BE6D95" w:rsidP="00325A84">
      <w:pPr>
        <w:pStyle w:val="naisf"/>
        <w:tabs>
          <w:tab w:val="left" w:pos="720"/>
        </w:tabs>
        <w:spacing w:before="0" w:after="0"/>
        <w:ind w:firstLine="0"/>
        <w:rPr>
          <w:sz w:val="20"/>
          <w:szCs w:val="20"/>
        </w:rPr>
      </w:pPr>
    </w:p>
    <w:p w:rsidR="00BE6D95" w:rsidRDefault="00BE6D95" w:rsidP="00325A84">
      <w:pPr>
        <w:pStyle w:val="naisf"/>
        <w:tabs>
          <w:tab w:val="left" w:pos="720"/>
        </w:tabs>
        <w:spacing w:before="0" w:after="0"/>
        <w:ind w:firstLine="0"/>
        <w:rPr>
          <w:sz w:val="20"/>
          <w:szCs w:val="20"/>
        </w:rPr>
      </w:pPr>
    </w:p>
    <w:p w:rsidR="00BE6D95" w:rsidRDefault="00BE6D95" w:rsidP="00325A84">
      <w:pPr>
        <w:pStyle w:val="naisf"/>
        <w:tabs>
          <w:tab w:val="left" w:pos="720"/>
        </w:tabs>
        <w:spacing w:before="0" w:after="0"/>
        <w:ind w:firstLine="0"/>
        <w:rPr>
          <w:sz w:val="20"/>
          <w:szCs w:val="20"/>
        </w:rPr>
      </w:pPr>
    </w:p>
    <w:p w:rsidR="00BE6D95" w:rsidRDefault="00BE6D95" w:rsidP="00325A84">
      <w:pPr>
        <w:pStyle w:val="naisf"/>
        <w:tabs>
          <w:tab w:val="left" w:pos="720"/>
        </w:tabs>
        <w:spacing w:before="0" w:after="0"/>
        <w:ind w:firstLine="0"/>
        <w:rPr>
          <w:sz w:val="20"/>
          <w:szCs w:val="20"/>
        </w:rPr>
      </w:pPr>
    </w:p>
    <w:p w:rsidR="00BE6D95" w:rsidRDefault="00BE6D95" w:rsidP="00325A84">
      <w:pPr>
        <w:pStyle w:val="naisf"/>
        <w:tabs>
          <w:tab w:val="left" w:pos="720"/>
        </w:tabs>
        <w:spacing w:before="0" w:after="0"/>
        <w:ind w:firstLine="0"/>
        <w:rPr>
          <w:sz w:val="20"/>
          <w:szCs w:val="20"/>
        </w:rPr>
      </w:pPr>
    </w:p>
    <w:p w:rsidR="00BE6D95" w:rsidRDefault="00BE6D95" w:rsidP="00325A84">
      <w:pPr>
        <w:pStyle w:val="naisf"/>
        <w:tabs>
          <w:tab w:val="left" w:pos="720"/>
        </w:tabs>
        <w:spacing w:before="0" w:after="0"/>
        <w:ind w:firstLine="0"/>
        <w:rPr>
          <w:sz w:val="20"/>
          <w:szCs w:val="20"/>
        </w:rPr>
      </w:pPr>
    </w:p>
    <w:p w:rsidR="00BE6D95" w:rsidRDefault="00BE6D95" w:rsidP="00325A84">
      <w:pPr>
        <w:pStyle w:val="naisf"/>
        <w:tabs>
          <w:tab w:val="left" w:pos="720"/>
        </w:tabs>
        <w:spacing w:before="0" w:after="0"/>
        <w:ind w:firstLine="0"/>
        <w:rPr>
          <w:sz w:val="20"/>
          <w:szCs w:val="20"/>
        </w:rPr>
      </w:pPr>
      <w:bookmarkStart w:id="0" w:name="_GoBack"/>
      <w:bookmarkEnd w:id="0"/>
    </w:p>
    <w:p w:rsidR="00BE6D95" w:rsidRDefault="00BE6D95" w:rsidP="00325A84">
      <w:pPr>
        <w:pStyle w:val="naisf"/>
        <w:tabs>
          <w:tab w:val="left" w:pos="720"/>
        </w:tabs>
        <w:spacing w:before="0" w:after="0"/>
        <w:ind w:firstLine="0"/>
        <w:rPr>
          <w:sz w:val="20"/>
          <w:szCs w:val="20"/>
        </w:rPr>
      </w:pPr>
    </w:p>
    <w:p w:rsidR="00BE6D95" w:rsidRDefault="00BE6D95" w:rsidP="00325A84">
      <w:pPr>
        <w:pStyle w:val="naisf"/>
        <w:tabs>
          <w:tab w:val="left" w:pos="720"/>
        </w:tabs>
        <w:spacing w:before="0" w:after="0"/>
        <w:ind w:firstLine="0"/>
        <w:rPr>
          <w:sz w:val="20"/>
          <w:szCs w:val="20"/>
        </w:rPr>
      </w:pPr>
    </w:p>
    <w:p w:rsidR="00BE6D95" w:rsidRDefault="00BE6D95" w:rsidP="00325A84">
      <w:pPr>
        <w:pStyle w:val="naisf"/>
        <w:tabs>
          <w:tab w:val="left" w:pos="720"/>
        </w:tabs>
        <w:spacing w:before="0" w:after="0"/>
        <w:ind w:firstLine="0"/>
        <w:rPr>
          <w:sz w:val="20"/>
          <w:szCs w:val="20"/>
        </w:rPr>
      </w:pPr>
    </w:p>
    <w:p w:rsidR="00BE6D95" w:rsidRDefault="00BE6D95" w:rsidP="00325A84">
      <w:pPr>
        <w:pStyle w:val="naisf"/>
        <w:tabs>
          <w:tab w:val="left" w:pos="720"/>
        </w:tabs>
        <w:spacing w:before="0" w:after="0"/>
        <w:ind w:firstLine="0"/>
        <w:rPr>
          <w:sz w:val="20"/>
          <w:szCs w:val="20"/>
        </w:rPr>
      </w:pPr>
    </w:p>
    <w:p w:rsidR="00BE6D95" w:rsidRDefault="00BE6D95" w:rsidP="00325A84">
      <w:pPr>
        <w:pStyle w:val="naisf"/>
        <w:tabs>
          <w:tab w:val="left" w:pos="720"/>
        </w:tabs>
        <w:spacing w:before="0" w:after="0"/>
        <w:ind w:firstLine="0"/>
        <w:rPr>
          <w:sz w:val="20"/>
          <w:szCs w:val="20"/>
        </w:rPr>
      </w:pPr>
    </w:p>
    <w:p w:rsidR="00BE6D95" w:rsidRDefault="00BE6D95" w:rsidP="00325A84">
      <w:pPr>
        <w:pStyle w:val="naisf"/>
        <w:tabs>
          <w:tab w:val="left" w:pos="720"/>
        </w:tabs>
        <w:spacing w:before="0" w:after="0"/>
        <w:ind w:firstLine="0"/>
        <w:rPr>
          <w:sz w:val="20"/>
          <w:szCs w:val="20"/>
        </w:rPr>
      </w:pPr>
    </w:p>
    <w:p w:rsidR="00BE6D95" w:rsidRDefault="00BE6D95" w:rsidP="00325A84">
      <w:pPr>
        <w:pStyle w:val="naisf"/>
        <w:tabs>
          <w:tab w:val="left" w:pos="720"/>
        </w:tabs>
        <w:spacing w:before="0" w:after="0"/>
        <w:ind w:firstLine="0"/>
        <w:rPr>
          <w:sz w:val="20"/>
          <w:szCs w:val="20"/>
        </w:rPr>
      </w:pPr>
    </w:p>
    <w:p w:rsidR="00BE6D95" w:rsidRDefault="00BE6D95" w:rsidP="00325A84">
      <w:pPr>
        <w:pStyle w:val="naisf"/>
        <w:tabs>
          <w:tab w:val="left" w:pos="720"/>
        </w:tabs>
        <w:spacing w:before="0" w:after="0"/>
        <w:ind w:firstLine="0"/>
        <w:rPr>
          <w:sz w:val="20"/>
          <w:szCs w:val="20"/>
        </w:rPr>
      </w:pPr>
    </w:p>
    <w:p w:rsidR="00BE6D95" w:rsidRDefault="00BE6D95" w:rsidP="00325A84">
      <w:pPr>
        <w:pStyle w:val="naisf"/>
        <w:tabs>
          <w:tab w:val="left" w:pos="720"/>
        </w:tabs>
        <w:spacing w:before="0" w:after="0"/>
        <w:ind w:firstLine="0"/>
        <w:rPr>
          <w:sz w:val="20"/>
          <w:szCs w:val="20"/>
        </w:rPr>
      </w:pPr>
    </w:p>
    <w:p w:rsidR="00BE6D95" w:rsidRDefault="00BE6D95" w:rsidP="00325A84">
      <w:pPr>
        <w:pStyle w:val="naisf"/>
        <w:tabs>
          <w:tab w:val="left" w:pos="720"/>
        </w:tabs>
        <w:spacing w:before="0" w:after="0"/>
        <w:ind w:firstLine="0"/>
        <w:rPr>
          <w:sz w:val="20"/>
          <w:szCs w:val="20"/>
        </w:rPr>
      </w:pPr>
    </w:p>
    <w:p w:rsidR="00BE6D95" w:rsidRDefault="00BE6D95" w:rsidP="00325A84">
      <w:pPr>
        <w:rPr>
          <w:sz w:val="20"/>
          <w:szCs w:val="20"/>
        </w:rPr>
      </w:pPr>
      <w:r>
        <w:rPr>
          <w:sz w:val="20"/>
          <w:szCs w:val="20"/>
        </w:rPr>
        <w:t>2014.06.26. 15:11</w:t>
      </w:r>
    </w:p>
    <w:p w:rsidR="00BE6D95" w:rsidRDefault="00BE6D95" w:rsidP="00325A84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1171</w:t>
      </w:r>
      <w:r>
        <w:rPr>
          <w:sz w:val="20"/>
          <w:szCs w:val="20"/>
        </w:rPr>
        <w:fldChar w:fldCharType="end"/>
      </w:r>
    </w:p>
    <w:p w:rsidR="00BE6D95" w:rsidRDefault="00BE6D95" w:rsidP="00325A84">
      <w:pPr>
        <w:rPr>
          <w:sz w:val="20"/>
          <w:szCs w:val="20"/>
        </w:rPr>
      </w:pPr>
      <w:r>
        <w:rPr>
          <w:sz w:val="20"/>
          <w:szCs w:val="20"/>
        </w:rPr>
        <w:t>K.Kjago</w:t>
      </w:r>
    </w:p>
    <w:p w:rsidR="00325A84" w:rsidRPr="003A7D81" w:rsidRDefault="00325A84" w:rsidP="00325A84">
      <w:pPr>
        <w:rPr>
          <w:sz w:val="20"/>
          <w:szCs w:val="20"/>
        </w:rPr>
      </w:pPr>
      <w:r w:rsidRPr="003A7D81">
        <w:rPr>
          <w:sz w:val="20"/>
          <w:szCs w:val="20"/>
        </w:rPr>
        <w:t>67027</w:t>
      </w:r>
      <w:r w:rsidR="00D90BE4">
        <w:rPr>
          <w:sz w:val="20"/>
          <w:szCs w:val="20"/>
        </w:rPr>
        <w:t>098</w:t>
      </w:r>
      <w:r w:rsidRPr="003A7D81">
        <w:rPr>
          <w:sz w:val="20"/>
          <w:szCs w:val="20"/>
        </w:rPr>
        <w:t xml:space="preserve">, </w:t>
      </w:r>
      <w:r w:rsidR="00527AC8">
        <w:rPr>
          <w:sz w:val="20"/>
          <w:szCs w:val="20"/>
        </w:rPr>
        <w:t>Kristīne.Kjago</w:t>
      </w:r>
      <w:r w:rsidRPr="003A7D81">
        <w:rPr>
          <w:sz w:val="20"/>
          <w:szCs w:val="20"/>
        </w:rPr>
        <w:t>@zm.gov.lv</w:t>
      </w:r>
    </w:p>
    <w:p w:rsidR="001E7A0B" w:rsidRDefault="001E7A0B"/>
    <w:sectPr w:rsidR="001E7A0B" w:rsidSect="00A44DD7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83D" w:rsidRDefault="009B783D" w:rsidP="00527AC8">
      <w:r>
        <w:separator/>
      </w:r>
    </w:p>
  </w:endnote>
  <w:endnote w:type="continuationSeparator" w:id="0">
    <w:p w:rsidR="009B783D" w:rsidRDefault="009B783D" w:rsidP="0052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AAB" w:rsidRPr="00E21DB7" w:rsidRDefault="00585FFA" w:rsidP="00A44DD7">
    <w:pPr>
      <w:jc w:val="both"/>
      <w:rPr>
        <w:b/>
        <w:bCs/>
        <w:sz w:val="20"/>
        <w:szCs w:val="20"/>
      </w:rPr>
    </w:pPr>
    <w:r>
      <w:rPr>
        <w:sz w:val="20"/>
        <w:szCs w:val="20"/>
      </w:rPr>
      <w:t>ZMAnot_2506</w:t>
    </w:r>
    <w:r w:rsidR="00EB7AAB">
      <w:rPr>
        <w:sz w:val="20"/>
        <w:szCs w:val="20"/>
      </w:rPr>
      <w:t>14</w:t>
    </w:r>
    <w:r w:rsidR="00EB7AAB" w:rsidRPr="006A7080">
      <w:rPr>
        <w:sz w:val="20"/>
        <w:szCs w:val="20"/>
      </w:rPr>
      <w:t>_</w:t>
    </w:r>
    <w:r w:rsidR="00EB7AAB" w:rsidRPr="00E21DB7">
      <w:rPr>
        <w:sz w:val="20"/>
        <w:szCs w:val="20"/>
      </w:rPr>
      <w:t>Minis</w:t>
    </w:r>
    <w:r w:rsidR="00EB7AAB">
      <w:rPr>
        <w:sz w:val="20"/>
        <w:szCs w:val="20"/>
      </w:rPr>
      <w:t>tru kabineta rīkojuma projekta „P</w:t>
    </w:r>
    <w:r w:rsidR="00EB7AAB" w:rsidRPr="00E21DB7">
      <w:rPr>
        <w:sz w:val="20"/>
        <w:szCs w:val="20"/>
      </w:rPr>
      <w:t xml:space="preserve">ar finanšu līdzekļu piešķiršanu no </w:t>
    </w:r>
    <w:r w:rsidR="00EB7AAB">
      <w:rPr>
        <w:sz w:val="20"/>
        <w:szCs w:val="20"/>
      </w:rPr>
      <w:t xml:space="preserve">valsts </w:t>
    </w:r>
    <w:r w:rsidR="00EB7AAB" w:rsidRPr="00E21DB7">
      <w:rPr>
        <w:sz w:val="20"/>
        <w:szCs w:val="20"/>
      </w:rPr>
      <w:t>pamatbudžeta apakšprogrammas „Līdzekļi neparedzētiem gadījumiem”</w:t>
    </w:r>
    <w:r w:rsidR="00EB7AAB">
      <w:rPr>
        <w:sz w:val="20"/>
        <w:szCs w:val="20"/>
      </w:rPr>
      <w:t>”</w:t>
    </w:r>
    <w:r w:rsidR="00EB7AAB" w:rsidRPr="00E21DB7">
      <w:rPr>
        <w:sz w:val="20"/>
        <w:szCs w:val="20"/>
      </w:rPr>
      <w:t xml:space="preserve"> anotācija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AAB" w:rsidRPr="00E21DB7" w:rsidRDefault="00EB7AAB" w:rsidP="00A44DD7">
    <w:pPr>
      <w:jc w:val="both"/>
      <w:rPr>
        <w:b/>
        <w:bCs/>
        <w:sz w:val="20"/>
        <w:szCs w:val="20"/>
      </w:rPr>
    </w:pPr>
    <w:bookmarkStart w:id="1" w:name="OLE_LINK1"/>
    <w:bookmarkStart w:id="2" w:name="OLE_LINK2"/>
    <w:r>
      <w:rPr>
        <w:sz w:val="20"/>
        <w:szCs w:val="20"/>
      </w:rPr>
      <w:t>ZMAnot_</w:t>
    </w:r>
    <w:r w:rsidR="00585FFA">
      <w:rPr>
        <w:sz w:val="20"/>
        <w:szCs w:val="20"/>
      </w:rPr>
      <w:t>250614</w:t>
    </w:r>
    <w:r w:rsidRPr="006A7080">
      <w:rPr>
        <w:sz w:val="20"/>
        <w:szCs w:val="20"/>
      </w:rPr>
      <w:t>_</w:t>
    </w:r>
    <w:r w:rsidRPr="00E21DB7">
      <w:rPr>
        <w:sz w:val="20"/>
        <w:szCs w:val="20"/>
      </w:rPr>
      <w:t>Minis</w:t>
    </w:r>
    <w:r>
      <w:rPr>
        <w:sz w:val="20"/>
        <w:szCs w:val="20"/>
      </w:rPr>
      <w:t>tru kabineta rīkojuma projekta „P</w:t>
    </w:r>
    <w:r w:rsidRPr="00E21DB7">
      <w:rPr>
        <w:sz w:val="20"/>
        <w:szCs w:val="20"/>
      </w:rPr>
      <w:t xml:space="preserve">ar finanšu līdzekļu piešķiršanu no </w:t>
    </w:r>
    <w:r>
      <w:rPr>
        <w:sz w:val="20"/>
        <w:szCs w:val="20"/>
      </w:rPr>
      <w:t xml:space="preserve">valsts </w:t>
    </w:r>
    <w:r w:rsidRPr="00E21DB7">
      <w:rPr>
        <w:sz w:val="20"/>
        <w:szCs w:val="20"/>
      </w:rPr>
      <w:t>pamatbudžeta apakšprogrammas „Līdzekļi neparedzētiem gadījumiem”</w:t>
    </w:r>
    <w:r>
      <w:rPr>
        <w:sz w:val="20"/>
        <w:szCs w:val="20"/>
      </w:rPr>
      <w:t>”</w:t>
    </w:r>
    <w:r w:rsidRPr="00E21DB7">
      <w:rPr>
        <w:sz w:val="20"/>
        <w:szCs w:val="20"/>
      </w:rPr>
      <w:t xml:space="preserve"> anotācija</w:t>
    </w:r>
  </w:p>
  <w:bookmarkEnd w:id="1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83D" w:rsidRDefault="009B783D" w:rsidP="00527AC8">
      <w:r>
        <w:separator/>
      </w:r>
    </w:p>
  </w:footnote>
  <w:footnote w:type="continuationSeparator" w:id="0">
    <w:p w:rsidR="009B783D" w:rsidRDefault="009B783D" w:rsidP="00527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AAB" w:rsidRDefault="00EB7AAB" w:rsidP="00A44DD7">
    <w:pPr>
      <w:pStyle w:val="Galvene"/>
      <w:jc w:val="center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BE6D95">
      <w:rPr>
        <w:rStyle w:val="Lappusesnumurs"/>
        <w:noProof/>
      </w:rPr>
      <w:t>2</w:t>
    </w:r>
    <w:r>
      <w:rPr>
        <w:rStyle w:val="Lappusesnumur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15FA9"/>
    <w:multiLevelType w:val="multilevel"/>
    <w:tmpl w:val="A1F4AB2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pStyle w:val="Virsraksts5"/>
      <w:suff w:val="space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pStyle w:val="Sarakstarindkopa1"/>
      <w:suff w:val="space"/>
      <w:lvlText w:val="%5.%6."/>
      <w:lvlJc w:val="left"/>
      <w:pPr>
        <w:ind w:left="2127" w:firstLine="0"/>
      </w:pPr>
      <w:rPr>
        <w:rFonts w:cs="Times New Roman" w:hint="default"/>
        <w:b w:val="0"/>
        <w:i w:val="0"/>
      </w:rPr>
    </w:lvl>
    <w:lvl w:ilvl="6">
      <w:start w:val="1"/>
      <w:numFmt w:val="decimal"/>
      <w:pStyle w:val="LP2"/>
      <w:suff w:val="space"/>
      <w:lvlText w:val="%5.%6.%7."/>
      <w:lvlJc w:val="left"/>
      <w:pPr>
        <w:ind w:left="850" w:firstLine="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5.%6.%7.%8."/>
      <w:lvlJc w:val="left"/>
      <w:pPr>
        <w:tabs>
          <w:tab w:val="num" w:pos="1134"/>
        </w:tabs>
        <w:ind w:left="284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4F36162E"/>
    <w:multiLevelType w:val="hybridMultilevel"/>
    <w:tmpl w:val="3A76486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84"/>
    <w:rsid w:val="000344F5"/>
    <w:rsid w:val="00041F5D"/>
    <w:rsid w:val="00050D84"/>
    <w:rsid w:val="00067171"/>
    <w:rsid w:val="00081ABB"/>
    <w:rsid w:val="00085CEC"/>
    <w:rsid w:val="000E1DD9"/>
    <w:rsid w:val="000E4C31"/>
    <w:rsid w:val="001E7A0B"/>
    <w:rsid w:val="002B75E2"/>
    <w:rsid w:val="002D02BF"/>
    <w:rsid w:val="0032021F"/>
    <w:rsid w:val="00325A84"/>
    <w:rsid w:val="003536AF"/>
    <w:rsid w:val="00372A07"/>
    <w:rsid w:val="003831CB"/>
    <w:rsid w:val="003B1CF7"/>
    <w:rsid w:val="003E6AB5"/>
    <w:rsid w:val="004276B7"/>
    <w:rsid w:val="00437768"/>
    <w:rsid w:val="00491003"/>
    <w:rsid w:val="005232EC"/>
    <w:rsid w:val="00527AC8"/>
    <w:rsid w:val="00585FFA"/>
    <w:rsid w:val="005925BF"/>
    <w:rsid w:val="005B5186"/>
    <w:rsid w:val="00624641"/>
    <w:rsid w:val="007642A2"/>
    <w:rsid w:val="007B40C4"/>
    <w:rsid w:val="007D2768"/>
    <w:rsid w:val="00841005"/>
    <w:rsid w:val="008D6CCA"/>
    <w:rsid w:val="009248BB"/>
    <w:rsid w:val="009612E1"/>
    <w:rsid w:val="00980CEA"/>
    <w:rsid w:val="009B783D"/>
    <w:rsid w:val="00A02662"/>
    <w:rsid w:val="00A44DD7"/>
    <w:rsid w:val="00A4588F"/>
    <w:rsid w:val="00A503EE"/>
    <w:rsid w:val="00A62E1E"/>
    <w:rsid w:val="00AA75B7"/>
    <w:rsid w:val="00AF3EDC"/>
    <w:rsid w:val="00B46288"/>
    <w:rsid w:val="00B55CE7"/>
    <w:rsid w:val="00B638C0"/>
    <w:rsid w:val="00BA25C2"/>
    <w:rsid w:val="00BE6D95"/>
    <w:rsid w:val="00C65F87"/>
    <w:rsid w:val="00C86EDF"/>
    <w:rsid w:val="00CC7EF3"/>
    <w:rsid w:val="00D2372F"/>
    <w:rsid w:val="00D2757A"/>
    <w:rsid w:val="00D632BB"/>
    <w:rsid w:val="00D8382B"/>
    <w:rsid w:val="00D90BE4"/>
    <w:rsid w:val="00E47975"/>
    <w:rsid w:val="00E8233E"/>
    <w:rsid w:val="00EB7AAB"/>
    <w:rsid w:val="00EC1E0A"/>
    <w:rsid w:val="00EE42B0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3BB32E24-2C08-46EC-A4D0-241B3714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25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4276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qFormat/>
    <w:rsid w:val="00325A84"/>
    <w:pPr>
      <w:keepNext/>
      <w:keepLines/>
      <w:widowControl w:val="0"/>
      <w:numPr>
        <w:ilvl w:val="4"/>
        <w:numId w:val="1"/>
      </w:numPr>
      <w:spacing w:before="200"/>
      <w:jc w:val="both"/>
      <w:outlineLvl w:val="4"/>
    </w:pPr>
    <w:rPr>
      <w:rFonts w:ascii="Calibri" w:eastAsia="Calibri" w:hAnsi="Calibri" w:cs="Arial Unicode MS"/>
      <w:b/>
      <w:lang w:eastAsia="en-US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rsid w:val="00325A84"/>
    <w:rPr>
      <w:rFonts w:ascii="Calibri" w:eastAsia="Calibri" w:hAnsi="Calibri" w:cs="Arial Unicode MS"/>
      <w:b/>
      <w:sz w:val="24"/>
      <w:szCs w:val="24"/>
      <w:lang w:bidi="lo-LA"/>
    </w:rPr>
  </w:style>
  <w:style w:type="paragraph" w:styleId="Galvene">
    <w:name w:val="header"/>
    <w:basedOn w:val="Parasts"/>
    <w:link w:val="GalveneRakstz"/>
    <w:rsid w:val="00325A8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25A8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325A8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25A84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325A84"/>
  </w:style>
  <w:style w:type="paragraph" w:customStyle="1" w:styleId="naisf">
    <w:name w:val="naisf"/>
    <w:basedOn w:val="Parasts"/>
    <w:rsid w:val="00325A84"/>
    <w:pPr>
      <w:spacing w:before="75" w:after="75"/>
      <w:ind w:firstLine="375"/>
      <w:jc w:val="both"/>
    </w:pPr>
  </w:style>
  <w:style w:type="paragraph" w:styleId="Paraststmeklis">
    <w:name w:val="Normal (Web)"/>
    <w:basedOn w:val="Parasts"/>
    <w:rsid w:val="00325A84"/>
    <w:pPr>
      <w:spacing w:before="100" w:beforeAutospacing="1" w:after="100" w:afterAutospacing="1"/>
    </w:pPr>
  </w:style>
  <w:style w:type="paragraph" w:customStyle="1" w:styleId="Sarakstarindkopa1">
    <w:name w:val="Saraksta rindkopa1"/>
    <w:basedOn w:val="Parasts"/>
    <w:link w:val="SarakstarindkopaRakstz"/>
    <w:qFormat/>
    <w:rsid w:val="00325A84"/>
    <w:pPr>
      <w:widowControl w:val="0"/>
      <w:numPr>
        <w:ilvl w:val="5"/>
        <w:numId w:val="1"/>
      </w:numPr>
      <w:contextualSpacing/>
    </w:pPr>
    <w:rPr>
      <w:rFonts w:eastAsia="Calibri"/>
      <w:lang w:eastAsia="en-US"/>
    </w:rPr>
  </w:style>
  <w:style w:type="paragraph" w:customStyle="1" w:styleId="LP2">
    <w:name w:val="LP2"/>
    <w:basedOn w:val="Sarakstarindkopa1"/>
    <w:rsid w:val="00325A84"/>
    <w:pPr>
      <w:numPr>
        <w:ilvl w:val="6"/>
      </w:numPr>
      <w:tabs>
        <w:tab w:val="num" w:pos="360"/>
      </w:tabs>
    </w:pPr>
  </w:style>
  <w:style w:type="character" w:customStyle="1" w:styleId="SarakstarindkopaRakstz">
    <w:name w:val="Saraksta rindkopa Rakstz."/>
    <w:link w:val="Sarakstarindkopa1"/>
    <w:locked/>
    <w:rsid w:val="00325A84"/>
    <w:rPr>
      <w:rFonts w:ascii="Times New Roman" w:eastAsia="Calibri" w:hAnsi="Times New Roman" w:cs="Times New Roman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276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C7EF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C7EF3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2902D-364D-4A05-AA28-55BDAAB1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1192</Words>
  <Characters>7822</Characters>
  <Application>Microsoft Office Word</Application>
  <DocSecurity>0</DocSecurity>
  <Lines>434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Bluma</dc:creator>
  <cp:lastModifiedBy>ZM Lietvedibas nodala</cp:lastModifiedBy>
  <cp:revision>4</cp:revision>
  <dcterms:created xsi:type="dcterms:W3CDTF">2014-06-26T11:25:00Z</dcterms:created>
  <dcterms:modified xsi:type="dcterms:W3CDTF">2014-06-26T12:11:00Z</dcterms:modified>
</cp:coreProperties>
</file>