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BC" w:rsidRPr="00357202" w:rsidRDefault="002C51C5" w:rsidP="00F3137F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Ministru kabineta noteikumu projekta „Grozījumi Ministru kabineta 2013.gada 17.decembra noteikumos Nr.1521 „Noteikumi par subsidētās elektroenerģijas nodokļa piemērošanu”</w:t>
      </w:r>
      <w:r w:rsidR="00460CE0">
        <w:rPr>
          <w:b/>
          <w:sz w:val="28"/>
          <w:lang w:val="lv-LV"/>
        </w:rPr>
        <w:t>”</w:t>
      </w:r>
      <w:r>
        <w:rPr>
          <w:b/>
          <w:sz w:val="28"/>
          <w:lang w:val="lv-LV"/>
        </w:rPr>
        <w:t xml:space="preserve"> </w:t>
      </w:r>
      <w:r w:rsidR="00F3137F" w:rsidRPr="00357202">
        <w:rPr>
          <w:b/>
          <w:sz w:val="28"/>
          <w:lang w:val="lv-LV"/>
        </w:rPr>
        <w:t>sākotnējās ietekmes novērtējuma ziņojums (anotācija)</w:t>
      </w:r>
    </w:p>
    <w:p w:rsidR="0041720A" w:rsidRPr="00357202" w:rsidRDefault="0041720A" w:rsidP="0041720A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339"/>
        <w:gridCol w:w="6062"/>
      </w:tblGrid>
      <w:tr w:rsidR="0041720A" w:rsidRPr="00357202" w:rsidTr="000A0187">
        <w:tc>
          <w:tcPr>
            <w:tcW w:w="5000" w:type="pct"/>
            <w:gridSpan w:val="3"/>
            <w:vAlign w:val="center"/>
          </w:tcPr>
          <w:p w:rsidR="0041720A" w:rsidRPr="00357202" w:rsidRDefault="0041720A" w:rsidP="0041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3572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I. Tiesību akta projekta izstrādes nepieciešamība</w:t>
            </w:r>
          </w:p>
        </w:tc>
      </w:tr>
      <w:tr w:rsidR="0041720A" w:rsidRPr="002C51C5" w:rsidTr="000A0187">
        <w:tc>
          <w:tcPr>
            <w:tcW w:w="237" w:type="pct"/>
          </w:tcPr>
          <w:p w:rsidR="0041720A" w:rsidRPr="002C51C5" w:rsidRDefault="0041720A" w:rsidP="0041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1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6" w:type="pct"/>
          </w:tcPr>
          <w:p w:rsidR="0041720A" w:rsidRPr="002C51C5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1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7" w:type="pct"/>
          </w:tcPr>
          <w:p w:rsidR="0041720A" w:rsidRPr="00510771" w:rsidRDefault="00510771" w:rsidP="00510771">
            <w:pPr>
              <w:spacing w:after="0" w:line="240" w:lineRule="auto"/>
              <w:jc w:val="both"/>
              <w:rPr>
                <w:iCs/>
              </w:rPr>
            </w:pPr>
            <w:r w:rsidRPr="005107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460CE0" w:rsidRPr="00580CB3">
              <w:rPr>
                <w:rFonts w:ascii="Times New Roman" w:hAnsi="Times New Roman" w:cs="Times New Roman"/>
                <w:sz w:val="24"/>
                <w:szCs w:val="24"/>
              </w:rPr>
              <w:t xml:space="preserve">„Grozījumi Ministru kabineta 2013.gada 17.decembra noteikumos Nr.1521 „Noteikumi </w:t>
            </w:r>
            <w:r w:rsidRPr="005107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subsidētās elektroenerģijas nodokļa piemērošanu”</w:t>
            </w:r>
            <w:r w:rsidR="0046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5107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 sagatavots atbilstoši Subsidētās elektroenerģijas nodokļa likuma 13.pantam.</w:t>
            </w:r>
          </w:p>
        </w:tc>
      </w:tr>
      <w:tr w:rsidR="0041720A" w:rsidRPr="0066574F" w:rsidTr="000A0187">
        <w:tc>
          <w:tcPr>
            <w:tcW w:w="237" w:type="pct"/>
          </w:tcPr>
          <w:p w:rsidR="0041720A" w:rsidRPr="0066574F" w:rsidRDefault="0041720A" w:rsidP="0041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6" w:type="pct"/>
          </w:tcPr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37" w:type="pct"/>
          </w:tcPr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2013.gada 6.novembrī Saeima pieņēma Subsidētās elektroenerģijas nodokļa likumu (turpmāk – likums).</w:t>
            </w:r>
          </w:p>
          <w:p w:rsidR="00357202" w:rsidRPr="0066574F" w:rsidRDefault="00357202" w:rsidP="003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5.panta ceturtā, piektā un sestā daļa nosaka atsevišķas nodokļa maksātāju grupas, kurām paredzēts piemērot subsidētās elektroenerģijas nodokļa (turpmāk – nodoklis) likmi piecu procentu apmērā. </w:t>
            </w:r>
          </w:p>
          <w:p w:rsidR="00357202" w:rsidRPr="0066574F" w:rsidRDefault="00357202" w:rsidP="0035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12.pantā noteikts, ka nodokļa maksātājs var pieteikties likuma 5.panta ceturtajā, piektajā vai sestajā daļā minētās nodokļa likmes piemērošanai saskaņā ar Eiropas Komisijas 2006.gada 15.decembra Regulu Nr.1998/2006 par Līguma 87. un 88.panta piemērošanu </w:t>
            </w:r>
            <w:r w:rsidRPr="00665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atbalstam (Eiropas Savienības Oficiālais Vēstnesis, 2006.gada 28.decembris, Nr. L 379) (turpmāk – Regula Nr.1998/2006). </w:t>
            </w:r>
          </w:p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Regulas Nr.1998/2006 6.pants nosaka, ka šo regulu piemēro no 2007.gada 1.janvāra līdz 2013.gada 31.decembrim. Tomēr regulas Nr.1998/2006 5.panta 3.punkts paredz, ka jebkuru </w:t>
            </w:r>
            <w:r w:rsidRPr="00665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atbalstu, kas atbilst šīs regulas nosacījumiem, var likumīgi īstenot turpmākajos sešos mēnešos.</w:t>
            </w:r>
          </w:p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Turpmākajam periodam</w:t>
            </w:r>
            <w:r w:rsidR="00522581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pēc 2014.gada 30.jūnija</w:t>
            </w:r>
            <w:r w:rsidR="00390AB2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65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administrēšanas regulējums ir noteikts Komisijas 2013.gada 18.decembra Regulā (ES) Nr.1407/2013 par Līguma par Eiropas Savienības darbību 107. un 108. panta piemērošanu </w:t>
            </w:r>
            <w:r w:rsidRPr="00665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atbalstam.</w:t>
            </w:r>
          </w:p>
          <w:p w:rsidR="0041720A" w:rsidRPr="0066574F" w:rsidRDefault="0041720A" w:rsidP="0052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minēto, ir </w:t>
            </w:r>
            <w:r w:rsidR="002C51C5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izdarīti grozījumi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likumā, tā 12.</w:t>
            </w:r>
            <w:r w:rsidR="005F469C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pantā 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atsauci uz </w:t>
            </w:r>
            <w:r w:rsidR="005F469C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egulu Nr.1998/2006 </w:t>
            </w:r>
            <w:r w:rsidR="00390AB2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aizstājot 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atsauci uz Komisijas 2013.gada 18.decembra Regulu (ES) Nr.1407/2013 par Līguma par Eiropas Savienības darbību 107. un 108.panta piemērošanu </w:t>
            </w:r>
            <w:r w:rsidRPr="00665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atbalstam </w:t>
            </w:r>
            <w:r w:rsidR="00281296" w:rsidRPr="002812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(Dokuments attiecas uz EEZ)</w:t>
            </w:r>
            <w:r w:rsidR="00281296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(Eiropas Savienības Oficiālais Vēstnesis, 2013.gada 24.d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ecembris, Nr.L 352</w:t>
            </w:r>
            <w:r w:rsidR="002812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/1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(turpmāk – R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egula Nr.1407/2013).</w:t>
            </w:r>
          </w:p>
          <w:p w:rsidR="002C51C5" w:rsidRPr="0066574F" w:rsidRDefault="00460CE0" w:rsidP="0052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="002C51C5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2013.gada 17.decembra noteikumos Nr.1521 „Noteikumi par subsidētās elektroenerģijas nodokļa piemērošanu”</w:t>
            </w:r>
            <w:r w:rsidR="0066574F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izdoti saskaņā ar likuma 13.pantu,</w:t>
            </w:r>
            <w:r w:rsidR="002C51C5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atsauces uz Regulu Nr.1998/2006, arī šajos noteikumos to 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</w:t>
            </w:r>
            <w:r w:rsidR="002C51C5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aizstāt ar Regulu Nr.1407/2013.</w:t>
            </w:r>
          </w:p>
          <w:p w:rsidR="0041720A" w:rsidRDefault="002C51C5" w:rsidP="0052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357202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mērķis ir nodrošināt, lai subsidētās elektroenerģijas nodokļa maksātāji arī pēc 2014.gada </w:t>
            </w:r>
            <w:r w:rsidR="00357202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30.jūnija var pieteikties likuma 5.panta ceturtajā, piektajā vai sestajā daļā minētās nodokļa likmes piemērošanai.</w:t>
            </w:r>
          </w:p>
          <w:p w:rsidR="00A2743C" w:rsidRDefault="00A2743C" w:rsidP="00A2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precizē noteikumu 4.punktu, jo 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Nr.1407/2013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7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nenosaka prasību, ka atbalstu nepiešķir grūtībās nonākušiem uzņēmumiem, kā to noteica Regula</w:t>
            </w:r>
            <w:r w:rsidR="00AC4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17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Nr.1998/2006</w:t>
            </w:r>
            <w:r w:rsidR="00AC4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1.panta h apakšpunkts</w:t>
            </w:r>
            <w:r w:rsidR="00917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917585" w:rsidRPr="0066574F" w:rsidRDefault="00917585" w:rsidP="00AC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precizē noteikumu 24.punktu, jo Regula Nr.1407/2013 nosaka, ka kopējo </w:t>
            </w:r>
            <w:r w:rsidRPr="009175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apmēru EUR 200 000 triju fiskālo gadu periodā, dalībvalsts var piešķir vienam vienotam uzņēmumam</w:t>
            </w:r>
            <w:r w:rsidR="00AC4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720A" w:rsidRPr="0066574F" w:rsidTr="000A0187">
        <w:tc>
          <w:tcPr>
            <w:tcW w:w="237" w:type="pct"/>
          </w:tcPr>
          <w:p w:rsidR="0041720A" w:rsidRPr="0066574F" w:rsidRDefault="0041720A" w:rsidP="0041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26" w:type="pct"/>
          </w:tcPr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437" w:type="pct"/>
          </w:tcPr>
          <w:p w:rsidR="0041720A" w:rsidRPr="0066574F" w:rsidRDefault="00357202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1720A" w:rsidRPr="0066574F" w:rsidTr="000A0187">
        <w:tc>
          <w:tcPr>
            <w:tcW w:w="237" w:type="pct"/>
          </w:tcPr>
          <w:p w:rsidR="0041720A" w:rsidRPr="0066574F" w:rsidRDefault="0041720A" w:rsidP="0041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26" w:type="pct"/>
          </w:tcPr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7" w:type="pct"/>
          </w:tcPr>
          <w:p w:rsidR="0041720A" w:rsidRPr="0066574F" w:rsidRDefault="0041720A" w:rsidP="0041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22581" w:rsidRPr="0066574F" w:rsidRDefault="00522581" w:rsidP="0052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8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"/>
        <w:gridCol w:w="2259"/>
        <w:gridCol w:w="6152"/>
      </w:tblGrid>
      <w:tr w:rsidR="00522581" w:rsidRPr="0066574F" w:rsidTr="000A018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22581" w:rsidRPr="0066574F" w:rsidTr="000A0187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66574F" w:rsidP="00A8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522581"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projekta tiesiskais regulējums attieksies uz subsidētās elektroenerģijas nodokļa maksātājiem, kuru apliekamajiem ienākumiem </w:t>
            </w:r>
            <w:r w:rsidR="00A840C8" w:rsidRPr="0066574F">
              <w:rPr>
                <w:rFonts w:ascii="Times New Roman" w:hAnsi="Times New Roman" w:cs="Times New Roman"/>
                <w:sz w:val="24"/>
                <w:szCs w:val="24"/>
              </w:rPr>
              <w:t>tiek piemērota samazinātā subsidētās elektroenerģijas nodokļa likme saskaņā ar likuma 5.panta ceturto, piekto vai sesto daļu</w:t>
            </w:r>
            <w:r w:rsidR="00390AB2" w:rsidRPr="0066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0C8"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81" w:rsidRPr="006657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AB2" w:rsidRPr="0066574F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22581"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obrīd </w:t>
            </w:r>
            <w:r w:rsidR="00A840C8" w:rsidRPr="0066574F">
              <w:rPr>
                <w:rFonts w:ascii="Times New Roman" w:hAnsi="Times New Roman" w:cs="Times New Roman"/>
                <w:sz w:val="24"/>
                <w:szCs w:val="24"/>
              </w:rPr>
              <w:t>Ekonomikas ministrijas subsidētās elektroenerģijas ražotāju reģistrā ir 31</w:t>
            </w:r>
            <w:r w:rsidR="00460C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2581" w:rsidRPr="0066574F">
              <w:rPr>
                <w:rFonts w:ascii="Times New Roman" w:hAnsi="Times New Roman" w:cs="Times New Roman"/>
                <w:sz w:val="24"/>
                <w:szCs w:val="24"/>
              </w:rPr>
              <w:t>uzņēmum</w:t>
            </w:r>
            <w:r w:rsidR="00A840C8" w:rsidRPr="006657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0AB2" w:rsidRPr="0066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581" w:rsidRPr="00665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2581" w:rsidRPr="0066574F" w:rsidTr="000A0187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66574F" w:rsidP="007A56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0A0187"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projekts paredz </w:t>
            </w:r>
            <w:r w:rsidR="007A56DA" w:rsidRPr="0066574F">
              <w:rPr>
                <w:rFonts w:ascii="Times New Roman" w:hAnsi="Times New Roman" w:cs="Times New Roman"/>
                <w:sz w:val="24"/>
                <w:szCs w:val="24"/>
              </w:rPr>
              <w:t xml:space="preserve">aizstāt atsauci uz 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Regulu Nr.1998/2006 ar </w:t>
            </w:r>
            <w:r w:rsidR="007A56DA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atsauci uz 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Regulu Nr.1407/2013</w:t>
            </w:r>
            <w:r w:rsidR="007A56DA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90AB2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t</w:t>
            </w:r>
            <w:r w:rsidR="007A56DA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nerada 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administratīv</w:t>
            </w:r>
            <w:r w:rsidR="007A56DA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slog</w:t>
            </w:r>
            <w:r w:rsidR="007A56DA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A0187" w:rsidRPr="00665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subsidētās elektroenerģijas nodokļa maksātājiem.</w:t>
            </w:r>
          </w:p>
        </w:tc>
      </w:tr>
      <w:tr w:rsidR="00522581" w:rsidRPr="0066574F" w:rsidTr="000A0187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66574F">
              <w:rPr>
                <w:lang w:val="lv-LV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6574F">
              <w:rPr>
                <w:lang w:val="lv-LV"/>
              </w:rPr>
              <w:t>Administratīvo izmaksu monetārs novērtējums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522581" w:rsidRPr="0066574F" w:rsidTr="000A0187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66574F">
              <w:rPr>
                <w:lang w:val="lv-LV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2581" w:rsidRPr="0066574F" w:rsidRDefault="00522581" w:rsidP="0052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22581" w:rsidRPr="0066574F" w:rsidRDefault="00522581" w:rsidP="005225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0039C0" w:rsidRPr="0066574F" w:rsidRDefault="000039C0" w:rsidP="00003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25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9"/>
      </w:tblGrid>
      <w:tr w:rsidR="00BF0022" w:rsidRPr="0066574F" w:rsidTr="00BF0022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022" w:rsidRPr="0066574F" w:rsidRDefault="00BF0022" w:rsidP="00BF0022">
            <w:pPr>
              <w:spacing w:after="0" w:line="240" w:lineRule="auto"/>
              <w:jc w:val="center"/>
              <w:rPr>
                <w:b/>
                <w:bCs/>
              </w:rPr>
            </w:pPr>
            <w:r w:rsidRPr="0066574F">
              <w:rPr>
                <w:rFonts w:ascii="Times New Roman" w:hAnsi="Times New Roman" w:cs="Times New Roman"/>
                <w:b/>
                <w:sz w:val="28"/>
              </w:rPr>
              <w:t>III. Tiesību akta projekta ietekme uz valsts budžetu un pašvaldību budžetiem</w:t>
            </w:r>
          </w:p>
        </w:tc>
      </w:tr>
      <w:tr w:rsidR="00BF0022" w:rsidRPr="0066574F" w:rsidTr="00BF0022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022" w:rsidRPr="0066574F" w:rsidRDefault="00BF0022" w:rsidP="00BF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i/>
                <w:sz w:val="24"/>
                <w:szCs w:val="24"/>
              </w:rPr>
              <w:t>Projekts šo jomu neskar</w:t>
            </w:r>
            <w:r w:rsidRPr="00665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BF0022" w:rsidRPr="0066574F" w:rsidRDefault="00BF0022" w:rsidP="00003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178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"/>
        <w:gridCol w:w="2259"/>
        <w:gridCol w:w="6152"/>
      </w:tblGrid>
      <w:tr w:rsidR="000039C0" w:rsidRPr="0066574F" w:rsidTr="0036529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b/>
                <w:sz w:val="28"/>
              </w:rPr>
              <w:t>IV. Tiesību akta projekta ietekme uz spēkā esošo tiesību normu sistēmu</w:t>
            </w:r>
          </w:p>
        </w:tc>
      </w:tr>
      <w:tr w:rsidR="000039C0" w:rsidRPr="0066574F" w:rsidTr="00365290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66574F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46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9C0" w:rsidRPr="0066574F" w:rsidTr="00365290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66574F" w:rsidP="000039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46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9C0" w:rsidRPr="0066574F" w:rsidTr="00365290">
        <w:tc>
          <w:tcPr>
            <w:tcW w:w="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66574F">
              <w:rPr>
                <w:lang w:val="lv-LV"/>
              </w:rPr>
              <w:lastRenderedPageBreak/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39C0" w:rsidRPr="0066574F" w:rsidRDefault="000039C0" w:rsidP="003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39C0" w:rsidRPr="0066574F" w:rsidRDefault="000039C0" w:rsidP="003652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0039C0" w:rsidRPr="0066574F" w:rsidRDefault="000039C0" w:rsidP="00003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253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1462"/>
        <w:gridCol w:w="21"/>
        <w:gridCol w:w="784"/>
        <w:gridCol w:w="1654"/>
        <w:gridCol w:w="387"/>
        <w:gridCol w:w="1506"/>
        <w:gridCol w:w="2547"/>
      </w:tblGrid>
      <w:tr w:rsidR="006119C1" w:rsidRPr="0066574F" w:rsidTr="006119C1">
        <w:tc>
          <w:tcPr>
            <w:tcW w:w="5000" w:type="pct"/>
            <w:gridSpan w:val="8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6574F"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119C1" w:rsidRPr="0066574F" w:rsidTr="006119C1">
        <w:trPr>
          <w:trHeight w:val="1424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1.</w:t>
            </w:r>
          </w:p>
        </w:tc>
        <w:tc>
          <w:tcPr>
            <w:tcW w:w="1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Saistības pret Eiropas Savienību</w:t>
            </w:r>
          </w:p>
        </w:tc>
        <w:tc>
          <w:tcPr>
            <w:tcW w:w="34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6119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6574F">
              <w:rPr>
                <w:rFonts w:ascii="Times New Roman" w:hAnsi="Times New Roman" w:cs="Times New Roman"/>
                <w:sz w:val="24"/>
                <w:szCs w:val="24"/>
              </w:rPr>
              <w:t>Regula N</w:t>
            </w:r>
            <w:r w:rsidR="004755C8" w:rsidRPr="0066574F">
              <w:rPr>
                <w:rFonts w:ascii="Times New Roman" w:hAnsi="Times New Roman" w:cs="Times New Roman"/>
                <w:sz w:val="24"/>
                <w:szCs w:val="24"/>
              </w:rPr>
              <w:t>r.1407/2013</w:t>
            </w:r>
          </w:p>
        </w:tc>
      </w:tr>
      <w:tr w:rsidR="006119C1" w:rsidRPr="0066574F" w:rsidTr="006119C1">
        <w:tc>
          <w:tcPr>
            <w:tcW w:w="24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2.</w:t>
            </w:r>
          </w:p>
        </w:tc>
        <w:tc>
          <w:tcPr>
            <w:tcW w:w="1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Citas starptautiskās saistības</w:t>
            </w:r>
          </w:p>
        </w:tc>
        <w:tc>
          <w:tcPr>
            <w:tcW w:w="34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  <w:tr w:rsidR="006119C1" w:rsidRPr="0066574F" w:rsidTr="006119C1">
        <w:tc>
          <w:tcPr>
            <w:tcW w:w="24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3.</w:t>
            </w:r>
          </w:p>
        </w:tc>
        <w:tc>
          <w:tcPr>
            <w:tcW w:w="1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4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Nav.</w:t>
            </w:r>
          </w:p>
        </w:tc>
      </w:tr>
      <w:tr w:rsidR="006119C1" w:rsidRPr="0066574F" w:rsidTr="006119C1">
        <w:trPr>
          <w:trHeight w:val="510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 </w:t>
            </w:r>
            <w:r w:rsidRPr="0066574F">
              <w:rPr>
                <w:rFonts w:ascii="Times New Roman" w:hAnsi="Times New Roman" w:cs="Times New Roman"/>
                <w:b/>
                <w:bCs/>
                <w:lang w:eastAsia="lv-LV"/>
              </w:rPr>
              <w:t>1.tabula</w:t>
            </w:r>
            <w:r w:rsidRPr="0066574F">
              <w:rPr>
                <w:rFonts w:ascii="Times New Roman" w:hAnsi="Times New Roman" w:cs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6119C1" w:rsidRPr="0066574F" w:rsidTr="006119C1">
        <w:trPr>
          <w:trHeight w:val="1170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Attiecīgā ES tiesību akta datums, numurs un nosaukums</w:t>
            </w:r>
          </w:p>
        </w:tc>
        <w:tc>
          <w:tcPr>
            <w:tcW w:w="39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</w:rPr>
              <w:t>Regula Nr.1407/2013.</w:t>
            </w:r>
          </w:p>
        </w:tc>
      </w:tr>
      <w:tr w:rsidR="006119C1" w:rsidRPr="0066574F" w:rsidTr="006119C1"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A</w:t>
            </w:r>
          </w:p>
        </w:tc>
        <w:tc>
          <w:tcPr>
            <w:tcW w:w="1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B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D</w:t>
            </w:r>
          </w:p>
        </w:tc>
      </w:tr>
      <w:tr w:rsidR="006119C1" w:rsidRPr="0066574F" w:rsidTr="006119C1"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 xml:space="preserve">Informācija par to, vai šīs tabulas A ailē minētās ES tiesību akta vienības tiek pārņemtas vai ieviestas pilnībā vai daļēji. </w:t>
            </w:r>
          </w:p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 xml:space="preserve">Informācija par to, vai šīs tabulas B ailē minētās projekta vienības paredz stingrākas prasības nekā šīs tabulas A ailē minētās ES tiesību akta vienības. </w:t>
            </w:r>
          </w:p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Ja projekts satur stingrākas prasības nekā attiecīgais ES tiesību akts, norāda pamatojumu un samērīgumu.</w:t>
            </w:r>
          </w:p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119C1" w:rsidRPr="0066574F" w:rsidTr="006119C1"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</w:rPr>
            </w:pPr>
            <w:r w:rsidRPr="0066574F">
              <w:rPr>
                <w:rFonts w:ascii="Times New Roman" w:hAnsi="Times New Roman" w:cs="Times New Roman"/>
              </w:rPr>
              <w:t xml:space="preserve">Regulas </w:t>
            </w:r>
            <w:r w:rsidRPr="0066574F">
              <w:rPr>
                <w:rFonts w:ascii="Times New Roman" w:hAnsi="Times New Roman" w:cs="Times New Roman"/>
              </w:rPr>
              <w:lastRenderedPageBreak/>
              <w:t>Nr.1407/2013 6.panta 1.punkts</w:t>
            </w:r>
          </w:p>
        </w:tc>
        <w:tc>
          <w:tcPr>
            <w:tcW w:w="1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C70A81" w:rsidP="00C70A81">
            <w:pPr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Noteikumu </w:t>
            </w:r>
            <w:r w:rsidRPr="0066574F">
              <w:rPr>
                <w:rFonts w:ascii="Times New Roman" w:hAnsi="Times New Roman" w:cs="Times New Roman"/>
              </w:rPr>
              <w:t xml:space="preserve">projekta </w:t>
            </w:r>
            <w:r>
              <w:rPr>
                <w:rFonts w:ascii="Times New Roman" w:hAnsi="Times New Roman" w:cs="Times New Roman"/>
              </w:rPr>
              <w:lastRenderedPageBreak/>
              <w:t>1.punkts</w:t>
            </w:r>
            <w:r w:rsidR="006119C1" w:rsidRPr="00665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lastRenderedPageBreak/>
              <w:t xml:space="preserve">Regulas </w:t>
            </w:r>
            <w:r w:rsidRPr="0066574F">
              <w:rPr>
                <w:rFonts w:ascii="Times New Roman" w:hAnsi="Times New Roman" w:cs="Times New Roman"/>
                <w:spacing w:val="-2"/>
              </w:rPr>
              <w:lastRenderedPageBreak/>
              <w:t>Nr.1407/2013 prasības tiek ieviestas pilnībā.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lastRenderedPageBreak/>
              <w:t xml:space="preserve">Noteikumu projekta </w:t>
            </w:r>
            <w:r w:rsidRPr="0066574F">
              <w:rPr>
                <w:rFonts w:ascii="Times New Roman" w:hAnsi="Times New Roman" w:cs="Times New Roman"/>
                <w:spacing w:val="-2"/>
              </w:rPr>
              <w:lastRenderedPageBreak/>
              <w:t>vienības neparedz stingrākas prasības kā šīs tabulas A ailē minētās ES tiesību akta vienības.</w:t>
            </w:r>
          </w:p>
        </w:tc>
      </w:tr>
      <w:tr w:rsidR="00AC407E" w:rsidRPr="0066574F" w:rsidTr="00C66009"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07E" w:rsidRPr="0066574F" w:rsidRDefault="00AC407E" w:rsidP="00AC407E">
            <w:pPr>
              <w:rPr>
                <w:rFonts w:ascii="Times New Roman" w:hAnsi="Times New Roman" w:cs="Times New Roman"/>
              </w:rPr>
            </w:pPr>
            <w:r w:rsidRPr="0066574F">
              <w:rPr>
                <w:rFonts w:ascii="Times New Roman" w:hAnsi="Times New Roman" w:cs="Times New Roman"/>
              </w:rPr>
              <w:lastRenderedPageBreak/>
              <w:t xml:space="preserve">Regulas Nr.1407/2013 </w:t>
            </w:r>
            <w:r>
              <w:rPr>
                <w:rFonts w:ascii="Times New Roman" w:hAnsi="Times New Roman" w:cs="Times New Roman"/>
              </w:rPr>
              <w:t>5</w:t>
            </w:r>
            <w:r w:rsidRPr="0066574F">
              <w:rPr>
                <w:rFonts w:ascii="Times New Roman" w:hAnsi="Times New Roman" w:cs="Times New Roman"/>
              </w:rPr>
              <w:t>.panta 1.punkts</w:t>
            </w:r>
          </w:p>
        </w:tc>
        <w:tc>
          <w:tcPr>
            <w:tcW w:w="1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07E" w:rsidRPr="0066574F" w:rsidRDefault="00AC407E" w:rsidP="00AC407E">
            <w:pPr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Noteikumu </w:t>
            </w:r>
            <w:r w:rsidRPr="0066574F">
              <w:rPr>
                <w:rFonts w:ascii="Times New Roman" w:hAnsi="Times New Roman" w:cs="Times New Roman"/>
              </w:rPr>
              <w:t xml:space="preserve">projekta </w:t>
            </w:r>
            <w:r>
              <w:rPr>
                <w:rFonts w:ascii="Times New Roman" w:hAnsi="Times New Roman" w:cs="Times New Roman"/>
              </w:rPr>
              <w:t>9.punkts</w:t>
            </w:r>
            <w:r w:rsidRPr="00665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07E" w:rsidRPr="0066574F" w:rsidRDefault="00AC407E" w:rsidP="00C66009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t>Regulas Nr.1407/2013 prasības tiek ieviestas pilnībā.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07E" w:rsidRPr="0066574F" w:rsidRDefault="00AC407E" w:rsidP="00C66009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t>Noteikumu projekta vienības neparedz stingrākas prasības kā šīs tabulas A ailē minētās ES tiesību akta vienības.</w:t>
            </w:r>
          </w:p>
        </w:tc>
      </w:tr>
      <w:tr w:rsidR="00C70A81" w:rsidRPr="0066574F" w:rsidTr="00C66009"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70A81">
            <w:pPr>
              <w:rPr>
                <w:rFonts w:ascii="Times New Roman" w:hAnsi="Times New Roman" w:cs="Times New Roman"/>
              </w:rPr>
            </w:pPr>
            <w:r w:rsidRPr="0066574F">
              <w:rPr>
                <w:rFonts w:ascii="Times New Roman" w:hAnsi="Times New Roman" w:cs="Times New Roman"/>
              </w:rPr>
              <w:t xml:space="preserve">Regulas Nr.1407/2013 </w:t>
            </w:r>
            <w:r>
              <w:rPr>
                <w:rFonts w:ascii="Times New Roman" w:hAnsi="Times New Roman" w:cs="Times New Roman"/>
              </w:rPr>
              <w:t>2</w:t>
            </w:r>
            <w:r w:rsidRPr="0066574F">
              <w:rPr>
                <w:rFonts w:ascii="Times New Roman" w:hAnsi="Times New Roman" w:cs="Times New Roman"/>
              </w:rPr>
              <w:t xml:space="preserve">.panta </w:t>
            </w:r>
            <w:r>
              <w:rPr>
                <w:rFonts w:ascii="Times New Roman" w:hAnsi="Times New Roman" w:cs="Times New Roman"/>
              </w:rPr>
              <w:t>2</w:t>
            </w:r>
            <w:r w:rsidRPr="0066574F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70A81">
            <w:pPr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Noteikumu </w:t>
            </w:r>
            <w:r w:rsidRPr="0066574F">
              <w:rPr>
                <w:rFonts w:ascii="Times New Roman" w:hAnsi="Times New Roman" w:cs="Times New Roman"/>
              </w:rPr>
              <w:t xml:space="preserve">projekta </w:t>
            </w:r>
            <w:r>
              <w:rPr>
                <w:rFonts w:ascii="Times New Roman" w:hAnsi="Times New Roman" w:cs="Times New Roman"/>
              </w:rPr>
              <w:t>10.punkts</w:t>
            </w:r>
            <w:r w:rsidRPr="00665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66009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t>Regulas Nr.1407/2013 prasības tiek ieviestas pilnībā.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66009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t>Noteikumu projekta vienības neparedz stingrākas prasības kā šīs tabulas A ailē minētās ES tiesību akta vienības.</w:t>
            </w:r>
          </w:p>
        </w:tc>
      </w:tr>
      <w:tr w:rsidR="00C70A81" w:rsidRPr="0066574F" w:rsidTr="00C66009"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70A81">
            <w:pPr>
              <w:rPr>
                <w:rFonts w:ascii="Times New Roman" w:hAnsi="Times New Roman" w:cs="Times New Roman"/>
              </w:rPr>
            </w:pPr>
            <w:r w:rsidRPr="0066574F">
              <w:rPr>
                <w:rFonts w:ascii="Times New Roman" w:hAnsi="Times New Roman" w:cs="Times New Roman"/>
              </w:rPr>
              <w:t xml:space="preserve">Regulas Nr.1407/2013 </w:t>
            </w:r>
            <w:r>
              <w:rPr>
                <w:rFonts w:ascii="Times New Roman" w:hAnsi="Times New Roman" w:cs="Times New Roman"/>
              </w:rPr>
              <w:t>3</w:t>
            </w:r>
            <w:r w:rsidRPr="0066574F">
              <w:rPr>
                <w:rFonts w:ascii="Times New Roman" w:hAnsi="Times New Roman" w:cs="Times New Roman"/>
              </w:rPr>
              <w:t xml:space="preserve">.panta </w:t>
            </w:r>
            <w:r>
              <w:rPr>
                <w:rFonts w:ascii="Times New Roman" w:hAnsi="Times New Roman" w:cs="Times New Roman"/>
              </w:rPr>
              <w:t>2</w:t>
            </w:r>
            <w:r w:rsidRPr="0066574F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66009">
            <w:pPr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Noteikumu </w:t>
            </w:r>
            <w:r w:rsidRPr="0066574F">
              <w:rPr>
                <w:rFonts w:ascii="Times New Roman" w:hAnsi="Times New Roman" w:cs="Times New Roman"/>
              </w:rPr>
              <w:t xml:space="preserve">projekta </w:t>
            </w:r>
            <w:r>
              <w:rPr>
                <w:rFonts w:ascii="Times New Roman" w:hAnsi="Times New Roman" w:cs="Times New Roman"/>
              </w:rPr>
              <w:t>10.punkts</w:t>
            </w:r>
            <w:r w:rsidRPr="00665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66009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t>Regulas Nr.1407/2013 prasības tiek ieviestas pilnībā.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A81" w:rsidRPr="0066574F" w:rsidRDefault="00C70A81" w:rsidP="00C66009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spacing w:val="-2"/>
              </w:rPr>
              <w:t>Noteikumu projekta vienības neparedz stingrākas prasības kā šīs tabulas A ailē minētās ES tiesību akta vienības.</w:t>
            </w:r>
          </w:p>
        </w:tc>
      </w:tr>
      <w:tr w:rsidR="006119C1" w:rsidRPr="0066574F" w:rsidTr="006119C1">
        <w:trPr>
          <w:trHeight w:val="1945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 xml:space="preserve">Kā ir izmantota ES tiesību aktā paredzētā rīcības brīvība dalībvalstij pārņemt vai ieviest noteiktas ES tiesību akta normas? </w:t>
            </w:r>
          </w:p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Kādēļ?</w:t>
            </w:r>
          </w:p>
        </w:tc>
        <w:tc>
          <w:tcPr>
            <w:tcW w:w="39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  <w:tr w:rsidR="006119C1" w:rsidRPr="0066574F" w:rsidTr="006119C1">
        <w:trPr>
          <w:cantSplit/>
          <w:trHeight w:val="3068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lastRenderedPageBreak/>
              <w:t>Saistības sniegt paziņojumu ES 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  <w:tr w:rsidR="006119C1" w:rsidRPr="0066574F" w:rsidTr="006119C1">
        <w:trPr>
          <w:trHeight w:val="304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9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  <w:tr w:rsidR="006119C1" w:rsidRPr="0066574F" w:rsidTr="006119C1">
        <w:trPr>
          <w:trHeight w:val="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 </w:t>
            </w:r>
            <w:r w:rsidRPr="0066574F">
              <w:rPr>
                <w:rFonts w:ascii="Times New Roman" w:hAnsi="Times New Roman" w:cs="Times New Roman"/>
                <w:b/>
                <w:bCs/>
                <w:lang w:eastAsia="lv-LV"/>
              </w:rPr>
              <w:t>2.tabula</w:t>
            </w:r>
            <w:r w:rsidRPr="0066574F">
              <w:rPr>
                <w:rFonts w:ascii="Times New Roman" w:hAnsi="Times New Roman" w:cs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6574F">
              <w:rPr>
                <w:rFonts w:ascii="Times New Roman" w:hAnsi="Times New Roman" w:cs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  <w:tr w:rsidR="006119C1" w:rsidRPr="0066574F" w:rsidTr="006119C1">
        <w:trPr>
          <w:trHeight w:val="15"/>
        </w:trPr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9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  <w:tr w:rsidR="006119C1" w:rsidRPr="0066574F" w:rsidTr="006119C1">
        <w:trPr>
          <w:trHeight w:val="15"/>
        </w:trPr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A</w:t>
            </w:r>
          </w:p>
        </w:tc>
        <w:tc>
          <w:tcPr>
            <w:tcW w:w="16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B</w:t>
            </w:r>
          </w:p>
        </w:tc>
        <w:tc>
          <w:tcPr>
            <w:tcW w:w="2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</w:t>
            </w:r>
          </w:p>
        </w:tc>
      </w:tr>
      <w:tr w:rsidR="006119C1" w:rsidRPr="0066574F" w:rsidTr="006119C1">
        <w:trPr>
          <w:trHeight w:val="15"/>
        </w:trPr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 xml:space="preserve">Starptautiskās saistības (pēc būtības), kas izriet no norādītā starptautiskā dokumenta. </w:t>
            </w:r>
          </w:p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Konkrēti veicamie pasākumi vai uzdevumi, kas nepieciešami šo starptautisko saistību izpildei</w:t>
            </w:r>
          </w:p>
        </w:tc>
        <w:tc>
          <w:tcPr>
            <w:tcW w:w="16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2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 xml:space="preserve">Informācija par to, vai starptautiskās saistības, kas minētas šīs tabulas A ailē, tiek izpildītas pilnībā vai daļēji. </w:t>
            </w:r>
          </w:p>
          <w:p w:rsidR="006119C1" w:rsidRPr="0066574F" w:rsidRDefault="006119C1" w:rsidP="0036529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</w:tr>
      <w:tr w:rsidR="006119C1" w:rsidRPr="0066574F" w:rsidTr="006119C1">
        <w:trPr>
          <w:trHeight w:val="15"/>
        </w:trPr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lastRenderedPageBreak/>
              <w:t>Projekts šo jomu neskar.</w:t>
            </w:r>
          </w:p>
        </w:tc>
        <w:tc>
          <w:tcPr>
            <w:tcW w:w="16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  <w:tc>
          <w:tcPr>
            <w:tcW w:w="2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  <w:tr w:rsidR="006119C1" w:rsidRPr="0066574F" w:rsidTr="006119C1">
        <w:trPr>
          <w:trHeight w:val="15"/>
        </w:trPr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9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Projekts šo jomu neskar.</w:t>
            </w:r>
          </w:p>
        </w:tc>
      </w:tr>
      <w:tr w:rsidR="006119C1" w:rsidRPr="0066574F" w:rsidTr="006119C1">
        <w:trPr>
          <w:trHeight w:val="15"/>
        </w:trPr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9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9C1" w:rsidRPr="0066574F" w:rsidRDefault="006119C1" w:rsidP="00365290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:rsidR="006119C1" w:rsidRPr="0066574F" w:rsidRDefault="006119C1" w:rsidP="006119C1">
      <w:pPr>
        <w:spacing w:after="0" w:line="240" w:lineRule="auto"/>
        <w:rPr>
          <w:rFonts w:ascii="Times New Roman" w:hAnsi="Times New Roman" w:cs="Times New Roman"/>
          <w:kern w:val="2"/>
        </w:rPr>
      </w:pPr>
    </w:p>
    <w:tbl>
      <w:tblPr>
        <w:tblW w:w="5253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2054"/>
        <w:gridCol w:w="6496"/>
      </w:tblGrid>
      <w:tr w:rsidR="006119C1" w:rsidRPr="0066574F" w:rsidTr="004177EB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9C1" w:rsidRPr="0066574F" w:rsidRDefault="006119C1" w:rsidP="006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657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VI. Sabiedrības līdzdalība </w:t>
            </w:r>
            <w:r w:rsidRPr="00665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 komunikācijas aktivitātes</w:t>
            </w:r>
          </w:p>
        </w:tc>
      </w:tr>
      <w:tr w:rsidR="006119C1" w:rsidRPr="0066574F" w:rsidTr="0041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</w:pPr>
            <w:r w:rsidRPr="0066574F">
              <w:t>1.</w:t>
            </w:r>
          </w:p>
        </w:tc>
        <w:tc>
          <w:tcPr>
            <w:tcW w:w="114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Plānotās sabiedrības līdzdalības un komunikācijas aktivitātes saistībā ar projektu</w:t>
            </w:r>
          </w:p>
        </w:tc>
        <w:tc>
          <w:tcPr>
            <w:tcW w:w="362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Projekts šo jomu neskar</w:t>
            </w:r>
            <w:r w:rsidR="00460CE0">
              <w:t>.</w:t>
            </w:r>
          </w:p>
        </w:tc>
      </w:tr>
      <w:tr w:rsidR="006119C1" w:rsidRPr="0066574F" w:rsidTr="0041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</w:pPr>
            <w:r w:rsidRPr="0066574F">
              <w:t>2.</w:t>
            </w:r>
          </w:p>
        </w:tc>
        <w:tc>
          <w:tcPr>
            <w:tcW w:w="114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Sabiedrības līdzdalība projekta izstrādē</w:t>
            </w:r>
          </w:p>
        </w:tc>
        <w:tc>
          <w:tcPr>
            <w:tcW w:w="362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Projekts šo jomu neskar</w:t>
            </w:r>
            <w:r w:rsidR="00460CE0">
              <w:t>.</w:t>
            </w:r>
          </w:p>
        </w:tc>
      </w:tr>
      <w:tr w:rsidR="006119C1" w:rsidRPr="0066574F" w:rsidTr="0041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</w:pPr>
            <w:r w:rsidRPr="0066574F">
              <w:t>3.</w:t>
            </w:r>
          </w:p>
        </w:tc>
        <w:tc>
          <w:tcPr>
            <w:tcW w:w="114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Sabiedrības līdzdalības rezultāti</w:t>
            </w:r>
          </w:p>
        </w:tc>
        <w:tc>
          <w:tcPr>
            <w:tcW w:w="362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66574F">
              <w:t>Projekts šo jomu neskar</w:t>
            </w:r>
            <w:r w:rsidR="00460CE0">
              <w:t>.</w:t>
            </w:r>
          </w:p>
        </w:tc>
      </w:tr>
      <w:tr w:rsidR="006119C1" w:rsidRPr="0066574F" w:rsidTr="0041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</w:pPr>
            <w:r w:rsidRPr="0066574F">
              <w:t>4.</w:t>
            </w:r>
          </w:p>
        </w:tc>
        <w:tc>
          <w:tcPr>
            <w:tcW w:w="1147" w:type="pct"/>
          </w:tcPr>
          <w:p w:rsidR="006119C1" w:rsidRPr="0066574F" w:rsidRDefault="006119C1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Cita informācija</w:t>
            </w:r>
          </w:p>
        </w:tc>
        <w:tc>
          <w:tcPr>
            <w:tcW w:w="3627" w:type="pct"/>
          </w:tcPr>
          <w:p w:rsidR="006119C1" w:rsidRPr="0066574F" w:rsidRDefault="006119C1" w:rsidP="006119C1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66574F">
              <w:rPr>
                <w:sz w:val="24"/>
                <w:szCs w:val="24"/>
                <w:lang w:val="lv-LV"/>
              </w:rPr>
              <w:t>Nav</w:t>
            </w:r>
          </w:p>
        </w:tc>
      </w:tr>
    </w:tbl>
    <w:p w:rsidR="006119C1" w:rsidRPr="0066574F" w:rsidRDefault="006119C1" w:rsidP="006119C1">
      <w:pPr>
        <w:spacing w:after="0" w:line="240" w:lineRule="auto"/>
        <w:rPr>
          <w:rFonts w:ascii="Times New Roman" w:hAnsi="Times New Roman" w:cs="Times New Roman"/>
          <w:kern w:val="2"/>
        </w:rPr>
      </w:pPr>
    </w:p>
    <w:tbl>
      <w:tblPr>
        <w:tblW w:w="5253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"/>
        <w:gridCol w:w="2345"/>
        <w:gridCol w:w="5931"/>
      </w:tblGrid>
      <w:tr w:rsidR="000039C0" w:rsidRPr="0066574F" w:rsidTr="006119C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lv-LV"/>
              </w:rPr>
            </w:pPr>
            <w:r w:rsidRPr="0066574F">
              <w:rPr>
                <w:rFonts w:ascii="Times New Roman" w:hAnsi="Times New Roman" w:cs="Times New Roman"/>
                <w:b/>
                <w:bCs/>
                <w:sz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039C0" w:rsidRPr="0066574F" w:rsidTr="006119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1.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Projekta izpildē iesaistītās institūcijas</w:t>
            </w:r>
          </w:p>
        </w:tc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6119C1" w:rsidP="006119C1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74F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460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39C0" w:rsidRPr="0066574F" w:rsidTr="006119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2.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74F">
              <w:rPr>
                <w:rFonts w:ascii="Times New Roman" w:hAnsi="Times New Roman" w:cs="Times New Roman"/>
              </w:rPr>
              <w:t xml:space="preserve">Projekta izpildes ietekme uz pārvaldes funkcijām un institucionālo struktūru. </w:t>
            </w:r>
          </w:p>
          <w:p w:rsidR="000039C0" w:rsidRPr="0066574F" w:rsidRDefault="000039C0" w:rsidP="006119C1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</w:rPr>
            </w:pPr>
            <w:r w:rsidRPr="0066574F">
              <w:rPr>
                <w:rFonts w:ascii="Times New Roman" w:hAnsi="Times New Roman" w:cs="Times New Roman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pStyle w:val="naiskr"/>
              <w:spacing w:before="0" w:beforeAutospacing="0" w:after="0" w:afterAutospacing="0"/>
              <w:jc w:val="both"/>
            </w:pPr>
            <w:r w:rsidRPr="0066574F">
              <w:t>Projekts šo jomu neskar</w:t>
            </w:r>
            <w:r w:rsidR="00460CE0">
              <w:t>.</w:t>
            </w:r>
          </w:p>
        </w:tc>
      </w:tr>
      <w:tr w:rsidR="000039C0" w:rsidRPr="006119C1" w:rsidTr="006119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3.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6574F" w:rsidRDefault="000039C0" w:rsidP="006119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66574F">
              <w:rPr>
                <w:rFonts w:ascii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9C0" w:rsidRPr="006119C1" w:rsidRDefault="00FC070D" w:rsidP="006119C1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7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F3137F" w:rsidRDefault="00F3137F" w:rsidP="00FC070D">
      <w:pPr>
        <w:pStyle w:val="naisf"/>
        <w:spacing w:before="0" w:beforeAutospacing="0" w:after="0" w:afterAutospacing="0"/>
        <w:rPr>
          <w:b/>
          <w:lang w:val="lv-LV"/>
        </w:rPr>
      </w:pPr>
    </w:p>
    <w:p w:rsidR="00FC070D" w:rsidRDefault="00FC070D" w:rsidP="00FC070D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9E2709">
        <w:rPr>
          <w:b w:val="0"/>
          <w:szCs w:val="28"/>
        </w:rPr>
        <w:t>Zemkopības ministr</w:t>
      </w:r>
      <w:r>
        <w:rPr>
          <w:b w:val="0"/>
          <w:szCs w:val="28"/>
        </w:rPr>
        <w:t>s</w:t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>
        <w:rPr>
          <w:b w:val="0"/>
          <w:szCs w:val="28"/>
        </w:rPr>
        <w:t>J.Dūklavs</w:t>
      </w:r>
    </w:p>
    <w:p w:rsidR="00D701F5" w:rsidRDefault="00D701F5" w:rsidP="00FC070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2014.06.27. 12:58</w:t>
      </w:r>
    </w:p>
    <w:p w:rsidR="00E263F8" w:rsidRDefault="00E263F8" w:rsidP="00FC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1226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C070D" w:rsidRPr="00FC070D" w:rsidRDefault="00FC070D" w:rsidP="00FC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A.Karlapa</w:t>
      </w:r>
    </w:p>
    <w:p w:rsidR="00FC070D" w:rsidRPr="00FC070D" w:rsidRDefault="00FC070D" w:rsidP="00FC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70D">
        <w:rPr>
          <w:rFonts w:ascii="Times New Roman" w:hAnsi="Times New Roman" w:cs="Times New Roman"/>
          <w:sz w:val="20"/>
          <w:szCs w:val="20"/>
        </w:rPr>
        <w:t>67027</w:t>
      </w:r>
      <w:r>
        <w:rPr>
          <w:rFonts w:ascii="Times New Roman" w:hAnsi="Times New Roman" w:cs="Times New Roman"/>
          <w:sz w:val="20"/>
          <w:szCs w:val="20"/>
        </w:rPr>
        <w:t>216</w:t>
      </w:r>
      <w:r w:rsidRPr="00FC070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Agrita.Karlapa</w:t>
      </w:r>
      <w:r w:rsidRPr="00FC070D">
        <w:rPr>
          <w:rFonts w:ascii="Times New Roman" w:hAnsi="Times New Roman" w:cs="Times New Roman"/>
          <w:sz w:val="20"/>
          <w:szCs w:val="20"/>
        </w:rPr>
        <w:t>@zm.gov.lv</w:t>
      </w:r>
    </w:p>
    <w:sectPr w:rsidR="00FC070D" w:rsidRPr="00FC070D" w:rsidSect="00D701F5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53" w:rsidRDefault="00B25D53" w:rsidP="00D702E2">
      <w:pPr>
        <w:spacing w:after="0" w:line="240" w:lineRule="auto"/>
      </w:pPr>
      <w:r>
        <w:separator/>
      </w:r>
    </w:p>
  </w:endnote>
  <w:endnote w:type="continuationSeparator" w:id="0">
    <w:p w:rsidR="00B25D53" w:rsidRDefault="00B25D53" w:rsidP="00D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C5" w:rsidRPr="00D702E2" w:rsidRDefault="002C51C5" w:rsidP="002C51C5">
    <w:pPr>
      <w:pStyle w:val="Kjene"/>
      <w:jc w:val="both"/>
      <w:rPr>
        <w:sz w:val="20"/>
      </w:rPr>
    </w:pPr>
    <w:r>
      <w:rPr>
        <w:sz w:val="20"/>
      </w:rPr>
      <w:t>ZMAn</w:t>
    </w:r>
    <w:r w:rsidRPr="00F53C71">
      <w:rPr>
        <w:sz w:val="20"/>
      </w:rPr>
      <w:t>ot_</w:t>
    </w:r>
    <w:r w:rsidR="00281296">
      <w:rPr>
        <w:sz w:val="20"/>
      </w:rPr>
      <w:t>2</w:t>
    </w:r>
    <w:r w:rsidR="00E263F8">
      <w:rPr>
        <w:sz w:val="20"/>
      </w:rPr>
      <w:t>7</w:t>
    </w:r>
    <w:r>
      <w:rPr>
        <w:sz w:val="20"/>
      </w:rPr>
      <w:t>0614</w:t>
    </w:r>
    <w:r w:rsidRPr="00F53C71">
      <w:rPr>
        <w:sz w:val="20"/>
      </w:rPr>
      <w:t>_</w:t>
    </w:r>
    <w:r>
      <w:rPr>
        <w:sz w:val="20"/>
      </w:rPr>
      <w:t>GrozSEN</w:t>
    </w:r>
    <w:r w:rsidRPr="00F53C71">
      <w:rPr>
        <w:sz w:val="20"/>
      </w:rPr>
      <w:t xml:space="preserve">; </w:t>
    </w:r>
    <w:r>
      <w:rPr>
        <w:sz w:val="20"/>
      </w:rPr>
      <w:t xml:space="preserve">Ministru kabineta noteikumu projekta „Grozījumi Ministru kabineta 2013.gada 17.decembra noteikumos Nr.1521 „Noteikumi par subsidētās elektroenerģijas nodokļa piemērošanu”” </w:t>
    </w:r>
    <w:r w:rsidRPr="007B1B4E">
      <w:rPr>
        <w:sz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5" w:rsidRPr="00D702E2" w:rsidRDefault="00D701F5" w:rsidP="00D701F5">
    <w:pPr>
      <w:pStyle w:val="Kjene"/>
      <w:jc w:val="both"/>
      <w:rPr>
        <w:sz w:val="20"/>
      </w:rPr>
    </w:pPr>
    <w:r>
      <w:rPr>
        <w:sz w:val="20"/>
      </w:rPr>
      <w:t>ZMAn</w:t>
    </w:r>
    <w:r w:rsidRPr="00F53C71">
      <w:rPr>
        <w:sz w:val="20"/>
      </w:rPr>
      <w:t>ot_</w:t>
    </w:r>
    <w:r>
      <w:rPr>
        <w:sz w:val="20"/>
      </w:rPr>
      <w:t>270614</w:t>
    </w:r>
    <w:r w:rsidRPr="00F53C71">
      <w:rPr>
        <w:sz w:val="20"/>
      </w:rPr>
      <w:t>_</w:t>
    </w:r>
    <w:r>
      <w:rPr>
        <w:sz w:val="20"/>
      </w:rPr>
      <w:t>GrozSEN</w:t>
    </w:r>
    <w:r w:rsidRPr="00F53C71">
      <w:rPr>
        <w:sz w:val="20"/>
      </w:rPr>
      <w:t xml:space="preserve">; </w:t>
    </w:r>
    <w:r>
      <w:rPr>
        <w:sz w:val="20"/>
      </w:rPr>
      <w:t xml:space="preserve">Ministru kabineta noteikumu projekta „Grozījumi Ministru kabineta 2013.gada 17.decembra noteikumos Nr.1521 „Noteikumi par subsidētās elektroenerģijas nodokļa piemērošanu”” </w:t>
    </w:r>
    <w:r w:rsidRPr="007B1B4E">
      <w:rPr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53" w:rsidRDefault="00B25D53" w:rsidP="00D702E2">
      <w:pPr>
        <w:spacing w:after="0" w:line="240" w:lineRule="auto"/>
      </w:pPr>
      <w:r>
        <w:separator/>
      </w:r>
    </w:p>
  </w:footnote>
  <w:footnote w:type="continuationSeparator" w:id="0">
    <w:p w:rsidR="00B25D53" w:rsidRDefault="00B25D53" w:rsidP="00D7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08807485"/>
      <w:docPartObj>
        <w:docPartGallery w:val="Page Numbers (Top of Page)"/>
        <w:docPartUnique/>
      </w:docPartObj>
    </w:sdtPr>
    <w:sdtEndPr/>
    <w:sdtContent>
      <w:p w:rsidR="00D701F5" w:rsidRPr="00D701F5" w:rsidRDefault="00D701F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3F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70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1F5" w:rsidRPr="00D701F5" w:rsidRDefault="00D701F5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7F"/>
    <w:rsid w:val="000039C0"/>
    <w:rsid w:val="00021DAA"/>
    <w:rsid w:val="000A0187"/>
    <w:rsid w:val="002363BC"/>
    <w:rsid w:val="00281296"/>
    <w:rsid w:val="002C51C5"/>
    <w:rsid w:val="00357202"/>
    <w:rsid w:val="00390AB2"/>
    <w:rsid w:val="003F23F0"/>
    <w:rsid w:val="003F49B4"/>
    <w:rsid w:val="0041720A"/>
    <w:rsid w:val="004177EB"/>
    <w:rsid w:val="00460CE0"/>
    <w:rsid w:val="00464729"/>
    <w:rsid w:val="004755C8"/>
    <w:rsid w:val="00510771"/>
    <w:rsid w:val="00522581"/>
    <w:rsid w:val="00580CB3"/>
    <w:rsid w:val="005F469C"/>
    <w:rsid w:val="006119C1"/>
    <w:rsid w:val="006200E0"/>
    <w:rsid w:val="0066574F"/>
    <w:rsid w:val="006971A7"/>
    <w:rsid w:val="007A56DA"/>
    <w:rsid w:val="008363DC"/>
    <w:rsid w:val="00860CF2"/>
    <w:rsid w:val="008C3BE2"/>
    <w:rsid w:val="00913CA0"/>
    <w:rsid w:val="00917585"/>
    <w:rsid w:val="00A2743C"/>
    <w:rsid w:val="00A840C8"/>
    <w:rsid w:val="00AC407E"/>
    <w:rsid w:val="00B25D53"/>
    <w:rsid w:val="00B27802"/>
    <w:rsid w:val="00BF0022"/>
    <w:rsid w:val="00C02EE5"/>
    <w:rsid w:val="00C70A81"/>
    <w:rsid w:val="00D701F5"/>
    <w:rsid w:val="00D702E2"/>
    <w:rsid w:val="00E23EBD"/>
    <w:rsid w:val="00E263F8"/>
    <w:rsid w:val="00F3137F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8CC7-AAC7-4FE2-9069-391E724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C07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F3137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4172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4172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uiPriority w:val="99"/>
    <w:rsid w:val="0041720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bsatz-Standardschriftart">
    <w:name w:val="Absatz-Standardschriftart"/>
    <w:rsid w:val="0041720A"/>
  </w:style>
  <w:style w:type="character" w:styleId="Komentraatsauce">
    <w:name w:val="annotation reference"/>
    <w:basedOn w:val="Noklusjumarindkopasfonts"/>
    <w:uiPriority w:val="99"/>
    <w:semiHidden/>
    <w:unhideWhenUsed/>
    <w:rsid w:val="004172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1720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720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72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720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1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720A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52258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kr">
    <w:name w:val="naiskr"/>
    <w:basedOn w:val="Parasts"/>
    <w:uiPriority w:val="99"/>
    <w:rsid w:val="0052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0A0187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RimTimes" w:eastAsia="Times New Roman" w:hAnsi="RimTimes" w:cs="Times New Roman"/>
      <w:sz w:val="28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A0187"/>
    <w:rPr>
      <w:rFonts w:ascii="RimTimes" w:eastAsia="Times New Roman" w:hAnsi="RimTimes" w:cs="Times New Roman"/>
      <w:sz w:val="28"/>
      <w:szCs w:val="20"/>
    </w:rPr>
  </w:style>
  <w:style w:type="paragraph" w:customStyle="1" w:styleId="naisnod">
    <w:name w:val="naisnod"/>
    <w:basedOn w:val="Parasts"/>
    <w:rsid w:val="000A018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c">
    <w:name w:val="naisc"/>
    <w:basedOn w:val="Parasts"/>
    <w:rsid w:val="000039C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6"/>
      <w:szCs w:val="26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FC07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70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7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BA68-84FC-4408-B591-2CE96053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1241</Words>
  <Characters>8578</Characters>
  <Application>Microsoft Office Word</Application>
  <DocSecurity>0</DocSecurity>
  <Lines>428</Lines>
  <Paragraphs>163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Karlapa</dc:creator>
  <cp:lastModifiedBy>ZM Lietvedibas nodala</cp:lastModifiedBy>
  <cp:revision>31</cp:revision>
  <cp:lastPrinted>2014-06-05T10:28:00Z</cp:lastPrinted>
  <dcterms:created xsi:type="dcterms:W3CDTF">2014-06-04T13:15:00Z</dcterms:created>
  <dcterms:modified xsi:type="dcterms:W3CDTF">2014-06-27T10:02:00Z</dcterms:modified>
</cp:coreProperties>
</file>