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6F" w:rsidRDefault="00306F6F" w:rsidP="00C26330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</w:p>
    <w:p w:rsidR="00C26330" w:rsidRDefault="00C26330" w:rsidP="00C26330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0907CC">
        <w:rPr>
          <w:b/>
          <w:sz w:val="28"/>
          <w:szCs w:val="28"/>
          <w:lang w:val="lv-LV"/>
        </w:rPr>
        <w:t>Ministru kabineta noteikumu projekta „</w:t>
      </w:r>
      <w:r>
        <w:rPr>
          <w:b/>
          <w:sz w:val="28"/>
          <w:szCs w:val="28"/>
          <w:lang w:val="lv-LV"/>
        </w:rPr>
        <w:t>Grozījumi Ministru kabineta 2009.gada 29.septembra noteikumos Nr.1111 „</w:t>
      </w:r>
      <w:r w:rsidRPr="000907CC">
        <w:rPr>
          <w:b/>
          <w:sz w:val="28"/>
          <w:szCs w:val="28"/>
          <w:lang w:val="lv-LV"/>
        </w:rPr>
        <w:t>Noteikumi par dzīvnieku barībā un barības sastāvdaļās aizliegtajām vielām un barības nekaitīguma prasībām”</w:t>
      </w:r>
      <w:r>
        <w:rPr>
          <w:b/>
          <w:sz w:val="28"/>
          <w:szCs w:val="28"/>
          <w:lang w:val="lv-LV"/>
        </w:rPr>
        <w:t>” sākotnējās ietekmes novērtējuma ziņojums</w:t>
      </w:r>
      <w:r w:rsidRPr="000907CC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(</w:t>
      </w:r>
      <w:r w:rsidRPr="000907CC">
        <w:rPr>
          <w:b/>
          <w:sz w:val="28"/>
          <w:szCs w:val="28"/>
          <w:lang w:val="lv-LV"/>
        </w:rPr>
        <w:t>anotācija</w:t>
      </w:r>
      <w:r>
        <w:rPr>
          <w:b/>
          <w:sz w:val="28"/>
          <w:szCs w:val="28"/>
          <w:lang w:val="lv-LV"/>
        </w:rPr>
        <w:t>)</w:t>
      </w:r>
    </w:p>
    <w:p w:rsidR="00C26330" w:rsidRPr="009E2709" w:rsidRDefault="00C26330" w:rsidP="00C26330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4250"/>
        <w:gridCol w:w="5082"/>
      </w:tblGrid>
      <w:tr w:rsidR="00C26330" w:rsidRPr="00FA0762" w:rsidTr="00FA6F8A">
        <w:tc>
          <w:tcPr>
            <w:tcW w:w="9646" w:type="dxa"/>
            <w:gridSpan w:val="3"/>
            <w:vAlign w:val="center"/>
          </w:tcPr>
          <w:bookmarkEnd w:id="0"/>
          <w:bookmarkEnd w:id="1"/>
          <w:p w:rsidR="00C26330" w:rsidRPr="009E2709" w:rsidRDefault="00C26330" w:rsidP="009B0776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C26330" w:rsidRPr="00761E20" w:rsidTr="001A3607">
        <w:tc>
          <w:tcPr>
            <w:tcW w:w="314" w:type="dxa"/>
          </w:tcPr>
          <w:p w:rsidR="00C26330" w:rsidRPr="009E2709" w:rsidRDefault="00C26330" w:rsidP="009B0776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4250" w:type="dxa"/>
          </w:tcPr>
          <w:p w:rsidR="00C26330" w:rsidRPr="009E2709" w:rsidRDefault="00C26330" w:rsidP="009B0776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5082" w:type="dxa"/>
          </w:tcPr>
          <w:p w:rsidR="00C26330" w:rsidRPr="00F569D3" w:rsidRDefault="00C26330" w:rsidP="009B0776">
            <w:pPr>
              <w:jc w:val="both"/>
              <w:rPr>
                <w:lang w:val="lv-LV"/>
              </w:rPr>
            </w:pPr>
            <w:r w:rsidRPr="00A21F35">
              <w:rPr>
                <w:lang w:val="lv-LV"/>
              </w:rPr>
              <w:t>Dzīvnieku barības aprites likuma 14.pant</w:t>
            </w:r>
            <w:r>
              <w:rPr>
                <w:lang w:val="lv-LV"/>
              </w:rPr>
              <w:t>s</w:t>
            </w:r>
            <w:r w:rsidRPr="00A21F35">
              <w:rPr>
                <w:lang w:val="lv-LV"/>
              </w:rPr>
              <w:t>.</w:t>
            </w:r>
          </w:p>
        </w:tc>
      </w:tr>
      <w:tr w:rsidR="00C26330" w:rsidRPr="005A29C0" w:rsidTr="001A3607">
        <w:tc>
          <w:tcPr>
            <w:tcW w:w="314" w:type="dxa"/>
          </w:tcPr>
          <w:p w:rsidR="00C26330" w:rsidRPr="009E2709" w:rsidRDefault="00C26330" w:rsidP="009B0776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4250" w:type="dxa"/>
          </w:tcPr>
          <w:p w:rsidR="00C26330" w:rsidRPr="009E2709" w:rsidRDefault="00C26330" w:rsidP="009B0776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5082" w:type="dxa"/>
          </w:tcPr>
          <w:p w:rsidR="00C26330" w:rsidRDefault="00C26330" w:rsidP="009B0776">
            <w:pPr>
              <w:jc w:val="both"/>
              <w:rPr>
                <w:lang w:val="lv-LV"/>
              </w:rPr>
            </w:pPr>
            <w:r w:rsidRPr="00653FCB">
              <w:rPr>
                <w:lang w:val="lv-LV"/>
              </w:rPr>
              <w:t>Patlaban ir spēkā Ministru kabineta 2</w:t>
            </w:r>
            <w:r>
              <w:rPr>
                <w:lang w:val="lv-LV"/>
              </w:rPr>
              <w:t>009.gada 29.septembra noteikumi</w:t>
            </w:r>
            <w:r w:rsidRPr="00653FCB">
              <w:rPr>
                <w:lang w:val="lv-LV"/>
              </w:rPr>
              <w:t xml:space="preserve"> Nr.1111 „Noteikumi par dzīvnieku barībā un barības sastāvdaļās aizliegtajām vielām un barības nekaitīguma prasībām”</w:t>
            </w:r>
            <w:r w:rsidRPr="005A519B">
              <w:rPr>
                <w:lang w:val="lv-LV"/>
              </w:rPr>
              <w:t xml:space="preserve"> (turpmāk – noteikumi Nr.</w:t>
            </w:r>
            <w:r>
              <w:rPr>
                <w:lang w:val="lv-LV"/>
              </w:rPr>
              <w:t>1111).</w:t>
            </w:r>
          </w:p>
          <w:p w:rsidR="00C26330" w:rsidRDefault="00C26330" w:rsidP="009B07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Noteikumos Nr.1111 ir ieviestas tiesību normas no</w:t>
            </w:r>
            <w:r w:rsidRPr="00232AE9">
              <w:rPr>
                <w:lang w:val="lv-LV"/>
              </w:rPr>
              <w:t xml:space="preserve"> Eiropas Parlamenta un Pad</w:t>
            </w:r>
            <w:r>
              <w:rPr>
                <w:lang w:val="lv-LV"/>
              </w:rPr>
              <w:t>omes 2002.gada 7.maija Direktīvas</w:t>
            </w:r>
            <w:r w:rsidRPr="00232AE9">
              <w:rPr>
                <w:lang w:val="lv-LV"/>
              </w:rPr>
              <w:t xml:space="preserve"> 2002/32/EK par nevēlamām vielām dzīvnieku barībā (turpmāk – Direktīva 2002/32/EK)</w:t>
            </w:r>
            <w:r>
              <w:rPr>
                <w:lang w:val="lv-LV"/>
              </w:rPr>
              <w:t>.</w:t>
            </w:r>
          </w:p>
          <w:p w:rsidR="00C26330" w:rsidRPr="00232AE9" w:rsidRDefault="00C26330" w:rsidP="009B07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Grozījumi noteikumos Nr.1111 nepieciešami, jo Direktīvā</w:t>
            </w:r>
            <w:r w:rsidRPr="00232AE9">
              <w:rPr>
                <w:lang w:val="lv-LV"/>
              </w:rPr>
              <w:t xml:space="preserve"> 2002/32/EK</w:t>
            </w:r>
            <w:r>
              <w:rPr>
                <w:lang w:val="lv-LV"/>
              </w:rPr>
              <w:t xml:space="preserve"> ir i</w:t>
            </w:r>
            <w:r w:rsidRPr="00232AE9">
              <w:rPr>
                <w:lang w:val="lv-LV"/>
              </w:rPr>
              <w:t>zdarīti grozījumi</w:t>
            </w:r>
            <w:r>
              <w:rPr>
                <w:lang w:val="lv-LV"/>
              </w:rPr>
              <w:t xml:space="preserve"> un maksimāli pieļaujam</w:t>
            </w:r>
            <w:r w:rsidR="00163276">
              <w:rPr>
                <w:lang w:val="lv-LV"/>
              </w:rPr>
              <w:t>ais</w:t>
            </w:r>
            <w:r>
              <w:rPr>
                <w:lang w:val="lv-LV"/>
              </w:rPr>
              <w:t xml:space="preserve"> daudzum</w:t>
            </w:r>
            <w:r w:rsidR="00163276">
              <w:rPr>
                <w:lang w:val="lv-LV"/>
              </w:rPr>
              <w:t>s</w:t>
            </w:r>
            <w:r w:rsidRPr="00232AE9">
              <w:rPr>
                <w:lang w:val="lv-LV"/>
              </w:rPr>
              <w:t xml:space="preserve"> </w:t>
            </w:r>
            <w:r w:rsidR="00163276">
              <w:rPr>
                <w:lang w:val="lv-LV"/>
              </w:rPr>
              <w:t xml:space="preserve">noteikts </w:t>
            </w:r>
            <w:r>
              <w:rPr>
                <w:lang w:val="lv-LV"/>
              </w:rPr>
              <w:t>a</w:t>
            </w:r>
            <w:r w:rsidRPr="00232AE9">
              <w:rPr>
                <w:lang w:val="lv-LV"/>
              </w:rPr>
              <w:t>r:</w:t>
            </w:r>
          </w:p>
          <w:p w:rsidR="00C26330" w:rsidRPr="0038766F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>
              <w:t xml:space="preserve">1) </w:t>
            </w:r>
            <w:r w:rsidRPr="0038766F">
              <w:t>Kom</w:t>
            </w:r>
            <w:r>
              <w:t>isijas 2012.gada 28.marta Regulu</w:t>
            </w:r>
            <w:r w:rsidRPr="0038766F">
              <w:t xml:space="preserve"> (ES) Nr.277/2012, ar ko groza Eiropas Parlamenta un Padomes Direktīvas 2002/32/EK I un II pielikumu attiecībā uz dioksīnu un polihlorbifenilu maksimāli pieļaujamajiem daudzumiem un iedarbības robežlielumiem </w:t>
            </w:r>
            <w:r w:rsidRPr="0038766F">
              <w:rPr>
                <w:rStyle w:val="Izteiksmgs"/>
                <w:b w:val="0"/>
              </w:rPr>
              <w:t>(turpmāk − Komisijas Regula Nr.277/2012);</w:t>
            </w:r>
          </w:p>
          <w:p w:rsidR="00C26330" w:rsidRPr="0038766F" w:rsidRDefault="00C26330" w:rsidP="009B0776">
            <w:pPr>
              <w:pStyle w:val="1"/>
              <w:spacing w:before="0" w:after="0"/>
              <w:jc w:val="both"/>
            </w:pPr>
            <w:r>
              <w:rPr>
                <w:rStyle w:val="Izteiksmgs"/>
                <w:b w:val="0"/>
              </w:rPr>
              <w:t>2)</w:t>
            </w:r>
            <w:r w:rsidRPr="0038766F">
              <w:rPr>
                <w:rStyle w:val="Izteiksmgs"/>
                <w:b w:val="0"/>
              </w:rPr>
              <w:t xml:space="preserve"> </w:t>
            </w:r>
            <w:r w:rsidRPr="0038766F">
              <w:t>Komis</w:t>
            </w:r>
            <w:r>
              <w:t>ijas 2012.gada 16.augusta Regulu</w:t>
            </w:r>
            <w:r w:rsidRPr="0038766F">
              <w:t xml:space="preserve"> (ES) Nr.744/2012, ar ko attiecībā uz maksimāli pieļaujamajiem arsēna, fluora, svina, dzīvsudraba, endosulfāna, dioksīnu, Ambrosia spp., diklazurila un lazalocīda A nātrija sāls daudzumiem un dioksīnu iedarbības robežlielumiem groza I un II pielikumu Eiropas Parlamenta un Padomes Direktīvai 2002/32/EK </w:t>
            </w:r>
            <w:r w:rsidRPr="0038766F">
              <w:rPr>
                <w:rStyle w:val="Izteiksmgs"/>
                <w:b w:val="0"/>
              </w:rPr>
              <w:t>(turpmāk − Komisijas Regula Nr.744/2012);</w:t>
            </w:r>
            <w:r w:rsidRPr="0038766F">
              <w:t xml:space="preserve"> </w:t>
            </w:r>
          </w:p>
          <w:p w:rsidR="00C26330" w:rsidRPr="0038766F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>
              <w:rPr>
                <w:rStyle w:val="Izteiksmgs"/>
                <w:b w:val="0"/>
              </w:rPr>
              <w:t xml:space="preserve">3) </w:t>
            </w:r>
            <w:r w:rsidRPr="0038766F">
              <w:t>Komis</w:t>
            </w:r>
            <w:r>
              <w:t>ijas 2013.gada 5.februāra Regulu</w:t>
            </w:r>
            <w:r w:rsidRPr="0038766F">
              <w:t xml:space="preserve"> (ES) Nr.107/2013, ar ko groza Eiropas Parlamenta un Padomes Direktīvas 2002/32/EK I pielikumu attiecībā uz melamīna maksimāli pieļaujamajiem līmeņiem lolojumdzīvnieku konservētā barībā </w:t>
            </w:r>
            <w:r w:rsidRPr="0038766F">
              <w:rPr>
                <w:rStyle w:val="Izteiksmgs"/>
                <w:b w:val="0"/>
              </w:rPr>
              <w:t>(turpmāk − Komisijas Regula Nr.107/2013);</w:t>
            </w:r>
          </w:p>
          <w:p w:rsidR="00C26330" w:rsidRDefault="00C26330" w:rsidP="009B0776">
            <w:pPr>
              <w:pStyle w:val="1"/>
              <w:spacing w:before="0" w:after="0"/>
              <w:jc w:val="both"/>
            </w:pPr>
            <w:r>
              <w:rPr>
                <w:rStyle w:val="Izteiksmgs"/>
                <w:b w:val="0"/>
              </w:rPr>
              <w:t xml:space="preserve">4) </w:t>
            </w:r>
            <w:r w:rsidRPr="0038766F">
              <w:t>Komisi</w:t>
            </w:r>
            <w:r>
              <w:t>jas 2013.gada 6.decembra Regulu</w:t>
            </w:r>
            <w:r w:rsidRPr="0038766F">
              <w:t xml:space="preserve"> (ES) Nr.1275/2013, ar ko groza Eiropas Parlamenta un Padomes Direktīvas 2002/32/EK I pielikumu attiecībā uz arsēna, kadmija, svina, nitrītu, gaistošās sinepju eļļas un kaitīgu botānisku piemaisījumu </w:t>
            </w:r>
            <w:r w:rsidRPr="0038766F">
              <w:lastRenderedPageBreak/>
              <w:t xml:space="preserve">maksimālajiem pieļaujamiem daudzumiem </w:t>
            </w:r>
            <w:r w:rsidRPr="0038766F">
              <w:rPr>
                <w:rStyle w:val="Izteiksmgs"/>
                <w:b w:val="0"/>
              </w:rPr>
              <w:t xml:space="preserve">(turpmāk − Komisijas Regula </w:t>
            </w:r>
            <w:r w:rsidRPr="0096539B">
              <w:rPr>
                <w:rStyle w:val="Izteiksmgs"/>
                <w:b w:val="0"/>
              </w:rPr>
              <w:t>Nr.1275/2013).</w:t>
            </w:r>
          </w:p>
          <w:p w:rsidR="00C26330" w:rsidRPr="00E57FEE" w:rsidRDefault="00C26330" w:rsidP="009B0776">
            <w:pPr>
              <w:pStyle w:val="1"/>
              <w:spacing w:before="0" w:after="0"/>
              <w:jc w:val="both"/>
            </w:pPr>
            <w:r>
              <w:t>Patlaban noteikumo</w:t>
            </w:r>
            <w:r w:rsidRPr="005D63AD">
              <w:t>s Nr.1111</w:t>
            </w:r>
            <w:r>
              <w:t xml:space="preserve"> </w:t>
            </w:r>
            <w:r w:rsidRPr="00E57FEE">
              <w:t xml:space="preserve">mikotoksīnu </w:t>
            </w:r>
            <w:r>
              <w:t xml:space="preserve">maksimāli pieļaujamais daudzums barībā noteikts atbilstoši </w:t>
            </w:r>
            <w:r w:rsidRPr="00FD3094">
              <w:t>Komisija</w:t>
            </w:r>
            <w:r>
              <w:t>s 2006.gada 17.augusta Ieteikumam</w:t>
            </w:r>
            <w:r w:rsidRPr="00FD3094">
              <w:t xml:space="preserve"> </w:t>
            </w:r>
            <w:r w:rsidRPr="005D63AD">
              <w:t>Nr.</w:t>
            </w:r>
            <w:r w:rsidRPr="00FD3094">
              <w:t>2006/576/EK par dezoksinivalenola, zearalenona, ohratoksīna A, T-2 un HT-2 un fumonizīnu klātbūtni produktos, kas paredzēti dzīvnieku barošanai</w:t>
            </w:r>
            <w:r>
              <w:t xml:space="preserve"> (turpmāk –</w:t>
            </w:r>
            <w:r w:rsidRPr="00FD3094">
              <w:t xml:space="preserve"> </w:t>
            </w:r>
            <w:r w:rsidRPr="00E57FEE">
              <w:t xml:space="preserve">Ieteikums </w:t>
            </w:r>
            <w:r w:rsidRPr="005D63AD">
              <w:t>Nr.</w:t>
            </w:r>
            <w:r w:rsidRPr="00E57FEE">
              <w:t>2006/576/EK)</w:t>
            </w:r>
            <w:hyperlink r:id="rId8" w:history="1">
              <w:r w:rsidRPr="00E57FEE">
                <w:rPr>
                  <w:rStyle w:val="Hipersaite"/>
                  <w:color w:val="auto"/>
                  <w:u w:val="none"/>
                </w:rPr>
                <w:t xml:space="preserve">. </w:t>
              </w:r>
            </w:hyperlink>
            <w:r w:rsidRPr="00E57FEE">
              <w:t xml:space="preserve">Eiropas Komisija ir </w:t>
            </w:r>
            <w:r w:rsidR="00163276">
              <w:t>izdarīj</w:t>
            </w:r>
            <w:r w:rsidRPr="00E57FEE">
              <w:t xml:space="preserve">usi grozījumus Ieteikumā </w:t>
            </w:r>
            <w:r w:rsidRPr="005D63AD">
              <w:t>Nr.</w:t>
            </w:r>
            <w:r w:rsidRPr="00E57FEE">
              <w:t>2006/576/EK un pieņēmusi</w:t>
            </w:r>
            <w:r>
              <w:t xml:space="preserve"> jaunus ieteikumus:</w:t>
            </w:r>
          </w:p>
          <w:p w:rsidR="0043555F" w:rsidRDefault="00C26330" w:rsidP="009B07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AA70D4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AA70D4">
              <w:rPr>
                <w:lang w:val="lv-LV"/>
              </w:rPr>
              <w:t>Komisijas 2013.gada 27.marta Ieteikum</w:t>
            </w:r>
            <w:r w:rsidR="00163276">
              <w:rPr>
                <w:lang w:val="lv-LV"/>
              </w:rPr>
              <w:t>u</w:t>
            </w:r>
            <w:r w:rsidRPr="00AA70D4">
              <w:rPr>
                <w:lang w:val="lv-LV"/>
              </w:rPr>
              <w:t xml:space="preserve"> </w:t>
            </w:r>
            <w:r w:rsidRPr="00F94A5C">
              <w:rPr>
                <w:lang w:val="lv-LV"/>
              </w:rPr>
              <w:t>Nr.</w:t>
            </w:r>
            <w:r w:rsidRPr="00AA70D4">
              <w:rPr>
                <w:lang w:val="lv-LV"/>
              </w:rPr>
              <w:t xml:space="preserve">2013/165/ES par T-2 un HT-2 toksīnu klātbūtni labībā un graudaugu </w:t>
            </w:r>
            <w:r w:rsidRPr="00A37069">
              <w:rPr>
                <w:lang w:val="lv-LV"/>
              </w:rPr>
              <w:t xml:space="preserve">produktos </w:t>
            </w:r>
          </w:p>
          <w:p w:rsidR="0043555F" w:rsidRDefault="0043555F" w:rsidP="009B0776">
            <w:pPr>
              <w:jc w:val="both"/>
              <w:rPr>
                <w:lang w:val="lv-LV"/>
              </w:rPr>
            </w:pPr>
            <w:r w:rsidRPr="005A29C0">
              <w:rPr>
                <w:lang w:val="lv-LV"/>
              </w:rPr>
              <w:t>http://eur-lex.europa.eu/legal-content/LV/TXT/PDF/?uri=CELEX:32013H0165&amp;qid=1408095698877&amp;from=LV</w:t>
            </w:r>
          </w:p>
          <w:p w:rsidR="00C26330" w:rsidRPr="00A37069" w:rsidRDefault="00C26330" w:rsidP="009B0776">
            <w:pPr>
              <w:jc w:val="both"/>
              <w:rPr>
                <w:lang w:val="lv-LV"/>
              </w:rPr>
            </w:pPr>
            <w:r w:rsidRPr="00A37069">
              <w:rPr>
                <w:lang w:val="lv-LV"/>
              </w:rPr>
              <w:t>(tu</w:t>
            </w:r>
            <w:r>
              <w:rPr>
                <w:lang w:val="lv-LV"/>
              </w:rPr>
              <w:t xml:space="preserve">rpmāk – Ieteikums </w:t>
            </w:r>
            <w:r w:rsidRPr="00F94A5C">
              <w:rPr>
                <w:lang w:val="lv-LV"/>
              </w:rPr>
              <w:t>Nr.</w:t>
            </w:r>
            <w:r>
              <w:rPr>
                <w:lang w:val="lv-LV"/>
              </w:rPr>
              <w:t>2013/165/ES);</w:t>
            </w:r>
            <w:r w:rsidRPr="00A37069">
              <w:rPr>
                <w:lang w:val="lv-LV"/>
              </w:rPr>
              <w:t xml:space="preserve"> </w:t>
            </w:r>
          </w:p>
          <w:p w:rsidR="0043555F" w:rsidRDefault="00C26330" w:rsidP="009B07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A37069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A37069">
              <w:rPr>
                <w:lang w:val="lv-LV"/>
              </w:rPr>
              <w:t>Komisijas 2013.gada 4.novembra Ieteikum</w:t>
            </w:r>
            <w:r w:rsidR="00163276">
              <w:rPr>
                <w:lang w:val="lv-LV"/>
              </w:rPr>
              <w:t>u</w:t>
            </w:r>
            <w:r w:rsidRPr="00A37069">
              <w:rPr>
                <w:lang w:val="lv-LV"/>
              </w:rPr>
              <w:t xml:space="preserve"> </w:t>
            </w:r>
            <w:r w:rsidRPr="00F94A5C">
              <w:rPr>
                <w:lang w:val="lv-LV"/>
              </w:rPr>
              <w:t>Nr.</w:t>
            </w:r>
            <w:r w:rsidRPr="00A37069">
              <w:rPr>
                <w:lang w:val="lv-LV"/>
              </w:rPr>
              <w:t>2013/637/ES</w:t>
            </w:r>
            <w:r w:rsidR="00163276">
              <w:rPr>
                <w:lang w:val="lv-LV"/>
              </w:rPr>
              <w:t>,</w:t>
            </w:r>
            <w:r w:rsidRPr="00A37069">
              <w:rPr>
                <w:lang w:val="lv-LV"/>
              </w:rPr>
              <w:t xml:space="preserve"> ar ko groza Ieteikumu </w:t>
            </w:r>
            <w:r w:rsidRPr="00F94A5C">
              <w:rPr>
                <w:lang w:val="lv-LV"/>
              </w:rPr>
              <w:t>Nr.</w:t>
            </w:r>
            <w:r w:rsidRPr="00A37069">
              <w:rPr>
                <w:lang w:val="lv-LV"/>
              </w:rPr>
              <w:t xml:space="preserve">2006/576/EK attiecībā uz T-2 un HT-2 toksīniem barības maisījumos kaķiem </w:t>
            </w:r>
          </w:p>
          <w:p w:rsidR="0043555F" w:rsidRDefault="0043555F" w:rsidP="009B0776">
            <w:pPr>
              <w:jc w:val="both"/>
              <w:rPr>
                <w:lang w:val="lv-LV"/>
              </w:rPr>
            </w:pPr>
            <w:r w:rsidRPr="005A29C0">
              <w:rPr>
                <w:lang w:val="lv-LV"/>
              </w:rPr>
              <w:t>http://eur-lex.europa.eu/legal-content/LV/TXT/PDF/?uri=CELEX:32013H0637&amp;qid=1408095892404&amp;from=LV</w:t>
            </w:r>
          </w:p>
          <w:p w:rsidR="00C26330" w:rsidRPr="00AA70D4" w:rsidRDefault="00C26330" w:rsidP="009B0776">
            <w:pPr>
              <w:jc w:val="both"/>
              <w:rPr>
                <w:lang w:val="lv-LV"/>
              </w:rPr>
            </w:pPr>
            <w:r w:rsidRPr="00A37069">
              <w:rPr>
                <w:lang w:val="lv-LV"/>
              </w:rPr>
              <w:t xml:space="preserve">(turpmāk – Ieteikums </w:t>
            </w:r>
            <w:r w:rsidRPr="00F94A5C">
              <w:rPr>
                <w:lang w:val="lv-LV"/>
              </w:rPr>
              <w:t>Nr.</w:t>
            </w:r>
            <w:r w:rsidRPr="00A37069">
              <w:rPr>
                <w:lang w:val="lv-LV"/>
              </w:rPr>
              <w:t>2013/637/ES).</w:t>
            </w:r>
          </w:p>
          <w:p w:rsidR="00C26330" w:rsidRPr="005D63AD" w:rsidRDefault="00C26330" w:rsidP="009B0776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5D63AD">
              <w:rPr>
                <w:rFonts w:ascii="Times New Roman" w:hAnsi="Times New Roman"/>
                <w:sz w:val="24"/>
                <w:szCs w:val="24"/>
              </w:rPr>
              <w:t>Ņemot vērā minēto, noteikum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D63AD">
              <w:rPr>
                <w:rFonts w:ascii="Times New Roman" w:hAnsi="Times New Roman"/>
                <w:sz w:val="24"/>
                <w:szCs w:val="24"/>
              </w:rPr>
              <w:t xml:space="preserve">s Nr.1111 nepieciešams papildināt ar </w:t>
            </w:r>
            <w:r>
              <w:rPr>
                <w:rFonts w:ascii="Times New Roman" w:hAnsi="Times New Roman"/>
                <w:sz w:val="24"/>
                <w:szCs w:val="24"/>
              </w:rPr>
              <w:t>prasībām par</w:t>
            </w:r>
            <w:r w:rsidRPr="005D63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330" w:rsidRPr="006F2AB1" w:rsidRDefault="00C26330" w:rsidP="009B0776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3AD">
              <w:rPr>
                <w:rFonts w:ascii="Times New Roman" w:eastAsia="Arial Unicode MS" w:hAnsi="Times New Roman"/>
                <w:sz w:val="24"/>
                <w:szCs w:val="24"/>
              </w:rPr>
              <w:t>1) dzīvnieku ēdināšanā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un barības ražošanā aizliegtajām vielām</w:t>
            </w:r>
            <w:r w:rsidRPr="006F2A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330" w:rsidRPr="006F2AB1" w:rsidRDefault="00C26330" w:rsidP="009B0776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1">
              <w:rPr>
                <w:rFonts w:ascii="Times New Roman" w:hAnsi="Times New Roman"/>
                <w:sz w:val="24"/>
                <w:szCs w:val="24"/>
              </w:rPr>
              <w:t>2) dzīvnieku barībā nevēlamo vielu maksimāli pieļaujamo daudzumu;</w:t>
            </w:r>
          </w:p>
          <w:p w:rsidR="00C26330" w:rsidRPr="00A7237E" w:rsidRDefault="00C26330" w:rsidP="009B0776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B1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veicamajiem pasākumiem</w:t>
            </w:r>
            <w:r w:rsidRPr="006F2AB1">
              <w:rPr>
                <w:rFonts w:ascii="Times New Roman" w:hAnsi="Times New Roman"/>
                <w:sz w:val="24"/>
                <w:szCs w:val="24"/>
              </w:rPr>
              <w:t>, ja konstatēts dzīvnieku barības piesārņojums ar nevēlamām vielām.</w:t>
            </w:r>
          </w:p>
        </w:tc>
      </w:tr>
      <w:tr w:rsidR="00C26330" w:rsidRPr="00AA70D4" w:rsidTr="001A3607">
        <w:tc>
          <w:tcPr>
            <w:tcW w:w="314" w:type="dxa"/>
          </w:tcPr>
          <w:p w:rsidR="00C26330" w:rsidRPr="009E2709" w:rsidRDefault="00C26330" w:rsidP="009B0776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4250" w:type="dxa"/>
          </w:tcPr>
          <w:p w:rsidR="00C26330" w:rsidRPr="009E2709" w:rsidRDefault="00C26330" w:rsidP="009B0776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5082" w:type="dxa"/>
          </w:tcPr>
          <w:p w:rsidR="00C26330" w:rsidRPr="009E2709" w:rsidRDefault="00C26330" w:rsidP="009B0776">
            <w:pPr>
              <w:jc w:val="both"/>
              <w:rPr>
                <w:highlight w:val="yellow"/>
                <w:lang w:val="lv-LV" w:eastAsia="lv-LV"/>
              </w:rPr>
            </w:pPr>
            <w:r w:rsidRPr="00AA70D4">
              <w:rPr>
                <w:lang w:val="lv-LV"/>
              </w:rPr>
              <w:t>Pārtikas un veterinārais dienests</w:t>
            </w:r>
          </w:p>
        </w:tc>
      </w:tr>
      <w:tr w:rsidR="00C26330" w:rsidRPr="00AA70D4" w:rsidTr="001A3607">
        <w:tc>
          <w:tcPr>
            <w:tcW w:w="314" w:type="dxa"/>
          </w:tcPr>
          <w:p w:rsidR="00C26330" w:rsidRPr="009E2709" w:rsidRDefault="00C26330" w:rsidP="009B0776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4250" w:type="dxa"/>
          </w:tcPr>
          <w:p w:rsidR="00C26330" w:rsidRPr="008F351C" w:rsidRDefault="00C26330" w:rsidP="009B0776">
            <w:pPr>
              <w:jc w:val="both"/>
              <w:rPr>
                <w:lang w:val="lv-LV" w:eastAsia="lv-LV"/>
              </w:rPr>
            </w:pPr>
            <w:r w:rsidRPr="008F351C">
              <w:rPr>
                <w:lang w:val="lv-LV" w:eastAsia="lv-LV"/>
              </w:rPr>
              <w:t>Cita informācija</w:t>
            </w:r>
          </w:p>
        </w:tc>
        <w:tc>
          <w:tcPr>
            <w:tcW w:w="5082" w:type="dxa"/>
          </w:tcPr>
          <w:p w:rsidR="00C26330" w:rsidRPr="008F351C" w:rsidRDefault="00C26330" w:rsidP="009B0776">
            <w:pPr>
              <w:jc w:val="both"/>
              <w:rPr>
                <w:lang w:val="lv-LV"/>
              </w:rPr>
            </w:pPr>
            <w:r w:rsidRPr="008F351C">
              <w:rPr>
                <w:lang w:val="lv-LV"/>
              </w:rPr>
              <w:t>Nav</w:t>
            </w:r>
          </w:p>
        </w:tc>
      </w:tr>
    </w:tbl>
    <w:p w:rsidR="00C26330" w:rsidRDefault="00C26330" w:rsidP="00C26330">
      <w:pPr>
        <w:rPr>
          <w:lang w:val="lv-LV"/>
        </w:rPr>
      </w:pPr>
    </w:p>
    <w:p w:rsidR="00C26330" w:rsidRDefault="00C26330" w:rsidP="00C26330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C26330" w:rsidRPr="005A29C0" w:rsidTr="009B077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30" w:rsidRPr="009E2709" w:rsidRDefault="00C26330" w:rsidP="009B0776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t>II. Tiesību akta projekta ietekme uz sabiedrību,</w:t>
            </w:r>
            <w:r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C26330" w:rsidRPr="005A29C0" w:rsidTr="009B0776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EE7C94" w:rsidRDefault="00C26330" w:rsidP="009B0776">
            <w:pPr>
              <w:jc w:val="center"/>
              <w:rPr>
                <w:color w:val="000000" w:themeColor="text1"/>
                <w:lang w:val="lv-LV"/>
              </w:rPr>
            </w:pPr>
            <w:r w:rsidRPr="00EE7C94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EE7C94" w:rsidRDefault="00C26330" w:rsidP="009B0776">
            <w:pPr>
              <w:jc w:val="both"/>
              <w:rPr>
                <w:color w:val="000000" w:themeColor="text1"/>
                <w:lang w:val="lv-LV"/>
              </w:rPr>
            </w:pPr>
            <w:r w:rsidRPr="00EE7C94">
              <w:rPr>
                <w:color w:val="000000" w:themeColor="text1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A412E4" w:rsidRDefault="00C26330" w:rsidP="009B0776">
            <w:pPr>
              <w:pStyle w:val="naiskr"/>
              <w:spacing w:before="0" w:beforeAutospacing="0" w:after="0" w:afterAutospacing="0"/>
              <w:jc w:val="both"/>
              <w:rPr>
                <w:b/>
                <w:color w:val="FF0000"/>
                <w:highlight w:val="yellow"/>
              </w:rPr>
            </w:pPr>
            <w:r>
              <w:rPr>
                <w:iCs/>
              </w:rPr>
              <w:t>Visi u</w:t>
            </w:r>
            <w:r w:rsidRPr="00857020">
              <w:rPr>
                <w:iCs/>
              </w:rPr>
              <w:t>zņēmumi, kas iesaistīti dzīvnieku barības apritē.</w:t>
            </w:r>
            <w:r w:rsidRPr="00857020">
              <w:t xml:space="preserve"> Pašlaik</w:t>
            </w:r>
            <w:r w:rsidRPr="00927E3B">
              <w:t xml:space="preserve"> Pārtikas un veterinārā dienest</w:t>
            </w:r>
            <w:r>
              <w:t>ā</w:t>
            </w:r>
            <w:r w:rsidRPr="00857020">
              <w:t xml:space="preserve"> ir</w:t>
            </w:r>
            <w:r>
              <w:t xml:space="preserve"> reģistrēti</w:t>
            </w:r>
            <w:r w:rsidRPr="00857020">
              <w:t xml:space="preserve"> 2113 dzīvnieku barības ražošanas un izplatīšanas uzņēmumu un </w:t>
            </w:r>
            <w:r>
              <w:t xml:space="preserve">apmēram </w:t>
            </w:r>
            <w:r w:rsidRPr="00857020">
              <w:t>50 000 dzīvnieku barības primārās ražošanas uzņēmumu.</w:t>
            </w:r>
          </w:p>
        </w:tc>
      </w:tr>
      <w:tr w:rsidR="00C26330" w:rsidRPr="005A29C0" w:rsidTr="009B0776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8D3BDD" w:rsidRDefault="00C26330" w:rsidP="009B0776">
            <w:pPr>
              <w:jc w:val="center"/>
              <w:rPr>
                <w:color w:val="000000" w:themeColor="text1"/>
                <w:lang w:val="lv-LV"/>
              </w:rPr>
            </w:pPr>
            <w:r w:rsidRPr="008D3BDD">
              <w:rPr>
                <w:color w:val="000000" w:themeColor="text1"/>
                <w:lang w:val="lv-LV"/>
              </w:rPr>
              <w:lastRenderedPageBreak/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98640E" w:rsidRDefault="00C26330" w:rsidP="009B0776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98640E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9F6432" w:rsidRDefault="00C26330" w:rsidP="009B0776">
            <w:pPr>
              <w:widowControl w:val="0"/>
              <w:jc w:val="both"/>
              <w:rPr>
                <w:color w:val="FF0000"/>
                <w:lang w:val="lv-LV"/>
              </w:rPr>
            </w:pPr>
            <w:r w:rsidRPr="009F6432">
              <w:rPr>
                <w:color w:val="000000"/>
                <w:lang w:val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C26330" w:rsidRPr="00A412E4" w:rsidTr="009B0776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A412E4" w:rsidRDefault="00C26330" w:rsidP="009B0776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A412E4" w:rsidRDefault="00C26330" w:rsidP="009B0776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A412E4" w:rsidRDefault="00C26330" w:rsidP="009B0776">
            <w:pPr>
              <w:jc w:val="both"/>
              <w:rPr>
                <w:color w:val="000000" w:themeColor="text1"/>
                <w:lang w:val="lv-LV"/>
              </w:rPr>
            </w:pPr>
            <w:r w:rsidRPr="009818B0">
              <w:rPr>
                <w:color w:val="000000" w:themeColor="text1"/>
                <w:lang w:val="en-US"/>
              </w:rPr>
              <w:t>Projekts šo jomu neskar</w:t>
            </w:r>
            <w:r>
              <w:rPr>
                <w:color w:val="000000" w:themeColor="text1"/>
                <w:lang w:val="en-US"/>
              </w:rPr>
              <w:t>.</w:t>
            </w:r>
          </w:p>
        </w:tc>
      </w:tr>
      <w:tr w:rsidR="00C26330" w:rsidRPr="00A412E4" w:rsidTr="009B0776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A412E4" w:rsidRDefault="00C26330" w:rsidP="009B0776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6330" w:rsidRPr="00A412E4" w:rsidRDefault="00C26330" w:rsidP="009B0776">
            <w:pPr>
              <w:jc w:val="both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26330" w:rsidRPr="00A412E4" w:rsidRDefault="00C26330" w:rsidP="009B0776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A412E4">
              <w:rPr>
                <w:color w:val="000000" w:themeColor="text1"/>
                <w:lang w:val="lv-LV"/>
              </w:rPr>
              <w:t>Nav</w:t>
            </w:r>
          </w:p>
        </w:tc>
      </w:tr>
    </w:tbl>
    <w:p w:rsidR="00C26330" w:rsidRDefault="00C26330" w:rsidP="00C26330">
      <w:pPr>
        <w:rPr>
          <w:lang w:val="lv-LV"/>
        </w:rPr>
      </w:pPr>
    </w:p>
    <w:p w:rsidR="00C26330" w:rsidRDefault="00C26330" w:rsidP="00C26330">
      <w:pPr>
        <w:rPr>
          <w:i/>
          <w:lang w:val="lv-LV"/>
        </w:rPr>
      </w:pPr>
      <w:r w:rsidRPr="009D1BE8">
        <w:rPr>
          <w:i/>
          <w:lang w:val="lv-LV"/>
        </w:rPr>
        <w:t>Anotācijas III un IV sadaļa – projekts šīs jomas neskar.</w:t>
      </w:r>
    </w:p>
    <w:p w:rsidR="000261C3" w:rsidRDefault="000261C3" w:rsidP="00C26330">
      <w:pPr>
        <w:rPr>
          <w:i/>
          <w:lang w:val="lv-LV"/>
        </w:rPr>
      </w:pPr>
    </w:p>
    <w:p w:rsidR="000261C3" w:rsidRDefault="000261C3" w:rsidP="00C26330">
      <w:pPr>
        <w:rPr>
          <w:i/>
          <w:lang w:val="lv-LV"/>
        </w:rPr>
      </w:pPr>
    </w:p>
    <w:p w:rsidR="000261C3" w:rsidRPr="009D1BE8" w:rsidRDefault="000261C3" w:rsidP="00C26330">
      <w:pPr>
        <w:rPr>
          <w:i/>
          <w:lang w:val="lv-LV"/>
        </w:rPr>
      </w:pPr>
    </w:p>
    <w:p w:rsidR="00C26330" w:rsidRDefault="00C26330" w:rsidP="00C26330">
      <w:pPr>
        <w:rPr>
          <w:lang w:val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90"/>
        <w:gridCol w:w="2276"/>
        <w:gridCol w:w="377"/>
        <w:gridCol w:w="1751"/>
        <w:gridCol w:w="1983"/>
        <w:gridCol w:w="2248"/>
        <w:gridCol w:w="15"/>
      </w:tblGrid>
      <w:tr w:rsidR="00C26330" w:rsidRPr="00FA0762" w:rsidTr="009B0776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26330" w:rsidRPr="009E2709" w:rsidRDefault="00C26330" w:rsidP="009B0776">
            <w:pPr>
              <w:jc w:val="center"/>
              <w:rPr>
                <w:b/>
                <w:bCs/>
                <w:lang w:val="lv-LV"/>
              </w:rPr>
            </w:pPr>
            <w:r w:rsidRPr="009E2709">
              <w:rPr>
                <w:b/>
                <w:bCs/>
                <w:sz w:val="28"/>
                <w:lang w:val="lv-LV"/>
              </w:rPr>
              <w:t>V. Tiesību akta projekta atbilstība Latvijas Republikas starptautiskajām saistībām</w:t>
            </w:r>
          </w:p>
        </w:tc>
      </w:tr>
      <w:tr w:rsidR="00C26330" w:rsidRPr="00761E20" w:rsidTr="009B0776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 w:rsidRPr="00EB5CDB">
              <w:rPr>
                <w:rStyle w:val="Izteiksmgs"/>
                <w:b w:val="0"/>
              </w:rPr>
              <w:t>Komisijas Regula Nr.277/2012;</w:t>
            </w:r>
          </w:p>
          <w:p w:rsidR="00C26330" w:rsidRPr="00EB5CDB" w:rsidRDefault="00C26330" w:rsidP="009B0776">
            <w:pPr>
              <w:pStyle w:val="1"/>
              <w:spacing w:before="0" w:after="0"/>
              <w:jc w:val="both"/>
            </w:pPr>
            <w:r w:rsidRPr="00EB5CDB">
              <w:rPr>
                <w:rStyle w:val="Izteiksmgs"/>
                <w:b w:val="0"/>
              </w:rPr>
              <w:t>Komisijas Regula Nr.744/2012;</w:t>
            </w:r>
            <w:r w:rsidRPr="00EB5CDB">
              <w:t xml:space="preserve"> </w:t>
            </w:r>
          </w:p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 w:rsidRPr="00EB5CDB">
              <w:rPr>
                <w:rStyle w:val="Izteiksmgs"/>
                <w:b w:val="0"/>
              </w:rPr>
              <w:t>Komisijas Regula Nr.107/2013;</w:t>
            </w:r>
          </w:p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rStyle w:val="Izteiksmgs"/>
                <w:b w:val="0"/>
              </w:rPr>
            </w:pPr>
            <w:r w:rsidRPr="00EB5CDB">
              <w:rPr>
                <w:rStyle w:val="Izteiksmgs"/>
                <w:b w:val="0"/>
              </w:rPr>
              <w:t>Komisijas Regula Nr.1275/2013;</w:t>
            </w:r>
          </w:p>
          <w:p w:rsidR="00C26330" w:rsidRPr="00EB5CDB" w:rsidRDefault="00C26330" w:rsidP="009B0776">
            <w:pPr>
              <w:jc w:val="both"/>
              <w:rPr>
                <w:lang w:val="lv-LV"/>
              </w:rPr>
            </w:pPr>
            <w:r w:rsidRPr="00EB5CDB">
              <w:rPr>
                <w:lang w:val="lv-LV"/>
              </w:rPr>
              <w:t xml:space="preserve">Ieteikums </w:t>
            </w:r>
            <w:r w:rsidRPr="009D1BE8">
              <w:rPr>
                <w:lang w:val="lv-LV"/>
              </w:rPr>
              <w:t>Nr.</w:t>
            </w:r>
            <w:r w:rsidRPr="00EB5CDB">
              <w:rPr>
                <w:lang w:val="lv-LV"/>
              </w:rPr>
              <w:t>2013/165</w:t>
            </w:r>
            <w:r>
              <w:rPr>
                <w:lang w:val="lv-LV"/>
              </w:rPr>
              <w:t>/</w:t>
            </w:r>
            <w:r w:rsidRPr="00EB5CDB">
              <w:rPr>
                <w:lang w:val="lv-LV"/>
              </w:rPr>
              <w:t>ES;</w:t>
            </w:r>
          </w:p>
          <w:p w:rsidR="00C26330" w:rsidRPr="009E2709" w:rsidRDefault="00C26330" w:rsidP="009B0776">
            <w:pPr>
              <w:jc w:val="both"/>
              <w:rPr>
                <w:lang w:val="lv-LV"/>
              </w:rPr>
            </w:pPr>
            <w:r w:rsidRPr="00EB5CDB">
              <w:rPr>
                <w:lang w:val="lv-LV"/>
              </w:rPr>
              <w:t xml:space="preserve">Ieteikums </w:t>
            </w:r>
            <w:r w:rsidRPr="00F94A5C">
              <w:rPr>
                <w:lang w:val="nb-NO"/>
              </w:rPr>
              <w:t>Nr.</w:t>
            </w:r>
            <w:r w:rsidRPr="00EB5CDB">
              <w:rPr>
                <w:lang w:val="lv-LV"/>
              </w:rPr>
              <w:t>2013/637/ES.</w:t>
            </w:r>
            <w:r w:rsidRPr="0038766F">
              <w:rPr>
                <w:lang w:val="lv-LV"/>
              </w:rPr>
              <w:t xml:space="preserve"> </w:t>
            </w:r>
          </w:p>
        </w:tc>
      </w:tr>
      <w:tr w:rsidR="00C26330" w:rsidRPr="009E2709" w:rsidTr="009B0776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C26330" w:rsidRPr="009E2709" w:rsidTr="009B0776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  <w:tr w:rsidR="00C26330" w:rsidRPr="00F513BB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:rsidR="00C26330" w:rsidRPr="009E2709" w:rsidRDefault="00C26330" w:rsidP="009B0776">
            <w:pPr>
              <w:pStyle w:val="naisnod"/>
              <w:spacing w:before="0" w:after="0"/>
            </w:pPr>
            <w:r w:rsidRPr="009E2709">
              <w:t>1.tabula</w:t>
            </w:r>
          </w:p>
          <w:p w:rsidR="00C26330" w:rsidRPr="009E2709" w:rsidRDefault="00C26330" w:rsidP="009B0776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C26330" w:rsidRPr="00761E2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 w:rsidRPr="00EB5CDB">
              <w:rPr>
                <w:rStyle w:val="Izteiksmgs"/>
                <w:b w:val="0"/>
              </w:rPr>
              <w:t>Komisijas Regula Nr.277/2012;</w:t>
            </w:r>
          </w:p>
          <w:p w:rsidR="00C26330" w:rsidRPr="00EB5CDB" w:rsidRDefault="00C26330" w:rsidP="009B0776">
            <w:pPr>
              <w:pStyle w:val="1"/>
              <w:spacing w:before="0" w:after="0"/>
              <w:jc w:val="both"/>
            </w:pPr>
            <w:r w:rsidRPr="00EB5CDB">
              <w:rPr>
                <w:rStyle w:val="Izteiksmgs"/>
                <w:b w:val="0"/>
              </w:rPr>
              <w:t>Komisijas Regula Nr.744/2012;</w:t>
            </w:r>
            <w:r w:rsidRPr="00EB5CDB">
              <w:t xml:space="preserve"> </w:t>
            </w:r>
          </w:p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 w:rsidRPr="00EB5CDB">
              <w:rPr>
                <w:rStyle w:val="Izteiksmgs"/>
                <w:b w:val="0"/>
              </w:rPr>
              <w:t>Komisijas Regula Nr.107/2013;</w:t>
            </w:r>
          </w:p>
          <w:p w:rsidR="00C26330" w:rsidRDefault="00C26330" w:rsidP="009B0776">
            <w:pPr>
              <w:pStyle w:val="1"/>
              <w:spacing w:before="0" w:after="0"/>
              <w:jc w:val="both"/>
              <w:rPr>
                <w:rStyle w:val="Izteiksmgs"/>
                <w:b w:val="0"/>
              </w:rPr>
            </w:pPr>
            <w:r w:rsidRPr="00EB5CDB">
              <w:rPr>
                <w:rStyle w:val="Izteiksmgs"/>
                <w:b w:val="0"/>
              </w:rPr>
              <w:t>Komisijas Regula Nr.1275/2013;</w:t>
            </w:r>
          </w:p>
          <w:p w:rsidR="00C26330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3131B6">
              <w:t xml:space="preserve">Ieteikums </w:t>
            </w:r>
            <w:r w:rsidRPr="005D63AD">
              <w:t>Nr.</w:t>
            </w:r>
            <w:r w:rsidRPr="003131B6">
              <w:t>2013/165</w:t>
            </w:r>
            <w:r>
              <w:t>/</w:t>
            </w:r>
            <w:r w:rsidRPr="003131B6">
              <w:t>ES</w:t>
            </w:r>
            <w:r>
              <w:t>;</w:t>
            </w:r>
            <w:r w:rsidRPr="003131B6">
              <w:t xml:space="preserve"> </w:t>
            </w:r>
          </w:p>
          <w:p w:rsidR="00C26330" w:rsidRPr="00C53B0C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3131B6">
              <w:t xml:space="preserve">Ieteikums </w:t>
            </w:r>
            <w:r w:rsidRPr="005D63AD">
              <w:t>Nr.</w:t>
            </w:r>
            <w:r w:rsidRPr="003131B6">
              <w:t>2013/637/ES</w:t>
            </w:r>
            <w:r>
              <w:t>.</w:t>
            </w:r>
          </w:p>
        </w:tc>
      </w:tr>
      <w:tr w:rsidR="00C26330" w:rsidRPr="009E2709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attiecīgā ES tiesību akta vienība tiek pārņemta vai ieviesta daļēji,  </w:t>
            </w:r>
            <w:r w:rsidRPr="009E2709">
              <w:lastRenderedPageBreak/>
              <w:t>sniedz attiecīgu skaidrojumu, kā arī precīzi norāda, kad un kādā veidā ES tiesību akta vienība tiks pārņemta vai ieviesta pilnībā.</w:t>
            </w:r>
          </w:p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projekts satur stingrākas prasības nekā attiecīgais ES tiesību akts, norāda </w:t>
            </w:r>
            <w:r w:rsidRPr="009E2709">
              <w:lastRenderedPageBreak/>
              <w:t>pamatojumu un samērīgumu.</w:t>
            </w:r>
          </w:p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 w:rsidRPr="00EB5CDB">
              <w:rPr>
                <w:rStyle w:val="Izteiksmgs"/>
                <w:b w:val="0"/>
              </w:rPr>
              <w:lastRenderedPageBreak/>
              <w:t>Komisijas Regula Nr.277/2012</w:t>
            </w:r>
          </w:p>
          <w:p w:rsidR="00C26330" w:rsidRPr="009E2709" w:rsidRDefault="00C26330" w:rsidP="009B0776">
            <w:pPr>
              <w:jc w:val="both"/>
              <w:rPr>
                <w:lang w:val="lv-LV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C26330" w:rsidRPr="00A3706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>
              <w:rPr>
                <w:rStyle w:val="Izteiksmgs"/>
                <w:b w:val="0"/>
                <w:szCs w:val="28"/>
              </w:rPr>
              <w:t xml:space="preserve">Noteikumu Nr.1111 </w:t>
            </w:r>
            <w:r w:rsidR="00C143EE" w:rsidRPr="00CD64E4">
              <w:rPr>
                <w:rStyle w:val="Izteiksmgs"/>
                <w:b w:val="0"/>
                <w:szCs w:val="28"/>
              </w:rPr>
              <w:t>1.</w:t>
            </w:r>
            <w:r w:rsidR="00C143EE">
              <w:rPr>
                <w:rStyle w:val="Izteiksmgs"/>
                <w:b w:val="0"/>
                <w:szCs w:val="28"/>
                <w:vertAlign w:val="superscript"/>
              </w:rPr>
              <w:t xml:space="preserve">2 </w:t>
            </w:r>
            <w:r w:rsidR="00C143EE">
              <w:rPr>
                <w:rStyle w:val="Izteiksmgs"/>
                <w:b w:val="0"/>
                <w:szCs w:val="28"/>
              </w:rPr>
              <w:t>apakšpunkts</w:t>
            </w:r>
          </w:p>
        </w:tc>
        <w:tc>
          <w:tcPr>
            <w:tcW w:w="1084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ES tiesību akta vienība tiek ieviesta pilnībā</w:t>
            </w:r>
          </w:p>
        </w:tc>
        <w:tc>
          <w:tcPr>
            <w:tcW w:w="1237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Attiecīgais noteikumu projekta punkts neparedz stingrākas prasības kā ES tiesību aktā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26330" w:rsidRPr="00EB5CDB" w:rsidRDefault="00C26330" w:rsidP="009B0776">
            <w:pPr>
              <w:pStyle w:val="1"/>
              <w:spacing w:before="0" w:after="0"/>
              <w:jc w:val="both"/>
            </w:pPr>
            <w:r w:rsidRPr="00EB5CDB">
              <w:rPr>
                <w:rStyle w:val="Izteiksmgs"/>
                <w:b w:val="0"/>
              </w:rPr>
              <w:t>Komisijas Regula Nr.744/2012</w:t>
            </w:r>
            <w:r w:rsidRPr="00EB5CDB">
              <w:t xml:space="preserve"> </w:t>
            </w:r>
          </w:p>
          <w:p w:rsidR="00C26330" w:rsidRPr="009E2709" w:rsidRDefault="00C26330" w:rsidP="009B0776">
            <w:pPr>
              <w:jc w:val="both"/>
              <w:rPr>
                <w:lang w:val="lv-LV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>
              <w:rPr>
                <w:rStyle w:val="Izteiksmgs"/>
                <w:b w:val="0"/>
                <w:szCs w:val="28"/>
              </w:rPr>
              <w:t xml:space="preserve">Noteikumu Nr.1111 </w:t>
            </w:r>
            <w:r w:rsidR="00C143EE" w:rsidRPr="00CD64E4">
              <w:rPr>
                <w:rStyle w:val="Izteiksmgs"/>
                <w:b w:val="0"/>
                <w:szCs w:val="28"/>
              </w:rPr>
              <w:t>1.</w:t>
            </w:r>
            <w:r w:rsidR="00C143EE">
              <w:rPr>
                <w:rStyle w:val="Izteiksmgs"/>
                <w:b w:val="0"/>
                <w:szCs w:val="28"/>
                <w:vertAlign w:val="superscript"/>
              </w:rPr>
              <w:t xml:space="preserve">2 </w:t>
            </w:r>
            <w:r w:rsidR="00C143EE">
              <w:rPr>
                <w:rStyle w:val="Izteiksmgs"/>
                <w:b w:val="0"/>
                <w:szCs w:val="28"/>
              </w:rPr>
              <w:t>apakšpunkts</w:t>
            </w:r>
          </w:p>
        </w:tc>
        <w:tc>
          <w:tcPr>
            <w:tcW w:w="1084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ES tiesību akta vienība tiek ieviesta pilnībā</w:t>
            </w:r>
          </w:p>
        </w:tc>
        <w:tc>
          <w:tcPr>
            <w:tcW w:w="1237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Attiecīgais noteikumu projekta punkts neparedz stingrākas prasības kā ES tiesību aktā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bCs/>
              </w:rPr>
            </w:pPr>
            <w:r w:rsidRPr="00EB5CDB">
              <w:rPr>
                <w:rStyle w:val="Izteiksmgs"/>
                <w:b w:val="0"/>
              </w:rPr>
              <w:t>Komisijas Regula Nr.107/2013</w:t>
            </w:r>
          </w:p>
          <w:p w:rsidR="00C26330" w:rsidRPr="009E2709" w:rsidRDefault="00C26330" w:rsidP="009B0776">
            <w:pPr>
              <w:jc w:val="both"/>
              <w:rPr>
                <w:lang w:val="lv-LV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>
              <w:rPr>
                <w:rStyle w:val="Izteiksmgs"/>
                <w:b w:val="0"/>
                <w:szCs w:val="28"/>
              </w:rPr>
              <w:t xml:space="preserve">Noteikumu Nr.1111 </w:t>
            </w:r>
            <w:r w:rsidR="00C143EE" w:rsidRPr="00CD64E4">
              <w:rPr>
                <w:rStyle w:val="Izteiksmgs"/>
                <w:b w:val="0"/>
                <w:szCs w:val="28"/>
              </w:rPr>
              <w:t>1.</w:t>
            </w:r>
            <w:r w:rsidR="00C143EE">
              <w:rPr>
                <w:rStyle w:val="Izteiksmgs"/>
                <w:b w:val="0"/>
                <w:szCs w:val="28"/>
                <w:vertAlign w:val="superscript"/>
              </w:rPr>
              <w:t xml:space="preserve">2 </w:t>
            </w:r>
            <w:r w:rsidR="00C143EE">
              <w:rPr>
                <w:rStyle w:val="Izteiksmgs"/>
                <w:b w:val="0"/>
                <w:szCs w:val="28"/>
              </w:rPr>
              <w:t>apakšpunkts</w:t>
            </w:r>
          </w:p>
        </w:tc>
        <w:tc>
          <w:tcPr>
            <w:tcW w:w="1084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ES tiesību akta vienība tiek ieviesta pilnībā</w:t>
            </w:r>
          </w:p>
        </w:tc>
        <w:tc>
          <w:tcPr>
            <w:tcW w:w="1237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Attiecīgais noteikumu projekta punkts neparedz stingrākas prasības kā ES tiesību aktā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rStyle w:val="Izteiksmgs"/>
                <w:b w:val="0"/>
              </w:rPr>
            </w:pPr>
            <w:r w:rsidRPr="00EB5CDB">
              <w:rPr>
                <w:rStyle w:val="Izteiksmgs"/>
                <w:b w:val="0"/>
              </w:rPr>
              <w:t xml:space="preserve">Komisijas Regula </w:t>
            </w:r>
            <w:r>
              <w:rPr>
                <w:rStyle w:val="Izteiksmgs"/>
                <w:b w:val="0"/>
              </w:rPr>
              <w:t>Nr.1275/2013</w:t>
            </w:r>
          </w:p>
          <w:p w:rsidR="00C26330" w:rsidRPr="009E2709" w:rsidRDefault="00C26330" w:rsidP="009B0776">
            <w:pPr>
              <w:jc w:val="both"/>
              <w:rPr>
                <w:lang w:val="lv-LV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>
              <w:rPr>
                <w:rStyle w:val="Izteiksmgs"/>
                <w:b w:val="0"/>
                <w:szCs w:val="28"/>
              </w:rPr>
              <w:t xml:space="preserve">Noteikumu Nr.1111 </w:t>
            </w:r>
            <w:r w:rsidR="00C143EE" w:rsidRPr="00CD64E4">
              <w:rPr>
                <w:rStyle w:val="Izteiksmgs"/>
                <w:b w:val="0"/>
                <w:szCs w:val="28"/>
              </w:rPr>
              <w:t>1.</w:t>
            </w:r>
            <w:r w:rsidR="00C143EE">
              <w:rPr>
                <w:rStyle w:val="Izteiksmgs"/>
                <w:b w:val="0"/>
                <w:szCs w:val="28"/>
                <w:vertAlign w:val="superscript"/>
              </w:rPr>
              <w:t xml:space="preserve">2 </w:t>
            </w:r>
            <w:r w:rsidR="00C143EE">
              <w:rPr>
                <w:rStyle w:val="Izteiksmgs"/>
                <w:b w:val="0"/>
                <w:szCs w:val="28"/>
              </w:rPr>
              <w:t>apakšpunkts</w:t>
            </w:r>
          </w:p>
        </w:tc>
        <w:tc>
          <w:tcPr>
            <w:tcW w:w="1084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ES tiesību akta vienība tiek ieviesta pilnībā</w:t>
            </w:r>
          </w:p>
        </w:tc>
        <w:tc>
          <w:tcPr>
            <w:tcW w:w="1237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Attiecīgais noteikumu projekta punkts neparedz stingrākas prasības kā ES tiesību aktā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rStyle w:val="Izteiksmgs"/>
                <w:b w:val="0"/>
              </w:rPr>
            </w:pPr>
            <w:r w:rsidRPr="00A37069">
              <w:t xml:space="preserve">Ieteikuma </w:t>
            </w:r>
            <w:r w:rsidRPr="005D63AD">
              <w:t>Nr.</w:t>
            </w:r>
            <w:r w:rsidRPr="00A37069">
              <w:t>2013/165</w:t>
            </w:r>
            <w:r>
              <w:t>/</w:t>
            </w:r>
            <w:r w:rsidRPr="00A37069">
              <w:t xml:space="preserve">ES </w:t>
            </w:r>
            <w:r>
              <w:t>p</w:t>
            </w:r>
            <w:r w:rsidRPr="00A37069">
              <w:t>ielikuma 1.</w:t>
            </w:r>
            <w:r>
              <w:t xml:space="preserve"> un </w:t>
            </w:r>
            <w:r w:rsidRPr="00A37069">
              <w:t>4.punkts</w:t>
            </w:r>
          </w:p>
        </w:tc>
        <w:tc>
          <w:tcPr>
            <w:tcW w:w="1163" w:type="pct"/>
            <w:gridSpan w:val="2"/>
            <w:vAlign w:val="center"/>
          </w:tcPr>
          <w:p w:rsidR="00C26330" w:rsidRPr="00CD64E4" w:rsidRDefault="00C26330" w:rsidP="009B0776">
            <w:pPr>
              <w:pStyle w:val="naiskr"/>
              <w:spacing w:before="0" w:beforeAutospacing="0" w:after="0" w:afterAutospacing="0"/>
              <w:jc w:val="both"/>
              <w:rPr>
                <w:rStyle w:val="Izteiksmgs"/>
                <w:b w:val="0"/>
                <w:szCs w:val="28"/>
              </w:rPr>
            </w:pPr>
            <w:r>
              <w:t>Pielikuma 7. punkts</w:t>
            </w:r>
          </w:p>
        </w:tc>
        <w:tc>
          <w:tcPr>
            <w:tcW w:w="1084" w:type="pct"/>
          </w:tcPr>
          <w:p w:rsidR="00C26330" w:rsidRPr="00244F0A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ES tiesību akta vienība tiek ieviesta pilnībā</w:t>
            </w:r>
          </w:p>
        </w:tc>
        <w:tc>
          <w:tcPr>
            <w:tcW w:w="1237" w:type="pct"/>
            <w:gridSpan w:val="2"/>
          </w:tcPr>
          <w:p w:rsidR="00C26330" w:rsidRPr="00244F0A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Attiecīgais noteikumu projekta punkts neparedz stingrākas prasības kā ES tiesību aktā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26330" w:rsidRPr="00A3706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A37069">
              <w:t xml:space="preserve">Ieteikuma </w:t>
            </w:r>
            <w:r w:rsidRPr="005D63AD">
              <w:t>Nr.</w:t>
            </w:r>
            <w:r w:rsidRPr="00A37069">
              <w:t>2013/637/ES</w:t>
            </w:r>
          </w:p>
          <w:p w:rsidR="00C26330" w:rsidRPr="00EB5CDB" w:rsidRDefault="00C26330" w:rsidP="009B0776">
            <w:pPr>
              <w:pStyle w:val="1"/>
              <w:spacing w:before="0" w:after="0"/>
              <w:jc w:val="both"/>
              <w:rPr>
                <w:rStyle w:val="Izteiksmgs"/>
                <w:b w:val="0"/>
              </w:rPr>
            </w:pPr>
            <w:r w:rsidRPr="00A37069">
              <w:t>5.punkts</w:t>
            </w:r>
          </w:p>
        </w:tc>
        <w:tc>
          <w:tcPr>
            <w:tcW w:w="1163" w:type="pct"/>
            <w:gridSpan w:val="2"/>
            <w:vAlign w:val="center"/>
          </w:tcPr>
          <w:p w:rsidR="00C26330" w:rsidRPr="00CD64E4" w:rsidRDefault="00C26330" w:rsidP="009B0776">
            <w:pPr>
              <w:pStyle w:val="naiskr"/>
              <w:spacing w:before="0" w:beforeAutospacing="0" w:after="0" w:afterAutospacing="0"/>
              <w:jc w:val="both"/>
              <w:rPr>
                <w:rStyle w:val="Izteiksmgs"/>
                <w:b w:val="0"/>
                <w:szCs w:val="28"/>
              </w:rPr>
            </w:pPr>
            <w:r>
              <w:t>Pielikuma 6. punkts</w:t>
            </w:r>
          </w:p>
        </w:tc>
        <w:tc>
          <w:tcPr>
            <w:tcW w:w="1084" w:type="pct"/>
          </w:tcPr>
          <w:p w:rsidR="00C26330" w:rsidRPr="00244F0A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ES tiesību akta vienība tiek ieviesta pilnībā</w:t>
            </w:r>
          </w:p>
        </w:tc>
        <w:tc>
          <w:tcPr>
            <w:tcW w:w="1237" w:type="pct"/>
            <w:gridSpan w:val="2"/>
          </w:tcPr>
          <w:p w:rsidR="00C26330" w:rsidRPr="00244F0A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244F0A">
              <w:t>Attiecīgais noteikumu projekta punkts neparedz stingrākas prasības kā ES tiesību aktā</w:t>
            </w:r>
          </w:p>
        </w:tc>
      </w:tr>
      <w:tr w:rsidR="00C26330" w:rsidRPr="009E2709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5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</w:pPr>
            <w:r>
              <w:t>Projekts šo jomu neskar</w:t>
            </w:r>
            <w:r w:rsidRPr="00997005">
              <w:t>.</w:t>
            </w:r>
          </w:p>
        </w:tc>
      </w:tr>
      <w:tr w:rsidR="00C26330" w:rsidRPr="005A29C0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>
              <w:rPr>
                <w:szCs w:val="26"/>
              </w:rPr>
              <w:t>N</w:t>
            </w:r>
            <w:r w:rsidRPr="000605EA">
              <w:rPr>
                <w:szCs w:val="26"/>
              </w:rPr>
              <w:t>oteikumu projekts nesatur nacionālas tehniskas prasības, kas neizriet no E</w:t>
            </w:r>
            <w:r>
              <w:rPr>
                <w:szCs w:val="26"/>
              </w:rPr>
              <w:t xml:space="preserve">iropas </w:t>
            </w:r>
            <w:r w:rsidRPr="000605EA">
              <w:rPr>
                <w:szCs w:val="26"/>
              </w:rPr>
              <w:t>S</w:t>
            </w:r>
            <w:r>
              <w:rPr>
                <w:szCs w:val="26"/>
              </w:rPr>
              <w:t>avienības</w:t>
            </w:r>
            <w:r w:rsidRPr="000605EA">
              <w:rPr>
                <w:szCs w:val="26"/>
              </w:rPr>
              <w:t xml:space="preserve"> tiesību aktiem, un tas nav paziņojams atbilstoši </w:t>
            </w:r>
            <w:r>
              <w:rPr>
                <w:szCs w:val="26"/>
              </w:rPr>
              <w:t xml:space="preserve">Ministru kabineta </w:t>
            </w:r>
            <w:r w:rsidRPr="000605EA">
              <w:rPr>
                <w:szCs w:val="26"/>
              </w:rPr>
              <w:t>2010.gada 23.februāra</w:t>
            </w:r>
            <w:r>
              <w:rPr>
                <w:szCs w:val="26"/>
              </w:rPr>
              <w:t xml:space="preserve"> </w:t>
            </w:r>
            <w:r w:rsidRPr="000605EA">
              <w:rPr>
                <w:szCs w:val="26"/>
              </w:rPr>
              <w:t>instrukcij</w:t>
            </w:r>
            <w:r>
              <w:rPr>
                <w:szCs w:val="26"/>
              </w:rPr>
              <w:t>ā</w:t>
            </w:r>
            <w:r w:rsidRPr="000605EA">
              <w:rPr>
                <w:szCs w:val="26"/>
              </w:rPr>
              <w:t xml:space="preserve"> Nr.1 „Kārtība, kādā valsts pārvaldes iestādes sniedz informāciju par tehnisko noteikumu projektiem” noteiktajai paziņošanas procedūrai.</w:t>
            </w:r>
          </w:p>
        </w:tc>
      </w:tr>
      <w:tr w:rsidR="00C26330" w:rsidRPr="009E2709" w:rsidTr="009B077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5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</w:pPr>
            <w:r>
              <w:t>Nav</w:t>
            </w:r>
          </w:p>
        </w:tc>
      </w:tr>
    </w:tbl>
    <w:p w:rsidR="00306F6F" w:rsidRDefault="00306F6F" w:rsidP="00C26330">
      <w:pPr>
        <w:pStyle w:val="naisc"/>
        <w:spacing w:before="0" w:after="0"/>
        <w:jc w:val="left"/>
        <w:rPr>
          <w:bCs/>
          <w:i/>
          <w:sz w:val="24"/>
        </w:rPr>
      </w:pPr>
    </w:p>
    <w:p w:rsidR="00C26330" w:rsidRPr="009D1BE8" w:rsidRDefault="00C26330" w:rsidP="00C26330">
      <w:pPr>
        <w:pStyle w:val="naisc"/>
        <w:spacing w:before="0" w:after="0"/>
        <w:jc w:val="left"/>
        <w:rPr>
          <w:bCs/>
          <w:i/>
          <w:sz w:val="24"/>
        </w:rPr>
      </w:pPr>
      <w:r w:rsidRPr="009D1BE8">
        <w:rPr>
          <w:bCs/>
          <w:i/>
          <w:sz w:val="24"/>
        </w:rPr>
        <w:t>Anotācijas V sadaļas 2.tabula – projekts šo jomu neskar.</w:t>
      </w:r>
    </w:p>
    <w:p w:rsidR="00C26330" w:rsidRPr="00C53B0C" w:rsidRDefault="00C26330" w:rsidP="00C26330"/>
    <w:tbl>
      <w:tblPr>
        <w:tblW w:w="4916" w:type="pct"/>
        <w:tblInd w:w="1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824"/>
        <w:gridCol w:w="2598"/>
        <w:gridCol w:w="4365"/>
      </w:tblGrid>
      <w:tr w:rsidR="00C26330" w:rsidRPr="00E612AC" w:rsidTr="00306F6F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szCs w:val="28"/>
                <w:lang w:val="lv-LV" w:eastAsia="lv-LV"/>
              </w:rPr>
              <w:t xml:space="preserve">VI. Sabiedrības līdzdalība </w:t>
            </w:r>
            <w:r w:rsidRPr="009E2709">
              <w:rPr>
                <w:b/>
                <w:bCs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C26330" w:rsidRPr="00FA0762" w:rsidTr="0030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901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878" w:type="pct"/>
            <w:gridSpan w:val="2"/>
          </w:tcPr>
          <w:p w:rsidR="00C26330" w:rsidRPr="003E32F0" w:rsidRDefault="00997D50" w:rsidP="009B077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projekts tika ievietots Zemkopības ministrijas tīmekļa vietnē.</w:t>
            </w:r>
          </w:p>
        </w:tc>
      </w:tr>
      <w:tr w:rsidR="00C26330" w:rsidRPr="005A29C0" w:rsidTr="0030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901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878" w:type="pct"/>
            <w:gridSpan w:val="2"/>
          </w:tcPr>
          <w:p w:rsidR="00C26330" w:rsidRPr="00DB2D60" w:rsidRDefault="00DB2D60" w:rsidP="00997D50">
            <w:pPr>
              <w:pStyle w:val="naiskr"/>
              <w:spacing w:before="0" w:beforeAutospacing="0" w:after="0" w:afterAutospacing="0"/>
              <w:jc w:val="both"/>
            </w:pPr>
            <w:r w:rsidRPr="00DB2D60">
              <w:t xml:space="preserve">Pārtikas un veterinārais dienests un Dzīvnieku barības ražotāju un tirgotāju asociācija izskatīja Zemkopības ministrijas izstrādāto </w:t>
            </w:r>
            <w:r w:rsidRPr="00DB2D60">
              <w:rPr>
                <w:bCs/>
              </w:rPr>
              <w:t xml:space="preserve">projektu </w:t>
            </w:r>
            <w:r w:rsidRPr="00DB2D60">
              <w:t xml:space="preserve">„Grozījumi Ministru kabineta 2009.gada 29.septembra noteikumos Nr.1111 „Noteikumi par dzīvnieku barībā un barības sastāvdaļās aizliegtajām vielām un barības nekaitīguma prasībām”” </w:t>
            </w:r>
            <w:r w:rsidR="00997D50" w:rsidRPr="00DB2D60">
              <w:t>un neiebilst pret to.</w:t>
            </w:r>
          </w:p>
        </w:tc>
      </w:tr>
      <w:tr w:rsidR="00C26330" w:rsidRPr="000C45AC" w:rsidTr="0030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901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878" w:type="pct"/>
            <w:gridSpan w:val="2"/>
          </w:tcPr>
          <w:p w:rsidR="00C26330" w:rsidRPr="003E32F0" w:rsidRDefault="00997D50" w:rsidP="009B0776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t>Nav</w:t>
            </w:r>
          </w:p>
        </w:tc>
      </w:tr>
      <w:tr w:rsidR="00C26330" w:rsidRPr="009E2709" w:rsidTr="00306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901" w:type="pct"/>
            <w:gridSpan w:val="2"/>
          </w:tcPr>
          <w:p w:rsidR="00C26330" w:rsidRPr="009E2709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878" w:type="pct"/>
            <w:gridSpan w:val="2"/>
          </w:tcPr>
          <w:p w:rsidR="00C26330" w:rsidRPr="009E2709" w:rsidRDefault="00C26330" w:rsidP="009B0776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</w:t>
            </w:r>
          </w:p>
        </w:tc>
      </w:tr>
      <w:tr w:rsidR="00C26330" w:rsidRPr="009E2709" w:rsidTr="00306F6F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C26330" w:rsidRPr="009E2709" w:rsidTr="00306F6F">
        <w:tc>
          <w:tcPr>
            <w:tcW w:w="6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9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CB5D78" w:rsidRDefault="00C26330" w:rsidP="009B0776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D78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C26330" w:rsidRPr="005A29C0" w:rsidTr="00306F6F">
        <w:tc>
          <w:tcPr>
            <w:tcW w:w="6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9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C26330" w:rsidRPr="009E2709" w:rsidRDefault="00C26330" w:rsidP="009B0776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CB5D78" w:rsidRDefault="00C26330" w:rsidP="009B0776">
            <w:pPr>
              <w:pStyle w:val="naiskr"/>
              <w:spacing w:before="0" w:beforeAutospacing="0" w:after="0" w:afterAutospacing="0"/>
              <w:jc w:val="both"/>
            </w:pPr>
            <w:r>
              <w:t>Noteikumu izpildei nav nepieciešams radīt jaunas institūcijas vai paplašināt esošo institūciju funkcijas.</w:t>
            </w:r>
          </w:p>
        </w:tc>
      </w:tr>
      <w:tr w:rsidR="00C26330" w:rsidRPr="009E2709" w:rsidTr="00306F6F">
        <w:tc>
          <w:tcPr>
            <w:tcW w:w="6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9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330" w:rsidRPr="009E2709" w:rsidRDefault="00C26330" w:rsidP="009B0776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C26330" w:rsidRDefault="00C26330" w:rsidP="00C26330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B90028" w:rsidRDefault="00B90028" w:rsidP="00C26330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B90028" w:rsidRDefault="00B90028" w:rsidP="00C26330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B90028" w:rsidRPr="009E2709" w:rsidRDefault="00B90028" w:rsidP="00C26330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C26330" w:rsidRDefault="00C26330" w:rsidP="00C26330">
      <w:pPr>
        <w:pStyle w:val="Virsraksts1"/>
        <w:keepNext w:val="0"/>
        <w:widowControl w:val="0"/>
        <w:ind w:firstLine="720"/>
        <w:jc w:val="left"/>
        <w:rPr>
          <w:b w:val="0"/>
        </w:rPr>
      </w:pPr>
      <w:r>
        <w:rPr>
          <w:b w:val="0"/>
          <w:szCs w:val="28"/>
        </w:rPr>
        <w:t>Zemkopības ministrs</w:t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9E2709">
        <w:rPr>
          <w:b w:val="0"/>
          <w:szCs w:val="28"/>
        </w:rPr>
        <w:tab/>
      </w:r>
      <w:r w:rsidRPr="006A73AD">
        <w:rPr>
          <w:b w:val="0"/>
        </w:rPr>
        <w:t>J.Dūklavs</w:t>
      </w:r>
    </w:p>
    <w:p w:rsidR="00C26330" w:rsidRDefault="00C26330" w:rsidP="00C26330">
      <w:pPr>
        <w:rPr>
          <w:lang w:val="lv-LV"/>
        </w:rPr>
      </w:pPr>
    </w:p>
    <w:p w:rsidR="00C26330" w:rsidRDefault="00C26330" w:rsidP="00C26330">
      <w:pPr>
        <w:rPr>
          <w:lang w:val="lv-LV"/>
        </w:rPr>
      </w:pPr>
    </w:p>
    <w:p w:rsidR="00C26330" w:rsidRDefault="00C26330" w:rsidP="00C26330">
      <w:pPr>
        <w:rPr>
          <w:lang w:val="lv-LV"/>
        </w:rPr>
      </w:pPr>
    </w:p>
    <w:p w:rsidR="00C26330" w:rsidRDefault="00C26330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Default="00306F6F" w:rsidP="00C26330">
      <w:pPr>
        <w:rPr>
          <w:lang w:val="lv-LV"/>
        </w:rPr>
      </w:pPr>
    </w:p>
    <w:p w:rsidR="00306F6F" w:rsidRPr="00D55439" w:rsidRDefault="00306F6F" w:rsidP="00C26330">
      <w:pPr>
        <w:rPr>
          <w:lang w:val="lv-LV"/>
        </w:rPr>
      </w:pPr>
    </w:p>
    <w:p w:rsidR="00306F6F" w:rsidRDefault="00306F6F" w:rsidP="00C26330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2014.08.28. 16:13</w:t>
      </w:r>
    </w:p>
    <w:p w:rsidR="005A29C0" w:rsidRDefault="005A29C0" w:rsidP="00C26330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1156</w:t>
      </w:r>
      <w:r>
        <w:rPr>
          <w:sz w:val="20"/>
          <w:szCs w:val="20"/>
        </w:rPr>
        <w:fldChar w:fldCharType="end"/>
      </w:r>
    </w:p>
    <w:p w:rsidR="00C26330" w:rsidRPr="00AF548A" w:rsidRDefault="00C26330" w:rsidP="00C26330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AF548A">
        <w:rPr>
          <w:sz w:val="20"/>
          <w:szCs w:val="20"/>
          <w:lang w:val="lv-LV"/>
        </w:rPr>
        <w:t>K.Golubevs</w:t>
      </w:r>
    </w:p>
    <w:p w:rsidR="00C26330" w:rsidRPr="00AF548A" w:rsidRDefault="00C26330" w:rsidP="00C26330">
      <w:pPr>
        <w:jc w:val="both"/>
        <w:rPr>
          <w:sz w:val="20"/>
          <w:szCs w:val="20"/>
          <w:lang w:val="lv-LV"/>
        </w:rPr>
      </w:pPr>
      <w:r w:rsidRPr="00AF548A">
        <w:rPr>
          <w:sz w:val="20"/>
          <w:szCs w:val="20"/>
          <w:lang w:val="lv-LV"/>
        </w:rPr>
        <w:t>67027196, Konstantins.Golubevs@zm.gov.lv</w:t>
      </w:r>
    </w:p>
    <w:p w:rsidR="005A3E08" w:rsidRPr="00B90028" w:rsidRDefault="005A3E08" w:rsidP="00C26330">
      <w:pPr>
        <w:rPr>
          <w:lang w:val="lv-LV"/>
        </w:rPr>
      </w:pPr>
    </w:p>
    <w:sectPr w:rsidR="005A3E08" w:rsidRPr="00B90028" w:rsidSect="00AF548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59" w:rsidRDefault="00F16759">
      <w:r>
        <w:separator/>
      </w:r>
    </w:p>
  </w:endnote>
  <w:endnote w:type="continuationSeparator" w:id="0">
    <w:p w:rsidR="00F16759" w:rsidRDefault="00F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BB" w:rsidRPr="00F513BB" w:rsidRDefault="00F513BB" w:rsidP="00F513BB">
    <w:pPr>
      <w:jc w:val="both"/>
      <w:rPr>
        <w:b/>
        <w:sz w:val="20"/>
        <w:szCs w:val="20"/>
      </w:rPr>
    </w:pPr>
    <w:r>
      <w:rPr>
        <w:sz w:val="20"/>
        <w:szCs w:val="20"/>
      </w:rPr>
      <w:t>Z</w:t>
    </w:r>
    <w:r w:rsidR="00FA0762">
      <w:rPr>
        <w:sz w:val="20"/>
        <w:szCs w:val="20"/>
      </w:rPr>
      <w:t>MAnot_28</w:t>
    </w:r>
    <w:r w:rsidR="00BE7BB6">
      <w:rPr>
        <w:sz w:val="20"/>
        <w:szCs w:val="20"/>
      </w:rPr>
      <w:t>08</w:t>
    </w:r>
    <w:r>
      <w:rPr>
        <w:sz w:val="20"/>
        <w:szCs w:val="20"/>
      </w:rPr>
      <w:t>14_nevvielas</w:t>
    </w:r>
    <w:r w:rsidRPr="00194799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„</w:t>
    </w:r>
    <w:r w:rsidRPr="00C00776">
      <w:rPr>
        <w:sz w:val="20"/>
        <w:szCs w:val="20"/>
      </w:rPr>
      <w:t>Grozījumi Ministru kabineta 200</w:t>
    </w:r>
    <w:r>
      <w:rPr>
        <w:sz w:val="20"/>
        <w:szCs w:val="20"/>
      </w:rPr>
      <w:t>9</w:t>
    </w:r>
    <w:r w:rsidRPr="00C00776">
      <w:rPr>
        <w:sz w:val="20"/>
        <w:szCs w:val="20"/>
      </w:rPr>
      <w:t xml:space="preserve">.gada </w:t>
    </w:r>
    <w:r>
      <w:rPr>
        <w:sz w:val="20"/>
        <w:szCs w:val="20"/>
      </w:rPr>
      <w:t>29</w:t>
    </w:r>
    <w:r w:rsidRPr="00C00776">
      <w:rPr>
        <w:sz w:val="20"/>
        <w:szCs w:val="20"/>
      </w:rPr>
      <w:t>.</w:t>
    </w:r>
    <w:r>
      <w:rPr>
        <w:sz w:val="20"/>
        <w:szCs w:val="20"/>
      </w:rPr>
      <w:t>septembr</w:t>
    </w:r>
    <w:r w:rsidRPr="00C00776">
      <w:rPr>
        <w:sz w:val="20"/>
        <w:szCs w:val="20"/>
      </w:rPr>
      <w:t>a noteikumos Nr.</w:t>
    </w:r>
    <w:r>
      <w:rPr>
        <w:sz w:val="20"/>
        <w:szCs w:val="20"/>
      </w:rPr>
      <w:t>1111</w:t>
    </w:r>
    <w:r w:rsidRPr="00C00776">
      <w:rPr>
        <w:sz w:val="20"/>
        <w:szCs w:val="20"/>
      </w:rPr>
      <w:t xml:space="preserve"> „Noteikumi par dzīvnieku barībā un barības sastāvdaļās aizliegtajām vielām un barības nekaitīguma prasībām”</w:t>
    </w:r>
    <w:r>
      <w:rPr>
        <w:sz w:val="20"/>
        <w:szCs w:val="20"/>
      </w:rPr>
      <w:t>”</w:t>
    </w:r>
    <w:r w:rsidRPr="00F513BB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BB" w:rsidRPr="00F513BB" w:rsidRDefault="00F513BB" w:rsidP="00F513BB">
    <w:pPr>
      <w:jc w:val="both"/>
      <w:rPr>
        <w:b/>
        <w:sz w:val="20"/>
        <w:szCs w:val="20"/>
      </w:rPr>
    </w:pPr>
    <w:r>
      <w:rPr>
        <w:sz w:val="20"/>
        <w:szCs w:val="20"/>
      </w:rPr>
      <w:t>Z</w:t>
    </w:r>
    <w:r w:rsidR="00FA0762">
      <w:rPr>
        <w:sz w:val="20"/>
        <w:szCs w:val="20"/>
      </w:rPr>
      <w:t>MAnot_28</w:t>
    </w:r>
    <w:r w:rsidR="00BE7BB6">
      <w:rPr>
        <w:sz w:val="20"/>
        <w:szCs w:val="20"/>
      </w:rPr>
      <w:t>08</w:t>
    </w:r>
    <w:r>
      <w:rPr>
        <w:sz w:val="20"/>
        <w:szCs w:val="20"/>
      </w:rPr>
      <w:t>14_nevvielas</w:t>
    </w:r>
    <w:r w:rsidRPr="00194799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„</w:t>
    </w:r>
    <w:r w:rsidRPr="00C00776">
      <w:rPr>
        <w:sz w:val="20"/>
        <w:szCs w:val="20"/>
      </w:rPr>
      <w:t>Grozījumi Ministru kabineta 200</w:t>
    </w:r>
    <w:r>
      <w:rPr>
        <w:sz w:val="20"/>
        <w:szCs w:val="20"/>
      </w:rPr>
      <w:t>9</w:t>
    </w:r>
    <w:r w:rsidRPr="00C00776">
      <w:rPr>
        <w:sz w:val="20"/>
        <w:szCs w:val="20"/>
      </w:rPr>
      <w:t xml:space="preserve">.gada </w:t>
    </w:r>
    <w:r>
      <w:rPr>
        <w:sz w:val="20"/>
        <w:szCs w:val="20"/>
      </w:rPr>
      <w:t>29</w:t>
    </w:r>
    <w:r w:rsidRPr="00C00776">
      <w:rPr>
        <w:sz w:val="20"/>
        <w:szCs w:val="20"/>
      </w:rPr>
      <w:t>.</w:t>
    </w:r>
    <w:r>
      <w:rPr>
        <w:sz w:val="20"/>
        <w:szCs w:val="20"/>
      </w:rPr>
      <w:t>septembr</w:t>
    </w:r>
    <w:r w:rsidRPr="00C00776">
      <w:rPr>
        <w:sz w:val="20"/>
        <w:szCs w:val="20"/>
      </w:rPr>
      <w:t>a noteikumos Nr.</w:t>
    </w:r>
    <w:r>
      <w:rPr>
        <w:sz w:val="20"/>
        <w:szCs w:val="20"/>
      </w:rPr>
      <w:t>1111</w:t>
    </w:r>
    <w:r w:rsidRPr="00C00776">
      <w:rPr>
        <w:sz w:val="20"/>
        <w:szCs w:val="20"/>
      </w:rPr>
      <w:t xml:space="preserve"> „Noteikumi par dzīvnieku barībā un barības sastāvdaļās aizliegtajām vielām un barības nekaitīguma prasībām”</w:t>
    </w:r>
    <w:r>
      <w:rPr>
        <w:sz w:val="20"/>
        <w:szCs w:val="20"/>
      </w:rPr>
      <w:t>”</w:t>
    </w:r>
    <w:r w:rsidRPr="00F513BB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59" w:rsidRDefault="00F16759">
      <w:r>
        <w:separator/>
      </w:r>
    </w:p>
  </w:footnote>
  <w:footnote w:type="continuationSeparator" w:id="0">
    <w:p w:rsidR="00F16759" w:rsidRDefault="00F1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668B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0668B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29C0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8004A"/>
    <w:multiLevelType w:val="multilevel"/>
    <w:tmpl w:val="9F5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68B7"/>
    <w:rsid w:val="0002330F"/>
    <w:rsid w:val="0002456C"/>
    <w:rsid w:val="000261C3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68B3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45AC"/>
    <w:rsid w:val="000C5D0D"/>
    <w:rsid w:val="000D0329"/>
    <w:rsid w:val="000D0616"/>
    <w:rsid w:val="000D3B4D"/>
    <w:rsid w:val="000D51C7"/>
    <w:rsid w:val="000D57DA"/>
    <w:rsid w:val="000D627F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870"/>
    <w:rsid w:val="00103AD7"/>
    <w:rsid w:val="00103D1B"/>
    <w:rsid w:val="00104349"/>
    <w:rsid w:val="00105AE2"/>
    <w:rsid w:val="0010612F"/>
    <w:rsid w:val="00106E4A"/>
    <w:rsid w:val="0011310D"/>
    <w:rsid w:val="00115490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C68"/>
    <w:rsid w:val="0015551E"/>
    <w:rsid w:val="00155B89"/>
    <w:rsid w:val="001608F4"/>
    <w:rsid w:val="0016266C"/>
    <w:rsid w:val="00162E14"/>
    <w:rsid w:val="00163276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3607"/>
    <w:rsid w:val="001A3B92"/>
    <w:rsid w:val="001A3FFF"/>
    <w:rsid w:val="001A6148"/>
    <w:rsid w:val="001A7C43"/>
    <w:rsid w:val="001B2F73"/>
    <w:rsid w:val="001B3B95"/>
    <w:rsid w:val="001B4882"/>
    <w:rsid w:val="001C09FC"/>
    <w:rsid w:val="001C22E7"/>
    <w:rsid w:val="001C2A17"/>
    <w:rsid w:val="001C4904"/>
    <w:rsid w:val="001C5F46"/>
    <w:rsid w:val="001C7CA2"/>
    <w:rsid w:val="001D06A3"/>
    <w:rsid w:val="001D180D"/>
    <w:rsid w:val="001D5D46"/>
    <w:rsid w:val="001D5DAF"/>
    <w:rsid w:val="001D77D5"/>
    <w:rsid w:val="001E07F8"/>
    <w:rsid w:val="001E14E1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06AC5"/>
    <w:rsid w:val="00210E44"/>
    <w:rsid w:val="0021306B"/>
    <w:rsid w:val="0021364F"/>
    <w:rsid w:val="002234A1"/>
    <w:rsid w:val="00224CE4"/>
    <w:rsid w:val="002266DE"/>
    <w:rsid w:val="00230D6B"/>
    <w:rsid w:val="00231888"/>
    <w:rsid w:val="0023257C"/>
    <w:rsid w:val="00232AE9"/>
    <w:rsid w:val="0023303C"/>
    <w:rsid w:val="00242D12"/>
    <w:rsid w:val="00243F66"/>
    <w:rsid w:val="0024492F"/>
    <w:rsid w:val="002465D1"/>
    <w:rsid w:val="00247ADA"/>
    <w:rsid w:val="00247BF7"/>
    <w:rsid w:val="00247D93"/>
    <w:rsid w:val="002509B6"/>
    <w:rsid w:val="00251F26"/>
    <w:rsid w:val="00252CBC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77FCA"/>
    <w:rsid w:val="00281011"/>
    <w:rsid w:val="00281E8A"/>
    <w:rsid w:val="00282F68"/>
    <w:rsid w:val="002849D1"/>
    <w:rsid w:val="00286469"/>
    <w:rsid w:val="002915A2"/>
    <w:rsid w:val="00294063"/>
    <w:rsid w:val="0029410D"/>
    <w:rsid w:val="00294367"/>
    <w:rsid w:val="0029700C"/>
    <w:rsid w:val="00297244"/>
    <w:rsid w:val="002A096C"/>
    <w:rsid w:val="002A16EB"/>
    <w:rsid w:val="002A1A25"/>
    <w:rsid w:val="002A227F"/>
    <w:rsid w:val="002A46BA"/>
    <w:rsid w:val="002A7CB6"/>
    <w:rsid w:val="002B1905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3AA2"/>
    <w:rsid w:val="002D4981"/>
    <w:rsid w:val="002E1E2F"/>
    <w:rsid w:val="002E284E"/>
    <w:rsid w:val="002E358C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62F1"/>
    <w:rsid w:val="00306F6F"/>
    <w:rsid w:val="003078B5"/>
    <w:rsid w:val="003078BF"/>
    <w:rsid w:val="00312474"/>
    <w:rsid w:val="003124EE"/>
    <w:rsid w:val="003131B6"/>
    <w:rsid w:val="00315C3F"/>
    <w:rsid w:val="0031720E"/>
    <w:rsid w:val="0032141D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66FB3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3294"/>
    <w:rsid w:val="00384564"/>
    <w:rsid w:val="00386887"/>
    <w:rsid w:val="00387413"/>
    <w:rsid w:val="0038766F"/>
    <w:rsid w:val="0038793B"/>
    <w:rsid w:val="00390386"/>
    <w:rsid w:val="00390C21"/>
    <w:rsid w:val="00394F91"/>
    <w:rsid w:val="00396612"/>
    <w:rsid w:val="00396735"/>
    <w:rsid w:val="003A4522"/>
    <w:rsid w:val="003A58B9"/>
    <w:rsid w:val="003A5A85"/>
    <w:rsid w:val="003A636B"/>
    <w:rsid w:val="003B0D03"/>
    <w:rsid w:val="003B468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32F0"/>
    <w:rsid w:val="003E36E3"/>
    <w:rsid w:val="003E745F"/>
    <w:rsid w:val="003F02D7"/>
    <w:rsid w:val="003F1B23"/>
    <w:rsid w:val="003F29A1"/>
    <w:rsid w:val="003F2F3C"/>
    <w:rsid w:val="003F3EE8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555F"/>
    <w:rsid w:val="004364EB"/>
    <w:rsid w:val="00437C04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644F"/>
    <w:rsid w:val="00476A2F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3F4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E0F9E"/>
    <w:rsid w:val="004E202E"/>
    <w:rsid w:val="004E3C85"/>
    <w:rsid w:val="004E78C9"/>
    <w:rsid w:val="004F158A"/>
    <w:rsid w:val="004F1BDB"/>
    <w:rsid w:val="004F2EFC"/>
    <w:rsid w:val="004F407F"/>
    <w:rsid w:val="004F7CDB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29C0"/>
    <w:rsid w:val="005A3B29"/>
    <w:rsid w:val="005A3E08"/>
    <w:rsid w:val="005A519B"/>
    <w:rsid w:val="005A6AF8"/>
    <w:rsid w:val="005A71C2"/>
    <w:rsid w:val="005A76CB"/>
    <w:rsid w:val="005A7D0E"/>
    <w:rsid w:val="005B0543"/>
    <w:rsid w:val="005B1B7C"/>
    <w:rsid w:val="005B34A4"/>
    <w:rsid w:val="005B4287"/>
    <w:rsid w:val="005B506A"/>
    <w:rsid w:val="005B6F87"/>
    <w:rsid w:val="005B7245"/>
    <w:rsid w:val="005B772E"/>
    <w:rsid w:val="005C7AAB"/>
    <w:rsid w:val="005D2108"/>
    <w:rsid w:val="005D29F6"/>
    <w:rsid w:val="005D619A"/>
    <w:rsid w:val="005D63AD"/>
    <w:rsid w:val="005D73DE"/>
    <w:rsid w:val="005E14A7"/>
    <w:rsid w:val="005E2038"/>
    <w:rsid w:val="005E3C44"/>
    <w:rsid w:val="005E5056"/>
    <w:rsid w:val="005E61B9"/>
    <w:rsid w:val="005F1986"/>
    <w:rsid w:val="005F548A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3FCB"/>
    <w:rsid w:val="00655ACE"/>
    <w:rsid w:val="00655EBB"/>
    <w:rsid w:val="00656C23"/>
    <w:rsid w:val="00657962"/>
    <w:rsid w:val="00660CB0"/>
    <w:rsid w:val="00661849"/>
    <w:rsid w:val="0066452D"/>
    <w:rsid w:val="006662B5"/>
    <w:rsid w:val="00671731"/>
    <w:rsid w:val="0067321A"/>
    <w:rsid w:val="00673642"/>
    <w:rsid w:val="00674D5D"/>
    <w:rsid w:val="00675331"/>
    <w:rsid w:val="00677712"/>
    <w:rsid w:val="00680B20"/>
    <w:rsid w:val="00680E5A"/>
    <w:rsid w:val="0068152E"/>
    <w:rsid w:val="0068171E"/>
    <w:rsid w:val="0068182B"/>
    <w:rsid w:val="00681AA8"/>
    <w:rsid w:val="00683A17"/>
    <w:rsid w:val="00684DF8"/>
    <w:rsid w:val="0069043D"/>
    <w:rsid w:val="00691CB0"/>
    <w:rsid w:val="0069612C"/>
    <w:rsid w:val="00696562"/>
    <w:rsid w:val="006A073E"/>
    <w:rsid w:val="006A165C"/>
    <w:rsid w:val="006A1F3F"/>
    <w:rsid w:val="006A3CD4"/>
    <w:rsid w:val="006A699B"/>
    <w:rsid w:val="006A729F"/>
    <w:rsid w:val="006A73AD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4F17"/>
    <w:rsid w:val="006C6551"/>
    <w:rsid w:val="006D42DC"/>
    <w:rsid w:val="006D4AD9"/>
    <w:rsid w:val="006D5174"/>
    <w:rsid w:val="006D5E2B"/>
    <w:rsid w:val="006E0585"/>
    <w:rsid w:val="006E3915"/>
    <w:rsid w:val="006E4A20"/>
    <w:rsid w:val="006E63AB"/>
    <w:rsid w:val="006E6F98"/>
    <w:rsid w:val="006F2AB1"/>
    <w:rsid w:val="006F4812"/>
    <w:rsid w:val="006F4B56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0CB5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083A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3AB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3914"/>
    <w:rsid w:val="00854598"/>
    <w:rsid w:val="00856738"/>
    <w:rsid w:val="00856DA5"/>
    <w:rsid w:val="00857020"/>
    <w:rsid w:val="00863961"/>
    <w:rsid w:val="0086556F"/>
    <w:rsid w:val="008665A4"/>
    <w:rsid w:val="0086732B"/>
    <w:rsid w:val="00871602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78F"/>
    <w:rsid w:val="00892DFD"/>
    <w:rsid w:val="00892F79"/>
    <w:rsid w:val="00895210"/>
    <w:rsid w:val="0089539C"/>
    <w:rsid w:val="00897134"/>
    <w:rsid w:val="008A4B6E"/>
    <w:rsid w:val="008A54A5"/>
    <w:rsid w:val="008B0F1E"/>
    <w:rsid w:val="008B248C"/>
    <w:rsid w:val="008B5CA3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51C"/>
    <w:rsid w:val="008F3942"/>
    <w:rsid w:val="008F7098"/>
    <w:rsid w:val="009003B8"/>
    <w:rsid w:val="009012CD"/>
    <w:rsid w:val="00902882"/>
    <w:rsid w:val="0091356D"/>
    <w:rsid w:val="00913E94"/>
    <w:rsid w:val="0091545F"/>
    <w:rsid w:val="00915777"/>
    <w:rsid w:val="00922501"/>
    <w:rsid w:val="00922CC9"/>
    <w:rsid w:val="0092335B"/>
    <w:rsid w:val="009278E8"/>
    <w:rsid w:val="00930777"/>
    <w:rsid w:val="009333D0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6030D"/>
    <w:rsid w:val="00962D0E"/>
    <w:rsid w:val="00962D51"/>
    <w:rsid w:val="00965105"/>
    <w:rsid w:val="0096539B"/>
    <w:rsid w:val="00965F99"/>
    <w:rsid w:val="00967B46"/>
    <w:rsid w:val="00970789"/>
    <w:rsid w:val="0097195C"/>
    <w:rsid w:val="00975D4C"/>
    <w:rsid w:val="009816F5"/>
    <w:rsid w:val="009830FD"/>
    <w:rsid w:val="0098399E"/>
    <w:rsid w:val="0099066A"/>
    <w:rsid w:val="0099390A"/>
    <w:rsid w:val="00996A3D"/>
    <w:rsid w:val="00997D50"/>
    <w:rsid w:val="009A24CA"/>
    <w:rsid w:val="009A49E1"/>
    <w:rsid w:val="009A678E"/>
    <w:rsid w:val="009A7AFC"/>
    <w:rsid w:val="009B3D43"/>
    <w:rsid w:val="009B4E64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5C64"/>
    <w:rsid w:val="009E643D"/>
    <w:rsid w:val="009E76E9"/>
    <w:rsid w:val="009F3D1F"/>
    <w:rsid w:val="009F4C7E"/>
    <w:rsid w:val="009F5B68"/>
    <w:rsid w:val="009F6432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2F81"/>
    <w:rsid w:val="00A2561F"/>
    <w:rsid w:val="00A262F2"/>
    <w:rsid w:val="00A26A95"/>
    <w:rsid w:val="00A26D42"/>
    <w:rsid w:val="00A3317E"/>
    <w:rsid w:val="00A37069"/>
    <w:rsid w:val="00A37939"/>
    <w:rsid w:val="00A40717"/>
    <w:rsid w:val="00A4240D"/>
    <w:rsid w:val="00A44457"/>
    <w:rsid w:val="00A44EA9"/>
    <w:rsid w:val="00A56C36"/>
    <w:rsid w:val="00A604F2"/>
    <w:rsid w:val="00A618F6"/>
    <w:rsid w:val="00A6353D"/>
    <w:rsid w:val="00A7237E"/>
    <w:rsid w:val="00A73D8E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2EF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A70D4"/>
    <w:rsid w:val="00AB5A60"/>
    <w:rsid w:val="00AC0691"/>
    <w:rsid w:val="00AC2439"/>
    <w:rsid w:val="00AC6F37"/>
    <w:rsid w:val="00AC7264"/>
    <w:rsid w:val="00AD3AF0"/>
    <w:rsid w:val="00AD3FDA"/>
    <w:rsid w:val="00AE02A3"/>
    <w:rsid w:val="00AE3ECB"/>
    <w:rsid w:val="00AE500B"/>
    <w:rsid w:val="00AE7A70"/>
    <w:rsid w:val="00AF1735"/>
    <w:rsid w:val="00AF327B"/>
    <w:rsid w:val="00AF548A"/>
    <w:rsid w:val="00AF66A5"/>
    <w:rsid w:val="00B00ADB"/>
    <w:rsid w:val="00B01566"/>
    <w:rsid w:val="00B02802"/>
    <w:rsid w:val="00B02BC1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2D37"/>
    <w:rsid w:val="00B47275"/>
    <w:rsid w:val="00B47B5C"/>
    <w:rsid w:val="00B50388"/>
    <w:rsid w:val="00B505A3"/>
    <w:rsid w:val="00B51624"/>
    <w:rsid w:val="00B55EA8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028"/>
    <w:rsid w:val="00B90FB8"/>
    <w:rsid w:val="00B9449B"/>
    <w:rsid w:val="00BA299F"/>
    <w:rsid w:val="00BA2FEA"/>
    <w:rsid w:val="00BA35DF"/>
    <w:rsid w:val="00BA3C5D"/>
    <w:rsid w:val="00BA3E1C"/>
    <w:rsid w:val="00BA41FC"/>
    <w:rsid w:val="00BA6631"/>
    <w:rsid w:val="00BA7758"/>
    <w:rsid w:val="00BB2CA5"/>
    <w:rsid w:val="00BB4D9B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BB6"/>
    <w:rsid w:val="00BE7E71"/>
    <w:rsid w:val="00BF0AB8"/>
    <w:rsid w:val="00BF407A"/>
    <w:rsid w:val="00BF49C9"/>
    <w:rsid w:val="00BF6A14"/>
    <w:rsid w:val="00C018B4"/>
    <w:rsid w:val="00C01D97"/>
    <w:rsid w:val="00C0292C"/>
    <w:rsid w:val="00C11917"/>
    <w:rsid w:val="00C11C1B"/>
    <w:rsid w:val="00C11E8B"/>
    <w:rsid w:val="00C124C7"/>
    <w:rsid w:val="00C135BF"/>
    <w:rsid w:val="00C13D3C"/>
    <w:rsid w:val="00C143EE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26330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3B0C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6BD2"/>
    <w:rsid w:val="00C8717F"/>
    <w:rsid w:val="00C87AFB"/>
    <w:rsid w:val="00C87B21"/>
    <w:rsid w:val="00C9138E"/>
    <w:rsid w:val="00C9293F"/>
    <w:rsid w:val="00C92B32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5D78"/>
    <w:rsid w:val="00CB6F1D"/>
    <w:rsid w:val="00CC005F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4C00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06B2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3627C"/>
    <w:rsid w:val="00D45515"/>
    <w:rsid w:val="00D509B4"/>
    <w:rsid w:val="00D521BF"/>
    <w:rsid w:val="00D52B05"/>
    <w:rsid w:val="00D52BBF"/>
    <w:rsid w:val="00D533EA"/>
    <w:rsid w:val="00D54624"/>
    <w:rsid w:val="00D54AA4"/>
    <w:rsid w:val="00D55439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2D60"/>
    <w:rsid w:val="00DB57D4"/>
    <w:rsid w:val="00DB635C"/>
    <w:rsid w:val="00DB6521"/>
    <w:rsid w:val="00DB6661"/>
    <w:rsid w:val="00DB6892"/>
    <w:rsid w:val="00DB6E53"/>
    <w:rsid w:val="00DB70FB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A77"/>
    <w:rsid w:val="00E01B29"/>
    <w:rsid w:val="00E029E7"/>
    <w:rsid w:val="00E06F9B"/>
    <w:rsid w:val="00E14CDF"/>
    <w:rsid w:val="00E14D63"/>
    <w:rsid w:val="00E2125C"/>
    <w:rsid w:val="00E2273F"/>
    <w:rsid w:val="00E22EFF"/>
    <w:rsid w:val="00E33982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57FEE"/>
    <w:rsid w:val="00E612AC"/>
    <w:rsid w:val="00E61540"/>
    <w:rsid w:val="00E61AD5"/>
    <w:rsid w:val="00E63114"/>
    <w:rsid w:val="00E664C7"/>
    <w:rsid w:val="00E73750"/>
    <w:rsid w:val="00E8002E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C6"/>
    <w:rsid w:val="00E952E0"/>
    <w:rsid w:val="00E96623"/>
    <w:rsid w:val="00E96929"/>
    <w:rsid w:val="00E975A7"/>
    <w:rsid w:val="00EA2490"/>
    <w:rsid w:val="00EA2C74"/>
    <w:rsid w:val="00EA4AD5"/>
    <w:rsid w:val="00EB078B"/>
    <w:rsid w:val="00EB346F"/>
    <w:rsid w:val="00EB395A"/>
    <w:rsid w:val="00EB4DFC"/>
    <w:rsid w:val="00EB59AA"/>
    <w:rsid w:val="00EB5CDB"/>
    <w:rsid w:val="00EB64BA"/>
    <w:rsid w:val="00EB6920"/>
    <w:rsid w:val="00EB6A46"/>
    <w:rsid w:val="00EB722D"/>
    <w:rsid w:val="00EB73E8"/>
    <w:rsid w:val="00EC39D3"/>
    <w:rsid w:val="00EC60D4"/>
    <w:rsid w:val="00EC74AC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16759"/>
    <w:rsid w:val="00F20FEC"/>
    <w:rsid w:val="00F21D44"/>
    <w:rsid w:val="00F238D5"/>
    <w:rsid w:val="00F268FC"/>
    <w:rsid w:val="00F27286"/>
    <w:rsid w:val="00F2763C"/>
    <w:rsid w:val="00F31BD0"/>
    <w:rsid w:val="00F32B1E"/>
    <w:rsid w:val="00F34B64"/>
    <w:rsid w:val="00F353B9"/>
    <w:rsid w:val="00F363E9"/>
    <w:rsid w:val="00F431E3"/>
    <w:rsid w:val="00F43267"/>
    <w:rsid w:val="00F513BB"/>
    <w:rsid w:val="00F517A7"/>
    <w:rsid w:val="00F53357"/>
    <w:rsid w:val="00F53ADF"/>
    <w:rsid w:val="00F569D3"/>
    <w:rsid w:val="00F57AC9"/>
    <w:rsid w:val="00F57B84"/>
    <w:rsid w:val="00F62042"/>
    <w:rsid w:val="00F629B9"/>
    <w:rsid w:val="00F6312D"/>
    <w:rsid w:val="00F639BB"/>
    <w:rsid w:val="00F64F2F"/>
    <w:rsid w:val="00F67876"/>
    <w:rsid w:val="00F67FA1"/>
    <w:rsid w:val="00F72274"/>
    <w:rsid w:val="00F739A2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762"/>
    <w:rsid w:val="00FA08DA"/>
    <w:rsid w:val="00FA28CA"/>
    <w:rsid w:val="00FA2FBB"/>
    <w:rsid w:val="00FA53DE"/>
    <w:rsid w:val="00FA6BDD"/>
    <w:rsid w:val="00FA6F8A"/>
    <w:rsid w:val="00FA7FCA"/>
    <w:rsid w:val="00FB0A61"/>
    <w:rsid w:val="00FB0DFB"/>
    <w:rsid w:val="00FB12AC"/>
    <w:rsid w:val="00FB20CF"/>
    <w:rsid w:val="00FB2A36"/>
    <w:rsid w:val="00FB4839"/>
    <w:rsid w:val="00FB6B3F"/>
    <w:rsid w:val="00FB71FE"/>
    <w:rsid w:val="00FC1248"/>
    <w:rsid w:val="00FC13D5"/>
    <w:rsid w:val="00FC1AAF"/>
    <w:rsid w:val="00FC25E0"/>
    <w:rsid w:val="00FC58EA"/>
    <w:rsid w:val="00FC5D35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43DD"/>
    <w:rsid w:val="00FD51CF"/>
    <w:rsid w:val="00FD61A0"/>
    <w:rsid w:val="00FE13C3"/>
    <w:rsid w:val="00FE1792"/>
    <w:rsid w:val="00FE3BBD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955956C-A8B5-483F-B755-0A2B659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8F351C"/>
    <w:pPr>
      <w:spacing w:after="120" w:line="480" w:lineRule="auto"/>
      <w:ind w:left="283"/>
    </w:pPr>
    <w:rPr>
      <w:lang w:val="x-none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8F351C"/>
    <w:rPr>
      <w:sz w:val="24"/>
      <w:szCs w:val="24"/>
      <w:lang w:val="x-none" w:eastAsia="x-none"/>
    </w:rPr>
  </w:style>
  <w:style w:type="character" w:customStyle="1" w:styleId="Virsraksts4Rakstz">
    <w:name w:val="Virsraksts 4 Rakstz."/>
    <w:link w:val="Virsraksts4"/>
    <w:uiPriority w:val="99"/>
    <w:rsid w:val="00242D12"/>
    <w:rPr>
      <w:sz w:val="28"/>
      <w:szCs w:val="24"/>
      <w:lang w:eastAsia="en-US"/>
    </w:rPr>
  </w:style>
  <w:style w:type="character" w:customStyle="1" w:styleId="PamattekstsaratkpiRakstz">
    <w:name w:val="Pamatteksts ar atkāpi Rakstz."/>
    <w:link w:val="Pamattekstsaratkpi"/>
    <w:uiPriority w:val="99"/>
    <w:rsid w:val="00242D12"/>
    <w:rPr>
      <w:sz w:val="28"/>
      <w:szCs w:val="24"/>
      <w:lang w:eastAsia="en-US"/>
    </w:rPr>
  </w:style>
  <w:style w:type="paragraph" w:customStyle="1" w:styleId="CharChar1RakstzRakstzCharChar">
    <w:name w:val="Char Char1 Rakstz. Rakstz. Char Char"/>
    <w:basedOn w:val="Parasts"/>
    <w:rsid w:val="00AC6F37"/>
    <w:rPr>
      <w:lang w:val="pl-PL" w:eastAsia="pl-PL"/>
    </w:rPr>
  </w:style>
  <w:style w:type="paragraph" w:customStyle="1" w:styleId="1">
    <w:name w:val="1"/>
    <w:basedOn w:val="Parasts"/>
    <w:next w:val="Paraststmeklis"/>
    <w:uiPriority w:val="99"/>
    <w:rsid w:val="0038766F"/>
    <w:pPr>
      <w:spacing w:before="75" w:after="75"/>
    </w:pPr>
    <w:rPr>
      <w:lang w:val="lv-LV" w:eastAsia="lv-LV"/>
    </w:rPr>
  </w:style>
  <w:style w:type="character" w:styleId="Izmantotahipersaite">
    <w:name w:val="FollowedHyperlink"/>
    <w:basedOn w:val="Noklusjumarindkopasfonts"/>
    <w:semiHidden/>
    <w:unhideWhenUsed/>
    <w:rsid w:val="00435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986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6C32-AD3A-4872-B36F-F9269181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8551</Characters>
  <Application>Microsoft Office Word</Application>
  <DocSecurity>0</DocSecurity>
  <Lines>450</Lines>
  <Paragraphs>162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29.septembra noteikumos Nr.1111 "Noteikumi par dzīvnieku barībā un barības sastāvdaļās aizliegtajām vielām un barības nekaitīguma prasībām"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29.septembra noteikumos Nr.1111 "Noteikumi par dzīvnieku barībā un barības sastāvdaļās aizliegtajām vielām un barības nekaitīguma prasībām"</dc:title>
  <dc:subject>MK noteikumu projekta anotācija</dc:subject>
  <dc:creator>Konstantins Golubevs</dc:creator>
  <cp:lastModifiedBy>Renārs Žagars</cp:lastModifiedBy>
  <cp:revision>4</cp:revision>
  <cp:lastPrinted>2014-03-18T10:28:00Z</cp:lastPrinted>
  <dcterms:created xsi:type="dcterms:W3CDTF">2014-08-28T12:26:00Z</dcterms:created>
  <dcterms:modified xsi:type="dcterms:W3CDTF">2014-09-10T05:46:00Z</dcterms:modified>
  <cp:category>Ministru kabineta noteikumu anotācija</cp:category>
</cp:coreProperties>
</file>