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C37A6" w14:textId="77777777" w:rsidR="005614E7" w:rsidRPr="00F5458C" w:rsidRDefault="005614E7" w:rsidP="005614E7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BBF9B24" w14:textId="77777777" w:rsidR="005614E7" w:rsidRPr="00F5458C" w:rsidRDefault="005614E7" w:rsidP="005614E7">
      <w:pPr>
        <w:tabs>
          <w:tab w:val="left" w:pos="6663"/>
        </w:tabs>
        <w:rPr>
          <w:sz w:val="28"/>
          <w:szCs w:val="28"/>
        </w:rPr>
      </w:pPr>
    </w:p>
    <w:p w14:paraId="4781D6D5" w14:textId="77777777" w:rsidR="005614E7" w:rsidRDefault="005614E7" w:rsidP="005614E7">
      <w:pPr>
        <w:tabs>
          <w:tab w:val="left" w:pos="6663"/>
        </w:tabs>
        <w:rPr>
          <w:sz w:val="28"/>
          <w:szCs w:val="28"/>
        </w:rPr>
      </w:pPr>
    </w:p>
    <w:p w14:paraId="40444954" w14:textId="77777777" w:rsidR="00F75906" w:rsidRDefault="00F75906" w:rsidP="005614E7">
      <w:pPr>
        <w:tabs>
          <w:tab w:val="left" w:pos="6663"/>
        </w:tabs>
        <w:rPr>
          <w:sz w:val="28"/>
          <w:szCs w:val="28"/>
        </w:rPr>
      </w:pPr>
    </w:p>
    <w:p w14:paraId="3F4B24C2" w14:textId="77777777" w:rsidR="00D077B5" w:rsidRPr="00F5458C" w:rsidRDefault="00D077B5" w:rsidP="005614E7">
      <w:pPr>
        <w:tabs>
          <w:tab w:val="left" w:pos="6663"/>
        </w:tabs>
        <w:rPr>
          <w:sz w:val="28"/>
          <w:szCs w:val="28"/>
        </w:rPr>
      </w:pPr>
    </w:p>
    <w:p w14:paraId="5B1B91C1" w14:textId="792F0D3A" w:rsidR="005614E7" w:rsidRPr="004B4FAF" w:rsidRDefault="005614E7" w:rsidP="005614E7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4B4FAF">
        <w:rPr>
          <w:sz w:val="28"/>
          <w:szCs w:val="28"/>
        </w:rPr>
        <w:t>14. oktobrī</w:t>
      </w:r>
      <w:r w:rsidRPr="008C4EDF">
        <w:rPr>
          <w:sz w:val="28"/>
          <w:szCs w:val="28"/>
        </w:rPr>
        <w:tab/>
        <w:t>Noteikumi Nr.</w:t>
      </w:r>
      <w:r w:rsidR="004B4FAF">
        <w:t> </w:t>
      </w:r>
      <w:r w:rsidR="004B4FAF" w:rsidRPr="004B4FAF">
        <w:rPr>
          <w:sz w:val="28"/>
          <w:szCs w:val="28"/>
        </w:rPr>
        <w:t>620</w:t>
      </w:r>
    </w:p>
    <w:p w14:paraId="4BB373ED" w14:textId="453FD13D" w:rsidR="005614E7" w:rsidRPr="00E9501F" w:rsidRDefault="005614E7" w:rsidP="005614E7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4B4FAF">
        <w:rPr>
          <w:sz w:val="28"/>
          <w:szCs w:val="28"/>
        </w:rPr>
        <w:t>55 27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36A8F8AD" w14:textId="77777777" w:rsidR="007D10BD" w:rsidRPr="008F7133" w:rsidRDefault="007D10BD" w:rsidP="005614E7">
      <w:pPr>
        <w:pStyle w:val="a"/>
        <w:spacing w:before="0" w:after="0"/>
        <w:rPr>
          <w:sz w:val="28"/>
          <w:szCs w:val="28"/>
        </w:rPr>
      </w:pPr>
    </w:p>
    <w:p w14:paraId="36A8F8AE" w14:textId="09A5849A" w:rsidR="007D10BD" w:rsidRPr="008F7133" w:rsidRDefault="007D10BD" w:rsidP="005614E7">
      <w:pPr>
        <w:pStyle w:val="a"/>
        <w:spacing w:before="0" w:after="0"/>
        <w:jc w:val="center"/>
        <w:rPr>
          <w:sz w:val="28"/>
          <w:szCs w:val="28"/>
        </w:rPr>
      </w:pPr>
      <w:r w:rsidRPr="008F7133">
        <w:rPr>
          <w:b/>
          <w:bCs/>
          <w:sz w:val="28"/>
          <w:szCs w:val="28"/>
        </w:rPr>
        <w:t>Grozījumi Ministru kabineta 2009</w:t>
      </w:r>
      <w:r w:rsidR="005614E7">
        <w:rPr>
          <w:b/>
          <w:bCs/>
          <w:sz w:val="28"/>
          <w:szCs w:val="28"/>
        </w:rPr>
        <w:t>. g</w:t>
      </w:r>
      <w:r w:rsidRPr="008F7133">
        <w:rPr>
          <w:b/>
          <w:bCs/>
          <w:sz w:val="28"/>
          <w:szCs w:val="28"/>
        </w:rPr>
        <w:t>ada 29</w:t>
      </w:r>
      <w:r w:rsidR="005614E7">
        <w:rPr>
          <w:b/>
          <w:bCs/>
          <w:sz w:val="28"/>
          <w:szCs w:val="28"/>
        </w:rPr>
        <w:t>. s</w:t>
      </w:r>
      <w:r w:rsidRPr="008F7133">
        <w:rPr>
          <w:b/>
          <w:bCs/>
          <w:sz w:val="28"/>
          <w:szCs w:val="28"/>
        </w:rPr>
        <w:t>eptembra noteikumos Nr.</w:t>
      </w:r>
      <w:r w:rsidR="005614E7">
        <w:rPr>
          <w:b/>
          <w:bCs/>
          <w:sz w:val="28"/>
          <w:szCs w:val="28"/>
        </w:rPr>
        <w:t> </w:t>
      </w:r>
      <w:r w:rsidRPr="008F7133">
        <w:rPr>
          <w:b/>
          <w:bCs/>
          <w:sz w:val="28"/>
          <w:szCs w:val="28"/>
        </w:rPr>
        <w:t xml:space="preserve">1111 </w:t>
      </w:r>
      <w:r w:rsidR="005614E7">
        <w:rPr>
          <w:b/>
          <w:bCs/>
          <w:sz w:val="28"/>
          <w:szCs w:val="28"/>
        </w:rPr>
        <w:t>"</w:t>
      </w:r>
      <w:r w:rsidRPr="008F7133">
        <w:rPr>
          <w:b/>
          <w:bCs/>
          <w:sz w:val="28"/>
          <w:szCs w:val="28"/>
        </w:rPr>
        <w:t>Noteikumi par dzīvnieku barībā un barības sastāvdaļās aizliegtajām vielām un barības nekaitīguma prasībām</w:t>
      </w:r>
      <w:r w:rsidR="005614E7">
        <w:rPr>
          <w:b/>
          <w:bCs/>
          <w:sz w:val="28"/>
          <w:szCs w:val="28"/>
        </w:rPr>
        <w:t>"</w:t>
      </w:r>
    </w:p>
    <w:p w14:paraId="36A8F8AF" w14:textId="77777777" w:rsidR="007D10BD" w:rsidRPr="008F7133" w:rsidRDefault="007D10BD" w:rsidP="005614E7">
      <w:pPr>
        <w:pStyle w:val="a"/>
        <w:spacing w:before="0" w:after="0"/>
        <w:rPr>
          <w:sz w:val="28"/>
          <w:szCs w:val="28"/>
        </w:rPr>
      </w:pPr>
    </w:p>
    <w:p w14:paraId="36A8F8B0" w14:textId="77777777" w:rsidR="007D10BD" w:rsidRPr="008F7133" w:rsidRDefault="007D10BD" w:rsidP="005614E7">
      <w:pPr>
        <w:pStyle w:val="naislab"/>
        <w:spacing w:before="0" w:after="0"/>
        <w:rPr>
          <w:sz w:val="28"/>
          <w:szCs w:val="28"/>
        </w:rPr>
      </w:pPr>
      <w:r w:rsidRPr="008F7133">
        <w:rPr>
          <w:sz w:val="28"/>
          <w:szCs w:val="28"/>
        </w:rPr>
        <w:t>Izdoti saskaņā ar</w:t>
      </w:r>
    </w:p>
    <w:p w14:paraId="5012B748" w14:textId="77777777" w:rsidR="00287235" w:rsidRDefault="007D10BD" w:rsidP="005614E7">
      <w:pPr>
        <w:pStyle w:val="naislab"/>
        <w:spacing w:before="0" w:after="0"/>
        <w:rPr>
          <w:sz w:val="28"/>
          <w:szCs w:val="28"/>
        </w:rPr>
      </w:pPr>
      <w:r w:rsidRPr="008F7133">
        <w:rPr>
          <w:sz w:val="28"/>
          <w:szCs w:val="28"/>
        </w:rPr>
        <w:t xml:space="preserve">Dzīvnieku barības aprites likuma </w:t>
      </w:r>
    </w:p>
    <w:p w14:paraId="36A8F8B1" w14:textId="790E1B19" w:rsidR="007D10BD" w:rsidRPr="008F7133" w:rsidRDefault="007D10BD" w:rsidP="005614E7">
      <w:pPr>
        <w:pStyle w:val="naislab"/>
        <w:spacing w:before="0" w:after="0"/>
        <w:rPr>
          <w:sz w:val="28"/>
          <w:szCs w:val="28"/>
        </w:rPr>
      </w:pPr>
      <w:r w:rsidRPr="008F7133">
        <w:rPr>
          <w:sz w:val="28"/>
          <w:szCs w:val="28"/>
        </w:rPr>
        <w:t>14</w:t>
      </w:r>
      <w:r w:rsidR="005614E7">
        <w:rPr>
          <w:sz w:val="28"/>
          <w:szCs w:val="28"/>
        </w:rPr>
        <w:t>. p</w:t>
      </w:r>
      <w:r w:rsidRPr="008F7133">
        <w:rPr>
          <w:sz w:val="28"/>
          <w:szCs w:val="28"/>
        </w:rPr>
        <w:t>antu</w:t>
      </w:r>
    </w:p>
    <w:p w14:paraId="36A8F8B2" w14:textId="77777777" w:rsidR="007D10BD" w:rsidRPr="008F7133" w:rsidRDefault="007D10BD" w:rsidP="005614E7">
      <w:pPr>
        <w:pStyle w:val="a"/>
        <w:spacing w:before="0" w:after="0"/>
        <w:rPr>
          <w:sz w:val="28"/>
          <w:szCs w:val="28"/>
        </w:rPr>
      </w:pPr>
    </w:p>
    <w:p w14:paraId="36A8F8B3" w14:textId="0D17D5BB" w:rsidR="007D10BD" w:rsidRDefault="007D10BD" w:rsidP="005614E7">
      <w:pPr>
        <w:pStyle w:val="a"/>
        <w:spacing w:before="0" w:after="0"/>
        <w:ind w:firstLine="720"/>
        <w:jc w:val="both"/>
        <w:rPr>
          <w:sz w:val="28"/>
          <w:szCs w:val="28"/>
        </w:rPr>
      </w:pPr>
      <w:r w:rsidRPr="008F7133">
        <w:rPr>
          <w:sz w:val="28"/>
          <w:szCs w:val="28"/>
        </w:rPr>
        <w:t xml:space="preserve">Izdarīt Ministru kabineta </w:t>
      </w:r>
      <w:r w:rsidRPr="008F7133">
        <w:rPr>
          <w:bCs/>
          <w:sz w:val="28"/>
          <w:szCs w:val="28"/>
        </w:rPr>
        <w:t>2009</w:t>
      </w:r>
      <w:r w:rsidR="005614E7">
        <w:rPr>
          <w:bCs/>
          <w:sz w:val="28"/>
          <w:szCs w:val="28"/>
        </w:rPr>
        <w:t>. g</w:t>
      </w:r>
      <w:r w:rsidRPr="008F7133">
        <w:rPr>
          <w:bCs/>
          <w:sz w:val="28"/>
          <w:szCs w:val="28"/>
        </w:rPr>
        <w:t>ada 29</w:t>
      </w:r>
      <w:r w:rsidR="005614E7">
        <w:rPr>
          <w:bCs/>
          <w:sz w:val="28"/>
          <w:szCs w:val="28"/>
        </w:rPr>
        <w:t>. s</w:t>
      </w:r>
      <w:r w:rsidRPr="008F7133">
        <w:rPr>
          <w:bCs/>
          <w:sz w:val="28"/>
          <w:szCs w:val="28"/>
        </w:rPr>
        <w:t>eptembra noteikumos Nr.</w:t>
      </w:r>
      <w:r w:rsidR="005614E7">
        <w:rPr>
          <w:bCs/>
          <w:sz w:val="28"/>
          <w:szCs w:val="28"/>
        </w:rPr>
        <w:t> </w:t>
      </w:r>
      <w:r w:rsidRPr="008F7133">
        <w:rPr>
          <w:bCs/>
          <w:sz w:val="28"/>
          <w:szCs w:val="28"/>
        </w:rPr>
        <w:t>1111</w:t>
      </w:r>
      <w:r w:rsidRPr="008F7133">
        <w:rPr>
          <w:b/>
          <w:bCs/>
          <w:sz w:val="28"/>
          <w:szCs w:val="28"/>
        </w:rPr>
        <w:t xml:space="preserve"> </w:t>
      </w:r>
      <w:r w:rsidR="005614E7">
        <w:rPr>
          <w:sz w:val="28"/>
          <w:szCs w:val="28"/>
        </w:rPr>
        <w:t>"</w:t>
      </w:r>
      <w:r w:rsidRPr="008F7133">
        <w:rPr>
          <w:sz w:val="28"/>
          <w:szCs w:val="28"/>
        </w:rPr>
        <w:t>Noteikumi par dzīvnieku barībā un barības sastāvdaļās aizliegtajām vielām un barības nekaitīguma prasībām</w:t>
      </w:r>
      <w:r w:rsidR="005614E7">
        <w:rPr>
          <w:sz w:val="28"/>
          <w:szCs w:val="28"/>
        </w:rPr>
        <w:t>"</w:t>
      </w:r>
      <w:r w:rsidRPr="008F7133">
        <w:rPr>
          <w:sz w:val="28"/>
          <w:szCs w:val="28"/>
        </w:rPr>
        <w:t xml:space="preserve"> (Latvijas Vēstnesis, 2009, 157</w:t>
      </w:r>
      <w:r w:rsidR="005614E7">
        <w:rPr>
          <w:sz w:val="28"/>
          <w:szCs w:val="28"/>
        </w:rPr>
        <w:t>. n</w:t>
      </w:r>
      <w:r w:rsidR="00287235">
        <w:rPr>
          <w:sz w:val="28"/>
          <w:szCs w:val="28"/>
        </w:rPr>
        <w:t>r.;</w:t>
      </w:r>
      <w:r w:rsidRPr="008F7133">
        <w:rPr>
          <w:sz w:val="28"/>
          <w:szCs w:val="28"/>
        </w:rPr>
        <w:t xml:space="preserve"> 2010, 69</w:t>
      </w:r>
      <w:r w:rsidR="005614E7">
        <w:rPr>
          <w:sz w:val="28"/>
          <w:szCs w:val="28"/>
        </w:rPr>
        <w:t>. n</w:t>
      </w:r>
      <w:r w:rsidRPr="008F7133">
        <w:rPr>
          <w:sz w:val="28"/>
          <w:szCs w:val="28"/>
        </w:rPr>
        <w:t>r.</w:t>
      </w:r>
      <w:r>
        <w:rPr>
          <w:sz w:val="28"/>
          <w:szCs w:val="28"/>
        </w:rPr>
        <w:t>; 20</w:t>
      </w:r>
      <w:r w:rsidR="003D696B">
        <w:rPr>
          <w:sz w:val="28"/>
          <w:szCs w:val="28"/>
        </w:rPr>
        <w:t>1</w:t>
      </w:r>
      <w:r>
        <w:rPr>
          <w:sz w:val="28"/>
          <w:szCs w:val="28"/>
        </w:rPr>
        <w:t>1, 193</w:t>
      </w:r>
      <w:r w:rsidR="005614E7">
        <w:rPr>
          <w:sz w:val="28"/>
          <w:szCs w:val="28"/>
        </w:rPr>
        <w:t>. n</w:t>
      </w:r>
      <w:r>
        <w:rPr>
          <w:sz w:val="28"/>
          <w:szCs w:val="28"/>
        </w:rPr>
        <w:t>r.</w:t>
      </w:r>
      <w:r w:rsidRPr="008F7133">
        <w:rPr>
          <w:sz w:val="28"/>
          <w:szCs w:val="28"/>
        </w:rPr>
        <w:t>) šādus grozījumus:</w:t>
      </w:r>
    </w:p>
    <w:p w14:paraId="36A8F8B4" w14:textId="77777777" w:rsidR="007D10BD" w:rsidRDefault="007D10BD" w:rsidP="005614E7">
      <w:pPr>
        <w:pStyle w:val="a"/>
        <w:spacing w:before="0" w:after="0"/>
        <w:ind w:firstLine="720"/>
        <w:jc w:val="both"/>
        <w:rPr>
          <w:sz w:val="28"/>
          <w:szCs w:val="28"/>
        </w:rPr>
      </w:pPr>
    </w:p>
    <w:p w14:paraId="36A8F8B5" w14:textId="77777777" w:rsidR="007D10BD" w:rsidRDefault="007D10BD" w:rsidP="005614E7">
      <w:pPr>
        <w:pStyle w:val="naisf"/>
        <w:spacing w:before="0" w:after="0"/>
        <w:ind w:firstLine="709"/>
        <w:rPr>
          <w:rStyle w:val="Strong"/>
          <w:b w:val="0"/>
          <w:sz w:val="28"/>
          <w:szCs w:val="28"/>
        </w:rPr>
      </w:pPr>
      <w:r w:rsidRPr="00CD64E4">
        <w:rPr>
          <w:rStyle w:val="Strong"/>
          <w:b w:val="0"/>
          <w:sz w:val="28"/>
          <w:szCs w:val="28"/>
        </w:rPr>
        <w:t xml:space="preserve">1. </w:t>
      </w:r>
      <w:r>
        <w:rPr>
          <w:rStyle w:val="Strong"/>
          <w:b w:val="0"/>
          <w:bCs w:val="0"/>
          <w:sz w:val="28"/>
          <w:szCs w:val="28"/>
        </w:rPr>
        <w:t>Izteikt</w:t>
      </w:r>
      <w:r>
        <w:rPr>
          <w:rStyle w:val="Strong"/>
          <w:b w:val="0"/>
          <w:sz w:val="28"/>
          <w:szCs w:val="28"/>
        </w:rPr>
        <w:t xml:space="preserve"> </w:t>
      </w:r>
      <w:r w:rsidRPr="00CD64E4">
        <w:rPr>
          <w:rStyle w:val="Strong"/>
          <w:b w:val="0"/>
          <w:sz w:val="28"/>
          <w:szCs w:val="28"/>
        </w:rPr>
        <w:t>1.</w:t>
      </w:r>
      <w:r w:rsidRPr="00CD64E4">
        <w:rPr>
          <w:rStyle w:val="Strong"/>
          <w:b w:val="0"/>
          <w:sz w:val="28"/>
          <w:szCs w:val="28"/>
          <w:vertAlign w:val="superscript"/>
        </w:rPr>
        <w:t>2</w:t>
      </w:r>
      <w:r w:rsidRPr="00CD64E4">
        <w:rPr>
          <w:rStyle w:val="Strong"/>
          <w:b w:val="0"/>
          <w:sz w:val="28"/>
          <w:szCs w:val="28"/>
        </w:rPr>
        <w:t xml:space="preserve"> punktu šādā redakcijā:</w:t>
      </w:r>
    </w:p>
    <w:p w14:paraId="0AEBEEEF" w14:textId="77777777" w:rsidR="005614E7" w:rsidRPr="004777F4" w:rsidRDefault="005614E7" w:rsidP="005614E7">
      <w:pPr>
        <w:pStyle w:val="naisf"/>
        <w:spacing w:before="0" w:after="0"/>
        <w:ind w:firstLine="709"/>
        <w:rPr>
          <w:rStyle w:val="Strong"/>
          <w:b w:val="0"/>
          <w:bCs w:val="0"/>
          <w:sz w:val="28"/>
          <w:szCs w:val="28"/>
        </w:rPr>
      </w:pPr>
    </w:p>
    <w:p w14:paraId="36A8F8B6" w14:textId="51AB3CE5" w:rsidR="007D10BD" w:rsidRPr="001949AE" w:rsidRDefault="005614E7" w:rsidP="005614E7">
      <w:pPr>
        <w:pStyle w:val="a"/>
        <w:spacing w:before="0" w:after="0"/>
        <w:ind w:firstLine="720"/>
        <w:jc w:val="both"/>
        <w:rPr>
          <w:bCs/>
          <w:sz w:val="28"/>
          <w:szCs w:val="28"/>
        </w:rPr>
      </w:pPr>
      <w:r>
        <w:rPr>
          <w:rStyle w:val="Strong"/>
          <w:b w:val="0"/>
          <w:sz w:val="28"/>
          <w:szCs w:val="28"/>
        </w:rPr>
        <w:t>"</w:t>
      </w:r>
      <w:r w:rsidR="007D10BD" w:rsidRPr="00CD64E4">
        <w:rPr>
          <w:rStyle w:val="Strong"/>
          <w:b w:val="0"/>
          <w:sz w:val="28"/>
          <w:szCs w:val="28"/>
        </w:rPr>
        <w:t>1.</w:t>
      </w:r>
      <w:r w:rsidR="007D10BD" w:rsidRPr="00CD64E4">
        <w:rPr>
          <w:rStyle w:val="Strong"/>
          <w:b w:val="0"/>
          <w:sz w:val="28"/>
          <w:szCs w:val="28"/>
          <w:vertAlign w:val="superscript"/>
        </w:rPr>
        <w:t>2</w:t>
      </w:r>
      <w:r w:rsidR="007D10BD">
        <w:rPr>
          <w:rStyle w:val="Strong"/>
          <w:b w:val="0"/>
          <w:sz w:val="28"/>
          <w:szCs w:val="28"/>
        </w:rPr>
        <w:t xml:space="preserve"> </w:t>
      </w:r>
      <w:r w:rsidR="007D10BD" w:rsidRPr="00CD64E4">
        <w:rPr>
          <w:rStyle w:val="Strong"/>
          <w:b w:val="0"/>
          <w:sz w:val="28"/>
          <w:szCs w:val="28"/>
        </w:rPr>
        <w:t>Barības nekaitīguma prasības nosaka šie noteikumi un</w:t>
      </w:r>
      <w:r w:rsidR="007D10BD">
        <w:rPr>
          <w:rStyle w:val="Strong"/>
          <w:b w:val="0"/>
          <w:sz w:val="28"/>
          <w:szCs w:val="28"/>
        </w:rPr>
        <w:t xml:space="preserve"> </w:t>
      </w:r>
      <w:r w:rsidR="002856EC">
        <w:rPr>
          <w:rStyle w:val="Strong"/>
          <w:b w:val="0"/>
          <w:sz w:val="28"/>
          <w:szCs w:val="28"/>
        </w:rPr>
        <w:t xml:space="preserve">Eiropas Savienības </w:t>
      </w:r>
      <w:r w:rsidR="002856EC" w:rsidRPr="008F2506">
        <w:rPr>
          <w:rStyle w:val="Strong"/>
          <w:b w:val="0"/>
          <w:sz w:val="28"/>
          <w:szCs w:val="28"/>
        </w:rPr>
        <w:t>regulas barības nekaitīguma jomā</w:t>
      </w:r>
      <w:r w:rsidR="002856EC">
        <w:rPr>
          <w:rStyle w:val="Strong"/>
          <w:b w:val="0"/>
          <w:sz w:val="28"/>
          <w:szCs w:val="28"/>
        </w:rPr>
        <w:t xml:space="preserve"> (publicēta</w:t>
      </w:r>
      <w:r w:rsidR="002856EC" w:rsidRPr="008F2506">
        <w:rPr>
          <w:rStyle w:val="Strong"/>
          <w:b w:val="0"/>
          <w:sz w:val="28"/>
          <w:szCs w:val="28"/>
        </w:rPr>
        <w:t xml:space="preserve">s </w:t>
      </w:r>
      <w:r w:rsidR="00971520" w:rsidRPr="008F2506">
        <w:rPr>
          <w:rStyle w:val="Strong"/>
          <w:b w:val="0"/>
          <w:sz w:val="28"/>
          <w:szCs w:val="28"/>
        </w:rPr>
        <w:t xml:space="preserve">Zemkopības ministrijas </w:t>
      </w:r>
      <w:r w:rsidR="00971520">
        <w:rPr>
          <w:rStyle w:val="Strong"/>
          <w:b w:val="0"/>
          <w:sz w:val="28"/>
          <w:szCs w:val="28"/>
        </w:rPr>
        <w:t>tīmekļa vietnē</w:t>
      </w:r>
      <w:r w:rsidR="002856EC">
        <w:rPr>
          <w:rStyle w:val="Strong"/>
          <w:b w:val="0"/>
          <w:sz w:val="28"/>
          <w:szCs w:val="28"/>
        </w:rPr>
        <w:t>).</w:t>
      </w:r>
      <w:r w:rsidR="00D077B5">
        <w:rPr>
          <w:rStyle w:val="Strong"/>
          <w:b w:val="0"/>
          <w:sz w:val="28"/>
          <w:szCs w:val="28"/>
        </w:rPr>
        <w:t>"</w:t>
      </w:r>
      <w:r w:rsidR="00971520">
        <w:rPr>
          <w:rStyle w:val="Strong"/>
          <w:b w:val="0"/>
          <w:sz w:val="28"/>
          <w:szCs w:val="28"/>
        </w:rPr>
        <w:t xml:space="preserve"> </w:t>
      </w:r>
    </w:p>
    <w:p w14:paraId="36A8F8B7" w14:textId="77777777" w:rsidR="007D10BD" w:rsidRPr="008F7133" w:rsidRDefault="007D10BD" w:rsidP="005614E7">
      <w:pPr>
        <w:pStyle w:val="Sarakstarindkopa1"/>
        <w:rPr>
          <w:rStyle w:val="Strong"/>
          <w:b w:val="0"/>
          <w:bCs w:val="0"/>
          <w:sz w:val="28"/>
          <w:szCs w:val="28"/>
        </w:rPr>
      </w:pPr>
    </w:p>
    <w:p w14:paraId="36A8F8B8" w14:textId="7A4B2008" w:rsidR="007D10BD" w:rsidRPr="00CA7CA1" w:rsidRDefault="007D10BD" w:rsidP="005614E7">
      <w:pPr>
        <w:ind w:firstLine="720"/>
        <w:rPr>
          <w:rStyle w:val="Strong"/>
          <w:b w:val="0"/>
          <w:bCs w:val="0"/>
          <w:sz w:val="28"/>
          <w:szCs w:val="28"/>
        </w:rPr>
      </w:pPr>
      <w:r w:rsidRPr="00CA7CA1">
        <w:rPr>
          <w:rStyle w:val="Strong"/>
          <w:b w:val="0"/>
          <w:bCs w:val="0"/>
          <w:sz w:val="28"/>
          <w:szCs w:val="28"/>
        </w:rPr>
        <w:t xml:space="preserve">2. </w:t>
      </w:r>
      <w:r w:rsidR="00CA7CA1" w:rsidRPr="00CA7CA1">
        <w:rPr>
          <w:sz w:val="28"/>
          <w:szCs w:val="28"/>
        </w:rPr>
        <w:t>Papildināt pielikumu ar 6. un 7</w:t>
      </w:r>
      <w:r w:rsidR="005614E7">
        <w:rPr>
          <w:sz w:val="28"/>
          <w:szCs w:val="28"/>
        </w:rPr>
        <w:t>. p</w:t>
      </w:r>
      <w:r w:rsidR="00CA7CA1" w:rsidRPr="00CA7CA1">
        <w:rPr>
          <w:sz w:val="28"/>
          <w:szCs w:val="28"/>
        </w:rPr>
        <w:t>unktu un piezīmēm</w:t>
      </w:r>
      <w:r w:rsidR="008F5B9E">
        <w:rPr>
          <w:sz w:val="28"/>
          <w:szCs w:val="28"/>
        </w:rPr>
        <w:t xml:space="preserve"> šādā redakcijā</w:t>
      </w:r>
      <w:r w:rsidR="00CA7CA1" w:rsidRPr="00CA7CA1">
        <w:rPr>
          <w:sz w:val="28"/>
          <w:szCs w:val="28"/>
        </w:rPr>
        <w:t>:</w:t>
      </w:r>
    </w:p>
    <w:p w14:paraId="36A8F8B9" w14:textId="77777777" w:rsidR="007D10BD" w:rsidRPr="008F5B9E" w:rsidRDefault="007D10BD" w:rsidP="005614E7">
      <w:pPr>
        <w:pStyle w:val="naisf"/>
        <w:numPr>
          <w:ilvl w:val="1"/>
          <w:numId w:val="1"/>
        </w:numPr>
        <w:spacing w:before="0" w:after="0"/>
        <w:rPr>
          <w:b/>
          <w:bCs/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2233"/>
        <w:gridCol w:w="4583"/>
        <w:gridCol w:w="7"/>
        <w:gridCol w:w="1795"/>
      </w:tblGrid>
      <w:tr w:rsidR="00184B60" w:rsidRPr="008F7133" w14:paraId="36A8F8C4" w14:textId="77777777" w:rsidTr="00965BF4">
        <w:trPr>
          <w:trHeight w:val="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36A8F8BF" w14:textId="526C8078" w:rsidR="00184B60" w:rsidRDefault="00D077B5" w:rsidP="00561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184B60">
              <w:rPr>
                <w:sz w:val="28"/>
                <w:szCs w:val="28"/>
              </w:rPr>
              <w:t>6.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36A8F8C0" w14:textId="77777777" w:rsidR="00184B60" w:rsidRPr="0080687A" w:rsidRDefault="00184B60" w:rsidP="00287235">
            <w:pPr>
              <w:rPr>
                <w:sz w:val="28"/>
                <w:szCs w:val="28"/>
              </w:rPr>
            </w:pPr>
            <w:r w:rsidRPr="0080687A">
              <w:rPr>
                <w:sz w:val="28"/>
                <w:szCs w:val="28"/>
              </w:rPr>
              <w:t>T-2 un HT-2</w:t>
            </w:r>
            <w:r>
              <w:rPr>
                <w:sz w:val="28"/>
                <w:szCs w:val="28"/>
              </w:rPr>
              <w:t xml:space="preserve"> toksīns</w:t>
            </w:r>
            <w:r w:rsidR="00A049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6A8F8C1" w14:textId="77777777" w:rsidR="00184B60" w:rsidRPr="00E332B4" w:rsidRDefault="00184B60" w:rsidP="00561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Barības maisījums kaķiem</w:t>
            </w:r>
          </w:p>
          <w:p w14:paraId="36A8F8C2" w14:textId="77777777" w:rsidR="00184B60" w:rsidRPr="000A5DBE" w:rsidRDefault="00184B60" w:rsidP="005614E7">
            <w:pPr>
              <w:rPr>
                <w:b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6A8F8C3" w14:textId="77777777" w:rsidR="00184B60" w:rsidRPr="00CE698A" w:rsidRDefault="00184B60" w:rsidP="005614E7">
            <w:pPr>
              <w:jc w:val="center"/>
              <w:rPr>
                <w:b/>
                <w:bCs/>
                <w:color w:val="222222"/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7D10BD" w:rsidRPr="008F7133" w14:paraId="36A8F8C9" w14:textId="77777777" w:rsidTr="00965BF4">
        <w:trPr>
          <w:trHeight w:val="60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36A8F8C5" w14:textId="77777777" w:rsidR="007D10BD" w:rsidRPr="00E332B4" w:rsidRDefault="007D10BD" w:rsidP="00561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2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36A8F8C6" w14:textId="500345FA" w:rsidR="007D10BD" w:rsidRPr="00E332B4" w:rsidRDefault="007D10BD" w:rsidP="00D077B5">
            <w:pPr>
              <w:rPr>
                <w:sz w:val="28"/>
                <w:szCs w:val="28"/>
              </w:rPr>
            </w:pPr>
            <w:r w:rsidRPr="0080687A">
              <w:rPr>
                <w:sz w:val="28"/>
                <w:szCs w:val="28"/>
              </w:rPr>
              <w:t>T-2 un HT-2</w:t>
            </w:r>
            <w:r w:rsidR="00C06E66">
              <w:rPr>
                <w:sz w:val="28"/>
                <w:szCs w:val="28"/>
              </w:rPr>
              <w:t xml:space="preserve"> </w:t>
            </w:r>
            <w:r w:rsidR="00A04976">
              <w:rPr>
                <w:sz w:val="28"/>
                <w:szCs w:val="28"/>
              </w:rPr>
              <w:t>summas indikatī</w:t>
            </w:r>
            <w:r w:rsidR="00287235">
              <w:rPr>
                <w:sz w:val="28"/>
                <w:szCs w:val="28"/>
              </w:rPr>
              <w:softHyphen/>
            </w:r>
            <w:r w:rsidR="00A04976">
              <w:rPr>
                <w:sz w:val="28"/>
                <w:szCs w:val="28"/>
              </w:rPr>
              <w:t>vi</w:t>
            </w:r>
            <w:r w:rsidR="00287235">
              <w:rPr>
                <w:sz w:val="28"/>
                <w:szCs w:val="28"/>
              </w:rPr>
              <w:t>e</w:t>
            </w:r>
            <w:r w:rsidR="00A04976">
              <w:rPr>
                <w:sz w:val="28"/>
                <w:szCs w:val="28"/>
              </w:rPr>
              <w:t xml:space="preserve"> līmeņi</w:t>
            </w:r>
            <w:r w:rsidR="00D077B5" w:rsidRPr="00D077B5">
              <w:rPr>
                <w:sz w:val="28"/>
                <w:szCs w:val="28"/>
                <w:vertAlign w:val="superscript"/>
              </w:rPr>
              <w:t>1, 2</w:t>
            </w:r>
          </w:p>
        </w:tc>
        <w:tc>
          <w:tcPr>
            <w:tcW w:w="25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6A8F8C7" w14:textId="706805CC" w:rsidR="007D10BD" w:rsidRPr="00E332B4" w:rsidRDefault="007D10BD" w:rsidP="00D077B5">
            <w:pPr>
              <w:rPr>
                <w:sz w:val="28"/>
                <w:szCs w:val="28"/>
              </w:rPr>
            </w:pPr>
            <w:r w:rsidRPr="000A5DBE">
              <w:rPr>
                <w:b/>
                <w:sz w:val="28"/>
                <w:szCs w:val="28"/>
              </w:rPr>
              <w:t>Nepārstrādāta lab</w:t>
            </w:r>
            <w:r w:rsidR="00D077B5">
              <w:rPr>
                <w:b/>
                <w:sz w:val="28"/>
                <w:szCs w:val="28"/>
              </w:rPr>
              <w:t>ība</w:t>
            </w:r>
            <w:r w:rsidR="00D077B5" w:rsidRPr="00D077B5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6A8F8C8" w14:textId="77777777" w:rsidR="007D10BD" w:rsidRPr="00CE698A" w:rsidRDefault="007D10BD" w:rsidP="005614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10BD" w:rsidRPr="008F7133" w14:paraId="36A8F8CE" w14:textId="77777777" w:rsidTr="00D077B5">
        <w:trPr>
          <w:trHeight w:val="60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36A8F8CA" w14:textId="77777777" w:rsidR="007D10BD" w:rsidRPr="00E332B4" w:rsidRDefault="007D10BD" w:rsidP="00561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36A8F8CB" w14:textId="77777777" w:rsidR="007D10BD" w:rsidRPr="00E332B4" w:rsidRDefault="007D10BD" w:rsidP="00561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A8F8CC" w14:textId="77777777" w:rsidR="007D10BD" w:rsidRPr="00E332B4" w:rsidRDefault="007D10BD" w:rsidP="00287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</w:t>
            </w:r>
            <w:r w:rsidR="006237AF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ieži (tostarp iesala mieži) un kukurūza</w:t>
            </w:r>
          </w:p>
        </w:tc>
        <w:tc>
          <w:tcPr>
            <w:tcW w:w="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A8F8CD" w14:textId="77777777" w:rsidR="007D10BD" w:rsidRPr="00E332B4" w:rsidRDefault="00A04976" w:rsidP="00561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7D10BD" w:rsidRPr="008F7133" w14:paraId="36A8F8D3" w14:textId="77777777" w:rsidTr="00D077B5">
        <w:trPr>
          <w:trHeight w:val="60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36A8F8CF" w14:textId="77777777" w:rsidR="007D10BD" w:rsidRPr="00E332B4" w:rsidRDefault="007D10BD" w:rsidP="00561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36A8F8D0" w14:textId="77777777" w:rsidR="007D10BD" w:rsidRPr="00E332B4" w:rsidRDefault="007D10BD" w:rsidP="00561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A8F8D1" w14:textId="77777777" w:rsidR="007D10BD" w:rsidRPr="00E332B4" w:rsidRDefault="007D10BD" w:rsidP="00287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7.2. </w:t>
            </w:r>
            <w:r w:rsidR="006237AF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uzas (ar apvalku)</w:t>
            </w:r>
          </w:p>
        </w:tc>
        <w:tc>
          <w:tcPr>
            <w:tcW w:w="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A8F8D2" w14:textId="77777777" w:rsidR="007D10BD" w:rsidRPr="00E332B4" w:rsidRDefault="007D10BD" w:rsidP="00561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10BD" w:rsidRPr="008F7133" w14:paraId="36A8F8D8" w14:textId="77777777" w:rsidTr="00D077B5">
        <w:trPr>
          <w:trHeight w:val="380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36A8F8D4" w14:textId="77777777" w:rsidR="007D10BD" w:rsidRPr="00E332B4" w:rsidRDefault="007D10BD" w:rsidP="00561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36A8F8D5" w14:textId="77777777" w:rsidR="007D10BD" w:rsidRPr="00E332B4" w:rsidRDefault="007D10BD" w:rsidP="00561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36A8F8D6" w14:textId="77777777" w:rsidR="007D10BD" w:rsidRPr="00E332B4" w:rsidRDefault="007D10BD" w:rsidP="00287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7.3. </w:t>
            </w:r>
            <w:r w:rsidR="006237AF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vieši, rudzi un cita labība</w:t>
            </w:r>
          </w:p>
        </w:tc>
        <w:tc>
          <w:tcPr>
            <w:tcW w:w="990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36A8F8D7" w14:textId="77777777" w:rsidR="007D10BD" w:rsidRPr="00E332B4" w:rsidRDefault="004A24DB" w:rsidP="00561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04976">
              <w:rPr>
                <w:sz w:val="28"/>
                <w:szCs w:val="28"/>
              </w:rPr>
              <w:t>1</w:t>
            </w:r>
          </w:p>
        </w:tc>
      </w:tr>
      <w:tr w:rsidR="007D10BD" w:rsidRPr="00E332B4" w14:paraId="36A8F8DD" w14:textId="77777777" w:rsidTr="00965BF4">
        <w:trPr>
          <w:trHeight w:val="60"/>
        </w:trPr>
        <w:tc>
          <w:tcPr>
            <w:tcW w:w="26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36A8F8D9" w14:textId="77777777" w:rsidR="007D10BD" w:rsidRPr="00E332B4" w:rsidRDefault="007D10BD" w:rsidP="00561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36A8F8DA" w14:textId="77777777" w:rsidR="007D10BD" w:rsidRPr="0080687A" w:rsidRDefault="007D10BD" w:rsidP="00561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36A8F8DB" w14:textId="4BACCD41" w:rsidR="007D10BD" w:rsidRPr="00E332B4" w:rsidRDefault="007D10BD" w:rsidP="0028723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Graudaugu produkti dzīvnieku bar</w:t>
            </w:r>
            <w:r w:rsidR="00D077B5">
              <w:rPr>
                <w:b/>
                <w:bCs/>
                <w:sz w:val="28"/>
                <w:szCs w:val="28"/>
              </w:rPr>
              <w:t>ībai un barības maisījumiem</w:t>
            </w:r>
            <w:r w:rsidR="00D077B5" w:rsidRPr="00D077B5">
              <w:rPr>
                <w:b/>
                <w:bCs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98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36A8F8DC" w14:textId="77777777" w:rsidR="007D10BD" w:rsidRPr="00E332B4" w:rsidRDefault="007D10BD" w:rsidP="005614E7">
            <w:pPr>
              <w:jc w:val="center"/>
              <w:rPr>
                <w:sz w:val="28"/>
                <w:szCs w:val="28"/>
              </w:rPr>
            </w:pPr>
          </w:p>
        </w:tc>
      </w:tr>
      <w:tr w:rsidR="007D10BD" w:rsidRPr="00E332B4" w14:paraId="36A8F8E2" w14:textId="77777777" w:rsidTr="00D077B5">
        <w:trPr>
          <w:trHeight w:val="60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36A8F8DE" w14:textId="77777777" w:rsidR="007D10BD" w:rsidRPr="00E332B4" w:rsidRDefault="007D10BD" w:rsidP="00561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36A8F8DF" w14:textId="77777777" w:rsidR="007D10BD" w:rsidRPr="00E332B4" w:rsidRDefault="007D10BD" w:rsidP="00561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A8F8E0" w14:textId="77777777" w:rsidR="007D10BD" w:rsidRPr="00E332B4" w:rsidRDefault="007D10BD" w:rsidP="00287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  <w:r w:rsidRPr="00E332B4">
              <w:rPr>
                <w:sz w:val="28"/>
                <w:szCs w:val="28"/>
              </w:rPr>
              <w:t xml:space="preserve">. </w:t>
            </w:r>
            <w:r w:rsidR="006237AF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uzu malšanas produkti (apvalki)</w:t>
            </w:r>
          </w:p>
        </w:tc>
        <w:tc>
          <w:tcPr>
            <w:tcW w:w="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A8F8E1" w14:textId="77777777" w:rsidR="007D10BD" w:rsidRPr="00E332B4" w:rsidRDefault="007D10BD" w:rsidP="00561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10BD" w:rsidRPr="00E332B4" w14:paraId="36A8F8E7" w14:textId="77777777" w:rsidTr="00D077B5">
        <w:trPr>
          <w:trHeight w:val="60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36A8F8E3" w14:textId="77777777" w:rsidR="007D10BD" w:rsidRPr="00E332B4" w:rsidRDefault="007D10BD" w:rsidP="00561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36A8F8E4" w14:textId="77777777" w:rsidR="007D10BD" w:rsidRPr="00E332B4" w:rsidRDefault="007D10BD" w:rsidP="00561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A8F8E5" w14:textId="77777777" w:rsidR="007D10BD" w:rsidRPr="00E332B4" w:rsidRDefault="007D10BD" w:rsidP="00287235">
            <w:pPr>
              <w:tabs>
                <w:tab w:val="right" w:pos="45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  <w:r w:rsidRPr="00E332B4">
              <w:rPr>
                <w:sz w:val="28"/>
                <w:szCs w:val="28"/>
              </w:rPr>
              <w:t xml:space="preserve">. </w:t>
            </w:r>
            <w:proofErr w:type="gramStart"/>
            <w:r w:rsidR="006237AF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iti labības</w:t>
            </w:r>
            <w:proofErr w:type="gramEnd"/>
            <w:r>
              <w:rPr>
                <w:sz w:val="28"/>
                <w:szCs w:val="28"/>
              </w:rPr>
              <w:t xml:space="preserve"> izstrādājumi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A8F8E6" w14:textId="77777777" w:rsidR="007D10BD" w:rsidRPr="00E332B4" w:rsidRDefault="004A24DB" w:rsidP="00561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04976">
              <w:rPr>
                <w:sz w:val="28"/>
                <w:szCs w:val="28"/>
              </w:rPr>
              <w:t>5</w:t>
            </w:r>
          </w:p>
        </w:tc>
      </w:tr>
      <w:tr w:rsidR="007D10BD" w:rsidRPr="00E332B4" w14:paraId="36A8F8EC" w14:textId="77777777" w:rsidTr="00D077B5">
        <w:trPr>
          <w:trHeight w:val="60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36A8F8E8" w14:textId="77777777" w:rsidR="007D10BD" w:rsidRPr="00E332B4" w:rsidRDefault="007D10BD" w:rsidP="00561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36A8F8E9" w14:textId="77777777" w:rsidR="007D10BD" w:rsidRPr="00E332B4" w:rsidRDefault="007D10BD" w:rsidP="00561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A8F8EA" w14:textId="77777777" w:rsidR="007D10BD" w:rsidRPr="00E332B4" w:rsidRDefault="007D10BD" w:rsidP="00287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  <w:r w:rsidRPr="00E332B4">
              <w:rPr>
                <w:sz w:val="28"/>
                <w:szCs w:val="28"/>
              </w:rPr>
              <w:t xml:space="preserve">. </w:t>
            </w:r>
            <w:r w:rsidR="006237AF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arības maisījumi, izņemot barību</w:t>
            </w:r>
            <w:r w:rsidR="00234500">
              <w:rPr>
                <w:sz w:val="28"/>
                <w:szCs w:val="28"/>
              </w:rPr>
              <w:t xml:space="preserve"> kaķiem</w:t>
            </w:r>
          </w:p>
        </w:tc>
        <w:tc>
          <w:tcPr>
            <w:tcW w:w="9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A8F8EB" w14:textId="77777777" w:rsidR="007D10BD" w:rsidRPr="00E332B4" w:rsidRDefault="007F23D6" w:rsidP="00561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04976">
              <w:rPr>
                <w:sz w:val="28"/>
                <w:szCs w:val="28"/>
              </w:rPr>
              <w:t>25</w:t>
            </w:r>
          </w:p>
        </w:tc>
      </w:tr>
    </w:tbl>
    <w:p w14:paraId="36A8F8ED" w14:textId="77777777" w:rsidR="007D10BD" w:rsidRDefault="007D10BD" w:rsidP="005614E7">
      <w:pPr>
        <w:jc w:val="both"/>
        <w:rPr>
          <w:sz w:val="22"/>
          <w:szCs w:val="22"/>
        </w:rPr>
      </w:pPr>
    </w:p>
    <w:p w14:paraId="36A8F8EE" w14:textId="77777777" w:rsidR="008159B0" w:rsidRPr="005614E7" w:rsidRDefault="008159B0" w:rsidP="005614E7">
      <w:pPr>
        <w:ind w:firstLine="709"/>
        <w:jc w:val="both"/>
      </w:pPr>
      <w:r w:rsidRPr="005614E7">
        <w:t xml:space="preserve">Piezīmes. </w:t>
      </w:r>
    </w:p>
    <w:p w14:paraId="36A8F8F0" w14:textId="79639A1B" w:rsidR="007D10BD" w:rsidRPr="005614E7" w:rsidRDefault="00D077B5" w:rsidP="005614E7">
      <w:pPr>
        <w:ind w:firstLine="709"/>
        <w:jc w:val="both"/>
      </w:pPr>
      <w:r w:rsidRPr="00D077B5">
        <w:rPr>
          <w:vertAlign w:val="superscript"/>
        </w:rPr>
        <w:t>1</w:t>
      </w:r>
      <w:r>
        <w:t xml:space="preserve"> </w:t>
      </w:r>
      <w:r w:rsidR="007D10BD" w:rsidRPr="005614E7">
        <w:t>Šajā pielikumā norādītais līmenis ir indikatīvs līmenis, kuru atkārtoti pārsniedzot jāveic izmeklējumi T-2 un HT-2 toksīnu klātbūtnes noteikšanai vai jāizvērtē minētā līmeņa ietekme uz barības pārstrādi un izmantošanu</w:t>
      </w:r>
      <w:r w:rsidR="007D10BD" w:rsidRPr="005614E7">
        <w:rPr>
          <w:i/>
        </w:rPr>
        <w:t>.</w:t>
      </w:r>
      <w:r w:rsidR="007D10BD" w:rsidRPr="005614E7">
        <w:t xml:space="preserve"> Indikatīvais līmenis nav barības nekaitīguma līmenis.</w:t>
      </w:r>
    </w:p>
    <w:p w14:paraId="755806A7" w14:textId="265C4D69" w:rsidR="00F75906" w:rsidRDefault="00F75906" w:rsidP="00F75906">
      <w:pPr>
        <w:pStyle w:val="naisf"/>
        <w:spacing w:before="0" w:after="0"/>
        <w:ind w:firstLine="709"/>
      </w:pPr>
      <w:r w:rsidRPr="00D077B5">
        <w:rPr>
          <w:rStyle w:val="Strong"/>
          <w:b w:val="0"/>
          <w:bCs w:val="0"/>
          <w:vertAlign w:val="superscript"/>
        </w:rPr>
        <w:t>2</w:t>
      </w:r>
      <w:r w:rsidR="00D077B5">
        <w:rPr>
          <w:rStyle w:val="Strong"/>
          <w:b w:val="0"/>
          <w:bCs w:val="0"/>
        </w:rPr>
        <w:t xml:space="preserve"> </w:t>
      </w:r>
      <w:r w:rsidRPr="005614E7">
        <w:rPr>
          <w:rStyle w:val="Strong"/>
          <w:b w:val="0"/>
          <w:bCs w:val="0"/>
        </w:rPr>
        <w:t xml:space="preserve">Kvantitatīvās noteikšanas robeža atsevišķi T-2 un HT-2 toksīniem nedrīkst pārsniegt 0,01 mg/kg. Izmantojot analītiskā </w:t>
      </w:r>
      <w:proofErr w:type="spellStart"/>
      <w:r w:rsidRPr="005614E7">
        <w:rPr>
          <w:rStyle w:val="Strong"/>
          <w:b w:val="0"/>
          <w:bCs w:val="0"/>
        </w:rPr>
        <w:t>skrīninga</w:t>
      </w:r>
      <w:proofErr w:type="spellEnd"/>
      <w:r w:rsidRPr="005614E7">
        <w:rPr>
          <w:rStyle w:val="Strong"/>
          <w:b w:val="0"/>
          <w:bCs w:val="0"/>
        </w:rPr>
        <w:t xml:space="preserve"> metodi, toksīnu T-2 un HT-2 kopsummas noteikšanas robežai nav jāpārsniedz 0,025 mg/kg.</w:t>
      </w:r>
    </w:p>
    <w:p w14:paraId="36A8F8F1" w14:textId="3E78DD98" w:rsidR="007D10BD" w:rsidRPr="005614E7" w:rsidRDefault="00F75906" w:rsidP="005614E7">
      <w:pPr>
        <w:ind w:firstLine="709"/>
        <w:jc w:val="both"/>
      </w:pPr>
      <w:r w:rsidRPr="00D077B5">
        <w:rPr>
          <w:vertAlign w:val="superscript"/>
        </w:rPr>
        <w:t>3</w:t>
      </w:r>
      <w:r w:rsidR="00D077B5">
        <w:t xml:space="preserve"> </w:t>
      </w:r>
      <w:r w:rsidR="007D10BD" w:rsidRPr="005614E7">
        <w:t>Neapstrādāti graudi ir graudi, kuriem nav veikta nekāda fiziska vai termiska apstrāde, izņemot žāvēšanu, tīrīšanu un šķirošanu.</w:t>
      </w:r>
    </w:p>
    <w:p w14:paraId="36A8F8F2" w14:textId="4381640D" w:rsidR="007D10BD" w:rsidRPr="005614E7" w:rsidRDefault="00F75906" w:rsidP="005614E7">
      <w:pPr>
        <w:pStyle w:val="naisf"/>
        <w:spacing w:before="0" w:after="0"/>
        <w:ind w:firstLine="709"/>
        <w:rPr>
          <w:rStyle w:val="Strong"/>
          <w:b w:val="0"/>
          <w:bCs w:val="0"/>
        </w:rPr>
      </w:pPr>
      <w:r w:rsidRPr="00D077B5">
        <w:rPr>
          <w:vertAlign w:val="superscript"/>
        </w:rPr>
        <w:t>4</w:t>
      </w:r>
      <w:r w:rsidR="00D077B5">
        <w:t xml:space="preserve"> </w:t>
      </w:r>
      <w:r w:rsidR="007D10BD" w:rsidRPr="005614E7">
        <w:t>Indikatīvie līmeņi labībai un graudaugu produktiem, kas paredzēti dzīvnieku barīb</w:t>
      </w:r>
      <w:r w:rsidR="000742BB">
        <w:t>ai un barības maisījumiem, attie</w:t>
      </w:r>
      <w:r w:rsidR="007D10BD" w:rsidRPr="005614E7">
        <w:t>cas uz barību ar mitruma saturu 12</w:t>
      </w:r>
      <w:r w:rsidR="005614E7">
        <w:t> </w:t>
      </w:r>
      <w:r w:rsidR="007D10BD" w:rsidRPr="005614E7">
        <w:t>%</w:t>
      </w:r>
      <w:r w:rsidR="00B13272" w:rsidRPr="005614E7">
        <w:t>.</w:t>
      </w:r>
      <w:r>
        <w:t>"</w:t>
      </w:r>
    </w:p>
    <w:p w14:paraId="36A8F8F5" w14:textId="77777777" w:rsidR="007D10BD" w:rsidRPr="008F7133" w:rsidRDefault="007D10BD" w:rsidP="005614E7">
      <w:pPr>
        <w:pStyle w:val="naisf"/>
        <w:spacing w:before="0" w:after="0"/>
        <w:ind w:left="720" w:firstLine="0"/>
        <w:rPr>
          <w:sz w:val="28"/>
          <w:szCs w:val="28"/>
        </w:rPr>
      </w:pPr>
    </w:p>
    <w:p w14:paraId="36A8F8F6" w14:textId="77777777" w:rsidR="007D10BD" w:rsidRDefault="007D10BD" w:rsidP="005614E7">
      <w:pPr>
        <w:pStyle w:val="a"/>
        <w:spacing w:before="0" w:after="0"/>
        <w:jc w:val="both"/>
        <w:rPr>
          <w:sz w:val="28"/>
          <w:szCs w:val="28"/>
        </w:rPr>
      </w:pPr>
    </w:p>
    <w:p w14:paraId="183CD9CB" w14:textId="77777777" w:rsidR="00D077B5" w:rsidRPr="00D077B5" w:rsidRDefault="00D077B5" w:rsidP="00D077B5">
      <w:pPr>
        <w:pStyle w:val="NormalWeb"/>
      </w:pPr>
    </w:p>
    <w:p w14:paraId="36A8F8F7" w14:textId="5078646C" w:rsidR="007D10BD" w:rsidRPr="008F7133" w:rsidRDefault="007D10BD" w:rsidP="005614E7">
      <w:pPr>
        <w:pStyle w:val="naisf"/>
        <w:tabs>
          <w:tab w:val="left" w:pos="6237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Pr="008F7133">
        <w:rPr>
          <w:sz w:val="28"/>
          <w:szCs w:val="28"/>
        </w:rPr>
        <w:tab/>
      </w:r>
      <w:r>
        <w:rPr>
          <w:sz w:val="28"/>
          <w:szCs w:val="28"/>
        </w:rPr>
        <w:t>L</w:t>
      </w:r>
      <w:r w:rsidR="002856EC">
        <w:rPr>
          <w:sz w:val="28"/>
          <w:szCs w:val="28"/>
        </w:rPr>
        <w:t xml:space="preserve">aimdota </w:t>
      </w:r>
      <w:r>
        <w:rPr>
          <w:sz w:val="28"/>
          <w:szCs w:val="28"/>
        </w:rPr>
        <w:t>Straujuma</w:t>
      </w:r>
    </w:p>
    <w:p w14:paraId="36A8F8F8" w14:textId="77777777" w:rsidR="007D10BD" w:rsidRDefault="007D10BD" w:rsidP="005614E7">
      <w:pPr>
        <w:pStyle w:val="naisf"/>
        <w:tabs>
          <w:tab w:val="left" w:pos="6237"/>
        </w:tabs>
        <w:spacing w:before="0" w:after="0"/>
        <w:ind w:firstLine="709"/>
        <w:rPr>
          <w:sz w:val="28"/>
          <w:szCs w:val="28"/>
        </w:rPr>
      </w:pPr>
      <w:r w:rsidRPr="008F7133">
        <w:rPr>
          <w:sz w:val="28"/>
          <w:szCs w:val="28"/>
        </w:rPr>
        <w:tab/>
      </w:r>
    </w:p>
    <w:p w14:paraId="1FC00D19" w14:textId="77777777" w:rsidR="005614E7" w:rsidRPr="008F7133" w:rsidRDefault="005614E7" w:rsidP="005614E7">
      <w:pPr>
        <w:pStyle w:val="naisf"/>
        <w:tabs>
          <w:tab w:val="left" w:pos="6237"/>
        </w:tabs>
        <w:spacing w:before="0" w:after="0"/>
        <w:ind w:firstLine="709"/>
        <w:rPr>
          <w:sz w:val="28"/>
          <w:szCs w:val="28"/>
        </w:rPr>
      </w:pPr>
    </w:p>
    <w:p w14:paraId="36A8F8F9" w14:textId="77777777" w:rsidR="007D10BD" w:rsidRPr="008F7133" w:rsidRDefault="007D10BD" w:rsidP="005614E7">
      <w:pPr>
        <w:pStyle w:val="naisf"/>
        <w:tabs>
          <w:tab w:val="left" w:pos="6237"/>
        </w:tabs>
        <w:spacing w:before="0" w:after="0"/>
        <w:ind w:firstLine="709"/>
        <w:rPr>
          <w:sz w:val="28"/>
          <w:szCs w:val="28"/>
        </w:rPr>
      </w:pPr>
    </w:p>
    <w:p w14:paraId="4E94868E" w14:textId="77777777" w:rsidR="00292D6B" w:rsidRPr="000F0489" w:rsidRDefault="00292D6B" w:rsidP="00292D6B">
      <w:pPr>
        <w:pStyle w:val="naisf"/>
        <w:tabs>
          <w:tab w:val="left" w:pos="6237"/>
        </w:tabs>
        <w:spacing w:before="0" w:after="0"/>
        <w:ind w:firstLine="709"/>
        <w:rPr>
          <w:sz w:val="28"/>
          <w:szCs w:val="28"/>
        </w:rPr>
      </w:pPr>
      <w:r w:rsidRPr="000F0489">
        <w:rPr>
          <w:sz w:val="28"/>
          <w:szCs w:val="28"/>
        </w:rPr>
        <w:t>Zemkopības ministra vietā –</w:t>
      </w:r>
    </w:p>
    <w:p w14:paraId="32FAD053" w14:textId="77777777" w:rsidR="00292D6B" w:rsidRPr="000F0489" w:rsidRDefault="00292D6B" w:rsidP="00292D6B">
      <w:pPr>
        <w:pStyle w:val="naisf"/>
        <w:tabs>
          <w:tab w:val="left" w:pos="6237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labklājības </w:t>
      </w:r>
      <w:r w:rsidRPr="000F0489">
        <w:rPr>
          <w:sz w:val="28"/>
          <w:szCs w:val="28"/>
        </w:rPr>
        <w:t>ministrs</w:t>
      </w:r>
      <w:r w:rsidRPr="000F0489">
        <w:rPr>
          <w:sz w:val="28"/>
          <w:szCs w:val="28"/>
        </w:rPr>
        <w:tab/>
      </w:r>
      <w:r>
        <w:rPr>
          <w:sz w:val="28"/>
          <w:szCs w:val="28"/>
        </w:rPr>
        <w:t>Uldis Augulis</w:t>
      </w:r>
    </w:p>
    <w:p w14:paraId="5B16D8B7" w14:textId="77777777" w:rsidR="00292D6B" w:rsidRPr="000F0489" w:rsidRDefault="00292D6B" w:rsidP="00292D6B">
      <w:pPr>
        <w:pStyle w:val="naisf"/>
        <w:tabs>
          <w:tab w:val="left" w:pos="6237"/>
        </w:tabs>
        <w:spacing w:before="0" w:after="0"/>
        <w:ind w:firstLine="709"/>
        <w:rPr>
          <w:sz w:val="28"/>
          <w:szCs w:val="28"/>
        </w:rPr>
      </w:pPr>
    </w:p>
    <w:p w14:paraId="36A8F8FA" w14:textId="319C2718" w:rsidR="007D10BD" w:rsidRPr="008F7133" w:rsidRDefault="007D10BD" w:rsidP="00292D6B">
      <w:pPr>
        <w:pStyle w:val="naisf"/>
        <w:tabs>
          <w:tab w:val="left" w:pos="6237"/>
        </w:tabs>
        <w:spacing w:before="0" w:after="0"/>
        <w:ind w:firstLine="709"/>
        <w:rPr>
          <w:sz w:val="28"/>
          <w:szCs w:val="28"/>
        </w:rPr>
      </w:pPr>
    </w:p>
    <w:sectPr w:rsidR="007D10BD" w:rsidRPr="008F7133" w:rsidSect="007C46D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8F916" w14:textId="77777777" w:rsidR="00F15264" w:rsidRDefault="00F15264" w:rsidP="007D10BD">
      <w:r>
        <w:separator/>
      </w:r>
    </w:p>
  </w:endnote>
  <w:endnote w:type="continuationSeparator" w:id="0">
    <w:p w14:paraId="36A8F917" w14:textId="77777777" w:rsidR="00F15264" w:rsidRDefault="00F15264" w:rsidP="007D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F475A" w14:textId="4E5C66B7" w:rsidR="0088417C" w:rsidRPr="0088417C" w:rsidRDefault="0088417C">
    <w:pPr>
      <w:pStyle w:val="Footer"/>
      <w:rPr>
        <w:sz w:val="16"/>
        <w:szCs w:val="16"/>
      </w:rPr>
    </w:pPr>
    <w:r w:rsidRPr="0088417C">
      <w:rPr>
        <w:sz w:val="16"/>
        <w:szCs w:val="16"/>
      </w:rPr>
      <w:t>N2063_4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44C88" w14:textId="32470A8A" w:rsidR="0088417C" w:rsidRPr="0088417C" w:rsidRDefault="0088417C">
    <w:pPr>
      <w:pStyle w:val="Footer"/>
      <w:rPr>
        <w:sz w:val="16"/>
        <w:szCs w:val="16"/>
      </w:rPr>
    </w:pPr>
    <w:r w:rsidRPr="0088417C">
      <w:rPr>
        <w:sz w:val="16"/>
        <w:szCs w:val="16"/>
      </w:rPr>
      <w:t>N2063_4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8F914" w14:textId="77777777" w:rsidR="00F15264" w:rsidRDefault="00F15264" w:rsidP="007D10BD">
      <w:r>
        <w:separator/>
      </w:r>
    </w:p>
  </w:footnote>
  <w:footnote w:type="continuationSeparator" w:id="0">
    <w:p w14:paraId="36A8F915" w14:textId="77777777" w:rsidR="00F15264" w:rsidRDefault="00F15264" w:rsidP="007D1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8F918" w14:textId="77777777" w:rsidR="005C044A" w:rsidRDefault="00A91C3B" w:rsidP="001E7F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8F919" w14:textId="77777777" w:rsidR="005C044A" w:rsidRDefault="004B4F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8F91A" w14:textId="77777777" w:rsidR="005C044A" w:rsidRDefault="00A91C3B" w:rsidP="001E7F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4F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A8F91B" w14:textId="77777777" w:rsidR="005C044A" w:rsidRDefault="004B4F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7C13C" w14:textId="736F6CD2" w:rsidR="0088417C" w:rsidRDefault="005614E7" w:rsidP="005614E7">
    <w:pPr>
      <w:pStyle w:val="Header"/>
      <w:jc w:val="center"/>
    </w:pPr>
    <w:r>
      <w:rPr>
        <w:noProof/>
      </w:rPr>
      <w:drawing>
        <wp:inline distT="0" distB="0" distL="0" distR="0" wp14:anchorId="77B6EAAB" wp14:editId="22716654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6707"/>
    <w:multiLevelType w:val="hybridMultilevel"/>
    <w:tmpl w:val="A0FA35D8"/>
    <w:lvl w:ilvl="0" w:tplc="01A6A3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2A54C0">
      <w:numFmt w:val="none"/>
      <w:lvlText w:val=""/>
      <w:lvlJc w:val="left"/>
      <w:pPr>
        <w:tabs>
          <w:tab w:val="num" w:pos="360"/>
        </w:tabs>
      </w:pPr>
    </w:lvl>
    <w:lvl w:ilvl="2" w:tplc="CE5C1CAE">
      <w:numFmt w:val="none"/>
      <w:lvlText w:val=""/>
      <w:lvlJc w:val="left"/>
      <w:pPr>
        <w:tabs>
          <w:tab w:val="num" w:pos="360"/>
        </w:tabs>
      </w:pPr>
    </w:lvl>
    <w:lvl w:ilvl="3" w:tplc="A41EB7D0">
      <w:numFmt w:val="none"/>
      <w:lvlText w:val=""/>
      <w:lvlJc w:val="left"/>
      <w:pPr>
        <w:tabs>
          <w:tab w:val="num" w:pos="360"/>
        </w:tabs>
      </w:pPr>
    </w:lvl>
    <w:lvl w:ilvl="4" w:tplc="541E584E">
      <w:numFmt w:val="none"/>
      <w:lvlText w:val=""/>
      <w:lvlJc w:val="left"/>
      <w:pPr>
        <w:tabs>
          <w:tab w:val="num" w:pos="360"/>
        </w:tabs>
      </w:pPr>
    </w:lvl>
    <w:lvl w:ilvl="5" w:tplc="3028C804">
      <w:numFmt w:val="none"/>
      <w:lvlText w:val=""/>
      <w:lvlJc w:val="left"/>
      <w:pPr>
        <w:tabs>
          <w:tab w:val="num" w:pos="360"/>
        </w:tabs>
      </w:pPr>
    </w:lvl>
    <w:lvl w:ilvl="6" w:tplc="D9D07960">
      <w:numFmt w:val="none"/>
      <w:lvlText w:val=""/>
      <w:lvlJc w:val="left"/>
      <w:pPr>
        <w:tabs>
          <w:tab w:val="num" w:pos="360"/>
        </w:tabs>
      </w:pPr>
    </w:lvl>
    <w:lvl w:ilvl="7" w:tplc="F8EAB9E6">
      <w:numFmt w:val="none"/>
      <w:lvlText w:val=""/>
      <w:lvlJc w:val="left"/>
      <w:pPr>
        <w:tabs>
          <w:tab w:val="num" w:pos="360"/>
        </w:tabs>
      </w:pPr>
    </w:lvl>
    <w:lvl w:ilvl="8" w:tplc="27705B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06966E1"/>
    <w:multiLevelType w:val="hybridMultilevel"/>
    <w:tmpl w:val="A0FA35D8"/>
    <w:lvl w:ilvl="0" w:tplc="01A6A3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2A54C0">
      <w:numFmt w:val="none"/>
      <w:lvlText w:val=""/>
      <w:lvlJc w:val="left"/>
      <w:pPr>
        <w:tabs>
          <w:tab w:val="num" w:pos="360"/>
        </w:tabs>
      </w:pPr>
    </w:lvl>
    <w:lvl w:ilvl="2" w:tplc="CE5C1CAE">
      <w:numFmt w:val="none"/>
      <w:lvlText w:val=""/>
      <w:lvlJc w:val="left"/>
      <w:pPr>
        <w:tabs>
          <w:tab w:val="num" w:pos="360"/>
        </w:tabs>
      </w:pPr>
    </w:lvl>
    <w:lvl w:ilvl="3" w:tplc="A41EB7D0">
      <w:numFmt w:val="none"/>
      <w:lvlText w:val=""/>
      <w:lvlJc w:val="left"/>
      <w:pPr>
        <w:tabs>
          <w:tab w:val="num" w:pos="360"/>
        </w:tabs>
      </w:pPr>
    </w:lvl>
    <w:lvl w:ilvl="4" w:tplc="541E584E">
      <w:numFmt w:val="none"/>
      <w:lvlText w:val=""/>
      <w:lvlJc w:val="left"/>
      <w:pPr>
        <w:tabs>
          <w:tab w:val="num" w:pos="360"/>
        </w:tabs>
      </w:pPr>
    </w:lvl>
    <w:lvl w:ilvl="5" w:tplc="3028C804">
      <w:numFmt w:val="none"/>
      <w:lvlText w:val=""/>
      <w:lvlJc w:val="left"/>
      <w:pPr>
        <w:tabs>
          <w:tab w:val="num" w:pos="360"/>
        </w:tabs>
      </w:pPr>
    </w:lvl>
    <w:lvl w:ilvl="6" w:tplc="D9D07960">
      <w:numFmt w:val="none"/>
      <w:lvlText w:val=""/>
      <w:lvlJc w:val="left"/>
      <w:pPr>
        <w:tabs>
          <w:tab w:val="num" w:pos="360"/>
        </w:tabs>
      </w:pPr>
    </w:lvl>
    <w:lvl w:ilvl="7" w:tplc="F8EAB9E6">
      <w:numFmt w:val="none"/>
      <w:lvlText w:val=""/>
      <w:lvlJc w:val="left"/>
      <w:pPr>
        <w:tabs>
          <w:tab w:val="num" w:pos="360"/>
        </w:tabs>
      </w:pPr>
    </w:lvl>
    <w:lvl w:ilvl="8" w:tplc="27705B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AC"/>
    <w:rsid w:val="000742BB"/>
    <w:rsid w:val="00094B3E"/>
    <w:rsid w:val="000A02CD"/>
    <w:rsid w:val="000D5511"/>
    <w:rsid w:val="00106D74"/>
    <w:rsid w:val="001373F0"/>
    <w:rsid w:val="00150451"/>
    <w:rsid w:val="00184B60"/>
    <w:rsid w:val="00187DEC"/>
    <w:rsid w:val="00234500"/>
    <w:rsid w:val="0024005E"/>
    <w:rsid w:val="002856EC"/>
    <w:rsid w:val="00287235"/>
    <w:rsid w:val="00292D6B"/>
    <w:rsid w:val="002D0684"/>
    <w:rsid w:val="003D696B"/>
    <w:rsid w:val="0040273C"/>
    <w:rsid w:val="0041257B"/>
    <w:rsid w:val="00453BC5"/>
    <w:rsid w:val="00457632"/>
    <w:rsid w:val="00476C32"/>
    <w:rsid w:val="004A24DB"/>
    <w:rsid w:val="004B4FAF"/>
    <w:rsid w:val="004D532D"/>
    <w:rsid w:val="004F74BD"/>
    <w:rsid w:val="005104DF"/>
    <w:rsid w:val="00531D83"/>
    <w:rsid w:val="00547104"/>
    <w:rsid w:val="005614E7"/>
    <w:rsid w:val="00591654"/>
    <w:rsid w:val="005E08C9"/>
    <w:rsid w:val="006237AF"/>
    <w:rsid w:val="006518E0"/>
    <w:rsid w:val="0071536A"/>
    <w:rsid w:val="007179AC"/>
    <w:rsid w:val="007207F5"/>
    <w:rsid w:val="00743717"/>
    <w:rsid w:val="007D10BD"/>
    <w:rsid w:val="007E13B6"/>
    <w:rsid w:val="007F23D6"/>
    <w:rsid w:val="00814A34"/>
    <w:rsid w:val="008159B0"/>
    <w:rsid w:val="00840F30"/>
    <w:rsid w:val="00850107"/>
    <w:rsid w:val="0088417C"/>
    <w:rsid w:val="008E2331"/>
    <w:rsid w:val="008F2506"/>
    <w:rsid w:val="008F5B9E"/>
    <w:rsid w:val="009177E3"/>
    <w:rsid w:val="00940EA8"/>
    <w:rsid w:val="009629A2"/>
    <w:rsid w:val="00971520"/>
    <w:rsid w:val="0098236D"/>
    <w:rsid w:val="009A079D"/>
    <w:rsid w:val="009B6ED3"/>
    <w:rsid w:val="009E2BD2"/>
    <w:rsid w:val="00A04976"/>
    <w:rsid w:val="00A051B7"/>
    <w:rsid w:val="00A116FC"/>
    <w:rsid w:val="00A36068"/>
    <w:rsid w:val="00A91C3B"/>
    <w:rsid w:val="00AA37DF"/>
    <w:rsid w:val="00AF63A2"/>
    <w:rsid w:val="00B0482F"/>
    <w:rsid w:val="00B13272"/>
    <w:rsid w:val="00B947AC"/>
    <w:rsid w:val="00C05E8E"/>
    <w:rsid w:val="00C06E66"/>
    <w:rsid w:val="00C2704B"/>
    <w:rsid w:val="00C351FD"/>
    <w:rsid w:val="00C372B3"/>
    <w:rsid w:val="00CA7CA1"/>
    <w:rsid w:val="00CB71AB"/>
    <w:rsid w:val="00CD3319"/>
    <w:rsid w:val="00D077B5"/>
    <w:rsid w:val="00D21058"/>
    <w:rsid w:val="00D54C87"/>
    <w:rsid w:val="00D61EC3"/>
    <w:rsid w:val="00D80729"/>
    <w:rsid w:val="00D87EB0"/>
    <w:rsid w:val="00E97A3B"/>
    <w:rsid w:val="00EA3773"/>
    <w:rsid w:val="00EC6525"/>
    <w:rsid w:val="00EC7813"/>
    <w:rsid w:val="00F03BF0"/>
    <w:rsid w:val="00F15264"/>
    <w:rsid w:val="00F52CC1"/>
    <w:rsid w:val="00F56329"/>
    <w:rsid w:val="00F75906"/>
    <w:rsid w:val="00FB77C2"/>
    <w:rsid w:val="00FC384A"/>
    <w:rsid w:val="00FD20C3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A8F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NormalWeb"/>
    <w:uiPriority w:val="99"/>
    <w:rsid w:val="007D10BD"/>
    <w:pPr>
      <w:spacing w:before="75" w:after="75"/>
    </w:pPr>
  </w:style>
  <w:style w:type="paragraph" w:customStyle="1" w:styleId="naislab">
    <w:name w:val="naislab"/>
    <w:basedOn w:val="Normal"/>
    <w:rsid w:val="007D10BD"/>
    <w:pPr>
      <w:spacing w:before="75" w:after="75"/>
      <w:jc w:val="right"/>
    </w:pPr>
  </w:style>
  <w:style w:type="paragraph" w:customStyle="1" w:styleId="naisf">
    <w:name w:val="naisf"/>
    <w:basedOn w:val="Normal"/>
    <w:rsid w:val="007D10BD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7D10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10B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7D10BD"/>
  </w:style>
  <w:style w:type="paragraph" w:styleId="Footer">
    <w:name w:val="footer"/>
    <w:basedOn w:val="Normal"/>
    <w:link w:val="FooterChar"/>
    <w:rsid w:val="007D10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D10B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semiHidden/>
    <w:rsid w:val="007D10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D1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10B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Strong">
    <w:name w:val="Strong"/>
    <w:qFormat/>
    <w:rsid w:val="007D10BD"/>
    <w:rPr>
      <w:b/>
      <w:bCs/>
    </w:rPr>
  </w:style>
  <w:style w:type="paragraph" w:customStyle="1" w:styleId="Sarakstarindkopa1">
    <w:name w:val="Saraksta rindkopa1"/>
    <w:basedOn w:val="Normal"/>
    <w:uiPriority w:val="34"/>
    <w:qFormat/>
    <w:rsid w:val="007D10BD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7D10BD"/>
  </w:style>
  <w:style w:type="paragraph" w:styleId="BalloonText">
    <w:name w:val="Balloon Text"/>
    <w:basedOn w:val="Normal"/>
    <w:link w:val="BalloonTextChar"/>
    <w:uiPriority w:val="99"/>
    <w:semiHidden/>
    <w:unhideWhenUsed/>
    <w:rsid w:val="007D1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0BD"/>
    <w:rPr>
      <w:rFonts w:ascii="Tahoma" w:eastAsia="Times New Roman" w:hAnsi="Tahoma" w:cs="Tahoma"/>
      <w:sz w:val="16"/>
      <w:szCs w:val="16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45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7E1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NormalWeb"/>
    <w:uiPriority w:val="99"/>
    <w:rsid w:val="007D10BD"/>
    <w:pPr>
      <w:spacing w:before="75" w:after="75"/>
    </w:pPr>
  </w:style>
  <w:style w:type="paragraph" w:customStyle="1" w:styleId="naislab">
    <w:name w:val="naislab"/>
    <w:basedOn w:val="Normal"/>
    <w:rsid w:val="007D10BD"/>
    <w:pPr>
      <w:spacing w:before="75" w:after="75"/>
      <w:jc w:val="right"/>
    </w:pPr>
  </w:style>
  <w:style w:type="paragraph" w:customStyle="1" w:styleId="naisf">
    <w:name w:val="naisf"/>
    <w:basedOn w:val="Normal"/>
    <w:rsid w:val="007D10BD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7D10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10B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7D10BD"/>
  </w:style>
  <w:style w:type="paragraph" w:styleId="Footer">
    <w:name w:val="footer"/>
    <w:basedOn w:val="Normal"/>
    <w:link w:val="FooterChar"/>
    <w:rsid w:val="007D10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D10B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semiHidden/>
    <w:rsid w:val="007D10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D1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10B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Strong">
    <w:name w:val="Strong"/>
    <w:qFormat/>
    <w:rsid w:val="007D10BD"/>
    <w:rPr>
      <w:b/>
      <w:bCs/>
    </w:rPr>
  </w:style>
  <w:style w:type="paragraph" w:customStyle="1" w:styleId="Sarakstarindkopa1">
    <w:name w:val="Saraksta rindkopa1"/>
    <w:basedOn w:val="Normal"/>
    <w:uiPriority w:val="34"/>
    <w:qFormat/>
    <w:rsid w:val="007D10BD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7D10BD"/>
  </w:style>
  <w:style w:type="paragraph" w:styleId="BalloonText">
    <w:name w:val="Balloon Text"/>
    <w:basedOn w:val="Normal"/>
    <w:link w:val="BalloonTextChar"/>
    <w:uiPriority w:val="99"/>
    <w:semiHidden/>
    <w:unhideWhenUsed/>
    <w:rsid w:val="007D1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0BD"/>
    <w:rPr>
      <w:rFonts w:ascii="Tahoma" w:eastAsia="Times New Roman" w:hAnsi="Tahoma" w:cs="Tahoma"/>
      <w:sz w:val="16"/>
      <w:szCs w:val="16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45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7E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B5566-BBB4-46B8-88B3-6CD2898B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1407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Konstantins Golubevs</dc:creator>
  <cp:lastModifiedBy>Leontīne Babkina</cp:lastModifiedBy>
  <cp:revision>20</cp:revision>
  <cp:lastPrinted>2014-10-14T06:05:00Z</cp:lastPrinted>
  <dcterms:created xsi:type="dcterms:W3CDTF">2014-08-28T12:31:00Z</dcterms:created>
  <dcterms:modified xsi:type="dcterms:W3CDTF">2014-10-15T09:25:00Z</dcterms:modified>
</cp:coreProperties>
</file>