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B9" w:rsidRPr="00F8106A" w:rsidRDefault="008A42B9" w:rsidP="008A42B9">
      <w:pPr>
        <w:jc w:val="center"/>
        <w:rPr>
          <w:b/>
          <w:sz w:val="28"/>
          <w:szCs w:val="28"/>
          <w:lang w:val="lv-LV" w:eastAsia="lv-LV"/>
        </w:rPr>
      </w:pPr>
      <w:bookmarkStart w:id="0" w:name="OLE_LINK7"/>
      <w:bookmarkStart w:id="1" w:name="OLE_LINK8"/>
      <w:r w:rsidRPr="00F8106A">
        <w:rPr>
          <w:b/>
          <w:sz w:val="28"/>
          <w:szCs w:val="28"/>
          <w:lang w:val="lv-LV" w:eastAsia="lv-LV"/>
        </w:rPr>
        <w:t xml:space="preserve">Ministru kabineta noteikumu projekta </w:t>
      </w:r>
      <w:r w:rsidRPr="00F8106A">
        <w:rPr>
          <w:b/>
          <w:bCs/>
          <w:sz w:val="28"/>
          <w:szCs w:val="28"/>
          <w:lang w:val="lv-LV" w:eastAsia="lv-LV"/>
        </w:rPr>
        <w:t>„</w:t>
      </w:r>
      <w:r w:rsidRPr="00F8106A">
        <w:rPr>
          <w:b/>
          <w:sz w:val="28"/>
          <w:szCs w:val="28"/>
          <w:lang w:val="lv-LV" w:eastAsia="lv-LV"/>
        </w:rPr>
        <w:t>Grozījumi Ministru kabineta 2004.gada 17.februāra noteikumos Nr.83</w:t>
      </w:r>
    </w:p>
    <w:p w:rsidR="008A42B9" w:rsidRPr="00F8106A" w:rsidRDefault="008A42B9" w:rsidP="008A42B9">
      <w:pPr>
        <w:jc w:val="center"/>
        <w:rPr>
          <w:b/>
          <w:sz w:val="28"/>
          <w:szCs w:val="28"/>
          <w:lang w:val="lv-LV" w:eastAsia="lv-LV"/>
        </w:rPr>
      </w:pPr>
      <w:r w:rsidRPr="00F8106A">
        <w:rPr>
          <w:b/>
          <w:sz w:val="28"/>
          <w:szCs w:val="28"/>
          <w:lang w:val="lv-LV" w:eastAsia="lv-LV"/>
        </w:rPr>
        <w:t>„</w:t>
      </w:r>
      <w:r w:rsidRPr="00F8106A">
        <w:rPr>
          <w:b/>
          <w:bCs/>
          <w:sz w:val="28"/>
          <w:szCs w:val="28"/>
          <w:lang w:val="lv-LV" w:eastAsia="lv-LV"/>
        </w:rPr>
        <w:t>Āfrikas cūku mēra likvidēšanas un draudu novēršanas kārtība</w:t>
      </w:r>
      <w:r w:rsidRPr="00F8106A">
        <w:rPr>
          <w:b/>
          <w:sz w:val="28"/>
          <w:szCs w:val="28"/>
          <w:lang w:val="lv-LV" w:eastAsia="lv-LV"/>
        </w:rPr>
        <w:t>”</w:t>
      </w:r>
      <w:r w:rsidRPr="00F8106A">
        <w:rPr>
          <w:b/>
          <w:bCs/>
          <w:sz w:val="28"/>
          <w:szCs w:val="28"/>
          <w:lang w:val="lv-LV" w:eastAsia="lv-LV"/>
        </w:rPr>
        <w:t>”</w:t>
      </w:r>
    </w:p>
    <w:p w:rsidR="00757B05" w:rsidRPr="00F8106A" w:rsidRDefault="008A42B9" w:rsidP="00F8106A">
      <w:pPr>
        <w:widowControl w:val="0"/>
        <w:jc w:val="center"/>
        <w:rPr>
          <w:b/>
          <w:bCs/>
          <w:sz w:val="28"/>
          <w:szCs w:val="28"/>
          <w:lang w:val="lv-LV" w:eastAsia="lv-LV"/>
        </w:rPr>
      </w:pPr>
      <w:r w:rsidRPr="00F8106A">
        <w:rPr>
          <w:b/>
          <w:bCs/>
          <w:sz w:val="28"/>
          <w:szCs w:val="28"/>
          <w:lang w:val="lv-LV" w:eastAsia="lv-LV"/>
        </w:rPr>
        <w:t>sākotnējās ietekmes novērtējuma ziņojums (anotācija)</w:t>
      </w:r>
    </w:p>
    <w:p w:rsidR="00F8106A" w:rsidRPr="00F8106A" w:rsidRDefault="00F8106A" w:rsidP="00F8106A">
      <w:pPr>
        <w:widowControl w:val="0"/>
        <w:jc w:val="center"/>
        <w:rPr>
          <w:b/>
          <w:bCs/>
          <w:lang w:val="lv-LV" w:eastAsia="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1F592A" w:rsidRPr="001F592A" w:rsidTr="00000890">
        <w:tc>
          <w:tcPr>
            <w:tcW w:w="0" w:type="auto"/>
            <w:gridSpan w:val="3"/>
            <w:vAlign w:val="center"/>
          </w:tcPr>
          <w:p w:rsidR="001F592A" w:rsidRPr="001F592A" w:rsidRDefault="001F592A" w:rsidP="001F592A">
            <w:pPr>
              <w:pStyle w:val="naisf"/>
              <w:rPr>
                <w:b/>
                <w:bCs/>
                <w:lang w:val="lv-LV"/>
              </w:rPr>
            </w:pPr>
            <w:r w:rsidRPr="001F592A">
              <w:rPr>
                <w:b/>
                <w:bCs/>
                <w:lang w:val="lv-LV"/>
              </w:rPr>
              <w:t>I. Tiesību akta projekta izstrādes nepieciešamība</w:t>
            </w:r>
          </w:p>
        </w:tc>
      </w:tr>
      <w:tr w:rsidR="001F592A" w:rsidRPr="001F592A" w:rsidTr="00000890">
        <w:tc>
          <w:tcPr>
            <w:tcW w:w="250" w:type="pct"/>
          </w:tcPr>
          <w:p w:rsidR="001F592A" w:rsidRPr="001F592A" w:rsidRDefault="001F592A" w:rsidP="001F592A">
            <w:pPr>
              <w:pStyle w:val="naisf"/>
              <w:rPr>
                <w:lang w:val="lv-LV"/>
              </w:rPr>
            </w:pPr>
            <w:r w:rsidRPr="001F592A">
              <w:rPr>
                <w:lang w:val="lv-LV"/>
              </w:rPr>
              <w:t>1.</w:t>
            </w:r>
          </w:p>
        </w:tc>
        <w:tc>
          <w:tcPr>
            <w:tcW w:w="1397" w:type="pct"/>
          </w:tcPr>
          <w:p w:rsidR="001F592A" w:rsidRPr="001F592A" w:rsidRDefault="001F592A" w:rsidP="001F592A">
            <w:pPr>
              <w:pStyle w:val="naisf"/>
              <w:rPr>
                <w:lang w:val="lv-LV"/>
              </w:rPr>
            </w:pPr>
            <w:r w:rsidRPr="001F592A">
              <w:rPr>
                <w:lang w:val="lv-LV"/>
              </w:rPr>
              <w:t>Pamatojums</w:t>
            </w:r>
          </w:p>
        </w:tc>
        <w:tc>
          <w:tcPr>
            <w:tcW w:w="3353" w:type="pct"/>
          </w:tcPr>
          <w:p w:rsidR="001F592A" w:rsidRPr="001F592A" w:rsidRDefault="001F592A" w:rsidP="001F592A">
            <w:pPr>
              <w:pStyle w:val="naisf"/>
              <w:rPr>
                <w:lang w:val="lv-LV"/>
              </w:rPr>
            </w:pPr>
            <w:r w:rsidRPr="001F592A">
              <w:rPr>
                <w:lang w:val="lv-LV"/>
              </w:rPr>
              <w:t>Veterinārmedicīnas likuma 26.panta pirmā daļa un 27.panta trešā daļa.</w:t>
            </w:r>
          </w:p>
        </w:tc>
      </w:tr>
      <w:tr w:rsidR="001F592A" w:rsidRPr="00146346" w:rsidTr="00000890">
        <w:tc>
          <w:tcPr>
            <w:tcW w:w="250" w:type="pct"/>
          </w:tcPr>
          <w:p w:rsidR="001F592A" w:rsidRPr="001F592A" w:rsidRDefault="001F592A" w:rsidP="001F592A">
            <w:pPr>
              <w:pStyle w:val="naisf"/>
              <w:rPr>
                <w:lang w:val="lv-LV"/>
              </w:rPr>
            </w:pPr>
            <w:r w:rsidRPr="001F592A">
              <w:rPr>
                <w:lang w:val="lv-LV"/>
              </w:rPr>
              <w:t>2.</w:t>
            </w:r>
          </w:p>
        </w:tc>
        <w:tc>
          <w:tcPr>
            <w:tcW w:w="1397" w:type="pct"/>
          </w:tcPr>
          <w:p w:rsidR="001F592A" w:rsidRPr="001F592A" w:rsidRDefault="001F592A" w:rsidP="001F592A">
            <w:pPr>
              <w:pStyle w:val="naisf"/>
              <w:rPr>
                <w:lang w:val="lv-LV"/>
              </w:rPr>
            </w:pPr>
            <w:r w:rsidRPr="001F592A">
              <w:rPr>
                <w:lang w:val="lv-LV"/>
              </w:rPr>
              <w:t>Pašreizējā situācija un problēmas, kuru risināšanai tiesību akta projekts izstrādāts, tiesiskā regulējuma mērķis un būtība</w:t>
            </w:r>
          </w:p>
        </w:tc>
        <w:tc>
          <w:tcPr>
            <w:tcW w:w="3353" w:type="pct"/>
          </w:tcPr>
          <w:p w:rsidR="000B4F28" w:rsidRPr="00382B48" w:rsidRDefault="001F592A" w:rsidP="004B78BD">
            <w:pPr>
              <w:pStyle w:val="CM4"/>
              <w:jc w:val="both"/>
              <w:rPr>
                <w:rFonts w:cs="EUAlbertina"/>
                <w:bCs/>
              </w:rPr>
            </w:pPr>
            <w:r w:rsidRPr="00382B48">
              <w:t>Stājies spēkā Komisijas 2014.gada 12.februāra Īstenošanas lēmums 2014/84/ES, ar ko groza Īstenošanas lēmumu 2013/426/ES par pasākumiem, lai nepieļautu Āfrikas cūku mēra vīrusa ienešanu Savienībā no dažām treš</w:t>
            </w:r>
            <w:r w:rsidR="004E30A5">
              <w:t>aj</w:t>
            </w:r>
            <w:r w:rsidRPr="00382B48">
              <w:t>ām valstīm vai trešo valstu teritoriju daļām, kurās ir apstiprināta minētās slimības klātbūtne, un ar kuru atceļ Lēmumu 2011/78/ES</w:t>
            </w:r>
            <w:r w:rsidR="00833CB3">
              <w:t>,</w:t>
            </w:r>
            <w:r w:rsidRPr="00382B48">
              <w:t xml:space="preserve"> (turpmāk – Lēmums 2014/84/ES)</w:t>
            </w:r>
            <w:r w:rsidR="000B4F28" w:rsidRPr="00382B48">
              <w:t xml:space="preserve"> un Komisijas 2014.gada 27.marta Īstenošanas lēmums 2014/178/ES, </w:t>
            </w:r>
            <w:r w:rsidR="000B4F28" w:rsidRPr="00382B48">
              <w:rPr>
                <w:rFonts w:cs="EUAlbertina"/>
                <w:bCs/>
              </w:rPr>
              <w:t xml:space="preserve">par dzīvnieku veselības kontroles pasākumiem saistībā ar Āfrikas cūku mēri dažās dalībvalstīs </w:t>
            </w:r>
            <w:r w:rsidR="000B4F28" w:rsidRPr="00382B48">
              <w:t>(turpmāk – Lēmums 2014/178/ES)</w:t>
            </w:r>
            <w:r w:rsidR="000B4F28" w:rsidRPr="00382B48">
              <w:rPr>
                <w:rFonts w:cs="EUAlbertina"/>
                <w:bCs/>
              </w:rPr>
              <w:t>.</w:t>
            </w:r>
          </w:p>
          <w:p w:rsidR="001F592A" w:rsidRPr="00382B48" w:rsidRDefault="001F592A" w:rsidP="004B78BD">
            <w:pPr>
              <w:pStyle w:val="CM4"/>
              <w:jc w:val="both"/>
            </w:pPr>
            <w:r w:rsidRPr="00382B48">
              <w:t>Lēmums 2014/84/ES precizē Īstenošanas lēmumā 2013/426/ES noteikt</w:t>
            </w:r>
            <w:r w:rsidR="00833CB3">
              <w:t>ā</w:t>
            </w:r>
            <w:r w:rsidRPr="00382B48">
              <w:t>s prasības, kas jāpilda transportlīdzekļa vadītājam</w:t>
            </w:r>
            <w:r w:rsidR="004703EC" w:rsidRPr="00382B48">
              <w:t xml:space="preserve"> vai operatoram</w:t>
            </w:r>
            <w:r w:rsidRPr="00382B48">
              <w:t xml:space="preserve">, iebraucot Eiropas Savienības (turpmāk – ES) dalībvalstīs no Krievijas Federācijas vai Baltkrievijas Republikas. </w:t>
            </w:r>
          </w:p>
          <w:p w:rsidR="004B78BD" w:rsidRPr="00382B48" w:rsidRDefault="004B78BD" w:rsidP="004B78BD">
            <w:pPr>
              <w:pStyle w:val="Default"/>
              <w:jc w:val="both"/>
              <w:rPr>
                <w:b/>
                <w:color w:val="auto"/>
              </w:rPr>
            </w:pPr>
            <w:r w:rsidRPr="00382B48">
              <w:rPr>
                <w:b/>
                <w:color w:val="auto"/>
              </w:rPr>
              <w:t xml:space="preserve">Lēmums 2014/178/ES nosaka cūku sugas dzīvnieku veselības kontroles pasākumus </w:t>
            </w:r>
            <w:r w:rsidR="00833CB3">
              <w:rPr>
                <w:b/>
                <w:color w:val="auto"/>
              </w:rPr>
              <w:t xml:space="preserve">ar </w:t>
            </w:r>
            <w:r w:rsidRPr="00382B48">
              <w:rPr>
                <w:b/>
                <w:color w:val="auto"/>
              </w:rPr>
              <w:t>cūku mēr</w:t>
            </w:r>
            <w:r w:rsidR="00833CB3">
              <w:rPr>
                <w:b/>
                <w:color w:val="auto"/>
              </w:rPr>
              <w:t>i</w:t>
            </w:r>
            <w:r w:rsidRPr="00382B48">
              <w:rPr>
                <w:b/>
                <w:color w:val="auto"/>
              </w:rPr>
              <w:t xml:space="preserve"> inficēto teritoriju risku zonās. Lēmums 2014/178/ES Latvijai </w:t>
            </w:r>
            <w:r w:rsidR="00833CB3" w:rsidRPr="00382B48">
              <w:rPr>
                <w:b/>
                <w:color w:val="auto"/>
              </w:rPr>
              <w:t xml:space="preserve">ir </w:t>
            </w:r>
            <w:r w:rsidRPr="00382B48">
              <w:rPr>
                <w:b/>
                <w:color w:val="auto"/>
              </w:rPr>
              <w:t>saistošs no 2014.gada 8.jūlija saskaņā ar Komisijas 2014.gada 8.jūlija Īstenošanas lēmumu 2014/</w:t>
            </w:r>
            <w:r w:rsidR="000A449C">
              <w:rPr>
                <w:b/>
                <w:color w:val="auto"/>
              </w:rPr>
              <w:t>44</w:t>
            </w:r>
            <w:r w:rsidRPr="00382B48">
              <w:rPr>
                <w:b/>
                <w:color w:val="auto"/>
              </w:rPr>
              <w:t>8/ES</w:t>
            </w:r>
            <w:r w:rsidRPr="00382B48">
              <w:rPr>
                <w:b/>
                <w:bCs/>
                <w:color w:val="auto"/>
              </w:rPr>
              <w:t xml:space="preserve">, ar ko groza Īstenošanas lēmumu 2014/178/ES attiecībā uz Āfrikas cūku mēri Latvijā. </w:t>
            </w:r>
          </w:p>
          <w:p w:rsidR="001F592A" w:rsidRPr="00382B48" w:rsidRDefault="001F592A" w:rsidP="004B78BD">
            <w:pPr>
              <w:pStyle w:val="naisf"/>
              <w:spacing w:before="0" w:beforeAutospacing="0" w:after="0" w:afterAutospacing="0"/>
              <w:rPr>
                <w:b/>
                <w:lang w:val="lv-LV"/>
              </w:rPr>
            </w:pPr>
            <w:r w:rsidRPr="00382B48">
              <w:rPr>
                <w:b/>
                <w:lang w:val="lv-LV"/>
              </w:rPr>
              <w:t>Āfrikas cūku mēra kontroles un apkarošanas prasības noteiktas Ministru kabineta 2004.gada 17.februāra noteikumos Nr.83 „</w:t>
            </w:r>
            <w:r w:rsidRPr="00382B48">
              <w:rPr>
                <w:b/>
                <w:bCs/>
                <w:lang w:val="lv-LV"/>
              </w:rPr>
              <w:t>Āfrikas cūku mēra likvidēšanas un draudu novēršanas kārtība</w:t>
            </w:r>
            <w:r w:rsidRPr="00382B48">
              <w:rPr>
                <w:b/>
                <w:lang w:val="lv-LV"/>
              </w:rPr>
              <w:t>” (turpmāk – noteikumi Nr.83)</w:t>
            </w:r>
            <w:r w:rsidR="00833CB3">
              <w:rPr>
                <w:b/>
                <w:lang w:val="lv-LV"/>
              </w:rPr>
              <w:t>, kuros</w:t>
            </w:r>
            <w:r w:rsidRPr="00382B48">
              <w:rPr>
                <w:b/>
                <w:lang w:val="lv-LV"/>
              </w:rPr>
              <w:t xml:space="preserve"> ir ie</w:t>
            </w:r>
            <w:r w:rsidR="00833CB3">
              <w:rPr>
                <w:b/>
                <w:lang w:val="lv-LV"/>
              </w:rPr>
              <w:t>tver</w:t>
            </w:r>
            <w:r w:rsidRPr="00382B48">
              <w:rPr>
                <w:b/>
                <w:lang w:val="lv-LV"/>
              </w:rPr>
              <w:t xml:space="preserve">tas </w:t>
            </w:r>
            <w:r w:rsidR="00833CB3">
              <w:rPr>
                <w:b/>
                <w:lang w:val="lv-LV"/>
              </w:rPr>
              <w:t xml:space="preserve">arī </w:t>
            </w:r>
            <w:r w:rsidRPr="00382B48">
              <w:rPr>
                <w:b/>
                <w:lang w:val="lv-LV"/>
              </w:rPr>
              <w:t xml:space="preserve">Īstenošanas lēmuma 2013/426/ES prasības. </w:t>
            </w:r>
            <w:r w:rsidR="00833CB3">
              <w:rPr>
                <w:b/>
                <w:lang w:val="lv-LV"/>
              </w:rPr>
              <w:t>Tāpēc</w:t>
            </w:r>
            <w:r w:rsidRPr="00382B48">
              <w:rPr>
                <w:b/>
                <w:lang w:val="lv-LV"/>
              </w:rPr>
              <w:t xml:space="preserve"> ir nepieciešams precizēt noteikumu Nr.83 X</w:t>
            </w:r>
            <w:r w:rsidRPr="00382B48">
              <w:rPr>
                <w:b/>
                <w:vertAlign w:val="superscript"/>
                <w:lang w:val="lv-LV"/>
              </w:rPr>
              <w:t>1</w:t>
            </w:r>
            <w:r w:rsidRPr="00382B48">
              <w:rPr>
                <w:b/>
                <w:lang w:val="lv-LV"/>
              </w:rPr>
              <w:t> nodaļā noteiktos pasākumus</w:t>
            </w:r>
            <w:r w:rsidR="004B78BD" w:rsidRPr="00382B48">
              <w:rPr>
                <w:b/>
                <w:lang w:val="lv-LV"/>
              </w:rPr>
              <w:t xml:space="preserve"> un noteikumus Nr.83 papildināt ar X</w:t>
            </w:r>
            <w:r w:rsidR="004B78BD" w:rsidRPr="00382B48">
              <w:rPr>
                <w:b/>
                <w:vertAlign w:val="superscript"/>
                <w:lang w:val="lv-LV"/>
              </w:rPr>
              <w:t>2</w:t>
            </w:r>
            <w:r w:rsidR="004B78BD" w:rsidRPr="00382B48">
              <w:rPr>
                <w:b/>
                <w:lang w:val="lv-LV"/>
              </w:rPr>
              <w:t xml:space="preserve"> nodaļu par cūku sugas dzīvnieku veselības kontroles pasākumiem </w:t>
            </w:r>
            <w:r w:rsidR="00833CB3">
              <w:rPr>
                <w:b/>
                <w:lang w:val="lv-LV"/>
              </w:rPr>
              <w:t xml:space="preserve">ar </w:t>
            </w:r>
            <w:r w:rsidR="004B78BD" w:rsidRPr="00382B48">
              <w:rPr>
                <w:b/>
                <w:lang w:val="lv-LV"/>
              </w:rPr>
              <w:t>cūku mēr</w:t>
            </w:r>
            <w:r w:rsidR="00833CB3">
              <w:rPr>
                <w:b/>
                <w:lang w:val="lv-LV"/>
              </w:rPr>
              <w:t>i</w:t>
            </w:r>
            <w:r w:rsidR="004B78BD" w:rsidRPr="00382B48">
              <w:rPr>
                <w:b/>
                <w:lang w:val="lv-LV"/>
              </w:rPr>
              <w:t xml:space="preserve"> inficēto teritoriju risku zonās.</w:t>
            </w:r>
          </w:p>
          <w:p w:rsidR="001F592A" w:rsidRPr="00382B48" w:rsidRDefault="001F592A" w:rsidP="00F8106A">
            <w:pPr>
              <w:pStyle w:val="naisf"/>
              <w:spacing w:before="0" w:beforeAutospacing="0" w:after="0" w:afterAutospacing="0"/>
              <w:rPr>
                <w:b/>
                <w:lang w:val="lv-LV"/>
              </w:rPr>
            </w:pPr>
            <w:r w:rsidRPr="00382B48">
              <w:rPr>
                <w:b/>
                <w:lang w:val="lv-LV"/>
              </w:rPr>
              <w:t>Lēmums 2014/84/ES nosaka:</w:t>
            </w:r>
          </w:p>
          <w:p w:rsidR="001F592A" w:rsidRPr="00382B48" w:rsidRDefault="001F592A" w:rsidP="00F8106A">
            <w:pPr>
              <w:pStyle w:val="naisf"/>
              <w:spacing w:before="0" w:beforeAutospacing="0" w:after="0" w:afterAutospacing="0"/>
              <w:rPr>
                <w:b/>
                <w:lang w:val="lv-LV"/>
              </w:rPr>
            </w:pPr>
            <w:r w:rsidRPr="00382B48">
              <w:rPr>
                <w:b/>
                <w:lang w:val="lv-LV"/>
              </w:rPr>
              <w:t>1) nodrošināt, lai visi transportlīdzekļi, kas pārvadājuši dzīvus dzīvniekus un kas iebrauc ES dalībvalstu teritorijā no inficētajiem apgabaliem (Krievijas Federācijas un Baltkrievijas Republikas), tiek atbilstoši iztīrīti un dezinficēti un lai šī tīrīšana un dezinficēšana tiek dokumentēta;</w:t>
            </w:r>
          </w:p>
          <w:p w:rsidR="001F592A" w:rsidRPr="00382B48" w:rsidRDefault="001F592A" w:rsidP="00F8106A">
            <w:pPr>
              <w:pStyle w:val="naisf"/>
              <w:spacing w:before="0" w:beforeAutospacing="0" w:after="0" w:afterAutospacing="0"/>
              <w:rPr>
                <w:b/>
                <w:lang w:val="lv-LV"/>
              </w:rPr>
            </w:pPr>
            <w:r w:rsidRPr="00382B48">
              <w:rPr>
                <w:b/>
                <w:lang w:val="lv-LV"/>
              </w:rPr>
              <w:t xml:space="preserve">2) transportlīdzekļa vadītājam apliecināt tīrīšanas, mazgāšanas un dezinfekcijas procedūru veikšanas laiku un izmantotos līdzekļus, norādot informāciju atsevišķā </w:t>
            </w:r>
            <w:r w:rsidRPr="00382B48">
              <w:rPr>
                <w:b/>
                <w:lang w:val="lv-LV"/>
              </w:rPr>
              <w:lastRenderedPageBreak/>
              <w:t>dokumentā;</w:t>
            </w:r>
          </w:p>
          <w:p w:rsidR="001F592A" w:rsidRPr="00382B48" w:rsidRDefault="001F592A" w:rsidP="00F8106A">
            <w:pPr>
              <w:pStyle w:val="naisf"/>
              <w:spacing w:before="0" w:beforeAutospacing="0" w:after="0" w:afterAutospacing="0"/>
              <w:rPr>
                <w:b/>
                <w:lang w:val="lv-LV"/>
              </w:rPr>
            </w:pPr>
            <w:r w:rsidRPr="00382B48">
              <w:rPr>
                <w:b/>
                <w:lang w:val="lv-LV"/>
              </w:rPr>
              <w:t xml:space="preserve">3) veikt atbilstošus transportlīdzekļa mazgāšanas un dezinfekcijas pasākumus, ja kontroles laikā ir konstatēts, ka mazgāšana un dezinfekcija </w:t>
            </w:r>
            <w:r w:rsidR="00833CB3">
              <w:rPr>
                <w:b/>
                <w:lang w:val="lv-LV"/>
              </w:rPr>
              <w:t>nav bijusi</w:t>
            </w:r>
            <w:r w:rsidRPr="00382B48">
              <w:rPr>
                <w:b/>
                <w:lang w:val="lv-LV"/>
              </w:rPr>
              <w:t xml:space="preserve"> atbilstoš</w:t>
            </w:r>
            <w:r w:rsidR="00833CB3">
              <w:rPr>
                <w:b/>
                <w:lang w:val="lv-LV"/>
              </w:rPr>
              <w:t>a</w:t>
            </w:r>
            <w:r w:rsidRPr="00382B48">
              <w:rPr>
                <w:b/>
                <w:lang w:val="lv-LV"/>
              </w:rPr>
              <w:t xml:space="preserve"> vai vispār nav veikta;</w:t>
            </w:r>
          </w:p>
          <w:p w:rsidR="004703EC" w:rsidRPr="00382B48" w:rsidRDefault="004703EC" w:rsidP="00F8106A">
            <w:pPr>
              <w:pStyle w:val="naisf"/>
              <w:spacing w:before="0" w:beforeAutospacing="0" w:after="0" w:afterAutospacing="0"/>
              <w:rPr>
                <w:b/>
                <w:lang w:val="lv-LV"/>
              </w:rPr>
            </w:pPr>
            <w:r w:rsidRPr="00382B48">
              <w:rPr>
                <w:b/>
                <w:lang w:val="lv-LV"/>
              </w:rPr>
              <w:t xml:space="preserve">4) pēc amatpersonas norādījumiem izvēles kārtībā </w:t>
            </w:r>
            <w:r w:rsidR="00833CB3">
              <w:rPr>
                <w:b/>
                <w:lang w:val="lv-LV"/>
              </w:rPr>
              <w:t>tīrīt, mazgāt un dezinficēt</w:t>
            </w:r>
            <w:r w:rsidRPr="00382B48">
              <w:rPr>
                <w:b/>
                <w:lang w:val="lv-LV"/>
              </w:rPr>
              <w:t xml:space="preserve"> transportlīdzekļu</w:t>
            </w:r>
            <w:r w:rsidR="00833CB3">
              <w:rPr>
                <w:b/>
                <w:lang w:val="lv-LV"/>
              </w:rPr>
              <w:t>s</w:t>
            </w:r>
            <w:r w:rsidRPr="00382B48">
              <w:rPr>
                <w:b/>
                <w:lang w:val="lv-LV"/>
              </w:rPr>
              <w:t>, arī t</w:t>
            </w:r>
            <w:r w:rsidR="00833CB3">
              <w:rPr>
                <w:b/>
                <w:lang w:val="lv-LV"/>
              </w:rPr>
              <w:t>os</w:t>
            </w:r>
            <w:r w:rsidRPr="00382B48">
              <w:rPr>
                <w:b/>
                <w:lang w:val="lv-LV"/>
              </w:rPr>
              <w:t>, k</w:t>
            </w:r>
            <w:r w:rsidR="00833CB3">
              <w:rPr>
                <w:b/>
                <w:lang w:val="lv-LV"/>
              </w:rPr>
              <w:t>as</w:t>
            </w:r>
            <w:r w:rsidRPr="00382B48">
              <w:rPr>
                <w:b/>
                <w:lang w:val="lv-LV"/>
              </w:rPr>
              <w:t xml:space="preserve"> pārvadā lopbarību, </w:t>
            </w:r>
            <w:r w:rsidR="00833CB3">
              <w:rPr>
                <w:b/>
                <w:lang w:val="lv-LV"/>
              </w:rPr>
              <w:t xml:space="preserve">to </w:t>
            </w:r>
            <w:r w:rsidRPr="00382B48">
              <w:rPr>
                <w:b/>
                <w:lang w:val="lv-LV"/>
              </w:rPr>
              <w:t>ritošās daļas vai cit</w:t>
            </w:r>
            <w:r w:rsidR="00833CB3">
              <w:rPr>
                <w:b/>
                <w:lang w:val="lv-LV"/>
              </w:rPr>
              <w:t>as</w:t>
            </w:r>
            <w:r w:rsidRPr="00382B48">
              <w:rPr>
                <w:b/>
                <w:lang w:val="lv-LV"/>
              </w:rPr>
              <w:t xml:space="preserve"> daļ</w:t>
            </w:r>
            <w:r w:rsidR="00833CB3">
              <w:rPr>
                <w:b/>
                <w:lang w:val="lv-LV"/>
              </w:rPr>
              <w:t>as</w:t>
            </w:r>
            <w:r w:rsidRPr="00382B48">
              <w:rPr>
                <w:b/>
                <w:lang w:val="lv-LV"/>
              </w:rPr>
              <w:t xml:space="preserve">; </w:t>
            </w:r>
          </w:p>
          <w:p w:rsidR="001F592A" w:rsidRPr="00382B48" w:rsidRDefault="004703EC" w:rsidP="00F8106A">
            <w:pPr>
              <w:pStyle w:val="naisf"/>
              <w:spacing w:before="0" w:beforeAutospacing="0" w:after="0" w:afterAutospacing="0"/>
              <w:rPr>
                <w:b/>
                <w:lang w:val="lv-LV"/>
              </w:rPr>
            </w:pPr>
            <w:r w:rsidRPr="00382B48">
              <w:rPr>
                <w:b/>
                <w:lang w:val="lv-LV"/>
              </w:rPr>
              <w:t>5</w:t>
            </w:r>
            <w:r w:rsidR="001F592A" w:rsidRPr="00382B48">
              <w:rPr>
                <w:b/>
                <w:lang w:val="lv-LV"/>
              </w:rPr>
              <w:t>) transportlīdzekļu tīrīšanas un mazgāšanas pasākumus un ar šo procedūru saistītās dokumentācijas pieprasīšanu piemērot līdz 2015.gada 31.decembrim.</w:t>
            </w:r>
          </w:p>
          <w:p w:rsidR="00E315AC" w:rsidRPr="00382B48" w:rsidRDefault="00E315AC" w:rsidP="00E315AC">
            <w:pPr>
              <w:pStyle w:val="naisf"/>
              <w:spacing w:before="0" w:beforeAutospacing="0" w:after="0" w:afterAutospacing="0"/>
              <w:rPr>
                <w:b/>
                <w:lang w:val="lv-LV"/>
              </w:rPr>
            </w:pPr>
            <w:r w:rsidRPr="00382B48">
              <w:rPr>
                <w:b/>
                <w:lang w:val="lv-LV"/>
              </w:rPr>
              <w:t xml:space="preserve">Lēmums 2014/178/ES nosaka kontroles pasākumus </w:t>
            </w:r>
            <w:r w:rsidR="00833CB3">
              <w:rPr>
                <w:b/>
                <w:lang w:val="lv-LV"/>
              </w:rPr>
              <w:t xml:space="preserve">ar </w:t>
            </w:r>
            <w:r w:rsidRPr="00382B48">
              <w:rPr>
                <w:b/>
                <w:lang w:val="lv-LV"/>
              </w:rPr>
              <w:t>cūku mēr</w:t>
            </w:r>
            <w:r w:rsidR="00833CB3">
              <w:rPr>
                <w:b/>
                <w:lang w:val="lv-LV"/>
              </w:rPr>
              <w:t>i</w:t>
            </w:r>
            <w:r w:rsidRPr="00382B48">
              <w:rPr>
                <w:b/>
                <w:lang w:val="lv-LV"/>
              </w:rPr>
              <w:t xml:space="preserve"> inficēto</w:t>
            </w:r>
            <w:r w:rsidR="00833CB3">
              <w:rPr>
                <w:b/>
                <w:lang w:val="lv-LV"/>
              </w:rPr>
              <w:t xml:space="preserve"> teritoriju</w:t>
            </w:r>
            <w:r w:rsidRPr="00382B48">
              <w:rPr>
                <w:b/>
                <w:lang w:val="lv-LV"/>
              </w:rPr>
              <w:t xml:space="preserve"> risku zonās par:</w:t>
            </w:r>
          </w:p>
          <w:p w:rsidR="00E315AC" w:rsidRPr="00382B48" w:rsidRDefault="00E315AC" w:rsidP="00E315AC">
            <w:pPr>
              <w:pStyle w:val="naisf"/>
              <w:spacing w:before="0" w:beforeAutospacing="0" w:after="0" w:afterAutospacing="0"/>
              <w:rPr>
                <w:b/>
                <w:lang w:val="lv-LV"/>
              </w:rPr>
            </w:pPr>
            <w:r w:rsidRPr="00382B48">
              <w:rPr>
                <w:b/>
                <w:lang w:val="lv-LV"/>
              </w:rPr>
              <w:t>1) dzīvnieku pārvietošanu, cūku spermas, olšūnu, embriju un blakusproduktu (no cūku sugu dzīvniekiem iegūto dzīvnieku izcelsmes blakusproduktu, kas nav paredzēti cilvēku patēriņam) izplatīšanu un mājas</w:t>
            </w:r>
            <w:r w:rsidR="00833CB3">
              <w:rPr>
                <w:b/>
                <w:lang w:val="lv-LV"/>
              </w:rPr>
              <w:t xml:space="preserve"> cūku</w:t>
            </w:r>
            <w:r w:rsidRPr="00382B48">
              <w:rPr>
                <w:b/>
                <w:lang w:val="lv-LV"/>
              </w:rPr>
              <w:t xml:space="preserve">, </w:t>
            </w:r>
            <w:r w:rsidR="00833CB3">
              <w:rPr>
                <w:b/>
                <w:lang w:val="lv-LV"/>
              </w:rPr>
              <w:t xml:space="preserve">kā arī </w:t>
            </w:r>
            <w:r w:rsidRPr="00382B48">
              <w:rPr>
                <w:b/>
                <w:lang w:val="lv-LV"/>
              </w:rPr>
              <w:t>mežacūk</w:t>
            </w:r>
            <w:r w:rsidR="00833CB3">
              <w:rPr>
                <w:b/>
                <w:lang w:val="lv-LV"/>
              </w:rPr>
              <w:t>u</w:t>
            </w:r>
            <w:r w:rsidR="00382B48" w:rsidRPr="00382B48">
              <w:rPr>
                <w:b/>
                <w:lang w:val="lv-LV"/>
              </w:rPr>
              <w:t xml:space="preserve"> </w:t>
            </w:r>
            <w:r w:rsidRPr="00382B48">
              <w:rPr>
                <w:b/>
                <w:lang w:val="lv-LV"/>
              </w:rPr>
              <w:t>gaļas, to izstrādājumu un</w:t>
            </w:r>
            <w:r w:rsidR="004B78BD" w:rsidRPr="00382B48">
              <w:rPr>
                <w:b/>
                <w:lang w:val="lv-LV"/>
              </w:rPr>
              <w:t xml:space="preserve"> to</w:t>
            </w:r>
            <w:r w:rsidRPr="00382B48">
              <w:rPr>
                <w:b/>
                <w:lang w:val="lv-LV"/>
              </w:rPr>
              <w:t xml:space="preserve"> produktu, kā arī jebk</w:t>
            </w:r>
            <w:r w:rsidR="00833CB3">
              <w:rPr>
                <w:b/>
                <w:lang w:val="lv-LV"/>
              </w:rPr>
              <w:t>uras</w:t>
            </w:r>
            <w:r w:rsidRPr="00382B48">
              <w:rPr>
                <w:b/>
                <w:lang w:val="lv-LV"/>
              </w:rPr>
              <w:t xml:space="preserve"> citas pārtikas, kas satur cūkgaļu, izplatīšanu</w:t>
            </w:r>
            <w:r w:rsidR="004B78BD" w:rsidRPr="00382B48">
              <w:rPr>
                <w:b/>
                <w:lang w:val="lv-LV"/>
              </w:rPr>
              <w:t xml:space="preserve"> </w:t>
            </w:r>
            <w:r w:rsidRPr="00382B48">
              <w:rPr>
                <w:b/>
                <w:lang w:val="lv-LV"/>
              </w:rPr>
              <w:t>Latvijas teritorijā, kā arī citā Eiropas Savienības dalībvalstī vai valstī, kas nav Eiropas Savienības dalībvalsts;</w:t>
            </w:r>
          </w:p>
          <w:p w:rsidR="00E315AC" w:rsidRPr="00382B48" w:rsidRDefault="00E315AC" w:rsidP="00E315AC">
            <w:pPr>
              <w:pStyle w:val="naisf"/>
              <w:spacing w:before="0" w:beforeAutospacing="0" w:after="0" w:afterAutospacing="0"/>
              <w:rPr>
                <w:b/>
                <w:lang w:val="lv-LV"/>
              </w:rPr>
            </w:pPr>
            <w:r w:rsidRPr="00382B48">
              <w:rPr>
                <w:b/>
                <w:lang w:val="lv-LV"/>
              </w:rPr>
              <w:t>2) mājas</w:t>
            </w:r>
            <w:r w:rsidR="00833CB3">
              <w:rPr>
                <w:b/>
                <w:lang w:val="lv-LV"/>
              </w:rPr>
              <w:t xml:space="preserve"> cūku un</w:t>
            </w:r>
            <w:r w:rsidRPr="00382B48">
              <w:rPr>
                <w:b/>
                <w:lang w:val="lv-LV"/>
              </w:rPr>
              <w:t xml:space="preserve"> mežacūk</w:t>
            </w:r>
            <w:r w:rsidR="00833CB3">
              <w:rPr>
                <w:b/>
                <w:lang w:val="lv-LV"/>
              </w:rPr>
              <w:t>u</w:t>
            </w:r>
            <w:r w:rsidR="00382B48" w:rsidRPr="00382B48">
              <w:rPr>
                <w:b/>
                <w:lang w:val="lv-LV"/>
              </w:rPr>
              <w:t xml:space="preserve"> </w:t>
            </w:r>
            <w:r w:rsidRPr="00382B48">
              <w:rPr>
                <w:b/>
                <w:lang w:val="lv-LV"/>
              </w:rPr>
              <w:t xml:space="preserve">gaļas, to izstrādājumu un </w:t>
            </w:r>
            <w:r w:rsidR="004B78BD" w:rsidRPr="00382B48">
              <w:rPr>
                <w:b/>
                <w:lang w:val="lv-LV"/>
              </w:rPr>
              <w:t xml:space="preserve">to </w:t>
            </w:r>
            <w:r w:rsidRPr="00382B48">
              <w:rPr>
                <w:b/>
                <w:lang w:val="lv-LV"/>
              </w:rPr>
              <w:t>produktu, kā arī jebk</w:t>
            </w:r>
            <w:r w:rsidR="00833CB3">
              <w:rPr>
                <w:b/>
                <w:lang w:val="lv-LV"/>
              </w:rPr>
              <w:t>uras</w:t>
            </w:r>
            <w:r w:rsidRPr="00382B48">
              <w:rPr>
                <w:b/>
                <w:lang w:val="lv-LV"/>
              </w:rPr>
              <w:t xml:space="preserve"> citas pārtikas, kas satur cūkgaļu, marķēšanu;</w:t>
            </w:r>
          </w:p>
          <w:p w:rsidR="00544022" w:rsidRPr="00382B48" w:rsidRDefault="00E315AC" w:rsidP="00E315AC">
            <w:pPr>
              <w:pStyle w:val="naisf"/>
              <w:spacing w:before="0" w:beforeAutospacing="0" w:after="0" w:afterAutospacing="0"/>
              <w:rPr>
                <w:b/>
                <w:lang w:val="lv-LV"/>
              </w:rPr>
            </w:pPr>
            <w:r w:rsidRPr="00382B48">
              <w:rPr>
                <w:b/>
                <w:lang w:val="lv-LV"/>
              </w:rPr>
              <w:t xml:space="preserve">3) </w:t>
            </w:r>
            <w:r w:rsidR="00833CB3">
              <w:rPr>
                <w:b/>
                <w:lang w:val="lv-LV"/>
              </w:rPr>
              <w:t xml:space="preserve">to </w:t>
            </w:r>
            <w:r w:rsidRPr="00382B48">
              <w:rPr>
                <w:b/>
                <w:lang w:val="lv-LV"/>
              </w:rPr>
              <w:t>transportlīdzekļu</w:t>
            </w:r>
            <w:r w:rsidR="00833CB3" w:rsidRPr="00382B48">
              <w:rPr>
                <w:b/>
                <w:lang w:val="lv-LV"/>
              </w:rPr>
              <w:t xml:space="preserve"> dezinfekciju</w:t>
            </w:r>
            <w:r w:rsidRPr="00382B48">
              <w:rPr>
                <w:b/>
                <w:lang w:val="lv-LV"/>
              </w:rPr>
              <w:t>, kas pārvadā blakusproduktus, k</w:t>
            </w:r>
            <w:r w:rsidR="00833CB3">
              <w:rPr>
                <w:b/>
                <w:lang w:val="lv-LV"/>
              </w:rPr>
              <w:t>uri</w:t>
            </w:r>
            <w:r w:rsidRPr="00382B48">
              <w:rPr>
                <w:b/>
                <w:lang w:val="lv-LV"/>
              </w:rPr>
              <w:t xml:space="preserve"> iegūti noteikumu projekt</w:t>
            </w:r>
            <w:r w:rsidR="00833CB3">
              <w:rPr>
                <w:b/>
                <w:lang w:val="lv-LV"/>
              </w:rPr>
              <w:t>a</w:t>
            </w:r>
            <w:r w:rsidRPr="00382B48">
              <w:rPr>
                <w:b/>
                <w:lang w:val="lv-LV"/>
              </w:rPr>
              <w:t xml:space="preserve"> 3.pielikumā minētajā</w:t>
            </w:r>
            <w:r w:rsidR="00833CB3">
              <w:rPr>
                <w:b/>
                <w:lang w:val="lv-LV"/>
              </w:rPr>
              <w:t>s</w:t>
            </w:r>
            <w:r w:rsidRPr="00382B48">
              <w:rPr>
                <w:b/>
                <w:lang w:val="lv-LV"/>
              </w:rPr>
              <w:t xml:space="preserve"> zon</w:t>
            </w:r>
            <w:r w:rsidR="00833CB3">
              <w:rPr>
                <w:b/>
                <w:lang w:val="lv-LV"/>
              </w:rPr>
              <w:t>ās</w:t>
            </w:r>
            <w:r w:rsidRPr="00382B48">
              <w:rPr>
                <w:b/>
                <w:lang w:val="lv-LV"/>
              </w:rPr>
              <w:t>.</w:t>
            </w:r>
          </w:p>
          <w:p w:rsidR="004B78BD" w:rsidRPr="00382B48" w:rsidRDefault="004B78BD" w:rsidP="00E315AC">
            <w:pPr>
              <w:pStyle w:val="naisf"/>
              <w:spacing w:before="0" w:beforeAutospacing="0" w:after="0" w:afterAutospacing="0"/>
              <w:rPr>
                <w:b/>
              </w:rPr>
            </w:pPr>
            <w:r w:rsidRPr="00382B48">
              <w:rPr>
                <w:b/>
                <w:lang w:val="lv-LV"/>
              </w:rPr>
              <w:t>Lēmums 2014/178/ES ir spēkā līdz 2017.gada 31.decembrim</w:t>
            </w:r>
            <w:r w:rsidRPr="00382B48">
              <w:rPr>
                <w:b/>
              </w:rPr>
              <w:t>.</w:t>
            </w:r>
          </w:p>
          <w:p w:rsidR="00382B48" w:rsidRDefault="00382B48" w:rsidP="00382B48">
            <w:pPr>
              <w:pStyle w:val="naisf"/>
              <w:spacing w:before="0" w:beforeAutospacing="0" w:after="0" w:afterAutospacing="0"/>
              <w:rPr>
                <w:b/>
                <w:lang w:val="lv-LV"/>
              </w:rPr>
            </w:pPr>
            <w:r w:rsidRPr="00382B48">
              <w:rPr>
                <w:b/>
                <w:lang w:val="lv-LV"/>
              </w:rPr>
              <w:t xml:space="preserve">Komisijas 2014.gada 31.jūlija </w:t>
            </w:r>
            <w:r w:rsidR="00833CB3">
              <w:rPr>
                <w:b/>
                <w:lang w:val="lv-LV"/>
              </w:rPr>
              <w:t>L</w:t>
            </w:r>
            <w:r w:rsidRPr="00382B48">
              <w:rPr>
                <w:b/>
                <w:lang w:val="lv-LV"/>
              </w:rPr>
              <w:t>ēmum</w:t>
            </w:r>
            <w:r w:rsidR="00833CB3">
              <w:rPr>
                <w:b/>
                <w:lang w:val="lv-LV"/>
              </w:rPr>
              <w:t>ā</w:t>
            </w:r>
            <w:r w:rsidRPr="00382B48">
              <w:rPr>
                <w:b/>
                <w:lang w:val="lv-LV"/>
              </w:rPr>
              <w:t xml:space="preserve"> Nr.2014/513/ES, ar ko Īstenošanas lēmuma 2014/178/ES pielikumu groza attiecībā uz Lietuvas, Latvijas un Igaunijas apgabaliem, uz kuriem attiecas ierobežojumi saistībā Āfrikas cūku mēri</w:t>
            </w:r>
            <w:r w:rsidR="00833CB3">
              <w:rPr>
                <w:b/>
                <w:lang w:val="lv-LV"/>
              </w:rPr>
              <w:t>,</w:t>
            </w:r>
            <w:r>
              <w:rPr>
                <w:b/>
                <w:lang w:val="lv-LV"/>
              </w:rPr>
              <w:t xml:space="preserve"> (turpmāk – </w:t>
            </w:r>
            <w:r w:rsidR="003F2C83">
              <w:rPr>
                <w:b/>
                <w:lang w:val="lv-LV"/>
              </w:rPr>
              <w:t>L</w:t>
            </w:r>
            <w:r>
              <w:rPr>
                <w:b/>
                <w:lang w:val="lv-LV"/>
              </w:rPr>
              <w:t>ēmums 2014/513/ES)</w:t>
            </w:r>
            <w:r w:rsidR="00833CB3">
              <w:rPr>
                <w:b/>
                <w:lang w:val="lv-LV"/>
              </w:rPr>
              <w:t xml:space="preserve"> n</w:t>
            </w:r>
            <w:r w:rsidRPr="00382B48">
              <w:rPr>
                <w:b/>
                <w:lang w:val="lv-LV"/>
              </w:rPr>
              <w:t>o</w:t>
            </w:r>
            <w:r w:rsidR="00833CB3">
              <w:rPr>
                <w:b/>
                <w:lang w:val="lv-LV"/>
              </w:rPr>
              <w:t>teiktas</w:t>
            </w:r>
            <w:r w:rsidRPr="00382B48">
              <w:rPr>
                <w:b/>
                <w:lang w:val="lv-LV"/>
              </w:rPr>
              <w:t xml:space="preserve"> Āfrikas cūku mēra riska teritorijas.</w:t>
            </w:r>
          </w:p>
          <w:p w:rsidR="006754C4" w:rsidRDefault="00D224F4" w:rsidP="00382B48">
            <w:pPr>
              <w:pStyle w:val="naisf"/>
              <w:spacing w:before="0" w:beforeAutospacing="0" w:after="0" w:afterAutospacing="0"/>
              <w:rPr>
                <w:b/>
                <w:color w:val="000000"/>
                <w:lang w:val="lv-LV"/>
              </w:rPr>
            </w:pPr>
            <w:r>
              <w:rPr>
                <w:rFonts w:eastAsia="Times New Roman"/>
                <w:b/>
                <w:lang w:val="lv-LV" w:eastAsia="lv-LV"/>
              </w:rPr>
              <w:t xml:space="preserve">Saskaņā ar </w:t>
            </w:r>
            <w:r w:rsidR="006754C4" w:rsidRPr="006754C4">
              <w:rPr>
                <w:rFonts w:eastAsia="Times New Roman"/>
                <w:b/>
                <w:lang w:val="lv-LV" w:eastAsia="lv-LV"/>
              </w:rPr>
              <w:t>Lēmum</w:t>
            </w:r>
            <w:r>
              <w:rPr>
                <w:rFonts w:eastAsia="Times New Roman"/>
                <w:b/>
                <w:lang w:val="lv-LV" w:eastAsia="lv-LV"/>
              </w:rPr>
              <w:t>u</w:t>
            </w:r>
            <w:r w:rsidR="006754C4" w:rsidRPr="006754C4">
              <w:rPr>
                <w:rFonts w:eastAsia="Times New Roman"/>
                <w:b/>
                <w:lang w:val="lv-LV" w:eastAsia="lv-LV"/>
              </w:rPr>
              <w:t xml:space="preserve"> 2014/178/ES</w:t>
            </w:r>
            <w:r>
              <w:rPr>
                <w:rFonts w:eastAsia="Times New Roman"/>
                <w:b/>
                <w:lang w:val="lv-LV" w:eastAsia="lv-LV"/>
              </w:rPr>
              <w:t>,</w:t>
            </w:r>
            <w:r w:rsidR="006754C4" w:rsidRPr="006754C4">
              <w:rPr>
                <w:rFonts w:eastAsia="Times New Roman"/>
                <w:b/>
                <w:lang w:val="lv-LV" w:eastAsia="lv-LV"/>
              </w:rPr>
              <w:t xml:space="preserve"> lai novērstu Āfrikas cūku mēra izplatīšanos uz citiem Eiropas Savienības apgabaliem un treš</w:t>
            </w:r>
            <w:r w:rsidR="004E30A5">
              <w:rPr>
                <w:rFonts w:eastAsia="Times New Roman"/>
                <w:b/>
                <w:lang w:val="lv-LV" w:eastAsia="lv-LV"/>
              </w:rPr>
              <w:t>aj</w:t>
            </w:r>
            <w:r w:rsidR="006754C4" w:rsidRPr="006754C4">
              <w:rPr>
                <w:rFonts w:eastAsia="Times New Roman"/>
                <w:b/>
                <w:lang w:val="lv-LV" w:eastAsia="lv-LV"/>
              </w:rPr>
              <w:t>ām valstīm, būtu lietderīgi noteikt, ka, nosūtot svaigu cūkgaļu, gaļas izstrādājumus un gaļas produktus, kuri satur cūkgaļu vai sastāv no cūkgaļas, kas iegūta dalībvalstīs, kuru apgabali uzskaitīti pielikumā, ir jāizpilda konkrēti stingrāki nosacījumi. Konkrētāk, šāda svaiga cūkgaļa, gaļas izstrādājumi un cūkgaļas produkti būtu jāmarķē ar īpašu marķējumu, kuru nevar sajaukt ar identifikācijas marķējumu, kas noteikts Eiropas Parlamenta un Padomes 2004.gada 29.aprīļa Regulā (EK) Nr.</w:t>
            </w:r>
            <w:hyperlink r:id="rId8" w:tgtFrame="_blank" w:tooltip="Atvērt regulas konsolidēto versiju" w:history="1">
              <w:r w:rsidR="006754C4" w:rsidRPr="006754C4">
                <w:rPr>
                  <w:rFonts w:eastAsia="Times New Roman"/>
                  <w:b/>
                  <w:lang w:val="lv-LV" w:eastAsia="lv-LV"/>
                </w:rPr>
                <w:t>853/2004</w:t>
              </w:r>
            </w:hyperlink>
            <w:r w:rsidR="006754C4" w:rsidRPr="006754C4">
              <w:rPr>
                <w:rFonts w:eastAsia="Times New Roman"/>
                <w:b/>
                <w:lang w:val="lv-LV" w:eastAsia="lv-LV"/>
              </w:rPr>
              <w:t xml:space="preserve">, ar ko nosaka īpašus higiēnas noteikumus attiecībā uz dzīvnieku izcelsmes pārtiku, un ar cūkgaļas veselības marķējumu, kas noteikts Eiropas Parlamenta un Padomes 2004.gada 29.aprīļa Regulā (EK) Nr.854/2004, ar </w:t>
            </w:r>
            <w:r w:rsidR="006754C4" w:rsidRPr="006754C4">
              <w:rPr>
                <w:rFonts w:eastAsia="Times New Roman"/>
                <w:b/>
                <w:lang w:val="lv-LV" w:eastAsia="lv-LV"/>
              </w:rPr>
              <w:lastRenderedPageBreak/>
              <w:t>ko paredz īpašus noteikumus par lietošanai pārtikā paredzētu dzīvnieku izcelsmes produktu oficiālās kontroles organizēšanu.</w:t>
            </w:r>
            <w:r w:rsidR="006754C4" w:rsidRPr="006754C4">
              <w:rPr>
                <w:b/>
                <w:color w:val="000000"/>
                <w:lang w:val="lv-LV"/>
              </w:rPr>
              <w:t xml:space="preserve"> Dalībvalsts nodrošina, ka svaigu gaļu, gaļas izstrādājumus un gaļas produktus, uz kuriem attiecas</w:t>
            </w:r>
            <w:r w:rsidR="006754C4" w:rsidRPr="006754C4">
              <w:rPr>
                <w:rFonts w:eastAsia="Times New Roman"/>
                <w:b/>
                <w:lang w:val="lv-LV" w:eastAsia="lv-LV"/>
              </w:rPr>
              <w:t xml:space="preserve"> Lēmuma 2014/178/ES </w:t>
            </w:r>
            <w:r w:rsidR="006754C4" w:rsidRPr="006754C4">
              <w:rPr>
                <w:b/>
                <w:color w:val="000000"/>
                <w:lang w:val="lv-LV"/>
              </w:rPr>
              <w:t>2., 9. un 13.pantā paredzētie aizliegumi, marķē ar īpašu veselības marķējumu, kurš nedrīkst būt ovāls. Noteikumu projekts paredz rombveida veselības marķējumu liemeņiem un rombveida identifikācijas marķējumu uz iepakojuma vai iesaiņojuma.</w:t>
            </w:r>
          </w:p>
          <w:p w:rsidR="003F2C83" w:rsidRPr="003F2C83" w:rsidRDefault="003F2C83" w:rsidP="003F2C83">
            <w:pPr>
              <w:pStyle w:val="naisf"/>
              <w:spacing w:before="0" w:beforeAutospacing="0" w:after="0" w:afterAutospacing="0"/>
              <w:rPr>
                <w:b/>
                <w:lang w:val="lv-LV"/>
              </w:rPr>
            </w:pPr>
            <w:r w:rsidRPr="003F2C83">
              <w:rPr>
                <w:b/>
                <w:lang w:val="lv-LV"/>
              </w:rPr>
              <w:t>Blakusprodukti var apdraudēt cilvēku un dzīvnieku veselību un vidi. Īpašās situācijās, jo sevišķi Āfrikas cūku mēra uzliesmojuma gadījumā, lai kontrolētu nopietnu lipīgas slimības uzliesmojumu, nepieciešama blakusproduktu (tostarp dzīvnieku līķu) ārkārtas apglabāšana. Šis risks ir atbilstoši jākontrolē un jāpiemēro stingri nosacījumi, kas samazina ar tiem saistītos draudus cilvēku un dzīvnieku veselībai un apkārtējai videi. Padomes Direktīvā 1999/31/EK (1999. gada 26. aprīlis) par atkritumu poligoniem ir minēti nosacījumi poligona turēšanas atļaujas izdošanai. Lai nodrošinātu blakusproduktu ātru likvidēšanu un novērstu slimību izplatīšanās risku vai epizootiskas slimības plašu uzliesmojumu, regulu Nr.1069/2009 un Nr.142/2011 nosacījumi paredz dzīvnieku izcelsmes blakusproduktu likvidēšanu atkritumu poligonos, kuriem izsniegta minētā atļauja.</w:t>
            </w:r>
          </w:p>
        </w:tc>
      </w:tr>
      <w:tr w:rsidR="001F592A" w:rsidRPr="001F592A" w:rsidTr="00000890">
        <w:tc>
          <w:tcPr>
            <w:tcW w:w="250" w:type="pct"/>
          </w:tcPr>
          <w:p w:rsidR="001F592A" w:rsidRPr="001F592A" w:rsidRDefault="001F592A" w:rsidP="001F592A">
            <w:pPr>
              <w:pStyle w:val="naisf"/>
              <w:rPr>
                <w:lang w:val="lv-LV"/>
              </w:rPr>
            </w:pPr>
            <w:r w:rsidRPr="001F592A">
              <w:rPr>
                <w:lang w:val="lv-LV"/>
              </w:rPr>
              <w:lastRenderedPageBreak/>
              <w:t>3.</w:t>
            </w:r>
          </w:p>
        </w:tc>
        <w:tc>
          <w:tcPr>
            <w:tcW w:w="1397" w:type="pct"/>
          </w:tcPr>
          <w:p w:rsidR="001F592A" w:rsidRPr="001F592A" w:rsidRDefault="001F592A" w:rsidP="001F592A">
            <w:pPr>
              <w:pStyle w:val="naisf"/>
              <w:rPr>
                <w:lang w:val="lv-LV"/>
              </w:rPr>
            </w:pPr>
            <w:r w:rsidRPr="001F592A">
              <w:rPr>
                <w:lang w:val="lv-LV"/>
              </w:rPr>
              <w:t>Projekta izstrādē iesaistītās institūcijas</w:t>
            </w:r>
          </w:p>
        </w:tc>
        <w:tc>
          <w:tcPr>
            <w:tcW w:w="3353" w:type="pct"/>
          </w:tcPr>
          <w:p w:rsidR="001F592A" w:rsidRPr="001F592A" w:rsidRDefault="001F592A" w:rsidP="001F592A">
            <w:pPr>
              <w:pStyle w:val="naisf"/>
              <w:rPr>
                <w:lang w:val="lv-LV"/>
              </w:rPr>
            </w:pPr>
            <w:r w:rsidRPr="001F592A">
              <w:rPr>
                <w:lang w:val="lv-LV"/>
              </w:rPr>
              <w:t>Pārtikas un veterinārais dienests</w:t>
            </w:r>
          </w:p>
        </w:tc>
      </w:tr>
      <w:tr w:rsidR="001F592A" w:rsidRPr="001F592A" w:rsidTr="00000890">
        <w:tc>
          <w:tcPr>
            <w:tcW w:w="250" w:type="pct"/>
          </w:tcPr>
          <w:p w:rsidR="001F592A" w:rsidRPr="001F592A" w:rsidRDefault="001F592A" w:rsidP="001F592A">
            <w:pPr>
              <w:pStyle w:val="naisf"/>
              <w:rPr>
                <w:lang w:val="lv-LV"/>
              </w:rPr>
            </w:pPr>
            <w:r w:rsidRPr="001F592A">
              <w:rPr>
                <w:lang w:val="lv-LV"/>
              </w:rPr>
              <w:t>4.</w:t>
            </w:r>
          </w:p>
        </w:tc>
        <w:tc>
          <w:tcPr>
            <w:tcW w:w="1397" w:type="pct"/>
          </w:tcPr>
          <w:p w:rsidR="001F592A" w:rsidRPr="001F592A" w:rsidRDefault="001F592A" w:rsidP="001F592A">
            <w:pPr>
              <w:pStyle w:val="naisf"/>
              <w:rPr>
                <w:lang w:val="lv-LV"/>
              </w:rPr>
            </w:pPr>
            <w:r w:rsidRPr="001F592A">
              <w:rPr>
                <w:lang w:val="lv-LV"/>
              </w:rPr>
              <w:t>Cita informācija</w:t>
            </w:r>
          </w:p>
        </w:tc>
        <w:tc>
          <w:tcPr>
            <w:tcW w:w="3353" w:type="pct"/>
          </w:tcPr>
          <w:p w:rsidR="001F592A" w:rsidRPr="001F592A" w:rsidRDefault="001F592A" w:rsidP="001F592A">
            <w:pPr>
              <w:pStyle w:val="naisf"/>
              <w:rPr>
                <w:lang w:val="lv-LV"/>
              </w:rPr>
            </w:pPr>
            <w:r w:rsidRPr="001F592A">
              <w:rPr>
                <w:lang w:val="lv-LV"/>
              </w:rPr>
              <w:t>Nav.</w:t>
            </w:r>
          </w:p>
        </w:tc>
      </w:tr>
    </w:tbl>
    <w:p w:rsidR="001F592A" w:rsidRPr="001F592A" w:rsidRDefault="001F592A" w:rsidP="001F592A">
      <w:pPr>
        <w:pStyle w:val="naisf"/>
        <w:spacing w:before="0" w:beforeAutospacing="0" w:after="0" w:afterAutospacing="0"/>
        <w:rPr>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1F592A" w:rsidRPr="00146346" w:rsidTr="00000890">
        <w:tc>
          <w:tcPr>
            <w:tcW w:w="0" w:type="auto"/>
            <w:gridSpan w:val="3"/>
            <w:tcBorders>
              <w:top w:val="outset" w:sz="6" w:space="0" w:color="auto"/>
              <w:left w:val="outset" w:sz="6" w:space="0" w:color="auto"/>
              <w:bottom w:val="outset" w:sz="6" w:space="0" w:color="auto"/>
              <w:right w:val="outset" w:sz="6" w:space="0" w:color="auto"/>
            </w:tcBorders>
          </w:tcPr>
          <w:p w:rsidR="001F592A" w:rsidRPr="001F592A" w:rsidRDefault="001F592A" w:rsidP="001F592A">
            <w:pPr>
              <w:pStyle w:val="naisf"/>
              <w:rPr>
                <w:b/>
                <w:lang w:val="lv-LV"/>
              </w:rPr>
            </w:pPr>
            <w:r w:rsidRPr="001F592A">
              <w:rPr>
                <w:b/>
                <w:lang w:val="lv-LV"/>
              </w:rPr>
              <w:t>II. Tiesību akta projekta ietekme uz sabiedrību,</w:t>
            </w:r>
            <w:r w:rsidRPr="001F592A">
              <w:rPr>
                <w:b/>
                <w:bCs/>
                <w:lang w:val="lv-LV"/>
              </w:rPr>
              <w:t xml:space="preserve"> tautsaimniecības attīstību un administratīvo slogu</w:t>
            </w:r>
          </w:p>
        </w:tc>
      </w:tr>
      <w:tr w:rsidR="00146346" w:rsidRPr="00146346" w:rsidTr="00146346">
        <w:tc>
          <w:tcPr>
            <w:tcW w:w="250" w:type="pct"/>
            <w:tcBorders>
              <w:top w:val="outset" w:sz="6" w:space="0" w:color="auto"/>
              <w:left w:val="outset" w:sz="6" w:space="0" w:color="auto"/>
              <w:right w:val="outset" w:sz="6" w:space="0" w:color="auto"/>
            </w:tcBorders>
          </w:tcPr>
          <w:p w:rsidR="00146346" w:rsidRPr="001F592A" w:rsidRDefault="00146346" w:rsidP="001F592A">
            <w:pPr>
              <w:pStyle w:val="naisf"/>
              <w:rPr>
                <w:lang w:val="lv-LV"/>
              </w:rPr>
            </w:pPr>
            <w:r w:rsidRPr="001F592A">
              <w:rPr>
                <w:lang w:val="lv-LV"/>
              </w:rPr>
              <w:t>1.</w:t>
            </w:r>
          </w:p>
        </w:tc>
        <w:tc>
          <w:tcPr>
            <w:tcW w:w="1397" w:type="pct"/>
            <w:tcBorders>
              <w:top w:val="outset" w:sz="6" w:space="0" w:color="auto"/>
              <w:left w:val="outset" w:sz="6" w:space="0" w:color="auto"/>
              <w:right w:val="outset" w:sz="6" w:space="0" w:color="auto"/>
            </w:tcBorders>
          </w:tcPr>
          <w:p w:rsidR="00146346" w:rsidRPr="001F592A" w:rsidRDefault="00146346" w:rsidP="001F592A">
            <w:pPr>
              <w:pStyle w:val="naisf"/>
              <w:rPr>
                <w:lang w:val="lv-LV"/>
              </w:rPr>
            </w:pPr>
            <w:r w:rsidRPr="001F592A">
              <w:rPr>
                <w:lang w:val="lv-LV"/>
              </w:rPr>
              <w:t>Sabiedrības mērķgrupas, kuras tiesiskais regulējums ietekmē vai varētu ietekmēt</w:t>
            </w:r>
          </w:p>
        </w:tc>
        <w:tc>
          <w:tcPr>
            <w:tcW w:w="3353" w:type="pct"/>
            <w:tcBorders>
              <w:top w:val="outset" w:sz="6" w:space="0" w:color="auto"/>
              <w:left w:val="outset" w:sz="6" w:space="0" w:color="auto"/>
              <w:right w:val="outset" w:sz="6" w:space="0" w:color="auto"/>
            </w:tcBorders>
          </w:tcPr>
          <w:p w:rsidR="00146346" w:rsidRPr="003F5589" w:rsidRDefault="00146346" w:rsidP="00A87422">
            <w:pPr>
              <w:pStyle w:val="Bezatstarpm"/>
              <w:jc w:val="both"/>
              <w:rPr>
                <w:rFonts w:ascii="Times New Roman" w:hAnsi="Times New Roman"/>
                <w:sz w:val="24"/>
                <w:szCs w:val="24"/>
              </w:rPr>
            </w:pPr>
            <w:r w:rsidRPr="003F5589">
              <w:rPr>
                <w:rFonts w:ascii="Times New Roman" w:hAnsi="Times New Roman"/>
                <w:sz w:val="24"/>
                <w:szCs w:val="24"/>
              </w:rPr>
              <w:t>Noteikumu projekta tiesiskais regulējums attiecas uz:</w:t>
            </w:r>
          </w:p>
          <w:p w:rsidR="00146346" w:rsidRDefault="00146346" w:rsidP="00A87422">
            <w:pPr>
              <w:pStyle w:val="Bezatstarpm"/>
              <w:jc w:val="both"/>
              <w:rPr>
                <w:rFonts w:ascii="Times New Roman" w:hAnsi="Times New Roman"/>
                <w:sz w:val="24"/>
                <w:szCs w:val="24"/>
              </w:rPr>
            </w:pPr>
            <w:r>
              <w:rPr>
                <w:rFonts w:ascii="Times New Roman" w:hAnsi="Times New Roman"/>
                <w:sz w:val="24"/>
                <w:szCs w:val="24"/>
              </w:rPr>
              <w:t xml:space="preserve">1. </w:t>
            </w:r>
            <w:r w:rsidRPr="003F5589">
              <w:rPr>
                <w:rFonts w:ascii="Times New Roman" w:hAnsi="Times New Roman"/>
                <w:sz w:val="24"/>
                <w:szCs w:val="24"/>
              </w:rPr>
              <w:t>lauksaimniecības dzīvnieku pārvadāšanas transportlīdzek</w:t>
            </w:r>
            <w:r>
              <w:rPr>
                <w:rFonts w:ascii="Times New Roman" w:hAnsi="Times New Roman"/>
                <w:sz w:val="24"/>
                <w:szCs w:val="24"/>
              </w:rPr>
              <w:t>-</w:t>
            </w:r>
            <w:r w:rsidRPr="003F5589">
              <w:rPr>
                <w:rFonts w:ascii="Times New Roman" w:hAnsi="Times New Roman"/>
                <w:sz w:val="24"/>
                <w:szCs w:val="24"/>
              </w:rPr>
              <w:t>ļu vadītājiem, kuri iebrauc no Krievijas Federācijas vai Baltkrievijas Republikas Latvijas Republikas teritorijā</w:t>
            </w:r>
            <w:r>
              <w:rPr>
                <w:rFonts w:ascii="Times New Roman" w:hAnsi="Times New Roman"/>
                <w:sz w:val="24"/>
                <w:szCs w:val="24"/>
              </w:rPr>
              <w:t>;</w:t>
            </w:r>
          </w:p>
          <w:p w:rsidR="00146346" w:rsidRPr="003F5589" w:rsidRDefault="00146346" w:rsidP="00A87422">
            <w:pPr>
              <w:pStyle w:val="Bezatstarpm"/>
              <w:jc w:val="both"/>
              <w:rPr>
                <w:rFonts w:ascii="Times New Roman" w:hAnsi="Times New Roman"/>
                <w:b/>
                <w:sz w:val="24"/>
                <w:szCs w:val="24"/>
              </w:rPr>
            </w:pPr>
            <w:r w:rsidRPr="003F5589">
              <w:rPr>
                <w:rFonts w:ascii="Times New Roman" w:hAnsi="Times New Roman"/>
                <w:b/>
                <w:sz w:val="24"/>
                <w:szCs w:val="24"/>
              </w:rPr>
              <w:t xml:space="preserve">2. cūku sugas dzīvnieku īpašniekiem, kuru novietnes atrodas ĀCM ārkārtējās situācijas zonā. </w:t>
            </w:r>
          </w:p>
        </w:tc>
      </w:tr>
      <w:tr w:rsidR="001F592A" w:rsidRPr="00146346" w:rsidTr="00146346">
        <w:tc>
          <w:tcPr>
            <w:tcW w:w="250" w:type="pct"/>
            <w:tcBorders>
              <w:top w:val="outset" w:sz="6" w:space="0" w:color="auto"/>
              <w:left w:val="outset" w:sz="6" w:space="0" w:color="auto"/>
              <w:right w:val="outset" w:sz="6" w:space="0" w:color="auto"/>
            </w:tcBorders>
          </w:tcPr>
          <w:p w:rsidR="001F592A" w:rsidRPr="001F592A" w:rsidRDefault="001F592A" w:rsidP="001F592A">
            <w:pPr>
              <w:pStyle w:val="naisf"/>
              <w:rPr>
                <w:lang w:val="lv-LV"/>
              </w:rPr>
            </w:pPr>
            <w:r w:rsidRPr="001F592A">
              <w:rPr>
                <w:lang w:val="lv-LV"/>
              </w:rPr>
              <w:t>2.</w:t>
            </w:r>
          </w:p>
        </w:tc>
        <w:tc>
          <w:tcPr>
            <w:tcW w:w="1397" w:type="pct"/>
            <w:tcBorders>
              <w:top w:val="outset" w:sz="6" w:space="0" w:color="auto"/>
              <w:left w:val="outset" w:sz="6" w:space="0" w:color="auto"/>
              <w:right w:val="outset" w:sz="6" w:space="0" w:color="auto"/>
            </w:tcBorders>
          </w:tcPr>
          <w:p w:rsidR="001F592A" w:rsidRPr="001F592A" w:rsidRDefault="001F592A" w:rsidP="001F592A">
            <w:pPr>
              <w:pStyle w:val="naisf"/>
              <w:rPr>
                <w:lang w:val="lv-LV"/>
              </w:rPr>
            </w:pPr>
            <w:r w:rsidRPr="001F592A">
              <w:rPr>
                <w:lang w:val="lv-LV"/>
              </w:rPr>
              <w:t>Tiesiskā regulējuma ietekme uz tautsaimniecību un administratīvo slogu</w:t>
            </w:r>
          </w:p>
        </w:tc>
        <w:tc>
          <w:tcPr>
            <w:tcW w:w="3353" w:type="pct"/>
            <w:tcBorders>
              <w:top w:val="outset" w:sz="6" w:space="0" w:color="auto"/>
              <w:left w:val="outset" w:sz="6" w:space="0" w:color="auto"/>
              <w:right w:val="outset" w:sz="6" w:space="0" w:color="auto"/>
            </w:tcBorders>
          </w:tcPr>
          <w:p w:rsidR="001F592A" w:rsidRPr="001F592A" w:rsidRDefault="001F592A" w:rsidP="001F592A">
            <w:pPr>
              <w:pStyle w:val="naisf"/>
              <w:rPr>
                <w:lang w:val="lv-LV"/>
              </w:rPr>
            </w:pPr>
            <w:r w:rsidRPr="001F592A">
              <w:rPr>
                <w:lang w:val="lv-LV"/>
              </w:rPr>
              <w:t>Noteikumu projekta tiesiskais regulējums nemaina līdzšinējo administratīvo procedūru, kas jāpiemēro dzīvnieku apritē iesaistītajām personām.</w:t>
            </w:r>
          </w:p>
        </w:tc>
      </w:tr>
      <w:tr w:rsidR="001F592A" w:rsidRPr="001F592A" w:rsidTr="00146346">
        <w:tc>
          <w:tcPr>
            <w:tcW w:w="250" w:type="pct"/>
            <w:tcBorders>
              <w:top w:val="outset" w:sz="6" w:space="0" w:color="auto"/>
              <w:left w:val="outset" w:sz="6" w:space="0" w:color="auto"/>
              <w:right w:val="outset" w:sz="6" w:space="0" w:color="auto"/>
            </w:tcBorders>
          </w:tcPr>
          <w:p w:rsidR="001F592A" w:rsidRPr="001F592A" w:rsidRDefault="001F592A" w:rsidP="001F592A">
            <w:pPr>
              <w:pStyle w:val="naisf"/>
              <w:rPr>
                <w:lang w:val="lv-LV"/>
              </w:rPr>
            </w:pPr>
            <w:r w:rsidRPr="001F592A">
              <w:rPr>
                <w:lang w:val="lv-LV"/>
              </w:rPr>
              <w:t>3.</w:t>
            </w:r>
          </w:p>
        </w:tc>
        <w:tc>
          <w:tcPr>
            <w:tcW w:w="1397" w:type="pct"/>
            <w:tcBorders>
              <w:top w:val="outset" w:sz="6" w:space="0" w:color="auto"/>
              <w:left w:val="outset" w:sz="6" w:space="0" w:color="auto"/>
              <w:right w:val="outset" w:sz="6" w:space="0" w:color="auto"/>
            </w:tcBorders>
          </w:tcPr>
          <w:p w:rsidR="001F592A" w:rsidRPr="001F592A" w:rsidRDefault="001F592A" w:rsidP="001F592A">
            <w:pPr>
              <w:pStyle w:val="naisf"/>
              <w:rPr>
                <w:lang w:val="lv-LV"/>
              </w:rPr>
            </w:pPr>
            <w:r w:rsidRPr="001F592A">
              <w:rPr>
                <w:lang w:val="lv-LV"/>
              </w:rPr>
              <w:t>Administratīvo izmaksu monetārs novērtējums</w:t>
            </w:r>
          </w:p>
        </w:tc>
        <w:tc>
          <w:tcPr>
            <w:tcW w:w="3353" w:type="pct"/>
            <w:tcBorders>
              <w:top w:val="outset" w:sz="6" w:space="0" w:color="auto"/>
              <w:left w:val="outset" w:sz="6" w:space="0" w:color="auto"/>
              <w:right w:val="outset" w:sz="6" w:space="0" w:color="auto"/>
            </w:tcBorders>
          </w:tcPr>
          <w:p w:rsidR="001F592A" w:rsidRPr="001F592A" w:rsidRDefault="001F592A" w:rsidP="001F592A">
            <w:pPr>
              <w:pStyle w:val="naisf"/>
              <w:rPr>
                <w:lang w:val="lv-LV"/>
              </w:rPr>
            </w:pPr>
            <w:r w:rsidRPr="001F592A">
              <w:rPr>
                <w:lang w:val="lv-LV"/>
              </w:rPr>
              <w:t>Projekts šo jomu neskar.</w:t>
            </w:r>
          </w:p>
        </w:tc>
      </w:tr>
      <w:tr w:rsidR="001F592A" w:rsidRPr="001F592A" w:rsidTr="00146346">
        <w:tc>
          <w:tcPr>
            <w:tcW w:w="250" w:type="pct"/>
            <w:tcBorders>
              <w:top w:val="outset" w:sz="6" w:space="0" w:color="auto"/>
              <w:left w:val="outset" w:sz="6" w:space="0" w:color="auto"/>
              <w:right w:val="outset" w:sz="6" w:space="0" w:color="auto"/>
            </w:tcBorders>
          </w:tcPr>
          <w:p w:rsidR="001F592A" w:rsidRPr="001F592A" w:rsidRDefault="001F592A" w:rsidP="001F592A">
            <w:pPr>
              <w:pStyle w:val="naisf"/>
              <w:rPr>
                <w:lang w:val="lv-LV"/>
              </w:rPr>
            </w:pPr>
            <w:r w:rsidRPr="001F592A">
              <w:rPr>
                <w:lang w:val="lv-LV"/>
              </w:rPr>
              <w:t>4.</w:t>
            </w:r>
          </w:p>
        </w:tc>
        <w:tc>
          <w:tcPr>
            <w:tcW w:w="1397" w:type="pct"/>
            <w:tcBorders>
              <w:top w:val="outset" w:sz="6" w:space="0" w:color="auto"/>
              <w:left w:val="outset" w:sz="6" w:space="0" w:color="auto"/>
              <w:right w:val="outset" w:sz="6" w:space="0" w:color="auto"/>
            </w:tcBorders>
          </w:tcPr>
          <w:p w:rsidR="001F592A" w:rsidRPr="001F592A" w:rsidRDefault="001F592A" w:rsidP="001F592A">
            <w:pPr>
              <w:pStyle w:val="naisf"/>
              <w:rPr>
                <w:lang w:val="lv-LV"/>
              </w:rPr>
            </w:pPr>
            <w:r w:rsidRPr="001F592A">
              <w:rPr>
                <w:lang w:val="lv-LV"/>
              </w:rPr>
              <w:t>Cita informācija</w:t>
            </w:r>
          </w:p>
        </w:tc>
        <w:tc>
          <w:tcPr>
            <w:tcW w:w="3353" w:type="pct"/>
            <w:tcBorders>
              <w:top w:val="outset" w:sz="6" w:space="0" w:color="auto"/>
              <w:left w:val="outset" w:sz="6" w:space="0" w:color="auto"/>
              <w:right w:val="outset" w:sz="6" w:space="0" w:color="auto"/>
            </w:tcBorders>
            <w:shd w:val="clear" w:color="auto" w:fill="auto"/>
          </w:tcPr>
          <w:p w:rsidR="001F592A" w:rsidRPr="001F592A" w:rsidRDefault="001F592A" w:rsidP="001F592A">
            <w:pPr>
              <w:pStyle w:val="naisf"/>
              <w:rPr>
                <w:lang w:val="lv-LV"/>
              </w:rPr>
            </w:pPr>
            <w:r w:rsidRPr="001F592A">
              <w:rPr>
                <w:lang w:val="lv-LV"/>
              </w:rPr>
              <w:t>Nav.</w:t>
            </w:r>
          </w:p>
        </w:tc>
      </w:tr>
    </w:tbl>
    <w:p w:rsidR="003642DA" w:rsidRDefault="003642DA" w:rsidP="001F592A">
      <w:pPr>
        <w:pStyle w:val="naisf"/>
        <w:spacing w:before="0" w:beforeAutospacing="0" w:after="0" w:afterAutospacing="0"/>
        <w:rPr>
          <w:i/>
          <w:lang w:val="lv-LV"/>
        </w:rPr>
      </w:pPr>
    </w:p>
    <w:p w:rsidR="001F592A" w:rsidRDefault="001F592A" w:rsidP="001F592A">
      <w:pPr>
        <w:pStyle w:val="naisf"/>
        <w:spacing w:before="0" w:beforeAutospacing="0" w:after="0" w:afterAutospacing="0"/>
        <w:rPr>
          <w:i/>
          <w:lang w:val="lv-LV"/>
        </w:rPr>
      </w:pPr>
      <w:r w:rsidRPr="001F592A">
        <w:rPr>
          <w:i/>
          <w:lang w:val="lv-LV"/>
        </w:rPr>
        <w:lastRenderedPageBreak/>
        <w:t>Anotācijas III un IV sadaļa – projekts šīs jomas neskar.</w:t>
      </w:r>
    </w:p>
    <w:p w:rsidR="003642DA" w:rsidRPr="001F592A" w:rsidRDefault="003642DA" w:rsidP="001F592A">
      <w:pPr>
        <w:pStyle w:val="naisf"/>
        <w:spacing w:before="0" w:beforeAutospacing="0" w:after="0" w:afterAutospacing="0"/>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90"/>
        <w:gridCol w:w="2276"/>
        <w:gridCol w:w="377"/>
        <w:gridCol w:w="1751"/>
        <w:gridCol w:w="1983"/>
        <w:gridCol w:w="2248"/>
        <w:gridCol w:w="15"/>
      </w:tblGrid>
      <w:tr w:rsidR="001F592A" w:rsidRPr="001F592A" w:rsidTr="004703EC">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1F592A" w:rsidRPr="001F592A" w:rsidRDefault="001F592A" w:rsidP="001F592A">
            <w:pPr>
              <w:pStyle w:val="naisf"/>
              <w:rPr>
                <w:b/>
                <w:bCs/>
                <w:lang w:val="lv-LV"/>
              </w:rPr>
            </w:pPr>
            <w:r w:rsidRPr="001F592A">
              <w:rPr>
                <w:b/>
                <w:bCs/>
                <w:lang w:val="lv-LV"/>
              </w:rPr>
              <w:t>V. Tiesību akta projekta atbilstība Latvijas Republikas starptautiskajām saistībām</w:t>
            </w:r>
          </w:p>
        </w:tc>
      </w:tr>
      <w:tr w:rsidR="001F592A" w:rsidRPr="00146346" w:rsidTr="004703E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rsidR="003642DA" w:rsidRDefault="003642DA" w:rsidP="003642DA">
            <w:pPr>
              <w:jc w:val="both"/>
              <w:rPr>
                <w:lang w:val="lv-LV"/>
              </w:rPr>
            </w:pPr>
            <w:r w:rsidRPr="003642DA">
              <w:rPr>
                <w:lang w:val="lv-LV"/>
              </w:rPr>
              <w:t>Noteikumu projekts saistīts ar šādu Eiropas Savienības tiesību aktu prasību ieviešanu:</w:t>
            </w:r>
            <w:r>
              <w:rPr>
                <w:lang w:val="lv-LV"/>
              </w:rPr>
              <w:t xml:space="preserve"> </w:t>
            </w:r>
          </w:p>
          <w:p w:rsidR="001F592A" w:rsidRDefault="003642DA" w:rsidP="003642DA">
            <w:pPr>
              <w:jc w:val="both"/>
              <w:rPr>
                <w:lang w:val="lv-LV"/>
              </w:rPr>
            </w:pPr>
            <w:r>
              <w:rPr>
                <w:lang w:val="lv-LV"/>
              </w:rPr>
              <w:t xml:space="preserve">1) </w:t>
            </w:r>
            <w:r w:rsidR="001F592A" w:rsidRPr="001F592A">
              <w:rPr>
                <w:lang w:val="lv-LV"/>
              </w:rPr>
              <w:t>Lēmum</w:t>
            </w:r>
            <w:r w:rsidR="00D224F4">
              <w:rPr>
                <w:lang w:val="lv-LV"/>
              </w:rPr>
              <w:t>u</w:t>
            </w:r>
            <w:r w:rsidR="001F592A" w:rsidRPr="001F592A">
              <w:rPr>
                <w:lang w:val="lv-LV"/>
              </w:rPr>
              <w:t xml:space="preserve"> 2014/84/ES</w:t>
            </w:r>
            <w:r>
              <w:rPr>
                <w:lang w:val="lv-LV"/>
              </w:rPr>
              <w:t>;</w:t>
            </w:r>
          </w:p>
          <w:p w:rsidR="003F2C83" w:rsidRPr="003F2C83" w:rsidRDefault="003F2C83" w:rsidP="003F2C83">
            <w:pPr>
              <w:jc w:val="both"/>
              <w:rPr>
                <w:b/>
                <w:lang w:val="lv-LV"/>
              </w:rPr>
            </w:pPr>
            <w:r w:rsidRPr="003F2C83">
              <w:rPr>
                <w:b/>
                <w:lang w:val="lv-LV"/>
              </w:rPr>
              <w:t>2) Lēmum</w:t>
            </w:r>
            <w:r w:rsidR="00D224F4">
              <w:rPr>
                <w:b/>
                <w:lang w:val="lv-LV"/>
              </w:rPr>
              <w:t>u</w:t>
            </w:r>
            <w:r w:rsidRPr="003F2C83">
              <w:rPr>
                <w:b/>
                <w:lang w:val="lv-LV"/>
              </w:rPr>
              <w:t xml:space="preserve"> 2014/178/ES;</w:t>
            </w:r>
          </w:p>
          <w:p w:rsidR="003642DA" w:rsidRPr="001F592A" w:rsidRDefault="003F2C83" w:rsidP="008D65D2">
            <w:pPr>
              <w:jc w:val="both"/>
              <w:rPr>
                <w:lang w:val="lv-LV"/>
              </w:rPr>
            </w:pPr>
            <w:r w:rsidRPr="003F2C83">
              <w:rPr>
                <w:b/>
                <w:lang w:val="lv-LV"/>
              </w:rPr>
              <w:t>3) Lēmum</w:t>
            </w:r>
            <w:r w:rsidR="00D224F4">
              <w:rPr>
                <w:b/>
                <w:lang w:val="lv-LV"/>
              </w:rPr>
              <w:t>u</w:t>
            </w:r>
            <w:r w:rsidRPr="003F2C83">
              <w:rPr>
                <w:b/>
                <w:lang w:val="lv-LV"/>
              </w:rPr>
              <w:t xml:space="preserve"> 2014/513</w:t>
            </w:r>
            <w:r w:rsidR="008D65D2">
              <w:rPr>
                <w:b/>
                <w:lang w:val="lv-LV"/>
              </w:rPr>
              <w:t>/ES</w:t>
            </w:r>
            <w:r w:rsidRPr="003F2C83">
              <w:rPr>
                <w:b/>
                <w:lang w:val="lv-LV"/>
              </w:rPr>
              <w:t>.</w:t>
            </w:r>
          </w:p>
        </w:tc>
      </w:tr>
      <w:tr w:rsidR="001F592A" w:rsidRPr="001F592A" w:rsidTr="004703E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Projekts šo jomu neskar.</w:t>
            </w:r>
          </w:p>
        </w:tc>
      </w:tr>
      <w:tr w:rsidR="001F592A" w:rsidRPr="001F592A" w:rsidTr="004703E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Nav.</w:t>
            </w:r>
          </w:p>
        </w:tc>
      </w:tr>
      <w:tr w:rsidR="001F592A" w:rsidRPr="001F592A" w:rsidTr="004703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rsidR="001F592A" w:rsidRPr="001F592A" w:rsidRDefault="001F592A" w:rsidP="001F592A">
            <w:pPr>
              <w:pStyle w:val="naisf"/>
              <w:rPr>
                <w:b/>
                <w:bCs/>
                <w:lang w:val="lv-LV"/>
              </w:rPr>
            </w:pPr>
            <w:r w:rsidRPr="001F592A">
              <w:rPr>
                <w:b/>
                <w:bCs/>
                <w:lang w:val="lv-LV"/>
              </w:rPr>
              <w:t>1.tabula</w:t>
            </w:r>
          </w:p>
          <w:p w:rsidR="001F592A" w:rsidRPr="001F592A" w:rsidRDefault="001F592A" w:rsidP="001F592A">
            <w:pPr>
              <w:pStyle w:val="naisf"/>
              <w:rPr>
                <w:b/>
                <w:bCs/>
                <w:i/>
                <w:lang w:val="lv-LV"/>
              </w:rPr>
            </w:pPr>
            <w:r w:rsidRPr="001F592A">
              <w:rPr>
                <w:b/>
                <w:bCs/>
                <w:lang w:val="lv-LV"/>
              </w:rPr>
              <w:t>Tiesību akta projekta atbilstība ES tiesību aktiem</w:t>
            </w:r>
          </w:p>
        </w:tc>
      </w:tr>
      <w:tr w:rsidR="001F592A" w:rsidRPr="001F592A" w:rsidTr="004703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rsidR="001F592A" w:rsidRPr="001F592A" w:rsidRDefault="001F592A" w:rsidP="001F592A">
            <w:pPr>
              <w:pStyle w:val="naisf"/>
              <w:rPr>
                <w:lang w:val="lv-LV"/>
              </w:rPr>
            </w:pPr>
            <w:r w:rsidRPr="001F592A">
              <w:rPr>
                <w:lang w:val="lv-LV"/>
              </w:rPr>
              <w:t>Attiecīgā ES tiesību akta datums, numurs un nosaukums</w:t>
            </w:r>
          </w:p>
        </w:tc>
        <w:tc>
          <w:tcPr>
            <w:tcW w:w="3484" w:type="pct"/>
            <w:gridSpan w:val="5"/>
          </w:tcPr>
          <w:p w:rsidR="003642DA" w:rsidRDefault="003642DA" w:rsidP="003642DA">
            <w:pPr>
              <w:jc w:val="both"/>
              <w:rPr>
                <w:lang w:val="lv-LV"/>
              </w:rPr>
            </w:pPr>
            <w:r>
              <w:rPr>
                <w:lang w:val="lv-LV"/>
              </w:rPr>
              <w:t xml:space="preserve">1) </w:t>
            </w:r>
            <w:r w:rsidRPr="001F592A">
              <w:rPr>
                <w:lang w:val="lv-LV"/>
              </w:rPr>
              <w:t>Lēmums 2014/84/ES</w:t>
            </w:r>
            <w:r>
              <w:rPr>
                <w:lang w:val="lv-LV"/>
              </w:rPr>
              <w:t>;</w:t>
            </w:r>
          </w:p>
          <w:p w:rsidR="003F2C83" w:rsidRPr="003F2C83" w:rsidRDefault="003F2C83" w:rsidP="003F2C83">
            <w:pPr>
              <w:pStyle w:val="naisf"/>
              <w:spacing w:before="0" w:beforeAutospacing="0" w:after="0" w:afterAutospacing="0"/>
              <w:rPr>
                <w:b/>
                <w:lang w:val="lv-LV"/>
              </w:rPr>
            </w:pPr>
            <w:r w:rsidRPr="003F2C83">
              <w:rPr>
                <w:b/>
                <w:lang w:val="lv-LV"/>
              </w:rPr>
              <w:t>2) Lēmums 2014/178/ES;</w:t>
            </w:r>
          </w:p>
          <w:p w:rsidR="001F592A" w:rsidRPr="001F592A" w:rsidRDefault="003F2C83" w:rsidP="008D65D2">
            <w:pPr>
              <w:pStyle w:val="naisf"/>
              <w:spacing w:before="0" w:beforeAutospacing="0" w:after="0" w:afterAutospacing="0"/>
              <w:rPr>
                <w:lang w:val="lv-LV"/>
              </w:rPr>
            </w:pPr>
            <w:r w:rsidRPr="003F2C83">
              <w:rPr>
                <w:b/>
                <w:lang w:val="lv-LV"/>
              </w:rPr>
              <w:t>3) Lēmums 2014/513</w:t>
            </w:r>
            <w:r w:rsidR="008D65D2">
              <w:rPr>
                <w:b/>
                <w:lang w:val="lv-LV"/>
              </w:rPr>
              <w:t>/ES</w:t>
            </w:r>
            <w:r w:rsidRPr="003F2C83">
              <w:rPr>
                <w:b/>
                <w:lang w:val="lv-LV"/>
              </w:rPr>
              <w:t>.</w:t>
            </w:r>
          </w:p>
        </w:tc>
      </w:tr>
      <w:tr w:rsidR="001F592A" w:rsidRPr="001F592A" w:rsidTr="004703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1F592A" w:rsidRPr="001F592A" w:rsidRDefault="001F592A" w:rsidP="001F592A">
            <w:pPr>
              <w:pStyle w:val="naisf"/>
              <w:rPr>
                <w:lang w:val="lv-LV"/>
              </w:rPr>
            </w:pPr>
            <w:r w:rsidRPr="001F592A">
              <w:rPr>
                <w:lang w:val="lv-LV"/>
              </w:rPr>
              <w:t>A</w:t>
            </w:r>
          </w:p>
        </w:tc>
        <w:tc>
          <w:tcPr>
            <w:tcW w:w="1163" w:type="pct"/>
            <w:gridSpan w:val="2"/>
            <w:vAlign w:val="center"/>
          </w:tcPr>
          <w:p w:rsidR="001F592A" w:rsidRPr="001F592A" w:rsidRDefault="001F592A" w:rsidP="001F592A">
            <w:pPr>
              <w:pStyle w:val="naisf"/>
              <w:rPr>
                <w:lang w:val="lv-LV"/>
              </w:rPr>
            </w:pPr>
            <w:r w:rsidRPr="001F592A">
              <w:rPr>
                <w:lang w:val="lv-LV"/>
              </w:rPr>
              <w:t>B</w:t>
            </w:r>
          </w:p>
        </w:tc>
        <w:tc>
          <w:tcPr>
            <w:tcW w:w="1084" w:type="pct"/>
            <w:vAlign w:val="center"/>
          </w:tcPr>
          <w:p w:rsidR="001F592A" w:rsidRPr="001F592A" w:rsidRDefault="001F592A" w:rsidP="001F592A">
            <w:pPr>
              <w:pStyle w:val="naisf"/>
              <w:rPr>
                <w:lang w:val="lv-LV"/>
              </w:rPr>
            </w:pPr>
            <w:r w:rsidRPr="001F592A">
              <w:rPr>
                <w:lang w:val="lv-LV"/>
              </w:rPr>
              <w:t>C</w:t>
            </w:r>
          </w:p>
        </w:tc>
        <w:tc>
          <w:tcPr>
            <w:tcW w:w="1237" w:type="pct"/>
            <w:gridSpan w:val="2"/>
            <w:vAlign w:val="center"/>
          </w:tcPr>
          <w:p w:rsidR="001F592A" w:rsidRPr="001F592A" w:rsidRDefault="001F592A" w:rsidP="001F592A">
            <w:pPr>
              <w:pStyle w:val="naisf"/>
              <w:rPr>
                <w:lang w:val="lv-LV"/>
              </w:rPr>
            </w:pPr>
            <w:r w:rsidRPr="001F592A">
              <w:rPr>
                <w:lang w:val="lv-LV"/>
              </w:rPr>
              <w:t>D</w:t>
            </w:r>
          </w:p>
        </w:tc>
      </w:tr>
      <w:tr w:rsidR="001F592A" w:rsidRPr="00146346" w:rsidTr="004703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1F592A" w:rsidRPr="001F592A" w:rsidRDefault="001F592A" w:rsidP="001F592A">
            <w:pPr>
              <w:pStyle w:val="naisf"/>
              <w:rPr>
                <w:lang w:val="lv-LV"/>
              </w:rPr>
            </w:pPr>
            <w:r w:rsidRPr="001F592A">
              <w:rPr>
                <w:lang w:val="lv-LV"/>
              </w:rPr>
              <w:t>Attiecīgā ES tiesību akta panta numurs (uzskaitot katru tiesību akta vienību – pantu, daļu, punktu, apakšpunktu)</w:t>
            </w:r>
          </w:p>
        </w:tc>
        <w:tc>
          <w:tcPr>
            <w:tcW w:w="1163" w:type="pct"/>
            <w:gridSpan w:val="2"/>
          </w:tcPr>
          <w:p w:rsidR="001F592A" w:rsidRPr="001F592A" w:rsidRDefault="001F592A" w:rsidP="001F592A">
            <w:pPr>
              <w:pStyle w:val="naisf"/>
              <w:rPr>
                <w:lang w:val="lv-LV"/>
              </w:rPr>
            </w:pPr>
            <w:r w:rsidRPr="001F592A">
              <w:rPr>
                <w:lang w:val="lv-LV"/>
              </w:rPr>
              <w:t>Projekta vienība, kas pārņem vai ievieš katru šīs tabulas A ailē minēto ES tiesību akta vienību, vai tiesību akts, kur attiecīgā ES tiesību akta vienība pārņemta vai ieviesta</w:t>
            </w:r>
          </w:p>
        </w:tc>
        <w:tc>
          <w:tcPr>
            <w:tcW w:w="1084" w:type="pct"/>
          </w:tcPr>
          <w:p w:rsidR="001F592A" w:rsidRPr="001F592A" w:rsidRDefault="001F592A" w:rsidP="001F592A">
            <w:pPr>
              <w:pStyle w:val="naisf"/>
              <w:rPr>
                <w:lang w:val="lv-LV"/>
              </w:rPr>
            </w:pPr>
            <w:r w:rsidRPr="001F592A">
              <w:rPr>
                <w:lang w:val="lv-LV"/>
              </w:rPr>
              <w:t>Informācija par to, vai šīs tabulas A ailē minētās ES tiesību akta vienības tiek pārņemtas vai ieviestas pilnībā vai daļēji.</w:t>
            </w:r>
          </w:p>
          <w:p w:rsidR="001F592A" w:rsidRPr="001F592A" w:rsidRDefault="001F592A" w:rsidP="001F592A">
            <w:pPr>
              <w:pStyle w:val="naisf"/>
              <w:rPr>
                <w:lang w:val="lv-LV"/>
              </w:rPr>
            </w:pPr>
            <w:r w:rsidRPr="001F592A">
              <w:rPr>
                <w:lang w:val="lv-LV"/>
              </w:rPr>
              <w:t>Ja attiecīgā ES tiesību akta vienība tiek pārņemta vai ieviesta daļēji,  sniedz attiecīgu skaidrojumu, kā arī precīzi norāda, kad un kādā veidā ES tiesību akta vienība tiks pārņemta vai ieviesta pilnībā.</w:t>
            </w:r>
          </w:p>
          <w:p w:rsidR="001F592A" w:rsidRPr="001F592A" w:rsidRDefault="001F592A" w:rsidP="001F592A">
            <w:pPr>
              <w:pStyle w:val="naisf"/>
              <w:rPr>
                <w:lang w:val="lv-LV"/>
              </w:rPr>
            </w:pPr>
            <w:r w:rsidRPr="001F592A">
              <w:rPr>
                <w:lang w:val="lv-LV"/>
              </w:rPr>
              <w:t>Norāda institūciju, kas ir atbildīga par šo saistību izpildi pilnībā</w:t>
            </w:r>
          </w:p>
        </w:tc>
        <w:tc>
          <w:tcPr>
            <w:tcW w:w="1237" w:type="pct"/>
            <w:gridSpan w:val="2"/>
            <w:vAlign w:val="center"/>
          </w:tcPr>
          <w:p w:rsidR="001F592A" w:rsidRPr="001F592A" w:rsidRDefault="001F592A" w:rsidP="001F592A">
            <w:pPr>
              <w:pStyle w:val="naisf"/>
              <w:rPr>
                <w:lang w:val="lv-LV"/>
              </w:rPr>
            </w:pPr>
            <w:r w:rsidRPr="001F592A">
              <w:rPr>
                <w:lang w:val="lv-LV"/>
              </w:rPr>
              <w:t>Informācija par to, vai šīs tabulas B ailē minētās projekta vienības paredz stingrākas prasības nekā šīs tabulas A ailē minētās ES tiesību akta vienības.</w:t>
            </w:r>
          </w:p>
          <w:p w:rsidR="001F592A" w:rsidRPr="001F592A" w:rsidRDefault="001F592A" w:rsidP="001F592A">
            <w:pPr>
              <w:pStyle w:val="naisf"/>
              <w:rPr>
                <w:lang w:val="lv-LV"/>
              </w:rPr>
            </w:pPr>
            <w:r w:rsidRPr="001F592A">
              <w:rPr>
                <w:lang w:val="lv-LV"/>
              </w:rPr>
              <w:t>Ja projekts satur stingrākas prasības nekā attiecīgais ES tiesību akts, norāda pamatojumu un samērīgumu.</w:t>
            </w:r>
          </w:p>
          <w:p w:rsidR="001F592A" w:rsidRPr="001F592A" w:rsidRDefault="001F592A" w:rsidP="001F592A">
            <w:pPr>
              <w:pStyle w:val="naisf"/>
              <w:rPr>
                <w:lang w:val="lv-LV"/>
              </w:rPr>
            </w:pPr>
            <w:r w:rsidRPr="001F592A">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0A449C" w:rsidRPr="004E30A5" w:rsidTr="007B51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0A449C" w:rsidRPr="000A449C" w:rsidRDefault="000A449C" w:rsidP="000A449C">
            <w:pPr>
              <w:rPr>
                <w:b/>
                <w:lang w:val="lv-LV"/>
              </w:rPr>
            </w:pPr>
            <w:r w:rsidRPr="000A449C">
              <w:rPr>
                <w:b/>
                <w:lang w:val="lv-LV"/>
              </w:rPr>
              <w:t xml:space="preserve">Regulas Nr.1069/2009 19.panta 1.punkta „a”, „b”, „c”, „e” un „f” </w:t>
            </w:r>
            <w:r w:rsidRPr="000A449C">
              <w:rPr>
                <w:b/>
                <w:lang w:val="lv-LV"/>
              </w:rPr>
              <w:lastRenderedPageBreak/>
              <w:t xml:space="preserve">apakšpunkts </w:t>
            </w:r>
          </w:p>
          <w:p w:rsidR="000A449C" w:rsidRPr="000A449C" w:rsidRDefault="000A449C" w:rsidP="000A449C">
            <w:pPr>
              <w:pStyle w:val="naisf"/>
              <w:spacing w:before="0" w:beforeAutospacing="0" w:after="0" w:afterAutospacing="0"/>
              <w:rPr>
                <w:b/>
                <w:lang w:val="lv-LV"/>
              </w:rPr>
            </w:pPr>
            <w:r w:rsidRPr="000A449C">
              <w:rPr>
                <w:b/>
                <w:lang w:val="lv-LV"/>
              </w:rPr>
              <w:t xml:space="preserve">Regulas Nr.142/2011 VI pielikuma III nodaļas 1.iedaļas 1.punkta „b” apakšpunkts </w:t>
            </w:r>
          </w:p>
        </w:tc>
        <w:tc>
          <w:tcPr>
            <w:tcW w:w="1163" w:type="pct"/>
            <w:gridSpan w:val="2"/>
          </w:tcPr>
          <w:p w:rsidR="000A449C" w:rsidRPr="000A449C" w:rsidRDefault="000A449C" w:rsidP="000A449C">
            <w:pPr>
              <w:rPr>
                <w:b/>
                <w:lang w:val="lv-LV"/>
              </w:rPr>
            </w:pPr>
            <w:r w:rsidRPr="000A449C">
              <w:rPr>
                <w:b/>
                <w:lang w:val="lv-LV"/>
              </w:rPr>
              <w:lastRenderedPageBreak/>
              <w:t xml:space="preserve">1.punkts </w:t>
            </w:r>
          </w:p>
          <w:p w:rsidR="000A449C" w:rsidRPr="000A449C" w:rsidRDefault="000A449C" w:rsidP="000A449C">
            <w:pPr>
              <w:pStyle w:val="naisf"/>
              <w:spacing w:before="0" w:beforeAutospacing="0" w:after="0" w:afterAutospacing="0"/>
              <w:rPr>
                <w:b/>
                <w:lang w:val="lv-LV"/>
              </w:rPr>
            </w:pPr>
          </w:p>
        </w:tc>
        <w:tc>
          <w:tcPr>
            <w:tcW w:w="1084" w:type="pct"/>
          </w:tcPr>
          <w:p w:rsidR="000A449C" w:rsidRPr="000A449C" w:rsidRDefault="000A449C" w:rsidP="000A449C">
            <w:pPr>
              <w:jc w:val="both"/>
              <w:rPr>
                <w:b/>
                <w:lang w:val="lv-LV"/>
              </w:rPr>
            </w:pPr>
            <w:r w:rsidRPr="000A449C">
              <w:rPr>
                <w:b/>
                <w:lang w:val="lv-LV"/>
              </w:rPr>
              <w:t xml:space="preserve">Norma ieviesta pilnībā. Atbilst Regulas </w:t>
            </w:r>
            <w:r w:rsidRPr="000A449C">
              <w:rPr>
                <w:b/>
                <w:lang w:val="lv-LV"/>
              </w:rPr>
              <w:lastRenderedPageBreak/>
              <w:t>Nr.142/2011 VI pielikuma III nodaļas 1.iedaļas 1.punkta „b” apakšpunktā noteiktajām prasībām.</w:t>
            </w:r>
          </w:p>
          <w:p w:rsidR="000A449C" w:rsidRPr="000A449C" w:rsidRDefault="000A449C" w:rsidP="000A449C">
            <w:pPr>
              <w:pStyle w:val="naisf"/>
              <w:spacing w:before="0" w:beforeAutospacing="0" w:after="0" w:afterAutospacing="0"/>
              <w:rPr>
                <w:lang w:val="lv-LV"/>
              </w:rPr>
            </w:pPr>
            <w:r w:rsidRPr="000A449C">
              <w:rPr>
                <w:b/>
                <w:lang w:val="lv-LV"/>
              </w:rPr>
              <w:t>Noteikumu prasību izpildes kontroli un uzraudzību nodrošina Pārtikas un veterinārais dienests.</w:t>
            </w:r>
          </w:p>
        </w:tc>
        <w:tc>
          <w:tcPr>
            <w:tcW w:w="1237" w:type="pct"/>
            <w:gridSpan w:val="2"/>
          </w:tcPr>
          <w:p w:rsidR="000A449C" w:rsidRPr="000A449C" w:rsidRDefault="004E30A5" w:rsidP="004E30A5">
            <w:pPr>
              <w:pStyle w:val="naisf"/>
              <w:spacing w:before="0" w:beforeAutospacing="0" w:after="0" w:afterAutospacing="0"/>
              <w:rPr>
                <w:b/>
                <w:lang w:val="lv-LV"/>
              </w:rPr>
            </w:pPr>
            <w:r>
              <w:rPr>
                <w:b/>
                <w:lang w:val="lv-LV"/>
              </w:rPr>
              <w:lastRenderedPageBreak/>
              <w:t>N</w:t>
            </w:r>
            <w:r w:rsidR="000A449C" w:rsidRPr="000A449C">
              <w:rPr>
                <w:b/>
                <w:lang w:val="lv-LV"/>
              </w:rPr>
              <w:t>eparedz stingrākas prasības.</w:t>
            </w:r>
          </w:p>
        </w:tc>
      </w:tr>
      <w:tr w:rsidR="000A449C" w:rsidRPr="004E30A5" w:rsidTr="004703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0A449C" w:rsidRPr="001F592A" w:rsidRDefault="000A449C" w:rsidP="001F592A">
            <w:pPr>
              <w:pStyle w:val="naisf"/>
              <w:rPr>
                <w:lang w:val="lv-LV"/>
              </w:rPr>
            </w:pPr>
            <w:r w:rsidRPr="001F592A">
              <w:rPr>
                <w:lang w:val="lv-LV"/>
              </w:rPr>
              <w:lastRenderedPageBreak/>
              <w:t>Lēmuma 2014/84/ES 1.panta 1.punkts un 2.punkts</w:t>
            </w:r>
          </w:p>
        </w:tc>
        <w:tc>
          <w:tcPr>
            <w:tcW w:w="1163" w:type="pct"/>
            <w:gridSpan w:val="2"/>
            <w:vAlign w:val="center"/>
          </w:tcPr>
          <w:p w:rsidR="000A449C" w:rsidRPr="000A449C" w:rsidRDefault="000A449C" w:rsidP="000A449C">
            <w:pPr>
              <w:pStyle w:val="naisf"/>
              <w:rPr>
                <w:b/>
                <w:lang w:val="lv-LV"/>
              </w:rPr>
            </w:pPr>
            <w:r w:rsidRPr="000A449C">
              <w:rPr>
                <w:b/>
                <w:lang w:val="lv-LV"/>
              </w:rPr>
              <w:t>4.punkts</w:t>
            </w:r>
          </w:p>
        </w:tc>
        <w:tc>
          <w:tcPr>
            <w:tcW w:w="1084" w:type="pct"/>
          </w:tcPr>
          <w:p w:rsidR="000A449C" w:rsidRPr="001F592A" w:rsidRDefault="000A449C" w:rsidP="001F592A">
            <w:pPr>
              <w:pStyle w:val="naisf"/>
              <w:rPr>
                <w:lang w:val="lv-LV"/>
              </w:rPr>
            </w:pPr>
            <w:r w:rsidRPr="001F592A">
              <w:rPr>
                <w:lang w:val="lv-LV"/>
              </w:rPr>
              <w:t>ES tiesību akta vienība tiek ieviesta pilnībā.</w:t>
            </w:r>
          </w:p>
        </w:tc>
        <w:tc>
          <w:tcPr>
            <w:tcW w:w="1237" w:type="pct"/>
            <w:gridSpan w:val="2"/>
          </w:tcPr>
          <w:p w:rsidR="000A449C" w:rsidRPr="001F592A" w:rsidRDefault="004E30A5" w:rsidP="004E30A5">
            <w:pPr>
              <w:pStyle w:val="naisf"/>
              <w:rPr>
                <w:lang w:val="lv-LV"/>
              </w:rPr>
            </w:pPr>
            <w:r>
              <w:rPr>
                <w:lang w:val="lv-LV"/>
              </w:rPr>
              <w:t>N</w:t>
            </w:r>
            <w:r w:rsidR="000A449C" w:rsidRPr="001F592A">
              <w:rPr>
                <w:lang w:val="lv-LV"/>
              </w:rPr>
              <w:t>eparedz stingrākas prasības.</w:t>
            </w:r>
          </w:p>
        </w:tc>
      </w:tr>
      <w:tr w:rsidR="000A449C" w:rsidRPr="006754C4" w:rsidTr="005B486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0A449C" w:rsidRPr="001F592A" w:rsidRDefault="000A449C" w:rsidP="001F592A">
            <w:pPr>
              <w:pStyle w:val="naisf"/>
              <w:rPr>
                <w:lang w:val="lv-LV"/>
              </w:rPr>
            </w:pPr>
            <w:r w:rsidRPr="001F592A">
              <w:rPr>
                <w:lang w:val="lv-LV"/>
              </w:rPr>
              <w:t>Lēmuma 2014/84/ES 1.panta 3.punkta „a” apakšpunkts</w:t>
            </w:r>
          </w:p>
        </w:tc>
        <w:tc>
          <w:tcPr>
            <w:tcW w:w="1163" w:type="pct"/>
            <w:gridSpan w:val="2"/>
          </w:tcPr>
          <w:p w:rsidR="000A449C" w:rsidRPr="000A449C" w:rsidRDefault="004E30A5" w:rsidP="004E30A5">
            <w:pPr>
              <w:ind w:left="57"/>
              <w:rPr>
                <w:b/>
                <w:lang w:val="lv-LV"/>
              </w:rPr>
            </w:pPr>
            <w:r>
              <w:rPr>
                <w:b/>
                <w:lang w:val="lv-LV"/>
              </w:rPr>
              <w:t>6.punkts</w:t>
            </w:r>
          </w:p>
        </w:tc>
        <w:tc>
          <w:tcPr>
            <w:tcW w:w="1084" w:type="pct"/>
          </w:tcPr>
          <w:p w:rsidR="000A449C" w:rsidRPr="000A449C" w:rsidRDefault="000A449C" w:rsidP="004E30A5">
            <w:pPr>
              <w:pStyle w:val="naisc"/>
              <w:spacing w:before="0" w:after="0"/>
              <w:jc w:val="both"/>
              <w:rPr>
                <w:b/>
                <w:sz w:val="24"/>
                <w:szCs w:val="24"/>
                <w:lang w:val="lv-LV"/>
              </w:rPr>
            </w:pPr>
            <w:r w:rsidRPr="000A449C">
              <w:rPr>
                <w:b/>
                <w:sz w:val="24"/>
                <w:szCs w:val="24"/>
                <w:lang w:val="lv-LV"/>
              </w:rPr>
              <w:t>Šīs tabulas A ailē minētā ES tiesību akta vienība netiks pārņem</w:t>
            </w:r>
            <w:r w:rsidR="004E30A5">
              <w:rPr>
                <w:b/>
                <w:sz w:val="24"/>
                <w:szCs w:val="24"/>
                <w:lang w:val="lv-LV"/>
              </w:rPr>
              <w:t>t</w:t>
            </w:r>
            <w:r>
              <w:rPr>
                <w:b/>
                <w:sz w:val="24"/>
                <w:szCs w:val="24"/>
                <w:lang w:val="lv-LV"/>
              </w:rPr>
              <w:t>a</w:t>
            </w:r>
            <w:r w:rsidRPr="000A449C">
              <w:rPr>
                <w:b/>
                <w:sz w:val="24"/>
                <w:szCs w:val="24"/>
                <w:lang w:val="lv-LV"/>
              </w:rPr>
              <w:t xml:space="preserve"> veikta, jo Latvijā ir Āfrikas cūku mēra uzliesmo</w:t>
            </w:r>
            <w:r w:rsidR="004E30A5">
              <w:rPr>
                <w:b/>
                <w:sz w:val="24"/>
                <w:szCs w:val="24"/>
                <w:lang w:val="lv-LV"/>
              </w:rPr>
              <w:t>-</w:t>
            </w:r>
            <w:r w:rsidRPr="000A449C">
              <w:rPr>
                <w:b/>
                <w:sz w:val="24"/>
                <w:szCs w:val="24"/>
                <w:lang w:val="lv-LV"/>
              </w:rPr>
              <w:t>jums, līdz ar to</w:t>
            </w:r>
            <w:r w:rsidR="004E30A5">
              <w:rPr>
                <w:b/>
                <w:sz w:val="24"/>
                <w:szCs w:val="24"/>
                <w:lang w:val="lv-LV"/>
              </w:rPr>
              <w:t xml:space="preserve">, ja transportlīdzeklim mazgāšanas un dezinfekcijas procedūra būs veikta neapmieri-noši, </w:t>
            </w:r>
            <w:r w:rsidRPr="000A449C">
              <w:rPr>
                <w:b/>
                <w:sz w:val="24"/>
                <w:szCs w:val="24"/>
                <w:lang w:val="lv-LV"/>
              </w:rPr>
              <w:t>transportlī</w:t>
            </w:r>
            <w:r w:rsidR="004E30A5">
              <w:rPr>
                <w:b/>
                <w:sz w:val="24"/>
                <w:szCs w:val="24"/>
                <w:lang w:val="lv-LV"/>
              </w:rPr>
              <w:t>-</w:t>
            </w:r>
            <w:r w:rsidRPr="000A449C">
              <w:rPr>
                <w:b/>
                <w:sz w:val="24"/>
                <w:szCs w:val="24"/>
                <w:lang w:val="lv-LV"/>
              </w:rPr>
              <w:t xml:space="preserve">dzeklis tiks nosūtīts atpakaļ uz Krievijas Federāciju </w:t>
            </w:r>
            <w:r w:rsidR="004E30A5">
              <w:rPr>
                <w:b/>
                <w:sz w:val="24"/>
                <w:szCs w:val="24"/>
                <w:lang w:val="lv-LV"/>
              </w:rPr>
              <w:t>vai</w:t>
            </w:r>
            <w:r w:rsidRPr="000A449C">
              <w:rPr>
                <w:b/>
                <w:sz w:val="24"/>
                <w:szCs w:val="24"/>
                <w:lang w:val="lv-LV"/>
              </w:rPr>
              <w:t xml:space="preserve"> Baltkrievijas Republiku.</w:t>
            </w:r>
          </w:p>
        </w:tc>
        <w:tc>
          <w:tcPr>
            <w:tcW w:w="1237" w:type="pct"/>
            <w:gridSpan w:val="2"/>
          </w:tcPr>
          <w:p w:rsidR="000A449C" w:rsidRPr="000A449C" w:rsidRDefault="000A449C" w:rsidP="000A449C">
            <w:pPr>
              <w:rPr>
                <w:b/>
                <w:lang w:val="lv-LV"/>
              </w:rPr>
            </w:pPr>
            <w:r w:rsidRPr="000A449C">
              <w:rPr>
                <w:b/>
                <w:lang w:val="lv-LV"/>
              </w:rPr>
              <w:t>P</w:t>
            </w:r>
            <w:r>
              <w:rPr>
                <w:b/>
                <w:lang w:val="lv-LV"/>
              </w:rPr>
              <w:t>aredz stingrākas prasības.</w:t>
            </w:r>
          </w:p>
        </w:tc>
      </w:tr>
      <w:tr w:rsidR="000A449C" w:rsidRPr="004E30A5" w:rsidTr="004703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0A449C" w:rsidRPr="001F592A" w:rsidRDefault="000A449C" w:rsidP="001F592A">
            <w:pPr>
              <w:pStyle w:val="naisf"/>
              <w:rPr>
                <w:lang w:val="lv-LV"/>
              </w:rPr>
            </w:pPr>
            <w:r w:rsidRPr="001F592A">
              <w:rPr>
                <w:lang w:val="lv-LV"/>
              </w:rPr>
              <w:t>Lēmuma 2014/84/ES 1.panta 3.punkta „b” apakšpunkts</w:t>
            </w:r>
          </w:p>
        </w:tc>
        <w:tc>
          <w:tcPr>
            <w:tcW w:w="1163" w:type="pct"/>
            <w:gridSpan w:val="2"/>
            <w:vAlign w:val="center"/>
          </w:tcPr>
          <w:p w:rsidR="000A449C" w:rsidRPr="000A449C" w:rsidRDefault="000A449C" w:rsidP="001F592A">
            <w:pPr>
              <w:pStyle w:val="naisf"/>
              <w:rPr>
                <w:b/>
                <w:lang w:val="lv-LV"/>
              </w:rPr>
            </w:pPr>
            <w:r w:rsidRPr="000A449C">
              <w:rPr>
                <w:b/>
                <w:lang w:val="lv-LV"/>
              </w:rPr>
              <w:t>7.punkts</w:t>
            </w:r>
          </w:p>
        </w:tc>
        <w:tc>
          <w:tcPr>
            <w:tcW w:w="1084" w:type="pct"/>
          </w:tcPr>
          <w:p w:rsidR="000A449C" w:rsidRPr="001F592A" w:rsidRDefault="004E30A5" w:rsidP="001F592A">
            <w:pPr>
              <w:pStyle w:val="naisf"/>
              <w:rPr>
                <w:lang w:val="lv-LV"/>
              </w:rPr>
            </w:pPr>
            <w:r>
              <w:rPr>
                <w:lang w:val="lv-LV"/>
              </w:rPr>
              <w:t>I</w:t>
            </w:r>
            <w:r w:rsidR="000A449C" w:rsidRPr="001F592A">
              <w:rPr>
                <w:lang w:val="lv-LV"/>
              </w:rPr>
              <w:t>eviesta pilnībā.</w:t>
            </w:r>
          </w:p>
        </w:tc>
        <w:tc>
          <w:tcPr>
            <w:tcW w:w="1237" w:type="pct"/>
            <w:gridSpan w:val="2"/>
          </w:tcPr>
          <w:p w:rsidR="000A449C" w:rsidRPr="001F592A" w:rsidRDefault="004E30A5" w:rsidP="004E30A5">
            <w:pPr>
              <w:pStyle w:val="naisf"/>
              <w:rPr>
                <w:lang w:val="lv-LV"/>
              </w:rPr>
            </w:pPr>
            <w:r>
              <w:rPr>
                <w:lang w:val="lv-LV"/>
              </w:rPr>
              <w:t>N</w:t>
            </w:r>
            <w:r w:rsidR="000A449C" w:rsidRPr="001F592A">
              <w:rPr>
                <w:lang w:val="lv-LV"/>
              </w:rPr>
              <w:t>eparedz stingrākas prasības.</w:t>
            </w:r>
          </w:p>
        </w:tc>
      </w:tr>
      <w:tr w:rsidR="000A449C" w:rsidRPr="004E30A5" w:rsidTr="004703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0A449C" w:rsidRPr="001F592A" w:rsidRDefault="000A449C" w:rsidP="001F592A">
            <w:pPr>
              <w:pStyle w:val="naisf"/>
              <w:rPr>
                <w:lang w:val="lv-LV"/>
              </w:rPr>
            </w:pPr>
            <w:r w:rsidRPr="001F592A">
              <w:rPr>
                <w:lang w:val="lv-LV"/>
              </w:rPr>
              <w:t>Lēmuma 2014/84/ES 1.panta 4.punkts</w:t>
            </w:r>
          </w:p>
        </w:tc>
        <w:tc>
          <w:tcPr>
            <w:tcW w:w="1163" w:type="pct"/>
            <w:gridSpan w:val="2"/>
            <w:vAlign w:val="center"/>
          </w:tcPr>
          <w:p w:rsidR="000A449C" w:rsidRPr="000A449C" w:rsidRDefault="000A449C" w:rsidP="000A449C">
            <w:pPr>
              <w:pStyle w:val="naisf"/>
              <w:rPr>
                <w:b/>
                <w:lang w:val="lv-LV"/>
              </w:rPr>
            </w:pPr>
            <w:r w:rsidRPr="000A449C">
              <w:rPr>
                <w:b/>
                <w:lang w:val="lv-LV"/>
              </w:rPr>
              <w:t>10.punkts</w:t>
            </w:r>
          </w:p>
        </w:tc>
        <w:tc>
          <w:tcPr>
            <w:tcW w:w="1084" w:type="pct"/>
          </w:tcPr>
          <w:p w:rsidR="000A449C" w:rsidRPr="001F592A" w:rsidRDefault="004E30A5" w:rsidP="001F592A">
            <w:pPr>
              <w:pStyle w:val="naisf"/>
              <w:rPr>
                <w:lang w:val="lv-LV"/>
              </w:rPr>
            </w:pPr>
            <w:r>
              <w:rPr>
                <w:lang w:val="lv-LV"/>
              </w:rPr>
              <w:t>I</w:t>
            </w:r>
            <w:r w:rsidR="000A449C" w:rsidRPr="001F592A">
              <w:rPr>
                <w:lang w:val="lv-LV"/>
              </w:rPr>
              <w:t>eviesta pilnībā.</w:t>
            </w:r>
          </w:p>
        </w:tc>
        <w:tc>
          <w:tcPr>
            <w:tcW w:w="1237" w:type="pct"/>
            <w:gridSpan w:val="2"/>
          </w:tcPr>
          <w:p w:rsidR="000A449C" w:rsidRPr="001F592A" w:rsidRDefault="004E30A5" w:rsidP="004E30A5">
            <w:pPr>
              <w:pStyle w:val="naisf"/>
              <w:rPr>
                <w:lang w:val="lv-LV"/>
              </w:rPr>
            </w:pPr>
            <w:r>
              <w:rPr>
                <w:lang w:val="lv-LV"/>
              </w:rPr>
              <w:t>N</w:t>
            </w:r>
            <w:r w:rsidR="000A449C" w:rsidRPr="001F592A">
              <w:rPr>
                <w:lang w:val="lv-LV"/>
              </w:rPr>
              <w:t>eparedz stingrākas prasības.</w:t>
            </w:r>
          </w:p>
        </w:tc>
      </w:tr>
      <w:tr w:rsidR="0015518E" w:rsidRPr="000B4F28" w:rsidTr="00F5583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f"/>
              <w:rPr>
                <w:b/>
                <w:lang w:val="lv-LV"/>
              </w:rPr>
            </w:pPr>
            <w:r w:rsidRPr="000A449C">
              <w:rPr>
                <w:b/>
                <w:lang w:val="lv-LV"/>
              </w:rPr>
              <w:t xml:space="preserve">Lēmuma 2014/178/ES 1.pants </w:t>
            </w:r>
          </w:p>
        </w:tc>
        <w:tc>
          <w:tcPr>
            <w:tcW w:w="1163" w:type="pct"/>
            <w:gridSpan w:val="2"/>
          </w:tcPr>
          <w:p w:rsidR="0015518E" w:rsidRPr="000A449C" w:rsidRDefault="0015518E" w:rsidP="00533A70">
            <w:pPr>
              <w:pStyle w:val="naisf"/>
              <w:rPr>
                <w:b/>
                <w:lang w:val="lv-LV"/>
              </w:rPr>
            </w:pPr>
            <w:r>
              <w:rPr>
                <w:b/>
                <w:lang w:val="lv-LV"/>
              </w:rPr>
              <w:t>8</w:t>
            </w:r>
            <w:r w:rsidRPr="000A449C">
              <w:rPr>
                <w:b/>
                <w:lang w:val="lv-LV"/>
              </w:rPr>
              <w:t>.punkts (noteikumu 71.</w:t>
            </w:r>
            <w:r w:rsidRPr="000A449C">
              <w:rPr>
                <w:b/>
                <w:vertAlign w:val="superscript"/>
                <w:lang w:val="lv-LV"/>
              </w:rPr>
              <w:t>8</w:t>
            </w:r>
            <w:r w:rsidRPr="000A449C">
              <w:rPr>
                <w:b/>
                <w:lang w:val="lv-LV"/>
              </w:rPr>
              <w:t xml:space="preserve"> punkts)</w:t>
            </w:r>
          </w:p>
        </w:tc>
        <w:tc>
          <w:tcPr>
            <w:tcW w:w="1084" w:type="pct"/>
          </w:tcPr>
          <w:p w:rsidR="0015518E" w:rsidRPr="000A449C" w:rsidRDefault="0015518E" w:rsidP="00533A70">
            <w:pPr>
              <w:pStyle w:val="naisf"/>
              <w:rPr>
                <w:b/>
                <w:lang w:val="lv-LV"/>
              </w:rPr>
            </w:pPr>
            <w:r w:rsidRPr="000A449C">
              <w:rPr>
                <w:b/>
                <w:lang w:val="lv-LV"/>
              </w:rPr>
              <w:t>Ieviests pilnībā.</w:t>
            </w:r>
          </w:p>
        </w:tc>
        <w:tc>
          <w:tcPr>
            <w:tcW w:w="1237" w:type="pct"/>
            <w:gridSpan w:val="2"/>
          </w:tcPr>
          <w:p w:rsidR="0015518E" w:rsidRPr="000A449C" w:rsidRDefault="0015518E" w:rsidP="00533A70">
            <w:pPr>
              <w:pStyle w:val="naisf"/>
              <w:rPr>
                <w:b/>
                <w:lang w:val="lv-LV"/>
              </w:rPr>
            </w:pPr>
            <w:r w:rsidRPr="000A449C">
              <w:rPr>
                <w:b/>
                <w:lang w:val="lv-LV"/>
              </w:rPr>
              <w:t>Neparedz stingrākas prasības.</w:t>
            </w:r>
          </w:p>
        </w:tc>
      </w:tr>
      <w:tr w:rsidR="0015518E" w:rsidRPr="003642DA"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 xml:space="preserve">Lēmuma 2014/178/ES 2.pants </w:t>
            </w:r>
          </w:p>
        </w:tc>
        <w:tc>
          <w:tcPr>
            <w:tcW w:w="1163" w:type="pct"/>
            <w:gridSpan w:val="2"/>
          </w:tcPr>
          <w:p w:rsidR="0015518E" w:rsidRPr="008D65D2" w:rsidRDefault="0015518E" w:rsidP="004E30A5">
            <w:pPr>
              <w:pStyle w:val="naisc"/>
              <w:jc w:val="left"/>
              <w:rPr>
                <w:b/>
                <w:sz w:val="24"/>
                <w:szCs w:val="24"/>
                <w:lang w:val="lv-LV"/>
              </w:rPr>
            </w:pPr>
            <w:r w:rsidRPr="008D65D2">
              <w:rPr>
                <w:b/>
                <w:sz w:val="24"/>
                <w:szCs w:val="24"/>
                <w:lang w:val="lv-LV"/>
              </w:rPr>
              <w:t>8.punkts (noteikumu 71.</w:t>
            </w:r>
            <w:r w:rsidRPr="008D65D2">
              <w:rPr>
                <w:b/>
                <w:sz w:val="24"/>
                <w:szCs w:val="24"/>
                <w:vertAlign w:val="superscript"/>
                <w:lang w:val="lv-LV"/>
              </w:rPr>
              <w:t>9</w:t>
            </w:r>
            <w:r w:rsidRPr="008D65D2">
              <w:rPr>
                <w:b/>
                <w:sz w:val="24"/>
                <w:szCs w:val="24"/>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lastRenderedPageBreak/>
              <w:t xml:space="preserve">Lēmuma 2014/178/ES 3.pants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10</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 xml:space="preserve">Lēmuma 2014/178/ES 4.pants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11</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 xml:space="preserve">Lēmuma 2014/178/ES 5.pants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12</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 xml:space="preserve">Lēmuma 2014/178/ES 6.panta 1.punkts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13</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Lēmuma 2014/178/ES 6.panta 2.punkts</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14</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lang w:val="lv-LV"/>
              </w:rPr>
            </w:pPr>
            <w:r w:rsidRPr="000A449C">
              <w:rPr>
                <w:b/>
                <w:lang w:val="lv-LV"/>
              </w:rPr>
              <w:t xml:space="preserve">Lēmuma 2014/178/ES 6.panta 3.punkts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15</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Lēmuma 2014/178/ES 7.pant</w:t>
            </w:r>
            <w:r w:rsidR="009A664E">
              <w:rPr>
                <w:b/>
                <w:lang w:val="lv-LV"/>
              </w:rPr>
              <w:t xml:space="preserve">a </w:t>
            </w:r>
            <w:r w:rsidR="009A664E" w:rsidRPr="009A664E">
              <w:rPr>
                <w:b/>
                <w:lang w:val="lv-LV"/>
              </w:rPr>
              <w:t xml:space="preserve">„a” </w:t>
            </w:r>
            <w:r w:rsidRPr="009A664E">
              <w:rPr>
                <w:b/>
                <w:lang w:val="lv-LV"/>
              </w:rPr>
              <w:t>punkts</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16</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4E30A5">
            <w:pPr>
              <w:pStyle w:val="naisc"/>
              <w:jc w:val="left"/>
              <w:rPr>
                <w:b/>
                <w:sz w:val="24"/>
                <w:szCs w:val="24"/>
                <w:lang w:val="lv-LV"/>
              </w:rPr>
            </w:pPr>
            <w:r w:rsidRPr="000A449C">
              <w:rPr>
                <w:b/>
                <w:lang w:val="lv-LV"/>
              </w:rPr>
              <w:t xml:space="preserve">Lēmuma 2014/178/ES 7.panta </w:t>
            </w:r>
            <w:r w:rsidR="009A664E" w:rsidRPr="009A664E">
              <w:rPr>
                <w:b/>
                <w:lang w:val="lv-LV"/>
              </w:rPr>
              <w:t>„b”</w:t>
            </w:r>
            <w:r w:rsidR="004E30A5">
              <w:rPr>
                <w:b/>
                <w:lang w:val="lv-LV"/>
              </w:rPr>
              <w:t xml:space="preserve"> </w:t>
            </w:r>
            <w:r w:rsidRPr="000A449C">
              <w:rPr>
                <w:b/>
                <w:lang w:val="lv-LV"/>
              </w:rPr>
              <w:t>punkts</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17</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 xml:space="preserve">Lēmuma 2014/178/ES 8.pants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18</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 xml:space="preserve">Lēmuma 2014/178/ES 9.panta 1.punkts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19</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 xml:space="preserve">Lēmuma 2014/178/ES 9.panta 2. un 3.punkts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20</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 xml:space="preserve">Lēmuma 2014/178/ES 10.pants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21</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 xml:space="preserve">Lēmuma 2014/178/ES 11.pants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22</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 xml:space="preserve">Lēmuma 2014/178/ES 12.pants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23</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Lēmuma 2014/178/ES 13.panta 1.punkts</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24</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Lēmuma 2014/178/ES 13.panta 2.punkts</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25</w:t>
            </w:r>
            <w:r w:rsidRPr="000A449C">
              <w:rPr>
                <w:b/>
                <w:lang w:val="lv-LV"/>
              </w:rPr>
              <w:t xml:space="preserve"> </w:t>
            </w:r>
            <w:r w:rsidRPr="000A449C">
              <w:rPr>
                <w:b/>
                <w:lang w:val="lv-LV"/>
              </w:rPr>
              <w:lastRenderedPageBreak/>
              <w:t>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lastRenderedPageBreak/>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lastRenderedPageBreak/>
              <w:t xml:space="preserve">Lēmuma 2014/178/ES 14.pants </w:t>
            </w:r>
          </w:p>
        </w:tc>
        <w:tc>
          <w:tcPr>
            <w:tcW w:w="1163" w:type="pct"/>
            <w:gridSpan w:val="2"/>
          </w:tcPr>
          <w:p w:rsidR="0015518E" w:rsidRPr="000A449C" w:rsidRDefault="0015518E" w:rsidP="00533A70">
            <w:pPr>
              <w:rPr>
                <w:b/>
                <w:lang w:val="lv-LV"/>
              </w:rPr>
            </w:pPr>
            <w:r>
              <w:rPr>
                <w:b/>
                <w:lang w:val="lv-LV"/>
              </w:rPr>
              <w:t>8</w:t>
            </w:r>
            <w:r w:rsidRPr="000A449C">
              <w:rPr>
                <w:b/>
                <w:lang w:val="lv-LV"/>
              </w:rPr>
              <w:t>.punkts (noteikumu 71.</w:t>
            </w:r>
            <w:r w:rsidRPr="000A449C">
              <w:rPr>
                <w:b/>
                <w:vertAlign w:val="superscript"/>
                <w:lang w:val="lv-LV"/>
              </w:rPr>
              <w:t>26</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9A664E"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lang w:val="lv-LV"/>
              </w:rPr>
              <w:t xml:space="preserve">Lēmuma 2014/178/ES 15.pants </w:t>
            </w:r>
          </w:p>
        </w:tc>
        <w:tc>
          <w:tcPr>
            <w:tcW w:w="1163" w:type="pct"/>
            <w:gridSpan w:val="2"/>
          </w:tcPr>
          <w:p w:rsidR="0015518E" w:rsidRPr="000A449C" w:rsidRDefault="0015518E" w:rsidP="009A664E">
            <w:pPr>
              <w:rPr>
                <w:b/>
                <w:lang w:val="lv-LV"/>
              </w:rPr>
            </w:pPr>
            <w:r>
              <w:rPr>
                <w:b/>
                <w:lang w:val="lv-LV"/>
              </w:rPr>
              <w:t>8</w:t>
            </w:r>
            <w:r w:rsidRPr="000A449C">
              <w:rPr>
                <w:b/>
                <w:lang w:val="lv-LV"/>
              </w:rPr>
              <w:t>.punkts (noteikumu 71.</w:t>
            </w:r>
            <w:r w:rsidR="009A664E" w:rsidRPr="000A449C">
              <w:rPr>
                <w:b/>
                <w:vertAlign w:val="superscript"/>
                <w:lang w:val="lv-LV"/>
              </w:rPr>
              <w:t>2</w:t>
            </w:r>
            <w:r w:rsidR="009A664E">
              <w:rPr>
                <w:b/>
                <w:vertAlign w:val="superscript"/>
                <w:lang w:val="lv-LV"/>
              </w:rPr>
              <w:t>7</w:t>
            </w:r>
            <w:r w:rsidR="009A664E" w:rsidRPr="000A449C">
              <w:rPr>
                <w:b/>
                <w:lang w:val="lv-LV"/>
              </w:rPr>
              <w:t xml:space="preserve"> </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9A664E" w:rsidP="00533A70">
            <w:pPr>
              <w:pStyle w:val="naisc"/>
              <w:spacing w:before="0" w:after="0"/>
              <w:jc w:val="left"/>
              <w:rPr>
                <w:b/>
                <w:sz w:val="24"/>
                <w:szCs w:val="24"/>
                <w:lang w:val="lv-LV"/>
              </w:rPr>
            </w:pPr>
            <w:r>
              <w:rPr>
                <w:b/>
                <w:sz w:val="24"/>
                <w:szCs w:val="24"/>
                <w:lang w:val="lv-LV"/>
              </w:rPr>
              <w:t>Lēmuma 2014/178/ES 16</w:t>
            </w:r>
            <w:r w:rsidR="0015518E" w:rsidRPr="000A449C">
              <w:rPr>
                <w:b/>
                <w:sz w:val="24"/>
                <w:szCs w:val="24"/>
                <w:lang w:val="lv-LV"/>
              </w:rPr>
              <w:t xml:space="preserve">.pants </w:t>
            </w:r>
          </w:p>
        </w:tc>
        <w:tc>
          <w:tcPr>
            <w:tcW w:w="1163" w:type="pct"/>
            <w:gridSpan w:val="2"/>
          </w:tcPr>
          <w:p w:rsidR="0015518E" w:rsidRPr="000A449C" w:rsidRDefault="0015518E" w:rsidP="009A664E">
            <w:pPr>
              <w:rPr>
                <w:b/>
              </w:rPr>
            </w:pPr>
            <w:r>
              <w:rPr>
                <w:b/>
                <w:lang w:val="lv-LV"/>
              </w:rPr>
              <w:t>8</w:t>
            </w:r>
            <w:r w:rsidRPr="000A449C">
              <w:rPr>
                <w:b/>
                <w:lang w:val="lv-LV"/>
              </w:rPr>
              <w:t>.punkts (noteikumu 71.</w:t>
            </w:r>
            <w:r w:rsidRPr="000A449C">
              <w:rPr>
                <w:b/>
                <w:vertAlign w:val="superscript"/>
                <w:lang w:val="lv-LV"/>
              </w:rPr>
              <w:t>2</w:t>
            </w:r>
            <w:r w:rsidR="009A664E">
              <w:rPr>
                <w:b/>
                <w:vertAlign w:val="superscript"/>
                <w:lang w:val="lv-LV"/>
              </w:rPr>
              <w:t>8</w:t>
            </w:r>
            <w:r w:rsidRPr="000A449C">
              <w:rPr>
                <w:b/>
                <w:lang w:val="lv-LV"/>
              </w:rPr>
              <w:t xml:space="preserve"> punkts)</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533A70">
            <w:pPr>
              <w:pStyle w:val="naisc"/>
              <w:spacing w:before="0" w:after="0"/>
              <w:jc w:val="both"/>
              <w:rPr>
                <w:b/>
                <w:sz w:val="24"/>
                <w:szCs w:val="24"/>
                <w:lang w:val="lv-LV"/>
              </w:rPr>
            </w:pPr>
            <w:r w:rsidRPr="000A449C">
              <w:rPr>
                <w:b/>
                <w:sz w:val="24"/>
                <w:szCs w:val="24"/>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sz w:val="24"/>
                <w:szCs w:val="24"/>
                <w:lang w:val="lv-LV"/>
              </w:rPr>
              <w:t xml:space="preserve">Lēmuma 2014/178/ES 17.pants </w:t>
            </w:r>
          </w:p>
        </w:tc>
        <w:tc>
          <w:tcPr>
            <w:tcW w:w="1163" w:type="pct"/>
            <w:gridSpan w:val="2"/>
          </w:tcPr>
          <w:p w:rsidR="0015518E" w:rsidRPr="000A449C" w:rsidRDefault="0015518E" w:rsidP="00533A70">
            <w:pPr>
              <w:jc w:val="center"/>
              <w:rPr>
                <w:b/>
                <w:lang w:val="lv-LV"/>
              </w:rPr>
            </w:pPr>
            <w:r w:rsidRPr="000A449C">
              <w:rPr>
                <w:b/>
                <w:lang w:val="lv-LV"/>
              </w:rPr>
              <w:t>–</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Nav nepieciešama pārņemšana.</w:t>
            </w:r>
          </w:p>
        </w:tc>
        <w:tc>
          <w:tcPr>
            <w:tcW w:w="1237" w:type="pct"/>
            <w:gridSpan w:val="2"/>
          </w:tcPr>
          <w:p w:rsidR="0015518E" w:rsidRPr="000A449C" w:rsidRDefault="0015518E" w:rsidP="0015518E">
            <w:pPr>
              <w:pStyle w:val="naisc"/>
              <w:spacing w:before="0" w:after="0"/>
              <w:jc w:val="both"/>
              <w:rPr>
                <w:b/>
                <w:sz w:val="24"/>
                <w:szCs w:val="24"/>
                <w:lang w:val="lv-LV"/>
              </w:rPr>
            </w:pPr>
            <w:r w:rsidRPr="000A449C">
              <w:rPr>
                <w:b/>
                <w:sz w:val="24"/>
                <w:szCs w:val="24"/>
                <w:lang w:val="lv-LV"/>
              </w:rPr>
              <w:t>–</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sz w:val="24"/>
                <w:szCs w:val="24"/>
                <w:lang w:val="lv-LV"/>
              </w:rPr>
              <w:t xml:space="preserve">Lēmuma 2014/178/ES 18.pants </w:t>
            </w:r>
          </w:p>
        </w:tc>
        <w:tc>
          <w:tcPr>
            <w:tcW w:w="1163" w:type="pct"/>
            <w:gridSpan w:val="2"/>
          </w:tcPr>
          <w:p w:rsidR="0015518E" w:rsidRPr="000A449C" w:rsidRDefault="0015518E" w:rsidP="00533A70">
            <w:pPr>
              <w:jc w:val="center"/>
              <w:rPr>
                <w:b/>
                <w:lang w:val="lv-LV"/>
              </w:rPr>
            </w:pPr>
            <w:r w:rsidRPr="000A449C">
              <w:rPr>
                <w:b/>
                <w:lang w:val="lv-LV"/>
              </w:rPr>
              <w:t>–</w:t>
            </w:r>
          </w:p>
        </w:tc>
        <w:tc>
          <w:tcPr>
            <w:tcW w:w="1084" w:type="pct"/>
          </w:tcPr>
          <w:p w:rsidR="0015518E" w:rsidRPr="000A449C" w:rsidRDefault="0015518E" w:rsidP="00533A70">
            <w:pPr>
              <w:pStyle w:val="naisc"/>
              <w:spacing w:before="0" w:after="0"/>
              <w:jc w:val="left"/>
              <w:rPr>
                <w:b/>
                <w:sz w:val="24"/>
                <w:szCs w:val="24"/>
                <w:lang w:val="lv-LV"/>
              </w:rPr>
            </w:pPr>
            <w:r w:rsidRPr="000A449C">
              <w:rPr>
                <w:b/>
                <w:sz w:val="24"/>
                <w:szCs w:val="24"/>
                <w:lang w:val="lv-LV"/>
              </w:rPr>
              <w:t>Nav nepieciešama pārņemšana.</w:t>
            </w:r>
          </w:p>
        </w:tc>
        <w:tc>
          <w:tcPr>
            <w:tcW w:w="1237" w:type="pct"/>
            <w:gridSpan w:val="2"/>
          </w:tcPr>
          <w:p w:rsidR="0015518E" w:rsidRPr="000A449C" w:rsidRDefault="0015518E" w:rsidP="0015518E">
            <w:pPr>
              <w:jc w:val="both"/>
              <w:rPr>
                <w:b/>
                <w:lang w:val="lv-LV"/>
              </w:rPr>
            </w:pPr>
            <w:r w:rsidRPr="000A449C">
              <w:rPr>
                <w:b/>
                <w:lang w:val="lv-LV"/>
              </w:rPr>
              <w:t>–</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sz w:val="24"/>
                <w:szCs w:val="24"/>
                <w:lang w:val="lv-LV"/>
              </w:rPr>
              <w:t xml:space="preserve">Lēmuma 2014/178/ES 19.pants </w:t>
            </w:r>
          </w:p>
        </w:tc>
        <w:tc>
          <w:tcPr>
            <w:tcW w:w="1163" w:type="pct"/>
            <w:gridSpan w:val="2"/>
          </w:tcPr>
          <w:p w:rsidR="0015518E" w:rsidRPr="000A449C" w:rsidRDefault="0015518E" w:rsidP="00533A70">
            <w:pPr>
              <w:rPr>
                <w:b/>
                <w:lang w:val="lv-LV"/>
              </w:rPr>
            </w:pPr>
            <w:r>
              <w:rPr>
                <w:b/>
                <w:lang w:val="lv-LV"/>
              </w:rPr>
              <w:t>8</w:t>
            </w:r>
            <w:r w:rsidRPr="000A449C">
              <w:rPr>
                <w:b/>
                <w:lang w:val="lv-LV"/>
              </w:rPr>
              <w:t xml:space="preserve">.punkts (noteikumu 77. </w:t>
            </w:r>
            <w:r w:rsidR="00D224F4">
              <w:rPr>
                <w:b/>
                <w:lang w:val="lv-LV"/>
              </w:rPr>
              <w:t>p</w:t>
            </w:r>
            <w:r w:rsidRPr="000A449C">
              <w:rPr>
                <w:b/>
                <w:lang w:val="lv-LV"/>
              </w:rPr>
              <w:t>unkts)</w:t>
            </w:r>
          </w:p>
        </w:tc>
        <w:tc>
          <w:tcPr>
            <w:tcW w:w="1084" w:type="pct"/>
          </w:tcPr>
          <w:p w:rsidR="0015518E" w:rsidRPr="000A449C" w:rsidRDefault="0015518E" w:rsidP="00533A70">
            <w:pPr>
              <w:pStyle w:val="naisc"/>
              <w:spacing w:before="0" w:after="0"/>
              <w:jc w:val="left"/>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15518E">
            <w:pPr>
              <w:jc w:val="both"/>
              <w:rPr>
                <w:b/>
                <w:lang w:val="lv-LV"/>
              </w:rPr>
            </w:pPr>
            <w:r w:rsidRPr="000A449C">
              <w:rPr>
                <w:b/>
                <w:lang w:val="lv-LV"/>
              </w:rPr>
              <w:t>Neparedz stingrākas prasības.</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15518E" w:rsidRPr="000A449C" w:rsidRDefault="0015518E" w:rsidP="00533A70">
            <w:pPr>
              <w:pStyle w:val="naisc"/>
              <w:spacing w:before="0" w:after="0"/>
              <w:jc w:val="left"/>
              <w:rPr>
                <w:b/>
                <w:sz w:val="24"/>
                <w:szCs w:val="24"/>
                <w:lang w:val="lv-LV"/>
              </w:rPr>
            </w:pPr>
            <w:r w:rsidRPr="000A449C">
              <w:rPr>
                <w:b/>
                <w:sz w:val="24"/>
                <w:szCs w:val="24"/>
                <w:lang w:val="lv-LV"/>
              </w:rPr>
              <w:t xml:space="preserve">Lēmuma 2014/178/ES 20.pants </w:t>
            </w:r>
          </w:p>
        </w:tc>
        <w:tc>
          <w:tcPr>
            <w:tcW w:w="1163" w:type="pct"/>
            <w:gridSpan w:val="2"/>
          </w:tcPr>
          <w:p w:rsidR="0015518E" w:rsidRPr="000A449C" w:rsidRDefault="0015518E" w:rsidP="00533A70">
            <w:pPr>
              <w:jc w:val="center"/>
              <w:rPr>
                <w:b/>
                <w:lang w:val="lv-LV"/>
              </w:rPr>
            </w:pPr>
            <w:r w:rsidRPr="000A449C">
              <w:rPr>
                <w:b/>
                <w:lang w:val="lv-LV"/>
              </w:rPr>
              <w:t>–</w:t>
            </w:r>
          </w:p>
        </w:tc>
        <w:tc>
          <w:tcPr>
            <w:tcW w:w="1084" w:type="pct"/>
          </w:tcPr>
          <w:p w:rsidR="0015518E" w:rsidRPr="000A449C" w:rsidRDefault="0015518E" w:rsidP="00533A70">
            <w:pPr>
              <w:pStyle w:val="naisc"/>
              <w:spacing w:before="0" w:after="0"/>
              <w:jc w:val="both"/>
              <w:rPr>
                <w:b/>
                <w:sz w:val="24"/>
                <w:szCs w:val="24"/>
                <w:lang w:val="lv-LV"/>
              </w:rPr>
            </w:pPr>
            <w:r w:rsidRPr="000A449C">
              <w:rPr>
                <w:b/>
                <w:sz w:val="24"/>
                <w:szCs w:val="24"/>
                <w:lang w:val="lv-LV"/>
              </w:rPr>
              <w:t>Nav nepieciešama pārņemšana.</w:t>
            </w:r>
          </w:p>
        </w:tc>
        <w:tc>
          <w:tcPr>
            <w:tcW w:w="1237" w:type="pct"/>
            <w:gridSpan w:val="2"/>
          </w:tcPr>
          <w:p w:rsidR="0015518E" w:rsidRPr="000A449C" w:rsidRDefault="0015518E" w:rsidP="0015518E">
            <w:pPr>
              <w:pStyle w:val="naisc"/>
              <w:spacing w:before="0" w:after="0"/>
              <w:jc w:val="both"/>
              <w:rPr>
                <w:b/>
                <w:sz w:val="24"/>
                <w:szCs w:val="24"/>
                <w:lang w:val="lv-LV"/>
              </w:rPr>
            </w:pPr>
            <w:r w:rsidRPr="000A449C">
              <w:rPr>
                <w:b/>
                <w:sz w:val="24"/>
                <w:szCs w:val="24"/>
                <w:lang w:val="lv-LV"/>
              </w:rPr>
              <w:t>–</w:t>
            </w:r>
          </w:p>
        </w:tc>
      </w:tr>
      <w:tr w:rsidR="0015518E" w:rsidRPr="000B4F28" w:rsidTr="0000089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8D65D2" w:rsidRPr="008D65D2" w:rsidRDefault="0015518E" w:rsidP="008D65D2">
            <w:pPr>
              <w:pStyle w:val="Bezatstarpm"/>
              <w:rPr>
                <w:rFonts w:ascii="Times New Roman" w:hAnsi="Times New Roman"/>
                <w:b/>
                <w:sz w:val="24"/>
                <w:szCs w:val="24"/>
              </w:rPr>
            </w:pPr>
            <w:r w:rsidRPr="008D65D2">
              <w:rPr>
                <w:rFonts w:ascii="Times New Roman" w:hAnsi="Times New Roman"/>
                <w:b/>
                <w:sz w:val="24"/>
                <w:szCs w:val="24"/>
              </w:rPr>
              <w:t>Lēmuma 2014/178/ES pielikums</w:t>
            </w:r>
            <w:r w:rsidR="00D224F4">
              <w:rPr>
                <w:rFonts w:ascii="Times New Roman" w:hAnsi="Times New Roman"/>
                <w:b/>
                <w:sz w:val="24"/>
                <w:szCs w:val="24"/>
              </w:rPr>
              <w:t>,</w:t>
            </w:r>
            <w:r w:rsidR="008D65D2" w:rsidRPr="008D65D2">
              <w:rPr>
                <w:rFonts w:ascii="Times New Roman" w:hAnsi="Times New Roman"/>
                <w:b/>
                <w:sz w:val="24"/>
                <w:szCs w:val="24"/>
              </w:rPr>
              <w:t xml:space="preserve"> </w:t>
            </w:r>
          </w:p>
          <w:p w:rsidR="0015518E" w:rsidRPr="008D65D2" w:rsidRDefault="008D65D2" w:rsidP="008D65D2">
            <w:pPr>
              <w:pStyle w:val="Bezatstarpm"/>
              <w:rPr>
                <w:rFonts w:ascii="Times New Roman" w:hAnsi="Times New Roman"/>
                <w:b/>
                <w:sz w:val="24"/>
                <w:szCs w:val="24"/>
              </w:rPr>
            </w:pPr>
            <w:r w:rsidRPr="008D65D2">
              <w:rPr>
                <w:rFonts w:ascii="Times New Roman" w:hAnsi="Times New Roman"/>
                <w:b/>
                <w:sz w:val="24"/>
                <w:szCs w:val="24"/>
              </w:rPr>
              <w:t>Lēmuma 2014/513/ES</w:t>
            </w:r>
            <w:r>
              <w:rPr>
                <w:rFonts w:ascii="Times New Roman" w:hAnsi="Times New Roman"/>
                <w:b/>
                <w:sz w:val="24"/>
                <w:szCs w:val="24"/>
              </w:rPr>
              <w:t xml:space="preserve"> pielikums</w:t>
            </w:r>
          </w:p>
        </w:tc>
        <w:tc>
          <w:tcPr>
            <w:tcW w:w="1163" w:type="pct"/>
            <w:gridSpan w:val="2"/>
          </w:tcPr>
          <w:p w:rsidR="0015518E" w:rsidRPr="000A449C" w:rsidRDefault="0015518E" w:rsidP="0015518E">
            <w:pPr>
              <w:rPr>
                <w:b/>
                <w:lang w:val="lv-LV"/>
              </w:rPr>
            </w:pPr>
            <w:r w:rsidRPr="000A449C">
              <w:rPr>
                <w:b/>
                <w:lang w:val="lv-LV"/>
              </w:rPr>
              <w:t>1</w:t>
            </w:r>
            <w:r>
              <w:rPr>
                <w:b/>
                <w:lang w:val="lv-LV"/>
              </w:rPr>
              <w:t>1</w:t>
            </w:r>
            <w:r w:rsidRPr="000A449C">
              <w:rPr>
                <w:b/>
                <w:lang w:val="lv-LV"/>
              </w:rPr>
              <w:t>.punkts (noteikumu 3.pielikums)</w:t>
            </w:r>
          </w:p>
        </w:tc>
        <w:tc>
          <w:tcPr>
            <w:tcW w:w="1084" w:type="pct"/>
          </w:tcPr>
          <w:p w:rsidR="0015518E" w:rsidRPr="000A449C" w:rsidRDefault="0015518E" w:rsidP="00533A70">
            <w:pPr>
              <w:pStyle w:val="naisc"/>
              <w:spacing w:before="0" w:after="0"/>
              <w:jc w:val="left"/>
              <w:rPr>
                <w:b/>
                <w:sz w:val="24"/>
                <w:szCs w:val="24"/>
                <w:lang w:val="lv-LV"/>
              </w:rPr>
            </w:pPr>
            <w:r w:rsidRPr="000A449C">
              <w:rPr>
                <w:b/>
                <w:sz w:val="24"/>
                <w:szCs w:val="24"/>
                <w:lang w:val="lv-LV"/>
              </w:rPr>
              <w:t>Ieviests pilnībā.</w:t>
            </w:r>
          </w:p>
        </w:tc>
        <w:tc>
          <w:tcPr>
            <w:tcW w:w="1237" w:type="pct"/>
            <w:gridSpan w:val="2"/>
          </w:tcPr>
          <w:p w:rsidR="0015518E" w:rsidRPr="000A449C" w:rsidRDefault="0015518E" w:rsidP="0015518E">
            <w:pPr>
              <w:jc w:val="both"/>
              <w:rPr>
                <w:b/>
                <w:lang w:val="lv-LV"/>
              </w:rPr>
            </w:pPr>
            <w:r w:rsidRPr="000A449C">
              <w:rPr>
                <w:b/>
                <w:lang w:val="lv-LV"/>
              </w:rPr>
              <w:t>Neparedz stingrākas prasības.</w:t>
            </w:r>
          </w:p>
        </w:tc>
      </w:tr>
      <w:tr w:rsidR="0015518E" w:rsidRPr="00D224F4" w:rsidTr="004703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15518E" w:rsidRPr="001F592A" w:rsidRDefault="0015518E" w:rsidP="001F592A">
            <w:pPr>
              <w:pStyle w:val="naisf"/>
              <w:rPr>
                <w:lang w:val="lv-LV"/>
              </w:rPr>
            </w:pPr>
            <w:r w:rsidRPr="001F592A">
              <w:rPr>
                <w:lang w:val="lv-LV"/>
              </w:rPr>
              <w:t>Kā ir izmantota ES tiesību aktā paredzētā rīcības brīvība dalībvalstij pārņemt vai ieviest noteiktas ES tiesību akta normas. Kādēļ?</w:t>
            </w:r>
          </w:p>
        </w:tc>
        <w:tc>
          <w:tcPr>
            <w:tcW w:w="3484" w:type="pct"/>
            <w:gridSpan w:val="5"/>
          </w:tcPr>
          <w:p w:rsidR="0015518E" w:rsidRPr="001F592A" w:rsidRDefault="0015518E" w:rsidP="004703EC">
            <w:pPr>
              <w:pStyle w:val="naisf"/>
              <w:spacing w:before="0" w:beforeAutospacing="0" w:after="0" w:afterAutospacing="0"/>
              <w:rPr>
                <w:lang w:val="lv-LV"/>
              </w:rPr>
            </w:pPr>
            <w:r w:rsidRPr="001F592A">
              <w:rPr>
                <w:lang w:val="lv-LV"/>
              </w:rPr>
              <w:t xml:space="preserve">Lēmuma 2014/84/ES 1.panta 3.punkta </w:t>
            </w:r>
            <w:r w:rsidR="00D224F4">
              <w:rPr>
                <w:lang w:val="lv-LV"/>
              </w:rPr>
              <w:t>„</w:t>
            </w:r>
            <w:r w:rsidRPr="001F592A">
              <w:rPr>
                <w:lang w:val="lv-LV"/>
              </w:rPr>
              <w:t>b</w:t>
            </w:r>
            <w:r w:rsidR="00D224F4">
              <w:rPr>
                <w:lang w:val="lv-LV"/>
              </w:rPr>
              <w:t>”</w:t>
            </w:r>
            <w:r w:rsidRPr="001F592A">
              <w:rPr>
                <w:lang w:val="lv-LV"/>
              </w:rPr>
              <w:t xml:space="preserve"> apakšpunktā ir paredzēta rīcības brīvība dalībvalstij ieviest tiesību normas, kas paredz, ka dalībvalsts kompetentā iestāde, kurā atrodas ievešanas punkts Savienībā, var noteikt, ka uz vietas jāveic dezinfekcija jebkura transportlīdzekļa riteņiem vai jebkurai citai transportlīdzekļa daļai, ja to uzskata par nepieciešamu, lai mazinātu Āfrikas cūku mēra ievešanas risku Savienības teritorijā, tostarp transportl</w:t>
            </w:r>
            <w:r>
              <w:rPr>
                <w:lang w:val="lv-LV"/>
              </w:rPr>
              <w:t xml:space="preserve">īdzekļiem, kas pārvadā barību. </w:t>
            </w:r>
            <w:r w:rsidRPr="001F592A">
              <w:rPr>
                <w:lang w:val="lv-LV"/>
              </w:rPr>
              <w:t xml:space="preserve">Minētā rīcības brīvība tiek </w:t>
            </w:r>
            <w:r>
              <w:rPr>
                <w:lang w:val="lv-LV"/>
              </w:rPr>
              <w:t>ieviesta ar noteikumu projekta 4</w:t>
            </w:r>
            <w:r w:rsidRPr="001F592A">
              <w:rPr>
                <w:lang w:val="lv-LV"/>
              </w:rPr>
              <w:t>.punktu.</w:t>
            </w:r>
          </w:p>
        </w:tc>
      </w:tr>
      <w:tr w:rsidR="0015518E" w:rsidRPr="001F592A" w:rsidTr="004703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15518E" w:rsidRPr="001F592A" w:rsidRDefault="0015518E" w:rsidP="001F592A">
            <w:pPr>
              <w:pStyle w:val="naisf"/>
              <w:rPr>
                <w:i/>
                <w:lang w:val="lv-LV"/>
              </w:rPr>
            </w:pPr>
            <w:r w:rsidRPr="001F592A">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rsidR="0015518E" w:rsidRPr="001F592A" w:rsidRDefault="0015518E" w:rsidP="001F592A">
            <w:pPr>
              <w:pStyle w:val="naisf"/>
              <w:rPr>
                <w:lang w:val="lv-LV"/>
              </w:rPr>
            </w:pPr>
            <w:r w:rsidRPr="001F592A">
              <w:rPr>
                <w:lang w:val="lv-LV"/>
              </w:rPr>
              <w:t>Projekts šo jomu neskar.</w:t>
            </w:r>
          </w:p>
        </w:tc>
      </w:tr>
      <w:tr w:rsidR="0015518E" w:rsidRPr="001F592A" w:rsidTr="004703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15518E" w:rsidRPr="001F592A" w:rsidRDefault="0015518E" w:rsidP="001F592A">
            <w:pPr>
              <w:pStyle w:val="naisf"/>
              <w:rPr>
                <w:lang w:val="lv-LV"/>
              </w:rPr>
            </w:pPr>
            <w:r w:rsidRPr="001F592A">
              <w:rPr>
                <w:lang w:val="lv-LV"/>
              </w:rPr>
              <w:t>Cita informācija</w:t>
            </w:r>
          </w:p>
        </w:tc>
        <w:tc>
          <w:tcPr>
            <w:tcW w:w="3484" w:type="pct"/>
            <w:gridSpan w:val="5"/>
          </w:tcPr>
          <w:p w:rsidR="0015518E" w:rsidRPr="001F592A" w:rsidRDefault="0015518E" w:rsidP="001F592A">
            <w:pPr>
              <w:pStyle w:val="naisf"/>
              <w:rPr>
                <w:lang w:val="lv-LV"/>
              </w:rPr>
            </w:pPr>
            <w:r w:rsidRPr="001F592A">
              <w:rPr>
                <w:lang w:val="lv-LV"/>
              </w:rPr>
              <w:t>Nav.</w:t>
            </w:r>
          </w:p>
        </w:tc>
      </w:tr>
    </w:tbl>
    <w:p w:rsidR="004B78BD" w:rsidRDefault="004B78BD" w:rsidP="001F592A">
      <w:pPr>
        <w:pStyle w:val="naisf"/>
        <w:spacing w:before="0" w:beforeAutospacing="0" w:after="0" w:afterAutospacing="0"/>
        <w:rPr>
          <w:i/>
          <w:lang w:val="lv-LV"/>
        </w:rPr>
      </w:pPr>
    </w:p>
    <w:p w:rsidR="001F592A" w:rsidRDefault="001F592A" w:rsidP="001F592A">
      <w:pPr>
        <w:pStyle w:val="naisf"/>
        <w:spacing w:before="0" w:beforeAutospacing="0" w:after="0" w:afterAutospacing="0"/>
        <w:rPr>
          <w:i/>
          <w:lang w:val="lv-LV"/>
        </w:rPr>
      </w:pPr>
      <w:r w:rsidRPr="001F592A">
        <w:rPr>
          <w:i/>
          <w:lang w:val="lv-LV"/>
        </w:rPr>
        <w:t>Anotācijas V sadaļas 2.tabula – projekts šo jomu neskar.</w:t>
      </w:r>
    </w:p>
    <w:p w:rsidR="004B78BD" w:rsidRPr="001F592A" w:rsidRDefault="004B78BD" w:rsidP="001F592A">
      <w:pPr>
        <w:pStyle w:val="naisf"/>
        <w:spacing w:before="0" w:beforeAutospacing="0" w:after="0" w:afterAutospacing="0"/>
        <w:rPr>
          <w:i/>
          <w:lang w:val="lv-LV"/>
        </w:rPr>
      </w:pPr>
    </w:p>
    <w:tbl>
      <w:tblPr>
        <w:tblW w:w="4881" w:type="pct"/>
        <w:tblInd w:w="19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6"/>
        <w:gridCol w:w="713"/>
        <w:gridCol w:w="1577"/>
        <w:gridCol w:w="716"/>
        <w:gridCol w:w="5512"/>
      </w:tblGrid>
      <w:tr w:rsidR="001F592A" w:rsidRPr="00146346" w:rsidTr="00146346">
        <w:trPr>
          <w:trHeight w:val="222"/>
        </w:trPr>
        <w:tc>
          <w:tcPr>
            <w:tcW w:w="4997" w:type="pct"/>
            <w:gridSpan w:val="5"/>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b/>
                <w:bCs/>
                <w:lang w:val="lv-LV"/>
              </w:rPr>
            </w:pPr>
            <w:r w:rsidRPr="001F592A">
              <w:rPr>
                <w:b/>
                <w:bCs/>
                <w:lang w:val="lv-LV"/>
              </w:rPr>
              <w:t>VI. Sabiedrības līdzdalība un komunikācijas aktivitātes</w:t>
            </w:r>
          </w:p>
        </w:tc>
      </w:tr>
      <w:tr w:rsidR="004B78BD" w:rsidRPr="00146346" w:rsidTr="0014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32" w:type="pct"/>
          </w:tcPr>
          <w:p w:rsidR="001F592A" w:rsidRPr="001F592A" w:rsidRDefault="001F592A" w:rsidP="001F592A">
            <w:pPr>
              <w:pStyle w:val="naisf"/>
              <w:rPr>
                <w:lang w:val="lv-LV"/>
              </w:rPr>
            </w:pPr>
            <w:r w:rsidRPr="001F592A">
              <w:rPr>
                <w:lang w:val="lv-LV"/>
              </w:rPr>
              <w:lastRenderedPageBreak/>
              <w:t>1.</w:t>
            </w:r>
          </w:p>
        </w:tc>
        <w:tc>
          <w:tcPr>
            <w:tcW w:w="1330" w:type="pct"/>
            <w:gridSpan w:val="2"/>
          </w:tcPr>
          <w:p w:rsidR="001F592A" w:rsidRPr="001F592A" w:rsidRDefault="001F592A" w:rsidP="001F592A">
            <w:pPr>
              <w:pStyle w:val="naisf"/>
              <w:rPr>
                <w:lang w:val="lv-LV"/>
              </w:rPr>
            </w:pPr>
            <w:r w:rsidRPr="001F592A">
              <w:rPr>
                <w:lang w:val="lv-LV"/>
              </w:rPr>
              <w:t>Plānotās sabiedrības līdzdalības un komunikācijas aktivitātes saistībā ar projektu</w:t>
            </w:r>
          </w:p>
        </w:tc>
        <w:tc>
          <w:tcPr>
            <w:tcW w:w="3538" w:type="pct"/>
            <w:gridSpan w:val="2"/>
          </w:tcPr>
          <w:p w:rsidR="001F592A" w:rsidRPr="00146346" w:rsidRDefault="001F592A" w:rsidP="001F592A">
            <w:pPr>
              <w:pStyle w:val="naisf"/>
              <w:rPr>
                <w:lang w:val="lv-LV"/>
              </w:rPr>
            </w:pPr>
            <w:r w:rsidRPr="001F592A">
              <w:rPr>
                <w:lang w:val="lv-LV"/>
              </w:rPr>
              <w:t>Noteikumu projekts elektroniski nosūtīts izskatīšanai un atzinumu sniegšanai biedrīb</w:t>
            </w:r>
            <w:r w:rsidR="00D224F4">
              <w:rPr>
                <w:lang w:val="lv-LV"/>
              </w:rPr>
              <w:t>ām</w:t>
            </w:r>
            <w:r w:rsidRPr="001F592A">
              <w:rPr>
                <w:lang w:val="lv-LV"/>
              </w:rPr>
              <w:t xml:space="preserve"> „Lauksaimnieku organizāciju sadarbības padome”, „Zemnieku saeima” un „Latvijas Lauksaimniecības kooperatīvu asociācija” un ievietots Zemkopības ministrijas tīmekļa vietnē 2014.gada 6.martā.</w:t>
            </w:r>
            <w:r w:rsidR="00146346" w:rsidRPr="00146346">
              <w:rPr>
                <w:b/>
                <w:lang w:val="lv-LV"/>
              </w:rPr>
              <w:t xml:space="preserve"> Papildinātais noteikumu projekts nav nosūtīts saskaņošanai, jo tiek virzīts kā Ministru kabineta lieta steidzamai pieņemšanai Ministru kabinetā, kā arī tāpēc, ka tehniski pārņem Eiropas Komisijas lēmumus.</w:t>
            </w:r>
          </w:p>
        </w:tc>
      </w:tr>
      <w:tr w:rsidR="004B78BD" w:rsidRPr="00146346" w:rsidTr="0014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32" w:type="pct"/>
          </w:tcPr>
          <w:p w:rsidR="001F592A" w:rsidRPr="001F592A" w:rsidRDefault="001F592A" w:rsidP="001F592A">
            <w:pPr>
              <w:pStyle w:val="naisf"/>
              <w:rPr>
                <w:lang w:val="lv-LV"/>
              </w:rPr>
            </w:pPr>
            <w:r w:rsidRPr="001F592A">
              <w:rPr>
                <w:lang w:val="lv-LV"/>
              </w:rPr>
              <w:t>2.</w:t>
            </w:r>
          </w:p>
        </w:tc>
        <w:tc>
          <w:tcPr>
            <w:tcW w:w="1330" w:type="pct"/>
            <w:gridSpan w:val="2"/>
          </w:tcPr>
          <w:p w:rsidR="001F592A" w:rsidRPr="001F592A" w:rsidRDefault="001F592A" w:rsidP="001F592A">
            <w:pPr>
              <w:pStyle w:val="naisf"/>
              <w:rPr>
                <w:lang w:val="lv-LV"/>
              </w:rPr>
            </w:pPr>
            <w:r w:rsidRPr="001F592A">
              <w:rPr>
                <w:lang w:val="lv-LV"/>
              </w:rPr>
              <w:t>Sabiedrības līdzdalība projekta izstrādē</w:t>
            </w:r>
          </w:p>
        </w:tc>
        <w:tc>
          <w:tcPr>
            <w:tcW w:w="3538" w:type="pct"/>
            <w:gridSpan w:val="2"/>
          </w:tcPr>
          <w:p w:rsidR="001F592A" w:rsidRPr="001F592A" w:rsidRDefault="00044555" w:rsidP="00044555">
            <w:pPr>
              <w:pStyle w:val="naisf"/>
              <w:rPr>
                <w:lang w:val="lv-LV"/>
              </w:rPr>
            </w:pPr>
            <w:r>
              <w:rPr>
                <w:lang w:val="lv-LV"/>
              </w:rPr>
              <w:t>Noteikumu projekta izvērtēšanā piedalījās biedrība</w:t>
            </w:r>
            <w:r w:rsidRPr="00044555">
              <w:rPr>
                <w:lang w:val="lv-LV"/>
              </w:rPr>
              <w:t xml:space="preserve"> „Lauksaimnieku organizāciju sadarbības padome”, „Zemnieku saeima” un „Latvijas Lauksaimniecības kooperatīvu asociācija”</w:t>
            </w:r>
            <w:r>
              <w:rPr>
                <w:lang w:val="lv-LV"/>
              </w:rPr>
              <w:t>.</w:t>
            </w:r>
          </w:p>
        </w:tc>
      </w:tr>
      <w:tr w:rsidR="004B78BD" w:rsidRPr="00146346" w:rsidTr="0014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32" w:type="pct"/>
          </w:tcPr>
          <w:p w:rsidR="001F592A" w:rsidRPr="001F592A" w:rsidRDefault="001F592A" w:rsidP="001F592A">
            <w:pPr>
              <w:pStyle w:val="naisf"/>
              <w:rPr>
                <w:lang w:val="lv-LV"/>
              </w:rPr>
            </w:pPr>
            <w:r w:rsidRPr="001F592A">
              <w:rPr>
                <w:lang w:val="lv-LV"/>
              </w:rPr>
              <w:t>3.</w:t>
            </w:r>
          </w:p>
        </w:tc>
        <w:tc>
          <w:tcPr>
            <w:tcW w:w="1330" w:type="pct"/>
            <w:gridSpan w:val="2"/>
          </w:tcPr>
          <w:p w:rsidR="001F592A" w:rsidRPr="001F592A" w:rsidRDefault="001F592A" w:rsidP="001F592A">
            <w:pPr>
              <w:pStyle w:val="naisf"/>
              <w:rPr>
                <w:lang w:val="lv-LV"/>
              </w:rPr>
            </w:pPr>
            <w:r w:rsidRPr="001F592A">
              <w:rPr>
                <w:lang w:val="lv-LV"/>
              </w:rPr>
              <w:t>Sabiedrības līdzdalības rezultāti</w:t>
            </w:r>
          </w:p>
        </w:tc>
        <w:tc>
          <w:tcPr>
            <w:tcW w:w="3538" w:type="pct"/>
            <w:gridSpan w:val="2"/>
          </w:tcPr>
          <w:p w:rsidR="001F592A" w:rsidRPr="001F592A" w:rsidRDefault="00044555" w:rsidP="001F592A">
            <w:pPr>
              <w:pStyle w:val="naisf"/>
              <w:rPr>
                <w:lang w:val="lv-LV"/>
              </w:rPr>
            </w:pPr>
            <w:r>
              <w:rPr>
                <w:lang w:val="lv-LV"/>
              </w:rPr>
              <w:t>Biedrība</w:t>
            </w:r>
            <w:r w:rsidRPr="00044555">
              <w:rPr>
                <w:lang w:val="lv-LV"/>
              </w:rPr>
              <w:t xml:space="preserve"> „Lauksaimnieku organizāciju sadarbības padome”, „Zemnieku saeima” un „Latvijas Lauksaimniecības kooperatīvu asociācija”</w:t>
            </w:r>
            <w:r>
              <w:rPr>
                <w:lang w:val="lv-LV"/>
              </w:rPr>
              <w:t xml:space="preserve"> atbalsta noteikumu projekta virzību.</w:t>
            </w:r>
          </w:p>
        </w:tc>
      </w:tr>
      <w:tr w:rsidR="004B78BD" w:rsidRPr="001F592A" w:rsidTr="0014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32" w:type="pct"/>
          </w:tcPr>
          <w:p w:rsidR="001F592A" w:rsidRPr="001F592A" w:rsidRDefault="001F592A" w:rsidP="001F592A">
            <w:pPr>
              <w:pStyle w:val="naisf"/>
              <w:rPr>
                <w:lang w:val="lv-LV"/>
              </w:rPr>
            </w:pPr>
            <w:r w:rsidRPr="001F592A">
              <w:rPr>
                <w:lang w:val="lv-LV"/>
              </w:rPr>
              <w:t>4.</w:t>
            </w:r>
          </w:p>
        </w:tc>
        <w:tc>
          <w:tcPr>
            <w:tcW w:w="1330" w:type="pct"/>
            <w:gridSpan w:val="2"/>
          </w:tcPr>
          <w:p w:rsidR="001F592A" w:rsidRPr="001F592A" w:rsidRDefault="001F592A" w:rsidP="001F592A">
            <w:pPr>
              <w:pStyle w:val="naisf"/>
              <w:rPr>
                <w:lang w:val="lv-LV"/>
              </w:rPr>
            </w:pPr>
            <w:r w:rsidRPr="001F592A">
              <w:rPr>
                <w:lang w:val="lv-LV"/>
              </w:rPr>
              <w:t>Cita informācija</w:t>
            </w:r>
          </w:p>
        </w:tc>
        <w:tc>
          <w:tcPr>
            <w:tcW w:w="3538" w:type="pct"/>
            <w:gridSpan w:val="2"/>
          </w:tcPr>
          <w:p w:rsidR="001F592A" w:rsidRPr="001F592A" w:rsidRDefault="001F592A" w:rsidP="001F592A">
            <w:pPr>
              <w:pStyle w:val="naisf"/>
              <w:rPr>
                <w:lang w:val="lv-LV"/>
              </w:rPr>
            </w:pPr>
            <w:r w:rsidRPr="001F592A">
              <w:rPr>
                <w:lang w:val="lv-LV"/>
              </w:rPr>
              <w:t>Nav.</w:t>
            </w:r>
          </w:p>
        </w:tc>
      </w:tr>
      <w:tr w:rsidR="001F592A" w:rsidRPr="001F592A" w:rsidTr="00146346">
        <w:trPr>
          <w:trHeight w:val="222"/>
        </w:trPr>
        <w:tc>
          <w:tcPr>
            <w:tcW w:w="4997" w:type="pct"/>
            <w:gridSpan w:val="5"/>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b/>
                <w:bCs/>
                <w:lang w:val="lv-LV"/>
              </w:rPr>
            </w:pPr>
            <w:r w:rsidRPr="001F592A">
              <w:rPr>
                <w:b/>
                <w:bCs/>
                <w:lang w:val="lv-LV"/>
              </w:rPr>
              <w:t>VII. Tiesību akta projekta izpildes nodrošināšana un tās ietekme uz institūcijām</w:t>
            </w:r>
          </w:p>
        </w:tc>
      </w:tr>
      <w:tr w:rsidR="004B78BD" w:rsidRPr="001F592A" w:rsidTr="00146346">
        <w:tc>
          <w:tcPr>
            <w:tcW w:w="555"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1.</w:t>
            </w:r>
          </w:p>
        </w:tc>
        <w:tc>
          <w:tcPr>
            <w:tcW w:w="1331"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Projekta izpildē iesaistītās institūcijas</w:t>
            </w:r>
          </w:p>
        </w:tc>
        <w:tc>
          <w:tcPr>
            <w:tcW w:w="3111" w:type="pct"/>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Pārtikas un veterinārais dienests.</w:t>
            </w:r>
          </w:p>
        </w:tc>
      </w:tr>
      <w:tr w:rsidR="004B78BD" w:rsidRPr="001F592A" w:rsidTr="00146346">
        <w:tc>
          <w:tcPr>
            <w:tcW w:w="555"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2.</w:t>
            </w:r>
          </w:p>
        </w:tc>
        <w:tc>
          <w:tcPr>
            <w:tcW w:w="1331"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 xml:space="preserve">Projekta izpildes ietekme uz pārvaldes funkcijām un institucionālo struktūru. </w:t>
            </w:r>
          </w:p>
          <w:p w:rsidR="001F592A" w:rsidRPr="001F592A" w:rsidRDefault="001F592A" w:rsidP="001F592A">
            <w:pPr>
              <w:pStyle w:val="naisf"/>
              <w:rPr>
                <w:lang w:val="lv-LV"/>
              </w:rPr>
            </w:pPr>
            <w:r w:rsidRPr="001F592A">
              <w:rPr>
                <w:lang w:val="lv-LV"/>
              </w:rPr>
              <w:t>Jaunu institūciju izveide, esošu institūciju likvidācija vai reorganizācija, to ietekme uz institūcijas cilvēkresursiem</w:t>
            </w:r>
          </w:p>
        </w:tc>
        <w:tc>
          <w:tcPr>
            <w:tcW w:w="3111" w:type="pct"/>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Projekts šo jomu neskar.</w:t>
            </w:r>
          </w:p>
        </w:tc>
      </w:tr>
      <w:tr w:rsidR="004B78BD" w:rsidRPr="001F592A" w:rsidTr="00146346">
        <w:tc>
          <w:tcPr>
            <w:tcW w:w="555"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3.</w:t>
            </w:r>
          </w:p>
        </w:tc>
        <w:tc>
          <w:tcPr>
            <w:tcW w:w="1331" w:type="pct"/>
            <w:gridSpan w:val="2"/>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Cita informācija</w:t>
            </w:r>
          </w:p>
        </w:tc>
        <w:tc>
          <w:tcPr>
            <w:tcW w:w="3111" w:type="pct"/>
            <w:tcBorders>
              <w:top w:val="outset" w:sz="6" w:space="0" w:color="000000"/>
              <w:left w:val="outset" w:sz="6" w:space="0" w:color="000000"/>
              <w:bottom w:val="outset" w:sz="6" w:space="0" w:color="000000"/>
              <w:right w:val="outset" w:sz="6" w:space="0" w:color="000000"/>
            </w:tcBorders>
          </w:tcPr>
          <w:p w:rsidR="001F592A" w:rsidRPr="001F592A" w:rsidRDefault="001F592A" w:rsidP="001F592A">
            <w:pPr>
              <w:pStyle w:val="naisf"/>
              <w:rPr>
                <w:lang w:val="lv-LV"/>
              </w:rPr>
            </w:pPr>
            <w:r w:rsidRPr="001F592A">
              <w:rPr>
                <w:lang w:val="lv-LV"/>
              </w:rPr>
              <w:t>Nav.</w:t>
            </w:r>
          </w:p>
        </w:tc>
      </w:tr>
    </w:tbl>
    <w:p w:rsidR="00F8106A" w:rsidRDefault="001F592A" w:rsidP="001F592A">
      <w:pPr>
        <w:pStyle w:val="naisf"/>
        <w:spacing w:before="0" w:beforeAutospacing="0" w:after="0" w:afterAutospacing="0"/>
        <w:rPr>
          <w:sz w:val="28"/>
          <w:szCs w:val="28"/>
          <w:lang w:val="lv-LV"/>
        </w:rPr>
      </w:pPr>
      <w:r>
        <w:rPr>
          <w:sz w:val="28"/>
          <w:szCs w:val="28"/>
          <w:lang w:val="lv-LV"/>
        </w:rPr>
        <w:tab/>
      </w:r>
    </w:p>
    <w:p w:rsidR="001F592A" w:rsidRPr="001F592A" w:rsidRDefault="00F8106A" w:rsidP="001F592A">
      <w:pPr>
        <w:pStyle w:val="naisf"/>
        <w:spacing w:before="0" w:beforeAutospacing="0" w:after="0" w:afterAutospacing="0"/>
        <w:rPr>
          <w:sz w:val="28"/>
          <w:szCs w:val="28"/>
          <w:lang w:val="lv-LV"/>
        </w:rPr>
      </w:pPr>
      <w:r>
        <w:rPr>
          <w:sz w:val="28"/>
          <w:szCs w:val="28"/>
          <w:lang w:val="lv-LV"/>
        </w:rPr>
        <w:tab/>
      </w:r>
      <w:r w:rsidR="001F592A" w:rsidRPr="001F592A">
        <w:rPr>
          <w:sz w:val="28"/>
          <w:szCs w:val="28"/>
          <w:lang w:val="lv-LV"/>
        </w:rPr>
        <w:t>Zemkopības ministrs</w:t>
      </w:r>
      <w:r w:rsidR="001F592A" w:rsidRPr="001F592A">
        <w:rPr>
          <w:sz w:val="28"/>
          <w:szCs w:val="28"/>
          <w:lang w:val="lv-LV"/>
        </w:rPr>
        <w:tab/>
      </w:r>
      <w:r w:rsidR="001F592A" w:rsidRPr="001F592A">
        <w:rPr>
          <w:sz w:val="28"/>
          <w:szCs w:val="28"/>
          <w:lang w:val="lv-LV"/>
        </w:rPr>
        <w:tab/>
      </w:r>
      <w:r w:rsidR="001F592A" w:rsidRPr="001F592A">
        <w:rPr>
          <w:sz w:val="28"/>
          <w:szCs w:val="28"/>
          <w:lang w:val="lv-LV"/>
        </w:rPr>
        <w:tab/>
      </w:r>
      <w:r w:rsidR="001F592A" w:rsidRPr="001F592A">
        <w:rPr>
          <w:sz w:val="28"/>
          <w:szCs w:val="28"/>
          <w:lang w:val="lv-LV"/>
        </w:rPr>
        <w:tab/>
      </w:r>
      <w:r w:rsidR="001F592A" w:rsidRPr="001F592A">
        <w:rPr>
          <w:sz w:val="28"/>
          <w:szCs w:val="28"/>
          <w:lang w:val="lv-LV"/>
        </w:rPr>
        <w:tab/>
      </w:r>
      <w:r w:rsidR="001F592A" w:rsidRPr="001F592A">
        <w:rPr>
          <w:sz w:val="28"/>
          <w:szCs w:val="28"/>
          <w:lang w:val="lv-LV"/>
        </w:rPr>
        <w:tab/>
        <w:t>J.Dūklavs</w:t>
      </w:r>
    </w:p>
    <w:p w:rsidR="001F592A" w:rsidRDefault="001F592A" w:rsidP="001F592A">
      <w:pPr>
        <w:pStyle w:val="naisf"/>
        <w:rPr>
          <w:lang w:val="lv-LV"/>
        </w:rPr>
      </w:pPr>
    </w:p>
    <w:p w:rsidR="008D65D2" w:rsidRDefault="008D65D2" w:rsidP="001F592A">
      <w:pPr>
        <w:pStyle w:val="naisf"/>
        <w:rPr>
          <w:lang w:val="lv-LV"/>
        </w:rPr>
      </w:pPr>
    </w:p>
    <w:p w:rsidR="008D65D2" w:rsidRDefault="008D65D2" w:rsidP="001F592A">
      <w:pPr>
        <w:pStyle w:val="naisf"/>
        <w:rPr>
          <w:lang w:val="lv-LV"/>
        </w:rPr>
      </w:pPr>
    </w:p>
    <w:p w:rsidR="008D65D2" w:rsidRPr="001F592A" w:rsidRDefault="008D65D2" w:rsidP="001F592A">
      <w:pPr>
        <w:pStyle w:val="naisf"/>
        <w:rPr>
          <w:lang w:val="lv-LV"/>
        </w:rPr>
      </w:pPr>
    </w:p>
    <w:p w:rsidR="008D65D2" w:rsidRDefault="008D65D2" w:rsidP="001F592A">
      <w:pPr>
        <w:pStyle w:val="naisf"/>
        <w:spacing w:before="0" w:beforeAutospacing="0" w:after="0" w:afterAutospacing="0"/>
        <w:rPr>
          <w:sz w:val="20"/>
          <w:szCs w:val="20"/>
          <w:lang w:val="lv-LV"/>
        </w:rPr>
      </w:pPr>
      <w:r>
        <w:rPr>
          <w:sz w:val="20"/>
          <w:szCs w:val="20"/>
          <w:lang w:val="lv-LV"/>
        </w:rPr>
        <w:t>2014.08.07. 15:16</w:t>
      </w:r>
    </w:p>
    <w:p w:rsidR="00E33CAD" w:rsidRDefault="00E33CAD" w:rsidP="001F592A">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1911</w:t>
      </w:r>
      <w:r>
        <w:rPr>
          <w:sz w:val="20"/>
          <w:szCs w:val="20"/>
          <w:lang w:val="lv-LV"/>
        </w:rPr>
        <w:fldChar w:fldCharType="end"/>
      </w:r>
    </w:p>
    <w:p w:rsidR="001F592A" w:rsidRPr="00553905" w:rsidRDefault="007828C7" w:rsidP="001F592A">
      <w:pPr>
        <w:pStyle w:val="naisf"/>
        <w:spacing w:before="0" w:beforeAutospacing="0" w:after="0" w:afterAutospacing="0"/>
        <w:rPr>
          <w:sz w:val="20"/>
          <w:szCs w:val="20"/>
          <w:lang w:val="lv-LV"/>
        </w:rPr>
      </w:pPr>
      <w:bookmarkStart w:id="2" w:name="_GoBack"/>
      <w:bookmarkEnd w:id="2"/>
      <w:r w:rsidRPr="00553905">
        <w:rPr>
          <w:sz w:val="20"/>
          <w:szCs w:val="20"/>
          <w:lang w:val="lv-LV"/>
        </w:rPr>
        <w:t>S.Vanaga</w:t>
      </w:r>
    </w:p>
    <w:p w:rsidR="001F592A" w:rsidRPr="00553905" w:rsidRDefault="001F592A" w:rsidP="001F592A">
      <w:pPr>
        <w:pStyle w:val="naisf"/>
        <w:spacing w:before="0" w:beforeAutospacing="0" w:after="0" w:afterAutospacing="0"/>
        <w:rPr>
          <w:sz w:val="20"/>
          <w:szCs w:val="20"/>
          <w:lang w:val="lv-LV"/>
        </w:rPr>
      </w:pPr>
      <w:r w:rsidRPr="00553905">
        <w:rPr>
          <w:sz w:val="20"/>
          <w:szCs w:val="20"/>
          <w:lang w:val="lv-LV"/>
        </w:rPr>
        <w:t>67027</w:t>
      </w:r>
      <w:r w:rsidR="007828C7" w:rsidRPr="00553905">
        <w:rPr>
          <w:sz w:val="20"/>
          <w:szCs w:val="20"/>
          <w:lang w:val="lv-LV"/>
        </w:rPr>
        <w:t>363</w:t>
      </w:r>
      <w:r w:rsidRPr="00553905">
        <w:rPr>
          <w:sz w:val="20"/>
          <w:szCs w:val="20"/>
          <w:lang w:val="lv-LV"/>
        </w:rPr>
        <w:t xml:space="preserve">, </w:t>
      </w:r>
      <w:r w:rsidR="007B3E32" w:rsidRPr="00E33CAD">
        <w:rPr>
          <w:sz w:val="20"/>
          <w:szCs w:val="20"/>
          <w:lang w:val="lv-LV"/>
        </w:rPr>
        <w:t>Sanita.Vanaga@zm.gov.lv</w:t>
      </w:r>
    </w:p>
    <w:bookmarkEnd w:id="0"/>
    <w:bookmarkEnd w:id="1"/>
    <w:p w:rsidR="008A42B9" w:rsidRPr="008A42B9" w:rsidRDefault="008A42B9" w:rsidP="008A42B9">
      <w:pPr>
        <w:rPr>
          <w:rFonts w:eastAsia="Arial Unicode MS"/>
          <w:lang w:val="lv-LV"/>
        </w:rPr>
      </w:pPr>
    </w:p>
    <w:sectPr w:rsidR="008A42B9" w:rsidRPr="008A42B9" w:rsidSect="00766002">
      <w:headerReference w:type="even" r:id="rId9"/>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81" w:rsidRDefault="00401081">
      <w:r>
        <w:separator/>
      </w:r>
    </w:p>
  </w:endnote>
  <w:endnote w:type="continuationSeparator" w:id="0">
    <w:p w:rsidR="00401081" w:rsidRDefault="0040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90" w:rsidRPr="008A42B9" w:rsidRDefault="00000890" w:rsidP="008A42B9">
    <w:pPr>
      <w:pStyle w:val="Kjene"/>
      <w:jc w:val="both"/>
      <w:rPr>
        <w:rFonts w:ascii="Times New Roman" w:hAnsi="Times New Roman"/>
        <w:sz w:val="20"/>
      </w:rPr>
    </w:pPr>
    <w:r w:rsidRPr="008A42B9">
      <w:rPr>
        <w:rFonts w:ascii="Times New Roman" w:hAnsi="Times New Roman"/>
        <w:sz w:val="20"/>
      </w:rPr>
      <w:t>Z</w:t>
    </w:r>
    <w:r>
      <w:rPr>
        <w:rFonts w:ascii="Times New Roman" w:hAnsi="Times New Roman"/>
        <w:sz w:val="20"/>
      </w:rPr>
      <w:t>MAnot_</w:t>
    </w:r>
    <w:r w:rsidR="007828C7">
      <w:rPr>
        <w:rFonts w:ascii="Times New Roman" w:hAnsi="Times New Roman"/>
        <w:sz w:val="20"/>
      </w:rPr>
      <w:t>0</w:t>
    </w:r>
    <w:r w:rsidR="008D65D2">
      <w:rPr>
        <w:rFonts w:ascii="Times New Roman" w:hAnsi="Times New Roman"/>
        <w:sz w:val="20"/>
      </w:rPr>
      <w:t>7</w:t>
    </w:r>
    <w:r w:rsidR="007828C7">
      <w:rPr>
        <w:rFonts w:ascii="Times New Roman" w:hAnsi="Times New Roman"/>
        <w:sz w:val="20"/>
      </w:rPr>
      <w:t>08</w:t>
    </w:r>
    <w:r w:rsidRPr="008A42B9">
      <w:rPr>
        <w:rFonts w:ascii="Times New Roman" w:hAnsi="Times New Roman"/>
        <w:sz w:val="20"/>
      </w:rPr>
      <w:t>14_afrikasmeris; Grozījumi Ministru kabineta 2004.gada 17.februāra noteikumos Nr.83</w:t>
    </w:r>
  </w:p>
  <w:p w:rsidR="00000890" w:rsidRPr="008A42B9" w:rsidRDefault="00000890" w:rsidP="008A42B9">
    <w:pPr>
      <w:pStyle w:val="Kjene"/>
      <w:jc w:val="both"/>
      <w:rPr>
        <w:rFonts w:ascii="Times New Roman" w:hAnsi="Times New Roman"/>
        <w:sz w:val="20"/>
        <w:lang w:val="fi-FI"/>
      </w:rPr>
    </w:pPr>
    <w:r w:rsidRPr="008A42B9">
      <w:rPr>
        <w:rFonts w:ascii="Times New Roman" w:hAnsi="Times New Roman"/>
        <w:sz w:val="20"/>
      </w:rPr>
      <w:t>„</w:t>
    </w:r>
    <w:r w:rsidRPr="008A42B9">
      <w:rPr>
        <w:rFonts w:ascii="Times New Roman" w:hAnsi="Times New Roman"/>
        <w:bCs/>
        <w:sz w:val="20"/>
      </w:rPr>
      <w:t>Āfrikas cūku mēra likvidēšanas un draudu novēršanas kārtība</w:t>
    </w:r>
    <w:r w:rsidRPr="008A42B9">
      <w:rPr>
        <w:rFonts w:ascii="Times New Roman" w:hAnsi="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90" w:rsidRPr="008A42B9" w:rsidRDefault="00000890" w:rsidP="008A42B9">
    <w:pPr>
      <w:pStyle w:val="Kjene"/>
      <w:rPr>
        <w:rFonts w:ascii="Times New Roman" w:hAnsi="Times New Roman"/>
        <w:sz w:val="20"/>
      </w:rPr>
    </w:pPr>
    <w:r w:rsidRPr="008A42B9">
      <w:rPr>
        <w:rFonts w:ascii="Times New Roman" w:hAnsi="Times New Roman"/>
        <w:sz w:val="20"/>
      </w:rPr>
      <w:t>Z</w:t>
    </w:r>
    <w:r>
      <w:rPr>
        <w:rFonts w:ascii="Times New Roman" w:hAnsi="Times New Roman"/>
        <w:sz w:val="20"/>
      </w:rPr>
      <w:t>MAnot_</w:t>
    </w:r>
    <w:r w:rsidR="007828C7">
      <w:rPr>
        <w:rFonts w:ascii="Times New Roman" w:hAnsi="Times New Roman"/>
        <w:sz w:val="20"/>
      </w:rPr>
      <w:t>0</w:t>
    </w:r>
    <w:r w:rsidR="008D65D2">
      <w:rPr>
        <w:rFonts w:ascii="Times New Roman" w:hAnsi="Times New Roman"/>
        <w:sz w:val="20"/>
      </w:rPr>
      <w:t>7</w:t>
    </w:r>
    <w:r w:rsidR="007828C7">
      <w:rPr>
        <w:rFonts w:ascii="Times New Roman" w:hAnsi="Times New Roman"/>
        <w:sz w:val="20"/>
      </w:rPr>
      <w:t>08</w:t>
    </w:r>
    <w:r w:rsidRPr="008A42B9">
      <w:rPr>
        <w:rFonts w:ascii="Times New Roman" w:hAnsi="Times New Roman"/>
        <w:sz w:val="20"/>
      </w:rPr>
      <w:t>14_afrikasmeris; Grozījumi Ministru kabineta 2004.gada 17.februāra noteikumos Nr.83</w:t>
    </w:r>
  </w:p>
  <w:p w:rsidR="00000890" w:rsidRPr="008A42B9" w:rsidRDefault="00000890" w:rsidP="008A42B9">
    <w:pPr>
      <w:pStyle w:val="Kjene"/>
      <w:rPr>
        <w:rFonts w:ascii="Times New Roman" w:hAnsi="Times New Roman"/>
        <w:sz w:val="20"/>
        <w:lang w:val="fi-FI"/>
      </w:rPr>
    </w:pPr>
    <w:r w:rsidRPr="008A42B9">
      <w:rPr>
        <w:rFonts w:ascii="Times New Roman" w:hAnsi="Times New Roman"/>
        <w:sz w:val="20"/>
      </w:rPr>
      <w:t>„</w:t>
    </w:r>
    <w:r w:rsidRPr="008A42B9">
      <w:rPr>
        <w:rFonts w:ascii="Times New Roman" w:hAnsi="Times New Roman"/>
        <w:bCs/>
        <w:sz w:val="20"/>
      </w:rPr>
      <w:t>Āfrikas cūku mēra likvidēšanas un draudu novēršanas kārtība</w:t>
    </w:r>
    <w:r w:rsidRPr="008A42B9">
      <w:rP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81" w:rsidRDefault="00401081">
      <w:r>
        <w:separator/>
      </w:r>
    </w:p>
  </w:footnote>
  <w:footnote w:type="continuationSeparator" w:id="0">
    <w:p w:rsidR="00401081" w:rsidRDefault="0040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90" w:rsidRDefault="0000089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00890" w:rsidRDefault="0000089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90" w:rsidRDefault="0000089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33CAD">
      <w:rPr>
        <w:rStyle w:val="Lappusesnumurs"/>
        <w:noProof/>
      </w:rPr>
      <w:t>7</w:t>
    </w:r>
    <w:r>
      <w:rPr>
        <w:rStyle w:val="Lappusesnumurs"/>
      </w:rPr>
      <w:fldChar w:fldCharType="end"/>
    </w:r>
  </w:p>
  <w:p w:rsidR="00000890" w:rsidRDefault="0000089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0890"/>
    <w:rsid w:val="00001CFA"/>
    <w:rsid w:val="000030F6"/>
    <w:rsid w:val="00003470"/>
    <w:rsid w:val="00004B99"/>
    <w:rsid w:val="00011500"/>
    <w:rsid w:val="0001274B"/>
    <w:rsid w:val="000137AA"/>
    <w:rsid w:val="000168B7"/>
    <w:rsid w:val="0002330F"/>
    <w:rsid w:val="0002456C"/>
    <w:rsid w:val="00026D31"/>
    <w:rsid w:val="0003130D"/>
    <w:rsid w:val="000323C9"/>
    <w:rsid w:val="00032DD1"/>
    <w:rsid w:val="00034F8D"/>
    <w:rsid w:val="00035AEC"/>
    <w:rsid w:val="00037C03"/>
    <w:rsid w:val="00040105"/>
    <w:rsid w:val="00042DEB"/>
    <w:rsid w:val="00043915"/>
    <w:rsid w:val="00044555"/>
    <w:rsid w:val="000463AC"/>
    <w:rsid w:val="00054536"/>
    <w:rsid w:val="00056991"/>
    <w:rsid w:val="00057FBC"/>
    <w:rsid w:val="0006719B"/>
    <w:rsid w:val="0007255F"/>
    <w:rsid w:val="00072622"/>
    <w:rsid w:val="00074423"/>
    <w:rsid w:val="0007457C"/>
    <w:rsid w:val="00074D2A"/>
    <w:rsid w:val="0007562F"/>
    <w:rsid w:val="00075C44"/>
    <w:rsid w:val="0007746D"/>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449C"/>
    <w:rsid w:val="000A5652"/>
    <w:rsid w:val="000A67CD"/>
    <w:rsid w:val="000B076F"/>
    <w:rsid w:val="000B32EF"/>
    <w:rsid w:val="000B3D3E"/>
    <w:rsid w:val="000B4F28"/>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6086"/>
    <w:rsid w:val="00146346"/>
    <w:rsid w:val="001466B6"/>
    <w:rsid w:val="00150011"/>
    <w:rsid w:val="0015254E"/>
    <w:rsid w:val="00153C68"/>
    <w:rsid w:val="0015518E"/>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C1E"/>
    <w:rsid w:val="001919A5"/>
    <w:rsid w:val="001942B7"/>
    <w:rsid w:val="0019798B"/>
    <w:rsid w:val="001A10EA"/>
    <w:rsid w:val="001A3B92"/>
    <w:rsid w:val="001A3FFF"/>
    <w:rsid w:val="001A6148"/>
    <w:rsid w:val="001A7C43"/>
    <w:rsid w:val="001B2F73"/>
    <w:rsid w:val="001B3B95"/>
    <w:rsid w:val="001B4882"/>
    <w:rsid w:val="001C09FC"/>
    <w:rsid w:val="001C2A17"/>
    <w:rsid w:val="001C4904"/>
    <w:rsid w:val="001C5F46"/>
    <w:rsid w:val="001C7CA2"/>
    <w:rsid w:val="001D06A3"/>
    <w:rsid w:val="001D180D"/>
    <w:rsid w:val="001D5DAF"/>
    <w:rsid w:val="001D77D5"/>
    <w:rsid w:val="001E14E1"/>
    <w:rsid w:val="001E264B"/>
    <w:rsid w:val="001E3922"/>
    <w:rsid w:val="001E40A1"/>
    <w:rsid w:val="001E7670"/>
    <w:rsid w:val="001F1642"/>
    <w:rsid w:val="001F373B"/>
    <w:rsid w:val="001F5256"/>
    <w:rsid w:val="001F592A"/>
    <w:rsid w:val="001F5C16"/>
    <w:rsid w:val="002027AF"/>
    <w:rsid w:val="00203134"/>
    <w:rsid w:val="002043DB"/>
    <w:rsid w:val="00205C1E"/>
    <w:rsid w:val="0020639A"/>
    <w:rsid w:val="00206F98"/>
    <w:rsid w:val="00210E44"/>
    <w:rsid w:val="0021306B"/>
    <w:rsid w:val="0021364F"/>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7CB6"/>
    <w:rsid w:val="002B1905"/>
    <w:rsid w:val="002B24A9"/>
    <w:rsid w:val="002B3C9B"/>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198C"/>
    <w:rsid w:val="00363ADB"/>
    <w:rsid w:val="003642DA"/>
    <w:rsid w:val="00366C0D"/>
    <w:rsid w:val="00366E84"/>
    <w:rsid w:val="0037053D"/>
    <w:rsid w:val="00370ED5"/>
    <w:rsid w:val="00370F96"/>
    <w:rsid w:val="00371C48"/>
    <w:rsid w:val="003750BF"/>
    <w:rsid w:val="003769E4"/>
    <w:rsid w:val="00376BBB"/>
    <w:rsid w:val="0038045D"/>
    <w:rsid w:val="00381A6C"/>
    <w:rsid w:val="00382167"/>
    <w:rsid w:val="00382B48"/>
    <w:rsid w:val="00384564"/>
    <w:rsid w:val="00386887"/>
    <w:rsid w:val="0038793B"/>
    <w:rsid w:val="00390386"/>
    <w:rsid w:val="00390C21"/>
    <w:rsid w:val="00394F91"/>
    <w:rsid w:val="00396612"/>
    <w:rsid w:val="00396735"/>
    <w:rsid w:val="003A4522"/>
    <w:rsid w:val="003A58B9"/>
    <w:rsid w:val="003A5A85"/>
    <w:rsid w:val="003B4687"/>
    <w:rsid w:val="003B6C47"/>
    <w:rsid w:val="003C2517"/>
    <w:rsid w:val="003C2B26"/>
    <w:rsid w:val="003C2C1B"/>
    <w:rsid w:val="003C40EB"/>
    <w:rsid w:val="003C4AC2"/>
    <w:rsid w:val="003C4FAD"/>
    <w:rsid w:val="003C7D75"/>
    <w:rsid w:val="003C7F18"/>
    <w:rsid w:val="003D0D4F"/>
    <w:rsid w:val="003D1F11"/>
    <w:rsid w:val="003D62B2"/>
    <w:rsid w:val="003D676D"/>
    <w:rsid w:val="003E1930"/>
    <w:rsid w:val="003E1A05"/>
    <w:rsid w:val="003E36E3"/>
    <w:rsid w:val="003E745F"/>
    <w:rsid w:val="003F02D7"/>
    <w:rsid w:val="003F1B23"/>
    <w:rsid w:val="003F29A1"/>
    <w:rsid w:val="003F2C83"/>
    <w:rsid w:val="003F2F3C"/>
    <w:rsid w:val="003F3FBE"/>
    <w:rsid w:val="003F4446"/>
    <w:rsid w:val="00401081"/>
    <w:rsid w:val="0040262E"/>
    <w:rsid w:val="00402AE9"/>
    <w:rsid w:val="0040578E"/>
    <w:rsid w:val="0040663B"/>
    <w:rsid w:val="004067FF"/>
    <w:rsid w:val="004071C3"/>
    <w:rsid w:val="00410684"/>
    <w:rsid w:val="00412458"/>
    <w:rsid w:val="00413A82"/>
    <w:rsid w:val="00414016"/>
    <w:rsid w:val="00415584"/>
    <w:rsid w:val="0041773E"/>
    <w:rsid w:val="00417EB5"/>
    <w:rsid w:val="004208C4"/>
    <w:rsid w:val="00421F53"/>
    <w:rsid w:val="00422143"/>
    <w:rsid w:val="004249A6"/>
    <w:rsid w:val="00424AE1"/>
    <w:rsid w:val="0042741C"/>
    <w:rsid w:val="00430B69"/>
    <w:rsid w:val="004311F3"/>
    <w:rsid w:val="004326DF"/>
    <w:rsid w:val="00433382"/>
    <w:rsid w:val="004364EB"/>
    <w:rsid w:val="00437C04"/>
    <w:rsid w:val="004412D9"/>
    <w:rsid w:val="00443182"/>
    <w:rsid w:val="0044545F"/>
    <w:rsid w:val="004477F4"/>
    <w:rsid w:val="00452AC3"/>
    <w:rsid w:val="00453031"/>
    <w:rsid w:val="0045357B"/>
    <w:rsid w:val="00454E19"/>
    <w:rsid w:val="00457FF3"/>
    <w:rsid w:val="00460952"/>
    <w:rsid w:val="0046268C"/>
    <w:rsid w:val="0046446B"/>
    <w:rsid w:val="004645B8"/>
    <w:rsid w:val="00467FF3"/>
    <w:rsid w:val="004703EC"/>
    <w:rsid w:val="004706C4"/>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B78BD"/>
    <w:rsid w:val="004C07F8"/>
    <w:rsid w:val="004C1820"/>
    <w:rsid w:val="004C277C"/>
    <w:rsid w:val="004C4BAD"/>
    <w:rsid w:val="004C5C71"/>
    <w:rsid w:val="004D0202"/>
    <w:rsid w:val="004D120C"/>
    <w:rsid w:val="004D283F"/>
    <w:rsid w:val="004D29AD"/>
    <w:rsid w:val="004D2FD5"/>
    <w:rsid w:val="004D414B"/>
    <w:rsid w:val="004E0F9E"/>
    <w:rsid w:val="004E202E"/>
    <w:rsid w:val="004E30A5"/>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6F5F"/>
    <w:rsid w:val="0053651B"/>
    <w:rsid w:val="00537316"/>
    <w:rsid w:val="005402D9"/>
    <w:rsid w:val="005403CF"/>
    <w:rsid w:val="00541ED4"/>
    <w:rsid w:val="005433EB"/>
    <w:rsid w:val="005434A2"/>
    <w:rsid w:val="00544022"/>
    <w:rsid w:val="005448AB"/>
    <w:rsid w:val="00550CD0"/>
    <w:rsid w:val="00551DD5"/>
    <w:rsid w:val="00552C28"/>
    <w:rsid w:val="00553905"/>
    <w:rsid w:val="00556FB2"/>
    <w:rsid w:val="005601FE"/>
    <w:rsid w:val="00563687"/>
    <w:rsid w:val="00567B70"/>
    <w:rsid w:val="00571E48"/>
    <w:rsid w:val="00571FA1"/>
    <w:rsid w:val="00572BC9"/>
    <w:rsid w:val="0057449E"/>
    <w:rsid w:val="00575B15"/>
    <w:rsid w:val="00581A16"/>
    <w:rsid w:val="005820CE"/>
    <w:rsid w:val="00584C4B"/>
    <w:rsid w:val="005858F2"/>
    <w:rsid w:val="00585BD7"/>
    <w:rsid w:val="00585EF5"/>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619A"/>
    <w:rsid w:val="005D73DE"/>
    <w:rsid w:val="005E14A7"/>
    <w:rsid w:val="005E2038"/>
    <w:rsid w:val="005E3C44"/>
    <w:rsid w:val="005E5056"/>
    <w:rsid w:val="005E61B9"/>
    <w:rsid w:val="005F1986"/>
    <w:rsid w:val="005F548A"/>
    <w:rsid w:val="00602628"/>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4D5D"/>
    <w:rsid w:val="00675331"/>
    <w:rsid w:val="006754C4"/>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598E"/>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E0585"/>
    <w:rsid w:val="006E3915"/>
    <w:rsid w:val="006E4A20"/>
    <w:rsid w:val="006E63AB"/>
    <w:rsid w:val="006E6F98"/>
    <w:rsid w:val="006F4812"/>
    <w:rsid w:val="006F630C"/>
    <w:rsid w:val="00701EAF"/>
    <w:rsid w:val="00703C2C"/>
    <w:rsid w:val="00705B9B"/>
    <w:rsid w:val="00706ADC"/>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8C7"/>
    <w:rsid w:val="00782D80"/>
    <w:rsid w:val="00784E48"/>
    <w:rsid w:val="00785231"/>
    <w:rsid w:val="007A0796"/>
    <w:rsid w:val="007A1125"/>
    <w:rsid w:val="007A2810"/>
    <w:rsid w:val="007A3791"/>
    <w:rsid w:val="007A3B9F"/>
    <w:rsid w:val="007A514C"/>
    <w:rsid w:val="007A5B59"/>
    <w:rsid w:val="007A6FA0"/>
    <w:rsid w:val="007B15AB"/>
    <w:rsid w:val="007B3E32"/>
    <w:rsid w:val="007B4D27"/>
    <w:rsid w:val="007B665B"/>
    <w:rsid w:val="007C1935"/>
    <w:rsid w:val="007C3E31"/>
    <w:rsid w:val="007C4B74"/>
    <w:rsid w:val="007C4E5D"/>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D05"/>
    <w:rsid w:val="00801836"/>
    <w:rsid w:val="00805453"/>
    <w:rsid w:val="00807460"/>
    <w:rsid w:val="00810D6E"/>
    <w:rsid w:val="00811084"/>
    <w:rsid w:val="0081203D"/>
    <w:rsid w:val="00812BEB"/>
    <w:rsid w:val="00813764"/>
    <w:rsid w:val="00813C57"/>
    <w:rsid w:val="00814C6A"/>
    <w:rsid w:val="008173F0"/>
    <w:rsid w:val="008208D0"/>
    <w:rsid w:val="008220EA"/>
    <w:rsid w:val="0082265D"/>
    <w:rsid w:val="00822F01"/>
    <w:rsid w:val="008231FE"/>
    <w:rsid w:val="00833431"/>
    <w:rsid w:val="00833CB3"/>
    <w:rsid w:val="00835193"/>
    <w:rsid w:val="00836F29"/>
    <w:rsid w:val="00837735"/>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42B9"/>
    <w:rsid w:val="008A4B6E"/>
    <w:rsid w:val="008A54A5"/>
    <w:rsid w:val="008B0F1E"/>
    <w:rsid w:val="008B248C"/>
    <w:rsid w:val="008C33A0"/>
    <w:rsid w:val="008C6F66"/>
    <w:rsid w:val="008D05D4"/>
    <w:rsid w:val="008D28CB"/>
    <w:rsid w:val="008D336F"/>
    <w:rsid w:val="008D3438"/>
    <w:rsid w:val="008D5DC0"/>
    <w:rsid w:val="008D65D2"/>
    <w:rsid w:val="008D7832"/>
    <w:rsid w:val="008D7C17"/>
    <w:rsid w:val="008D7CB8"/>
    <w:rsid w:val="008E0C51"/>
    <w:rsid w:val="008E1329"/>
    <w:rsid w:val="008E28DC"/>
    <w:rsid w:val="008E384F"/>
    <w:rsid w:val="008E4991"/>
    <w:rsid w:val="008E4D21"/>
    <w:rsid w:val="008E60C0"/>
    <w:rsid w:val="008E76CE"/>
    <w:rsid w:val="008E7C94"/>
    <w:rsid w:val="008F0DDD"/>
    <w:rsid w:val="008F239E"/>
    <w:rsid w:val="008F2C3C"/>
    <w:rsid w:val="008F3459"/>
    <w:rsid w:val="008F3942"/>
    <w:rsid w:val="008F7098"/>
    <w:rsid w:val="009003B8"/>
    <w:rsid w:val="0091356D"/>
    <w:rsid w:val="0091545F"/>
    <w:rsid w:val="00915777"/>
    <w:rsid w:val="00922501"/>
    <w:rsid w:val="00922CC9"/>
    <w:rsid w:val="0092335B"/>
    <w:rsid w:val="009278E8"/>
    <w:rsid w:val="00930777"/>
    <w:rsid w:val="00933742"/>
    <w:rsid w:val="009340A8"/>
    <w:rsid w:val="009402E4"/>
    <w:rsid w:val="00942028"/>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5D4C"/>
    <w:rsid w:val="009761A4"/>
    <w:rsid w:val="009816F5"/>
    <w:rsid w:val="0098399E"/>
    <w:rsid w:val="0099066A"/>
    <w:rsid w:val="0099390A"/>
    <w:rsid w:val="00996A3D"/>
    <w:rsid w:val="009A24CA"/>
    <w:rsid w:val="009A49E1"/>
    <w:rsid w:val="009A664E"/>
    <w:rsid w:val="009A678E"/>
    <w:rsid w:val="009A7AFC"/>
    <w:rsid w:val="009B3D43"/>
    <w:rsid w:val="009B4F7D"/>
    <w:rsid w:val="009B61A9"/>
    <w:rsid w:val="009B7FF9"/>
    <w:rsid w:val="009C2A21"/>
    <w:rsid w:val="009C6B02"/>
    <w:rsid w:val="009C7611"/>
    <w:rsid w:val="009C7745"/>
    <w:rsid w:val="009D0D27"/>
    <w:rsid w:val="009D2A06"/>
    <w:rsid w:val="009D379B"/>
    <w:rsid w:val="009D3A54"/>
    <w:rsid w:val="009D6967"/>
    <w:rsid w:val="009E04D3"/>
    <w:rsid w:val="009E1934"/>
    <w:rsid w:val="009E2709"/>
    <w:rsid w:val="009E76E9"/>
    <w:rsid w:val="009F3D1F"/>
    <w:rsid w:val="009F4C7E"/>
    <w:rsid w:val="009F5B68"/>
    <w:rsid w:val="00A01405"/>
    <w:rsid w:val="00A02244"/>
    <w:rsid w:val="00A06C99"/>
    <w:rsid w:val="00A07DDC"/>
    <w:rsid w:val="00A10F09"/>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4457"/>
    <w:rsid w:val="00A44EA9"/>
    <w:rsid w:val="00A604F2"/>
    <w:rsid w:val="00A618F6"/>
    <w:rsid w:val="00A6353D"/>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FBC"/>
    <w:rsid w:val="00AB5A60"/>
    <w:rsid w:val="00AC0691"/>
    <w:rsid w:val="00AC2439"/>
    <w:rsid w:val="00AC7264"/>
    <w:rsid w:val="00AD3AF0"/>
    <w:rsid w:val="00AD3FDA"/>
    <w:rsid w:val="00AD430A"/>
    <w:rsid w:val="00AE02A3"/>
    <w:rsid w:val="00AE3ECB"/>
    <w:rsid w:val="00AE500B"/>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698C"/>
    <w:rsid w:val="00B36DAD"/>
    <w:rsid w:val="00B40B98"/>
    <w:rsid w:val="00B42144"/>
    <w:rsid w:val="00B47275"/>
    <w:rsid w:val="00B47B5C"/>
    <w:rsid w:val="00B50388"/>
    <w:rsid w:val="00B504B0"/>
    <w:rsid w:val="00B51624"/>
    <w:rsid w:val="00B55351"/>
    <w:rsid w:val="00B55EA8"/>
    <w:rsid w:val="00B6023B"/>
    <w:rsid w:val="00B63B5F"/>
    <w:rsid w:val="00B64EEF"/>
    <w:rsid w:val="00B65FEE"/>
    <w:rsid w:val="00B66D04"/>
    <w:rsid w:val="00B67002"/>
    <w:rsid w:val="00B71D8C"/>
    <w:rsid w:val="00B736F5"/>
    <w:rsid w:val="00B75F5C"/>
    <w:rsid w:val="00B77BE8"/>
    <w:rsid w:val="00B82F71"/>
    <w:rsid w:val="00B84E28"/>
    <w:rsid w:val="00B85613"/>
    <w:rsid w:val="00B85F3C"/>
    <w:rsid w:val="00B87389"/>
    <w:rsid w:val="00B90FB8"/>
    <w:rsid w:val="00B9449B"/>
    <w:rsid w:val="00BA299F"/>
    <w:rsid w:val="00BA2FEA"/>
    <w:rsid w:val="00BA3C5D"/>
    <w:rsid w:val="00BA3E1C"/>
    <w:rsid w:val="00BA41FC"/>
    <w:rsid w:val="00BA6631"/>
    <w:rsid w:val="00BA7758"/>
    <w:rsid w:val="00BB2CA5"/>
    <w:rsid w:val="00BB4D9B"/>
    <w:rsid w:val="00BB5197"/>
    <w:rsid w:val="00BC0D6B"/>
    <w:rsid w:val="00BC15F0"/>
    <w:rsid w:val="00BC1700"/>
    <w:rsid w:val="00BC33D0"/>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B5A"/>
    <w:rsid w:val="00C30D24"/>
    <w:rsid w:val="00C31253"/>
    <w:rsid w:val="00C313BE"/>
    <w:rsid w:val="00C32D09"/>
    <w:rsid w:val="00C33C92"/>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7B6"/>
    <w:rsid w:val="00C76CD0"/>
    <w:rsid w:val="00C86BD2"/>
    <w:rsid w:val="00C8717F"/>
    <w:rsid w:val="00C87AFB"/>
    <w:rsid w:val="00C87B21"/>
    <w:rsid w:val="00C9138E"/>
    <w:rsid w:val="00C9293F"/>
    <w:rsid w:val="00C9386D"/>
    <w:rsid w:val="00C93C7D"/>
    <w:rsid w:val="00C96A52"/>
    <w:rsid w:val="00CA1F22"/>
    <w:rsid w:val="00CB0289"/>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3027"/>
    <w:rsid w:val="00CE4139"/>
    <w:rsid w:val="00CE6072"/>
    <w:rsid w:val="00CE6F05"/>
    <w:rsid w:val="00CF2337"/>
    <w:rsid w:val="00CF32C2"/>
    <w:rsid w:val="00D005C1"/>
    <w:rsid w:val="00D0116A"/>
    <w:rsid w:val="00D016CE"/>
    <w:rsid w:val="00D03D95"/>
    <w:rsid w:val="00D042D0"/>
    <w:rsid w:val="00D069FC"/>
    <w:rsid w:val="00D1050C"/>
    <w:rsid w:val="00D12371"/>
    <w:rsid w:val="00D133F1"/>
    <w:rsid w:val="00D17E16"/>
    <w:rsid w:val="00D17F4D"/>
    <w:rsid w:val="00D20510"/>
    <w:rsid w:val="00D21018"/>
    <w:rsid w:val="00D224F4"/>
    <w:rsid w:val="00D2546F"/>
    <w:rsid w:val="00D25A3E"/>
    <w:rsid w:val="00D27E52"/>
    <w:rsid w:val="00D31091"/>
    <w:rsid w:val="00D31E5B"/>
    <w:rsid w:val="00D34862"/>
    <w:rsid w:val="00D45515"/>
    <w:rsid w:val="00D509B4"/>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1C5"/>
    <w:rsid w:val="00D87C45"/>
    <w:rsid w:val="00D92523"/>
    <w:rsid w:val="00D9475E"/>
    <w:rsid w:val="00D96580"/>
    <w:rsid w:val="00D97434"/>
    <w:rsid w:val="00DA138A"/>
    <w:rsid w:val="00DA3897"/>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5BE4"/>
    <w:rsid w:val="00DD60C1"/>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6F9B"/>
    <w:rsid w:val="00E14CDF"/>
    <w:rsid w:val="00E2125C"/>
    <w:rsid w:val="00E2273F"/>
    <w:rsid w:val="00E22EFF"/>
    <w:rsid w:val="00E315AC"/>
    <w:rsid w:val="00E326EC"/>
    <w:rsid w:val="00E33CAD"/>
    <w:rsid w:val="00E34C56"/>
    <w:rsid w:val="00E34D2F"/>
    <w:rsid w:val="00E34F56"/>
    <w:rsid w:val="00E351EE"/>
    <w:rsid w:val="00E35982"/>
    <w:rsid w:val="00E36952"/>
    <w:rsid w:val="00E36E68"/>
    <w:rsid w:val="00E37FE3"/>
    <w:rsid w:val="00E40BD9"/>
    <w:rsid w:val="00E46A87"/>
    <w:rsid w:val="00E4715A"/>
    <w:rsid w:val="00E473FE"/>
    <w:rsid w:val="00E52D2D"/>
    <w:rsid w:val="00E56B01"/>
    <w:rsid w:val="00E57F7B"/>
    <w:rsid w:val="00E61540"/>
    <w:rsid w:val="00E61AD5"/>
    <w:rsid w:val="00E63114"/>
    <w:rsid w:val="00E664C7"/>
    <w:rsid w:val="00E73750"/>
    <w:rsid w:val="00E800E6"/>
    <w:rsid w:val="00E81221"/>
    <w:rsid w:val="00E82751"/>
    <w:rsid w:val="00E850A5"/>
    <w:rsid w:val="00E85136"/>
    <w:rsid w:val="00E8584F"/>
    <w:rsid w:val="00E90845"/>
    <w:rsid w:val="00E94440"/>
    <w:rsid w:val="00E94E94"/>
    <w:rsid w:val="00E952E0"/>
    <w:rsid w:val="00E96623"/>
    <w:rsid w:val="00E96929"/>
    <w:rsid w:val="00E975A7"/>
    <w:rsid w:val="00EA2490"/>
    <w:rsid w:val="00EA2C74"/>
    <w:rsid w:val="00EA4AD5"/>
    <w:rsid w:val="00EA6FB7"/>
    <w:rsid w:val="00EB078B"/>
    <w:rsid w:val="00EB346F"/>
    <w:rsid w:val="00EB395A"/>
    <w:rsid w:val="00EB4DFC"/>
    <w:rsid w:val="00EB59AA"/>
    <w:rsid w:val="00EB64BA"/>
    <w:rsid w:val="00EB6920"/>
    <w:rsid w:val="00EB6A46"/>
    <w:rsid w:val="00EB722D"/>
    <w:rsid w:val="00EB73E8"/>
    <w:rsid w:val="00EC39D3"/>
    <w:rsid w:val="00EC60D4"/>
    <w:rsid w:val="00EC74AC"/>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16EBF"/>
    <w:rsid w:val="00F20FEC"/>
    <w:rsid w:val="00F21D44"/>
    <w:rsid w:val="00F238D5"/>
    <w:rsid w:val="00F27286"/>
    <w:rsid w:val="00F2763C"/>
    <w:rsid w:val="00F31BD0"/>
    <w:rsid w:val="00F32B1E"/>
    <w:rsid w:val="00F34B64"/>
    <w:rsid w:val="00F363E9"/>
    <w:rsid w:val="00F431E3"/>
    <w:rsid w:val="00F43267"/>
    <w:rsid w:val="00F517A7"/>
    <w:rsid w:val="00F53357"/>
    <w:rsid w:val="00F53ADF"/>
    <w:rsid w:val="00F5583D"/>
    <w:rsid w:val="00F57AC9"/>
    <w:rsid w:val="00F57B84"/>
    <w:rsid w:val="00F629B9"/>
    <w:rsid w:val="00F6312D"/>
    <w:rsid w:val="00F639BB"/>
    <w:rsid w:val="00F64F2F"/>
    <w:rsid w:val="00F67876"/>
    <w:rsid w:val="00F67FA1"/>
    <w:rsid w:val="00F72274"/>
    <w:rsid w:val="00F776DA"/>
    <w:rsid w:val="00F80D92"/>
    <w:rsid w:val="00F8106A"/>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6BDD"/>
    <w:rsid w:val="00FA6FD0"/>
    <w:rsid w:val="00FB0DFB"/>
    <w:rsid w:val="00FB12AC"/>
    <w:rsid w:val="00FB20CF"/>
    <w:rsid w:val="00FB4839"/>
    <w:rsid w:val="00FB6B3F"/>
    <w:rsid w:val="00FC1248"/>
    <w:rsid w:val="00FC13D5"/>
    <w:rsid w:val="00FC1AAF"/>
    <w:rsid w:val="00FC25E0"/>
    <w:rsid w:val="00FC58EA"/>
    <w:rsid w:val="00FC674E"/>
    <w:rsid w:val="00FC6EE5"/>
    <w:rsid w:val="00FC73F6"/>
    <w:rsid w:val="00FD0941"/>
    <w:rsid w:val="00FD1137"/>
    <w:rsid w:val="00FD194D"/>
    <w:rsid w:val="00FD1AE2"/>
    <w:rsid w:val="00FD1D47"/>
    <w:rsid w:val="00FD247B"/>
    <w:rsid w:val="00FD27DC"/>
    <w:rsid w:val="00FD3CB9"/>
    <w:rsid w:val="00FD51CF"/>
    <w:rsid w:val="00FD61A0"/>
    <w:rsid w:val="00FE13C3"/>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318D67-E545-4853-B1AC-4A1F2042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rsid w:val="000B4F28"/>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B4F28"/>
    <w:rPr>
      <w:rFonts w:cs="Times New Roman"/>
      <w:color w:val="auto"/>
    </w:rPr>
  </w:style>
  <w:style w:type="paragraph" w:customStyle="1" w:styleId="CM3">
    <w:name w:val="CM3"/>
    <w:basedOn w:val="Default"/>
    <w:next w:val="Default"/>
    <w:uiPriority w:val="99"/>
    <w:rsid w:val="000B4F28"/>
    <w:rPr>
      <w:rFonts w:cs="Times New Roman"/>
      <w:color w:val="auto"/>
    </w:rPr>
  </w:style>
  <w:style w:type="paragraph" w:customStyle="1" w:styleId="CM4">
    <w:name w:val="CM4"/>
    <w:basedOn w:val="Default"/>
    <w:next w:val="Default"/>
    <w:uiPriority w:val="99"/>
    <w:rsid w:val="000B4F28"/>
    <w:rPr>
      <w:rFonts w:cs="Times New Roman"/>
      <w:color w:val="auto"/>
    </w:rPr>
  </w:style>
  <w:style w:type="paragraph" w:styleId="Pamatteksts">
    <w:name w:val="Body Text"/>
    <w:basedOn w:val="Parasts"/>
    <w:link w:val="PamattekstsRakstz"/>
    <w:rsid w:val="00544022"/>
    <w:pPr>
      <w:spacing w:after="120"/>
    </w:pPr>
    <w:rPr>
      <w:lang w:val="lv-LV" w:eastAsia="lv-LV"/>
    </w:rPr>
  </w:style>
  <w:style w:type="character" w:customStyle="1" w:styleId="PamattekstsRakstz">
    <w:name w:val="Pamatteksts Rakstz."/>
    <w:basedOn w:val="Noklusjumarindkopasfonts"/>
    <w:link w:val="Pamatteksts"/>
    <w:rsid w:val="00544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R0853:20091101:L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FA34-86FB-4300-98D5-FCEA158B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14053</Characters>
  <Application>Microsoft Office Word</Application>
  <DocSecurity>0</DocSecurity>
  <Lines>669</Lines>
  <Paragraphs>271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Olita Vecuma-Veco</dc:creator>
  <dc:description>___________.___________@zm.gov.lv
tālr. ________________</dc:description>
  <cp:lastModifiedBy>ZM Lietvedibas nodala</cp:lastModifiedBy>
  <cp:revision>3</cp:revision>
  <cp:lastPrinted>2010-10-15T13:18:00Z</cp:lastPrinted>
  <dcterms:created xsi:type="dcterms:W3CDTF">2014-08-07T13:35:00Z</dcterms:created>
  <dcterms:modified xsi:type="dcterms:W3CDTF">2014-08-08T11:56:00Z</dcterms:modified>
</cp:coreProperties>
</file>