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04" w:rsidRPr="003D2A75" w:rsidRDefault="00895904" w:rsidP="00895904">
      <w:pPr>
        <w:jc w:val="center"/>
        <w:rPr>
          <w:b/>
          <w:sz w:val="28"/>
        </w:rPr>
      </w:pPr>
      <w:r w:rsidRPr="0097313A">
        <w:rPr>
          <w:b/>
          <w:sz w:val="28"/>
        </w:rPr>
        <w:t>Ministru kabineta noteikumu projekta „Grozījumi Ministru kabineta 2010.gada 2.marta noteikumos Nr.215 "Noteikumi par valsts atbalsta piešķiršanu zivsaimniecības attīstībai no Zivju fonda finanšu līdzekļiem"” sākotnējās ietekmes novērtējuma ziņojums (anotācija)</w:t>
      </w:r>
    </w:p>
    <w:p w:rsidR="00895904" w:rsidRPr="007505D9" w:rsidRDefault="00895904" w:rsidP="00895904">
      <w:pPr>
        <w:spacing w:before="45" w:line="360" w:lineRule="auto"/>
        <w:ind w:firstLine="300"/>
        <w:jc w:val="center"/>
        <w:rPr>
          <w:iCs/>
          <w:color w:val="414142"/>
          <w:sz w:val="22"/>
          <w:szCs w:val="22"/>
        </w:rPr>
      </w:pPr>
      <w:bookmarkStart w:id="0" w:name="468683"/>
      <w:bookmarkEnd w:id="0"/>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2841"/>
        <w:gridCol w:w="5849"/>
      </w:tblGrid>
      <w:tr w:rsidR="00895904" w:rsidRPr="007505D9" w:rsidTr="00FF1986">
        <w:trPr>
          <w:trHeight w:val="324"/>
          <w:tblCellSpacing w:w="15" w:type="dxa"/>
        </w:trPr>
        <w:tc>
          <w:tcPr>
            <w:tcW w:w="0" w:type="auto"/>
            <w:gridSpan w:val="3"/>
            <w:vAlign w:val="center"/>
            <w:hideMark/>
          </w:tcPr>
          <w:p w:rsidR="00895904" w:rsidRPr="007505D9" w:rsidRDefault="00895904" w:rsidP="00FF1986">
            <w:pPr>
              <w:spacing w:before="100" w:beforeAutospacing="1" w:after="100" w:afterAutospacing="1" w:line="360" w:lineRule="auto"/>
              <w:ind w:firstLine="300"/>
              <w:jc w:val="center"/>
              <w:rPr>
                <w:b/>
                <w:bCs/>
                <w:sz w:val="22"/>
                <w:szCs w:val="22"/>
              </w:rPr>
            </w:pPr>
            <w:r w:rsidRPr="007505D9">
              <w:rPr>
                <w:b/>
                <w:bCs/>
                <w:sz w:val="22"/>
                <w:szCs w:val="22"/>
              </w:rPr>
              <w:t>I. Tiesību akta projekta izstrādes nepieciešamība</w:t>
            </w:r>
          </w:p>
        </w:tc>
      </w:tr>
      <w:tr w:rsidR="00895904" w:rsidRPr="007505D9" w:rsidTr="00FF1986">
        <w:trPr>
          <w:trHeight w:val="324"/>
          <w:tblCellSpacing w:w="15" w:type="dxa"/>
        </w:trPr>
        <w:tc>
          <w:tcPr>
            <w:tcW w:w="247" w:type="pct"/>
            <w:hideMark/>
          </w:tcPr>
          <w:p w:rsidR="00895904" w:rsidRPr="007505D9" w:rsidRDefault="00895904" w:rsidP="00FF1986">
            <w:pPr>
              <w:rPr>
                <w:sz w:val="22"/>
                <w:szCs w:val="22"/>
              </w:rPr>
            </w:pPr>
            <w:r w:rsidRPr="007505D9">
              <w:rPr>
                <w:sz w:val="22"/>
                <w:szCs w:val="22"/>
              </w:rPr>
              <w:t>1.</w:t>
            </w:r>
          </w:p>
        </w:tc>
        <w:tc>
          <w:tcPr>
            <w:tcW w:w="1530" w:type="pct"/>
            <w:hideMark/>
          </w:tcPr>
          <w:p w:rsidR="00895904" w:rsidRPr="007505D9" w:rsidRDefault="00895904" w:rsidP="00FF1986">
            <w:pPr>
              <w:rPr>
                <w:sz w:val="22"/>
                <w:szCs w:val="22"/>
              </w:rPr>
            </w:pPr>
            <w:r w:rsidRPr="007505D9">
              <w:rPr>
                <w:sz w:val="22"/>
                <w:szCs w:val="22"/>
              </w:rPr>
              <w:t>Pamatojums</w:t>
            </w:r>
          </w:p>
        </w:tc>
        <w:tc>
          <w:tcPr>
            <w:tcW w:w="3158" w:type="pct"/>
            <w:hideMark/>
          </w:tcPr>
          <w:p w:rsidR="00895904" w:rsidRPr="007505D9" w:rsidRDefault="00895904" w:rsidP="00FF1986">
            <w:pPr>
              <w:jc w:val="both"/>
              <w:rPr>
                <w:sz w:val="22"/>
                <w:szCs w:val="22"/>
              </w:rPr>
            </w:pPr>
            <w:r w:rsidRPr="00A844B0">
              <w:rPr>
                <w:sz w:val="22"/>
                <w:szCs w:val="22"/>
              </w:rPr>
              <w:t xml:space="preserve">Deklarācijas par Laimdotas Straujumas vadītā Ministru kabineta iecerēto darbību 90.punkts un </w:t>
            </w:r>
            <w:r w:rsidRPr="0097313A">
              <w:rPr>
                <w:sz w:val="22"/>
                <w:szCs w:val="22"/>
              </w:rPr>
              <w:t>Lauksaimniecības un lauku attīstības likuma 5.panta ceturtā daļa</w:t>
            </w:r>
            <w:r w:rsidRPr="00A844B0">
              <w:rPr>
                <w:sz w:val="22"/>
                <w:szCs w:val="22"/>
              </w:rPr>
              <w:t>.</w:t>
            </w:r>
          </w:p>
        </w:tc>
      </w:tr>
      <w:tr w:rsidR="00895904" w:rsidRPr="007505D9" w:rsidTr="00FF1986">
        <w:trPr>
          <w:trHeight w:val="372"/>
          <w:tblCellSpacing w:w="15" w:type="dxa"/>
        </w:trPr>
        <w:tc>
          <w:tcPr>
            <w:tcW w:w="247" w:type="pct"/>
            <w:hideMark/>
          </w:tcPr>
          <w:p w:rsidR="00895904" w:rsidRPr="007505D9" w:rsidRDefault="00895904" w:rsidP="00FF1986">
            <w:pPr>
              <w:rPr>
                <w:sz w:val="22"/>
                <w:szCs w:val="22"/>
              </w:rPr>
            </w:pPr>
            <w:r w:rsidRPr="007505D9">
              <w:rPr>
                <w:sz w:val="22"/>
                <w:szCs w:val="22"/>
              </w:rPr>
              <w:t>2.</w:t>
            </w:r>
          </w:p>
        </w:tc>
        <w:tc>
          <w:tcPr>
            <w:tcW w:w="1530" w:type="pct"/>
            <w:hideMark/>
          </w:tcPr>
          <w:p w:rsidR="00895904" w:rsidRPr="007505D9" w:rsidRDefault="00895904" w:rsidP="00FF1986">
            <w:pPr>
              <w:rPr>
                <w:sz w:val="22"/>
                <w:szCs w:val="22"/>
              </w:rPr>
            </w:pPr>
            <w:r w:rsidRPr="007505D9">
              <w:rPr>
                <w:sz w:val="22"/>
                <w:szCs w:val="22"/>
              </w:rPr>
              <w:t>Pašreizējā situācija un problēmas, kuru risināšanai tiesību akta projekts izstrādāts, tiesiskā regulējuma mērķis un būtība</w:t>
            </w:r>
          </w:p>
        </w:tc>
        <w:tc>
          <w:tcPr>
            <w:tcW w:w="3158" w:type="pct"/>
            <w:hideMark/>
          </w:tcPr>
          <w:p w:rsidR="00895904" w:rsidRDefault="00895904" w:rsidP="00FF1986">
            <w:pPr>
              <w:jc w:val="both"/>
              <w:rPr>
                <w:sz w:val="22"/>
                <w:szCs w:val="22"/>
              </w:rPr>
            </w:pPr>
            <w:r w:rsidRPr="00A844B0">
              <w:rPr>
                <w:sz w:val="22"/>
                <w:szCs w:val="22"/>
              </w:rPr>
              <w:t>Ministru kabineta 1995.gada 19.decembra noteikum</w:t>
            </w:r>
            <w:r>
              <w:rPr>
                <w:sz w:val="22"/>
                <w:szCs w:val="22"/>
              </w:rPr>
              <w:t>u</w:t>
            </w:r>
            <w:r w:rsidRPr="00A844B0">
              <w:rPr>
                <w:sz w:val="22"/>
                <w:szCs w:val="22"/>
              </w:rPr>
              <w:t xml:space="preserve"> Nr.388 "Zivju fonda nolikums"</w:t>
            </w:r>
            <w:r>
              <w:rPr>
                <w:sz w:val="22"/>
                <w:szCs w:val="22"/>
              </w:rPr>
              <w:t xml:space="preserve"> (turpmāk – </w:t>
            </w:r>
            <w:r w:rsidRPr="0097313A">
              <w:rPr>
                <w:sz w:val="22"/>
                <w:szCs w:val="22"/>
              </w:rPr>
              <w:t>Zivju fonda nolikum</w:t>
            </w:r>
            <w:r>
              <w:rPr>
                <w:sz w:val="22"/>
                <w:szCs w:val="22"/>
              </w:rPr>
              <w:t xml:space="preserve">s) 8.4.apakšpunkts nosaka, ka viens no pasākumiem, kam izlieto Zivju fonda līdzekļus, ir atbalsts </w:t>
            </w:r>
            <w:r w:rsidRPr="0097313A">
              <w:rPr>
                <w:sz w:val="22"/>
                <w:szCs w:val="22"/>
              </w:rPr>
              <w:t xml:space="preserve">pašvaldību un </w:t>
            </w:r>
            <w:r>
              <w:rPr>
                <w:sz w:val="22"/>
                <w:szCs w:val="22"/>
              </w:rPr>
              <w:t>Valsts vides dienesta (turpmāk – VVD)</w:t>
            </w:r>
            <w:r w:rsidRPr="0097313A">
              <w:rPr>
                <w:sz w:val="22"/>
                <w:szCs w:val="22"/>
              </w:rPr>
              <w:t xml:space="preserve"> pilnvaroto personu iesaistīšana</w:t>
            </w:r>
            <w:r>
              <w:rPr>
                <w:sz w:val="22"/>
                <w:szCs w:val="22"/>
              </w:rPr>
              <w:t xml:space="preserve">i </w:t>
            </w:r>
            <w:r w:rsidRPr="0097313A">
              <w:rPr>
                <w:sz w:val="22"/>
                <w:szCs w:val="22"/>
              </w:rPr>
              <w:t>zvejas un makšķerēšanas kontrol</w:t>
            </w:r>
            <w:r>
              <w:rPr>
                <w:sz w:val="22"/>
                <w:szCs w:val="22"/>
              </w:rPr>
              <w:t>ē, un tas paredz, ka</w:t>
            </w:r>
            <w:r w:rsidRPr="0097313A">
              <w:rPr>
                <w:sz w:val="22"/>
                <w:szCs w:val="22"/>
              </w:rPr>
              <w:t xml:space="preserve"> attiecīgās pašvaldības norādītajā kontā vai VVD pamatbudžeta kontā saskaņā ar kompetentās valsts institūcijas lēmumu </w:t>
            </w:r>
            <w:r>
              <w:rPr>
                <w:sz w:val="22"/>
                <w:szCs w:val="22"/>
              </w:rPr>
              <w:t xml:space="preserve">tiek </w:t>
            </w:r>
            <w:r w:rsidRPr="0097313A">
              <w:rPr>
                <w:sz w:val="22"/>
                <w:szCs w:val="22"/>
              </w:rPr>
              <w:t>tieši ieskait</w:t>
            </w:r>
            <w:r>
              <w:rPr>
                <w:sz w:val="22"/>
                <w:szCs w:val="22"/>
              </w:rPr>
              <w:t>īti</w:t>
            </w:r>
            <w:r w:rsidRPr="0097313A">
              <w:rPr>
                <w:sz w:val="22"/>
                <w:szCs w:val="22"/>
              </w:rPr>
              <w:t xml:space="preserve"> līdzekļ</w:t>
            </w:r>
            <w:r>
              <w:rPr>
                <w:sz w:val="22"/>
                <w:szCs w:val="22"/>
              </w:rPr>
              <w:t>i</w:t>
            </w:r>
            <w:r w:rsidRPr="0097313A">
              <w:rPr>
                <w:sz w:val="22"/>
                <w:szCs w:val="22"/>
              </w:rPr>
              <w:t xml:space="preserve"> 40 % apmērā no ieņemtās naudas summas par zveju regulējošo normatīvo aktu pārkāpumiem, ko patstāvīgi atklājušas pašvaldību vai VVD pilnvarotās personas, un 40 % apmērā no ieņemtās naudas summas, kas iegūta pēc pašvaldību vai VVD pilnvaroto personu izņemto zivju, zvejas rīku un zvejas līdzekļu realizācijas</w:t>
            </w:r>
            <w:r>
              <w:rPr>
                <w:sz w:val="22"/>
                <w:szCs w:val="22"/>
              </w:rPr>
              <w:t xml:space="preserve"> (turpmāk – pilnvaroto personu iesaistīšana)</w:t>
            </w:r>
            <w:r w:rsidRPr="0097313A">
              <w:rPr>
                <w:sz w:val="22"/>
                <w:szCs w:val="22"/>
              </w:rPr>
              <w:t>.</w:t>
            </w:r>
          </w:p>
          <w:p w:rsidR="00895904" w:rsidRDefault="00895904" w:rsidP="00FF1986">
            <w:pPr>
              <w:jc w:val="both"/>
              <w:rPr>
                <w:sz w:val="22"/>
                <w:szCs w:val="22"/>
              </w:rPr>
            </w:pPr>
            <w:r>
              <w:rPr>
                <w:sz w:val="22"/>
                <w:szCs w:val="22"/>
              </w:rPr>
              <w:t xml:space="preserve">Zivju fonda padome 09.01.2014. sēdē nolēma (protokols Nr.153; 2.punkta 6. daļa un 4.punkts) </w:t>
            </w:r>
            <w:r w:rsidRPr="00250895">
              <w:rPr>
                <w:sz w:val="22"/>
                <w:szCs w:val="22"/>
              </w:rPr>
              <w:t>izsludināt oficiālajā izdevumā „Latvijas Vēstnesis” pieteikšanos Zivju fonda līdzekļu maksājumu saņemšanai pašvaldību un VVD pilnvaroto personu iesaistīšanai zvejas un makšķerēšanas kontrol</w:t>
            </w:r>
            <w:r>
              <w:rPr>
                <w:sz w:val="22"/>
                <w:szCs w:val="22"/>
              </w:rPr>
              <w:t>ē.</w:t>
            </w:r>
          </w:p>
          <w:p w:rsidR="00895904" w:rsidRDefault="00895904" w:rsidP="00FF1986">
            <w:pPr>
              <w:jc w:val="both"/>
              <w:rPr>
                <w:sz w:val="22"/>
                <w:szCs w:val="22"/>
              </w:rPr>
            </w:pPr>
            <w:r>
              <w:rPr>
                <w:sz w:val="22"/>
                <w:szCs w:val="22"/>
              </w:rPr>
              <w:t xml:space="preserve">Tomēr </w:t>
            </w:r>
            <w:r w:rsidRPr="00382CE1">
              <w:rPr>
                <w:sz w:val="22"/>
                <w:szCs w:val="22"/>
              </w:rPr>
              <w:t>Ministru kabineta 2010.gada 2.marta noteikumos Nr.215 "Noteikumi par valsts atbalsta piešķiršanu zivsaimniecības attīstībai no Zivju fonda finanšu līdzekļiem"</w:t>
            </w:r>
            <w:r>
              <w:rPr>
                <w:sz w:val="22"/>
                <w:szCs w:val="22"/>
              </w:rPr>
              <w:t xml:space="preserve"> (turpmāk – noteikumi Nr.215) nav noteikta kārtība, kādā piešķir valsts atbalstu pilnvaroto personu iesaistīšanai.</w:t>
            </w:r>
          </w:p>
          <w:p w:rsidR="00895904" w:rsidRDefault="00895904" w:rsidP="00FF1986">
            <w:pPr>
              <w:jc w:val="both"/>
              <w:rPr>
                <w:sz w:val="22"/>
                <w:szCs w:val="22"/>
              </w:rPr>
            </w:pPr>
            <w:r>
              <w:rPr>
                <w:sz w:val="22"/>
                <w:szCs w:val="22"/>
              </w:rPr>
              <w:t xml:space="preserve">Ar </w:t>
            </w:r>
            <w:r w:rsidRPr="00253790">
              <w:rPr>
                <w:sz w:val="22"/>
                <w:szCs w:val="22"/>
              </w:rPr>
              <w:t>Ministru kabineta noteikumu projekt</w:t>
            </w:r>
            <w:r>
              <w:rPr>
                <w:sz w:val="22"/>
                <w:szCs w:val="22"/>
              </w:rPr>
              <w:t>u</w:t>
            </w:r>
            <w:r w:rsidRPr="00253790">
              <w:rPr>
                <w:sz w:val="22"/>
                <w:szCs w:val="22"/>
              </w:rPr>
              <w:t xml:space="preserve"> „Grozījumi Ministru kabineta 2010.gada 2.marta noteikumos Nr.215 "Noteikumi par valsts atbalsta piešķiršanu zivsaimniecības attīstībai no Zivju fonda finanšu līdzekļiem"” </w:t>
            </w:r>
            <w:r>
              <w:rPr>
                <w:sz w:val="22"/>
                <w:szCs w:val="22"/>
              </w:rPr>
              <w:t xml:space="preserve">(turpmāk – noteikumu projekts) tiek izdarīti grozījumi noteikumos Nr.215, lai atbilstoši Zivju fonda nolikumā paredzētajam un Zivju fonda padomes (turpmāk – padome) lemtajam varētu sniegt atbalstu par </w:t>
            </w:r>
            <w:r w:rsidRPr="0097313A">
              <w:rPr>
                <w:sz w:val="22"/>
                <w:szCs w:val="22"/>
              </w:rPr>
              <w:t>pašvaldību un</w:t>
            </w:r>
            <w:r>
              <w:rPr>
                <w:sz w:val="22"/>
                <w:szCs w:val="22"/>
              </w:rPr>
              <w:t xml:space="preserve"> VVD</w:t>
            </w:r>
            <w:r w:rsidRPr="0097313A">
              <w:rPr>
                <w:sz w:val="22"/>
                <w:szCs w:val="22"/>
              </w:rPr>
              <w:t xml:space="preserve"> pilnvaroto personu iesaistīšan</w:t>
            </w:r>
            <w:r>
              <w:rPr>
                <w:sz w:val="22"/>
                <w:szCs w:val="22"/>
              </w:rPr>
              <w:t>u</w:t>
            </w:r>
            <w:r w:rsidRPr="0097313A">
              <w:rPr>
                <w:sz w:val="22"/>
                <w:szCs w:val="22"/>
              </w:rPr>
              <w:t xml:space="preserve"> zvejas un makšķerēšanas kontrol</w:t>
            </w:r>
            <w:r>
              <w:rPr>
                <w:sz w:val="22"/>
                <w:szCs w:val="22"/>
              </w:rPr>
              <w:t>ē.</w:t>
            </w:r>
          </w:p>
          <w:p w:rsidR="00895904" w:rsidRDefault="00895904" w:rsidP="00FF1986">
            <w:pPr>
              <w:jc w:val="both"/>
              <w:rPr>
                <w:sz w:val="22"/>
                <w:szCs w:val="22"/>
              </w:rPr>
            </w:pPr>
          </w:p>
          <w:p w:rsidR="00895904" w:rsidRDefault="00895904" w:rsidP="00FF1986">
            <w:pPr>
              <w:jc w:val="both"/>
              <w:rPr>
                <w:sz w:val="22"/>
                <w:szCs w:val="22"/>
              </w:rPr>
            </w:pPr>
            <w:r>
              <w:rPr>
                <w:sz w:val="22"/>
                <w:szCs w:val="22"/>
              </w:rPr>
              <w:t>Papildus ar noteikumu projektu tiek risināta problēma, kas rodas, ja Zivju fonda atbalsta saņēmēji z</w:t>
            </w:r>
            <w:r w:rsidRPr="006E6455">
              <w:rPr>
                <w:sz w:val="22"/>
                <w:szCs w:val="22"/>
              </w:rPr>
              <w:t>ivju mazuļu</w:t>
            </w:r>
            <w:r>
              <w:rPr>
                <w:sz w:val="22"/>
                <w:szCs w:val="22"/>
              </w:rPr>
              <w:t>s</w:t>
            </w:r>
            <w:r w:rsidRPr="006E6455">
              <w:rPr>
                <w:sz w:val="22"/>
                <w:szCs w:val="22"/>
              </w:rPr>
              <w:t xml:space="preserve"> dabiskajās ūdenstilpēs zivju resursu atražošanai un pavairošanai</w:t>
            </w:r>
            <w:r>
              <w:rPr>
                <w:sz w:val="22"/>
                <w:szCs w:val="22"/>
              </w:rPr>
              <w:t xml:space="preserve"> ielaiž</w:t>
            </w:r>
            <w:r w:rsidRPr="006E6455">
              <w:rPr>
                <w:sz w:val="22"/>
                <w:szCs w:val="22"/>
              </w:rPr>
              <w:t xml:space="preserve"> un zivju mazuļu ielaišanas akt</w:t>
            </w:r>
            <w:r>
              <w:rPr>
                <w:sz w:val="22"/>
                <w:szCs w:val="22"/>
              </w:rPr>
              <w:t>u</w:t>
            </w:r>
            <w:r w:rsidRPr="006E6455">
              <w:rPr>
                <w:sz w:val="22"/>
                <w:szCs w:val="22"/>
              </w:rPr>
              <w:t xml:space="preserve"> noformē</w:t>
            </w:r>
            <w:r>
              <w:rPr>
                <w:sz w:val="22"/>
                <w:szCs w:val="22"/>
              </w:rPr>
              <w:t>, neievērojot Ministru kabineta 2004.gada 22.aprīļa noteikumu Nr.381 „K</w:t>
            </w:r>
            <w:r w:rsidRPr="006E6455">
              <w:rPr>
                <w:sz w:val="22"/>
                <w:szCs w:val="22"/>
              </w:rPr>
              <w:t>ārtīb</w:t>
            </w:r>
            <w:r>
              <w:rPr>
                <w:sz w:val="22"/>
                <w:szCs w:val="22"/>
              </w:rPr>
              <w:t>a</w:t>
            </w:r>
            <w:r w:rsidRPr="006E6455">
              <w:rPr>
                <w:sz w:val="22"/>
                <w:szCs w:val="22"/>
              </w:rPr>
              <w:t>, kādā uzskaitāmi un ielaižami dabiskajās ūdenstilpēs zivju resursu atražošanai un pavairošanai paredzētie zivju mazuļi</w:t>
            </w:r>
            <w:r>
              <w:rPr>
                <w:sz w:val="22"/>
                <w:szCs w:val="22"/>
              </w:rPr>
              <w:t xml:space="preserve">” prasības. </w:t>
            </w:r>
          </w:p>
          <w:p w:rsidR="00895904" w:rsidRPr="00002270" w:rsidRDefault="00895904" w:rsidP="00FF1986">
            <w:pPr>
              <w:jc w:val="both"/>
              <w:rPr>
                <w:sz w:val="22"/>
                <w:szCs w:val="22"/>
              </w:rPr>
            </w:pPr>
            <w:r>
              <w:rPr>
                <w:sz w:val="22"/>
                <w:szCs w:val="22"/>
              </w:rPr>
              <w:t xml:space="preserve">Ietverot noteikumos Nr.215 norādi par nepieciešamību ievērot šajā jomā noteikto kārtību, Zivju fonda atbalsta </w:t>
            </w:r>
            <w:r w:rsidRPr="006E6455">
              <w:rPr>
                <w:sz w:val="22"/>
                <w:szCs w:val="22"/>
              </w:rPr>
              <w:t xml:space="preserve">zivju resursu </w:t>
            </w:r>
            <w:r w:rsidRPr="006E6455">
              <w:rPr>
                <w:sz w:val="22"/>
                <w:szCs w:val="22"/>
              </w:rPr>
              <w:lastRenderedPageBreak/>
              <w:t>atražošanai un pavairošanai</w:t>
            </w:r>
            <w:r>
              <w:rPr>
                <w:sz w:val="22"/>
                <w:szCs w:val="22"/>
              </w:rPr>
              <w:t xml:space="preserve"> saņēmēji būs informēti un nodrošinās attiecīgo normatīvo aktu prasību ievērošanu Zivju fonda atbalstīto projektu īstenošanā. Arī Lauku atbalsta dienests, pieņemot no Zivju fonda atbalsta saņēmēja kopā ar maksājuma pieprasījumu iesniedzamos dokumentus, pievērsīs papildu uzmanību </w:t>
            </w:r>
            <w:r w:rsidRPr="00734D92">
              <w:rPr>
                <w:sz w:val="22"/>
                <w:szCs w:val="22"/>
              </w:rPr>
              <w:t>normatīv</w:t>
            </w:r>
            <w:r>
              <w:rPr>
                <w:sz w:val="22"/>
                <w:szCs w:val="22"/>
              </w:rPr>
              <w:t>ajā</w:t>
            </w:r>
            <w:r w:rsidRPr="00734D92">
              <w:rPr>
                <w:sz w:val="22"/>
                <w:szCs w:val="22"/>
              </w:rPr>
              <w:t xml:space="preserve"> akt</w:t>
            </w:r>
            <w:r>
              <w:rPr>
                <w:sz w:val="22"/>
                <w:szCs w:val="22"/>
              </w:rPr>
              <w:t>ā</w:t>
            </w:r>
            <w:r w:rsidRPr="00734D92">
              <w:rPr>
                <w:sz w:val="22"/>
                <w:szCs w:val="22"/>
              </w:rPr>
              <w:t xml:space="preserve"> par kārtību, kādā uzskaitāmi un ielaižami dabiskajās ūdenstilpēs zivju resursu atražošanai un pavairošanai paredzētie zivju mazuļi</w:t>
            </w:r>
            <w:r>
              <w:rPr>
                <w:sz w:val="22"/>
                <w:szCs w:val="22"/>
              </w:rPr>
              <w:t xml:space="preserve">, noteikto prasību ievērošanai. Tas novērsīs atbalsta līdzekļu izmaksu tiem projektiem, kuru īstenošana ir pretrunā ar attiecīgo jomu </w:t>
            </w:r>
            <w:r w:rsidRPr="00002270">
              <w:rPr>
                <w:sz w:val="22"/>
                <w:szCs w:val="22"/>
              </w:rPr>
              <w:t>regulējošiem normatīvajiem aktiem.</w:t>
            </w:r>
          </w:p>
          <w:p w:rsidR="00895904" w:rsidRDefault="00895904" w:rsidP="00FF1986">
            <w:pPr>
              <w:jc w:val="both"/>
              <w:rPr>
                <w:sz w:val="22"/>
                <w:szCs w:val="22"/>
              </w:rPr>
            </w:pPr>
          </w:p>
          <w:p w:rsidR="00895904" w:rsidRPr="007505D9" w:rsidRDefault="00895904" w:rsidP="00FF1986">
            <w:pPr>
              <w:jc w:val="both"/>
              <w:rPr>
                <w:sz w:val="22"/>
                <w:szCs w:val="22"/>
              </w:rPr>
            </w:pPr>
            <w:r w:rsidRPr="00002270">
              <w:rPr>
                <w:sz w:val="22"/>
                <w:szCs w:val="22"/>
              </w:rPr>
              <w:t>Turklāt ar noteikumu projektu tiek atrisināta arī problēma, ar kuru padome, pieņemot lēmumu par atbalsta piešķiršanu vai atteikumu piešķirt atbalstu, dažkārt ir saskārusies līdzšinējā praksē. Proti, dažkārt padomei ir tikuši iesniegti korekti noformēti projekti, kuru mērķis atbilst tā pasākuma mērķim, par kuru iesniegti šie projekti, tomēr padomes ieskatā šādiem projektiem atbalsts nepienāktos, jo projektos paredzētā mērķa īstenošana un iespējamie ieguvumi acīmredzami neatbilst projektā pieprasītajam pārāk lielajam finansējuma apmēram.</w:t>
            </w:r>
            <w:r>
              <w:rPr>
                <w:sz w:val="22"/>
                <w:szCs w:val="22"/>
              </w:rPr>
              <w:t xml:space="preserve"> Šai nolūkā nepieciešams noteikt, ka</w:t>
            </w:r>
            <w:r w:rsidRPr="00B23BC8">
              <w:rPr>
                <w:sz w:val="22"/>
                <w:szCs w:val="22"/>
              </w:rPr>
              <w:t xml:space="preserve"> Zivju fonda padome </w:t>
            </w:r>
            <w:r>
              <w:rPr>
                <w:sz w:val="22"/>
                <w:szCs w:val="22"/>
              </w:rPr>
              <w:t>ir</w:t>
            </w:r>
            <w:r w:rsidRPr="00B23BC8">
              <w:rPr>
                <w:sz w:val="22"/>
                <w:szCs w:val="22"/>
              </w:rPr>
              <w:t xml:space="preserve"> tiesīga pieņemt lēmumu par atteikumu piešķirt atbalstu un nevērtēt projektu</w:t>
            </w:r>
            <w:r>
              <w:rPr>
                <w:sz w:val="22"/>
                <w:szCs w:val="22"/>
              </w:rPr>
              <w:t>, ja konstatēta atbalsta pretendenta</w:t>
            </w:r>
            <w:r w:rsidRPr="00B23BC8">
              <w:rPr>
                <w:sz w:val="22"/>
                <w:szCs w:val="22"/>
              </w:rPr>
              <w:t xml:space="preserve"> nesaderība vai pieprasītā finanšu atbalsta nesamērīgums ar projektā sasniedzamo Zivju fonda mērķi, ja visi Zivju fonda padomes locekļi, kuri piedalās Zivju fonda padomes sēdē, vienbalsīgi par to lemj.</w:t>
            </w:r>
            <w:r>
              <w:rPr>
                <w:sz w:val="22"/>
                <w:szCs w:val="22"/>
              </w:rPr>
              <w:t xml:space="preserve"> </w:t>
            </w:r>
            <w:r w:rsidRPr="00B23BC8">
              <w:rPr>
                <w:sz w:val="22"/>
                <w:szCs w:val="22"/>
              </w:rPr>
              <w:t>Šāda</w:t>
            </w:r>
            <w:r w:rsidR="00A27185">
              <w:rPr>
                <w:sz w:val="22"/>
                <w:szCs w:val="22"/>
              </w:rPr>
              <w:t>s</w:t>
            </w:r>
            <w:r w:rsidRPr="00B23BC8">
              <w:rPr>
                <w:sz w:val="22"/>
                <w:szCs w:val="22"/>
              </w:rPr>
              <w:t xml:space="preserve"> </w:t>
            </w:r>
            <w:r w:rsidR="00A27185">
              <w:rPr>
                <w:sz w:val="22"/>
                <w:szCs w:val="22"/>
              </w:rPr>
              <w:t>normas</w:t>
            </w:r>
            <w:r w:rsidRPr="00B23BC8">
              <w:rPr>
                <w:sz w:val="22"/>
                <w:szCs w:val="22"/>
              </w:rPr>
              <w:t xml:space="preserve"> ie</w:t>
            </w:r>
            <w:r w:rsidR="00A27185">
              <w:rPr>
                <w:sz w:val="22"/>
                <w:szCs w:val="22"/>
              </w:rPr>
              <w:t>kļaušana</w:t>
            </w:r>
            <w:r w:rsidRPr="00B23BC8">
              <w:rPr>
                <w:sz w:val="22"/>
                <w:szCs w:val="22"/>
              </w:rPr>
              <w:t xml:space="preserve"> noteikumu projektā ļautu Zivju fonda padomei pieņemt lēmumu par atteikumu piešķirt atbalstu </w:t>
            </w:r>
            <w:r>
              <w:rPr>
                <w:sz w:val="22"/>
                <w:szCs w:val="22"/>
              </w:rPr>
              <w:t xml:space="preserve">projektam </w:t>
            </w:r>
            <w:r w:rsidRPr="00B23BC8">
              <w:rPr>
                <w:sz w:val="22"/>
                <w:szCs w:val="22"/>
              </w:rPr>
              <w:t>pirms t</w:t>
            </w:r>
            <w:r>
              <w:rPr>
                <w:sz w:val="22"/>
                <w:szCs w:val="22"/>
              </w:rPr>
              <w:t>ā vērtēšanas, ja projektā</w:t>
            </w:r>
            <w:r w:rsidRPr="00B23BC8">
              <w:rPr>
                <w:sz w:val="22"/>
                <w:szCs w:val="22"/>
              </w:rPr>
              <w:t xml:space="preserve"> ir saskatāmas acīmredzamas krāpnieciska rakstura pazīmes.</w:t>
            </w:r>
          </w:p>
        </w:tc>
      </w:tr>
      <w:tr w:rsidR="00895904" w:rsidRPr="007505D9" w:rsidTr="00FF1986">
        <w:trPr>
          <w:trHeight w:val="372"/>
          <w:tblCellSpacing w:w="15" w:type="dxa"/>
        </w:trPr>
        <w:tc>
          <w:tcPr>
            <w:tcW w:w="247" w:type="pct"/>
            <w:hideMark/>
          </w:tcPr>
          <w:p w:rsidR="00895904" w:rsidRPr="007505D9" w:rsidRDefault="00895904" w:rsidP="00FF1986">
            <w:pPr>
              <w:rPr>
                <w:sz w:val="22"/>
                <w:szCs w:val="22"/>
              </w:rPr>
            </w:pPr>
            <w:r w:rsidRPr="007505D9">
              <w:rPr>
                <w:sz w:val="22"/>
                <w:szCs w:val="22"/>
              </w:rPr>
              <w:lastRenderedPageBreak/>
              <w:t>3.</w:t>
            </w:r>
          </w:p>
        </w:tc>
        <w:tc>
          <w:tcPr>
            <w:tcW w:w="1530" w:type="pct"/>
            <w:hideMark/>
          </w:tcPr>
          <w:p w:rsidR="00895904" w:rsidRPr="007505D9" w:rsidRDefault="00895904" w:rsidP="00FF1986">
            <w:pPr>
              <w:rPr>
                <w:sz w:val="22"/>
                <w:szCs w:val="22"/>
              </w:rPr>
            </w:pPr>
            <w:r w:rsidRPr="007505D9">
              <w:rPr>
                <w:sz w:val="22"/>
                <w:szCs w:val="22"/>
              </w:rPr>
              <w:t>Projekta izstrādē iesaistītās institūcijas</w:t>
            </w:r>
          </w:p>
        </w:tc>
        <w:tc>
          <w:tcPr>
            <w:tcW w:w="3158" w:type="pct"/>
            <w:hideMark/>
          </w:tcPr>
          <w:p w:rsidR="00895904" w:rsidRPr="007505D9" w:rsidRDefault="00895904" w:rsidP="00FF1986">
            <w:pPr>
              <w:rPr>
                <w:sz w:val="22"/>
                <w:szCs w:val="22"/>
              </w:rPr>
            </w:pPr>
            <w:r>
              <w:rPr>
                <w:sz w:val="22"/>
                <w:szCs w:val="22"/>
              </w:rPr>
              <w:t>Zemkopības ministrija un Lauku atbalsta dienests</w:t>
            </w:r>
          </w:p>
        </w:tc>
      </w:tr>
      <w:tr w:rsidR="00895904" w:rsidRPr="007505D9" w:rsidTr="00FF1986">
        <w:trPr>
          <w:tblCellSpacing w:w="15" w:type="dxa"/>
        </w:trPr>
        <w:tc>
          <w:tcPr>
            <w:tcW w:w="247" w:type="pct"/>
            <w:hideMark/>
          </w:tcPr>
          <w:p w:rsidR="00895904" w:rsidRPr="007505D9" w:rsidRDefault="00895904" w:rsidP="00FF1986">
            <w:pPr>
              <w:rPr>
                <w:sz w:val="22"/>
                <w:szCs w:val="22"/>
              </w:rPr>
            </w:pPr>
            <w:r w:rsidRPr="007505D9">
              <w:rPr>
                <w:sz w:val="22"/>
                <w:szCs w:val="22"/>
              </w:rPr>
              <w:t>4.</w:t>
            </w:r>
          </w:p>
        </w:tc>
        <w:tc>
          <w:tcPr>
            <w:tcW w:w="1530" w:type="pct"/>
            <w:hideMark/>
          </w:tcPr>
          <w:p w:rsidR="00895904" w:rsidRPr="007505D9" w:rsidRDefault="00895904" w:rsidP="00FF1986">
            <w:pPr>
              <w:rPr>
                <w:sz w:val="22"/>
                <w:szCs w:val="22"/>
              </w:rPr>
            </w:pPr>
            <w:r w:rsidRPr="007505D9">
              <w:rPr>
                <w:sz w:val="22"/>
                <w:szCs w:val="22"/>
              </w:rPr>
              <w:t>Cita informācija</w:t>
            </w:r>
          </w:p>
        </w:tc>
        <w:tc>
          <w:tcPr>
            <w:tcW w:w="3158" w:type="pct"/>
            <w:hideMark/>
          </w:tcPr>
          <w:p w:rsidR="00895904" w:rsidRPr="00002270" w:rsidRDefault="00895904" w:rsidP="00FF1986">
            <w:pPr>
              <w:spacing w:before="100" w:beforeAutospacing="1" w:after="100" w:afterAutospacing="1"/>
              <w:rPr>
                <w:sz w:val="22"/>
                <w:szCs w:val="22"/>
              </w:rPr>
            </w:pPr>
            <w:r>
              <w:rPr>
                <w:sz w:val="22"/>
                <w:szCs w:val="22"/>
              </w:rPr>
              <w:t xml:space="preserve">Ņemot vērā Zivju fonda valsts budžeta dotācijas ierobežojumus, kas tika noteikti krīzes situācijā, Zivju fonda padome līdz </w:t>
            </w:r>
            <w:r w:rsidRPr="00002270">
              <w:rPr>
                <w:sz w:val="22"/>
                <w:szCs w:val="22"/>
              </w:rPr>
              <w:t>2014.gadam nesaskatīja iespēju šī atbalsta pasākuma īstenošanai.</w:t>
            </w:r>
          </w:p>
          <w:p w:rsidR="00895904" w:rsidRDefault="00895904" w:rsidP="00FF1986">
            <w:pPr>
              <w:spacing w:before="100" w:beforeAutospacing="1" w:after="100" w:afterAutospacing="1"/>
              <w:rPr>
                <w:sz w:val="22"/>
                <w:szCs w:val="22"/>
              </w:rPr>
            </w:pPr>
            <w:r w:rsidRPr="00002270">
              <w:rPr>
                <w:sz w:val="22"/>
                <w:szCs w:val="22"/>
              </w:rPr>
              <w:t xml:space="preserve">Iespēja </w:t>
            </w:r>
            <w:r>
              <w:rPr>
                <w:sz w:val="22"/>
                <w:szCs w:val="22"/>
              </w:rPr>
              <w:t>Zemkopības ministrijai</w:t>
            </w:r>
            <w:r w:rsidRPr="00002270">
              <w:rPr>
                <w:sz w:val="22"/>
                <w:szCs w:val="22"/>
              </w:rPr>
              <w:t xml:space="preserve"> pieprasīt ziņas no Sodu reģistra ir nepieciešama, lai pārbaudītu, vai atbalsta pretendenta sniegtā informācija par pilnvarotajām personām un naudas summām, kas ieņemtas par pilnvaroto personu patstāvīgi atklātajiem zveju regulējošo normatīvo aktu pārkāpumiem un izņemto zivju, zvejas rīku un zvejas līdzekļu realizāciju, atbilst patiesībai, un padome varētu pieņemt atbilstošus lēmumus par valsts līdzekļu izlietojumu.</w:t>
            </w:r>
          </w:p>
          <w:p w:rsidR="00895904" w:rsidRDefault="00895904" w:rsidP="00FF1986">
            <w:pPr>
              <w:spacing w:before="100" w:beforeAutospacing="1" w:after="100" w:afterAutospacing="1"/>
              <w:rPr>
                <w:sz w:val="22"/>
                <w:szCs w:val="20"/>
              </w:rPr>
            </w:pPr>
            <w:r>
              <w:rPr>
                <w:sz w:val="22"/>
                <w:szCs w:val="22"/>
              </w:rPr>
              <w:t xml:space="preserve">Zemkopības ministrija </w:t>
            </w:r>
            <w:r>
              <w:rPr>
                <w:sz w:val="22"/>
                <w:szCs w:val="20"/>
              </w:rPr>
              <w:t xml:space="preserve">2013.gada februārī visām Latvijas novadu un republikas pilsētu pašvaldībām izsūtīja vēstule ar lūgumu sniegt informāciju par pilnvaroto personu darbību. Pavisam Zivju fonda padomes sekretariāts tabulā </w:t>
            </w:r>
            <w:r w:rsidRPr="00D96DD5">
              <w:rPr>
                <w:sz w:val="22"/>
                <w:szCs w:val="20"/>
              </w:rPr>
              <w:t>apkopo</w:t>
            </w:r>
            <w:r>
              <w:rPr>
                <w:sz w:val="22"/>
                <w:szCs w:val="20"/>
              </w:rPr>
              <w:t>j</w:t>
            </w:r>
            <w:r w:rsidRPr="00D96DD5">
              <w:rPr>
                <w:sz w:val="22"/>
                <w:szCs w:val="20"/>
              </w:rPr>
              <w:t>a 50 pašvaldību sniegt</w:t>
            </w:r>
            <w:r>
              <w:rPr>
                <w:sz w:val="22"/>
                <w:szCs w:val="20"/>
              </w:rPr>
              <w:t>o</w:t>
            </w:r>
            <w:r w:rsidRPr="00D96DD5">
              <w:rPr>
                <w:sz w:val="22"/>
                <w:szCs w:val="20"/>
              </w:rPr>
              <w:t xml:space="preserve"> informācij</w:t>
            </w:r>
            <w:r>
              <w:rPr>
                <w:sz w:val="22"/>
                <w:szCs w:val="20"/>
              </w:rPr>
              <w:t>u</w:t>
            </w:r>
            <w:r w:rsidRPr="00D96DD5">
              <w:rPr>
                <w:sz w:val="22"/>
                <w:szCs w:val="20"/>
              </w:rPr>
              <w:t>. Vēl 60 pašvaldības sniedza informāciju, ka šādu pilnvaroto personu pašvaldībā nav un attiecīgās kontroles darbības nav notikušas. No 9 pašvaldībām (Daugavpils pilsētas dome</w:t>
            </w:r>
            <w:r w:rsidR="00A27185">
              <w:rPr>
                <w:sz w:val="22"/>
                <w:szCs w:val="20"/>
              </w:rPr>
              <w:t>s</w:t>
            </w:r>
            <w:r w:rsidRPr="00D96DD5">
              <w:rPr>
                <w:sz w:val="22"/>
                <w:szCs w:val="20"/>
              </w:rPr>
              <w:t xml:space="preserve">, Alsungas, Bauskas, Dobeles, </w:t>
            </w:r>
            <w:r w:rsidRPr="00D96DD5">
              <w:rPr>
                <w:sz w:val="22"/>
                <w:szCs w:val="20"/>
              </w:rPr>
              <w:lastRenderedPageBreak/>
              <w:t>Garkalnes, Priekuļu, Ropažu, Sējas un Vecumnieku novada pašvaldība</w:t>
            </w:r>
            <w:r w:rsidR="00A27185">
              <w:rPr>
                <w:sz w:val="22"/>
                <w:szCs w:val="20"/>
              </w:rPr>
              <w:t>s</w:t>
            </w:r>
            <w:r w:rsidRPr="00D96DD5">
              <w:rPr>
                <w:sz w:val="22"/>
                <w:szCs w:val="20"/>
              </w:rPr>
              <w:t>)</w:t>
            </w:r>
            <w:r>
              <w:rPr>
                <w:sz w:val="22"/>
                <w:szCs w:val="20"/>
              </w:rPr>
              <w:t xml:space="preserve"> </w:t>
            </w:r>
            <w:r w:rsidR="00A27185" w:rsidRPr="00D96DD5">
              <w:rPr>
                <w:sz w:val="22"/>
                <w:szCs w:val="20"/>
              </w:rPr>
              <w:t>netika saņemta nekāda informācija</w:t>
            </w:r>
            <w:r w:rsidR="00A27185">
              <w:rPr>
                <w:sz w:val="22"/>
                <w:szCs w:val="20"/>
              </w:rPr>
              <w:t>.</w:t>
            </w:r>
            <w:r w:rsidR="00A27185" w:rsidRPr="00D96DD5">
              <w:rPr>
                <w:sz w:val="22"/>
                <w:szCs w:val="20"/>
              </w:rPr>
              <w:t xml:space="preserve"> </w:t>
            </w:r>
            <w:r>
              <w:rPr>
                <w:sz w:val="22"/>
                <w:szCs w:val="20"/>
              </w:rPr>
              <w:t>Tika noskaidrots, ka kopumā Latvijas pašvaldībās 2013.gada 1.janvārī bija 1064 pilnvarotās personas</w:t>
            </w:r>
            <w:r w:rsidR="005B1733">
              <w:rPr>
                <w:sz w:val="22"/>
                <w:szCs w:val="20"/>
              </w:rPr>
              <w:t xml:space="preserve">, </w:t>
            </w:r>
            <w:r w:rsidR="005B1733" w:rsidRPr="005B1733">
              <w:rPr>
                <w:sz w:val="22"/>
                <w:szCs w:val="20"/>
              </w:rPr>
              <w:t>no kurām</w:t>
            </w:r>
            <w:r w:rsidR="005B1733">
              <w:rPr>
                <w:sz w:val="22"/>
                <w:szCs w:val="20"/>
              </w:rPr>
              <w:t xml:space="preserve"> saskaņā ar Latvijas novadu un republikas pilsētu pašvaldību Zemkopības ministrijai </w:t>
            </w:r>
            <w:r w:rsidR="005B1733" w:rsidRPr="005B1733">
              <w:rPr>
                <w:sz w:val="22"/>
                <w:szCs w:val="20"/>
              </w:rPr>
              <w:t>2013.</w:t>
            </w:r>
            <w:r w:rsidR="005B1733">
              <w:rPr>
                <w:sz w:val="22"/>
                <w:szCs w:val="20"/>
              </w:rPr>
              <w:t xml:space="preserve">gada februārī </w:t>
            </w:r>
            <w:r w:rsidR="00A27185">
              <w:rPr>
                <w:sz w:val="22"/>
                <w:szCs w:val="20"/>
              </w:rPr>
              <w:t>un</w:t>
            </w:r>
            <w:r w:rsidR="005B1733">
              <w:rPr>
                <w:sz w:val="22"/>
                <w:szCs w:val="20"/>
              </w:rPr>
              <w:t xml:space="preserve"> martā</w:t>
            </w:r>
            <w:r w:rsidR="005B1733" w:rsidRPr="005B1733">
              <w:rPr>
                <w:sz w:val="22"/>
                <w:szCs w:val="20"/>
              </w:rPr>
              <w:t xml:space="preserve"> sniegt</w:t>
            </w:r>
            <w:r w:rsidR="005B1733">
              <w:rPr>
                <w:sz w:val="22"/>
                <w:szCs w:val="20"/>
              </w:rPr>
              <w:t>o</w:t>
            </w:r>
            <w:r w:rsidR="005B1733" w:rsidRPr="005B1733">
              <w:rPr>
                <w:sz w:val="22"/>
                <w:szCs w:val="20"/>
              </w:rPr>
              <w:t xml:space="preserve"> informācij</w:t>
            </w:r>
            <w:r w:rsidR="005B1733">
              <w:rPr>
                <w:sz w:val="22"/>
                <w:szCs w:val="20"/>
              </w:rPr>
              <w:t>u</w:t>
            </w:r>
            <w:r w:rsidR="005B1733" w:rsidRPr="005B1733">
              <w:rPr>
                <w:sz w:val="22"/>
                <w:szCs w:val="20"/>
              </w:rPr>
              <w:t xml:space="preserve"> 945 personas ir norādītas kā Rīgas pilsētas domes pilnvarotās personas, bet pārējās personas </w:t>
            </w:r>
            <w:r w:rsidR="00A27185">
              <w:rPr>
                <w:sz w:val="22"/>
                <w:szCs w:val="20"/>
              </w:rPr>
              <w:t>–</w:t>
            </w:r>
            <w:r w:rsidR="005B1733" w:rsidRPr="005B1733">
              <w:rPr>
                <w:sz w:val="22"/>
                <w:szCs w:val="20"/>
              </w:rPr>
              <w:t xml:space="preserve"> kā 49 citu pašvaldību pilnvarotās personas. Trīs no šīm pašvaldībām (Lielvārdes, Salaspils un Mālpils novada pašvaldība) uz pilnvarojuma pamata sadarb</w:t>
            </w:r>
            <w:r w:rsidR="005B1733">
              <w:rPr>
                <w:sz w:val="22"/>
                <w:szCs w:val="20"/>
              </w:rPr>
              <w:t>ojas ar biedrībām „Mēs – zivīm”,</w:t>
            </w:r>
            <w:r w:rsidR="005B1733" w:rsidRPr="005B1733">
              <w:rPr>
                <w:sz w:val="22"/>
                <w:szCs w:val="20"/>
              </w:rPr>
              <w:t xml:space="preserve"> „Vides aizsardzības asociācija”</w:t>
            </w:r>
            <w:r w:rsidR="005B1733">
              <w:rPr>
                <w:sz w:val="22"/>
                <w:szCs w:val="20"/>
              </w:rPr>
              <w:t xml:space="preserve"> un „Mālpils zivīm”)</w:t>
            </w:r>
            <w:r w:rsidR="005B1733" w:rsidRPr="005B1733">
              <w:rPr>
                <w:sz w:val="22"/>
                <w:szCs w:val="20"/>
              </w:rPr>
              <w:t>, kur</w:t>
            </w:r>
            <w:r w:rsidR="00A27185">
              <w:rPr>
                <w:sz w:val="22"/>
                <w:szCs w:val="20"/>
              </w:rPr>
              <w:t>ās</w:t>
            </w:r>
            <w:r w:rsidR="005B1733" w:rsidRPr="005B1733">
              <w:rPr>
                <w:sz w:val="22"/>
                <w:szCs w:val="20"/>
              </w:rPr>
              <w:t xml:space="preserve"> </w:t>
            </w:r>
            <w:r w:rsidR="00A27185" w:rsidRPr="005B1733">
              <w:rPr>
                <w:sz w:val="22"/>
                <w:szCs w:val="20"/>
              </w:rPr>
              <w:t xml:space="preserve">attiecīgu kontroles darbību veikšanai </w:t>
            </w:r>
            <w:r w:rsidR="005B1733" w:rsidRPr="005B1733">
              <w:rPr>
                <w:sz w:val="22"/>
                <w:szCs w:val="20"/>
              </w:rPr>
              <w:t xml:space="preserve">darbojas </w:t>
            </w:r>
            <w:r w:rsidR="00A27185">
              <w:rPr>
                <w:sz w:val="22"/>
                <w:szCs w:val="20"/>
              </w:rPr>
              <w:t>daž</w:t>
            </w:r>
            <w:r w:rsidR="005B1733" w:rsidRPr="005B1733">
              <w:rPr>
                <w:sz w:val="22"/>
                <w:szCs w:val="20"/>
              </w:rPr>
              <w:t>as V</w:t>
            </w:r>
            <w:r w:rsidR="0075055C">
              <w:rPr>
                <w:sz w:val="22"/>
                <w:szCs w:val="20"/>
              </w:rPr>
              <w:t xml:space="preserve">VD </w:t>
            </w:r>
            <w:r w:rsidR="005B1733" w:rsidRPr="005B1733">
              <w:rPr>
                <w:sz w:val="22"/>
                <w:szCs w:val="20"/>
              </w:rPr>
              <w:t>pilnvarotās personas.</w:t>
            </w:r>
            <w:r>
              <w:rPr>
                <w:sz w:val="22"/>
                <w:szCs w:val="20"/>
              </w:rPr>
              <w:t xml:space="preserve"> </w:t>
            </w:r>
            <w:r w:rsidR="00524604">
              <w:rPr>
                <w:sz w:val="22"/>
                <w:szCs w:val="20"/>
              </w:rPr>
              <w:t xml:space="preserve">Šo personu </w:t>
            </w:r>
            <w:r>
              <w:rPr>
                <w:sz w:val="22"/>
                <w:szCs w:val="20"/>
              </w:rPr>
              <w:t xml:space="preserve">darbības rezultātā </w:t>
            </w:r>
            <w:r w:rsidR="00A27185">
              <w:rPr>
                <w:sz w:val="22"/>
                <w:szCs w:val="20"/>
              </w:rPr>
              <w:t xml:space="preserve">soda naudās </w:t>
            </w:r>
            <w:r>
              <w:rPr>
                <w:sz w:val="22"/>
                <w:szCs w:val="20"/>
              </w:rPr>
              <w:t xml:space="preserve">par 2012.gadu tika iemaksāti 5580,45 lati (7940,26 </w:t>
            </w:r>
            <w:r w:rsidRPr="00D96DD5">
              <w:rPr>
                <w:i/>
                <w:sz w:val="22"/>
                <w:szCs w:val="20"/>
              </w:rPr>
              <w:t>euro</w:t>
            </w:r>
            <w:r>
              <w:rPr>
                <w:sz w:val="22"/>
                <w:szCs w:val="20"/>
              </w:rPr>
              <w:t>).</w:t>
            </w:r>
            <w:r w:rsidR="005B1733">
              <w:rPr>
                <w:sz w:val="22"/>
                <w:szCs w:val="20"/>
              </w:rPr>
              <w:t xml:space="preserve"> </w:t>
            </w:r>
          </w:p>
          <w:p w:rsidR="00895904" w:rsidRPr="007505D9" w:rsidRDefault="00895904" w:rsidP="0075055C">
            <w:pPr>
              <w:spacing w:before="100" w:beforeAutospacing="1" w:after="100" w:afterAutospacing="1"/>
              <w:rPr>
                <w:sz w:val="22"/>
                <w:szCs w:val="22"/>
              </w:rPr>
            </w:pPr>
            <w:r w:rsidRPr="00AD09E7">
              <w:rPr>
                <w:sz w:val="22"/>
                <w:szCs w:val="22"/>
              </w:rPr>
              <w:t xml:space="preserve">Ieņēmumi no konfiscēto zvejas rīku, zvejas līdzekļu un zivju realizācijas </w:t>
            </w:r>
            <w:r>
              <w:rPr>
                <w:sz w:val="22"/>
                <w:szCs w:val="22"/>
              </w:rPr>
              <w:t xml:space="preserve">2012.gadā </w:t>
            </w:r>
            <w:r w:rsidR="00A27185">
              <w:rPr>
                <w:sz w:val="22"/>
                <w:szCs w:val="22"/>
              </w:rPr>
              <w:t>veidoja</w:t>
            </w:r>
            <w:r>
              <w:rPr>
                <w:sz w:val="22"/>
                <w:szCs w:val="22"/>
              </w:rPr>
              <w:t xml:space="preserve"> 342,97 latus (488,00 </w:t>
            </w:r>
            <w:r w:rsidRPr="00AD09E7">
              <w:rPr>
                <w:i/>
                <w:sz w:val="22"/>
                <w:szCs w:val="22"/>
              </w:rPr>
              <w:t>euro</w:t>
            </w:r>
            <w:r>
              <w:rPr>
                <w:sz w:val="22"/>
                <w:szCs w:val="22"/>
              </w:rPr>
              <w:t xml:space="preserve">) un 2013.gadā </w:t>
            </w:r>
            <w:r w:rsidR="00A27185">
              <w:rPr>
                <w:sz w:val="22"/>
                <w:szCs w:val="22"/>
              </w:rPr>
              <w:t xml:space="preserve">– </w:t>
            </w:r>
            <w:r>
              <w:rPr>
                <w:sz w:val="22"/>
                <w:szCs w:val="22"/>
              </w:rPr>
              <w:t xml:space="preserve">351,12 latus (499,60 </w:t>
            </w:r>
            <w:r w:rsidRPr="00AD09E7">
              <w:rPr>
                <w:i/>
                <w:sz w:val="22"/>
                <w:szCs w:val="22"/>
              </w:rPr>
              <w:t>euro</w:t>
            </w:r>
            <w:r>
              <w:rPr>
                <w:sz w:val="22"/>
                <w:szCs w:val="22"/>
              </w:rPr>
              <w:t>).</w:t>
            </w:r>
            <w:r w:rsidR="00524604">
              <w:rPr>
                <w:sz w:val="22"/>
                <w:szCs w:val="22"/>
              </w:rPr>
              <w:t xml:space="preserve"> </w:t>
            </w:r>
            <w:r w:rsidR="00524604" w:rsidRPr="00524604">
              <w:rPr>
                <w:sz w:val="22"/>
                <w:szCs w:val="22"/>
              </w:rPr>
              <w:t xml:space="preserve">Savukārt </w:t>
            </w:r>
            <w:r w:rsidR="0075055C">
              <w:rPr>
                <w:sz w:val="22"/>
                <w:szCs w:val="22"/>
              </w:rPr>
              <w:t>VVD</w:t>
            </w:r>
            <w:r w:rsidR="00524604" w:rsidRPr="00524604">
              <w:rPr>
                <w:sz w:val="22"/>
                <w:szCs w:val="22"/>
              </w:rPr>
              <w:t xml:space="preserve"> „Sabiedrisko vides inspektoru reģistrā” līdz 01.04.2013. bija norādītas 94 dienesta pilnvarotās personas, kuru darbības joma ir zivju resursu aizsardzības kontrole. </w:t>
            </w:r>
            <w:r w:rsidR="00A27185">
              <w:rPr>
                <w:sz w:val="22"/>
                <w:szCs w:val="22"/>
              </w:rPr>
              <w:t>Pēc</w:t>
            </w:r>
            <w:r w:rsidR="00524604">
              <w:rPr>
                <w:sz w:val="22"/>
                <w:szCs w:val="22"/>
              </w:rPr>
              <w:t xml:space="preserve"> </w:t>
            </w:r>
            <w:r w:rsidR="0075055C">
              <w:rPr>
                <w:sz w:val="22"/>
                <w:szCs w:val="22"/>
              </w:rPr>
              <w:t xml:space="preserve">VVD </w:t>
            </w:r>
            <w:r w:rsidR="00524604">
              <w:rPr>
                <w:sz w:val="22"/>
                <w:szCs w:val="22"/>
              </w:rPr>
              <w:t>sniegt</w:t>
            </w:r>
            <w:r w:rsidR="00A27185">
              <w:rPr>
                <w:sz w:val="22"/>
                <w:szCs w:val="22"/>
              </w:rPr>
              <w:t>ās</w:t>
            </w:r>
            <w:r w:rsidR="00524604">
              <w:rPr>
                <w:sz w:val="22"/>
                <w:szCs w:val="22"/>
              </w:rPr>
              <w:t xml:space="preserve"> informācij</w:t>
            </w:r>
            <w:r w:rsidR="00A27185">
              <w:rPr>
                <w:sz w:val="22"/>
                <w:szCs w:val="22"/>
              </w:rPr>
              <w:t>as</w:t>
            </w:r>
            <w:r w:rsidR="00524604">
              <w:rPr>
                <w:sz w:val="22"/>
                <w:szCs w:val="22"/>
              </w:rPr>
              <w:t xml:space="preserve"> par </w:t>
            </w:r>
            <w:r w:rsidR="0075055C">
              <w:rPr>
                <w:sz w:val="22"/>
                <w:szCs w:val="22"/>
              </w:rPr>
              <w:t>VVD pilnvaroto</w:t>
            </w:r>
            <w:r w:rsidR="00524604">
              <w:rPr>
                <w:sz w:val="22"/>
                <w:szCs w:val="22"/>
              </w:rPr>
              <w:t xml:space="preserve"> personu patstāvīgi </w:t>
            </w:r>
            <w:r w:rsidR="00637DB4">
              <w:rPr>
                <w:sz w:val="22"/>
                <w:szCs w:val="22"/>
              </w:rPr>
              <w:t>atklātajiem zivju ieguvi regulējošiem pārkāpumiem</w:t>
            </w:r>
            <w:r w:rsidR="00A27185">
              <w:rPr>
                <w:sz w:val="22"/>
                <w:szCs w:val="22"/>
              </w:rPr>
              <w:t>,</w:t>
            </w:r>
            <w:r w:rsidR="00637DB4">
              <w:rPr>
                <w:sz w:val="22"/>
                <w:szCs w:val="22"/>
              </w:rPr>
              <w:t xml:space="preserve"> 2013.gadā </w:t>
            </w:r>
            <w:r w:rsidR="004A3DF4">
              <w:rPr>
                <w:sz w:val="22"/>
                <w:szCs w:val="22"/>
              </w:rPr>
              <w:t xml:space="preserve">soda naudās </w:t>
            </w:r>
            <w:r w:rsidR="00637DB4">
              <w:rPr>
                <w:sz w:val="22"/>
                <w:szCs w:val="22"/>
              </w:rPr>
              <w:t xml:space="preserve">ieņemti 2385,00 Ls (3393,55 </w:t>
            </w:r>
            <w:r w:rsidR="00637DB4" w:rsidRPr="00637DB4">
              <w:rPr>
                <w:i/>
                <w:sz w:val="22"/>
                <w:szCs w:val="22"/>
              </w:rPr>
              <w:t>euro</w:t>
            </w:r>
            <w:r w:rsidR="00637DB4">
              <w:rPr>
                <w:sz w:val="22"/>
                <w:szCs w:val="22"/>
              </w:rPr>
              <w:t xml:space="preserve">), bet </w:t>
            </w:r>
            <w:r w:rsidR="00A27185">
              <w:rPr>
                <w:sz w:val="22"/>
                <w:szCs w:val="22"/>
              </w:rPr>
              <w:t xml:space="preserve">nav bijis </w:t>
            </w:r>
            <w:r w:rsidR="004A3DF4">
              <w:rPr>
                <w:sz w:val="22"/>
                <w:szCs w:val="22"/>
              </w:rPr>
              <w:t>ieņēmum</w:t>
            </w:r>
            <w:r w:rsidR="00A27185">
              <w:rPr>
                <w:sz w:val="22"/>
                <w:szCs w:val="22"/>
              </w:rPr>
              <w:t>u</w:t>
            </w:r>
            <w:r w:rsidR="004A3DF4">
              <w:rPr>
                <w:sz w:val="22"/>
                <w:szCs w:val="22"/>
              </w:rPr>
              <w:t xml:space="preserve"> par </w:t>
            </w:r>
            <w:r w:rsidR="004A3DF4" w:rsidRPr="004A3DF4">
              <w:rPr>
                <w:sz w:val="22"/>
                <w:szCs w:val="22"/>
              </w:rPr>
              <w:t>zivju, zvejas rīku un zvejas līdzekļu izņemšanu</w:t>
            </w:r>
            <w:r w:rsidR="004A3DF4">
              <w:rPr>
                <w:sz w:val="22"/>
                <w:szCs w:val="22"/>
              </w:rPr>
              <w:t>.</w:t>
            </w:r>
          </w:p>
        </w:tc>
      </w:tr>
      <w:tr w:rsidR="004A3DF4" w:rsidRPr="007505D9" w:rsidTr="00FF1986">
        <w:trPr>
          <w:tblCellSpacing w:w="15" w:type="dxa"/>
        </w:trPr>
        <w:tc>
          <w:tcPr>
            <w:tcW w:w="247" w:type="pct"/>
          </w:tcPr>
          <w:p w:rsidR="004A3DF4" w:rsidRPr="007505D9" w:rsidRDefault="004A3DF4" w:rsidP="00FF1986">
            <w:pPr>
              <w:rPr>
                <w:sz w:val="22"/>
                <w:szCs w:val="22"/>
              </w:rPr>
            </w:pPr>
          </w:p>
        </w:tc>
        <w:tc>
          <w:tcPr>
            <w:tcW w:w="1530" w:type="pct"/>
          </w:tcPr>
          <w:p w:rsidR="004A3DF4" w:rsidRPr="007505D9" w:rsidRDefault="004A3DF4" w:rsidP="00FF1986">
            <w:pPr>
              <w:rPr>
                <w:sz w:val="22"/>
                <w:szCs w:val="22"/>
              </w:rPr>
            </w:pPr>
          </w:p>
        </w:tc>
        <w:tc>
          <w:tcPr>
            <w:tcW w:w="3158" w:type="pct"/>
          </w:tcPr>
          <w:p w:rsidR="004A3DF4" w:rsidRDefault="004A3DF4" w:rsidP="00FF1986">
            <w:pPr>
              <w:spacing w:before="100" w:beforeAutospacing="1" w:after="100" w:afterAutospacing="1"/>
              <w:rPr>
                <w:sz w:val="22"/>
                <w:szCs w:val="22"/>
              </w:rPr>
            </w:pPr>
          </w:p>
        </w:tc>
      </w:tr>
    </w:tbl>
    <w:p w:rsidR="00895904" w:rsidRPr="0034630B" w:rsidRDefault="00895904" w:rsidP="00895904">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2841"/>
        <w:gridCol w:w="5849"/>
      </w:tblGrid>
      <w:tr w:rsidR="00895904" w:rsidRPr="009601A7" w:rsidTr="00FF1986">
        <w:trPr>
          <w:trHeight w:val="444"/>
          <w:tblCellSpacing w:w="15" w:type="dxa"/>
        </w:trPr>
        <w:tc>
          <w:tcPr>
            <w:tcW w:w="0" w:type="auto"/>
            <w:gridSpan w:val="3"/>
            <w:vAlign w:val="center"/>
            <w:hideMark/>
          </w:tcPr>
          <w:p w:rsidR="00895904" w:rsidRPr="009601A7" w:rsidRDefault="00895904" w:rsidP="00FF1986">
            <w:pPr>
              <w:spacing w:before="100" w:beforeAutospacing="1" w:after="100" w:afterAutospacing="1" w:line="360" w:lineRule="auto"/>
              <w:ind w:firstLine="300"/>
              <w:jc w:val="center"/>
              <w:rPr>
                <w:b/>
                <w:bCs/>
                <w:sz w:val="22"/>
                <w:szCs w:val="20"/>
              </w:rPr>
            </w:pPr>
            <w:r w:rsidRPr="009601A7">
              <w:rPr>
                <w:b/>
                <w:bCs/>
                <w:sz w:val="22"/>
                <w:szCs w:val="20"/>
              </w:rPr>
              <w:t>II. Tiesību akta projekta ietekme uz sabiedrību, tautsaimniecības attīstību un administratīvo slogu</w:t>
            </w:r>
          </w:p>
        </w:tc>
      </w:tr>
      <w:tr w:rsidR="00895904" w:rsidRPr="009601A7" w:rsidTr="00FF1986">
        <w:trPr>
          <w:trHeight w:val="372"/>
          <w:tblCellSpacing w:w="15" w:type="dxa"/>
        </w:trPr>
        <w:tc>
          <w:tcPr>
            <w:tcW w:w="250" w:type="pct"/>
            <w:hideMark/>
          </w:tcPr>
          <w:p w:rsidR="00895904" w:rsidRPr="009601A7" w:rsidRDefault="00895904" w:rsidP="00FF1986">
            <w:pPr>
              <w:rPr>
                <w:sz w:val="22"/>
                <w:szCs w:val="20"/>
              </w:rPr>
            </w:pPr>
            <w:r w:rsidRPr="009601A7">
              <w:rPr>
                <w:sz w:val="22"/>
                <w:szCs w:val="20"/>
              </w:rPr>
              <w:t>1.</w:t>
            </w:r>
          </w:p>
        </w:tc>
        <w:tc>
          <w:tcPr>
            <w:tcW w:w="1550" w:type="pct"/>
            <w:hideMark/>
          </w:tcPr>
          <w:p w:rsidR="00895904" w:rsidRPr="009601A7" w:rsidRDefault="00895904" w:rsidP="00FF1986">
            <w:pPr>
              <w:rPr>
                <w:sz w:val="22"/>
                <w:szCs w:val="20"/>
              </w:rPr>
            </w:pPr>
            <w:r w:rsidRPr="009601A7">
              <w:rPr>
                <w:sz w:val="22"/>
                <w:szCs w:val="20"/>
              </w:rPr>
              <w:t>Sabiedrības mērķgrupas, kuras tiesiskais regulējums ietekmē vai varētu ietekmēt</w:t>
            </w:r>
          </w:p>
        </w:tc>
        <w:tc>
          <w:tcPr>
            <w:tcW w:w="3200" w:type="pct"/>
            <w:hideMark/>
          </w:tcPr>
          <w:p w:rsidR="00895904" w:rsidRPr="009601A7" w:rsidRDefault="00AB11AB" w:rsidP="00AB11AB">
            <w:pPr>
              <w:jc w:val="both"/>
              <w:rPr>
                <w:sz w:val="22"/>
                <w:szCs w:val="20"/>
              </w:rPr>
            </w:pPr>
            <w:r w:rsidRPr="00AB11AB">
              <w:rPr>
                <w:sz w:val="22"/>
                <w:szCs w:val="22"/>
              </w:rPr>
              <w:t>Pašvaldību un VVD pilnvarotās personas, pašvaldības, makšķernieki, zemūdens mednieki, vēžotāji un zvejnieki, kuri Latvijas ūdenstilpēs zvejo pašpatēriņa un komerciālos nolūkos un kuru darbību var kontrolēt pašvaldību un VVD pilnvarotās personas</w:t>
            </w:r>
            <w:r>
              <w:rPr>
                <w:sz w:val="22"/>
                <w:szCs w:val="22"/>
              </w:rPr>
              <w:t>.</w:t>
            </w:r>
          </w:p>
        </w:tc>
      </w:tr>
      <w:tr w:rsidR="00895904" w:rsidRPr="009601A7" w:rsidTr="00FF1986">
        <w:trPr>
          <w:trHeight w:val="408"/>
          <w:tblCellSpacing w:w="15" w:type="dxa"/>
        </w:trPr>
        <w:tc>
          <w:tcPr>
            <w:tcW w:w="250" w:type="pct"/>
            <w:hideMark/>
          </w:tcPr>
          <w:p w:rsidR="00895904" w:rsidRPr="009601A7" w:rsidRDefault="00895904" w:rsidP="00FF1986">
            <w:pPr>
              <w:rPr>
                <w:sz w:val="22"/>
                <w:szCs w:val="20"/>
              </w:rPr>
            </w:pPr>
            <w:r w:rsidRPr="009601A7">
              <w:rPr>
                <w:sz w:val="22"/>
                <w:szCs w:val="20"/>
              </w:rPr>
              <w:t>2.</w:t>
            </w:r>
          </w:p>
        </w:tc>
        <w:tc>
          <w:tcPr>
            <w:tcW w:w="1550" w:type="pct"/>
            <w:hideMark/>
          </w:tcPr>
          <w:p w:rsidR="00895904" w:rsidRPr="009601A7" w:rsidRDefault="00895904" w:rsidP="00FF1986">
            <w:pPr>
              <w:rPr>
                <w:sz w:val="22"/>
                <w:szCs w:val="20"/>
              </w:rPr>
            </w:pPr>
            <w:r w:rsidRPr="009601A7">
              <w:rPr>
                <w:sz w:val="22"/>
                <w:szCs w:val="20"/>
              </w:rPr>
              <w:t>Tiesiskā regulējuma ietekme uz tautsaimniecību un administratīvo slogu</w:t>
            </w:r>
          </w:p>
        </w:tc>
        <w:tc>
          <w:tcPr>
            <w:tcW w:w="3200" w:type="pct"/>
            <w:hideMark/>
          </w:tcPr>
          <w:p w:rsidR="00895904" w:rsidRDefault="00E1483D" w:rsidP="00FF1986">
            <w:pPr>
              <w:jc w:val="both"/>
              <w:rPr>
                <w:sz w:val="22"/>
                <w:szCs w:val="20"/>
              </w:rPr>
            </w:pPr>
            <w:r w:rsidRPr="00E1483D">
              <w:rPr>
                <w:sz w:val="22"/>
                <w:szCs w:val="20"/>
              </w:rPr>
              <w:t>Grozījumu pieņemšana radīs iespēju uzlabot zvejniecības, makšķerēšanas, zemūdens medību un vēžošanas noteikumu ievērošanu, piešķirot papildu līdzekļus zivju (t</w:t>
            </w:r>
            <w:r w:rsidR="00A27185">
              <w:rPr>
                <w:sz w:val="22"/>
                <w:szCs w:val="20"/>
              </w:rPr>
              <w:t>ostarp</w:t>
            </w:r>
            <w:r w:rsidRPr="00E1483D">
              <w:rPr>
                <w:sz w:val="22"/>
                <w:szCs w:val="20"/>
              </w:rPr>
              <w:t xml:space="preserve"> vēžu un citu ūdens bezmugurkaulnieku, kā arī nēģu) ieguves kontroles darbību veikšanai un to nelikumīgas ieguves apkarošanai.</w:t>
            </w:r>
          </w:p>
          <w:p w:rsidR="00895904" w:rsidRDefault="00895904" w:rsidP="00FF1986">
            <w:pPr>
              <w:jc w:val="both"/>
              <w:rPr>
                <w:sz w:val="22"/>
                <w:szCs w:val="20"/>
              </w:rPr>
            </w:pPr>
          </w:p>
          <w:p w:rsidR="00895904" w:rsidRPr="009601A7" w:rsidRDefault="00895904" w:rsidP="00FF1986">
            <w:pPr>
              <w:jc w:val="both"/>
              <w:rPr>
                <w:sz w:val="22"/>
                <w:szCs w:val="20"/>
              </w:rPr>
            </w:pPr>
            <w:r>
              <w:rPr>
                <w:sz w:val="22"/>
                <w:szCs w:val="20"/>
              </w:rPr>
              <w:t>Nedaudz p</w:t>
            </w:r>
            <w:r w:rsidRPr="00B94CCD">
              <w:rPr>
                <w:sz w:val="22"/>
                <w:szCs w:val="20"/>
              </w:rPr>
              <w:t>alielinās</w:t>
            </w:r>
            <w:r>
              <w:rPr>
                <w:sz w:val="22"/>
                <w:szCs w:val="20"/>
              </w:rPr>
              <w:t>ies Zivju fonda atbalsta a</w:t>
            </w:r>
            <w:r w:rsidRPr="00B94CCD">
              <w:rPr>
                <w:sz w:val="22"/>
                <w:szCs w:val="20"/>
              </w:rPr>
              <w:t>dministr</w:t>
            </w:r>
            <w:r>
              <w:rPr>
                <w:sz w:val="22"/>
                <w:szCs w:val="20"/>
              </w:rPr>
              <w:t>ēšanas</w:t>
            </w:r>
            <w:r w:rsidRPr="00B94CCD">
              <w:rPr>
                <w:sz w:val="22"/>
                <w:szCs w:val="20"/>
              </w:rPr>
              <w:t xml:space="preserve"> slogs</w:t>
            </w:r>
            <w:r>
              <w:rPr>
                <w:sz w:val="22"/>
                <w:szCs w:val="20"/>
              </w:rPr>
              <w:t xml:space="preserve">, jo būs dota iespēja saņemt atbalstu par pilnvaroto personu iesaistīšanos kontroles darbībās. Administratīvā sloga palielināšanās paredzama Lauku atbalsta dienestam (no pašvaldībām un VVD </w:t>
            </w:r>
            <w:r w:rsidRPr="00B94CCD">
              <w:rPr>
                <w:sz w:val="22"/>
                <w:szCs w:val="20"/>
              </w:rPr>
              <w:t>saņemto dokumentu pārbaud</w:t>
            </w:r>
            <w:r>
              <w:rPr>
                <w:sz w:val="22"/>
                <w:szCs w:val="20"/>
              </w:rPr>
              <w:t>e</w:t>
            </w:r>
            <w:r w:rsidRPr="00B94CCD">
              <w:rPr>
                <w:sz w:val="22"/>
                <w:szCs w:val="20"/>
              </w:rPr>
              <w:t>, apkopošan</w:t>
            </w:r>
            <w:r>
              <w:rPr>
                <w:sz w:val="22"/>
                <w:szCs w:val="20"/>
              </w:rPr>
              <w:t>a</w:t>
            </w:r>
            <w:r w:rsidRPr="00B94CCD">
              <w:rPr>
                <w:sz w:val="22"/>
                <w:szCs w:val="20"/>
              </w:rPr>
              <w:t xml:space="preserve"> un iesniegšan</w:t>
            </w:r>
            <w:r>
              <w:rPr>
                <w:sz w:val="22"/>
                <w:szCs w:val="20"/>
              </w:rPr>
              <w:t>a</w:t>
            </w:r>
            <w:r w:rsidRPr="00B94CCD">
              <w:rPr>
                <w:sz w:val="22"/>
                <w:szCs w:val="20"/>
              </w:rPr>
              <w:t xml:space="preserve"> </w:t>
            </w:r>
            <w:r>
              <w:rPr>
                <w:sz w:val="22"/>
                <w:szCs w:val="20"/>
              </w:rPr>
              <w:t>Zemkopības ministrijā), padomei (</w:t>
            </w:r>
            <w:r w:rsidRPr="00002270">
              <w:rPr>
                <w:sz w:val="22"/>
                <w:szCs w:val="20"/>
              </w:rPr>
              <w:t>Lauku atbalsta dienesta iesniegto dokumentu izskatīšana un lēmuma pieņemšana), padomes sekretariātam (atbalsta pretendentu iesniegtās informācijas pārbaude, pieprasot ziņas no Sodu reģistra) un VVD (VVD pieņemto lēmumu par pašvaldību pilnvaroto personu sastādītajiem</w:t>
            </w:r>
            <w:r w:rsidRPr="00C059C6">
              <w:rPr>
                <w:sz w:val="22"/>
                <w:szCs w:val="20"/>
              </w:rPr>
              <w:t xml:space="preserve"> protokoliem kopij</w:t>
            </w:r>
            <w:r>
              <w:rPr>
                <w:sz w:val="22"/>
                <w:szCs w:val="20"/>
              </w:rPr>
              <w:t xml:space="preserve">u izsniegšana </w:t>
            </w:r>
            <w:r>
              <w:rPr>
                <w:sz w:val="22"/>
                <w:szCs w:val="20"/>
              </w:rPr>
              <w:lastRenderedPageBreak/>
              <w:t>pašvaldībām pēc to pieprasījuma).</w:t>
            </w:r>
          </w:p>
        </w:tc>
      </w:tr>
      <w:tr w:rsidR="00895904" w:rsidRPr="009601A7" w:rsidTr="00FF1986">
        <w:trPr>
          <w:trHeight w:val="408"/>
          <w:tblCellSpacing w:w="15" w:type="dxa"/>
        </w:trPr>
        <w:tc>
          <w:tcPr>
            <w:tcW w:w="250" w:type="pct"/>
            <w:hideMark/>
          </w:tcPr>
          <w:p w:rsidR="00895904" w:rsidRPr="009601A7" w:rsidRDefault="00895904" w:rsidP="00FF1986">
            <w:pPr>
              <w:rPr>
                <w:sz w:val="22"/>
                <w:szCs w:val="20"/>
              </w:rPr>
            </w:pPr>
            <w:r w:rsidRPr="009601A7">
              <w:rPr>
                <w:sz w:val="22"/>
                <w:szCs w:val="20"/>
              </w:rPr>
              <w:lastRenderedPageBreak/>
              <w:t>3.</w:t>
            </w:r>
          </w:p>
        </w:tc>
        <w:tc>
          <w:tcPr>
            <w:tcW w:w="1550" w:type="pct"/>
            <w:hideMark/>
          </w:tcPr>
          <w:p w:rsidR="00895904" w:rsidRPr="009601A7" w:rsidRDefault="00895904" w:rsidP="00FF1986">
            <w:pPr>
              <w:rPr>
                <w:sz w:val="22"/>
                <w:szCs w:val="20"/>
              </w:rPr>
            </w:pPr>
            <w:r w:rsidRPr="009601A7">
              <w:rPr>
                <w:sz w:val="22"/>
                <w:szCs w:val="20"/>
              </w:rPr>
              <w:t>Administratīvo izmaksu monetārs novērtējums</w:t>
            </w:r>
          </w:p>
        </w:tc>
        <w:tc>
          <w:tcPr>
            <w:tcW w:w="3200" w:type="pct"/>
            <w:hideMark/>
          </w:tcPr>
          <w:p w:rsidR="00895904" w:rsidRDefault="00895904" w:rsidP="00FF1986">
            <w:pPr>
              <w:jc w:val="both"/>
              <w:rPr>
                <w:sz w:val="22"/>
                <w:szCs w:val="20"/>
              </w:rPr>
            </w:pPr>
            <w:r>
              <w:rPr>
                <w:sz w:val="22"/>
                <w:szCs w:val="20"/>
              </w:rPr>
              <w:t>A</w:t>
            </w:r>
            <w:r w:rsidRPr="009410D8">
              <w:rPr>
                <w:sz w:val="22"/>
                <w:szCs w:val="20"/>
              </w:rPr>
              <w:t>dministratīvo izmaksu novērtējum</w:t>
            </w:r>
            <w:r>
              <w:rPr>
                <w:sz w:val="22"/>
                <w:szCs w:val="20"/>
              </w:rPr>
              <w:t xml:space="preserve">s </w:t>
            </w:r>
            <w:r w:rsidRPr="009410D8">
              <w:rPr>
                <w:sz w:val="22"/>
                <w:szCs w:val="20"/>
              </w:rPr>
              <w:t>mērķgrupai, k</w:t>
            </w:r>
            <w:r>
              <w:rPr>
                <w:sz w:val="22"/>
                <w:szCs w:val="20"/>
              </w:rPr>
              <w:t>o</w:t>
            </w:r>
            <w:r w:rsidRPr="009410D8">
              <w:rPr>
                <w:sz w:val="22"/>
                <w:szCs w:val="20"/>
              </w:rPr>
              <w:t xml:space="preserve"> veido juridiskas personas, </w:t>
            </w:r>
            <w:r>
              <w:rPr>
                <w:sz w:val="22"/>
                <w:szCs w:val="20"/>
              </w:rPr>
              <w:t>nepārsniedz</w:t>
            </w:r>
            <w:r w:rsidRPr="009410D8">
              <w:rPr>
                <w:sz w:val="22"/>
                <w:szCs w:val="20"/>
              </w:rPr>
              <w:t xml:space="preserve"> 2000 </w:t>
            </w:r>
            <w:r w:rsidRPr="00253790">
              <w:rPr>
                <w:i/>
                <w:sz w:val="22"/>
                <w:szCs w:val="20"/>
              </w:rPr>
              <w:t>euro</w:t>
            </w:r>
            <w:r>
              <w:rPr>
                <w:sz w:val="22"/>
                <w:szCs w:val="20"/>
              </w:rPr>
              <w:t xml:space="preserve"> gadā.</w:t>
            </w:r>
          </w:p>
          <w:p w:rsidR="00895904" w:rsidRPr="009601A7" w:rsidRDefault="00895904" w:rsidP="00FF1986">
            <w:pPr>
              <w:jc w:val="both"/>
              <w:rPr>
                <w:sz w:val="22"/>
                <w:szCs w:val="20"/>
              </w:rPr>
            </w:pPr>
          </w:p>
        </w:tc>
      </w:tr>
      <w:tr w:rsidR="00895904" w:rsidRPr="009601A7" w:rsidTr="00FF1986">
        <w:trPr>
          <w:trHeight w:val="276"/>
          <w:tblCellSpacing w:w="15" w:type="dxa"/>
        </w:trPr>
        <w:tc>
          <w:tcPr>
            <w:tcW w:w="250" w:type="pct"/>
            <w:hideMark/>
          </w:tcPr>
          <w:p w:rsidR="00895904" w:rsidRPr="009601A7" w:rsidRDefault="00895904" w:rsidP="00FF1986">
            <w:pPr>
              <w:rPr>
                <w:sz w:val="22"/>
                <w:szCs w:val="20"/>
              </w:rPr>
            </w:pPr>
            <w:r w:rsidRPr="009601A7">
              <w:rPr>
                <w:sz w:val="22"/>
                <w:szCs w:val="20"/>
              </w:rPr>
              <w:t>4.</w:t>
            </w:r>
          </w:p>
        </w:tc>
        <w:tc>
          <w:tcPr>
            <w:tcW w:w="1550" w:type="pct"/>
            <w:hideMark/>
          </w:tcPr>
          <w:p w:rsidR="00895904" w:rsidRPr="009601A7" w:rsidRDefault="00895904" w:rsidP="00FF1986">
            <w:pPr>
              <w:rPr>
                <w:sz w:val="22"/>
                <w:szCs w:val="20"/>
              </w:rPr>
            </w:pPr>
            <w:r w:rsidRPr="009601A7">
              <w:rPr>
                <w:sz w:val="22"/>
                <w:szCs w:val="20"/>
              </w:rPr>
              <w:t>Cita informācija</w:t>
            </w:r>
          </w:p>
        </w:tc>
        <w:tc>
          <w:tcPr>
            <w:tcW w:w="3200" w:type="pct"/>
            <w:hideMark/>
          </w:tcPr>
          <w:p w:rsidR="00895904" w:rsidRPr="009601A7" w:rsidRDefault="00895904" w:rsidP="00FF1986">
            <w:pPr>
              <w:jc w:val="both"/>
              <w:rPr>
                <w:sz w:val="22"/>
                <w:szCs w:val="20"/>
              </w:rPr>
            </w:pPr>
            <w:r>
              <w:rPr>
                <w:sz w:val="22"/>
                <w:szCs w:val="20"/>
              </w:rPr>
              <w:t>Līdz šim</w:t>
            </w:r>
            <w:r w:rsidRPr="00294AE0">
              <w:rPr>
                <w:sz w:val="22"/>
                <w:szCs w:val="20"/>
              </w:rPr>
              <w:t xml:space="preserve"> nav </w:t>
            </w:r>
            <w:r>
              <w:rPr>
                <w:sz w:val="22"/>
                <w:szCs w:val="20"/>
              </w:rPr>
              <w:t xml:space="preserve">bijis </w:t>
            </w:r>
            <w:r w:rsidRPr="00294AE0">
              <w:rPr>
                <w:sz w:val="22"/>
                <w:szCs w:val="20"/>
              </w:rPr>
              <w:t>pietiekamu līdzekļu, lai aktivizētu un atbalstītu pašvaldību un VVD pilnvaroto personu iesaistīšanu zvejas un makšķerēšanas kontrol</w:t>
            </w:r>
            <w:r>
              <w:rPr>
                <w:sz w:val="22"/>
                <w:szCs w:val="20"/>
              </w:rPr>
              <w:t>ē</w:t>
            </w:r>
            <w:r w:rsidR="00A27185">
              <w:rPr>
                <w:sz w:val="22"/>
                <w:szCs w:val="20"/>
              </w:rPr>
              <w:t>,</w:t>
            </w:r>
            <w:r w:rsidRPr="00294AE0">
              <w:rPr>
                <w:sz w:val="22"/>
                <w:szCs w:val="20"/>
              </w:rPr>
              <w:t xml:space="preserve"> un </w:t>
            </w:r>
            <w:r>
              <w:rPr>
                <w:sz w:val="22"/>
                <w:szCs w:val="20"/>
              </w:rPr>
              <w:t>lielākoties</w:t>
            </w:r>
            <w:r w:rsidRPr="00294AE0">
              <w:rPr>
                <w:sz w:val="22"/>
                <w:szCs w:val="20"/>
              </w:rPr>
              <w:t xml:space="preserve"> </w:t>
            </w:r>
            <w:r>
              <w:rPr>
                <w:sz w:val="22"/>
                <w:szCs w:val="20"/>
              </w:rPr>
              <w:t>šāda</w:t>
            </w:r>
            <w:r w:rsidRPr="00294AE0">
              <w:rPr>
                <w:sz w:val="22"/>
                <w:szCs w:val="20"/>
              </w:rPr>
              <w:t xml:space="preserve"> darbība notik</w:t>
            </w:r>
            <w:r>
              <w:rPr>
                <w:sz w:val="22"/>
                <w:szCs w:val="20"/>
              </w:rPr>
              <w:t>usi</w:t>
            </w:r>
            <w:r w:rsidRPr="00294AE0">
              <w:rPr>
                <w:sz w:val="22"/>
                <w:szCs w:val="20"/>
              </w:rPr>
              <w:t xml:space="preserve"> </w:t>
            </w:r>
            <w:r>
              <w:rPr>
                <w:sz w:val="22"/>
                <w:szCs w:val="20"/>
              </w:rPr>
              <w:t>brīvprātīgi</w:t>
            </w:r>
            <w:r w:rsidRPr="00294AE0">
              <w:rPr>
                <w:sz w:val="22"/>
                <w:szCs w:val="20"/>
              </w:rPr>
              <w:t>.</w:t>
            </w:r>
            <w:r>
              <w:rPr>
                <w:sz w:val="22"/>
                <w:szCs w:val="20"/>
              </w:rPr>
              <w:t xml:space="preserve"> Š</w:t>
            </w:r>
            <w:r w:rsidR="00A27185">
              <w:rPr>
                <w:sz w:val="22"/>
                <w:szCs w:val="20"/>
              </w:rPr>
              <w:t>ie</w:t>
            </w:r>
            <w:r>
              <w:rPr>
                <w:sz w:val="22"/>
                <w:szCs w:val="20"/>
              </w:rPr>
              <w:t xml:space="preserve"> </w:t>
            </w:r>
            <w:r w:rsidR="00A27185">
              <w:rPr>
                <w:sz w:val="22"/>
                <w:szCs w:val="20"/>
              </w:rPr>
              <w:t>pasākumi</w:t>
            </w:r>
            <w:r>
              <w:rPr>
                <w:sz w:val="22"/>
                <w:szCs w:val="20"/>
              </w:rPr>
              <w:t xml:space="preserve"> ierobežot</w:t>
            </w:r>
            <w:r w:rsidR="00A27185">
              <w:rPr>
                <w:sz w:val="22"/>
                <w:szCs w:val="20"/>
              </w:rPr>
              <w:t>i</w:t>
            </w:r>
            <w:r>
              <w:rPr>
                <w:sz w:val="22"/>
                <w:szCs w:val="20"/>
              </w:rPr>
              <w:t xml:space="preserve"> </w:t>
            </w:r>
            <w:r w:rsidR="00A27185">
              <w:rPr>
                <w:sz w:val="22"/>
                <w:szCs w:val="20"/>
              </w:rPr>
              <w:t>veikti tāpēc</w:t>
            </w:r>
            <w:r>
              <w:rPr>
                <w:sz w:val="22"/>
                <w:szCs w:val="20"/>
              </w:rPr>
              <w:t>, ka pašvaldībām nav piešķirts pietiekami daudz līdzekļu no valsts budžeta attiecīgo funkciju veikšanai.</w:t>
            </w:r>
          </w:p>
        </w:tc>
      </w:tr>
    </w:tbl>
    <w:p w:rsidR="00895904" w:rsidRPr="005151D9" w:rsidRDefault="00895904" w:rsidP="00895904">
      <w:pPr>
        <w:ind w:firstLine="301"/>
        <w:rPr>
          <w:rFonts w:ascii="Arial" w:hAnsi="Arial" w:cs="Arial"/>
          <w:iCs/>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2117"/>
        <w:gridCol w:w="1064"/>
        <w:gridCol w:w="1542"/>
        <w:gridCol w:w="1090"/>
        <w:gridCol w:w="1090"/>
        <w:gridCol w:w="2286"/>
      </w:tblGrid>
      <w:tr w:rsidR="00895904" w:rsidRPr="005151D9" w:rsidTr="00FF1986">
        <w:trPr>
          <w:trHeight w:val="288"/>
          <w:tblCellSpacing w:w="15" w:type="dxa"/>
          <w:jc w:val="center"/>
        </w:trPr>
        <w:tc>
          <w:tcPr>
            <w:tcW w:w="0" w:type="auto"/>
            <w:gridSpan w:val="6"/>
            <w:vAlign w:val="center"/>
            <w:hideMark/>
          </w:tcPr>
          <w:p w:rsidR="00895904" w:rsidRPr="005151D9" w:rsidRDefault="00895904" w:rsidP="00FF1986">
            <w:pPr>
              <w:spacing w:before="100" w:beforeAutospacing="1" w:after="100" w:afterAutospacing="1" w:line="360" w:lineRule="auto"/>
              <w:ind w:firstLine="300"/>
              <w:jc w:val="center"/>
              <w:rPr>
                <w:b/>
                <w:bCs/>
                <w:sz w:val="22"/>
                <w:szCs w:val="22"/>
              </w:rPr>
            </w:pPr>
            <w:r w:rsidRPr="005151D9">
              <w:rPr>
                <w:b/>
                <w:bCs/>
                <w:sz w:val="22"/>
                <w:szCs w:val="22"/>
              </w:rPr>
              <w:t>III. Tiesību akta projekta ietekme uz valsts budžetu un pašvaldību budžetiem</w:t>
            </w:r>
          </w:p>
        </w:tc>
      </w:tr>
      <w:tr w:rsidR="00895904" w:rsidRPr="005151D9" w:rsidTr="00FF1986">
        <w:trPr>
          <w:tblCellSpacing w:w="15" w:type="dxa"/>
          <w:jc w:val="center"/>
        </w:trPr>
        <w:tc>
          <w:tcPr>
            <w:tcW w:w="1143" w:type="pct"/>
            <w:vMerge w:val="restart"/>
            <w:vAlign w:val="center"/>
            <w:hideMark/>
          </w:tcPr>
          <w:p w:rsidR="00895904" w:rsidRPr="005151D9" w:rsidRDefault="00895904" w:rsidP="00FF1986">
            <w:pPr>
              <w:spacing w:before="100" w:beforeAutospacing="1" w:after="100" w:afterAutospacing="1" w:line="360" w:lineRule="auto"/>
              <w:ind w:firstLine="300"/>
              <w:jc w:val="center"/>
              <w:rPr>
                <w:b/>
                <w:bCs/>
                <w:sz w:val="22"/>
                <w:szCs w:val="22"/>
              </w:rPr>
            </w:pPr>
            <w:r w:rsidRPr="005151D9">
              <w:rPr>
                <w:b/>
                <w:bCs/>
                <w:sz w:val="22"/>
                <w:szCs w:val="22"/>
              </w:rPr>
              <w:t>Rādītāji</w:t>
            </w:r>
          </w:p>
        </w:tc>
        <w:tc>
          <w:tcPr>
            <w:tcW w:w="1404" w:type="pct"/>
            <w:gridSpan w:val="2"/>
            <w:vMerge w:val="restart"/>
            <w:vAlign w:val="center"/>
            <w:hideMark/>
          </w:tcPr>
          <w:p w:rsidR="00895904" w:rsidRPr="005151D9" w:rsidRDefault="00895904" w:rsidP="00FF1986">
            <w:pPr>
              <w:spacing w:before="100" w:beforeAutospacing="1" w:after="100" w:afterAutospacing="1" w:line="360" w:lineRule="auto"/>
              <w:ind w:firstLine="300"/>
              <w:jc w:val="center"/>
              <w:rPr>
                <w:b/>
                <w:bCs/>
                <w:sz w:val="22"/>
                <w:szCs w:val="22"/>
              </w:rPr>
            </w:pPr>
            <w:r>
              <w:rPr>
                <w:b/>
                <w:bCs/>
                <w:sz w:val="22"/>
                <w:szCs w:val="22"/>
              </w:rPr>
              <w:t>2014.</w:t>
            </w:r>
            <w:r w:rsidRPr="005151D9">
              <w:rPr>
                <w:b/>
                <w:bCs/>
                <w:sz w:val="22"/>
                <w:szCs w:val="22"/>
              </w:rPr>
              <w:t>gads</w:t>
            </w:r>
          </w:p>
        </w:tc>
        <w:tc>
          <w:tcPr>
            <w:tcW w:w="2388" w:type="pct"/>
            <w:gridSpan w:val="3"/>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Turpmākie trīs gadi (</w:t>
            </w:r>
            <w:r w:rsidRPr="005151D9">
              <w:rPr>
                <w:i/>
                <w:iCs/>
                <w:sz w:val="22"/>
                <w:szCs w:val="22"/>
              </w:rPr>
              <w:t>euro</w:t>
            </w:r>
            <w:r w:rsidRPr="005151D9">
              <w:rPr>
                <w:sz w:val="22"/>
                <w:szCs w:val="22"/>
              </w:rPr>
              <w:t>)</w:t>
            </w:r>
          </w:p>
        </w:tc>
      </w:tr>
      <w:tr w:rsidR="00895904" w:rsidRPr="005151D9" w:rsidTr="00FF1986">
        <w:trPr>
          <w:tblCellSpacing w:w="15" w:type="dxa"/>
          <w:jc w:val="center"/>
        </w:trPr>
        <w:tc>
          <w:tcPr>
            <w:tcW w:w="0" w:type="auto"/>
            <w:vMerge/>
            <w:vAlign w:val="center"/>
            <w:hideMark/>
          </w:tcPr>
          <w:p w:rsidR="00895904" w:rsidRPr="005151D9" w:rsidRDefault="00895904" w:rsidP="00FF1986">
            <w:pPr>
              <w:rPr>
                <w:b/>
                <w:bCs/>
                <w:sz w:val="22"/>
                <w:szCs w:val="22"/>
              </w:rPr>
            </w:pPr>
          </w:p>
        </w:tc>
        <w:tc>
          <w:tcPr>
            <w:tcW w:w="0" w:type="auto"/>
            <w:gridSpan w:val="2"/>
            <w:vMerge/>
            <w:vAlign w:val="center"/>
            <w:hideMark/>
          </w:tcPr>
          <w:p w:rsidR="00895904" w:rsidRPr="005151D9" w:rsidRDefault="00895904" w:rsidP="00FF1986">
            <w:pPr>
              <w:rPr>
                <w:b/>
                <w:bCs/>
                <w:sz w:val="22"/>
                <w:szCs w:val="22"/>
              </w:rPr>
            </w:pPr>
          </w:p>
        </w:tc>
        <w:tc>
          <w:tcPr>
            <w:tcW w:w="584" w:type="pct"/>
            <w:vAlign w:val="center"/>
            <w:hideMark/>
          </w:tcPr>
          <w:p w:rsidR="00895904" w:rsidRPr="005151D9" w:rsidRDefault="00895904" w:rsidP="00FF1986">
            <w:pPr>
              <w:spacing w:before="100" w:beforeAutospacing="1" w:after="100" w:afterAutospacing="1" w:line="360" w:lineRule="auto"/>
              <w:ind w:firstLine="300"/>
              <w:jc w:val="center"/>
              <w:rPr>
                <w:b/>
                <w:bCs/>
                <w:sz w:val="22"/>
                <w:szCs w:val="22"/>
              </w:rPr>
            </w:pPr>
            <w:r>
              <w:rPr>
                <w:b/>
                <w:bCs/>
                <w:sz w:val="22"/>
                <w:szCs w:val="22"/>
              </w:rPr>
              <w:t>2015.</w:t>
            </w:r>
          </w:p>
        </w:tc>
        <w:tc>
          <w:tcPr>
            <w:tcW w:w="584" w:type="pct"/>
            <w:vAlign w:val="center"/>
            <w:hideMark/>
          </w:tcPr>
          <w:p w:rsidR="00895904" w:rsidRPr="005151D9" w:rsidRDefault="00895904" w:rsidP="00FF1986">
            <w:pPr>
              <w:spacing w:before="100" w:beforeAutospacing="1" w:after="100" w:afterAutospacing="1" w:line="360" w:lineRule="auto"/>
              <w:ind w:firstLine="300"/>
              <w:jc w:val="center"/>
              <w:rPr>
                <w:b/>
                <w:bCs/>
                <w:sz w:val="22"/>
                <w:szCs w:val="22"/>
              </w:rPr>
            </w:pPr>
            <w:r>
              <w:rPr>
                <w:b/>
                <w:bCs/>
                <w:sz w:val="22"/>
                <w:szCs w:val="22"/>
              </w:rPr>
              <w:t>2016.</w:t>
            </w:r>
          </w:p>
        </w:tc>
        <w:tc>
          <w:tcPr>
            <w:tcW w:w="1187" w:type="pct"/>
            <w:vAlign w:val="center"/>
            <w:hideMark/>
          </w:tcPr>
          <w:p w:rsidR="00895904" w:rsidRPr="005151D9" w:rsidRDefault="00895904" w:rsidP="00FF1986">
            <w:pPr>
              <w:spacing w:before="100" w:beforeAutospacing="1" w:after="100" w:afterAutospacing="1" w:line="360" w:lineRule="auto"/>
              <w:ind w:firstLine="300"/>
              <w:jc w:val="center"/>
              <w:rPr>
                <w:b/>
                <w:bCs/>
                <w:sz w:val="22"/>
                <w:szCs w:val="22"/>
              </w:rPr>
            </w:pPr>
            <w:r>
              <w:rPr>
                <w:b/>
                <w:bCs/>
                <w:sz w:val="22"/>
                <w:szCs w:val="22"/>
              </w:rPr>
              <w:t>2017.</w:t>
            </w:r>
          </w:p>
        </w:tc>
      </w:tr>
      <w:tr w:rsidR="00895904" w:rsidRPr="005151D9" w:rsidTr="00FF1986">
        <w:trPr>
          <w:tblCellSpacing w:w="15" w:type="dxa"/>
          <w:jc w:val="center"/>
        </w:trPr>
        <w:tc>
          <w:tcPr>
            <w:tcW w:w="0" w:type="auto"/>
            <w:vMerge/>
            <w:vAlign w:val="center"/>
            <w:hideMark/>
          </w:tcPr>
          <w:p w:rsidR="00895904" w:rsidRPr="005151D9" w:rsidRDefault="00895904" w:rsidP="00FF1986">
            <w:pPr>
              <w:rPr>
                <w:b/>
                <w:bCs/>
                <w:sz w:val="22"/>
                <w:szCs w:val="22"/>
              </w:rPr>
            </w:pPr>
          </w:p>
        </w:tc>
        <w:tc>
          <w:tcPr>
            <w:tcW w:w="570"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saskaņā ar valsts budžetu kārtējam gadam</w:t>
            </w:r>
          </w:p>
        </w:tc>
        <w:tc>
          <w:tcPr>
            <w:tcW w:w="818"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izmaiņas kārtējā gadā, salīdzinot ar valsts budžetu kārtējam gadam</w:t>
            </w:r>
          </w:p>
        </w:tc>
        <w:tc>
          <w:tcPr>
            <w:tcW w:w="584"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izmaiņas, salīdzinot ar kārtējo (n) gadu</w:t>
            </w:r>
          </w:p>
        </w:tc>
        <w:tc>
          <w:tcPr>
            <w:tcW w:w="584"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izmaiņas, salīdzinot ar kārtējo (n) gadu</w:t>
            </w:r>
          </w:p>
        </w:tc>
        <w:tc>
          <w:tcPr>
            <w:tcW w:w="1187"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izmaiņas, salīdzinot ar kārtējo (n) gadu</w:t>
            </w:r>
          </w:p>
        </w:tc>
      </w:tr>
      <w:tr w:rsidR="00895904" w:rsidRPr="005151D9" w:rsidTr="00FF1986">
        <w:trPr>
          <w:tblCellSpacing w:w="15" w:type="dxa"/>
          <w:jc w:val="center"/>
        </w:trPr>
        <w:tc>
          <w:tcPr>
            <w:tcW w:w="1143"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1</w:t>
            </w:r>
          </w:p>
        </w:tc>
        <w:tc>
          <w:tcPr>
            <w:tcW w:w="570"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2</w:t>
            </w:r>
          </w:p>
        </w:tc>
        <w:tc>
          <w:tcPr>
            <w:tcW w:w="818"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3</w:t>
            </w:r>
          </w:p>
        </w:tc>
        <w:tc>
          <w:tcPr>
            <w:tcW w:w="584"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4</w:t>
            </w:r>
          </w:p>
        </w:tc>
        <w:tc>
          <w:tcPr>
            <w:tcW w:w="584"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5</w:t>
            </w:r>
          </w:p>
        </w:tc>
        <w:tc>
          <w:tcPr>
            <w:tcW w:w="1187" w:type="pct"/>
            <w:vAlign w:val="center"/>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6</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1. Budžeta ieņēmumi:</w:t>
            </w:r>
          </w:p>
        </w:tc>
        <w:tc>
          <w:tcPr>
            <w:tcW w:w="570" w:type="pct"/>
            <w:hideMark/>
          </w:tcPr>
          <w:p w:rsidR="00895904" w:rsidRPr="005151D9" w:rsidRDefault="00895904" w:rsidP="00FF1986">
            <w:pPr>
              <w:rPr>
                <w:sz w:val="22"/>
                <w:szCs w:val="22"/>
              </w:rPr>
            </w:pP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1.1. valsts pamatbudžets, tai skaitā ieņēmumi no maksas pakalpojumiem un citi pašu ieņēmumi</w:t>
            </w:r>
          </w:p>
        </w:tc>
        <w:tc>
          <w:tcPr>
            <w:tcW w:w="570" w:type="pct"/>
          </w:tcPr>
          <w:p w:rsidR="00895904" w:rsidRPr="005151D9" w:rsidRDefault="00895904" w:rsidP="00FF1986">
            <w:pPr>
              <w:rPr>
                <w:sz w:val="22"/>
                <w:szCs w:val="22"/>
              </w:rPr>
            </w:pPr>
            <w:r>
              <w:rPr>
                <w:sz w:val="22"/>
                <w:szCs w:val="22"/>
              </w:rPr>
              <w:t>0</w:t>
            </w:r>
          </w:p>
        </w:tc>
        <w:tc>
          <w:tcPr>
            <w:tcW w:w="818"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1.2. valsts speciālais budžets</w:t>
            </w:r>
          </w:p>
        </w:tc>
        <w:tc>
          <w:tcPr>
            <w:tcW w:w="570" w:type="pct"/>
            <w:hideMark/>
          </w:tcPr>
          <w:p w:rsidR="00895904" w:rsidRPr="005151D9" w:rsidRDefault="00895904" w:rsidP="00FF1986">
            <w:pPr>
              <w:rPr>
                <w:sz w:val="22"/>
                <w:szCs w:val="22"/>
              </w:rPr>
            </w:pPr>
            <w:r w:rsidRPr="005151D9">
              <w:rPr>
                <w:sz w:val="22"/>
                <w:szCs w:val="22"/>
              </w:rPr>
              <w:t> </w:t>
            </w: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1.3. pašvaldību budžets</w:t>
            </w:r>
          </w:p>
        </w:tc>
        <w:tc>
          <w:tcPr>
            <w:tcW w:w="570" w:type="pct"/>
            <w:hideMark/>
          </w:tcPr>
          <w:p w:rsidR="00895904" w:rsidRPr="005151D9" w:rsidRDefault="00895904" w:rsidP="00FF1986">
            <w:pPr>
              <w:rPr>
                <w:sz w:val="22"/>
                <w:szCs w:val="22"/>
              </w:rPr>
            </w:pPr>
            <w:r w:rsidRPr="005151D9">
              <w:rPr>
                <w:sz w:val="22"/>
                <w:szCs w:val="22"/>
              </w:rPr>
              <w:t> </w:t>
            </w: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2. Budžeta izdevumi:</w:t>
            </w:r>
          </w:p>
        </w:tc>
        <w:tc>
          <w:tcPr>
            <w:tcW w:w="570" w:type="pct"/>
            <w:hideMark/>
          </w:tcPr>
          <w:p w:rsidR="00895904" w:rsidRPr="005151D9" w:rsidRDefault="00895904" w:rsidP="00FF1986">
            <w:pPr>
              <w:rPr>
                <w:sz w:val="22"/>
                <w:szCs w:val="22"/>
              </w:rPr>
            </w:pP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2.1. valsts pamatbudžets</w:t>
            </w:r>
          </w:p>
        </w:tc>
        <w:tc>
          <w:tcPr>
            <w:tcW w:w="570" w:type="pct"/>
          </w:tcPr>
          <w:p w:rsidR="00895904" w:rsidRPr="005151D9" w:rsidRDefault="00895904" w:rsidP="00FF1986">
            <w:pPr>
              <w:rPr>
                <w:sz w:val="22"/>
                <w:szCs w:val="22"/>
              </w:rPr>
            </w:pPr>
            <w:r>
              <w:rPr>
                <w:sz w:val="22"/>
                <w:szCs w:val="22"/>
              </w:rPr>
              <w:t>0</w:t>
            </w:r>
          </w:p>
        </w:tc>
        <w:tc>
          <w:tcPr>
            <w:tcW w:w="818"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2.2. valsts speciālais budžets</w:t>
            </w:r>
          </w:p>
        </w:tc>
        <w:tc>
          <w:tcPr>
            <w:tcW w:w="570" w:type="pct"/>
            <w:hideMark/>
          </w:tcPr>
          <w:p w:rsidR="00895904" w:rsidRPr="005151D9" w:rsidRDefault="00895904" w:rsidP="00FF1986">
            <w:pPr>
              <w:rPr>
                <w:sz w:val="22"/>
                <w:szCs w:val="22"/>
              </w:rPr>
            </w:pPr>
            <w:r w:rsidRPr="005151D9">
              <w:rPr>
                <w:sz w:val="22"/>
                <w:szCs w:val="22"/>
              </w:rPr>
              <w:t> </w:t>
            </w: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2.3. pašvaldību budžets</w:t>
            </w:r>
          </w:p>
        </w:tc>
        <w:tc>
          <w:tcPr>
            <w:tcW w:w="570" w:type="pct"/>
            <w:hideMark/>
          </w:tcPr>
          <w:p w:rsidR="00895904" w:rsidRPr="005151D9" w:rsidRDefault="00895904" w:rsidP="00FF1986">
            <w:pPr>
              <w:rPr>
                <w:sz w:val="22"/>
                <w:szCs w:val="22"/>
              </w:rPr>
            </w:pP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3. Finansiālā ietekme:</w:t>
            </w:r>
          </w:p>
        </w:tc>
        <w:tc>
          <w:tcPr>
            <w:tcW w:w="570" w:type="pct"/>
          </w:tcPr>
          <w:p w:rsidR="00895904" w:rsidRPr="005151D9" w:rsidRDefault="00895904" w:rsidP="00FF1986">
            <w:pPr>
              <w:rPr>
                <w:sz w:val="22"/>
                <w:szCs w:val="22"/>
              </w:rPr>
            </w:pPr>
            <w:r>
              <w:rPr>
                <w:sz w:val="22"/>
                <w:szCs w:val="22"/>
              </w:rPr>
              <w:t>0</w:t>
            </w:r>
          </w:p>
        </w:tc>
        <w:tc>
          <w:tcPr>
            <w:tcW w:w="818"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3.1. valsts pamatbudžets</w:t>
            </w:r>
          </w:p>
        </w:tc>
        <w:tc>
          <w:tcPr>
            <w:tcW w:w="570" w:type="pct"/>
            <w:hideMark/>
          </w:tcPr>
          <w:p w:rsidR="00895904" w:rsidRPr="005151D9" w:rsidRDefault="00895904" w:rsidP="00FF1986">
            <w:pPr>
              <w:rPr>
                <w:sz w:val="22"/>
                <w:szCs w:val="22"/>
              </w:rPr>
            </w:pPr>
            <w:r>
              <w:rPr>
                <w:sz w:val="22"/>
                <w:szCs w:val="22"/>
              </w:rPr>
              <w:t>0</w:t>
            </w:r>
          </w:p>
        </w:tc>
        <w:tc>
          <w:tcPr>
            <w:tcW w:w="818"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3.2. speciālais budžets</w:t>
            </w:r>
          </w:p>
        </w:tc>
        <w:tc>
          <w:tcPr>
            <w:tcW w:w="570" w:type="pct"/>
            <w:hideMark/>
          </w:tcPr>
          <w:p w:rsidR="00895904" w:rsidRPr="005151D9" w:rsidRDefault="00895904" w:rsidP="00FF1986">
            <w:pPr>
              <w:rPr>
                <w:sz w:val="22"/>
                <w:szCs w:val="22"/>
              </w:rPr>
            </w:pPr>
            <w:r w:rsidRPr="005151D9">
              <w:rPr>
                <w:sz w:val="22"/>
                <w:szCs w:val="22"/>
              </w:rPr>
              <w:t> </w:t>
            </w:r>
            <w:r>
              <w:rPr>
                <w:sz w:val="22"/>
                <w:szCs w:val="22"/>
              </w:rPr>
              <w:t>0</w:t>
            </w:r>
          </w:p>
        </w:tc>
        <w:tc>
          <w:tcPr>
            <w:tcW w:w="818" w:type="pct"/>
            <w:hideMark/>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584" w:type="pct"/>
          </w:tcPr>
          <w:p w:rsidR="00895904" w:rsidRPr="005151D9" w:rsidRDefault="00895904" w:rsidP="00FF1986">
            <w:pPr>
              <w:rPr>
                <w:sz w:val="22"/>
                <w:szCs w:val="22"/>
              </w:rPr>
            </w:pPr>
            <w:r>
              <w:rPr>
                <w:sz w:val="22"/>
                <w:szCs w:val="22"/>
              </w:rPr>
              <w:t>0</w:t>
            </w:r>
          </w:p>
        </w:tc>
        <w:tc>
          <w:tcPr>
            <w:tcW w:w="1187" w:type="pct"/>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 xml:space="preserve">3.3. pašvaldību </w:t>
            </w:r>
            <w:r w:rsidRPr="005151D9">
              <w:rPr>
                <w:sz w:val="22"/>
                <w:szCs w:val="22"/>
              </w:rPr>
              <w:lastRenderedPageBreak/>
              <w:t>budžets</w:t>
            </w:r>
          </w:p>
        </w:tc>
        <w:tc>
          <w:tcPr>
            <w:tcW w:w="570" w:type="pct"/>
            <w:hideMark/>
          </w:tcPr>
          <w:p w:rsidR="00895904" w:rsidRPr="005151D9" w:rsidRDefault="00895904" w:rsidP="00FF1986">
            <w:pPr>
              <w:rPr>
                <w:sz w:val="22"/>
                <w:szCs w:val="22"/>
              </w:rPr>
            </w:pPr>
            <w:r>
              <w:rPr>
                <w:sz w:val="22"/>
                <w:szCs w:val="22"/>
              </w:rPr>
              <w:lastRenderedPageBreak/>
              <w:t>0</w:t>
            </w:r>
          </w:p>
        </w:tc>
        <w:tc>
          <w:tcPr>
            <w:tcW w:w="818"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vMerge w:val="restart"/>
            <w:hideMark/>
          </w:tcPr>
          <w:p w:rsidR="00895904" w:rsidRPr="005151D9" w:rsidRDefault="00895904" w:rsidP="00FF1986">
            <w:pPr>
              <w:rPr>
                <w:sz w:val="22"/>
                <w:szCs w:val="22"/>
              </w:rPr>
            </w:pPr>
            <w:r w:rsidRPr="005151D9">
              <w:rPr>
                <w:sz w:val="22"/>
                <w:szCs w:val="22"/>
              </w:rPr>
              <w:lastRenderedPageBreak/>
              <w:t>4. Finanšu līdzekļi papildu izdevumu finansēšanai (kompensējošu izdevumu samazinājumu norāda ar "+" zīmi)</w:t>
            </w:r>
          </w:p>
        </w:tc>
        <w:tc>
          <w:tcPr>
            <w:tcW w:w="570" w:type="pct"/>
            <w:vMerge w:val="restart"/>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X</w:t>
            </w:r>
          </w:p>
        </w:tc>
        <w:tc>
          <w:tcPr>
            <w:tcW w:w="818" w:type="pct"/>
            <w:hideMark/>
          </w:tcPr>
          <w:p w:rsidR="00895904" w:rsidRPr="005151D9" w:rsidRDefault="00895904" w:rsidP="00FF1986">
            <w:pPr>
              <w:rPr>
                <w:sz w:val="22"/>
                <w:szCs w:val="22"/>
              </w:rPr>
            </w:pPr>
            <w:r w:rsidRPr="005151D9">
              <w:rPr>
                <w:sz w:val="22"/>
                <w:szCs w:val="22"/>
              </w:rPr>
              <w:t> </w:t>
            </w: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0" w:type="auto"/>
            <w:vMerge/>
            <w:vAlign w:val="center"/>
            <w:hideMark/>
          </w:tcPr>
          <w:p w:rsidR="00895904" w:rsidRPr="005151D9" w:rsidRDefault="00895904" w:rsidP="00FF1986">
            <w:pPr>
              <w:rPr>
                <w:sz w:val="22"/>
                <w:szCs w:val="22"/>
              </w:rPr>
            </w:pPr>
          </w:p>
        </w:tc>
        <w:tc>
          <w:tcPr>
            <w:tcW w:w="0" w:type="auto"/>
            <w:vMerge/>
            <w:vAlign w:val="center"/>
            <w:hideMark/>
          </w:tcPr>
          <w:p w:rsidR="00895904" w:rsidRPr="005151D9" w:rsidRDefault="00895904" w:rsidP="00FF1986">
            <w:pPr>
              <w:rPr>
                <w:sz w:val="22"/>
                <w:szCs w:val="22"/>
              </w:rPr>
            </w:pPr>
          </w:p>
        </w:tc>
        <w:tc>
          <w:tcPr>
            <w:tcW w:w="818" w:type="pct"/>
            <w:hideMark/>
          </w:tcPr>
          <w:p w:rsidR="00895904" w:rsidRPr="005151D9" w:rsidRDefault="00895904" w:rsidP="00FF1986">
            <w:pPr>
              <w:rPr>
                <w:sz w:val="22"/>
                <w:szCs w:val="22"/>
              </w:rPr>
            </w:pPr>
            <w:r w:rsidRPr="005151D9">
              <w:rPr>
                <w:sz w:val="22"/>
                <w:szCs w:val="22"/>
              </w:rPr>
              <w:t> </w:t>
            </w:r>
          </w:p>
        </w:tc>
        <w:tc>
          <w:tcPr>
            <w:tcW w:w="584" w:type="pct"/>
            <w:hideMark/>
          </w:tcPr>
          <w:p w:rsidR="00895904" w:rsidRPr="005151D9" w:rsidRDefault="00895904" w:rsidP="00FF1986">
            <w:pPr>
              <w:rPr>
                <w:sz w:val="22"/>
                <w:szCs w:val="22"/>
              </w:rPr>
            </w:pPr>
            <w:r w:rsidRPr="005151D9">
              <w:rPr>
                <w:sz w:val="22"/>
                <w:szCs w:val="22"/>
              </w:rPr>
              <w:t> </w:t>
            </w:r>
          </w:p>
        </w:tc>
        <w:tc>
          <w:tcPr>
            <w:tcW w:w="584" w:type="pct"/>
            <w:hideMark/>
          </w:tcPr>
          <w:p w:rsidR="00895904" w:rsidRPr="005151D9" w:rsidRDefault="00895904" w:rsidP="00FF1986">
            <w:pPr>
              <w:rPr>
                <w:sz w:val="22"/>
                <w:szCs w:val="22"/>
              </w:rPr>
            </w:pPr>
            <w:r w:rsidRPr="005151D9">
              <w:rPr>
                <w:sz w:val="22"/>
                <w:szCs w:val="22"/>
              </w:rPr>
              <w:t> </w:t>
            </w:r>
          </w:p>
        </w:tc>
        <w:tc>
          <w:tcPr>
            <w:tcW w:w="1187" w:type="pct"/>
            <w:hideMark/>
          </w:tcPr>
          <w:p w:rsidR="00895904" w:rsidRPr="005151D9" w:rsidRDefault="00895904" w:rsidP="00FF1986">
            <w:pPr>
              <w:rPr>
                <w:sz w:val="22"/>
                <w:szCs w:val="22"/>
              </w:rPr>
            </w:pPr>
            <w:r w:rsidRPr="005151D9">
              <w:rPr>
                <w:sz w:val="22"/>
                <w:szCs w:val="22"/>
              </w:rPr>
              <w:t> </w:t>
            </w:r>
          </w:p>
        </w:tc>
      </w:tr>
      <w:tr w:rsidR="00895904" w:rsidRPr="005151D9" w:rsidTr="00FF1986">
        <w:trPr>
          <w:tblCellSpacing w:w="15" w:type="dxa"/>
          <w:jc w:val="center"/>
        </w:trPr>
        <w:tc>
          <w:tcPr>
            <w:tcW w:w="0" w:type="auto"/>
            <w:vMerge/>
            <w:vAlign w:val="center"/>
            <w:hideMark/>
          </w:tcPr>
          <w:p w:rsidR="00895904" w:rsidRPr="005151D9" w:rsidRDefault="00895904" w:rsidP="00FF1986">
            <w:pPr>
              <w:rPr>
                <w:sz w:val="22"/>
                <w:szCs w:val="22"/>
              </w:rPr>
            </w:pPr>
          </w:p>
        </w:tc>
        <w:tc>
          <w:tcPr>
            <w:tcW w:w="0" w:type="auto"/>
            <w:vMerge/>
            <w:vAlign w:val="center"/>
            <w:hideMark/>
          </w:tcPr>
          <w:p w:rsidR="00895904" w:rsidRPr="005151D9" w:rsidRDefault="00895904" w:rsidP="00FF1986">
            <w:pPr>
              <w:rPr>
                <w:sz w:val="22"/>
                <w:szCs w:val="22"/>
              </w:rPr>
            </w:pPr>
          </w:p>
        </w:tc>
        <w:tc>
          <w:tcPr>
            <w:tcW w:w="818" w:type="pct"/>
            <w:hideMark/>
          </w:tcPr>
          <w:p w:rsidR="00895904" w:rsidRPr="005151D9" w:rsidRDefault="00895904" w:rsidP="00FF1986">
            <w:pPr>
              <w:rPr>
                <w:sz w:val="22"/>
                <w:szCs w:val="22"/>
              </w:rPr>
            </w:pPr>
            <w:r w:rsidRPr="005151D9">
              <w:rPr>
                <w:sz w:val="22"/>
                <w:szCs w:val="22"/>
              </w:rPr>
              <w:t> </w:t>
            </w:r>
          </w:p>
        </w:tc>
        <w:tc>
          <w:tcPr>
            <w:tcW w:w="584" w:type="pct"/>
            <w:hideMark/>
          </w:tcPr>
          <w:p w:rsidR="00895904" w:rsidRPr="005151D9" w:rsidRDefault="00895904" w:rsidP="00FF1986">
            <w:pPr>
              <w:rPr>
                <w:sz w:val="22"/>
                <w:szCs w:val="22"/>
              </w:rPr>
            </w:pPr>
            <w:r w:rsidRPr="005151D9">
              <w:rPr>
                <w:sz w:val="22"/>
                <w:szCs w:val="22"/>
              </w:rPr>
              <w:t> </w:t>
            </w:r>
          </w:p>
        </w:tc>
        <w:tc>
          <w:tcPr>
            <w:tcW w:w="584" w:type="pct"/>
            <w:hideMark/>
          </w:tcPr>
          <w:p w:rsidR="00895904" w:rsidRPr="005151D9" w:rsidRDefault="00895904" w:rsidP="00FF1986">
            <w:pPr>
              <w:rPr>
                <w:sz w:val="22"/>
                <w:szCs w:val="22"/>
              </w:rPr>
            </w:pPr>
            <w:r w:rsidRPr="005151D9">
              <w:rPr>
                <w:sz w:val="22"/>
                <w:szCs w:val="22"/>
              </w:rPr>
              <w:t> </w:t>
            </w:r>
          </w:p>
        </w:tc>
        <w:tc>
          <w:tcPr>
            <w:tcW w:w="1187" w:type="pct"/>
            <w:hideMark/>
          </w:tcPr>
          <w:p w:rsidR="00895904" w:rsidRPr="005151D9" w:rsidRDefault="00895904" w:rsidP="00FF1986">
            <w:pPr>
              <w:rPr>
                <w:sz w:val="22"/>
                <w:szCs w:val="22"/>
              </w:rPr>
            </w:pPr>
            <w:r w:rsidRPr="005151D9">
              <w:rPr>
                <w:sz w:val="22"/>
                <w:szCs w:val="22"/>
              </w:rPr>
              <w:t> </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5. Precizēta finansiālā ietekme:</w:t>
            </w:r>
          </w:p>
        </w:tc>
        <w:tc>
          <w:tcPr>
            <w:tcW w:w="570" w:type="pct"/>
            <w:vMerge w:val="restart"/>
            <w:hideMark/>
          </w:tcPr>
          <w:p w:rsidR="00895904" w:rsidRPr="005151D9" w:rsidRDefault="00895904" w:rsidP="00FF1986">
            <w:pPr>
              <w:spacing w:before="100" w:beforeAutospacing="1" w:after="100" w:afterAutospacing="1" w:line="360" w:lineRule="auto"/>
              <w:ind w:firstLine="300"/>
              <w:jc w:val="center"/>
              <w:rPr>
                <w:sz w:val="22"/>
                <w:szCs w:val="22"/>
              </w:rPr>
            </w:pPr>
            <w:r w:rsidRPr="005151D9">
              <w:rPr>
                <w:sz w:val="22"/>
                <w:szCs w:val="22"/>
              </w:rPr>
              <w:t>X</w:t>
            </w:r>
          </w:p>
        </w:tc>
        <w:tc>
          <w:tcPr>
            <w:tcW w:w="818" w:type="pct"/>
            <w:hideMark/>
          </w:tcPr>
          <w:p w:rsidR="00895904" w:rsidRPr="005151D9" w:rsidRDefault="00895904" w:rsidP="00FF1986">
            <w:pPr>
              <w:rPr>
                <w:sz w:val="22"/>
                <w:szCs w:val="22"/>
              </w:rPr>
            </w:pPr>
            <w:r w:rsidRPr="005151D9">
              <w:rPr>
                <w:sz w:val="22"/>
                <w:szCs w:val="22"/>
              </w:rPr>
              <w:t> </w:t>
            </w: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5.1. valsts pamatbudžets</w:t>
            </w:r>
          </w:p>
        </w:tc>
        <w:tc>
          <w:tcPr>
            <w:tcW w:w="0" w:type="auto"/>
            <w:vMerge/>
            <w:vAlign w:val="center"/>
            <w:hideMark/>
          </w:tcPr>
          <w:p w:rsidR="00895904" w:rsidRPr="005151D9" w:rsidRDefault="00895904" w:rsidP="00FF1986">
            <w:pPr>
              <w:rPr>
                <w:sz w:val="22"/>
                <w:szCs w:val="22"/>
              </w:rPr>
            </w:pPr>
          </w:p>
        </w:tc>
        <w:tc>
          <w:tcPr>
            <w:tcW w:w="818" w:type="pct"/>
            <w:hideMark/>
          </w:tcPr>
          <w:p w:rsidR="00895904" w:rsidRPr="005151D9" w:rsidRDefault="00895904" w:rsidP="00FF1986">
            <w:pPr>
              <w:rPr>
                <w:sz w:val="22"/>
                <w:szCs w:val="22"/>
              </w:rPr>
            </w:pPr>
            <w:r w:rsidRPr="005151D9">
              <w:rPr>
                <w:sz w:val="22"/>
                <w:szCs w:val="22"/>
              </w:rPr>
              <w:t> </w:t>
            </w: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5.2. speciālais budžets</w:t>
            </w:r>
          </w:p>
        </w:tc>
        <w:tc>
          <w:tcPr>
            <w:tcW w:w="0" w:type="auto"/>
            <w:vMerge/>
            <w:vAlign w:val="center"/>
            <w:hideMark/>
          </w:tcPr>
          <w:p w:rsidR="00895904" w:rsidRPr="005151D9" w:rsidRDefault="00895904" w:rsidP="00FF1986">
            <w:pPr>
              <w:rPr>
                <w:sz w:val="22"/>
                <w:szCs w:val="22"/>
              </w:rPr>
            </w:pPr>
          </w:p>
        </w:tc>
        <w:tc>
          <w:tcPr>
            <w:tcW w:w="818" w:type="pct"/>
            <w:hideMark/>
          </w:tcPr>
          <w:p w:rsidR="00895904" w:rsidRPr="005151D9" w:rsidRDefault="00895904" w:rsidP="00FF1986">
            <w:pPr>
              <w:rPr>
                <w:sz w:val="22"/>
                <w:szCs w:val="22"/>
              </w:rPr>
            </w:pPr>
            <w:r w:rsidRPr="005151D9">
              <w:rPr>
                <w:sz w:val="22"/>
                <w:szCs w:val="22"/>
              </w:rPr>
              <w:t> </w:t>
            </w: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5.3. pašvaldību budžets</w:t>
            </w:r>
          </w:p>
        </w:tc>
        <w:tc>
          <w:tcPr>
            <w:tcW w:w="0" w:type="auto"/>
            <w:vMerge/>
            <w:vAlign w:val="center"/>
            <w:hideMark/>
          </w:tcPr>
          <w:p w:rsidR="00895904" w:rsidRPr="005151D9" w:rsidRDefault="00895904" w:rsidP="00FF1986">
            <w:pPr>
              <w:rPr>
                <w:sz w:val="22"/>
                <w:szCs w:val="22"/>
              </w:rPr>
            </w:pPr>
          </w:p>
        </w:tc>
        <w:tc>
          <w:tcPr>
            <w:tcW w:w="818" w:type="pct"/>
            <w:hideMark/>
          </w:tcPr>
          <w:p w:rsidR="00895904" w:rsidRPr="005151D9" w:rsidRDefault="00895904" w:rsidP="00FF1986">
            <w:pPr>
              <w:rPr>
                <w:sz w:val="22"/>
                <w:szCs w:val="22"/>
              </w:rPr>
            </w:pPr>
            <w:r w:rsidRPr="005151D9">
              <w:rPr>
                <w:sz w:val="22"/>
                <w:szCs w:val="22"/>
              </w:rPr>
              <w:t> </w:t>
            </w: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584" w:type="pct"/>
            <w:hideMark/>
          </w:tcPr>
          <w:p w:rsidR="00895904" w:rsidRPr="005151D9" w:rsidRDefault="00895904" w:rsidP="00FF1986">
            <w:pPr>
              <w:rPr>
                <w:sz w:val="22"/>
                <w:szCs w:val="22"/>
              </w:rPr>
            </w:pPr>
            <w:r>
              <w:rPr>
                <w:sz w:val="22"/>
                <w:szCs w:val="22"/>
              </w:rPr>
              <w:t>0</w:t>
            </w:r>
          </w:p>
        </w:tc>
        <w:tc>
          <w:tcPr>
            <w:tcW w:w="1187" w:type="pct"/>
            <w:hideMark/>
          </w:tcPr>
          <w:p w:rsidR="00895904" w:rsidRPr="005151D9" w:rsidRDefault="00895904" w:rsidP="00FF1986">
            <w:pPr>
              <w:rPr>
                <w:sz w:val="22"/>
                <w:szCs w:val="22"/>
              </w:rPr>
            </w:pPr>
            <w:r>
              <w:rPr>
                <w:sz w:val="22"/>
                <w:szCs w:val="22"/>
              </w:rPr>
              <w:t>0</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6. Detalizēts ieņēmumu un izdevumu aprēķins (ja nepieciešams, detalizētu ieņēmumu un izdevumu aprēķinu var pievienot anotācijas pielikumā):</w:t>
            </w:r>
          </w:p>
        </w:tc>
        <w:tc>
          <w:tcPr>
            <w:tcW w:w="3808" w:type="pct"/>
            <w:gridSpan w:val="5"/>
            <w:vMerge w:val="restart"/>
            <w:vAlign w:val="center"/>
            <w:hideMark/>
          </w:tcPr>
          <w:p w:rsidR="00895904" w:rsidRPr="005151D9" w:rsidRDefault="00895904" w:rsidP="00FF1986">
            <w:pPr>
              <w:rPr>
                <w:sz w:val="22"/>
                <w:szCs w:val="22"/>
              </w:rPr>
            </w:pPr>
            <w:r w:rsidRPr="005151D9">
              <w:rPr>
                <w:sz w:val="22"/>
                <w:szCs w:val="22"/>
              </w:rPr>
              <w:t> </w:t>
            </w: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6.1. detalizēts ieņēmumu aprēķins</w:t>
            </w:r>
          </w:p>
        </w:tc>
        <w:tc>
          <w:tcPr>
            <w:tcW w:w="0" w:type="auto"/>
            <w:gridSpan w:val="5"/>
            <w:vMerge/>
            <w:vAlign w:val="center"/>
            <w:hideMark/>
          </w:tcPr>
          <w:p w:rsidR="00895904" w:rsidRPr="005151D9" w:rsidRDefault="00895904" w:rsidP="00FF1986">
            <w:pPr>
              <w:rPr>
                <w:sz w:val="22"/>
                <w:szCs w:val="22"/>
              </w:rPr>
            </w:pPr>
          </w:p>
        </w:tc>
      </w:tr>
      <w:tr w:rsidR="00895904" w:rsidRPr="005151D9" w:rsidTr="00FF1986">
        <w:trPr>
          <w:tblCellSpacing w:w="15" w:type="dxa"/>
          <w:jc w:val="center"/>
        </w:trPr>
        <w:tc>
          <w:tcPr>
            <w:tcW w:w="1143" w:type="pct"/>
            <w:hideMark/>
          </w:tcPr>
          <w:p w:rsidR="00895904" w:rsidRPr="005151D9" w:rsidRDefault="00895904" w:rsidP="00FF1986">
            <w:pPr>
              <w:rPr>
                <w:sz w:val="22"/>
                <w:szCs w:val="22"/>
              </w:rPr>
            </w:pPr>
            <w:r w:rsidRPr="005151D9">
              <w:rPr>
                <w:sz w:val="22"/>
                <w:szCs w:val="22"/>
              </w:rPr>
              <w:t>6.2. detalizēts izdevumu aprēķins</w:t>
            </w:r>
          </w:p>
        </w:tc>
        <w:tc>
          <w:tcPr>
            <w:tcW w:w="0" w:type="auto"/>
            <w:gridSpan w:val="5"/>
            <w:vMerge/>
            <w:vAlign w:val="center"/>
            <w:hideMark/>
          </w:tcPr>
          <w:p w:rsidR="00895904" w:rsidRPr="005151D9" w:rsidRDefault="00895904" w:rsidP="00FF1986">
            <w:pPr>
              <w:rPr>
                <w:sz w:val="22"/>
                <w:szCs w:val="22"/>
              </w:rPr>
            </w:pPr>
          </w:p>
        </w:tc>
      </w:tr>
      <w:tr w:rsidR="00895904" w:rsidRPr="005151D9" w:rsidTr="00FF1986">
        <w:trPr>
          <w:trHeight w:val="444"/>
          <w:tblCellSpacing w:w="15" w:type="dxa"/>
          <w:jc w:val="center"/>
        </w:trPr>
        <w:tc>
          <w:tcPr>
            <w:tcW w:w="1143" w:type="pct"/>
            <w:hideMark/>
          </w:tcPr>
          <w:p w:rsidR="00895904" w:rsidRPr="005151D9" w:rsidRDefault="00895904" w:rsidP="00FF1986">
            <w:pPr>
              <w:rPr>
                <w:sz w:val="22"/>
                <w:szCs w:val="22"/>
              </w:rPr>
            </w:pPr>
            <w:r w:rsidRPr="005151D9">
              <w:rPr>
                <w:sz w:val="22"/>
                <w:szCs w:val="22"/>
              </w:rPr>
              <w:t>7. Cita informācija</w:t>
            </w:r>
          </w:p>
        </w:tc>
        <w:tc>
          <w:tcPr>
            <w:tcW w:w="3808" w:type="pct"/>
            <w:gridSpan w:val="5"/>
            <w:hideMark/>
          </w:tcPr>
          <w:p w:rsidR="00895904" w:rsidRDefault="00895904" w:rsidP="00FF1986">
            <w:pPr>
              <w:spacing w:before="120" w:after="120"/>
              <w:ind w:firstLine="301"/>
              <w:contextualSpacing/>
              <w:jc w:val="both"/>
              <w:rPr>
                <w:sz w:val="22"/>
                <w:szCs w:val="22"/>
              </w:rPr>
            </w:pPr>
            <w:r>
              <w:rPr>
                <w:sz w:val="22"/>
                <w:szCs w:val="22"/>
              </w:rPr>
              <w:t>2014.gada valsts pamatbudžetā ieņēmumi Zivju fonda dotācijas veidošanai plānoti EUR</w:t>
            </w:r>
            <w:r w:rsidRPr="00757494">
              <w:rPr>
                <w:sz w:val="22"/>
                <w:szCs w:val="22"/>
              </w:rPr>
              <w:t xml:space="preserve"> 924</w:t>
            </w:r>
            <w:r>
              <w:rPr>
                <w:sz w:val="22"/>
                <w:szCs w:val="22"/>
              </w:rPr>
              <w:t> </w:t>
            </w:r>
            <w:r w:rsidRPr="00757494">
              <w:rPr>
                <w:sz w:val="22"/>
                <w:szCs w:val="22"/>
              </w:rPr>
              <w:t>866</w:t>
            </w:r>
            <w:r>
              <w:rPr>
                <w:sz w:val="22"/>
                <w:szCs w:val="22"/>
              </w:rPr>
              <w:t xml:space="preserve"> apmērā (no tiem EUR 85 372 tiek plānoti kā ieņēmumi no n</w:t>
            </w:r>
            <w:r w:rsidRPr="00757494">
              <w:rPr>
                <w:sz w:val="22"/>
                <w:szCs w:val="22"/>
              </w:rPr>
              <w:t>audas sodi</w:t>
            </w:r>
            <w:r>
              <w:rPr>
                <w:sz w:val="22"/>
                <w:szCs w:val="22"/>
              </w:rPr>
              <w:t>em</w:t>
            </w:r>
            <w:r w:rsidRPr="00757494">
              <w:rPr>
                <w:sz w:val="22"/>
                <w:szCs w:val="22"/>
              </w:rPr>
              <w:t xml:space="preserve"> par zivju resursiem nodarītajiem zaudējumiem</w:t>
            </w:r>
            <w:r>
              <w:rPr>
                <w:sz w:val="22"/>
                <w:szCs w:val="22"/>
              </w:rPr>
              <w:t xml:space="preserve">). 2014.gada valsts pamatbudžetā noteiktie izdevumi </w:t>
            </w:r>
            <w:r w:rsidRPr="00F43518">
              <w:rPr>
                <w:sz w:val="22"/>
                <w:szCs w:val="22"/>
              </w:rPr>
              <w:t>apakšprogramm</w:t>
            </w:r>
            <w:r>
              <w:rPr>
                <w:sz w:val="22"/>
                <w:szCs w:val="22"/>
              </w:rPr>
              <w:t>ai</w:t>
            </w:r>
            <w:r w:rsidRPr="00F43518">
              <w:rPr>
                <w:sz w:val="22"/>
                <w:szCs w:val="22"/>
              </w:rPr>
              <w:t xml:space="preserve"> 25.02.00 „Zivju fonds”</w:t>
            </w:r>
            <w:r>
              <w:rPr>
                <w:sz w:val="22"/>
                <w:szCs w:val="22"/>
              </w:rPr>
              <w:t xml:space="preserve"> ir EUR 529 703. Valsts budžeta ieņēmumi projekta īstenošanas rezultātā 2015.</w:t>
            </w:r>
            <w:r w:rsidRPr="008A7B59">
              <w:rPr>
                <w:sz w:val="22"/>
                <w:szCs w:val="22"/>
              </w:rPr>
              <w:t xml:space="preserve">, </w:t>
            </w:r>
            <w:r>
              <w:rPr>
                <w:sz w:val="22"/>
                <w:szCs w:val="22"/>
              </w:rPr>
              <w:t>2016. un</w:t>
            </w:r>
            <w:r w:rsidRPr="008A7B59">
              <w:rPr>
                <w:sz w:val="22"/>
                <w:szCs w:val="22"/>
              </w:rPr>
              <w:t xml:space="preserve"> </w:t>
            </w:r>
            <w:r>
              <w:rPr>
                <w:sz w:val="22"/>
                <w:szCs w:val="22"/>
              </w:rPr>
              <w:t>2017.</w:t>
            </w:r>
            <w:r w:rsidRPr="008A7B59">
              <w:rPr>
                <w:sz w:val="22"/>
                <w:szCs w:val="22"/>
              </w:rPr>
              <w:t xml:space="preserve"> gad</w:t>
            </w:r>
            <w:r>
              <w:rPr>
                <w:sz w:val="22"/>
                <w:szCs w:val="22"/>
              </w:rPr>
              <w:t xml:space="preserve">ā nav precīzi aprēķināmi, bet ir sagaidāms, ka tie nedaudz palielināsies, jo </w:t>
            </w:r>
            <w:r w:rsidRPr="00E03329">
              <w:rPr>
                <w:sz w:val="22"/>
                <w:szCs w:val="22"/>
              </w:rPr>
              <w:t>atbalst</w:t>
            </w:r>
            <w:r>
              <w:rPr>
                <w:sz w:val="22"/>
                <w:szCs w:val="22"/>
              </w:rPr>
              <w:t>s</w:t>
            </w:r>
            <w:r w:rsidRPr="00E03329">
              <w:rPr>
                <w:sz w:val="22"/>
                <w:szCs w:val="22"/>
              </w:rPr>
              <w:t xml:space="preserve"> par pašvaldību un VVD pilnvaroto personu iesaistīšanu zvejas un makšķerēšanas kontroles darbību nodrošināšanā</w:t>
            </w:r>
            <w:r>
              <w:rPr>
                <w:sz w:val="22"/>
                <w:szCs w:val="22"/>
              </w:rPr>
              <w:t xml:space="preserve"> stimulēs minētās personas aktīvāk uzraudzīt </w:t>
            </w:r>
            <w:r w:rsidRPr="00E03329">
              <w:rPr>
                <w:sz w:val="22"/>
                <w:szCs w:val="22"/>
              </w:rPr>
              <w:t>mak</w:t>
            </w:r>
            <w:r>
              <w:rPr>
                <w:sz w:val="22"/>
                <w:szCs w:val="22"/>
              </w:rPr>
              <w:t xml:space="preserve">šķerēšanas noteikumu ievērošanu un </w:t>
            </w:r>
            <w:r w:rsidR="00A27185">
              <w:rPr>
                <w:sz w:val="22"/>
                <w:szCs w:val="22"/>
              </w:rPr>
              <w:t>veicinās</w:t>
            </w:r>
            <w:r>
              <w:rPr>
                <w:sz w:val="22"/>
                <w:szCs w:val="22"/>
              </w:rPr>
              <w:t xml:space="preserve"> maluzvejniecības apkarošanu. Savukārt tas var dot valsts pamatbudžetam papildu ieņēmumus no n</w:t>
            </w:r>
            <w:r w:rsidRPr="00757494">
              <w:rPr>
                <w:sz w:val="22"/>
                <w:szCs w:val="22"/>
              </w:rPr>
              <w:t>audas sodi</w:t>
            </w:r>
            <w:r>
              <w:rPr>
                <w:sz w:val="22"/>
                <w:szCs w:val="22"/>
              </w:rPr>
              <w:t>em</w:t>
            </w:r>
            <w:r w:rsidRPr="00757494">
              <w:rPr>
                <w:sz w:val="22"/>
                <w:szCs w:val="22"/>
              </w:rPr>
              <w:t xml:space="preserve"> par zivju resursiem nodarītajiem zaudējumiem</w:t>
            </w:r>
            <w:r>
              <w:rPr>
                <w:sz w:val="22"/>
                <w:szCs w:val="22"/>
              </w:rPr>
              <w:t>. Valsts pamatbudžeta izdevumi tiks ietverti valsts pamatbudžeta apakšprogrammai 25.02.00 „Zivju fonds” piešķirto līdzekļu apmērā, jo būs nepieciešami transferti pašvaldībām, pārskaitot a</w:t>
            </w:r>
            <w:r w:rsidRPr="00A141C1">
              <w:rPr>
                <w:sz w:val="22"/>
                <w:szCs w:val="22"/>
              </w:rPr>
              <w:t>tbalsta maksājumu</w:t>
            </w:r>
            <w:r>
              <w:rPr>
                <w:sz w:val="22"/>
                <w:szCs w:val="22"/>
              </w:rPr>
              <w:t>s</w:t>
            </w:r>
            <w:r w:rsidRPr="00A141C1">
              <w:rPr>
                <w:sz w:val="22"/>
                <w:szCs w:val="22"/>
              </w:rPr>
              <w:t xml:space="preserve"> par </w:t>
            </w:r>
            <w:r>
              <w:rPr>
                <w:sz w:val="22"/>
                <w:szCs w:val="22"/>
              </w:rPr>
              <w:t xml:space="preserve">pašvaldību un VVD </w:t>
            </w:r>
            <w:r w:rsidRPr="00A141C1">
              <w:rPr>
                <w:sz w:val="22"/>
                <w:szCs w:val="22"/>
              </w:rPr>
              <w:t xml:space="preserve">pilnvaroto personu iesaistīšanu </w:t>
            </w:r>
            <w:r w:rsidRPr="006C78F2">
              <w:rPr>
                <w:sz w:val="22"/>
                <w:szCs w:val="22"/>
              </w:rPr>
              <w:t xml:space="preserve">zvejas un makšķerēšanas </w:t>
            </w:r>
            <w:r w:rsidRPr="00A141C1">
              <w:rPr>
                <w:sz w:val="22"/>
                <w:szCs w:val="22"/>
              </w:rPr>
              <w:t>kontrol</w:t>
            </w:r>
            <w:r>
              <w:rPr>
                <w:sz w:val="22"/>
                <w:szCs w:val="22"/>
              </w:rPr>
              <w:t>ē. Attiecīgi palielināsies pašvaldību budžeta ieņēmumi.</w:t>
            </w:r>
          </w:p>
          <w:p w:rsidR="00895904" w:rsidRDefault="00895904" w:rsidP="00FF1986">
            <w:pPr>
              <w:spacing w:before="120" w:after="120"/>
              <w:ind w:firstLine="301"/>
              <w:contextualSpacing/>
              <w:jc w:val="both"/>
              <w:rPr>
                <w:sz w:val="22"/>
                <w:szCs w:val="22"/>
              </w:rPr>
            </w:pPr>
            <w:r>
              <w:rPr>
                <w:sz w:val="22"/>
                <w:szCs w:val="22"/>
              </w:rPr>
              <w:t>Lai varētu pilnvērtīgi nodrošināt pasākuma turpmākās finansēšanas iespējas, ir svarīgi maksimāli līdzsvarot valsts budžeta ieņēmumus Zivju fonda dotācijas veidošanai ar Zivju fonda dotācij</w:t>
            </w:r>
            <w:r w:rsidR="00A27185">
              <w:rPr>
                <w:sz w:val="22"/>
                <w:szCs w:val="22"/>
              </w:rPr>
              <w:t>u</w:t>
            </w:r>
            <w:r>
              <w:rPr>
                <w:sz w:val="22"/>
                <w:szCs w:val="22"/>
              </w:rPr>
              <w:t>, kas ir ievērojami mazāka. Kopumā ir paredzams, ka projekta īstenošanas kopējā finansiālā ietekme uz valsts budžetu būs pozitīva.</w:t>
            </w:r>
          </w:p>
          <w:p w:rsidR="00895904" w:rsidRPr="005151D9" w:rsidRDefault="00895904" w:rsidP="00FF1986">
            <w:pPr>
              <w:spacing w:before="120" w:after="120"/>
              <w:ind w:firstLine="301"/>
              <w:contextualSpacing/>
              <w:jc w:val="both"/>
              <w:rPr>
                <w:sz w:val="22"/>
                <w:szCs w:val="22"/>
              </w:rPr>
            </w:pPr>
            <w:r>
              <w:rPr>
                <w:sz w:val="22"/>
                <w:szCs w:val="22"/>
              </w:rPr>
              <w:t xml:space="preserve">Zemkopības ministrija </w:t>
            </w:r>
            <w:r w:rsidRPr="00F43518">
              <w:rPr>
                <w:sz w:val="22"/>
                <w:szCs w:val="22"/>
              </w:rPr>
              <w:t>plāno</w:t>
            </w:r>
            <w:r>
              <w:rPr>
                <w:sz w:val="22"/>
                <w:szCs w:val="22"/>
              </w:rPr>
              <w:t>s</w:t>
            </w:r>
            <w:r w:rsidRPr="00F43518">
              <w:rPr>
                <w:sz w:val="22"/>
                <w:szCs w:val="22"/>
              </w:rPr>
              <w:t xml:space="preserve"> transfert</w:t>
            </w:r>
            <w:r>
              <w:rPr>
                <w:sz w:val="22"/>
                <w:szCs w:val="22"/>
              </w:rPr>
              <w:t>us</w:t>
            </w:r>
            <w:r w:rsidRPr="00F43518">
              <w:rPr>
                <w:sz w:val="22"/>
                <w:szCs w:val="22"/>
              </w:rPr>
              <w:t xml:space="preserve"> pašvaldībām un valsts budžeta uzturēšanas izdevumu transfert</w:t>
            </w:r>
            <w:r>
              <w:rPr>
                <w:sz w:val="22"/>
                <w:szCs w:val="22"/>
              </w:rPr>
              <w:t>us</w:t>
            </w:r>
            <w:r w:rsidRPr="00F43518">
              <w:rPr>
                <w:sz w:val="22"/>
                <w:szCs w:val="22"/>
              </w:rPr>
              <w:t xml:space="preserve"> pamatbudžeta apakšprogrammā 25.02.00 </w:t>
            </w:r>
            <w:r w:rsidRPr="00F43518">
              <w:rPr>
                <w:sz w:val="22"/>
                <w:szCs w:val="22"/>
              </w:rPr>
              <w:lastRenderedPageBreak/>
              <w:t xml:space="preserve">„Zivju fonds”, lai </w:t>
            </w:r>
            <w:r>
              <w:rPr>
                <w:sz w:val="22"/>
                <w:szCs w:val="22"/>
              </w:rPr>
              <w:t>piekrītošie</w:t>
            </w:r>
            <w:r w:rsidRPr="00F43518">
              <w:rPr>
                <w:sz w:val="22"/>
                <w:szCs w:val="22"/>
              </w:rPr>
              <w:t xml:space="preserve"> finanšu līdzekļi tiktu novirzīti Zivju fonda nolikuma 8.4.apakšpunktā minētā pasākuma nodrošināšanai</w:t>
            </w:r>
            <w:r>
              <w:rPr>
                <w:sz w:val="22"/>
                <w:szCs w:val="22"/>
              </w:rPr>
              <w:t xml:space="preserve">. </w:t>
            </w:r>
          </w:p>
        </w:tc>
      </w:tr>
    </w:tbl>
    <w:p w:rsidR="00895904" w:rsidRDefault="00895904" w:rsidP="00895904">
      <w:pPr>
        <w:ind w:firstLine="301"/>
        <w:rPr>
          <w:rFonts w:ascii="Arial" w:hAnsi="Arial" w:cs="Arial"/>
          <w:i/>
          <w:iCs/>
        </w:rPr>
      </w:pPr>
    </w:p>
    <w:p w:rsidR="00895904" w:rsidRPr="006A6D9B" w:rsidRDefault="00895904" w:rsidP="00895904">
      <w:pPr>
        <w:ind w:firstLine="301"/>
        <w:rPr>
          <w:i/>
          <w:sz w:val="22"/>
          <w:szCs w:val="22"/>
        </w:rPr>
      </w:pPr>
      <w:r w:rsidRPr="00253790">
        <w:rPr>
          <w:i/>
          <w:iCs/>
        </w:rPr>
        <w:t>Anotācijas IV un V sadaļa – projekts šīs jomas neskar.</w:t>
      </w:r>
      <w:r w:rsidRPr="006A6D9B">
        <w:rPr>
          <w:i/>
          <w:sz w:val="22"/>
          <w:szCs w:val="22"/>
        </w:rPr>
        <w:t> </w:t>
      </w:r>
    </w:p>
    <w:p w:rsidR="00895904" w:rsidRDefault="00895904" w:rsidP="00895904">
      <w:pPr>
        <w:ind w:firstLine="301"/>
        <w:rPr>
          <w:i/>
          <w:sz w:val="22"/>
          <w:szCs w:val="22"/>
        </w:rPr>
      </w:pPr>
    </w:p>
    <w:p w:rsidR="00895904" w:rsidRDefault="00895904" w:rsidP="00895904">
      <w:pPr>
        <w:ind w:firstLine="301"/>
        <w:rPr>
          <w:i/>
          <w:sz w:val="22"/>
          <w:szCs w:val="22"/>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8"/>
        <w:gridCol w:w="2751"/>
        <w:gridCol w:w="5940"/>
      </w:tblGrid>
      <w:tr w:rsidR="00895904" w:rsidRPr="00567AD2" w:rsidTr="00FF1986">
        <w:trPr>
          <w:trHeight w:val="336"/>
          <w:tblCellSpacing w:w="15" w:type="dxa"/>
          <w:jc w:val="center"/>
        </w:trPr>
        <w:tc>
          <w:tcPr>
            <w:tcW w:w="0" w:type="auto"/>
            <w:gridSpan w:val="3"/>
            <w:vAlign w:val="center"/>
            <w:hideMark/>
          </w:tcPr>
          <w:p w:rsidR="00895904" w:rsidRPr="00567AD2" w:rsidRDefault="00895904" w:rsidP="00FF1986">
            <w:pPr>
              <w:spacing w:before="100" w:beforeAutospacing="1" w:after="100" w:afterAutospacing="1" w:line="360" w:lineRule="auto"/>
              <w:ind w:firstLine="300"/>
              <w:jc w:val="center"/>
              <w:rPr>
                <w:b/>
                <w:bCs/>
                <w:sz w:val="22"/>
                <w:szCs w:val="20"/>
              </w:rPr>
            </w:pPr>
            <w:r w:rsidRPr="00567AD2">
              <w:rPr>
                <w:b/>
                <w:bCs/>
                <w:sz w:val="22"/>
                <w:szCs w:val="20"/>
              </w:rPr>
              <w:t>VI. Sabiedrības līdzdalība un komunikācijas aktivitātes</w:t>
            </w:r>
          </w:p>
        </w:tc>
      </w:tr>
      <w:tr w:rsidR="00895904" w:rsidRPr="00567AD2" w:rsidTr="00FF1986">
        <w:trPr>
          <w:trHeight w:val="432"/>
          <w:tblCellSpacing w:w="15" w:type="dxa"/>
          <w:jc w:val="center"/>
        </w:trPr>
        <w:tc>
          <w:tcPr>
            <w:tcW w:w="250" w:type="pct"/>
            <w:hideMark/>
          </w:tcPr>
          <w:p w:rsidR="00895904" w:rsidRPr="00567AD2" w:rsidRDefault="00895904" w:rsidP="00FF1986">
            <w:pPr>
              <w:rPr>
                <w:sz w:val="22"/>
                <w:szCs w:val="20"/>
              </w:rPr>
            </w:pPr>
            <w:r w:rsidRPr="00567AD2">
              <w:rPr>
                <w:sz w:val="22"/>
                <w:szCs w:val="20"/>
              </w:rPr>
              <w:t>1.</w:t>
            </w:r>
          </w:p>
        </w:tc>
        <w:tc>
          <w:tcPr>
            <w:tcW w:w="1500" w:type="pct"/>
            <w:hideMark/>
          </w:tcPr>
          <w:p w:rsidR="00895904" w:rsidRPr="00567AD2" w:rsidRDefault="00895904" w:rsidP="00FF1986">
            <w:pPr>
              <w:rPr>
                <w:sz w:val="22"/>
                <w:szCs w:val="20"/>
              </w:rPr>
            </w:pPr>
            <w:r w:rsidRPr="00567AD2">
              <w:rPr>
                <w:sz w:val="22"/>
                <w:szCs w:val="20"/>
              </w:rPr>
              <w:t>Plānotās sabiedrības līdzdalības un komunikācijas aktivitātes saistībā ar projektu</w:t>
            </w:r>
          </w:p>
        </w:tc>
        <w:tc>
          <w:tcPr>
            <w:tcW w:w="3250" w:type="pct"/>
            <w:hideMark/>
          </w:tcPr>
          <w:p w:rsidR="00895904" w:rsidRDefault="00895904" w:rsidP="00FF1986">
            <w:pPr>
              <w:jc w:val="both"/>
              <w:rPr>
                <w:sz w:val="22"/>
                <w:szCs w:val="20"/>
              </w:rPr>
            </w:pPr>
            <w:r w:rsidRPr="00567AD2">
              <w:rPr>
                <w:sz w:val="22"/>
                <w:szCs w:val="20"/>
              </w:rPr>
              <w:t>Noteikumu projekts ievietots Zemkopības ministrijas tīmekļa vietnes sadaļā „Sabiedrības viedoklis”.</w:t>
            </w:r>
            <w:r>
              <w:rPr>
                <w:sz w:val="22"/>
                <w:szCs w:val="20"/>
              </w:rPr>
              <w:t xml:space="preserve"> Jautājums p</w:t>
            </w:r>
            <w:r w:rsidRPr="00567AD2">
              <w:rPr>
                <w:sz w:val="22"/>
                <w:szCs w:val="20"/>
              </w:rPr>
              <w:t>ar Zivju fonda nolikum</w:t>
            </w:r>
            <w:r>
              <w:rPr>
                <w:sz w:val="22"/>
                <w:szCs w:val="20"/>
              </w:rPr>
              <w:t>a</w:t>
            </w:r>
            <w:r w:rsidRPr="00567AD2">
              <w:rPr>
                <w:sz w:val="22"/>
                <w:szCs w:val="20"/>
              </w:rPr>
              <w:t xml:space="preserve"> 8.4.apakšpunkta izpildi</w:t>
            </w:r>
            <w:r>
              <w:rPr>
                <w:sz w:val="22"/>
                <w:szCs w:val="20"/>
              </w:rPr>
              <w:t>,</w:t>
            </w:r>
            <w:r w:rsidRPr="00567AD2">
              <w:rPr>
                <w:sz w:val="22"/>
                <w:szCs w:val="20"/>
              </w:rPr>
              <w:t xml:space="preserve"> izmantojot pieejamo Zivju fonda finansējumu</w:t>
            </w:r>
            <w:r>
              <w:rPr>
                <w:sz w:val="22"/>
                <w:szCs w:val="20"/>
              </w:rPr>
              <w:t>, tika izskatīts Zivju fonda padomes 09.01.2014. sēdē.</w:t>
            </w:r>
          </w:p>
          <w:p w:rsidR="00895904" w:rsidRDefault="00895904" w:rsidP="00FF1986">
            <w:pPr>
              <w:jc w:val="both"/>
              <w:rPr>
                <w:sz w:val="22"/>
                <w:szCs w:val="20"/>
              </w:rPr>
            </w:pPr>
            <w:r>
              <w:rPr>
                <w:sz w:val="22"/>
                <w:szCs w:val="20"/>
              </w:rPr>
              <w:t>Pirms tam 11.12.2012. un 28.01.2013. notika d</w:t>
            </w:r>
            <w:r w:rsidRPr="00567AD2">
              <w:rPr>
                <w:sz w:val="22"/>
                <w:szCs w:val="20"/>
              </w:rPr>
              <w:t>arba grupas par Zivju fonda nolikum</w:t>
            </w:r>
            <w:r>
              <w:rPr>
                <w:sz w:val="22"/>
                <w:szCs w:val="20"/>
              </w:rPr>
              <w:t>a</w:t>
            </w:r>
            <w:r w:rsidRPr="00567AD2">
              <w:rPr>
                <w:sz w:val="22"/>
                <w:szCs w:val="20"/>
              </w:rPr>
              <w:t xml:space="preserve"> 8.4.apakšpunkta izpildes mehānismu</w:t>
            </w:r>
            <w:r>
              <w:rPr>
                <w:sz w:val="22"/>
                <w:szCs w:val="20"/>
              </w:rPr>
              <w:t xml:space="preserve"> (turpmāk – darba grupa)</w:t>
            </w:r>
            <w:r w:rsidRPr="00567AD2">
              <w:rPr>
                <w:sz w:val="22"/>
                <w:szCs w:val="20"/>
              </w:rPr>
              <w:t xml:space="preserve"> sanāksmes</w:t>
            </w:r>
            <w:r>
              <w:rPr>
                <w:sz w:val="22"/>
                <w:szCs w:val="20"/>
              </w:rPr>
              <w:t>. Darba grupā bija iesaistīti Zemkopības ministrijas, VVD, biedrības „Latvijas Pašvaldību savienība”, Rīgas pilsētas pašvaldības un Valsts kases pārstāvji.</w:t>
            </w:r>
          </w:p>
          <w:p w:rsidR="00895904" w:rsidRDefault="00895904" w:rsidP="00FF1986">
            <w:pPr>
              <w:jc w:val="both"/>
              <w:rPr>
                <w:sz w:val="22"/>
                <w:szCs w:val="20"/>
              </w:rPr>
            </w:pPr>
            <w:r>
              <w:rPr>
                <w:sz w:val="22"/>
                <w:szCs w:val="20"/>
              </w:rPr>
              <w:t>2013.gada februārī visām Latvijas novadu un republikas pilsētu pašvaldībām tika izsūtīta Zemkopības ministrijas vēstule ar lūgumu sniegt šādu informāciju:</w:t>
            </w:r>
          </w:p>
          <w:p w:rsidR="00895904" w:rsidRPr="00A02CAB" w:rsidRDefault="00895904" w:rsidP="00FF1986">
            <w:pPr>
              <w:jc w:val="both"/>
              <w:rPr>
                <w:sz w:val="22"/>
                <w:szCs w:val="20"/>
              </w:rPr>
            </w:pPr>
            <w:r>
              <w:rPr>
                <w:sz w:val="22"/>
                <w:szCs w:val="20"/>
              </w:rPr>
              <w:t xml:space="preserve">1) </w:t>
            </w:r>
            <w:r w:rsidRPr="00A02CAB">
              <w:rPr>
                <w:sz w:val="22"/>
                <w:szCs w:val="20"/>
              </w:rPr>
              <w:t>pašvaldības pilnvaroto personu (ja tādas ir) skaits, kas veic zvejas un makšķerēšanas darbību kontroles nodrošināšanu uz 2013.gada 1.janvāri, norādot arī katras pilnvarotās personas vārdu un uzvārdu;</w:t>
            </w:r>
          </w:p>
          <w:p w:rsidR="00895904" w:rsidRPr="00A02CAB" w:rsidRDefault="00895904" w:rsidP="00FF1986">
            <w:pPr>
              <w:rPr>
                <w:sz w:val="22"/>
                <w:szCs w:val="20"/>
              </w:rPr>
            </w:pPr>
            <w:r w:rsidRPr="00A02CAB">
              <w:rPr>
                <w:sz w:val="22"/>
                <w:szCs w:val="20"/>
              </w:rPr>
              <w:t>2) pašvaldības pilnvaroto personu darbības rezultātā 2012.gadā soda naudā iemaksātās naudas summas par zveju regulējošo normatīvo aktu pārkāpumiem, ko patstāvīgi atklājušas pašvaldību pilnvarotās personas;</w:t>
            </w:r>
          </w:p>
          <w:p w:rsidR="00895904" w:rsidRDefault="00895904" w:rsidP="00FF1986">
            <w:pPr>
              <w:rPr>
                <w:sz w:val="22"/>
                <w:szCs w:val="20"/>
              </w:rPr>
            </w:pPr>
            <w:r w:rsidRPr="00A02CAB">
              <w:rPr>
                <w:sz w:val="22"/>
                <w:szCs w:val="20"/>
              </w:rPr>
              <w:t>3) pašvaldības pilnvaroto personu darbības rezultātā 2012.gadā iemaksātās naudas summas, kas iegūtas pēc pašvaldības pilnvaroto personu izņemto zivju, zvejas rīku un zvejas līdzekļu realizācijas.</w:t>
            </w:r>
          </w:p>
          <w:p w:rsidR="00895904" w:rsidRDefault="00895904" w:rsidP="00FF1986">
            <w:pPr>
              <w:rPr>
                <w:sz w:val="22"/>
                <w:szCs w:val="20"/>
              </w:rPr>
            </w:pPr>
            <w:r>
              <w:rPr>
                <w:sz w:val="22"/>
                <w:szCs w:val="20"/>
              </w:rPr>
              <w:t xml:space="preserve">Atbildi uz minēto vēstuli sniedza 110 pašvaldības, un Zivju fonda padomes sekretariāts apkopoja pašvaldību sniegto informāciju un </w:t>
            </w:r>
            <w:r w:rsidR="00A27185">
              <w:rPr>
                <w:sz w:val="22"/>
                <w:szCs w:val="20"/>
              </w:rPr>
              <w:t>tās</w:t>
            </w:r>
            <w:r>
              <w:rPr>
                <w:sz w:val="22"/>
                <w:szCs w:val="20"/>
              </w:rPr>
              <w:t xml:space="preserve"> apkopojumu 15.04.2013. nosūtīja darba grupas locekļiem.</w:t>
            </w:r>
          </w:p>
          <w:p w:rsidR="00895904" w:rsidRPr="00567AD2" w:rsidRDefault="00895904" w:rsidP="00A27185">
            <w:pPr>
              <w:rPr>
                <w:sz w:val="22"/>
                <w:szCs w:val="20"/>
              </w:rPr>
            </w:pPr>
            <w:r>
              <w:rPr>
                <w:sz w:val="22"/>
                <w:szCs w:val="20"/>
              </w:rPr>
              <w:t xml:space="preserve">Pavisam tika </w:t>
            </w:r>
            <w:r w:rsidRPr="00D96DD5">
              <w:rPr>
                <w:sz w:val="22"/>
                <w:szCs w:val="20"/>
              </w:rPr>
              <w:t>apkopota 50 pašvaldību sniegtā informācija. Vēl 60 pašvaldības sniedza informāciju, ka šādu pilnvaroto personu pašvaldībā nav un attiecīgās kontroles darbības nav notikušas. No 9 pašvaldībām (Daugavpils pilsētas dome</w:t>
            </w:r>
            <w:r w:rsidR="00A27185">
              <w:rPr>
                <w:sz w:val="22"/>
                <w:szCs w:val="20"/>
              </w:rPr>
              <w:t>s</w:t>
            </w:r>
            <w:r w:rsidRPr="00D96DD5">
              <w:rPr>
                <w:sz w:val="22"/>
                <w:szCs w:val="20"/>
              </w:rPr>
              <w:t>, Alsungas, Bauskas, Dobeles, Garkalnes, Priekuļu, Ropažu, Sējas un Vecumnieku novada pašvaldība</w:t>
            </w:r>
            <w:r w:rsidR="00A27185">
              <w:rPr>
                <w:sz w:val="22"/>
                <w:szCs w:val="20"/>
              </w:rPr>
              <w:t>s</w:t>
            </w:r>
            <w:r w:rsidRPr="00D96DD5">
              <w:rPr>
                <w:sz w:val="22"/>
                <w:szCs w:val="20"/>
              </w:rPr>
              <w:t>)</w:t>
            </w:r>
            <w:r w:rsidR="00A27185" w:rsidRPr="00D96DD5">
              <w:rPr>
                <w:sz w:val="22"/>
                <w:szCs w:val="20"/>
              </w:rPr>
              <w:t xml:space="preserve"> netika saņemta nekāda informācija</w:t>
            </w:r>
            <w:r w:rsidR="00A27185">
              <w:rPr>
                <w:sz w:val="22"/>
                <w:szCs w:val="20"/>
              </w:rPr>
              <w:t>.</w:t>
            </w:r>
          </w:p>
        </w:tc>
      </w:tr>
      <w:tr w:rsidR="00895904" w:rsidRPr="00567AD2" w:rsidTr="00FF1986">
        <w:trPr>
          <w:trHeight w:val="264"/>
          <w:tblCellSpacing w:w="15" w:type="dxa"/>
          <w:jc w:val="center"/>
        </w:trPr>
        <w:tc>
          <w:tcPr>
            <w:tcW w:w="250" w:type="pct"/>
            <w:hideMark/>
          </w:tcPr>
          <w:p w:rsidR="00895904" w:rsidRPr="00567AD2" w:rsidRDefault="00895904" w:rsidP="00FF1986">
            <w:pPr>
              <w:rPr>
                <w:sz w:val="22"/>
                <w:szCs w:val="20"/>
              </w:rPr>
            </w:pPr>
            <w:r w:rsidRPr="00567AD2">
              <w:rPr>
                <w:sz w:val="22"/>
                <w:szCs w:val="20"/>
              </w:rPr>
              <w:t>2.</w:t>
            </w:r>
          </w:p>
        </w:tc>
        <w:tc>
          <w:tcPr>
            <w:tcW w:w="1500" w:type="pct"/>
            <w:hideMark/>
          </w:tcPr>
          <w:p w:rsidR="00895904" w:rsidRPr="00567AD2" w:rsidRDefault="00895904" w:rsidP="00FF1986">
            <w:pPr>
              <w:rPr>
                <w:sz w:val="22"/>
                <w:szCs w:val="20"/>
              </w:rPr>
            </w:pPr>
            <w:r w:rsidRPr="00567AD2">
              <w:rPr>
                <w:sz w:val="22"/>
                <w:szCs w:val="20"/>
              </w:rPr>
              <w:t>Sabiedrības līdzdalība projekta izstrādē</w:t>
            </w:r>
          </w:p>
        </w:tc>
        <w:tc>
          <w:tcPr>
            <w:tcW w:w="3250" w:type="pct"/>
            <w:hideMark/>
          </w:tcPr>
          <w:p w:rsidR="00895904" w:rsidRDefault="00895904" w:rsidP="00FF1986">
            <w:pPr>
              <w:rPr>
                <w:sz w:val="22"/>
                <w:szCs w:val="20"/>
              </w:rPr>
            </w:pPr>
            <w:r>
              <w:rPr>
                <w:sz w:val="22"/>
                <w:szCs w:val="20"/>
              </w:rPr>
              <w:t>Noteikumu p</w:t>
            </w:r>
            <w:r w:rsidRPr="00567AD2">
              <w:rPr>
                <w:sz w:val="22"/>
                <w:szCs w:val="20"/>
              </w:rPr>
              <w:t>rojekta izstrādes gaitā notikušas konsultācijas ar Zivju fonda padomi, kuras sastāvā ir valsts institūciju pārstāvji, biedrības „Latvijas Pašvaldību savienība” pārstāvis, kā arī Latvijas zvejniekus un makšķerniekus pārstāvošo nevalstisko organizāciju pārstāvji.</w:t>
            </w:r>
          </w:p>
          <w:p w:rsidR="00895904" w:rsidRPr="00567AD2" w:rsidRDefault="00895904" w:rsidP="00FF1986">
            <w:pPr>
              <w:rPr>
                <w:sz w:val="22"/>
                <w:szCs w:val="20"/>
              </w:rPr>
            </w:pPr>
            <w:r>
              <w:rPr>
                <w:sz w:val="22"/>
                <w:szCs w:val="20"/>
              </w:rPr>
              <w:t>Saistībā ar noteikumu projekta izstrādi tika izveidota darba grupa un aptaujātas pašvaldības.</w:t>
            </w:r>
          </w:p>
          <w:p w:rsidR="00895904" w:rsidRPr="00567AD2" w:rsidRDefault="00895904" w:rsidP="00FF1986">
            <w:pPr>
              <w:rPr>
                <w:sz w:val="22"/>
                <w:szCs w:val="20"/>
              </w:rPr>
            </w:pPr>
            <w:r>
              <w:rPr>
                <w:sz w:val="22"/>
                <w:szCs w:val="20"/>
              </w:rPr>
              <w:t>S</w:t>
            </w:r>
            <w:r w:rsidRPr="00567AD2">
              <w:rPr>
                <w:sz w:val="22"/>
                <w:szCs w:val="20"/>
              </w:rPr>
              <w:t>abiedrības līdzdalības veidi bija noteikumu projekta ievietošana Zemkopības ministrijas tīmekļa vietnes sadaļā „Sabiedrības viedoklis”</w:t>
            </w:r>
            <w:r>
              <w:rPr>
                <w:sz w:val="22"/>
                <w:szCs w:val="20"/>
              </w:rPr>
              <w:t>, darba grupas izveide un pašvaldību aptauja.</w:t>
            </w:r>
          </w:p>
        </w:tc>
      </w:tr>
      <w:tr w:rsidR="00895904" w:rsidRPr="00567AD2" w:rsidTr="00FF1986">
        <w:trPr>
          <w:trHeight w:val="372"/>
          <w:tblCellSpacing w:w="15" w:type="dxa"/>
          <w:jc w:val="center"/>
        </w:trPr>
        <w:tc>
          <w:tcPr>
            <w:tcW w:w="250" w:type="pct"/>
            <w:hideMark/>
          </w:tcPr>
          <w:p w:rsidR="00895904" w:rsidRPr="00567AD2" w:rsidRDefault="00895904" w:rsidP="00FF1986">
            <w:pPr>
              <w:rPr>
                <w:sz w:val="22"/>
                <w:szCs w:val="20"/>
              </w:rPr>
            </w:pPr>
            <w:r w:rsidRPr="00567AD2">
              <w:rPr>
                <w:sz w:val="22"/>
                <w:szCs w:val="20"/>
              </w:rPr>
              <w:t>3.</w:t>
            </w:r>
          </w:p>
        </w:tc>
        <w:tc>
          <w:tcPr>
            <w:tcW w:w="1500" w:type="pct"/>
            <w:hideMark/>
          </w:tcPr>
          <w:p w:rsidR="00895904" w:rsidRPr="00567AD2" w:rsidRDefault="00895904" w:rsidP="00FF1986">
            <w:pPr>
              <w:rPr>
                <w:sz w:val="22"/>
                <w:szCs w:val="20"/>
              </w:rPr>
            </w:pPr>
            <w:r w:rsidRPr="00567AD2">
              <w:rPr>
                <w:sz w:val="22"/>
                <w:szCs w:val="20"/>
              </w:rPr>
              <w:t xml:space="preserve">Sabiedrības līdzdalības </w:t>
            </w:r>
            <w:r w:rsidRPr="00567AD2">
              <w:rPr>
                <w:sz w:val="22"/>
                <w:szCs w:val="20"/>
              </w:rPr>
              <w:lastRenderedPageBreak/>
              <w:t>rezultāti</w:t>
            </w:r>
          </w:p>
        </w:tc>
        <w:tc>
          <w:tcPr>
            <w:tcW w:w="3250" w:type="pct"/>
            <w:hideMark/>
          </w:tcPr>
          <w:p w:rsidR="00895904" w:rsidRPr="00567AD2" w:rsidRDefault="00895904" w:rsidP="00FF1986">
            <w:pPr>
              <w:rPr>
                <w:sz w:val="22"/>
                <w:szCs w:val="20"/>
              </w:rPr>
            </w:pPr>
            <w:r>
              <w:rPr>
                <w:sz w:val="22"/>
                <w:szCs w:val="20"/>
              </w:rPr>
              <w:lastRenderedPageBreak/>
              <w:t xml:space="preserve">Izstrādājot noteikumu projektu, ir ņemti vērā Zivju fonda </w:t>
            </w:r>
            <w:r>
              <w:rPr>
                <w:sz w:val="22"/>
                <w:szCs w:val="20"/>
              </w:rPr>
              <w:lastRenderedPageBreak/>
              <w:t xml:space="preserve">padomes locekļu, </w:t>
            </w:r>
            <w:r w:rsidRPr="00226C16">
              <w:rPr>
                <w:sz w:val="22"/>
                <w:szCs w:val="20"/>
              </w:rPr>
              <w:t>VVD, biedrības „Latvijas Pašvaldību savienība”, Rīgas pilsētas pašvaldības un Valsts kases</w:t>
            </w:r>
            <w:r>
              <w:rPr>
                <w:sz w:val="22"/>
                <w:szCs w:val="20"/>
              </w:rPr>
              <w:t xml:space="preserve"> priekšlikumi.</w:t>
            </w:r>
          </w:p>
        </w:tc>
      </w:tr>
      <w:tr w:rsidR="00895904" w:rsidRPr="00567AD2" w:rsidTr="00FF1986">
        <w:trPr>
          <w:trHeight w:val="372"/>
          <w:tblCellSpacing w:w="15" w:type="dxa"/>
          <w:jc w:val="center"/>
        </w:trPr>
        <w:tc>
          <w:tcPr>
            <w:tcW w:w="250" w:type="pct"/>
            <w:hideMark/>
          </w:tcPr>
          <w:p w:rsidR="00895904" w:rsidRPr="00567AD2" w:rsidRDefault="00895904" w:rsidP="00FF1986">
            <w:pPr>
              <w:rPr>
                <w:sz w:val="22"/>
                <w:szCs w:val="20"/>
              </w:rPr>
            </w:pPr>
            <w:r w:rsidRPr="00567AD2">
              <w:rPr>
                <w:sz w:val="22"/>
                <w:szCs w:val="20"/>
              </w:rPr>
              <w:lastRenderedPageBreak/>
              <w:t>4.</w:t>
            </w:r>
          </w:p>
        </w:tc>
        <w:tc>
          <w:tcPr>
            <w:tcW w:w="1500" w:type="pct"/>
            <w:hideMark/>
          </w:tcPr>
          <w:p w:rsidR="00895904" w:rsidRPr="00567AD2" w:rsidRDefault="00895904" w:rsidP="00FF1986">
            <w:pPr>
              <w:rPr>
                <w:sz w:val="22"/>
                <w:szCs w:val="20"/>
              </w:rPr>
            </w:pPr>
            <w:r w:rsidRPr="00567AD2">
              <w:rPr>
                <w:sz w:val="22"/>
                <w:szCs w:val="20"/>
              </w:rPr>
              <w:t>Cita informācija</w:t>
            </w:r>
          </w:p>
        </w:tc>
        <w:tc>
          <w:tcPr>
            <w:tcW w:w="3250" w:type="pct"/>
            <w:hideMark/>
          </w:tcPr>
          <w:p w:rsidR="00895904" w:rsidRPr="00567AD2" w:rsidRDefault="00895904" w:rsidP="00FF1986">
            <w:pPr>
              <w:spacing w:before="100" w:beforeAutospacing="1" w:after="100" w:afterAutospacing="1" w:line="360" w:lineRule="auto"/>
              <w:rPr>
                <w:sz w:val="22"/>
                <w:szCs w:val="20"/>
              </w:rPr>
            </w:pPr>
            <w:r>
              <w:rPr>
                <w:sz w:val="22"/>
                <w:szCs w:val="20"/>
              </w:rPr>
              <w:t xml:space="preserve">Nav </w:t>
            </w:r>
          </w:p>
        </w:tc>
      </w:tr>
    </w:tbl>
    <w:p w:rsidR="00895904" w:rsidRPr="00567AD2" w:rsidRDefault="00895904" w:rsidP="00895904">
      <w:pPr>
        <w:ind w:firstLine="301"/>
        <w:rPr>
          <w:sz w:val="22"/>
          <w:szCs w:val="22"/>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3476"/>
        <w:gridCol w:w="5214"/>
      </w:tblGrid>
      <w:tr w:rsidR="00895904" w:rsidRPr="00B80673" w:rsidTr="00FF1986">
        <w:trPr>
          <w:trHeight w:val="300"/>
          <w:tblCellSpacing w:w="15" w:type="dxa"/>
          <w:jc w:val="center"/>
        </w:trPr>
        <w:tc>
          <w:tcPr>
            <w:tcW w:w="0" w:type="auto"/>
            <w:gridSpan w:val="3"/>
            <w:vAlign w:val="center"/>
            <w:hideMark/>
          </w:tcPr>
          <w:p w:rsidR="00895904" w:rsidRPr="007505D9" w:rsidRDefault="00895904" w:rsidP="00FF1986">
            <w:pPr>
              <w:spacing w:before="100" w:beforeAutospacing="1" w:after="100" w:afterAutospacing="1" w:line="360" w:lineRule="auto"/>
              <w:ind w:firstLine="300"/>
              <w:jc w:val="center"/>
              <w:rPr>
                <w:b/>
                <w:bCs/>
                <w:sz w:val="22"/>
                <w:szCs w:val="22"/>
              </w:rPr>
            </w:pPr>
            <w:r w:rsidRPr="007505D9">
              <w:rPr>
                <w:b/>
                <w:bCs/>
                <w:sz w:val="22"/>
                <w:szCs w:val="22"/>
              </w:rPr>
              <w:t>VII. Tiesību akta projekta izpildes nodrošināšana un tās ietekme uz institūcijām</w:t>
            </w:r>
          </w:p>
        </w:tc>
      </w:tr>
      <w:tr w:rsidR="00895904" w:rsidRPr="00B80673" w:rsidTr="00FF1986">
        <w:trPr>
          <w:trHeight w:val="336"/>
          <w:tblCellSpacing w:w="15" w:type="dxa"/>
          <w:jc w:val="center"/>
        </w:trPr>
        <w:tc>
          <w:tcPr>
            <w:tcW w:w="247" w:type="pct"/>
            <w:hideMark/>
          </w:tcPr>
          <w:p w:rsidR="00895904" w:rsidRPr="007505D9" w:rsidRDefault="00895904" w:rsidP="00FF1986">
            <w:pPr>
              <w:rPr>
                <w:sz w:val="22"/>
                <w:szCs w:val="22"/>
              </w:rPr>
            </w:pPr>
            <w:r w:rsidRPr="007505D9">
              <w:rPr>
                <w:sz w:val="22"/>
                <w:szCs w:val="22"/>
              </w:rPr>
              <w:t>1.</w:t>
            </w:r>
          </w:p>
        </w:tc>
        <w:tc>
          <w:tcPr>
            <w:tcW w:w="1875" w:type="pct"/>
            <w:hideMark/>
          </w:tcPr>
          <w:p w:rsidR="00895904" w:rsidRPr="007505D9" w:rsidRDefault="00895904" w:rsidP="00FF1986">
            <w:pPr>
              <w:rPr>
                <w:sz w:val="22"/>
                <w:szCs w:val="22"/>
              </w:rPr>
            </w:pPr>
            <w:r w:rsidRPr="007505D9">
              <w:rPr>
                <w:sz w:val="22"/>
                <w:szCs w:val="22"/>
              </w:rPr>
              <w:t>Projekta izpildē iesaistītās institūcijas</w:t>
            </w:r>
          </w:p>
        </w:tc>
        <w:tc>
          <w:tcPr>
            <w:tcW w:w="2813" w:type="pct"/>
            <w:hideMark/>
          </w:tcPr>
          <w:p w:rsidR="00895904" w:rsidRPr="007505D9" w:rsidRDefault="00895904" w:rsidP="00FF1986">
            <w:pPr>
              <w:rPr>
                <w:sz w:val="22"/>
                <w:szCs w:val="22"/>
              </w:rPr>
            </w:pPr>
            <w:r w:rsidRPr="00B80673">
              <w:rPr>
                <w:sz w:val="22"/>
                <w:szCs w:val="22"/>
              </w:rPr>
              <w:t>Zemkopības ministrija un Lauku atbalsta dienests</w:t>
            </w:r>
          </w:p>
        </w:tc>
      </w:tr>
      <w:tr w:rsidR="00895904" w:rsidRPr="00B80673" w:rsidTr="00FF1986">
        <w:trPr>
          <w:trHeight w:val="360"/>
          <w:tblCellSpacing w:w="15" w:type="dxa"/>
          <w:jc w:val="center"/>
        </w:trPr>
        <w:tc>
          <w:tcPr>
            <w:tcW w:w="247" w:type="pct"/>
            <w:hideMark/>
          </w:tcPr>
          <w:p w:rsidR="00895904" w:rsidRPr="007505D9" w:rsidRDefault="00895904" w:rsidP="00FF1986">
            <w:pPr>
              <w:rPr>
                <w:sz w:val="22"/>
                <w:szCs w:val="22"/>
              </w:rPr>
            </w:pPr>
            <w:r w:rsidRPr="007505D9">
              <w:rPr>
                <w:sz w:val="22"/>
                <w:szCs w:val="22"/>
              </w:rPr>
              <w:t>2.</w:t>
            </w:r>
          </w:p>
        </w:tc>
        <w:tc>
          <w:tcPr>
            <w:tcW w:w="1875" w:type="pct"/>
            <w:hideMark/>
          </w:tcPr>
          <w:p w:rsidR="00895904" w:rsidRPr="007505D9" w:rsidRDefault="00895904" w:rsidP="00FF1986">
            <w:pPr>
              <w:rPr>
                <w:sz w:val="22"/>
                <w:szCs w:val="22"/>
              </w:rPr>
            </w:pPr>
            <w:r w:rsidRPr="007505D9">
              <w:rPr>
                <w:sz w:val="22"/>
                <w:szCs w:val="22"/>
              </w:rPr>
              <w:t xml:space="preserve">Projekta izpildes ietekme uz pārvaldes funkcijām un institucionālo struktūru. </w:t>
            </w:r>
          </w:p>
          <w:p w:rsidR="00895904" w:rsidRPr="007505D9" w:rsidRDefault="00895904" w:rsidP="00FF1986">
            <w:pPr>
              <w:spacing w:before="100" w:beforeAutospacing="1" w:after="100" w:afterAutospacing="1" w:line="360" w:lineRule="auto"/>
              <w:ind w:firstLine="300"/>
              <w:rPr>
                <w:sz w:val="22"/>
                <w:szCs w:val="22"/>
              </w:rPr>
            </w:pPr>
            <w:r w:rsidRPr="007505D9">
              <w:rPr>
                <w:sz w:val="22"/>
                <w:szCs w:val="22"/>
              </w:rPr>
              <w:t>Jaunu institūciju izveide, esošu institūciju likvidācija vai reorganizācija, to ietekme uz institūcijas cilvēkresursiem</w:t>
            </w:r>
          </w:p>
        </w:tc>
        <w:tc>
          <w:tcPr>
            <w:tcW w:w="2813" w:type="pct"/>
            <w:hideMark/>
          </w:tcPr>
          <w:p w:rsidR="00895904" w:rsidRPr="00503F06" w:rsidRDefault="00895904" w:rsidP="00FF1986">
            <w:pPr>
              <w:rPr>
                <w:sz w:val="22"/>
                <w:szCs w:val="22"/>
              </w:rPr>
            </w:pPr>
            <w:r>
              <w:rPr>
                <w:sz w:val="22"/>
                <w:szCs w:val="20"/>
              </w:rPr>
              <w:t xml:space="preserve">Lauku atbalsta dienests no pašvaldībām un VVD saņems </w:t>
            </w:r>
            <w:r w:rsidRPr="00B94CCD">
              <w:rPr>
                <w:sz w:val="22"/>
                <w:szCs w:val="20"/>
              </w:rPr>
              <w:t>dokumentu</w:t>
            </w:r>
            <w:r>
              <w:rPr>
                <w:sz w:val="22"/>
                <w:szCs w:val="20"/>
              </w:rPr>
              <w:t>s, tos</w:t>
            </w:r>
            <w:r w:rsidRPr="00B94CCD">
              <w:rPr>
                <w:sz w:val="22"/>
                <w:szCs w:val="20"/>
              </w:rPr>
              <w:t xml:space="preserve"> pārbaud</w:t>
            </w:r>
            <w:r>
              <w:rPr>
                <w:sz w:val="22"/>
                <w:szCs w:val="20"/>
              </w:rPr>
              <w:t>īs</w:t>
            </w:r>
            <w:r w:rsidRPr="00B94CCD">
              <w:rPr>
                <w:sz w:val="22"/>
                <w:szCs w:val="20"/>
              </w:rPr>
              <w:t>, apkopo</w:t>
            </w:r>
            <w:r>
              <w:rPr>
                <w:sz w:val="22"/>
                <w:szCs w:val="20"/>
              </w:rPr>
              <w:t>s</w:t>
            </w:r>
            <w:r w:rsidRPr="00B94CCD">
              <w:rPr>
                <w:sz w:val="22"/>
                <w:szCs w:val="20"/>
              </w:rPr>
              <w:t xml:space="preserve"> un iesnieg</w:t>
            </w:r>
            <w:r>
              <w:rPr>
                <w:sz w:val="22"/>
                <w:szCs w:val="20"/>
              </w:rPr>
              <w:t>s</w:t>
            </w:r>
            <w:r w:rsidRPr="00B94CCD">
              <w:rPr>
                <w:sz w:val="22"/>
                <w:szCs w:val="20"/>
              </w:rPr>
              <w:t xml:space="preserve"> </w:t>
            </w:r>
            <w:r>
              <w:rPr>
                <w:sz w:val="22"/>
                <w:szCs w:val="20"/>
              </w:rPr>
              <w:t xml:space="preserve">Zemkopības ministrijā. Zivju fonda padome izskatīs Lauku atbalsta dienesta iesniegtos dokumentus un pieņems </w:t>
            </w:r>
            <w:r w:rsidRPr="00B94CCD">
              <w:rPr>
                <w:sz w:val="22"/>
                <w:szCs w:val="20"/>
              </w:rPr>
              <w:t>lēmum</w:t>
            </w:r>
            <w:r>
              <w:rPr>
                <w:sz w:val="22"/>
                <w:szCs w:val="20"/>
              </w:rPr>
              <w:t>u</w:t>
            </w:r>
            <w:r w:rsidRPr="00B94CCD">
              <w:rPr>
                <w:sz w:val="22"/>
                <w:szCs w:val="20"/>
              </w:rPr>
              <w:t xml:space="preserve"> </w:t>
            </w:r>
            <w:r w:rsidRPr="0015218A">
              <w:rPr>
                <w:sz w:val="22"/>
                <w:szCs w:val="20"/>
              </w:rPr>
              <w:t>par atbalsta piešķiršanu vai atteikumu piešķirt atbalstu</w:t>
            </w:r>
            <w:r>
              <w:rPr>
                <w:sz w:val="22"/>
                <w:szCs w:val="20"/>
              </w:rPr>
              <w:t xml:space="preserve">. </w:t>
            </w:r>
            <w:r w:rsidRPr="00C059C6">
              <w:rPr>
                <w:sz w:val="22"/>
                <w:szCs w:val="20"/>
              </w:rPr>
              <w:t>VVD</w:t>
            </w:r>
            <w:r>
              <w:rPr>
                <w:sz w:val="22"/>
                <w:szCs w:val="20"/>
              </w:rPr>
              <w:t xml:space="preserve"> izsniegs pašvaldībām VVD</w:t>
            </w:r>
            <w:r w:rsidRPr="00C059C6">
              <w:rPr>
                <w:sz w:val="22"/>
                <w:szCs w:val="20"/>
              </w:rPr>
              <w:t xml:space="preserve"> pieņemto lēmumu par pašvaldību pilnvaroto personu sastādītajiem protokoliem </w:t>
            </w:r>
            <w:r>
              <w:rPr>
                <w:sz w:val="22"/>
                <w:szCs w:val="20"/>
              </w:rPr>
              <w:t xml:space="preserve">apliecinātas </w:t>
            </w:r>
            <w:r w:rsidRPr="00C059C6">
              <w:rPr>
                <w:sz w:val="22"/>
                <w:szCs w:val="20"/>
              </w:rPr>
              <w:t>kopij</w:t>
            </w:r>
            <w:r>
              <w:rPr>
                <w:sz w:val="22"/>
                <w:szCs w:val="20"/>
              </w:rPr>
              <w:t>as.</w:t>
            </w:r>
          </w:p>
          <w:p w:rsidR="00895904" w:rsidRPr="00503F06" w:rsidRDefault="00895904" w:rsidP="00FF1986">
            <w:pPr>
              <w:rPr>
                <w:sz w:val="22"/>
                <w:szCs w:val="22"/>
              </w:rPr>
            </w:pPr>
            <w:r w:rsidRPr="00503F06">
              <w:rPr>
                <w:sz w:val="22"/>
                <w:szCs w:val="22"/>
              </w:rPr>
              <w:t>Projekta izpilde neietekmēs institūcij</w:t>
            </w:r>
            <w:r>
              <w:rPr>
                <w:sz w:val="22"/>
                <w:szCs w:val="22"/>
              </w:rPr>
              <w:t>ām</w:t>
            </w:r>
            <w:r w:rsidRPr="00503F06">
              <w:rPr>
                <w:sz w:val="22"/>
                <w:szCs w:val="22"/>
              </w:rPr>
              <w:t xml:space="preserve"> pieejamos cilvēkresursus.</w:t>
            </w:r>
          </w:p>
          <w:p w:rsidR="00895904" w:rsidRPr="007505D9" w:rsidRDefault="00895904" w:rsidP="00FF1986">
            <w:pPr>
              <w:rPr>
                <w:sz w:val="22"/>
                <w:szCs w:val="22"/>
              </w:rPr>
            </w:pPr>
            <w:r w:rsidRPr="00503F06">
              <w:rPr>
                <w:sz w:val="22"/>
                <w:szCs w:val="22"/>
              </w:rPr>
              <w:t xml:space="preserve">Saistībā ar projekta izpildi nav nepieciešams veidot jaunas, </w:t>
            </w:r>
            <w:r>
              <w:rPr>
                <w:sz w:val="22"/>
                <w:szCs w:val="22"/>
              </w:rPr>
              <w:t xml:space="preserve">ne arī </w:t>
            </w:r>
            <w:r w:rsidRPr="00503F06">
              <w:rPr>
                <w:sz w:val="22"/>
                <w:szCs w:val="22"/>
              </w:rPr>
              <w:t>likvidēt vai reorganizēt esoš</w:t>
            </w:r>
            <w:r>
              <w:rPr>
                <w:sz w:val="22"/>
                <w:szCs w:val="22"/>
              </w:rPr>
              <w:t>a</w:t>
            </w:r>
            <w:r w:rsidRPr="00503F06">
              <w:rPr>
                <w:sz w:val="22"/>
                <w:szCs w:val="22"/>
              </w:rPr>
              <w:t>s institūcijas.</w:t>
            </w:r>
          </w:p>
        </w:tc>
      </w:tr>
      <w:tr w:rsidR="00895904" w:rsidRPr="00B80673" w:rsidTr="00FF1986">
        <w:trPr>
          <w:trHeight w:val="312"/>
          <w:tblCellSpacing w:w="15" w:type="dxa"/>
          <w:jc w:val="center"/>
        </w:trPr>
        <w:tc>
          <w:tcPr>
            <w:tcW w:w="247" w:type="pct"/>
            <w:hideMark/>
          </w:tcPr>
          <w:p w:rsidR="00895904" w:rsidRPr="007505D9" w:rsidRDefault="00895904" w:rsidP="00FF1986">
            <w:pPr>
              <w:rPr>
                <w:sz w:val="22"/>
                <w:szCs w:val="22"/>
              </w:rPr>
            </w:pPr>
            <w:r w:rsidRPr="007505D9">
              <w:rPr>
                <w:sz w:val="22"/>
                <w:szCs w:val="22"/>
              </w:rPr>
              <w:t>3.</w:t>
            </w:r>
          </w:p>
        </w:tc>
        <w:tc>
          <w:tcPr>
            <w:tcW w:w="1875" w:type="pct"/>
            <w:hideMark/>
          </w:tcPr>
          <w:p w:rsidR="00895904" w:rsidRPr="007505D9" w:rsidRDefault="00895904" w:rsidP="00FF1986">
            <w:pPr>
              <w:rPr>
                <w:sz w:val="22"/>
                <w:szCs w:val="22"/>
              </w:rPr>
            </w:pPr>
            <w:r w:rsidRPr="007505D9">
              <w:rPr>
                <w:sz w:val="22"/>
                <w:szCs w:val="22"/>
              </w:rPr>
              <w:t>Cita informācija</w:t>
            </w:r>
          </w:p>
        </w:tc>
        <w:tc>
          <w:tcPr>
            <w:tcW w:w="2813" w:type="pct"/>
            <w:hideMark/>
          </w:tcPr>
          <w:p w:rsidR="00895904" w:rsidRPr="007505D9" w:rsidRDefault="00895904" w:rsidP="00FF1986">
            <w:pPr>
              <w:spacing w:before="100" w:beforeAutospacing="1" w:after="100" w:afterAutospacing="1" w:line="360" w:lineRule="auto"/>
              <w:rPr>
                <w:sz w:val="22"/>
                <w:szCs w:val="22"/>
              </w:rPr>
            </w:pPr>
            <w:r>
              <w:rPr>
                <w:sz w:val="22"/>
                <w:szCs w:val="22"/>
              </w:rPr>
              <w:t>Nav</w:t>
            </w:r>
          </w:p>
        </w:tc>
      </w:tr>
    </w:tbl>
    <w:p w:rsidR="00895904" w:rsidRPr="00EB09A4" w:rsidRDefault="00895904" w:rsidP="00895904">
      <w:pPr>
        <w:rPr>
          <w:sz w:val="22"/>
          <w:szCs w:val="22"/>
        </w:rPr>
      </w:pPr>
    </w:p>
    <w:p w:rsidR="00895904" w:rsidRDefault="00895904" w:rsidP="00895904">
      <w:pPr>
        <w:rPr>
          <w:sz w:val="28"/>
          <w:szCs w:val="28"/>
        </w:rPr>
      </w:pPr>
    </w:p>
    <w:p w:rsidR="00895904" w:rsidRDefault="00895904" w:rsidP="00895904">
      <w:pPr>
        <w:rPr>
          <w:sz w:val="28"/>
          <w:szCs w:val="28"/>
        </w:rPr>
      </w:pPr>
    </w:p>
    <w:p w:rsidR="00895904" w:rsidRDefault="00895904" w:rsidP="00895904">
      <w:pPr>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J.Dūklavs</w:t>
      </w: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1F030B" w:rsidRDefault="001F030B" w:rsidP="00895904">
      <w:pPr>
        <w:rPr>
          <w:sz w:val="28"/>
          <w:szCs w:val="28"/>
        </w:rPr>
      </w:pPr>
    </w:p>
    <w:p w:rsidR="001F030B" w:rsidRDefault="001F030B" w:rsidP="00895904">
      <w:pPr>
        <w:rPr>
          <w:sz w:val="28"/>
          <w:szCs w:val="28"/>
        </w:rPr>
      </w:pPr>
    </w:p>
    <w:p w:rsidR="001F030B" w:rsidRDefault="001F030B" w:rsidP="00895904">
      <w:pPr>
        <w:rPr>
          <w:sz w:val="28"/>
          <w:szCs w:val="28"/>
        </w:rPr>
      </w:pPr>
    </w:p>
    <w:p w:rsidR="001F030B" w:rsidRDefault="001F030B" w:rsidP="00895904">
      <w:pPr>
        <w:rPr>
          <w:sz w:val="28"/>
          <w:szCs w:val="28"/>
        </w:rPr>
      </w:pPr>
    </w:p>
    <w:p w:rsidR="001F030B" w:rsidRDefault="001F030B" w:rsidP="00895904">
      <w:pPr>
        <w:rPr>
          <w:sz w:val="28"/>
          <w:szCs w:val="28"/>
        </w:rPr>
      </w:pPr>
    </w:p>
    <w:p w:rsidR="001F030B" w:rsidRDefault="001F030B" w:rsidP="00895904">
      <w:pPr>
        <w:rPr>
          <w:sz w:val="28"/>
          <w:szCs w:val="28"/>
        </w:rPr>
      </w:pPr>
    </w:p>
    <w:p w:rsidR="00895904" w:rsidRDefault="00895904" w:rsidP="00895904">
      <w:pPr>
        <w:rPr>
          <w:sz w:val="28"/>
          <w:szCs w:val="28"/>
        </w:rPr>
      </w:pPr>
    </w:p>
    <w:p w:rsidR="00895904" w:rsidRDefault="00895904" w:rsidP="00895904">
      <w:pPr>
        <w:rPr>
          <w:sz w:val="28"/>
          <w:szCs w:val="28"/>
        </w:rPr>
      </w:pPr>
      <w:bookmarkStart w:id="1" w:name="_GoBack"/>
      <w:bookmarkEnd w:id="1"/>
    </w:p>
    <w:p w:rsidR="00895904" w:rsidRDefault="00895904" w:rsidP="00895904">
      <w:pPr>
        <w:rPr>
          <w:sz w:val="28"/>
          <w:szCs w:val="28"/>
        </w:rPr>
      </w:pPr>
    </w:p>
    <w:p w:rsidR="00895904" w:rsidRPr="00D10F81" w:rsidRDefault="00895904" w:rsidP="00895904">
      <w:pPr>
        <w:rPr>
          <w:sz w:val="28"/>
          <w:szCs w:val="28"/>
        </w:rPr>
      </w:pPr>
    </w:p>
    <w:p w:rsidR="001F030B" w:rsidRDefault="001F030B" w:rsidP="00895904">
      <w:pPr>
        <w:rPr>
          <w:sz w:val="20"/>
          <w:szCs w:val="20"/>
        </w:rPr>
      </w:pPr>
      <w:r>
        <w:rPr>
          <w:sz w:val="20"/>
          <w:szCs w:val="20"/>
        </w:rPr>
        <w:t>2014.05.28. 8:17</w:t>
      </w:r>
    </w:p>
    <w:p w:rsidR="001F030B" w:rsidRPr="001F030B" w:rsidRDefault="001F030B" w:rsidP="00895904">
      <w:pPr>
        <w:rPr>
          <w:sz w:val="20"/>
          <w:szCs w:val="20"/>
        </w:rPr>
      </w:pPr>
      <w:r w:rsidRPr="001F030B">
        <w:rPr>
          <w:sz w:val="20"/>
          <w:szCs w:val="20"/>
        </w:rPr>
        <w:fldChar w:fldCharType="begin"/>
      </w:r>
      <w:r w:rsidRPr="001F030B">
        <w:rPr>
          <w:sz w:val="20"/>
          <w:szCs w:val="20"/>
        </w:rPr>
        <w:instrText xml:space="preserve"> NUMWORDS   \* MERGEFORMAT </w:instrText>
      </w:r>
      <w:r w:rsidRPr="001F030B">
        <w:rPr>
          <w:sz w:val="20"/>
          <w:szCs w:val="20"/>
        </w:rPr>
        <w:fldChar w:fldCharType="separate"/>
      </w:r>
      <w:r w:rsidRPr="001F030B">
        <w:rPr>
          <w:noProof/>
          <w:sz w:val="20"/>
          <w:szCs w:val="20"/>
        </w:rPr>
        <w:t>2110</w:t>
      </w:r>
      <w:r w:rsidRPr="001F030B">
        <w:rPr>
          <w:sz w:val="20"/>
          <w:szCs w:val="20"/>
        </w:rPr>
        <w:fldChar w:fldCharType="end"/>
      </w:r>
    </w:p>
    <w:p w:rsidR="00895904" w:rsidRPr="009A5997" w:rsidRDefault="00895904" w:rsidP="00895904">
      <w:pPr>
        <w:rPr>
          <w:sz w:val="20"/>
        </w:rPr>
      </w:pPr>
      <w:r>
        <w:rPr>
          <w:sz w:val="20"/>
        </w:rPr>
        <w:t>J.Ābele</w:t>
      </w:r>
    </w:p>
    <w:p w:rsidR="00895904" w:rsidRPr="0088162C" w:rsidRDefault="00895904" w:rsidP="00895904">
      <w:pPr>
        <w:rPr>
          <w:sz w:val="20"/>
        </w:rPr>
      </w:pPr>
      <w:r w:rsidRPr="009A5997">
        <w:rPr>
          <w:sz w:val="20"/>
        </w:rPr>
        <w:t>67</w:t>
      </w:r>
      <w:r>
        <w:rPr>
          <w:sz w:val="20"/>
        </w:rPr>
        <w:t>027823; janis.abele</w:t>
      </w:r>
      <w:r w:rsidRPr="009A5997">
        <w:rPr>
          <w:sz w:val="20"/>
        </w:rPr>
        <w:t>@zm.gov.lv</w:t>
      </w:r>
    </w:p>
    <w:p w:rsidR="00473C3D" w:rsidRDefault="00473C3D"/>
    <w:sectPr w:rsidR="00473C3D" w:rsidSect="008D6B2C">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4B9" w:rsidRDefault="006764B9">
      <w:r>
        <w:separator/>
      </w:r>
    </w:p>
  </w:endnote>
  <w:endnote w:type="continuationSeparator" w:id="0">
    <w:p w:rsidR="006764B9" w:rsidRDefault="0067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E3" w:rsidRPr="00C7391E" w:rsidRDefault="00895904" w:rsidP="004D5FE4">
    <w:pPr>
      <w:pStyle w:val="Kjene"/>
      <w:jc w:val="both"/>
      <w:rPr>
        <w:sz w:val="20"/>
        <w:szCs w:val="20"/>
      </w:rPr>
    </w:pPr>
    <w:r w:rsidRPr="004D6388">
      <w:rPr>
        <w:sz w:val="20"/>
        <w:szCs w:val="20"/>
      </w:rPr>
      <w:t>ZM</w:t>
    </w:r>
    <w:r>
      <w:rPr>
        <w:sz w:val="20"/>
        <w:szCs w:val="20"/>
      </w:rPr>
      <w:t>a</w:t>
    </w:r>
    <w:r w:rsidRPr="004D6388">
      <w:rPr>
        <w:sz w:val="20"/>
        <w:szCs w:val="20"/>
      </w:rPr>
      <w:t>not_2</w:t>
    </w:r>
    <w:r w:rsidR="00674500">
      <w:rPr>
        <w:sz w:val="20"/>
        <w:szCs w:val="20"/>
      </w:rPr>
      <w:t>3</w:t>
    </w:r>
    <w:r w:rsidRPr="004D6388">
      <w:rPr>
        <w:sz w:val="20"/>
        <w:szCs w:val="20"/>
      </w:rPr>
      <w:t>0</w:t>
    </w:r>
    <w:r>
      <w:rPr>
        <w:sz w:val="20"/>
        <w:szCs w:val="20"/>
      </w:rPr>
      <w:t>1</w:t>
    </w:r>
    <w:r w:rsidRPr="004D6388">
      <w:rPr>
        <w:sz w:val="20"/>
        <w:szCs w:val="20"/>
      </w:rPr>
      <w:t>1</w:t>
    </w:r>
    <w:r>
      <w:rPr>
        <w:sz w:val="20"/>
        <w:szCs w:val="20"/>
      </w:rPr>
      <w:t>4</w:t>
    </w:r>
    <w:r w:rsidRPr="004D6388">
      <w:rPr>
        <w:sz w:val="20"/>
        <w:szCs w:val="20"/>
      </w:rPr>
      <w:t>_groz</w:t>
    </w:r>
    <w:r w:rsidR="00674500">
      <w:rPr>
        <w:sz w:val="20"/>
        <w:szCs w:val="20"/>
      </w:rPr>
      <w:t>ījumi_215</w:t>
    </w:r>
    <w:r w:rsidRPr="00BA72C7">
      <w:rPr>
        <w:sz w:val="20"/>
        <w:szCs w:val="20"/>
      </w:rPr>
      <w:t xml:space="preserve">; </w:t>
    </w:r>
    <w:r w:rsidRPr="004D6388">
      <w:rPr>
        <w:sz w:val="20"/>
        <w:szCs w:val="20"/>
      </w:rPr>
      <w:t>Ministru kabineta noteikumu projekta „</w:t>
    </w:r>
    <w:r w:rsidRPr="00751727">
      <w:rPr>
        <w:sz w:val="20"/>
        <w:szCs w:val="20"/>
      </w:rPr>
      <w:t>Grozījumi Ministru kabineta 2010.gada 2.marta noteikumos Nr.215 "Noteikumi par valsts atbalsta piešķiršanu zivsaimniecības attīstībai no Zivju fonda finanšu līdzekļiem"”</w:t>
    </w:r>
    <w:r w:rsidRPr="004D6388">
      <w:rPr>
        <w:sz w:val="20"/>
        <w:szCs w:val="20"/>
      </w:rPr>
      <w:t xml:space="preserve"> sākotnējās ietekmes novērtējuma </w:t>
    </w:r>
    <w:smartTag w:uri="schemas-tilde-lv/tildestengine" w:element="veidnes">
      <w:smartTagPr>
        <w:attr w:name="id" w:val="-1"/>
        <w:attr w:name="baseform" w:val="ziņojums"/>
        <w:attr w:name="text" w:val="ziņojums"/>
      </w:smartTagPr>
      <w:r w:rsidRPr="004D6388">
        <w:rPr>
          <w:sz w:val="20"/>
          <w:szCs w:val="20"/>
        </w:rPr>
        <w:t>ziņojums</w:t>
      </w:r>
    </w:smartTag>
    <w:r w:rsidRPr="004D6388">
      <w:rPr>
        <w:sz w:val="20"/>
        <w:szCs w:val="20"/>
      </w:rPr>
      <w:t xml:space="preserve"> (anotācija)</w:t>
    </w:r>
    <w:r w:rsidRPr="00C7391E">
      <w:rPr>
        <w:bCs/>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E3" w:rsidRPr="00BA72C7" w:rsidRDefault="00895904" w:rsidP="007C780E">
    <w:pPr>
      <w:pStyle w:val="Kjene"/>
      <w:jc w:val="both"/>
      <w:rPr>
        <w:sz w:val="20"/>
        <w:szCs w:val="20"/>
      </w:rPr>
    </w:pPr>
    <w:r w:rsidRPr="004D6388">
      <w:rPr>
        <w:sz w:val="20"/>
        <w:szCs w:val="20"/>
      </w:rPr>
      <w:t>ZM</w:t>
    </w:r>
    <w:r>
      <w:rPr>
        <w:sz w:val="20"/>
        <w:szCs w:val="20"/>
      </w:rPr>
      <w:t>a</w:t>
    </w:r>
    <w:r w:rsidRPr="004D6388">
      <w:rPr>
        <w:sz w:val="20"/>
        <w:szCs w:val="20"/>
      </w:rPr>
      <w:t>not_2</w:t>
    </w:r>
    <w:r w:rsidR="00674500">
      <w:rPr>
        <w:sz w:val="20"/>
        <w:szCs w:val="20"/>
      </w:rPr>
      <w:t>3</w:t>
    </w:r>
    <w:r w:rsidRPr="004D6388">
      <w:rPr>
        <w:sz w:val="20"/>
        <w:szCs w:val="20"/>
      </w:rPr>
      <w:t>0</w:t>
    </w:r>
    <w:r>
      <w:rPr>
        <w:sz w:val="20"/>
        <w:szCs w:val="20"/>
      </w:rPr>
      <w:t>1</w:t>
    </w:r>
    <w:r w:rsidRPr="004D6388">
      <w:rPr>
        <w:sz w:val="20"/>
        <w:szCs w:val="20"/>
      </w:rPr>
      <w:t>1</w:t>
    </w:r>
    <w:r>
      <w:rPr>
        <w:sz w:val="20"/>
        <w:szCs w:val="20"/>
      </w:rPr>
      <w:t>4</w:t>
    </w:r>
    <w:r w:rsidRPr="004D6388">
      <w:rPr>
        <w:sz w:val="20"/>
        <w:szCs w:val="20"/>
      </w:rPr>
      <w:t>_groz</w:t>
    </w:r>
    <w:r w:rsidR="00674500">
      <w:rPr>
        <w:sz w:val="20"/>
        <w:szCs w:val="20"/>
      </w:rPr>
      <w:t>ījumi_215</w:t>
    </w:r>
    <w:r w:rsidRPr="00BA72C7">
      <w:rPr>
        <w:sz w:val="20"/>
        <w:szCs w:val="20"/>
      </w:rPr>
      <w:t xml:space="preserve">; </w:t>
    </w:r>
    <w:r w:rsidRPr="004D6388">
      <w:rPr>
        <w:sz w:val="20"/>
        <w:szCs w:val="20"/>
      </w:rPr>
      <w:t>Ministru kabineta noteikumu projekta „</w:t>
    </w:r>
    <w:r w:rsidRPr="00253790">
      <w:rPr>
        <w:sz w:val="20"/>
        <w:szCs w:val="20"/>
      </w:rPr>
      <w:t>Grozījumi Ministru kabineta 2010.gada 2.marta noteikumos Nr.215 "Noteikumi par valsts atbalsta piešķiršanu zivsaimniecības attīstībai no Zivju fonda finanšu līdzekļiem"”</w:t>
    </w:r>
    <w:r w:rsidRPr="004D6388">
      <w:rPr>
        <w:sz w:val="20"/>
        <w:szCs w:val="20"/>
      </w:rPr>
      <w:t xml:space="preserve"> sākotnējās ietekmes novērtējuma </w:t>
    </w:r>
    <w:smartTag w:uri="schemas-tilde-lv/tildestengine" w:element="veidnes">
      <w:smartTagPr>
        <w:attr w:name="id" w:val="-1"/>
        <w:attr w:name="baseform" w:val="ziņojums"/>
        <w:attr w:name="text" w:val="ziņojums"/>
      </w:smartTagPr>
      <w:r w:rsidRPr="004D6388">
        <w:rPr>
          <w:sz w:val="20"/>
          <w:szCs w:val="20"/>
        </w:rPr>
        <w:t>ziņojums</w:t>
      </w:r>
    </w:smartTag>
    <w:r w:rsidRPr="004D6388">
      <w:rPr>
        <w:sz w:val="20"/>
        <w:szCs w:val="20"/>
      </w:rPr>
      <w:t xml:space="preserve"> (anotācija)</w:t>
    </w:r>
    <w:r w:rsidRPr="00C7391E">
      <w:rPr>
        <w:bCs/>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4B9" w:rsidRDefault="006764B9">
      <w:r>
        <w:separator/>
      </w:r>
    </w:p>
  </w:footnote>
  <w:footnote w:type="continuationSeparator" w:id="0">
    <w:p w:rsidR="006764B9" w:rsidRDefault="0067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E3" w:rsidRDefault="00895904"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24DE3" w:rsidRDefault="001F03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E3" w:rsidRDefault="00895904"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F030B">
      <w:rPr>
        <w:rStyle w:val="Lappusesnumurs"/>
        <w:noProof/>
      </w:rPr>
      <w:t>7</w:t>
    </w:r>
    <w:r>
      <w:rPr>
        <w:rStyle w:val="Lappusesnumurs"/>
      </w:rPr>
      <w:fldChar w:fldCharType="end"/>
    </w:r>
  </w:p>
  <w:p w:rsidR="00124DE3" w:rsidRDefault="001F030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4"/>
    <w:rsid w:val="0010643D"/>
    <w:rsid w:val="001F030B"/>
    <w:rsid w:val="00281281"/>
    <w:rsid w:val="002C08A5"/>
    <w:rsid w:val="003453E4"/>
    <w:rsid w:val="00395525"/>
    <w:rsid w:val="0042089C"/>
    <w:rsid w:val="00473C3D"/>
    <w:rsid w:val="004830D6"/>
    <w:rsid w:val="004A3DF4"/>
    <w:rsid w:val="00524604"/>
    <w:rsid w:val="005B1733"/>
    <w:rsid w:val="005E7E3C"/>
    <w:rsid w:val="00637DB4"/>
    <w:rsid w:val="00674500"/>
    <w:rsid w:val="006764B9"/>
    <w:rsid w:val="0075055C"/>
    <w:rsid w:val="00822CD4"/>
    <w:rsid w:val="00895904"/>
    <w:rsid w:val="008A5FD3"/>
    <w:rsid w:val="009B051E"/>
    <w:rsid w:val="00A27185"/>
    <w:rsid w:val="00AB11AB"/>
    <w:rsid w:val="00BB57E8"/>
    <w:rsid w:val="00C10677"/>
    <w:rsid w:val="00D75199"/>
    <w:rsid w:val="00E1483D"/>
    <w:rsid w:val="00EB34A4"/>
    <w:rsid w:val="00EE3963"/>
    <w:rsid w:val="00FB2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7D2D50A-5F36-4013-ACB6-81E3A24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590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95904"/>
    <w:pPr>
      <w:tabs>
        <w:tab w:val="center" w:pos="4153"/>
        <w:tab w:val="right" w:pos="8306"/>
      </w:tabs>
    </w:pPr>
  </w:style>
  <w:style w:type="character" w:customStyle="1" w:styleId="GalveneRakstz">
    <w:name w:val="Galvene Rakstz."/>
    <w:basedOn w:val="Noklusjumarindkopasfonts"/>
    <w:link w:val="Galvene"/>
    <w:uiPriority w:val="99"/>
    <w:rsid w:val="00895904"/>
    <w:rPr>
      <w:rFonts w:ascii="Times New Roman" w:eastAsia="Times New Roman" w:hAnsi="Times New Roman" w:cs="Times New Roman"/>
      <w:sz w:val="24"/>
      <w:szCs w:val="24"/>
      <w:lang w:eastAsia="lv-LV"/>
    </w:rPr>
  </w:style>
  <w:style w:type="character" w:styleId="Lappusesnumurs">
    <w:name w:val="page number"/>
    <w:uiPriority w:val="99"/>
    <w:rsid w:val="00895904"/>
    <w:rPr>
      <w:rFonts w:cs="Times New Roman"/>
    </w:rPr>
  </w:style>
  <w:style w:type="paragraph" w:styleId="Kjene">
    <w:name w:val="footer"/>
    <w:basedOn w:val="Parasts"/>
    <w:link w:val="KjeneRakstz"/>
    <w:uiPriority w:val="99"/>
    <w:rsid w:val="00895904"/>
    <w:pPr>
      <w:tabs>
        <w:tab w:val="center" w:pos="4153"/>
        <w:tab w:val="right" w:pos="8306"/>
      </w:tabs>
    </w:pPr>
  </w:style>
  <w:style w:type="character" w:customStyle="1" w:styleId="KjeneRakstz">
    <w:name w:val="Kājene Rakstz."/>
    <w:basedOn w:val="Noklusjumarindkopasfonts"/>
    <w:link w:val="Kjene"/>
    <w:uiPriority w:val="99"/>
    <w:rsid w:val="0089590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271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18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2133</Words>
  <Characters>14615</Characters>
  <Application>Microsoft Office Word</Application>
  <DocSecurity>0</DocSecurity>
  <Lines>541</Lines>
  <Paragraphs>232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2.marta noteikumos Nr.215 "Noteikumi par valsts atbalsta piešķiršanu zivsaimniecības attīstībai no Zivju fonda finanšu līdzekļiem"” sākotnējās ietekmes novērtējuma ziņojums (anotācija)</dc:title>
  <dc:subject>MK noteikumu projekta anotācija</dc:subject>
  <dc:creator>Zemkopības ministrija</dc:creator>
  <dc:description>Janis.Abele@zm.gov.lv; 67027823</dc:description>
  <cp:lastModifiedBy>ZM Lietvedibas nodala</cp:lastModifiedBy>
  <cp:revision>15</cp:revision>
  <dcterms:created xsi:type="dcterms:W3CDTF">2014-05-13T11:51:00Z</dcterms:created>
  <dcterms:modified xsi:type="dcterms:W3CDTF">2014-05-28T05:17:00Z</dcterms:modified>
</cp:coreProperties>
</file>