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29" w:rsidRPr="00FD460E" w:rsidRDefault="00E07C29" w:rsidP="00E07C29">
      <w:pPr>
        <w:jc w:val="center"/>
        <w:rPr>
          <w:b/>
          <w:sz w:val="28"/>
          <w:szCs w:val="28"/>
          <w:lang w:val="lv-LV" w:eastAsia="lv-LV"/>
        </w:rPr>
      </w:pPr>
      <w:bookmarkStart w:id="0" w:name="OLE_LINK7"/>
      <w:bookmarkStart w:id="1" w:name="OLE_LINK8"/>
      <w:r w:rsidRPr="00FD460E">
        <w:rPr>
          <w:b/>
          <w:sz w:val="28"/>
          <w:szCs w:val="28"/>
          <w:lang w:val="lv-LV" w:eastAsia="lv-LV"/>
        </w:rPr>
        <w:t xml:space="preserve">Ministru kabineta </w:t>
      </w:r>
      <w:r>
        <w:rPr>
          <w:b/>
          <w:sz w:val="28"/>
          <w:szCs w:val="28"/>
          <w:lang w:val="lv-LV" w:eastAsia="lv-LV"/>
        </w:rPr>
        <w:t>noteikumu</w:t>
      </w:r>
      <w:r w:rsidRPr="00FD460E">
        <w:rPr>
          <w:b/>
          <w:sz w:val="28"/>
          <w:szCs w:val="28"/>
          <w:lang w:val="lv-LV" w:eastAsia="lv-LV"/>
        </w:rPr>
        <w:t xml:space="preserve"> projekta </w:t>
      </w:r>
      <w:r w:rsidRPr="00FD460E">
        <w:rPr>
          <w:b/>
          <w:bCs/>
          <w:sz w:val="28"/>
          <w:szCs w:val="28"/>
          <w:lang w:val="lv-LV" w:eastAsia="lv-LV"/>
        </w:rPr>
        <w:t>„</w:t>
      </w:r>
      <w:r>
        <w:rPr>
          <w:b/>
          <w:bCs/>
          <w:sz w:val="28"/>
          <w:szCs w:val="28"/>
          <w:lang w:val="lv-LV" w:eastAsia="lv-LV"/>
        </w:rPr>
        <w:t>Grozījumi Ministru kabineta 2013.gada 20.augusta noteikumos Nr.621 „Noteikumi par biodrošības pasākumu kopumu dzīvnieku turēšanas vietām””</w:t>
      </w:r>
    </w:p>
    <w:p w:rsidR="00E07C29" w:rsidRPr="00FD460E" w:rsidRDefault="00E07C29" w:rsidP="00E07C29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FD460E">
        <w:rPr>
          <w:b/>
          <w:bCs/>
          <w:sz w:val="28"/>
          <w:szCs w:val="28"/>
          <w:lang w:val="lv-LV" w:eastAsia="lv-LV"/>
        </w:rPr>
        <w:t>sākotnējās ietekmes novērtējuma ziņojums (anotācija)</w:t>
      </w:r>
    </w:p>
    <w:p w:rsidR="00E07C29" w:rsidRPr="00FD460E" w:rsidRDefault="00E07C29" w:rsidP="00E07C29">
      <w:pPr>
        <w:widowControl w:val="0"/>
        <w:jc w:val="center"/>
        <w:rPr>
          <w:b/>
          <w:bCs/>
          <w:lang w:val="lv-LV" w:eastAsia="lv-LV"/>
        </w:rPr>
      </w:pPr>
    </w:p>
    <w:tbl>
      <w:tblPr>
        <w:tblW w:w="496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0"/>
        <w:gridCol w:w="5669"/>
      </w:tblGrid>
      <w:tr w:rsidR="00E07C29" w:rsidRPr="000A3674" w:rsidTr="00E82F53">
        <w:tc>
          <w:tcPr>
            <w:tcW w:w="5000" w:type="pct"/>
            <w:gridSpan w:val="4"/>
            <w:vAlign w:val="center"/>
          </w:tcPr>
          <w:p w:rsidR="00E07C29" w:rsidRPr="00FD460E" w:rsidRDefault="00E07C29" w:rsidP="009F3396">
            <w:pPr>
              <w:pStyle w:val="naisf"/>
              <w:jc w:val="center"/>
              <w:rPr>
                <w:b/>
                <w:bCs/>
                <w:lang w:val="lv-LV"/>
              </w:rPr>
            </w:pPr>
            <w:r w:rsidRPr="00E35FBA">
              <w:rPr>
                <w:b/>
                <w:bCs/>
                <w:sz w:val="28"/>
                <w:lang w:val="lv-LV"/>
              </w:rPr>
              <w:t>I. Tiesību akta projekta izstrādes nepieciešamība</w:t>
            </w:r>
          </w:p>
        </w:tc>
      </w:tr>
      <w:tr w:rsidR="00E07C29" w:rsidRPr="000A3674" w:rsidTr="00773439">
        <w:tc>
          <w:tcPr>
            <w:tcW w:w="313" w:type="pct"/>
          </w:tcPr>
          <w:p w:rsidR="00E07C29" w:rsidRPr="00FD460E" w:rsidRDefault="00E07C29" w:rsidP="000306F8">
            <w:pPr>
              <w:pStyle w:val="naisf"/>
              <w:rPr>
                <w:lang w:val="lv-LV"/>
              </w:rPr>
            </w:pPr>
            <w:r w:rsidRPr="00FD460E">
              <w:rPr>
                <w:lang w:val="lv-LV"/>
              </w:rPr>
              <w:t>1.</w:t>
            </w:r>
          </w:p>
        </w:tc>
        <w:tc>
          <w:tcPr>
            <w:tcW w:w="1562" w:type="pct"/>
            <w:gridSpan w:val="2"/>
          </w:tcPr>
          <w:p w:rsidR="00E07C29" w:rsidRPr="00FD460E" w:rsidRDefault="00E07C29" w:rsidP="000306F8">
            <w:pPr>
              <w:pStyle w:val="naisf"/>
              <w:rPr>
                <w:lang w:val="lv-LV"/>
              </w:rPr>
            </w:pPr>
            <w:r w:rsidRPr="00FD460E">
              <w:rPr>
                <w:lang w:val="lv-LV"/>
              </w:rPr>
              <w:t>Pamatojums</w:t>
            </w:r>
          </w:p>
        </w:tc>
        <w:tc>
          <w:tcPr>
            <w:tcW w:w="3125" w:type="pct"/>
          </w:tcPr>
          <w:p w:rsidR="000A3674" w:rsidRPr="00FD460E" w:rsidRDefault="00E07C29" w:rsidP="00200F9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>Veterinārmedicīnas likuma 25.panta 19.punkts</w:t>
            </w:r>
            <w:r w:rsidR="00EA4B4A">
              <w:rPr>
                <w:lang w:val="lv-LV"/>
              </w:rPr>
              <w:t xml:space="preserve"> un pārejas noteikumu 27.punkta 3.apakšpunkts.</w:t>
            </w:r>
          </w:p>
        </w:tc>
      </w:tr>
      <w:tr w:rsidR="00E07C29" w:rsidRPr="000A3674" w:rsidTr="00773439">
        <w:tc>
          <w:tcPr>
            <w:tcW w:w="313" w:type="pct"/>
          </w:tcPr>
          <w:p w:rsidR="00E07C29" w:rsidRPr="00FD460E" w:rsidRDefault="00E07C29" w:rsidP="000306F8">
            <w:pPr>
              <w:pStyle w:val="naisf"/>
              <w:rPr>
                <w:lang w:val="lv-LV"/>
              </w:rPr>
            </w:pPr>
            <w:r w:rsidRPr="00FD460E">
              <w:rPr>
                <w:lang w:val="lv-LV"/>
              </w:rPr>
              <w:t>2.</w:t>
            </w:r>
          </w:p>
        </w:tc>
        <w:tc>
          <w:tcPr>
            <w:tcW w:w="1562" w:type="pct"/>
            <w:gridSpan w:val="2"/>
          </w:tcPr>
          <w:p w:rsidR="00E07C29" w:rsidRPr="00FD460E" w:rsidRDefault="00E07C29" w:rsidP="000306F8">
            <w:pPr>
              <w:pStyle w:val="naisf"/>
              <w:rPr>
                <w:lang w:val="lv-LV"/>
              </w:rPr>
            </w:pPr>
            <w:r w:rsidRPr="00FD460E">
              <w:rPr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25" w:type="pct"/>
          </w:tcPr>
          <w:p w:rsidR="008D48FC" w:rsidRPr="008D48FC" w:rsidRDefault="006C6D54" w:rsidP="00B72E1A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8D48FC">
              <w:rPr>
                <w:color w:val="auto"/>
                <w:sz w:val="24"/>
                <w:szCs w:val="24"/>
              </w:rPr>
              <w:t xml:space="preserve">1. </w:t>
            </w:r>
            <w:r w:rsidR="00BB3662" w:rsidRPr="008D48FC">
              <w:rPr>
                <w:color w:val="auto"/>
                <w:sz w:val="24"/>
                <w:szCs w:val="24"/>
              </w:rPr>
              <w:t xml:space="preserve">Patlaban </w:t>
            </w:r>
            <w:r w:rsidR="00BB3662" w:rsidRPr="008D48FC">
              <w:rPr>
                <w:bCs/>
                <w:color w:val="auto"/>
                <w:sz w:val="24"/>
                <w:szCs w:val="24"/>
              </w:rPr>
              <w:t>Ministru kabineta 2013.gada 20.augusta noteikumi Nr.621 „Noteikumi par biodrošības pasākumu kopumu dzīvnieku turēšanas vietām”” (turpmāk – noteikumi Nr.621)</w:t>
            </w:r>
            <w:r w:rsidR="008D48FC" w:rsidRPr="008D48FC">
              <w:rPr>
                <w:bCs/>
                <w:color w:val="auto"/>
                <w:sz w:val="24"/>
                <w:szCs w:val="24"/>
              </w:rPr>
              <w:t xml:space="preserve"> nosaka, ka </w:t>
            </w:r>
            <w:r w:rsidR="008D48FC">
              <w:rPr>
                <w:bCs/>
                <w:color w:val="auto"/>
                <w:sz w:val="24"/>
                <w:szCs w:val="24"/>
              </w:rPr>
              <w:t xml:space="preserve">biodrošības pasākumu plāns, kas izstrādāts </w:t>
            </w:r>
            <w:r w:rsidR="008D48FC">
              <w:rPr>
                <w:color w:val="auto"/>
                <w:sz w:val="24"/>
                <w:szCs w:val="24"/>
              </w:rPr>
              <w:t xml:space="preserve">mājputnu novietnēm un </w:t>
            </w:r>
            <w:r w:rsidR="008D48FC" w:rsidRPr="008D48FC">
              <w:rPr>
                <w:color w:val="auto"/>
                <w:sz w:val="24"/>
                <w:szCs w:val="24"/>
              </w:rPr>
              <w:t>vēršu apakšdzimtas, cūku, aitu un kazu savākšanas centriem, dzīvnieku tirgošanas telpām un dzīvnieku turēšanas vietām, kur dzīvniekus tur izolācijā līd</w:t>
            </w:r>
            <w:r w:rsidR="008D48FC">
              <w:rPr>
                <w:color w:val="auto"/>
                <w:sz w:val="24"/>
                <w:szCs w:val="24"/>
              </w:rPr>
              <w:t xml:space="preserve">z izvešanai uz trešajām valstīm, jāsaskaņo ar </w:t>
            </w:r>
            <w:r w:rsidR="008D48FC" w:rsidRPr="008D48FC">
              <w:rPr>
                <w:color w:val="auto"/>
                <w:sz w:val="24"/>
                <w:szCs w:val="24"/>
              </w:rPr>
              <w:t>Pārtikas un veterinār</w:t>
            </w:r>
            <w:r w:rsidR="008D48FC">
              <w:rPr>
                <w:color w:val="auto"/>
                <w:sz w:val="24"/>
                <w:szCs w:val="24"/>
              </w:rPr>
              <w:t>o</w:t>
            </w:r>
            <w:r w:rsidR="008D48FC" w:rsidRPr="008D48FC">
              <w:rPr>
                <w:color w:val="auto"/>
                <w:sz w:val="24"/>
                <w:szCs w:val="24"/>
              </w:rPr>
              <w:t xml:space="preserve"> dienest</w:t>
            </w:r>
            <w:r w:rsidR="008D48FC">
              <w:rPr>
                <w:color w:val="auto"/>
                <w:sz w:val="24"/>
                <w:szCs w:val="24"/>
              </w:rPr>
              <w:t>u</w:t>
            </w:r>
            <w:r w:rsidR="008D48FC" w:rsidRPr="008D48FC">
              <w:rPr>
                <w:color w:val="auto"/>
                <w:sz w:val="24"/>
                <w:szCs w:val="24"/>
              </w:rPr>
              <w:t xml:space="preserve"> (turpmāk – dienests)</w:t>
            </w:r>
            <w:r w:rsidR="008D48FC">
              <w:rPr>
                <w:color w:val="auto"/>
                <w:sz w:val="24"/>
                <w:szCs w:val="24"/>
              </w:rPr>
              <w:t>.</w:t>
            </w:r>
          </w:p>
          <w:p w:rsidR="006C6D54" w:rsidRDefault="00D04C16" w:rsidP="008D48FC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8D48FC">
              <w:rPr>
                <w:lang w:val="lv-LV"/>
              </w:rPr>
              <w:t>2014.gada 25.septembr</w:t>
            </w:r>
            <w:r w:rsidR="00782DBC">
              <w:rPr>
                <w:lang w:val="lv-LV"/>
              </w:rPr>
              <w:t>ī</w:t>
            </w:r>
            <w:r w:rsidRPr="008D48FC">
              <w:rPr>
                <w:lang w:val="lv-LV"/>
              </w:rPr>
              <w:t xml:space="preserve"> </w:t>
            </w:r>
            <w:r w:rsidR="00782DBC">
              <w:rPr>
                <w:lang w:val="lv-LV"/>
              </w:rPr>
              <w:t>Saeima pieņēma likumu „Grozījumi</w:t>
            </w:r>
            <w:r w:rsidRPr="008D48FC">
              <w:rPr>
                <w:lang w:val="lv-LV"/>
              </w:rPr>
              <w:t xml:space="preserve"> Veterinārmedicīnas </w:t>
            </w:r>
            <w:r>
              <w:rPr>
                <w:lang w:val="lv-LV"/>
              </w:rPr>
              <w:t>likumā</w:t>
            </w:r>
            <w:r w:rsidR="00782DBC">
              <w:rPr>
                <w:lang w:val="lv-LV"/>
              </w:rPr>
              <w:t xml:space="preserve">”, ar ko </w:t>
            </w:r>
            <w:r>
              <w:rPr>
                <w:lang w:val="lv-LV"/>
              </w:rPr>
              <w:t xml:space="preserve">ir precizēts pilnvarojums Ministru kabinetam izdot noteikumus par biodrošības pasākumiem dzīvnieku turēšanas vietās (likuma 25.panta 19.punkts), nosakot, ka turpmāk biodrošības pasākumu plāns nav jāsaskaņo ar </w:t>
            </w:r>
            <w:r w:rsidR="0048276C">
              <w:rPr>
                <w:lang w:val="lv-LV"/>
              </w:rPr>
              <w:t>dienest</w:t>
            </w:r>
            <w:r w:rsidR="008D48FC">
              <w:rPr>
                <w:lang w:val="lv-LV"/>
              </w:rPr>
              <w:t>u</w:t>
            </w:r>
            <w:r>
              <w:rPr>
                <w:lang w:val="lv-LV"/>
              </w:rPr>
              <w:t>.</w:t>
            </w:r>
            <w:r w:rsidR="00652353">
              <w:rPr>
                <w:lang w:val="lv-LV"/>
              </w:rPr>
              <w:t xml:space="preserve"> </w:t>
            </w:r>
            <w:r w:rsidR="00782DBC">
              <w:rPr>
                <w:lang w:val="lv-LV"/>
              </w:rPr>
              <w:t>L</w:t>
            </w:r>
            <w:r w:rsidR="00652353">
              <w:rPr>
                <w:lang w:val="lv-LV"/>
              </w:rPr>
              <w:t xml:space="preserve">ikuma pārejas </w:t>
            </w:r>
            <w:r w:rsidR="00BA0BBD">
              <w:rPr>
                <w:lang w:val="lv-LV"/>
              </w:rPr>
              <w:t xml:space="preserve">noteikumu </w:t>
            </w:r>
            <w:r w:rsidR="00782DBC">
              <w:rPr>
                <w:lang w:val="lv-LV"/>
              </w:rPr>
              <w:t>27.punkta 3.apakšpunkts paredz</w:t>
            </w:r>
            <w:r w:rsidR="001A6C4D">
              <w:rPr>
                <w:lang w:val="lv-LV"/>
              </w:rPr>
              <w:t xml:space="preserve">, </w:t>
            </w:r>
            <w:r w:rsidR="00782DBC">
              <w:rPr>
                <w:lang w:val="lv-LV"/>
              </w:rPr>
              <w:t xml:space="preserve">ka </w:t>
            </w:r>
            <w:r w:rsidR="001A6C4D">
              <w:rPr>
                <w:lang w:val="lv-LV"/>
              </w:rPr>
              <w:t xml:space="preserve">Ministru kabinetam līdz 2015.gada 1.februārim </w:t>
            </w:r>
            <w:r w:rsidR="00782DBC">
              <w:rPr>
                <w:lang w:val="lv-LV"/>
              </w:rPr>
              <w:t>jā</w:t>
            </w:r>
            <w:r w:rsidR="001A6C4D">
              <w:rPr>
                <w:lang w:val="lv-LV"/>
              </w:rPr>
              <w:t>izdar</w:t>
            </w:r>
            <w:r w:rsidR="00782DBC">
              <w:rPr>
                <w:lang w:val="lv-LV"/>
              </w:rPr>
              <w:t>a</w:t>
            </w:r>
            <w:r w:rsidR="001A6C4D">
              <w:rPr>
                <w:lang w:val="lv-LV"/>
              </w:rPr>
              <w:t xml:space="preserve"> grozījum</w:t>
            </w:r>
            <w:r w:rsidR="00782DBC">
              <w:rPr>
                <w:lang w:val="lv-LV"/>
              </w:rPr>
              <w:t>i</w:t>
            </w:r>
            <w:r w:rsidR="001A6C4D">
              <w:rPr>
                <w:lang w:val="lv-LV"/>
              </w:rPr>
              <w:t xml:space="preserve"> noteikumos Nr.621.</w:t>
            </w:r>
          </w:p>
          <w:p w:rsidR="000764F1" w:rsidRPr="000764F1" w:rsidRDefault="001E0437" w:rsidP="000300DF">
            <w:pPr>
              <w:pStyle w:val="naisf"/>
              <w:spacing w:before="0" w:beforeAutospacing="0" w:after="0" w:afterAutospacing="0"/>
              <w:rPr>
                <w:sz w:val="22"/>
                <w:lang w:val="lv-LV"/>
              </w:rPr>
            </w:pPr>
            <w:r>
              <w:rPr>
                <w:bCs/>
                <w:szCs w:val="28"/>
                <w:lang w:val="lv-LV" w:eastAsia="lv-LV"/>
              </w:rPr>
              <w:t>Ievērojot</w:t>
            </w:r>
            <w:r w:rsidR="00D10522">
              <w:rPr>
                <w:bCs/>
                <w:szCs w:val="28"/>
                <w:lang w:val="lv-LV" w:eastAsia="lv-LV"/>
              </w:rPr>
              <w:t xml:space="preserve"> minēto, </w:t>
            </w:r>
            <w:r w:rsidR="00782DBC">
              <w:rPr>
                <w:bCs/>
                <w:szCs w:val="28"/>
                <w:lang w:val="lv-LV" w:eastAsia="lv-LV"/>
              </w:rPr>
              <w:t>ir sagatavots noteikumu projekts, kas paredz</w:t>
            </w:r>
            <w:r w:rsidR="00D10522">
              <w:rPr>
                <w:bCs/>
                <w:szCs w:val="28"/>
                <w:lang w:val="lv-LV" w:eastAsia="lv-LV"/>
              </w:rPr>
              <w:t xml:space="preserve"> svītrot normas, k</w:t>
            </w:r>
            <w:r w:rsidR="00FE52D0">
              <w:rPr>
                <w:bCs/>
                <w:szCs w:val="28"/>
                <w:lang w:val="lv-LV" w:eastAsia="lv-LV"/>
              </w:rPr>
              <w:t>uras</w:t>
            </w:r>
            <w:r w:rsidR="00D10522">
              <w:rPr>
                <w:bCs/>
                <w:szCs w:val="28"/>
                <w:lang w:val="lv-LV" w:eastAsia="lv-LV"/>
              </w:rPr>
              <w:t xml:space="preserve"> </w:t>
            </w:r>
            <w:r w:rsidR="00724873">
              <w:rPr>
                <w:bCs/>
                <w:szCs w:val="28"/>
                <w:lang w:val="lv-LV" w:eastAsia="lv-LV"/>
              </w:rPr>
              <w:t>nosaka pasākuma plāna iesniegšanu dienestā un dienesta veiktās darbības plāna saskaņošanā</w:t>
            </w:r>
            <w:r w:rsidR="00782DBC">
              <w:rPr>
                <w:bCs/>
                <w:szCs w:val="28"/>
                <w:lang w:val="lv-LV" w:eastAsia="lv-LV"/>
              </w:rPr>
              <w:t xml:space="preserve"> (projekta 1. un 2.punkts)</w:t>
            </w:r>
            <w:r w:rsidR="00724873">
              <w:rPr>
                <w:bCs/>
                <w:szCs w:val="28"/>
                <w:lang w:val="lv-LV" w:eastAsia="lv-LV"/>
              </w:rPr>
              <w:t>.</w:t>
            </w:r>
          </w:p>
          <w:p w:rsidR="006C6D54" w:rsidRDefault="00B93B18" w:rsidP="000300DF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2. </w:t>
            </w:r>
            <w:r w:rsidR="00146A42">
              <w:rPr>
                <w:lang w:val="lv-LV"/>
              </w:rPr>
              <w:t xml:space="preserve">Lai nodrošinātu </w:t>
            </w:r>
            <w:r w:rsidR="00132A93">
              <w:rPr>
                <w:lang w:val="lv-LV"/>
              </w:rPr>
              <w:t xml:space="preserve">Āfrikas cūku mēra apkarošanas un tālākas izplatīšanās ierobežošanas pasākumu izpildi, nepieciešams precizēt </w:t>
            </w:r>
            <w:r w:rsidR="00146A42">
              <w:rPr>
                <w:lang w:val="lv-LV"/>
              </w:rPr>
              <w:t>noteikum</w:t>
            </w:r>
            <w:r w:rsidR="00132A93">
              <w:rPr>
                <w:lang w:val="lv-LV"/>
              </w:rPr>
              <w:t>u</w:t>
            </w:r>
            <w:r w:rsidR="00146A42">
              <w:rPr>
                <w:lang w:val="lv-LV"/>
              </w:rPr>
              <w:t xml:space="preserve"> Nr.621 </w:t>
            </w:r>
            <w:r w:rsidR="0048276C">
              <w:rPr>
                <w:lang w:val="lv-LV"/>
              </w:rPr>
              <w:t>normu</w:t>
            </w:r>
            <w:r w:rsidR="00132A93">
              <w:rPr>
                <w:lang w:val="lv-LV"/>
              </w:rPr>
              <w:t xml:space="preserve"> par biodrošības pasākumu īstenošanas un cūku sugas dzīvnieku nokaušanas termiņ</w:t>
            </w:r>
            <w:r w:rsidR="00AB3651">
              <w:rPr>
                <w:lang w:val="lv-LV"/>
              </w:rPr>
              <w:t>u</w:t>
            </w:r>
            <w:r w:rsidR="00132A93">
              <w:rPr>
                <w:lang w:val="lv-LV"/>
              </w:rPr>
              <w:t>, ja pasākum</w:t>
            </w:r>
            <w:r w:rsidR="00AB3651">
              <w:rPr>
                <w:lang w:val="lv-LV"/>
              </w:rPr>
              <w:t>i netiek</w:t>
            </w:r>
            <w:r w:rsidR="00132A93">
              <w:rPr>
                <w:lang w:val="lv-LV"/>
              </w:rPr>
              <w:t xml:space="preserve"> īsteno</w:t>
            </w:r>
            <w:r w:rsidR="00AB3651">
              <w:rPr>
                <w:lang w:val="lv-LV"/>
              </w:rPr>
              <w:t>ti</w:t>
            </w:r>
            <w:r w:rsidR="00132A93">
              <w:rPr>
                <w:lang w:val="lv-LV"/>
              </w:rPr>
              <w:t>.</w:t>
            </w:r>
            <w:r w:rsidR="0048276C">
              <w:rPr>
                <w:lang w:val="lv-LV"/>
              </w:rPr>
              <w:t xml:space="preserve"> Tāpat </w:t>
            </w:r>
            <w:r w:rsidR="00BE6A03">
              <w:rPr>
                <w:lang w:val="lv-LV"/>
              </w:rPr>
              <w:t>ir jāparedz</w:t>
            </w:r>
            <w:r w:rsidR="0048276C">
              <w:rPr>
                <w:lang w:val="lv-LV"/>
              </w:rPr>
              <w:t xml:space="preserve">, ka gadījumā, </w:t>
            </w:r>
            <w:r w:rsidR="00E15BA4">
              <w:rPr>
                <w:lang w:val="lv-LV"/>
              </w:rPr>
              <w:t>ja</w:t>
            </w:r>
            <w:r w:rsidR="0048276C">
              <w:rPr>
                <w:lang w:val="lv-LV"/>
              </w:rPr>
              <w:t xml:space="preserve"> dzīvnieku īpašnieks novietnē neievieš biodrošības pasākumus un nenokauj cūkas, dienests pieņem lēmumu par cūku nokaušanu vai nogalināšanu un dzīvnieku īpašniekam lēm</w:t>
            </w:r>
            <w:r w:rsidR="0034653C">
              <w:rPr>
                <w:lang w:val="lv-LV"/>
              </w:rPr>
              <w:t>ums jāizpilda divu nedēļu laikā. Minētie grozījumi ietverti projekta 3., 5., 6. un 7.punktā.</w:t>
            </w:r>
          </w:p>
          <w:p w:rsidR="006C6D54" w:rsidRPr="00030467" w:rsidRDefault="00EA0473" w:rsidP="000300DF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3. </w:t>
            </w:r>
            <w:r w:rsidR="00D700DE">
              <w:rPr>
                <w:lang w:val="lv-LV"/>
              </w:rPr>
              <w:t xml:space="preserve">Ir </w:t>
            </w:r>
            <w:r w:rsidR="00D700DE" w:rsidRPr="00030467">
              <w:rPr>
                <w:lang w:val="lv-LV"/>
              </w:rPr>
              <w:t xml:space="preserve">stājies spēkā </w:t>
            </w:r>
            <w:r w:rsidR="00B616AF" w:rsidRPr="00030467">
              <w:rPr>
                <w:lang w:val="lv-LV"/>
              </w:rPr>
              <w:t xml:space="preserve">Eiropas Komisijas 2014.gada 9.oktobra Īstenošanas lēmums Nr.2014/709/ES par dzīvnieku veselības kontroles pasākumiem saistībā ar Āfrikas cūku mēri dažās dalībvalstīs un ar ko atceļ Īstenošanas lēmumu 2014/178/ES (turpmāk – Lēmums 2014/709/ES). Lēmumā 2014/709/ES ir noteikti </w:t>
            </w:r>
            <w:r w:rsidR="00D501B5" w:rsidRPr="00030467">
              <w:rPr>
                <w:lang w:val="lv-LV"/>
              </w:rPr>
              <w:t xml:space="preserve">būtiski atvieglojumi </w:t>
            </w:r>
            <w:r w:rsidR="00D501B5" w:rsidRPr="00030467">
              <w:rPr>
                <w:lang w:val="lv-LV"/>
              </w:rPr>
              <w:lastRenderedPageBreak/>
              <w:t xml:space="preserve">dzīvu cūku, </w:t>
            </w:r>
            <w:r w:rsidR="00B616AF" w:rsidRPr="00030467">
              <w:rPr>
                <w:lang w:val="lv-LV"/>
              </w:rPr>
              <w:t xml:space="preserve">cūkgaļas, cūkgaļas produktu, cūkgaļas izstrādājumu, kā arī </w:t>
            </w:r>
            <w:r w:rsidR="00BE6A03">
              <w:rPr>
                <w:lang w:val="lv-LV"/>
              </w:rPr>
              <w:t xml:space="preserve">cūkgaļu saturošu produktu </w:t>
            </w:r>
            <w:r w:rsidR="00D501B5" w:rsidRPr="00030467">
              <w:rPr>
                <w:lang w:val="lv-LV"/>
              </w:rPr>
              <w:t>apritei no Āfrikas cūku mēra riska zonām:</w:t>
            </w:r>
          </w:p>
          <w:p w:rsidR="009245D7" w:rsidRPr="00030467" w:rsidRDefault="00D501B5" w:rsidP="009245D7">
            <w:pPr>
              <w:jc w:val="both"/>
              <w:rPr>
                <w:lang w:val="lv-LV"/>
              </w:rPr>
            </w:pPr>
            <w:r w:rsidRPr="00030467">
              <w:rPr>
                <w:lang w:val="lv-LV"/>
              </w:rPr>
              <w:t>1</w:t>
            </w:r>
            <w:r w:rsidR="009245D7" w:rsidRPr="00030467">
              <w:rPr>
                <w:lang w:val="lv-LV"/>
              </w:rPr>
              <w:t>) noteikt</w:t>
            </w:r>
            <w:r w:rsidRPr="00030467">
              <w:rPr>
                <w:lang w:val="lv-LV"/>
              </w:rPr>
              <w:t>i</w:t>
            </w:r>
            <w:r w:rsidR="00030467" w:rsidRPr="00030467">
              <w:rPr>
                <w:lang w:val="lv-LV"/>
              </w:rPr>
              <w:t xml:space="preserve"> atviegloti</w:t>
            </w:r>
            <w:r w:rsidR="009245D7" w:rsidRPr="00030467">
              <w:rPr>
                <w:lang w:val="lv-LV"/>
              </w:rPr>
              <w:t xml:space="preserve"> nosacījum</w:t>
            </w:r>
            <w:r w:rsidR="00030467" w:rsidRPr="00030467">
              <w:rPr>
                <w:lang w:val="lv-LV"/>
              </w:rPr>
              <w:t>i</w:t>
            </w:r>
            <w:r w:rsidR="009245D7" w:rsidRPr="00030467">
              <w:rPr>
                <w:lang w:val="lv-LV"/>
              </w:rPr>
              <w:t xml:space="preserve"> dzīvu cūku pārvietošanai no III riska zonas, ja šajā zonā nav p</w:t>
            </w:r>
            <w:r w:rsidRPr="00030467">
              <w:rPr>
                <w:lang w:val="lv-LV"/>
              </w:rPr>
              <w:t>ietiek</w:t>
            </w:r>
            <w:r w:rsidR="00BE6A03">
              <w:rPr>
                <w:lang w:val="lv-LV"/>
              </w:rPr>
              <w:t>amas</w:t>
            </w:r>
            <w:r w:rsidRPr="00030467">
              <w:rPr>
                <w:lang w:val="lv-LV"/>
              </w:rPr>
              <w:t xml:space="preserve"> kapacitātes kautuves, kā arī noteikts, ka no šīm cūkām iegūtos produktus</w:t>
            </w:r>
            <w:r w:rsidR="00030467" w:rsidRPr="00030467">
              <w:rPr>
                <w:lang w:val="lv-LV"/>
              </w:rPr>
              <w:t xml:space="preserve"> var izplatīt visā Latvijas teritorijā;</w:t>
            </w:r>
            <w:r w:rsidRPr="00030467">
              <w:rPr>
                <w:lang w:val="lv-LV"/>
              </w:rPr>
              <w:t xml:space="preserve"> </w:t>
            </w:r>
          </w:p>
          <w:p w:rsidR="009245D7" w:rsidRPr="00030467" w:rsidRDefault="00D501B5" w:rsidP="009245D7">
            <w:pPr>
              <w:jc w:val="both"/>
              <w:rPr>
                <w:lang w:val="lv-LV"/>
              </w:rPr>
            </w:pPr>
            <w:r w:rsidRPr="00030467">
              <w:rPr>
                <w:lang w:val="lv-LV"/>
              </w:rPr>
              <w:t>2</w:t>
            </w:r>
            <w:r w:rsidR="009245D7" w:rsidRPr="00030467">
              <w:rPr>
                <w:lang w:val="lv-LV"/>
              </w:rPr>
              <w:t>) atļaut no II riska zonas uz citām Eiropas Savienības dalībvalstīm un trešajām valstīm</w:t>
            </w:r>
            <w:r w:rsidR="00E861CA" w:rsidRPr="00030467">
              <w:rPr>
                <w:lang w:val="lv-LV"/>
              </w:rPr>
              <w:t xml:space="preserve"> izvest cūkgaļu un cūkgaļas produktus</w:t>
            </w:r>
            <w:r w:rsidR="009245D7" w:rsidRPr="00030467">
              <w:rPr>
                <w:lang w:val="lv-LV"/>
              </w:rPr>
              <w:t>, ja to iegūšanas procesā veikta apstrāde, kas garantē pārtikas produktu drošību un nepieļauj slimības ierosinātāja tā</w:t>
            </w:r>
            <w:r w:rsidR="00141B2C">
              <w:rPr>
                <w:lang w:val="lv-LV"/>
              </w:rPr>
              <w:t>l</w:t>
            </w:r>
            <w:r w:rsidR="009245D7" w:rsidRPr="00030467">
              <w:rPr>
                <w:lang w:val="lv-LV"/>
              </w:rPr>
              <w:t>āku izplatīšanu;</w:t>
            </w:r>
          </w:p>
          <w:p w:rsidR="009245D7" w:rsidRPr="00030467" w:rsidRDefault="00D501B5" w:rsidP="009245D7">
            <w:pPr>
              <w:jc w:val="both"/>
              <w:rPr>
                <w:lang w:val="lv-LV"/>
              </w:rPr>
            </w:pPr>
            <w:r w:rsidRPr="00030467">
              <w:rPr>
                <w:lang w:val="lv-LV"/>
              </w:rPr>
              <w:t>3</w:t>
            </w:r>
            <w:r w:rsidR="009245D7" w:rsidRPr="00030467">
              <w:rPr>
                <w:lang w:val="lv-LV"/>
              </w:rPr>
              <w:t>) noteikt</w:t>
            </w:r>
            <w:r w:rsidRPr="00030467">
              <w:rPr>
                <w:lang w:val="lv-LV"/>
              </w:rPr>
              <w:t>i atviegloti</w:t>
            </w:r>
            <w:r w:rsidR="009245D7" w:rsidRPr="00030467">
              <w:rPr>
                <w:lang w:val="lv-LV"/>
              </w:rPr>
              <w:t xml:space="preserve"> nosacījum</w:t>
            </w:r>
            <w:r w:rsidRPr="00030467">
              <w:rPr>
                <w:lang w:val="lv-LV"/>
              </w:rPr>
              <w:t>i</w:t>
            </w:r>
            <w:r w:rsidR="009245D7" w:rsidRPr="00030467">
              <w:rPr>
                <w:lang w:val="lv-LV"/>
              </w:rPr>
              <w:t xml:space="preserve"> cūkgaļas, cūkgaļas produktu, cūkgaļas izstrādājumu, kā arī </w:t>
            </w:r>
            <w:r w:rsidR="00901BC6">
              <w:rPr>
                <w:lang w:val="lv-LV"/>
              </w:rPr>
              <w:t xml:space="preserve">cūkgaļu saturošu produktu </w:t>
            </w:r>
            <w:r w:rsidR="009245D7" w:rsidRPr="00030467">
              <w:rPr>
                <w:lang w:val="lv-LV"/>
              </w:rPr>
              <w:t>izvešanai no III riska zonas.</w:t>
            </w:r>
          </w:p>
          <w:p w:rsidR="00E57982" w:rsidRDefault="00030467" w:rsidP="00985D24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Ņemot vērā </w:t>
            </w:r>
            <w:r w:rsidRPr="00030467">
              <w:rPr>
                <w:lang w:val="lv-LV"/>
              </w:rPr>
              <w:t>Lēmumā 2014/709/ES</w:t>
            </w:r>
            <w:r>
              <w:rPr>
                <w:lang w:val="lv-LV"/>
              </w:rPr>
              <w:t xml:space="preserve"> noteiktās atvieglotās prasības cūku un produktu apritei, nav pamata turpmāk </w:t>
            </w:r>
            <w:r w:rsidR="00530A51">
              <w:rPr>
                <w:lang w:val="lv-LV"/>
              </w:rPr>
              <w:t xml:space="preserve">noteikumos Nr.621 </w:t>
            </w:r>
            <w:r w:rsidR="009F5FEE">
              <w:rPr>
                <w:lang w:val="lv-LV"/>
              </w:rPr>
              <w:t>noteikt</w:t>
            </w:r>
            <w:r>
              <w:rPr>
                <w:lang w:val="lv-LV"/>
              </w:rPr>
              <w:t>, ka dzīvnieku īpašnieki var saņemt kompensācij</w:t>
            </w:r>
            <w:r w:rsidR="00586F74">
              <w:rPr>
                <w:lang w:val="lv-LV"/>
              </w:rPr>
              <w:t>u</w:t>
            </w:r>
            <w:r>
              <w:rPr>
                <w:lang w:val="lv-LV"/>
              </w:rPr>
              <w:t xml:space="preserve"> par nokautajiem cūku sugas dzīvnieki</w:t>
            </w:r>
            <w:r w:rsidR="008024C6">
              <w:rPr>
                <w:lang w:val="lv-LV"/>
              </w:rPr>
              <w:t xml:space="preserve">em </w:t>
            </w:r>
            <w:r w:rsidR="008024C6" w:rsidRPr="00740775">
              <w:rPr>
                <w:lang w:val="lv-LV"/>
              </w:rPr>
              <w:t>tirdzniecības traucējumu dēļ.</w:t>
            </w:r>
            <w:r w:rsidR="00985D24">
              <w:rPr>
                <w:lang w:val="lv-LV"/>
              </w:rPr>
              <w:t xml:space="preserve"> Pieņemot attiecīgus grozījumus noteikumos Nr.621, tiks novēr</w:t>
            </w:r>
            <w:r w:rsidR="00240149">
              <w:rPr>
                <w:lang w:val="lv-LV"/>
              </w:rPr>
              <w:t>s</w:t>
            </w:r>
            <w:r w:rsidR="00985D24">
              <w:rPr>
                <w:lang w:val="lv-LV"/>
              </w:rPr>
              <w:t xml:space="preserve">ts </w:t>
            </w:r>
            <w:r w:rsidR="00240149" w:rsidRPr="00985D24">
              <w:rPr>
                <w:lang w:val="lv-LV"/>
              </w:rPr>
              <w:t>nepamatot</w:t>
            </w:r>
            <w:r w:rsidR="00240149">
              <w:rPr>
                <w:lang w:val="lv-LV"/>
              </w:rPr>
              <w:t>s</w:t>
            </w:r>
            <w:r w:rsidR="00240149" w:rsidRPr="00985D24">
              <w:rPr>
                <w:lang w:val="lv-LV"/>
              </w:rPr>
              <w:t xml:space="preserve"> </w:t>
            </w:r>
            <w:r w:rsidR="00985D24" w:rsidRPr="00985D24">
              <w:rPr>
                <w:lang w:val="lv-LV"/>
              </w:rPr>
              <w:t>valsts budžeta līdzekļu izlietojum</w:t>
            </w:r>
            <w:r w:rsidR="00985D24">
              <w:rPr>
                <w:lang w:val="lv-LV"/>
              </w:rPr>
              <w:t>s.</w:t>
            </w:r>
          </w:p>
          <w:p w:rsidR="0034653C" w:rsidRDefault="0034653C" w:rsidP="0034653C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>Attiecīgi sagatavots projekta 4.punkts.</w:t>
            </w:r>
          </w:p>
          <w:p w:rsidR="0034653C" w:rsidRPr="00740775" w:rsidRDefault="0034653C" w:rsidP="0034653C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>Noteikumu projekts pilnībā atrisinās minētās problēmas.</w:t>
            </w:r>
          </w:p>
        </w:tc>
      </w:tr>
      <w:tr w:rsidR="00E07C29" w:rsidRPr="00530A51" w:rsidTr="00773439">
        <w:tc>
          <w:tcPr>
            <w:tcW w:w="313" w:type="pct"/>
          </w:tcPr>
          <w:p w:rsidR="00E07C29" w:rsidRPr="00FD460E" w:rsidRDefault="00E07C29" w:rsidP="000306F8">
            <w:pPr>
              <w:pStyle w:val="naisf"/>
              <w:rPr>
                <w:lang w:val="lv-LV"/>
              </w:rPr>
            </w:pPr>
            <w:r w:rsidRPr="00FD460E">
              <w:rPr>
                <w:lang w:val="lv-LV"/>
              </w:rPr>
              <w:lastRenderedPageBreak/>
              <w:t>3.</w:t>
            </w:r>
          </w:p>
        </w:tc>
        <w:tc>
          <w:tcPr>
            <w:tcW w:w="1562" w:type="pct"/>
            <w:gridSpan w:val="2"/>
          </w:tcPr>
          <w:p w:rsidR="00E07C29" w:rsidRPr="00FD460E" w:rsidRDefault="00E07C29" w:rsidP="000306F8">
            <w:pPr>
              <w:pStyle w:val="naisf"/>
              <w:rPr>
                <w:lang w:val="lv-LV"/>
              </w:rPr>
            </w:pPr>
            <w:r w:rsidRPr="00FD460E">
              <w:rPr>
                <w:lang w:val="lv-LV"/>
              </w:rPr>
              <w:t>Projekta izstrādē iesaistītās institūcijas</w:t>
            </w:r>
          </w:p>
        </w:tc>
        <w:tc>
          <w:tcPr>
            <w:tcW w:w="3125" w:type="pct"/>
          </w:tcPr>
          <w:p w:rsidR="00E07C29" w:rsidRPr="00FD460E" w:rsidRDefault="00E07C29" w:rsidP="000306F8">
            <w:pPr>
              <w:pStyle w:val="naisf"/>
              <w:rPr>
                <w:lang w:val="lv-LV"/>
              </w:rPr>
            </w:pPr>
            <w:r w:rsidRPr="00FD460E">
              <w:rPr>
                <w:lang w:val="lv-LV"/>
              </w:rPr>
              <w:t>Pārtikas un veterinārais dienests.</w:t>
            </w:r>
          </w:p>
        </w:tc>
      </w:tr>
      <w:tr w:rsidR="00E07C29" w:rsidRPr="00D400C0" w:rsidTr="00773439">
        <w:tc>
          <w:tcPr>
            <w:tcW w:w="313" w:type="pct"/>
          </w:tcPr>
          <w:p w:rsidR="00E07C29" w:rsidRPr="00FD460E" w:rsidRDefault="00E07C29" w:rsidP="000306F8">
            <w:pPr>
              <w:pStyle w:val="naisf"/>
              <w:rPr>
                <w:lang w:val="lv-LV"/>
              </w:rPr>
            </w:pPr>
            <w:r w:rsidRPr="00FD460E">
              <w:rPr>
                <w:lang w:val="lv-LV"/>
              </w:rPr>
              <w:t>4.</w:t>
            </w:r>
          </w:p>
        </w:tc>
        <w:tc>
          <w:tcPr>
            <w:tcW w:w="1562" w:type="pct"/>
            <w:gridSpan w:val="2"/>
          </w:tcPr>
          <w:p w:rsidR="00E07C29" w:rsidRPr="00FD460E" w:rsidRDefault="00E07C29" w:rsidP="000306F8">
            <w:pPr>
              <w:pStyle w:val="naisf"/>
              <w:rPr>
                <w:lang w:val="lv-LV"/>
              </w:rPr>
            </w:pPr>
            <w:r w:rsidRPr="00FD460E">
              <w:rPr>
                <w:lang w:val="lv-LV"/>
              </w:rPr>
              <w:t>Cita informācija</w:t>
            </w:r>
          </w:p>
        </w:tc>
        <w:tc>
          <w:tcPr>
            <w:tcW w:w="3125" w:type="pct"/>
          </w:tcPr>
          <w:p w:rsidR="00E07C29" w:rsidRPr="00FD460E" w:rsidRDefault="0037437E" w:rsidP="000306F8">
            <w:pPr>
              <w:pStyle w:val="naisf"/>
              <w:rPr>
                <w:lang w:val="lv-LV"/>
              </w:rPr>
            </w:pPr>
            <w:r w:rsidRPr="00740775">
              <w:rPr>
                <w:lang w:val="lv-LV"/>
              </w:rPr>
              <w:t>Lēmums 2014/709/ES tiek ieviests ar Ministru kabineta 2004.gada 17.februāra noteikumiem Nr.83 „</w:t>
            </w:r>
            <w:r w:rsidRPr="00740775">
              <w:rPr>
                <w:bCs/>
                <w:lang w:val="lv-LV"/>
              </w:rPr>
              <w:t>Āfrikas cūku mēra likvidēšanas un draudu novēršanas kārtība</w:t>
            </w:r>
            <w:r w:rsidRPr="00740775">
              <w:rPr>
                <w:lang w:val="lv-LV"/>
              </w:rPr>
              <w:t>”</w:t>
            </w:r>
            <w:r>
              <w:rPr>
                <w:lang w:val="lv-LV"/>
              </w:rPr>
              <w:t>, kuru grozījumi tiks iesniegti Ministru kabinetā izskatīšanai vienlaikus ar grozījumiem noteikumos Nr.621.</w:t>
            </w:r>
          </w:p>
        </w:tc>
      </w:tr>
      <w:tr w:rsidR="00E07C29" w:rsidRPr="00D400C0" w:rsidTr="00E82F5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29" w:rsidRPr="00FD460E" w:rsidRDefault="00E07C29" w:rsidP="000E2ED9">
            <w:pPr>
              <w:pStyle w:val="naisf"/>
              <w:jc w:val="center"/>
              <w:rPr>
                <w:b/>
                <w:lang w:val="lv-LV"/>
              </w:rPr>
            </w:pPr>
            <w:r w:rsidRPr="00E35FBA">
              <w:rPr>
                <w:b/>
                <w:sz w:val="28"/>
                <w:lang w:val="lv-LV"/>
              </w:rPr>
              <w:t>II. Tiesību akta projekta ietekme uz sabiedrību,</w:t>
            </w:r>
            <w:r w:rsidRPr="00E35FBA">
              <w:rPr>
                <w:b/>
                <w:bCs/>
                <w:sz w:val="28"/>
                <w:lang w:val="lv-LV"/>
              </w:rPr>
              <w:t xml:space="preserve"> tautsaimniecības attīstību un administratīvo slogu</w:t>
            </w:r>
          </w:p>
        </w:tc>
      </w:tr>
      <w:tr w:rsidR="005538A7" w:rsidRPr="00D400C0" w:rsidTr="007364C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538A7" w:rsidRPr="00FD460E" w:rsidRDefault="005538A7" w:rsidP="000306F8">
            <w:pPr>
              <w:pStyle w:val="naisf"/>
              <w:rPr>
                <w:lang w:val="lv-LV"/>
              </w:rPr>
            </w:pPr>
            <w:r w:rsidRPr="00FD460E">
              <w:rPr>
                <w:lang w:val="lv-LV"/>
              </w:rPr>
              <w:t>1.</w:t>
            </w:r>
          </w:p>
        </w:tc>
        <w:tc>
          <w:tcPr>
            <w:tcW w:w="14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538A7" w:rsidRPr="00FD460E" w:rsidRDefault="005538A7" w:rsidP="000306F8">
            <w:pPr>
              <w:pStyle w:val="naisf"/>
              <w:rPr>
                <w:lang w:val="lv-LV"/>
              </w:rPr>
            </w:pPr>
            <w:r w:rsidRPr="00FD460E">
              <w:rPr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3202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538A7" w:rsidRPr="005538A7" w:rsidRDefault="005538A7" w:rsidP="00E3045F">
            <w:pPr>
              <w:jc w:val="both"/>
              <w:rPr>
                <w:lang w:val="lv-LV"/>
              </w:rPr>
            </w:pPr>
            <w:r w:rsidRPr="005538A7">
              <w:rPr>
                <w:lang w:val="lv-LV"/>
              </w:rPr>
              <w:t>Noteikumu projekta tiesiskais regulējums attiecas uz dzīvnieku īpašniekiem vai turētājiem, kas audzē vai tur cūku sugas dzīvniekus</w:t>
            </w:r>
            <w:r w:rsidR="00E77452">
              <w:rPr>
                <w:lang w:val="lv-LV"/>
              </w:rPr>
              <w:t xml:space="preserve">, </w:t>
            </w:r>
            <w:r>
              <w:rPr>
                <w:lang w:val="lv-LV"/>
              </w:rPr>
              <w:t>kuru novietnes atrodas ārkārtējās situācijas zonā</w:t>
            </w:r>
            <w:r w:rsidR="002F3D7C">
              <w:rPr>
                <w:lang w:val="lv-LV"/>
              </w:rPr>
              <w:t xml:space="preserve">, </w:t>
            </w:r>
            <w:r w:rsidR="002E209B">
              <w:rPr>
                <w:lang w:val="lv-LV"/>
              </w:rPr>
              <w:t xml:space="preserve">mājputnu ganāmpulku īpašniekiem un </w:t>
            </w:r>
            <w:r w:rsidR="002E209B" w:rsidRPr="002E209B">
              <w:rPr>
                <w:lang w:val="lv-LV"/>
              </w:rPr>
              <w:t>vēršu apakšdzimtas, cūku, aitu un kazu savākšanas centr</w:t>
            </w:r>
            <w:r w:rsidR="00E546C6">
              <w:rPr>
                <w:lang w:val="lv-LV"/>
              </w:rPr>
              <w:t>u</w:t>
            </w:r>
            <w:r w:rsidR="002E209B" w:rsidRPr="002E209B">
              <w:rPr>
                <w:lang w:val="lv-LV"/>
              </w:rPr>
              <w:t>, dzīvnieku tirgošanas telp</w:t>
            </w:r>
            <w:r w:rsidR="00E546C6">
              <w:rPr>
                <w:lang w:val="lv-LV"/>
              </w:rPr>
              <w:t>u</w:t>
            </w:r>
            <w:r w:rsidR="002E209B" w:rsidRPr="002E209B">
              <w:rPr>
                <w:lang w:val="lv-LV"/>
              </w:rPr>
              <w:t xml:space="preserve"> un dzīvnieku turēšanas viet</w:t>
            </w:r>
            <w:r w:rsidR="00E546C6">
              <w:rPr>
                <w:lang w:val="lv-LV"/>
              </w:rPr>
              <w:t>u īp</w:t>
            </w:r>
            <w:r w:rsidR="00E3045F">
              <w:rPr>
                <w:lang w:val="lv-LV"/>
              </w:rPr>
              <w:t>aš</w:t>
            </w:r>
            <w:r w:rsidR="00E546C6">
              <w:rPr>
                <w:lang w:val="lv-LV"/>
              </w:rPr>
              <w:t>niekiem</w:t>
            </w:r>
            <w:r w:rsidR="008B417C">
              <w:rPr>
                <w:lang w:val="lv-LV"/>
              </w:rPr>
              <w:t>.</w:t>
            </w:r>
          </w:p>
        </w:tc>
      </w:tr>
      <w:tr w:rsidR="005538A7" w:rsidRPr="000A3674" w:rsidTr="007364C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538A7" w:rsidRPr="00FD460E" w:rsidRDefault="005538A7" w:rsidP="000306F8">
            <w:pPr>
              <w:pStyle w:val="naisf"/>
              <w:rPr>
                <w:lang w:val="lv-LV"/>
              </w:rPr>
            </w:pPr>
            <w:r w:rsidRPr="00FD460E">
              <w:rPr>
                <w:lang w:val="lv-LV"/>
              </w:rPr>
              <w:t>2.</w:t>
            </w:r>
          </w:p>
        </w:tc>
        <w:tc>
          <w:tcPr>
            <w:tcW w:w="14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538A7" w:rsidRPr="00FD460E" w:rsidRDefault="005538A7" w:rsidP="000306F8">
            <w:pPr>
              <w:pStyle w:val="naisf"/>
              <w:rPr>
                <w:lang w:val="lv-LV"/>
              </w:rPr>
            </w:pPr>
            <w:r w:rsidRPr="00FD460E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202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538A7" w:rsidRDefault="005538A7" w:rsidP="0037112A">
            <w:pPr>
              <w:widowControl w:val="0"/>
              <w:jc w:val="both"/>
              <w:rPr>
                <w:lang w:val="lv-LV"/>
              </w:rPr>
            </w:pPr>
            <w:r w:rsidRPr="005538A7">
              <w:rPr>
                <w:lang w:val="lv-LV"/>
              </w:rPr>
              <w:t>Noteikumu projektā noteikt</w:t>
            </w:r>
            <w:r w:rsidR="0037112A">
              <w:rPr>
                <w:lang w:val="lv-LV"/>
              </w:rPr>
              <w:t>ais samazina administratīvo slogu to dzīvnieku īpašniekiem, kam līdz šim biodrošības pasākumu plāns bija jāsaskaņo ar dienestu</w:t>
            </w:r>
            <w:r w:rsidR="00183C31">
              <w:rPr>
                <w:lang w:val="lv-LV"/>
              </w:rPr>
              <w:t>.</w:t>
            </w:r>
          </w:p>
          <w:p w:rsidR="00183C31" w:rsidRPr="005538A7" w:rsidRDefault="00183C31" w:rsidP="00D27A57">
            <w:pPr>
              <w:widowControl w:val="0"/>
              <w:tabs>
                <w:tab w:val="left" w:pos="3667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Tiks nov</w:t>
            </w:r>
            <w:r w:rsidR="00C146FB">
              <w:rPr>
                <w:lang w:val="lv-LV"/>
              </w:rPr>
              <w:t>ērsts</w:t>
            </w:r>
            <w:r>
              <w:rPr>
                <w:lang w:val="lv-LV"/>
              </w:rPr>
              <w:t xml:space="preserve"> </w:t>
            </w:r>
            <w:r w:rsidR="00D27A57">
              <w:rPr>
                <w:lang w:val="lv-LV"/>
              </w:rPr>
              <w:t xml:space="preserve">nepamatots </w:t>
            </w:r>
            <w:r>
              <w:rPr>
                <w:lang w:val="lv-LV"/>
              </w:rPr>
              <w:t xml:space="preserve">valsts budžeta līdzekļu </w:t>
            </w:r>
            <w:r w:rsidR="00C146FB">
              <w:rPr>
                <w:lang w:val="lv-LV"/>
              </w:rPr>
              <w:t>izlietojums.</w:t>
            </w:r>
          </w:p>
        </w:tc>
      </w:tr>
      <w:tr w:rsidR="005538A7" w:rsidRPr="00FD460E" w:rsidTr="007364C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538A7" w:rsidRPr="00FD460E" w:rsidRDefault="005538A7" w:rsidP="000306F8">
            <w:pPr>
              <w:pStyle w:val="naisf"/>
              <w:rPr>
                <w:lang w:val="lv-LV"/>
              </w:rPr>
            </w:pPr>
            <w:r w:rsidRPr="00FD460E">
              <w:rPr>
                <w:lang w:val="lv-LV"/>
              </w:rPr>
              <w:t>3.</w:t>
            </w:r>
          </w:p>
        </w:tc>
        <w:tc>
          <w:tcPr>
            <w:tcW w:w="14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538A7" w:rsidRPr="00FD460E" w:rsidRDefault="005538A7" w:rsidP="000306F8">
            <w:pPr>
              <w:pStyle w:val="naisf"/>
              <w:rPr>
                <w:lang w:val="lv-LV"/>
              </w:rPr>
            </w:pPr>
            <w:r w:rsidRPr="00FD460E">
              <w:rPr>
                <w:lang w:val="lv-LV"/>
              </w:rPr>
              <w:t>Administratīvo izmaksu monetārs novērtējums</w:t>
            </w:r>
          </w:p>
        </w:tc>
        <w:tc>
          <w:tcPr>
            <w:tcW w:w="3202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538A7" w:rsidRPr="00FD460E" w:rsidRDefault="005538A7" w:rsidP="000306F8">
            <w:pPr>
              <w:pStyle w:val="naisf"/>
              <w:rPr>
                <w:lang w:val="lv-LV"/>
              </w:rPr>
            </w:pPr>
            <w:r w:rsidRPr="00FD460E">
              <w:rPr>
                <w:lang w:val="lv-LV"/>
              </w:rPr>
              <w:t>Projekts šo jomu neskar.</w:t>
            </w:r>
          </w:p>
        </w:tc>
      </w:tr>
      <w:tr w:rsidR="005538A7" w:rsidRPr="00FD460E" w:rsidTr="007364C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538A7" w:rsidRPr="00FD460E" w:rsidRDefault="005538A7" w:rsidP="000306F8">
            <w:pPr>
              <w:pStyle w:val="naisf"/>
              <w:rPr>
                <w:lang w:val="lv-LV"/>
              </w:rPr>
            </w:pPr>
            <w:r w:rsidRPr="00FD460E">
              <w:rPr>
                <w:lang w:val="lv-LV"/>
              </w:rPr>
              <w:t>4.</w:t>
            </w:r>
          </w:p>
        </w:tc>
        <w:tc>
          <w:tcPr>
            <w:tcW w:w="14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538A7" w:rsidRPr="00FD460E" w:rsidRDefault="005538A7" w:rsidP="000306F8">
            <w:pPr>
              <w:pStyle w:val="naisf"/>
              <w:rPr>
                <w:lang w:val="lv-LV"/>
              </w:rPr>
            </w:pPr>
            <w:r w:rsidRPr="00FD460E">
              <w:rPr>
                <w:lang w:val="lv-LV"/>
              </w:rPr>
              <w:t>Cita informācija</w:t>
            </w:r>
          </w:p>
        </w:tc>
        <w:tc>
          <w:tcPr>
            <w:tcW w:w="3202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538A7" w:rsidRPr="00FD460E" w:rsidRDefault="005538A7" w:rsidP="000306F8">
            <w:pPr>
              <w:pStyle w:val="naisf"/>
              <w:rPr>
                <w:lang w:val="lv-LV"/>
              </w:rPr>
            </w:pPr>
            <w:r w:rsidRPr="00FD460E">
              <w:rPr>
                <w:lang w:val="lv-LV"/>
              </w:rPr>
              <w:t>Nav.</w:t>
            </w:r>
          </w:p>
        </w:tc>
      </w:tr>
    </w:tbl>
    <w:p w:rsidR="00E07C29" w:rsidRPr="00FD460E" w:rsidRDefault="00E07C29" w:rsidP="00E07C29">
      <w:pPr>
        <w:pStyle w:val="naisf"/>
        <w:spacing w:before="0" w:beforeAutospacing="0" w:after="0" w:afterAutospacing="0"/>
        <w:rPr>
          <w:i/>
          <w:lang w:val="lv-LV"/>
        </w:rPr>
      </w:pPr>
    </w:p>
    <w:p w:rsidR="00E07C29" w:rsidRDefault="00E07C29" w:rsidP="00E07C29">
      <w:pPr>
        <w:pStyle w:val="naisf"/>
        <w:spacing w:before="0" w:beforeAutospacing="0" w:after="0" w:afterAutospacing="0"/>
        <w:rPr>
          <w:i/>
          <w:lang w:val="lv-LV"/>
        </w:rPr>
      </w:pPr>
      <w:r w:rsidRPr="00FD460E">
        <w:rPr>
          <w:i/>
          <w:lang w:val="lv-LV"/>
        </w:rPr>
        <w:t xml:space="preserve">Anotācijas </w:t>
      </w:r>
      <w:r>
        <w:rPr>
          <w:i/>
          <w:lang w:val="lv-LV"/>
        </w:rPr>
        <w:t xml:space="preserve">III, </w:t>
      </w:r>
      <w:r w:rsidRPr="00FD460E">
        <w:rPr>
          <w:i/>
          <w:lang w:val="lv-LV"/>
        </w:rPr>
        <w:t>IV, V un VI sadaļa – projekts šīs jomas neskar.</w:t>
      </w:r>
    </w:p>
    <w:p w:rsidR="00773439" w:rsidRDefault="00773439" w:rsidP="00E07C29">
      <w:pPr>
        <w:pStyle w:val="naisf"/>
        <w:spacing w:before="0" w:beforeAutospacing="0" w:after="0" w:afterAutospacing="0"/>
        <w:rPr>
          <w:i/>
          <w:lang w:val="lv-LV"/>
        </w:rPr>
      </w:pPr>
    </w:p>
    <w:tbl>
      <w:tblPr>
        <w:tblW w:w="4968" w:type="pct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2838"/>
        <w:gridCol w:w="5671"/>
      </w:tblGrid>
      <w:tr w:rsidR="00E07C29" w:rsidRPr="00D400C0" w:rsidTr="00E82F53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C29" w:rsidRPr="00FD460E" w:rsidRDefault="00E07C29" w:rsidP="00880A3B">
            <w:pPr>
              <w:pStyle w:val="naisf"/>
              <w:jc w:val="center"/>
              <w:rPr>
                <w:b/>
                <w:bCs/>
                <w:lang w:val="lv-LV"/>
              </w:rPr>
            </w:pPr>
            <w:r w:rsidRPr="00E35FBA">
              <w:rPr>
                <w:b/>
                <w:bCs/>
                <w:sz w:val="28"/>
                <w:lang w:val="lv-LV"/>
              </w:rPr>
              <w:t>VII. Tiesību akta projekta izpildes nodrošināšana un tās ietekme uz institūcijām</w:t>
            </w:r>
          </w:p>
        </w:tc>
      </w:tr>
      <w:tr w:rsidR="00E07C29" w:rsidRPr="00FD460E" w:rsidTr="00DF0E13"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C29" w:rsidRPr="00FD460E" w:rsidRDefault="00E07C29" w:rsidP="000306F8">
            <w:pPr>
              <w:pStyle w:val="naisf"/>
              <w:rPr>
                <w:lang w:val="lv-LV"/>
              </w:rPr>
            </w:pPr>
            <w:r w:rsidRPr="00FD460E">
              <w:rPr>
                <w:lang w:val="lv-LV"/>
              </w:rPr>
              <w:t>1.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C29" w:rsidRPr="00FD460E" w:rsidRDefault="00E07C29" w:rsidP="000306F8">
            <w:pPr>
              <w:pStyle w:val="naisf"/>
              <w:rPr>
                <w:lang w:val="lv-LV"/>
              </w:rPr>
            </w:pPr>
            <w:r w:rsidRPr="00FD460E">
              <w:rPr>
                <w:lang w:val="lv-LV"/>
              </w:rPr>
              <w:t>Projekta izpildē iesaistītās institūcijas</w:t>
            </w:r>
          </w:p>
        </w:tc>
        <w:tc>
          <w:tcPr>
            <w:tcW w:w="3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C29" w:rsidRPr="00FD460E" w:rsidRDefault="00E07C29" w:rsidP="005538A7">
            <w:pPr>
              <w:pStyle w:val="naisf"/>
              <w:rPr>
                <w:lang w:val="lv-LV"/>
              </w:rPr>
            </w:pPr>
            <w:r w:rsidRPr="00FD460E">
              <w:rPr>
                <w:lang w:val="lv-LV"/>
              </w:rPr>
              <w:t>Pārtikas un veterinārais dienests</w:t>
            </w:r>
          </w:p>
        </w:tc>
      </w:tr>
      <w:tr w:rsidR="00E07C29" w:rsidRPr="00FD460E" w:rsidTr="00DF0E13"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C29" w:rsidRPr="00FD460E" w:rsidRDefault="00E07C29" w:rsidP="000306F8">
            <w:pPr>
              <w:pStyle w:val="naisf"/>
              <w:rPr>
                <w:lang w:val="lv-LV"/>
              </w:rPr>
            </w:pPr>
            <w:r w:rsidRPr="00FD460E">
              <w:rPr>
                <w:lang w:val="lv-LV"/>
              </w:rPr>
              <w:t>2.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C29" w:rsidRPr="00FD460E" w:rsidRDefault="00E07C29" w:rsidP="00027A11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FD460E">
              <w:rPr>
                <w:lang w:val="lv-LV"/>
              </w:rPr>
              <w:t xml:space="preserve">Projekta izpildes ietekme uz pārvaldes funkcijām un institucionālo struktūru. </w:t>
            </w:r>
          </w:p>
          <w:p w:rsidR="00E07C29" w:rsidRPr="00FD460E" w:rsidRDefault="00E07C29" w:rsidP="00027A11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FD460E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C29" w:rsidRPr="00FD460E" w:rsidRDefault="00E07C29" w:rsidP="000306F8">
            <w:pPr>
              <w:pStyle w:val="naisf"/>
              <w:rPr>
                <w:lang w:val="lv-LV"/>
              </w:rPr>
            </w:pPr>
            <w:r w:rsidRPr="00FD460E">
              <w:rPr>
                <w:lang w:val="lv-LV"/>
              </w:rPr>
              <w:t>Projekts šo jomu neskar.</w:t>
            </w:r>
          </w:p>
        </w:tc>
      </w:tr>
      <w:tr w:rsidR="00E07C29" w:rsidRPr="00FD460E" w:rsidTr="00DF0E13"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C29" w:rsidRPr="00FD460E" w:rsidRDefault="00E07C29" w:rsidP="000306F8">
            <w:pPr>
              <w:pStyle w:val="naisf"/>
              <w:rPr>
                <w:lang w:val="lv-LV"/>
              </w:rPr>
            </w:pPr>
            <w:r w:rsidRPr="00FD460E">
              <w:rPr>
                <w:lang w:val="lv-LV"/>
              </w:rPr>
              <w:t>3.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C29" w:rsidRPr="00FD460E" w:rsidRDefault="00E07C29" w:rsidP="000306F8">
            <w:pPr>
              <w:pStyle w:val="naisf"/>
              <w:rPr>
                <w:lang w:val="lv-LV"/>
              </w:rPr>
            </w:pPr>
            <w:r w:rsidRPr="00FD460E">
              <w:rPr>
                <w:lang w:val="lv-LV"/>
              </w:rPr>
              <w:t>Cita informācija</w:t>
            </w:r>
          </w:p>
        </w:tc>
        <w:tc>
          <w:tcPr>
            <w:tcW w:w="3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C29" w:rsidRPr="00FD460E" w:rsidRDefault="00E07C29" w:rsidP="000306F8">
            <w:pPr>
              <w:pStyle w:val="naisf"/>
              <w:rPr>
                <w:lang w:val="lv-LV"/>
              </w:rPr>
            </w:pPr>
            <w:r w:rsidRPr="00FD460E">
              <w:rPr>
                <w:lang w:val="lv-LV"/>
              </w:rPr>
              <w:t>Nav.</w:t>
            </w:r>
          </w:p>
        </w:tc>
      </w:tr>
    </w:tbl>
    <w:p w:rsidR="0037213C" w:rsidRDefault="0037213C" w:rsidP="00E07C29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7364CC" w:rsidRDefault="007364CC" w:rsidP="00E07C29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7364CC" w:rsidRDefault="007364CC" w:rsidP="00E07C29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E07C29" w:rsidRPr="00FD460E" w:rsidRDefault="00E07C29" w:rsidP="00E07C29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FD460E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Zemkopības ministrs</w:t>
      </w:r>
      <w:r w:rsidRPr="00FD460E">
        <w:rPr>
          <w:sz w:val="28"/>
          <w:szCs w:val="28"/>
          <w:lang w:val="lv-LV"/>
        </w:rPr>
        <w:tab/>
      </w:r>
      <w:r w:rsidRPr="00FD460E">
        <w:rPr>
          <w:sz w:val="28"/>
          <w:szCs w:val="28"/>
          <w:lang w:val="lv-LV"/>
        </w:rPr>
        <w:tab/>
      </w:r>
      <w:r w:rsidRPr="00FD460E">
        <w:rPr>
          <w:sz w:val="28"/>
          <w:szCs w:val="28"/>
          <w:lang w:val="lv-LV"/>
        </w:rPr>
        <w:tab/>
      </w:r>
      <w:r w:rsidRPr="00FD460E">
        <w:rPr>
          <w:sz w:val="28"/>
          <w:szCs w:val="28"/>
          <w:lang w:val="lv-LV"/>
        </w:rPr>
        <w:tab/>
      </w:r>
      <w:r w:rsidRPr="00FD460E">
        <w:rPr>
          <w:sz w:val="28"/>
          <w:szCs w:val="28"/>
          <w:lang w:val="lv-LV"/>
        </w:rPr>
        <w:tab/>
      </w:r>
      <w:r w:rsidRPr="00FD460E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J.Dūklavs</w:t>
      </w:r>
    </w:p>
    <w:p w:rsidR="00E07C29" w:rsidRDefault="00E07C29" w:rsidP="00E07C29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027A11" w:rsidRDefault="00027A11" w:rsidP="00E07C29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7364CC" w:rsidRDefault="007364CC" w:rsidP="00E07C29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7364CC" w:rsidRDefault="007364CC" w:rsidP="00E07C29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7364CC" w:rsidRDefault="007364CC" w:rsidP="00E07C29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7364CC" w:rsidRDefault="007364CC" w:rsidP="00E07C29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7364CC" w:rsidRDefault="007364CC" w:rsidP="00E07C29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7364CC" w:rsidRDefault="007364CC" w:rsidP="00E07C29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7364CC" w:rsidRDefault="007364CC" w:rsidP="00E07C29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7364CC" w:rsidRDefault="007364CC" w:rsidP="00E07C29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7364CC" w:rsidRDefault="007364CC" w:rsidP="00E07C29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7364CC" w:rsidRDefault="007364CC" w:rsidP="00E07C29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7364CC" w:rsidRDefault="007364CC" w:rsidP="00E07C29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7364CC" w:rsidRDefault="007364CC" w:rsidP="00E07C29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7364CC" w:rsidRDefault="007364CC" w:rsidP="00E07C29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7364CC" w:rsidRDefault="007364CC" w:rsidP="00E07C29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7364CC" w:rsidRDefault="007364CC" w:rsidP="00E07C29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7364CC" w:rsidRDefault="007364CC" w:rsidP="00E07C29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773439" w:rsidRDefault="00773439" w:rsidP="00E07C29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773439" w:rsidRDefault="00773439" w:rsidP="00E07C29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7364CC" w:rsidRDefault="007364CC" w:rsidP="00E07C29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7364CC" w:rsidRDefault="007364CC" w:rsidP="00E07C29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7364CC" w:rsidRDefault="007364CC" w:rsidP="00E07C29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7364CC" w:rsidRDefault="007364CC" w:rsidP="00E07C29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27053A" w:rsidRDefault="0027053A" w:rsidP="00E07C29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27053A" w:rsidRDefault="0027053A" w:rsidP="00E07C29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27053A" w:rsidRDefault="0027053A" w:rsidP="00E07C29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7364CC" w:rsidRDefault="007364CC" w:rsidP="00E07C29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7364CC" w:rsidRDefault="007364CC" w:rsidP="00E07C29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:rsidR="009A6B64" w:rsidRDefault="009A6B64" w:rsidP="00E07C29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24.10.2014. 13:31</w:t>
      </w:r>
    </w:p>
    <w:p w:rsidR="00D400C0" w:rsidRDefault="00D400C0" w:rsidP="00E07C29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693</w:t>
      </w:r>
      <w:r>
        <w:rPr>
          <w:sz w:val="20"/>
          <w:szCs w:val="20"/>
          <w:lang w:val="lv-LV"/>
        </w:rPr>
        <w:fldChar w:fldCharType="end"/>
      </w:r>
    </w:p>
    <w:p w:rsidR="00E07C29" w:rsidRDefault="00E07C29" w:rsidP="00E07C29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bookmarkStart w:id="2" w:name="_GoBack"/>
      <w:bookmarkEnd w:id="2"/>
      <w:r>
        <w:rPr>
          <w:sz w:val="20"/>
          <w:szCs w:val="20"/>
          <w:lang w:val="lv-LV"/>
        </w:rPr>
        <w:t>L. Gurecka</w:t>
      </w:r>
    </w:p>
    <w:p w:rsidR="009E77E6" w:rsidRDefault="00E07C29">
      <w:pPr>
        <w:pStyle w:val="naisf"/>
        <w:spacing w:before="0" w:beforeAutospacing="0" w:after="0" w:afterAutospacing="0"/>
      </w:pPr>
      <w:r>
        <w:rPr>
          <w:sz w:val="20"/>
          <w:szCs w:val="20"/>
          <w:lang w:val="lv-LV"/>
        </w:rPr>
        <w:t xml:space="preserve">67027063, </w:t>
      </w:r>
      <w:r w:rsidR="0037213C" w:rsidRPr="009A6B64">
        <w:rPr>
          <w:sz w:val="20"/>
          <w:szCs w:val="20"/>
          <w:lang w:val="lv-LV"/>
        </w:rPr>
        <w:t>Linda.Gurecka@zm.gov.lv</w:t>
      </w:r>
      <w:bookmarkEnd w:id="0"/>
      <w:bookmarkEnd w:id="1"/>
    </w:p>
    <w:sectPr w:rsidR="009E77E6" w:rsidSect="00115207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258" w:rsidRDefault="00971258" w:rsidP="00A317A9">
      <w:r>
        <w:separator/>
      </w:r>
    </w:p>
  </w:endnote>
  <w:endnote w:type="continuationSeparator" w:id="0">
    <w:p w:rsidR="00971258" w:rsidRDefault="00971258" w:rsidP="00A3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5A8" w:rsidRPr="00A317A9" w:rsidRDefault="00B01C7E" w:rsidP="00A317A9">
    <w:pPr>
      <w:pStyle w:val="Bezatstarpm"/>
      <w:jc w:val="both"/>
      <w:rPr>
        <w:rFonts w:ascii="Times New Roman" w:hAnsi="Times New Roman"/>
        <w:sz w:val="20"/>
        <w:szCs w:val="20"/>
        <w:lang w:eastAsia="lv-LV"/>
      </w:rPr>
    </w:pPr>
    <w:r>
      <w:rPr>
        <w:rFonts w:ascii="Times New Roman" w:hAnsi="Times New Roman"/>
        <w:sz w:val="20"/>
        <w:szCs w:val="20"/>
      </w:rPr>
      <w:t>ZManot_2310</w:t>
    </w:r>
    <w:r w:rsidR="0090415D">
      <w:rPr>
        <w:rFonts w:ascii="Times New Roman" w:hAnsi="Times New Roman"/>
        <w:sz w:val="20"/>
        <w:szCs w:val="20"/>
      </w:rPr>
      <w:t>14_ACMbiodrosiba</w:t>
    </w:r>
    <w:r w:rsidR="00A317A9" w:rsidRPr="00A317A9">
      <w:rPr>
        <w:rFonts w:ascii="Times New Roman" w:hAnsi="Times New Roman"/>
        <w:sz w:val="20"/>
        <w:szCs w:val="20"/>
      </w:rPr>
      <w:t xml:space="preserve">; Ministru kabineta </w:t>
    </w:r>
    <w:r w:rsidR="00A317A9">
      <w:rPr>
        <w:rFonts w:ascii="Times New Roman" w:hAnsi="Times New Roman"/>
        <w:sz w:val="20"/>
        <w:szCs w:val="20"/>
      </w:rPr>
      <w:t>noteikumu</w:t>
    </w:r>
    <w:r w:rsidR="00A317A9" w:rsidRPr="00A317A9">
      <w:rPr>
        <w:rFonts w:ascii="Times New Roman" w:hAnsi="Times New Roman"/>
        <w:sz w:val="20"/>
        <w:szCs w:val="20"/>
      </w:rPr>
      <w:t xml:space="preserve"> projekta </w:t>
    </w:r>
    <w:r w:rsidR="00A317A9" w:rsidRPr="00A317A9">
      <w:rPr>
        <w:rFonts w:ascii="Times New Roman" w:hAnsi="Times New Roman"/>
        <w:sz w:val="20"/>
        <w:szCs w:val="20"/>
        <w:lang w:eastAsia="lv-LV"/>
      </w:rPr>
      <w:t>„Grozījumi Ministru kabineta 2013.gada 20.augusta noteikumos Nr.621 „Noteikumi par biodrošības pasākumu kopumu dzīvnieku turēšanas vietām””</w:t>
    </w:r>
    <w:r w:rsidR="00A317A9">
      <w:rPr>
        <w:rFonts w:ascii="Times New Roman" w:hAnsi="Times New Roman"/>
        <w:sz w:val="20"/>
        <w:szCs w:val="20"/>
        <w:lang w:eastAsia="lv-LV"/>
      </w:rPr>
      <w:t xml:space="preserve"> </w:t>
    </w:r>
    <w:r w:rsidR="00A317A9" w:rsidRPr="00A317A9">
      <w:rPr>
        <w:rFonts w:ascii="Times New Roman" w:hAnsi="Times New Roman"/>
        <w:sz w:val="20"/>
        <w:szCs w:val="20"/>
        <w:lang w:eastAsia="lv-LV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7A9" w:rsidRPr="00A317A9" w:rsidRDefault="00865B2B" w:rsidP="00A317A9">
    <w:pPr>
      <w:pStyle w:val="Bezatstarpm"/>
      <w:jc w:val="both"/>
      <w:rPr>
        <w:rFonts w:ascii="Times New Roman" w:hAnsi="Times New Roman"/>
        <w:sz w:val="20"/>
        <w:szCs w:val="20"/>
        <w:lang w:eastAsia="lv-LV"/>
      </w:rPr>
    </w:pPr>
    <w:r>
      <w:rPr>
        <w:rFonts w:ascii="Times New Roman" w:hAnsi="Times New Roman"/>
        <w:sz w:val="20"/>
        <w:szCs w:val="20"/>
      </w:rPr>
      <w:t>ZManot_</w:t>
    </w:r>
    <w:r w:rsidR="00B01C7E">
      <w:rPr>
        <w:rFonts w:ascii="Times New Roman" w:hAnsi="Times New Roman"/>
        <w:sz w:val="20"/>
        <w:szCs w:val="20"/>
      </w:rPr>
      <w:t>2310</w:t>
    </w:r>
    <w:r w:rsidR="0090415D">
      <w:rPr>
        <w:rFonts w:ascii="Times New Roman" w:hAnsi="Times New Roman"/>
        <w:sz w:val="20"/>
        <w:szCs w:val="20"/>
      </w:rPr>
      <w:t>14_ACMbiodrosiba</w:t>
    </w:r>
    <w:r w:rsidR="00B86C1E" w:rsidRPr="00A317A9">
      <w:rPr>
        <w:rFonts w:ascii="Times New Roman" w:hAnsi="Times New Roman"/>
        <w:sz w:val="20"/>
        <w:szCs w:val="20"/>
      </w:rPr>
      <w:t xml:space="preserve">; Ministru kabineta </w:t>
    </w:r>
    <w:r w:rsidR="00A317A9">
      <w:rPr>
        <w:rFonts w:ascii="Times New Roman" w:hAnsi="Times New Roman"/>
        <w:sz w:val="20"/>
        <w:szCs w:val="20"/>
      </w:rPr>
      <w:t>noteikumu</w:t>
    </w:r>
    <w:r w:rsidR="00B86C1E" w:rsidRPr="00A317A9">
      <w:rPr>
        <w:rFonts w:ascii="Times New Roman" w:hAnsi="Times New Roman"/>
        <w:sz w:val="20"/>
        <w:szCs w:val="20"/>
      </w:rPr>
      <w:t xml:space="preserve"> projekta </w:t>
    </w:r>
    <w:r w:rsidR="00A317A9" w:rsidRPr="00A317A9">
      <w:rPr>
        <w:rFonts w:ascii="Times New Roman" w:hAnsi="Times New Roman"/>
        <w:sz w:val="20"/>
        <w:szCs w:val="20"/>
        <w:lang w:eastAsia="lv-LV"/>
      </w:rPr>
      <w:t>„Grozījumi Ministru kabineta 2013.gada 20.augusta noteikumos Nr.621 „Noteikumi par biodrošības pasākumu kopumu dzīvnieku turēšanas vietām””</w:t>
    </w:r>
    <w:r w:rsidR="00A317A9">
      <w:rPr>
        <w:rFonts w:ascii="Times New Roman" w:hAnsi="Times New Roman"/>
        <w:sz w:val="20"/>
        <w:szCs w:val="20"/>
        <w:lang w:eastAsia="lv-LV"/>
      </w:rPr>
      <w:t xml:space="preserve"> </w:t>
    </w:r>
    <w:r w:rsidR="00A317A9" w:rsidRPr="00A317A9">
      <w:rPr>
        <w:rFonts w:ascii="Times New Roman" w:hAnsi="Times New Roman"/>
        <w:sz w:val="20"/>
        <w:szCs w:val="20"/>
        <w:lang w:eastAsia="lv-LV"/>
      </w:rPr>
      <w:t>sākotnējās ietekmes novērtējuma ziņojums (anotācija)</w:t>
    </w:r>
  </w:p>
  <w:p w:rsidR="005E0185" w:rsidRPr="008135C1" w:rsidRDefault="00D400C0" w:rsidP="00A317A9">
    <w:pPr>
      <w:pStyle w:val="Bezatstarpm"/>
      <w:jc w:val="both"/>
      <w:rPr>
        <w:bCs/>
        <w:sz w:val="20"/>
        <w:szCs w:val="20"/>
        <w:lang w:eastAsia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258" w:rsidRDefault="00971258" w:rsidP="00A317A9">
      <w:r>
        <w:separator/>
      </w:r>
    </w:p>
  </w:footnote>
  <w:footnote w:type="continuationSeparator" w:id="0">
    <w:p w:rsidR="00971258" w:rsidRDefault="00971258" w:rsidP="00A31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Default="00B86C1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27E52" w:rsidRDefault="00D400C0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Default="00B86C1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400C0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D27E52" w:rsidRDefault="00D400C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29"/>
    <w:rsid w:val="00004D6B"/>
    <w:rsid w:val="00027A11"/>
    <w:rsid w:val="000300DF"/>
    <w:rsid w:val="00030467"/>
    <w:rsid w:val="00030870"/>
    <w:rsid w:val="000764F1"/>
    <w:rsid w:val="000A3674"/>
    <w:rsid w:val="000A36C2"/>
    <w:rsid w:val="000E2ED9"/>
    <w:rsid w:val="000F686A"/>
    <w:rsid w:val="00132A93"/>
    <w:rsid w:val="00141B2C"/>
    <w:rsid w:val="00143BE6"/>
    <w:rsid w:val="00146A42"/>
    <w:rsid w:val="00150C38"/>
    <w:rsid w:val="001512BC"/>
    <w:rsid w:val="00152BEE"/>
    <w:rsid w:val="0016606F"/>
    <w:rsid w:val="00183C31"/>
    <w:rsid w:val="00196379"/>
    <w:rsid w:val="001A6C4D"/>
    <w:rsid w:val="001E0437"/>
    <w:rsid w:val="001E1E90"/>
    <w:rsid w:val="00200F93"/>
    <w:rsid w:val="0020705F"/>
    <w:rsid w:val="002213F2"/>
    <w:rsid w:val="00240149"/>
    <w:rsid w:val="0027053A"/>
    <w:rsid w:val="00276E75"/>
    <w:rsid w:val="00280E72"/>
    <w:rsid w:val="0028607A"/>
    <w:rsid w:val="002A32E9"/>
    <w:rsid w:val="002B1A50"/>
    <w:rsid w:val="002E209B"/>
    <w:rsid w:val="002F3D7C"/>
    <w:rsid w:val="00326579"/>
    <w:rsid w:val="0034653C"/>
    <w:rsid w:val="0036091E"/>
    <w:rsid w:val="0037112A"/>
    <w:rsid w:val="0037213C"/>
    <w:rsid w:val="0037437E"/>
    <w:rsid w:val="003A6903"/>
    <w:rsid w:val="003C1FA2"/>
    <w:rsid w:val="003C5050"/>
    <w:rsid w:val="003E5FF6"/>
    <w:rsid w:val="0041269C"/>
    <w:rsid w:val="004158E8"/>
    <w:rsid w:val="00462DEF"/>
    <w:rsid w:val="004808D5"/>
    <w:rsid w:val="0048276C"/>
    <w:rsid w:val="00501696"/>
    <w:rsid w:val="0053005D"/>
    <w:rsid w:val="00530A51"/>
    <w:rsid w:val="005538A7"/>
    <w:rsid w:val="00586F74"/>
    <w:rsid w:val="005940E6"/>
    <w:rsid w:val="00596077"/>
    <w:rsid w:val="005963C1"/>
    <w:rsid w:val="005970E3"/>
    <w:rsid w:val="005A1C21"/>
    <w:rsid w:val="005C3BC3"/>
    <w:rsid w:val="005F5481"/>
    <w:rsid w:val="00604770"/>
    <w:rsid w:val="006419E7"/>
    <w:rsid w:val="00652353"/>
    <w:rsid w:val="00667185"/>
    <w:rsid w:val="006C6D54"/>
    <w:rsid w:val="006E2E37"/>
    <w:rsid w:val="00724873"/>
    <w:rsid w:val="00733315"/>
    <w:rsid w:val="007364CC"/>
    <w:rsid w:val="00740775"/>
    <w:rsid w:val="00764AF6"/>
    <w:rsid w:val="00773439"/>
    <w:rsid w:val="00775207"/>
    <w:rsid w:val="00782DBC"/>
    <w:rsid w:val="007A7545"/>
    <w:rsid w:val="007E4C43"/>
    <w:rsid w:val="007F799E"/>
    <w:rsid w:val="008024C6"/>
    <w:rsid w:val="00817CD7"/>
    <w:rsid w:val="00830AE7"/>
    <w:rsid w:val="00865B2B"/>
    <w:rsid w:val="008808F8"/>
    <w:rsid w:val="00880A3B"/>
    <w:rsid w:val="008924EF"/>
    <w:rsid w:val="008A166F"/>
    <w:rsid w:val="008B417C"/>
    <w:rsid w:val="008D35AB"/>
    <w:rsid w:val="008D48FC"/>
    <w:rsid w:val="008F2801"/>
    <w:rsid w:val="00901BC6"/>
    <w:rsid w:val="0090415D"/>
    <w:rsid w:val="009245D7"/>
    <w:rsid w:val="00971258"/>
    <w:rsid w:val="00985D24"/>
    <w:rsid w:val="0098794F"/>
    <w:rsid w:val="009A6B64"/>
    <w:rsid w:val="009B28B0"/>
    <w:rsid w:val="009B2D80"/>
    <w:rsid w:val="009E77E6"/>
    <w:rsid w:val="009F3396"/>
    <w:rsid w:val="009F5FEE"/>
    <w:rsid w:val="00A30F8A"/>
    <w:rsid w:val="00A317A9"/>
    <w:rsid w:val="00A37B8D"/>
    <w:rsid w:val="00A4286A"/>
    <w:rsid w:val="00A52431"/>
    <w:rsid w:val="00A744D7"/>
    <w:rsid w:val="00A90843"/>
    <w:rsid w:val="00AB3651"/>
    <w:rsid w:val="00B01C7E"/>
    <w:rsid w:val="00B35B46"/>
    <w:rsid w:val="00B41807"/>
    <w:rsid w:val="00B450E8"/>
    <w:rsid w:val="00B616AF"/>
    <w:rsid w:val="00B727D5"/>
    <w:rsid w:val="00B72E1A"/>
    <w:rsid w:val="00B752F0"/>
    <w:rsid w:val="00B83F4F"/>
    <w:rsid w:val="00B86C1E"/>
    <w:rsid w:val="00B93B18"/>
    <w:rsid w:val="00BA0BBD"/>
    <w:rsid w:val="00BA6AAB"/>
    <w:rsid w:val="00BA71DC"/>
    <w:rsid w:val="00BB3662"/>
    <w:rsid w:val="00BC5B65"/>
    <w:rsid w:val="00BC6ACC"/>
    <w:rsid w:val="00BD2A13"/>
    <w:rsid w:val="00BE6A03"/>
    <w:rsid w:val="00C146FB"/>
    <w:rsid w:val="00C51D52"/>
    <w:rsid w:val="00C52BAE"/>
    <w:rsid w:val="00C565D6"/>
    <w:rsid w:val="00C765DB"/>
    <w:rsid w:val="00C9437A"/>
    <w:rsid w:val="00CD75AD"/>
    <w:rsid w:val="00D04C16"/>
    <w:rsid w:val="00D10522"/>
    <w:rsid w:val="00D27A57"/>
    <w:rsid w:val="00D400C0"/>
    <w:rsid w:val="00D501B5"/>
    <w:rsid w:val="00D60EC2"/>
    <w:rsid w:val="00D700DE"/>
    <w:rsid w:val="00DF0E13"/>
    <w:rsid w:val="00E014BB"/>
    <w:rsid w:val="00E07C29"/>
    <w:rsid w:val="00E07C32"/>
    <w:rsid w:val="00E15BA4"/>
    <w:rsid w:val="00E3045F"/>
    <w:rsid w:val="00E32251"/>
    <w:rsid w:val="00E35FBA"/>
    <w:rsid w:val="00E36FD7"/>
    <w:rsid w:val="00E546C6"/>
    <w:rsid w:val="00E57982"/>
    <w:rsid w:val="00E64DFD"/>
    <w:rsid w:val="00E74705"/>
    <w:rsid w:val="00E77452"/>
    <w:rsid w:val="00E82F53"/>
    <w:rsid w:val="00E861CA"/>
    <w:rsid w:val="00EA0473"/>
    <w:rsid w:val="00EA4B4A"/>
    <w:rsid w:val="00EB7958"/>
    <w:rsid w:val="00EC24BB"/>
    <w:rsid w:val="00EE3E5C"/>
    <w:rsid w:val="00EE5E69"/>
    <w:rsid w:val="00F14B30"/>
    <w:rsid w:val="00F31B1E"/>
    <w:rsid w:val="00F33971"/>
    <w:rsid w:val="00F41DFF"/>
    <w:rsid w:val="00F642CC"/>
    <w:rsid w:val="00FB191B"/>
    <w:rsid w:val="00FD26FA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1D6B6-7974-4D4A-9075-6626040E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0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E07C29"/>
    <w:pPr>
      <w:spacing w:before="100" w:beforeAutospacing="1" w:after="100" w:afterAutospacing="1"/>
      <w:jc w:val="both"/>
    </w:pPr>
    <w:rPr>
      <w:rFonts w:eastAsia="Arial Unicode MS"/>
    </w:rPr>
  </w:style>
  <w:style w:type="paragraph" w:styleId="Galvene">
    <w:name w:val="header"/>
    <w:basedOn w:val="Parasts"/>
    <w:link w:val="GalveneRakstz"/>
    <w:rsid w:val="00E07C2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E07C2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basedOn w:val="Noklusjumarindkopasfonts"/>
    <w:rsid w:val="00E07C29"/>
  </w:style>
  <w:style w:type="paragraph" w:styleId="Bezatstarpm">
    <w:name w:val="No Spacing"/>
    <w:qFormat/>
    <w:rsid w:val="00E07C29"/>
    <w:pPr>
      <w:spacing w:after="0" w:line="240" w:lineRule="auto"/>
    </w:pPr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A317A9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317A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nhideWhenUsed/>
    <w:rsid w:val="0037213C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C5B6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C5B65"/>
    <w:rPr>
      <w:rFonts w:ascii="Tahoma" w:eastAsia="Times New Roman" w:hAnsi="Tahoma" w:cs="Tahoma"/>
      <w:sz w:val="16"/>
      <w:szCs w:val="16"/>
      <w:lang w:val="en-GB"/>
    </w:rPr>
  </w:style>
  <w:style w:type="character" w:styleId="Izteiksmgs">
    <w:name w:val="Strong"/>
    <w:basedOn w:val="Noklusjumarindkopasfonts"/>
    <w:uiPriority w:val="22"/>
    <w:qFormat/>
    <w:rsid w:val="00143BE6"/>
    <w:rPr>
      <w:b/>
      <w:bCs/>
    </w:rPr>
  </w:style>
  <w:style w:type="character" w:customStyle="1" w:styleId="hps">
    <w:name w:val="hps"/>
    <w:basedOn w:val="Noklusjumarindkopasfonts"/>
    <w:rsid w:val="000300DF"/>
  </w:style>
  <w:style w:type="paragraph" w:styleId="Vresteksts">
    <w:name w:val="footnote text"/>
    <w:basedOn w:val="Parasts"/>
    <w:link w:val="VrestekstsRakstz"/>
    <w:rsid w:val="00B616AF"/>
    <w:rPr>
      <w:sz w:val="20"/>
      <w:szCs w:val="20"/>
      <w:lang w:val="lv-LV" w:eastAsia="lv-LV"/>
    </w:rPr>
  </w:style>
  <w:style w:type="character" w:customStyle="1" w:styleId="VrestekstsRakstz">
    <w:name w:val="Vēres teksts Rakstz."/>
    <w:basedOn w:val="Noklusjumarindkopasfonts"/>
    <w:link w:val="Vresteksts"/>
    <w:rsid w:val="00B616AF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rsid w:val="00B616AF"/>
    <w:rPr>
      <w:vertAlign w:val="superscript"/>
    </w:rPr>
  </w:style>
  <w:style w:type="paragraph" w:customStyle="1" w:styleId="tv2131">
    <w:name w:val="tv2131"/>
    <w:basedOn w:val="Parasts"/>
    <w:rsid w:val="008D48FC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7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812AC-F6BD-463E-9883-5DFF49E6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704</Words>
  <Characters>4991</Characters>
  <Application>Microsoft Office Word</Application>
  <DocSecurity>0</DocSecurity>
  <Lines>184</Lines>
  <Paragraphs>63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projekta „Grozījumi Ministru kabineta 2013.gada 20.augusta noteikumos Nr.621 „Noteikumi par biodrošības pasākumu kopumu dzīvnieku turēšanas vietām””sākotnējās ietekmes novērtējuma ziņojums (anotācija)</vt:lpstr>
    </vt:vector>
  </TitlesOfParts>
  <Company>Zemkopības Ministrija</Company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2013.gada 20.augusta noteikumos Nr.621 „Noteikumi par biodrošības pasākumu kopumu dzīvnieku turēšanas vietām””sākotnējās ietekmes novērtējuma ziņojums (anotācija)</dc:title>
  <dc:subject>Anotācija</dc:subject>
  <dc:creator>Linda Gurecka</dc:creator>
  <dc:description>linda.gurecka@zm.gov.lv, 67027063</dc:description>
  <cp:lastModifiedBy>Renārs Žagars</cp:lastModifiedBy>
  <cp:revision>105</cp:revision>
  <cp:lastPrinted>2014-09-17T06:37:00Z</cp:lastPrinted>
  <dcterms:created xsi:type="dcterms:W3CDTF">2014-09-16T10:54:00Z</dcterms:created>
  <dcterms:modified xsi:type="dcterms:W3CDTF">2014-10-24T11:52:00Z</dcterms:modified>
</cp:coreProperties>
</file>