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3E5A6D" w:rsidRDefault="00EA6CD3" w:rsidP="00EA6CD3">
      <w:pPr>
        <w:jc w:val="center"/>
        <w:rPr>
          <w:rFonts w:eastAsia="Times New Roman"/>
          <w:b/>
          <w:sz w:val="26"/>
          <w:szCs w:val="26"/>
          <w:lang w:val="lv-LV" w:eastAsia="lv-LV"/>
        </w:rPr>
      </w:pPr>
      <w:bookmarkStart w:id="0" w:name="OLE_LINK3"/>
      <w:bookmarkStart w:id="1" w:name="OLE_LINK1"/>
      <w:bookmarkStart w:id="2" w:name="OLE_LINK2"/>
      <w:r w:rsidRPr="003E5A6D">
        <w:rPr>
          <w:b/>
          <w:sz w:val="26"/>
          <w:szCs w:val="26"/>
          <w:lang w:val="lv-LV"/>
        </w:rPr>
        <w:t>Ministru kabineta noteikumu projekta ,,</w:t>
      </w:r>
      <w:bookmarkStart w:id="3" w:name="OLE_LINK7"/>
      <w:bookmarkStart w:id="4" w:name="OLE_LINK8"/>
      <w:r w:rsidR="00CA0BCB" w:rsidRPr="00CA0BCB">
        <w:rPr>
          <w:b/>
          <w:sz w:val="26"/>
          <w:szCs w:val="26"/>
          <w:lang w:val="lv-LV"/>
        </w:rPr>
        <w:t>Grozījumi Ministru kabineta 2014.gada 13.maija Ministru kabineta noteikumos Nr.241 „Noteikumi par mezanīna aizdevumiem saimnieciskās darbības veicēju konkurētspējas uzlabošanai”</w:t>
      </w:r>
      <w:r w:rsidRPr="003E5A6D">
        <w:rPr>
          <w:b/>
          <w:sz w:val="26"/>
          <w:szCs w:val="26"/>
          <w:lang w:val="lv-LV"/>
        </w:rPr>
        <w:t>”</w:t>
      </w:r>
      <w:bookmarkEnd w:id="3"/>
      <w:bookmarkEnd w:id="4"/>
    </w:p>
    <w:p w:rsidR="00EA6CD3" w:rsidRPr="003E5A6D" w:rsidRDefault="00EA6CD3" w:rsidP="00EA6CD3">
      <w:pPr>
        <w:pStyle w:val="BodyText"/>
        <w:jc w:val="center"/>
        <w:rPr>
          <w:b/>
          <w:sz w:val="26"/>
          <w:szCs w:val="26"/>
        </w:rPr>
      </w:pPr>
      <w:r w:rsidRPr="003E5A6D">
        <w:rPr>
          <w:b/>
          <w:sz w:val="26"/>
          <w:szCs w:val="26"/>
        </w:rPr>
        <w:t>sākotnējās ietekmes novērtējuma ziņojums (anotācija)</w:t>
      </w:r>
    </w:p>
    <w:p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CE35E1" w:rsidRDefault="00EA6CD3" w:rsidP="00CB6AC4">
            <w:pPr>
              <w:ind w:firstLine="720"/>
              <w:jc w:val="center"/>
              <w:rPr>
                <w:b/>
                <w:sz w:val="26"/>
                <w:szCs w:val="26"/>
                <w:lang w:val="lv-LV"/>
              </w:rPr>
            </w:pPr>
            <w:r w:rsidRPr="00CE35E1">
              <w:rPr>
                <w:b/>
                <w:sz w:val="26"/>
                <w:szCs w:val="26"/>
                <w:lang w:val="lv-LV"/>
              </w:rPr>
              <w:t>I.Tiesību akta projekta izstrādes nepieciešamība</w:t>
            </w:r>
          </w:p>
        </w:tc>
      </w:tr>
      <w:tr w:rsidR="00EA6CD3" w:rsidRPr="003E5A6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CA0BCB" w:rsidP="006559F5">
            <w:pPr>
              <w:ind w:firstLine="709"/>
              <w:jc w:val="both"/>
              <w:rPr>
                <w:sz w:val="26"/>
                <w:szCs w:val="26"/>
                <w:lang w:val="lv-LV"/>
              </w:rPr>
            </w:pPr>
            <w:r w:rsidRPr="00CE35E1">
              <w:rPr>
                <w:sz w:val="26"/>
                <w:szCs w:val="26"/>
                <w:lang w:val="lv-LV"/>
              </w:rPr>
              <w:t>Noteikumu projekts sagatavots, pamatojoties uz Ministru kabineta iekārtas likuma 31.panta pirmās daļas 3.punktu</w:t>
            </w:r>
            <w:r w:rsidR="00E539B3" w:rsidRPr="00CE35E1">
              <w:rPr>
                <w:sz w:val="26"/>
                <w:szCs w:val="26"/>
                <w:lang w:val="lv-LV"/>
              </w:rPr>
              <w:t>.</w:t>
            </w:r>
          </w:p>
        </w:tc>
      </w:tr>
      <w:tr w:rsidR="00EA6CD3" w:rsidRPr="003E5A6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F30608" w:rsidRPr="00CE35E1" w:rsidRDefault="00A229AC" w:rsidP="00CE35E1">
            <w:pPr>
              <w:ind w:firstLine="709"/>
              <w:jc w:val="both"/>
              <w:rPr>
                <w:sz w:val="26"/>
                <w:szCs w:val="26"/>
                <w:lang w:val="lv-LV"/>
              </w:rPr>
            </w:pPr>
            <w:r w:rsidRPr="00CE35E1">
              <w:rPr>
                <w:sz w:val="26"/>
                <w:szCs w:val="26"/>
                <w:lang w:val="lv-LV"/>
              </w:rPr>
              <w:t xml:space="preserve">Ministru kabineta </w:t>
            </w:r>
            <w:r w:rsidR="00CA0BCB" w:rsidRPr="00CE35E1">
              <w:rPr>
                <w:sz w:val="26"/>
                <w:szCs w:val="26"/>
                <w:lang w:val="lv-LV"/>
              </w:rPr>
              <w:t>2014</w:t>
            </w:r>
            <w:r w:rsidRPr="00CE35E1">
              <w:rPr>
                <w:sz w:val="26"/>
                <w:szCs w:val="26"/>
                <w:lang w:val="lv-LV"/>
              </w:rPr>
              <w:t xml:space="preserve">.gada </w:t>
            </w:r>
            <w:r w:rsidR="00CA0BCB" w:rsidRPr="00CE35E1">
              <w:rPr>
                <w:sz w:val="26"/>
                <w:szCs w:val="26"/>
                <w:lang w:val="lv-LV"/>
              </w:rPr>
              <w:t>13.maija</w:t>
            </w:r>
            <w:r w:rsidRPr="00CE35E1">
              <w:rPr>
                <w:sz w:val="26"/>
                <w:szCs w:val="26"/>
                <w:lang w:val="lv-LV"/>
              </w:rPr>
              <w:t xml:space="preserve"> noteikumi Nr.</w:t>
            </w:r>
            <w:r w:rsidR="00CA0BCB" w:rsidRPr="00CE35E1">
              <w:rPr>
                <w:sz w:val="26"/>
                <w:szCs w:val="26"/>
                <w:lang w:val="lv-LV"/>
              </w:rPr>
              <w:t>241</w:t>
            </w:r>
            <w:r w:rsidRPr="00CE35E1">
              <w:rPr>
                <w:sz w:val="26"/>
                <w:szCs w:val="26"/>
                <w:lang w:val="lv-LV"/>
              </w:rPr>
              <w:t xml:space="preserve"> </w:t>
            </w:r>
            <w:r w:rsidR="00CA0BCB" w:rsidRPr="00CE35E1">
              <w:rPr>
                <w:sz w:val="26"/>
                <w:szCs w:val="26"/>
                <w:lang w:val="lv-LV"/>
              </w:rPr>
              <w:t xml:space="preserve">„Noteikumi par mezanīna aizdevumiem saimnieciskās darbības veicēju konkurētspējas uzlabošanai” </w:t>
            </w:r>
            <w:r w:rsidRPr="00CE35E1">
              <w:rPr>
                <w:sz w:val="26"/>
                <w:szCs w:val="26"/>
                <w:lang w:val="lv-LV"/>
              </w:rPr>
              <w:t>(turpmāk - MK noteikumi Nr.</w:t>
            </w:r>
            <w:r w:rsidR="00CA0BCB" w:rsidRPr="00CE35E1">
              <w:rPr>
                <w:sz w:val="26"/>
                <w:szCs w:val="26"/>
                <w:lang w:val="lv-LV"/>
              </w:rPr>
              <w:t>241</w:t>
            </w:r>
            <w:r w:rsidRPr="00CE35E1">
              <w:rPr>
                <w:sz w:val="26"/>
                <w:szCs w:val="26"/>
                <w:lang w:val="lv-LV"/>
              </w:rPr>
              <w:t>) nosaka atbalsta piešķiršanas</w:t>
            </w:r>
            <w:r w:rsidR="00CA0BCB" w:rsidRPr="00CE35E1">
              <w:rPr>
                <w:sz w:val="26"/>
                <w:szCs w:val="26"/>
                <w:lang w:val="lv-LV"/>
              </w:rPr>
              <w:t xml:space="preserve"> nosacījumus mezanīna aizdevum</w:t>
            </w:r>
            <w:r w:rsidR="00E7567F" w:rsidRPr="00CE35E1">
              <w:rPr>
                <w:sz w:val="26"/>
                <w:szCs w:val="26"/>
                <w:lang w:val="lv-LV"/>
              </w:rPr>
              <w:t>iem</w:t>
            </w:r>
            <w:r w:rsidR="00CA0BCB" w:rsidRPr="00CE35E1">
              <w:rPr>
                <w:sz w:val="26"/>
                <w:szCs w:val="26"/>
                <w:lang w:val="lv-LV"/>
              </w:rPr>
              <w:t xml:space="preserve"> investīcijām un apgrozāmajiem līdzekļiem</w:t>
            </w:r>
            <w:r w:rsidR="00F30608" w:rsidRPr="00CE35E1">
              <w:rPr>
                <w:sz w:val="26"/>
                <w:szCs w:val="26"/>
                <w:lang w:val="lv-LV"/>
              </w:rPr>
              <w:t xml:space="preserve"> </w:t>
            </w:r>
            <w:r w:rsidRPr="00CE35E1">
              <w:rPr>
                <w:sz w:val="26"/>
                <w:szCs w:val="26"/>
                <w:lang w:val="lv-LV"/>
              </w:rPr>
              <w:t>saimnieciskās darbības veicēju konkurētspējas uzlabošanai.</w:t>
            </w:r>
            <w:r w:rsidR="00CE35E1" w:rsidRPr="00CE35E1">
              <w:rPr>
                <w:sz w:val="26"/>
                <w:szCs w:val="26"/>
                <w:lang w:val="lv-LV"/>
              </w:rPr>
              <w:t xml:space="preserve"> Mezanīna instrumenta nepieciešamību tirgū pamato </w:t>
            </w:r>
            <w:r w:rsidR="00B51427" w:rsidRPr="00CE35E1">
              <w:rPr>
                <w:sz w:val="26"/>
                <w:szCs w:val="26"/>
                <w:lang w:val="lv-LV"/>
              </w:rPr>
              <w:t>Ekonomikas ministrijas (turpmāk – EM) 2014.gada 2.</w:t>
            </w:r>
            <w:r w:rsidR="00CE35E1" w:rsidRPr="00CE35E1">
              <w:rPr>
                <w:sz w:val="26"/>
                <w:szCs w:val="26"/>
                <w:lang w:val="lv-LV"/>
              </w:rPr>
              <w:t>pusgadā</w:t>
            </w:r>
            <w:r w:rsidR="00B51427" w:rsidRPr="00CE35E1">
              <w:rPr>
                <w:sz w:val="26"/>
                <w:szCs w:val="26"/>
                <w:lang w:val="lv-LV"/>
              </w:rPr>
              <w:t xml:space="preserve"> </w:t>
            </w:r>
            <w:r w:rsidR="00E539B3" w:rsidRPr="00CE35E1">
              <w:rPr>
                <w:sz w:val="26"/>
                <w:szCs w:val="26"/>
                <w:lang w:val="lv-LV"/>
              </w:rPr>
              <w:t>veikt</w:t>
            </w:r>
            <w:r w:rsidR="00CE35E1" w:rsidRPr="00CE35E1">
              <w:rPr>
                <w:sz w:val="26"/>
                <w:szCs w:val="26"/>
                <w:lang w:val="lv-LV"/>
              </w:rPr>
              <w:t>ais</w:t>
            </w:r>
            <w:r w:rsidR="00E539B3" w:rsidRPr="00CE35E1">
              <w:rPr>
                <w:sz w:val="26"/>
                <w:szCs w:val="26"/>
                <w:lang w:val="lv-LV"/>
              </w:rPr>
              <w:t xml:space="preserve"> tirgus nepilnību </w:t>
            </w:r>
            <w:r w:rsidR="00CE35E1" w:rsidRPr="00CE35E1">
              <w:rPr>
                <w:sz w:val="26"/>
                <w:szCs w:val="26"/>
                <w:lang w:val="lv-LV"/>
              </w:rPr>
              <w:t xml:space="preserve">izvērtējums, nosakot, ka </w:t>
            </w:r>
            <w:r w:rsidR="00B51427" w:rsidRPr="00CE35E1">
              <w:rPr>
                <w:sz w:val="26"/>
                <w:szCs w:val="26"/>
                <w:lang w:val="lv-LV"/>
              </w:rPr>
              <w:t xml:space="preserve">mezanīna aizdevumu instruments </w:t>
            </w:r>
            <w:r w:rsidR="00CE35E1" w:rsidRPr="00CE35E1">
              <w:rPr>
                <w:sz w:val="26"/>
                <w:szCs w:val="26"/>
                <w:lang w:val="lv-LV"/>
              </w:rPr>
              <w:t>nodrošina</w:t>
            </w:r>
            <w:r w:rsidR="00B51427" w:rsidRPr="00CE35E1">
              <w:rPr>
                <w:sz w:val="26"/>
                <w:szCs w:val="26"/>
                <w:lang w:val="lv-LV"/>
              </w:rPr>
              <w:t xml:space="preserve"> finansējuma pieejamīb</w:t>
            </w:r>
            <w:r w:rsidR="00CE35E1" w:rsidRPr="00CE35E1">
              <w:rPr>
                <w:sz w:val="26"/>
                <w:szCs w:val="26"/>
                <w:lang w:val="lv-LV"/>
              </w:rPr>
              <w:t xml:space="preserve">u </w:t>
            </w:r>
            <w:r w:rsidR="00F30608" w:rsidRPr="00CE35E1">
              <w:rPr>
                <w:sz w:val="26"/>
                <w:szCs w:val="26"/>
                <w:lang w:val="lv-LV"/>
              </w:rPr>
              <w:t xml:space="preserve">tiem </w:t>
            </w:r>
            <w:r w:rsidR="00B51427" w:rsidRPr="00CE35E1">
              <w:rPr>
                <w:sz w:val="26"/>
                <w:szCs w:val="26"/>
                <w:lang w:val="lv-LV"/>
              </w:rPr>
              <w:t xml:space="preserve">saimnieciskās darbības veicējiem, kuriem </w:t>
            </w:r>
            <w:r w:rsidR="008A0A32">
              <w:rPr>
                <w:sz w:val="26"/>
                <w:szCs w:val="26"/>
                <w:lang w:val="lv-LV"/>
              </w:rPr>
              <w:t xml:space="preserve">nav pietiekams nodrošinājums vai </w:t>
            </w:r>
            <w:r w:rsidR="00CE35E1" w:rsidRPr="00CE35E1">
              <w:rPr>
                <w:sz w:val="26"/>
                <w:szCs w:val="26"/>
                <w:lang w:val="lv-LV"/>
              </w:rPr>
              <w:t xml:space="preserve">līdzšinēji </w:t>
            </w:r>
            <w:r w:rsidR="00B51427" w:rsidRPr="00CE35E1">
              <w:rPr>
                <w:sz w:val="26"/>
                <w:szCs w:val="26"/>
                <w:lang w:val="lv-LV"/>
              </w:rPr>
              <w:t xml:space="preserve">uzņemto saistību </w:t>
            </w:r>
            <w:r w:rsidR="00CE35E1" w:rsidRPr="00CE35E1">
              <w:rPr>
                <w:sz w:val="26"/>
                <w:szCs w:val="26"/>
                <w:lang w:val="lv-LV"/>
              </w:rPr>
              <w:t>pret</w:t>
            </w:r>
            <w:r w:rsidR="00B51427" w:rsidRPr="00CE35E1">
              <w:rPr>
                <w:sz w:val="26"/>
                <w:szCs w:val="26"/>
                <w:lang w:val="lv-LV"/>
              </w:rPr>
              <w:t xml:space="preserve"> neto ieņēmum</w:t>
            </w:r>
            <w:r w:rsidR="00CE35E1" w:rsidRPr="00CE35E1">
              <w:rPr>
                <w:sz w:val="26"/>
                <w:szCs w:val="26"/>
                <w:lang w:val="lv-LV"/>
              </w:rPr>
              <w:t>iem</w:t>
            </w:r>
            <w:r w:rsidR="00B51427" w:rsidRPr="00CE35E1">
              <w:rPr>
                <w:sz w:val="26"/>
                <w:szCs w:val="26"/>
                <w:lang w:val="lv-LV"/>
              </w:rPr>
              <w:t xml:space="preserve"> attiecība </w:t>
            </w:r>
            <w:r w:rsidR="00F30608" w:rsidRPr="00CE35E1">
              <w:rPr>
                <w:sz w:val="26"/>
                <w:szCs w:val="26"/>
                <w:lang w:val="lv-LV"/>
              </w:rPr>
              <w:t xml:space="preserve">neatbilst komercbanku </w:t>
            </w:r>
            <w:r w:rsidR="00CE35E1" w:rsidRPr="00CE35E1">
              <w:rPr>
                <w:sz w:val="26"/>
                <w:szCs w:val="26"/>
                <w:lang w:val="lv-LV"/>
              </w:rPr>
              <w:t>prasībām</w:t>
            </w:r>
            <w:r w:rsidR="00F30608" w:rsidRPr="00CE35E1">
              <w:rPr>
                <w:sz w:val="26"/>
                <w:szCs w:val="26"/>
                <w:lang w:val="lv-LV"/>
              </w:rPr>
              <w:t xml:space="preserve">, </w:t>
            </w:r>
            <w:r w:rsidR="00CE35E1" w:rsidRPr="00CE35E1">
              <w:rPr>
                <w:sz w:val="26"/>
                <w:szCs w:val="26"/>
                <w:lang w:val="lv-LV"/>
              </w:rPr>
              <w:t>lai saņemtu komercbanku aizdevumu nepieciešamajā apmērā projekta realizēšanai.</w:t>
            </w:r>
          </w:p>
          <w:p w:rsidR="00B46A16" w:rsidRDefault="00CE35E1" w:rsidP="00B46A16">
            <w:pPr>
              <w:ind w:firstLine="709"/>
              <w:jc w:val="both"/>
              <w:rPr>
                <w:sz w:val="26"/>
                <w:szCs w:val="26"/>
                <w:lang w:val="lv-LV"/>
              </w:rPr>
            </w:pPr>
            <w:r>
              <w:rPr>
                <w:sz w:val="26"/>
                <w:szCs w:val="26"/>
                <w:lang w:val="lv-LV"/>
              </w:rPr>
              <w:t>MK noteikum</w:t>
            </w:r>
            <w:r w:rsidR="00B46A16">
              <w:rPr>
                <w:sz w:val="26"/>
                <w:szCs w:val="26"/>
                <w:lang w:val="lv-LV"/>
              </w:rPr>
              <w:t>u</w:t>
            </w:r>
            <w:r>
              <w:rPr>
                <w:sz w:val="26"/>
                <w:szCs w:val="26"/>
                <w:lang w:val="lv-LV"/>
              </w:rPr>
              <w:t xml:space="preserve"> Nr.241 </w:t>
            </w:r>
            <w:r w:rsidR="00B46A16">
              <w:rPr>
                <w:sz w:val="26"/>
                <w:szCs w:val="26"/>
                <w:lang w:val="lv-LV"/>
              </w:rPr>
              <w:t xml:space="preserve">normas </w:t>
            </w:r>
            <w:r>
              <w:rPr>
                <w:sz w:val="26"/>
                <w:szCs w:val="26"/>
                <w:lang w:val="lv-LV"/>
              </w:rPr>
              <w:t>nosaka, ka atbalsts investīcijām un apgrozāmo līdzekļu aizdevumiem nevar tikt piešķirts saimnieciskās darbības veicējiem, k</w:t>
            </w:r>
            <w:r w:rsidR="007262F0">
              <w:rPr>
                <w:sz w:val="26"/>
                <w:szCs w:val="26"/>
                <w:lang w:val="lv-LV"/>
              </w:rPr>
              <w:t xml:space="preserve">uri </w:t>
            </w:r>
            <w:r>
              <w:rPr>
                <w:sz w:val="26"/>
                <w:szCs w:val="26"/>
                <w:lang w:val="lv-LV"/>
              </w:rPr>
              <w:t xml:space="preserve">ir nonākuši finanšu grūtībās saskaņā ar </w:t>
            </w:r>
            <w:r w:rsidRPr="00CE35E1">
              <w:rPr>
                <w:sz w:val="26"/>
                <w:szCs w:val="26"/>
                <w:lang w:val="lv-LV"/>
              </w:rPr>
              <w:t>Kopienas 2004.gada 10.oktobra Pamatnostādnēm par valsts atbalstu grūtībās nonākušu uzņēmumu glābšanai</w:t>
            </w:r>
            <w:r w:rsidR="002D6BDB">
              <w:rPr>
                <w:sz w:val="26"/>
                <w:szCs w:val="26"/>
                <w:lang w:val="lv-LV"/>
              </w:rPr>
              <w:t xml:space="preserve"> un pārstrukturēšanai</w:t>
            </w:r>
            <w:r w:rsidR="00B46A16">
              <w:rPr>
                <w:sz w:val="26"/>
                <w:szCs w:val="26"/>
                <w:lang w:val="lv-LV"/>
              </w:rPr>
              <w:t xml:space="preserve"> (turpmāk – Kopienas 2004.gada Pamatnostādnes)</w:t>
            </w:r>
            <w:r w:rsidR="007262F0">
              <w:rPr>
                <w:sz w:val="26"/>
                <w:szCs w:val="26"/>
                <w:lang w:val="lv-LV"/>
              </w:rPr>
              <w:t xml:space="preserve">, ko savukārt </w:t>
            </w:r>
            <w:r w:rsidR="00B46A16">
              <w:rPr>
                <w:sz w:val="26"/>
                <w:szCs w:val="26"/>
                <w:lang w:val="lv-LV"/>
              </w:rPr>
              <w:t xml:space="preserve">nosaka </w:t>
            </w:r>
            <w:r>
              <w:rPr>
                <w:sz w:val="26"/>
                <w:szCs w:val="26"/>
                <w:lang w:val="lv-LV"/>
              </w:rPr>
              <w:t>Komisijas Regulas</w:t>
            </w:r>
            <w:r w:rsidRPr="00FB311D">
              <w:rPr>
                <w:sz w:val="26"/>
                <w:szCs w:val="26"/>
                <w:lang w:val="lv-LV"/>
              </w:rPr>
              <w:t xml:space="preserve">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 Komisijas Regula Nr.1828/2006) </w:t>
            </w:r>
            <w:r w:rsidR="00B46A16">
              <w:rPr>
                <w:sz w:val="26"/>
                <w:szCs w:val="26"/>
                <w:lang w:val="lv-LV"/>
              </w:rPr>
              <w:t xml:space="preserve">45.pants. Ņemot vērā, ka </w:t>
            </w:r>
            <w:r w:rsidRPr="00637793">
              <w:rPr>
                <w:sz w:val="26"/>
                <w:szCs w:val="26"/>
                <w:lang w:val="lv-LV"/>
              </w:rPr>
              <w:t xml:space="preserve">2014.gada 1.augustā </w:t>
            </w:r>
            <w:r w:rsidRPr="005316A7">
              <w:rPr>
                <w:sz w:val="26"/>
                <w:szCs w:val="26"/>
                <w:lang w:val="lv-LV"/>
              </w:rPr>
              <w:t xml:space="preserve">stājās </w:t>
            </w:r>
            <w:r w:rsidR="00B46A16" w:rsidRPr="00637793">
              <w:rPr>
                <w:sz w:val="26"/>
                <w:szCs w:val="26"/>
                <w:lang w:val="lv-LV"/>
              </w:rPr>
              <w:t xml:space="preserve">spēkā </w:t>
            </w:r>
            <w:r w:rsidR="00B46A16">
              <w:rPr>
                <w:sz w:val="26"/>
                <w:szCs w:val="26"/>
                <w:lang w:val="lv-LV"/>
              </w:rPr>
              <w:t xml:space="preserve">jaunas pamatnostādnes - </w:t>
            </w:r>
            <w:r w:rsidRPr="005316A7">
              <w:rPr>
                <w:sz w:val="26"/>
                <w:szCs w:val="26"/>
                <w:lang w:val="lv-LV"/>
              </w:rPr>
              <w:t xml:space="preserve">Kopienas 2014.gada 31.jūlija </w:t>
            </w:r>
            <w:r w:rsidRPr="0054402D">
              <w:rPr>
                <w:sz w:val="26"/>
                <w:szCs w:val="26"/>
                <w:lang w:val="lv-LV"/>
              </w:rPr>
              <w:t>Pamatnostādnes par valsts atbalstu grūtībās nonākušu nefinanšu uzņēmumu glābšanai un pārstrukturēšanai (OV C 249, 31.7.2014)</w:t>
            </w:r>
            <w:r w:rsidRPr="005316A7">
              <w:rPr>
                <w:sz w:val="26"/>
                <w:szCs w:val="26"/>
                <w:lang w:val="lv-LV"/>
              </w:rPr>
              <w:t xml:space="preserve"> (pieejamas saitē: </w:t>
            </w:r>
            <w:hyperlink r:id="rId9" w:history="1">
              <w:r w:rsidR="00B46A16" w:rsidRPr="002C507C">
                <w:rPr>
                  <w:rStyle w:val="Hyperlink"/>
                  <w:sz w:val="26"/>
                  <w:szCs w:val="26"/>
                  <w:lang w:val="lv-LV"/>
                </w:rPr>
                <w:t>http://eur-lex.europa.eu/legal-content/LV/TXT/PDF/?uri=OJ:C:2014:249:FULL&amp;from=EN</w:t>
              </w:r>
            </w:hyperlink>
            <w:r w:rsidR="00B46A16">
              <w:rPr>
                <w:sz w:val="26"/>
                <w:szCs w:val="26"/>
                <w:lang w:val="lv-LV"/>
              </w:rPr>
              <w:t xml:space="preserve">) </w:t>
            </w:r>
            <w:r w:rsidRPr="0054402D">
              <w:rPr>
                <w:sz w:val="26"/>
                <w:szCs w:val="26"/>
                <w:lang w:val="lv-LV"/>
              </w:rPr>
              <w:t>(turpmāk –</w:t>
            </w:r>
            <w:r>
              <w:rPr>
                <w:sz w:val="26"/>
                <w:szCs w:val="26"/>
                <w:lang w:val="lv-LV"/>
              </w:rPr>
              <w:t xml:space="preserve"> </w:t>
            </w:r>
            <w:r w:rsidRPr="005316A7">
              <w:rPr>
                <w:sz w:val="26"/>
                <w:szCs w:val="26"/>
                <w:lang w:val="lv-LV"/>
              </w:rPr>
              <w:t>Kopienas 2014.gada P</w:t>
            </w:r>
            <w:r w:rsidRPr="0054402D">
              <w:rPr>
                <w:sz w:val="26"/>
                <w:szCs w:val="26"/>
                <w:lang w:val="lv-LV"/>
              </w:rPr>
              <w:t>amatnostādnes)</w:t>
            </w:r>
            <w:r>
              <w:rPr>
                <w:sz w:val="26"/>
                <w:szCs w:val="26"/>
                <w:lang w:val="lv-LV"/>
              </w:rPr>
              <w:t xml:space="preserve"> -</w:t>
            </w:r>
            <w:r w:rsidRPr="0054402D">
              <w:rPr>
                <w:sz w:val="26"/>
                <w:szCs w:val="26"/>
                <w:lang w:val="lv-LV"/>
              </w:rPr>
              <w:t>,</w:t>
            </w:r>
            <w:r w:rsidRPr="005316A7">
              <w:rPr>
                <w:sz w:val="26"/>
                <w:szCs w:val="26"/>
                <w:lang w:val="lv-LV"/>
              </w:rPr>
              <w:t xml:space="preserve"> kas aizstāj Kopienas 2004.gada Pamatnostādnes</w:t>
            </w:r>
            <w:r w:rsidR="00B46A16">
              <w:rPr>
                <w:sz w:val="26"/>
                <w:szCs w:val="26"/>
                <w:lang w:val="lv-LV"/>
              </w:rPr>
              <w:t xml:space="preserve"> un paredz, ka </w:t>
            </w:r>
            <w:r w:rsidR="007262F0" w:rsidRPr="00B46A16">
              <w:rPr>
                <w:sz w:val="26"/>
                <w:szCs w:val="26"/>
                <w:lang w:val="lv-LV"/>
              </w:rPr>
              <w:t xml:space="preserve">atbalsta shēmas </w:t>
            </w:r>
            <w:r w:rsidR="00B46A16" w:rsidRPr="00B46A16">
              <w:rPr>
                <w:sz w:val="26"/>
                <w:szCs w:val="26"/>
                <w:lang w:val="lv-LV"/>
              </w:rPr>
              <w:t>līdz 2015. gada 1. februārim ir jāpielāgo Kopienas 2014.gada Pamatnostādnēm</w:t>
            </w:r>
            <w:r w:rsidR="00B46A16">
              <w:rPr>
                <w:sz w:val="26"/>
                <w:szCs w:val="26"/>
                <w:lang w:val="lv-LV"/>
              </w:rPr>
              <w:t xml:space="preserve"> (133.punkts), noteikumu projekts </w:t>
            </w:r>
            <w:r w:rsidR="00B46A16">
              <w:rPr>
                <w:sz w:val="26"/>
                <w:szCs w:val="26"/>
                <w:lang w:val="lv-LV"/>
              </w:rPr>
              <w:lastRenderedPageBreak/>
              <w:t xml:space="preserve">paredz </w:t>
            </w:r>
            <w:r w:rsidR="007262F0">
              <w:rPr>
                <w:sz w:val="26"/>
                <w:szCs w:val="26"/>
                <w:lang w:val="lv-LV"/>
              </w:rPr>
              <w:t xml:space="preserve">grozīt </w:t>
            </w:r>
            <w:r w:rsidR="00B46A16">
              <w:rPr>
                <w:sz w:val="26"/>
                <w:szCs w:val="26"/>
                <w:lang w:val="lv-LV"/>
              </w:rPr>
              <w:t xml:space="preserve">MK noteikumu Nr.241 normas </w:t>
            </w:r>
            <w:r w:rsidR="007262F0">
              <w:rPr>
                <w:sz w:val="26"/>
                <w:szCs w:val="26"/>
                <w:lang w:val="lv-LV"/>
              </w:rPr>
              <w:t xml:space="preserve">atbilstoši </w:t>
            </w:r>
            <w:r w:rsidR="00B46A16">
              <w:rPr>
                <w:sz w:val="26"/>
                <w:szCs w:val="26"/>
                <w:lang w:val="lv-LV"/>
              </w:rPr>
              <w:t>Kopienas 2014.gada Pamatnostādnē</w:t>
            </w:r>
            <w:r w:rsidR="007262F0">
              <w:rPr>
                <w:sz w:val="26"/>
                <w:szCs w:val="26"/>
                <w:lang w:val="lv-LV"/>
              </w:rPr>
              <w:t>s ietvertajiem nosacījumiem</w:t>
            </w:r>
            <w:r w:rsidR="00B46A16">
              <w:rPr>
                <w:sz w:val="26"/>
                <w:szCs w:val="26"/>
                <w:lang w:val="lv-LV"/>
              </w:rPr>
              <w:t>.</w:t>
            </w:r>
            <w:r w:rsidR="002D6A10" w:rsidRPr="002D6BDB">
              <w:rPr>
                <w:sz w:val="26"/>
                <w:szCs w:val="26"/>
                <w:lang w:val="lv-LV"/>
              </w:rPr>
              <w:t xml:space="preserve"> </w:t>
            </w:r>
            <w:r w:rsidR="00BB4E62">
              <w:rPr>
                <w:sz w:val="26"/>
                <w:szCs w:val="26"/>
                <w:lang w:val="lv-LV"/>
              </w:rPr>
              <w:t>Il</w:t>
            </w:r>
            <w:r w:rsidR="002D6A10">
              <w:rPr>
                <w:sz w:val="26"/>
                <w:szCs w:val="26"/>
                <w:lang w:val="lv-LV"/>
              </w:rPr>
              <w:t xml:space="preserve">gtermiņa investīciju aizdevumu, kas sniegti MK noteikumu Nr.241 ietvaros, gadījumā ir piemērojamas </w:t>
            </w:r>
            <w:r w:rsidR="00BB4E62">
              <w:rPr>
                <w:sz w:val="26"/>
                <w:szCs w:val="26"/>
                <w:lang w:val="lv-LV"/>
              </w:rPr>
              <w:t xml:space="preserve">arī </w:t>
            </w:r>
            <w:r w:rsidR="002D6A10" w:rsidRPr="002D6A10">
              <w:rPr>
                <w:sz w:val="26"/>
                <w:szCs w:val="26"/>
                <w:lang w:val="lv-LV"/>
              </w:rPr>
              <w:t>Komisijas 2014.gada 17.jūnija Regula</w:t>
            </w:r>
            <w:r w:rsidR="002D6A10">
              <w:rPr>
                <w:sz w:val="26"/>
                <w:szCs w:val="26"/>
                <w:lang w:val="lv-LV"/>
              </w:rPr>
              <w:t>s</w:t>
            </w:r>
            <w:r w:rsidR="002D6A10" w:rsidRPr="002D6A10">
              <w:rPr>
                <w:sz w:val="26"/>
                <w:szCs w:val="26"/>
                <w:lang w:val="lv-LV"/>
              </w:rPr>
              <w:t xml:space="preserve"> (ES) Nr.651/2014, ar ko noteiktas atbalsta kategorijas atzīst par saderīgām ar iekšējo tirgu, piemērojot Līguma 107. un 108. pantu (vispārējā grupu atbrīvojuma regula) (Eiropas Savienības Oficiālais Vēstnesis, 2014. gada 26. jūnijs, L 187) (turpmāk – Komisijas Regula Nr.651/2014)</w:t>
            </w:r>
            <w:r w:rsidR="002D6A10">
              <w:rPr>
                <w:sz w:val="26"/>
                <w:szCs w:val="26"/>
                <w:lang w:val="lv-LV"/>
              </w:rPr>
              <w:t xml:space="preserve"> normas, kas tostarp paredz kritērijus grūtībās nonākuša saimniecisk</w:t>
            </w:r>
            <w:r w:rsidR="00BB4E62">
              <w:rPr>
                <w:sz w:val="26"/>
                <w:szCs w:val="26"/>
                <w:lang w:val="lv-LV"/>
              </w:rPr>
              <w:t>ā</w:t>
            </w:r>
            <w:r w:rsidR="002D6A10">
              <w:rPr>
                <w:sz w:val="26"/>
                <w:szCs w:val="26"/>
                <w:lang w:val="lv-LV"/>
              </w:rPr>
              <w:t xml:space="preserve"> darbības veicēja </w:t>
            </w:r>
            <w:r w:rsidR="00BB4E62">
              <w:rPr>
                <w:sz w:val="26"/>
                <w:szCs w:val="26"/>
                <w:lang w:val="lv-LV"/>
              </w:rPr>
              <w:t>noteikšanai. Komisijas Regula Nr.651/2014 papildus Kopienas 2014.gada Pamatnostādnēs minētajiem kritērijiem</w:t>
            </w:r>
            <w:r w:rsidR="002D6A10">
              <w:rPr>
                <w:sz w:val="26"/>
                <w:szCs w:val="26"/>
                <w:lang w:val="lv-LV"/>
              </w:rPr>
              <w:t xml:space="preserve"> </w:t>
            </w:r>
            <w:r w:rsidR="00BB4E62">
              <w:rPr>
                <w:sz w:val="26"/>
                <w:szCs w:val="26"/>
                <w:lang w:val="lv-LV"/>
              </w:rPr>
              <w:t xml:space="preserve">paredz, ka </w:t>
            </w:r>
            <w:r w:rsidR="002D6A10">
              <w:rPr>
                <w:sz w:val="26"/>
                <w:szCs w:val="26"/>
                <w:lang w:val="lv-LV"/>
              </w:rPr>
              <w:t xml:space="preserve">saimnieciskās darbības veicējs </w:t>
            </w:r>
            <w:r w:rsidR="00BB4E62">
              <w:rPr>
                <w:sz w:val="26"/>
                <w:szCs w:val="26"/>
                <w:lang w:val="lv-LV"/>
              </w:rPr>
              <w:t>ir uzskatāms par grūtībās nonākušu arī</w:t>
            </w:r>
            <w:r w:rsidR="002D6A10">
              <w:rPr>
                <w:sz w:val="26"/>
                <w:szCs w:val="26"/>
                <w:lang w:val="lv-LV"/>
              </w:rPr>
              <w:t xml:space="preserve"> tajā gadījumā, ja</w:t>
            </w:r>
            <w:r w:rsidR="00611ADA">
              <w:rPr>
                <w:sz w:val="26"/>
                <w:szCs w:val="26"/>
                <w:lang w:val="lv-LV"/>
              </w:rPr>
              <w:t xml:space="preserve"> tas</w:t>
            </w:r>
            <w:r w:rsidR="002D6A10">
              <w:rPr>
                <w:sz w:val="26"/>
                <w:szCs w:val="26"/>
                <w:lang w:val="lv-LV"/>
              </w:rPr>
              <w:t xml:space="preserve"> </w:t>
            </w:r>
            <w:r w:rsidR="002D6A10" w:rsidRPr="002D6A10">
              <w:rPr>
                <w:sz w:val="26"/>
                <w:szCs w:val="26"/>
                <w:lang w:val="lv-LV"/>
              </w:rPr>
              <w:t>ir saņēmis glābšanas atbalstu un glābšanas atbalsta ietvaros saņemto aizdevumu nav atmaksājis vai garantiju nav atsaucis, vai ir saņēmis pārstrukturēšanas atbalstu un uz to joprojām attiecas pārstrukturēšanas plāns</w:t>
            </w:r>
            <w:r w:rsidR="002D6A10">
              <w:rPr>
                <w:sz w:val="26"/>
                <w:szCs w:val="26"/>
                <w:lang w:val="lv-LV"/>
              </w:rPr>
              <w:t>.</w:t>
            </w:r>
            <w:r w:rsidR="00BB4E62">
              <w:rPr>
                <w:sz w:val="26"/>
                <w:szCs w:val="26"/>
                <w:lang w:val="lv-LV"/>
              </w:rPr>
              <w:t xml:space="preserve"> Ņemot vērā minēto, noteikumu projekts paredz noteikt atbilstošus nosacījumus ilgtermiņa investīciju aizdevuma saņemšanai.</w:t>
            </w:r>
            <w:r w:rsidR="00FB1472">
              <w:rPr>
                <w:sz w:val="26"/>
                <w:szCs w:val="26"/>
                <w:lang w:val="lv-LV"/>
              </w:rPr>
              <w:t xml:space="preserve"> Tā arī</w:t>
            </w:r>
            <w:r w:rsidR="002D6BDB">
              <w:rPr>
                <w:sz w:val="26"/>
                <w:szCs w:val="26"/>
                <w:lang w:val="lv-LV"/>
              </w:rPr>
              <w:t>,</w:t>
            </w:r>
            <w:r w:rsidR="00611ADA">
              <w:rPr>
                <w:sz w:val="26"/>
                <w:szCs w:val="26"/>
                <w:lang w:val="lv-LV"/>
              </w:rPr>
              <w:t xml:space="preserve"> sniedzot ilgtermiņa investīciju aizdevumu, noteikumu projektus paredz</w:t>
            </w:r>
            <w:r w:rsidR="00FB1472">
              <w:rPr>
                <w:sz w:val="26"/>
                <w:szCs w:val="26"/>
                <w:lang w:val="lv-LV"/>
              </w:rPr>
              <w:t xml:space="preserve"> </w:t>
            </w:r>
            <w:r w:rsidR="002D6BDB">
              <w:rPr>
                <w:sz w:val="26"/>
                <w:szCs w:val="26"/>
                <w:lang w:val="lv-LV"/>
              </w:rPr>
              <w:t>„</w:t>
            </w:r>
            <w:r w:rsidR="00FB1472">
              <w:rPr>
                <w:sz w:val="26"/>
                <w:szCs w:val="26"/>
                <w:lang w:val="lv-LV"/>
              </w:rPr>
              <w:t>saistīt</w:t>
            </w:r>
            <w:r w:rsidR="00611ADA">
              <w:rPr>
                <w:sz w:val="26"/>
                <w:szCs w:val="26"/>
                <w:lang w:val="lv-LV"/>
              </w:rPr>
              <w:t xml:space="preserve">o </w:t>
            </w:r>
            <w:r w:rsidR="00FB1472">
              <w:rPr>
                <w:sz w:val="26"/>
                <w:szCs w:val="26"/>
                <w:lang w:val="lv-LV"/>
              </w:rPr>
              <w:t>uzņēmum</w:t>
            </w:r>
            <w:r w:rsidR="00611ADA">
              <w:rPr>
                <w:sz w:val="26"/>
                <w:szCs w:val="26"/>
                <w:lang w:val="lv-LV"/>
              </w:rPr>
              <w:t>u</w:t>
            </w:r>
            <w:r w:rsidR="002D6BDB">
              <w:rPr>
                <w:sz w:val="26"/>
                <w:szCs w:val="26"/>
                <w:lang w:val="lv-LV"/>
              </w:rPr>
              <w:t>” definīciju</w:t>
            </w:r>
            <w:r w:rsidR="00FB1472">
              <w:rPr>
                <w:sz w:val="26"/>
                <w:szCs w:val="26"/>
                <w:lang w:val="lv-LV"/>
              </w:rPr>
              <w:t xml:space="preserve"> noteikt saskaņā ar </w:t>
            </w:r>
            <w:r w:rsidR="00FB1472" w:rsidRPr="00FB1472">
              <w:rPr>
                <w:sz w:val="26"/>
                <w:szCs w:val="26"/>
                <w:lang w:val="lv-LV"/>
              </w:rPr>
              <w:t>Komisijas Regul</w:t>
            </w:r>
            <w:r w:rsidR="00FB1472">
              <w:rPr>
                <w:sz w:val="26"/>
                <w:szCs w:val="26"/>
                <w:lang w:val="lv-LV"/>
              </w:rPr>
              <w:t>u</w:t>
            </w:r>
            <w:r w:rsidR="00FB1472" w:rsidRPr="00FB1472">
              <w:rPr>
                <w:sz w:val="26"/>
                <w:szCs w:val="26"/>
                <w:lang w:val="lv-LV"/>
              </w:rPr>
              <w:t xml:space="preserve"> Nr.651/2014</w:t>
            </w:r>
            <w:r w:rsidR="00FB1472">
              <w:rPr>
                <w:sz w:val="26"/>
                <w:szCs w:val="26"/>
                <w:lang w:val="lv-LV"/>
              </w:rPr>
              <w:t>.</w:t>
            </w:r>
          </w:p>
          <w:p w:rsidR="00807802" w:rsidRDefault="00F30608" w:rsidP="008565FB">
            <w:pPr>
              <w:ind w:firstLine="709"/>
              <w:jc w:val="both"/>
              <w:rPr>
                <w:sz w:val="26"/>
                <w:szCs w:val="26"/>
                <w:lang w:val="lv-LV"/>
              </w:rPr>
            </w:pPr>
            <w:r w:rsidRPr="00CE35E1">
              <w:rPr>
                <w:sz w:val="26"/>
                <w:szCs w:val="26"/>
                <w:lang w:val="lv-LV"/>
              </w:rPr>
              <w:t xml:space="preserve">Līdzšinēji MK noteikumi Nr.241 nosaka, ka </w:t>
            </w:r>
            <w:r w:rsidR="00B46A16" w:rsidRPr="00B46A16">
              <w:rPr>
                <w:sz w:val="26"/>
                <w:szCs w:val="26"/>
                <w:lang w:val="lv-LV"/>
              </w:rPr>
              <w:t xml:space="preserve">investīciju </w:t>
            </w:r>
            <w:r w:rsidR="00B46A16">
              <w:rPr>
                <w:sz w:val="26"/>
                <w:szCs w:val="26"/>
                <w:lang w:val="lv-LV"/>
              </w:rPr>
              <w:t xml:space="preserve">un apgrozāmo līdzekļu </w:t>
            </w:r>
            <w:r w:rsidR="00B46A16" w:rsidRPr="00B46A16">
              <w:rPr>
                <w:sz w:val="26"/>
                <w:szCs w:val="26"/>
                <w:lang w:val="lv-LV"/>
              </w:rPr>
              <w:t>aizdevum</w:t>
            </w:r>
            <w:r w:rsidR="00B46A16">
              <w:rPr>
                <w:sz w:val="26"/>
                <w:szCs w:val="26"/>
                <w:lang w:val="lv-LV"/>
              </w:rPr>
              <w:t>u</w:t>
            </w:r>
            <w:r w:rsidR="00B46A16" w:rsidRPr="00B46A16">
              <w:rPr>
                <w:sz w:val="26"/>
                <w:szCs w:val="26"/>
                <w:lang w:val="lv-LV"/>
              </w:rPr>
              <w:t xml:space="preserve"> gada procentu likme ir vienāda ar kredītiestādes vai tās meitas sabiedrības ilgtermiņa kredīta vai finanšu līzinga gada procentu likmi</w:t>
            </w:r>
            <w:r w:rsidR="00917D6F">
              <w:rPr>
                <w:sz w:val="26"/>
                <w:szCs w:val="26"/>
                <w:lang w:val="lv-LV"/>
              </w:rPr>
              <w:t>. Minētais</w:t>
            </w:r>
            <w:r w:rsidR="00B46A16">
              <w:rPr>
                <w:sz w:val="26"/>
                <w:szCs w:val="26"/>
                <w:lang w:val="lv-LV"/>
              </w:rPr>
              <w:t xml:space="preserve"> nozīmē, ka</w:t>
            </w:r>
            <w:r w:rsidR="00917D6F">
              <w:rPr>
                <w:sz w:val="26"/>
                <w:szCs w:val="26"/>
                <w:lang w:val="lv-LV"/>
              </w:rPr>
              <w:t xml:space="preserve"> gadījumos, kad komercbanka vai tās meitas sabiedrība </w:t>
            </w:r>
            <w:r w:rsidR="00917D6F" w:rsidRPr="00917D6F">
              <w:rPr>
                <w:sz w:val="26"/>
                <w:szCs w:val="26"/>
                <w:lang w:val="lv-LV"/>
              </w:rPr>
              <w:t xml:space="preserve">piemēro kredītu procentu likmi, kas </w:t>
            </w:r>
            <w:r w:rsidR="00954541">
              <w:rPr>
                <w:sz w:val="26"/>
                <w:szCs w:val="26"/>
                <w:lang w:val="lv-LV"/>
              </w:rPr>
              <w:t xml:space="preserve">ir </w:t>
            </w:r>
            <w:r w:rsidR="00917D6F" w:rsidRPr="00917D6F">
              <w:rPr>
                <w:sz w:val="26"/>
                <w:szCs w:val="26"/>
                <w:lang w:val="lv-LV"/>
              </w:rPr>
              <w:t>piesaistīta kādai no</w:t>
            </w:r>
            <w:r w:rsidR="00917D6F">
              <w:rPr>
                <w:sz w:val="26"/>
                <w:szCs w:val="26"/>
                <w:lang w:val="lv-LV"/>
              </w:rPr>
              <w:t xml:space="preserve"> naudas tirgus procentu likmēm (</w:t>
            </w:r>
            <w:r w:rsidR="008A0A32">
              <w:rPr>
                <w:sz w:val="26"/>
                <w:szCs w:val="26"/>
                <w:lang w:val="lv-LV"/>
              </w:rPr>
              <w:t xml:space="preserve">piemēram, </w:t>
            </w:r>
            <w:r w:rsidR="00917D6F" w:rsidRPr="00917D6F">
              <w:rPr>
                <w:sz w:val="26"/>
                <w:szCs w:val="26"/>
                <w:lang w:val="lv-LV"/>
              </w:rPr>
              <w:t>EURIBOR, LIBOR</w:t>
            </w:r>
            <w:r w:rsidR="00917D6F">
              <w:rPr>
                <w:sz w:val="26"/>
                <w:szCs w:val="26"/>
                <w:lang w:val="lv-LV"/>
              </w:rPr>
              <w:t>),</w:t>
            </w:r>
            <w:r w:rsidR="00B46A16">
              <w:rPr>
                <w:sz w:val="26"/>
                <w:szCs w:val="26"/>
                <w:lang w:val="lv-LV"/>
              </w:rPr>
              <w:t xml:space="preserve"> SIA „Latvijas Garantiju aģentūra</w:t>
            </w:r>
            <w:r w:rsidR="00917D6F">
              <w:rPr>
                <w:sz w:val="26"/>
                <w:szCs w:val="26"/>
                <w:lang w:val="lv-LV"/>
              </w:rPr>
              <w:t xml:space="preserve">” </w:t>
            </w:r>
            <w:r w:rsidR="003913FB">
              <w:rPr>
                <w:sz w:val="26"/>
                <w:szCs w:val="26"/>
                <w:lang w:val="lv-LV"/>
              </w:rPr>
              <w:t xml:space="preserve">(turpmāk – LGA) </w:t>
            </w:r>
            <w:r w:rsidR="00917D6F">
              <w:rPr>
                <w:sz w:val="26"/>
                <w:szCs w:val="26"/>
                <w:lang w:val="lv-LV"/>
              </w:rPr>
              <w:t xml:space="preserve">pirms kārtējā rēķina </w:t>
            </w:r>
            <w:r w:rsidR="003913FB">
              <w:rPr>
                <w:sz w:val="26"/>
                <w:szCs w:val="26"/>
                <w:lang w:val="lv-LV"/>
              </w:rPr>
              <w:t>saimnieciskā darbības veic</w:t>
            </w:r>
            <w:r w:rsidR="008503CA">
              <w:rPr>
                <w:sz w:val="26"/>
                <w:szCs w:val="26"/>
                <w:lang w:val="lv-LV"/>
              </w:rPr>
              <w:t>ējam</w:t>
            </w:r>
            <w:r w:rsidR="003913FB">
              <w:rPr>
                <w:sz w:val="26"/>
                <w:szCs w:val="26"/>
                <w:lang w:val="lv-LV"/>
              </w:rPr>
              <w:t xml:space="preserve"> </w:t>
            </w:r>
            <w:r w:rsidR="00917D6F">
              <w:rPr>
                <w:sz w:val="26"/>
                <w:szCs w:val="26"/>
                <w:lang w:val="lv-LV"/>
              </w:rPr>
              <w:t>izrakstīšanas</w:t>
            </w:r>
            <w:r w:rsidR="003913FB">
              <w:rPr>
                <w:sz w:val="26"/>
                <w:szCs w:val="26"/>
                <w:lang w:val="lv-LV"/>
              </w:rPr>
              <w:t>,</w:t>
            </w:r>
            <w:r w:rsidR="00917D6F">
              <w:rPr>
                <w:sz w:val="26"/>
                <w:szCs w:val="26"/>
                <w:lang w:val="lv-LV"/>
              </w:rPr>
              <w:t xml:space="preserve"> sazinoties ar komercbanku vai tās meitas sabiedrību, </w:t>
            </w:r>
            <w:r w:rsidR="00954541">
              <w:rPr>
                <w:sz w:val="26"/>
                <w:szCs w:val="26"/>
                <w:lang w:val="lv-LV"/>
              </w:rPr>
              <w:t xml:space="preserve">noskaidro aktuālo komercbankas vai tās meitas sabiedrības izsniegtajam aizdevumam piesaistīto naudas tirgus procentu likmi </w:t>
            </w:r>
            <w:r w:rsidR="00917D6F" w:rsidRPr="00917D6F">
              <w:rPr>
                <w:sz w:val="26"/>
                <w:szCs w:val="26"/>
                <w:lang w:val="lv-LV"/>
              </w:rPr>
              <w:t>pēc kārtējā</w:t>
            </w:r>
            <w:r w:rsidR="00917D6F">
              <w:rPr>
                <w:sz w:val="26"/>
                <w:szCs w:val="26"/>
                <w:lang w:val="lv-LV"/>
              </w:rPr>
              <w:t xml:space="preserve">s </w:t>
            </w:r>
            <w:r w:rsidR="00954541">
              <w:rPr>
                <w:sz w:val="26"/>
                <w:szCs w:val="26"/>
                <w:lang w:val="lv-LV"/>
              </w:rPr>
              <w:t>a</w:t>
            </w:r>
            <w:r w:rsidR="00917D6F" w:rsidRPr="00917D6F">
              <w:rPr>
                <w:sz w:val="26"/>
                <w:szCs w:val="26"/>
                <w:lang w:val="lv-LV"/>
              </w:rPr>
              <w:t>izdevuma likmes maiņas perioda</w:t>
            </w:r>
            <w:r w:rsidR="00954541">
              <w:rPr>
                <w:sz w:val="26"/>
                <w:szCs w:val="26"/>
                <w:lang w:val="lv-LV"/>
              </w:rPr>
              <w:t xml:space="preserve">. Ņemot vērā, ka katras komercbankas vai tās meitas sabiedrības </w:t>
            </w:r>
            <w:r w:rsidR="003913FB">
              <w:rPr>
                <w:sz w:val="26"/>
                <w:szCs w:val="26"/>
                <w:lang w:val="lv-LV"/>
              </w:rPr>
              <w:t xml:space="preserve">aizdevuma procentu likmei </w:t>
            </w:r>
            <w:r w:rsidR="00954541">
              <w:rPr>
                <w:sz w:val="26"/>
                <w:szCs w:val="26"/>
                <w:lang w:val="lv-LV"/>
              </w:rPr>
              <w:t>piesaistītās naudas tirgus procentu likmes maiņas periods ir atšķirīgs, tad šāda mezanīna aizdevuma kopējās</w:t>
            </w:r>
            <w:r w:rsidR="003913FB">
              <w:rPr>
                <w:sz w:val="26"/>
                <w:szCs w:val="26"/>
                <w:lang w:val="lv-LV"/>
              </w:rPr>
              <w:t xml:space="preserve"> gada proc</w:t>
            </w:r>
            <w:r w:rsidR="00954541">
              <w:rPr>
                <w:sz w:val="26"/>
                <w:szCs w:val="26"/>
                <w:lang w:val="lv-LV"/>
              </w:rPr>
              <w:t>e</w:t>
            </w:r>
            <w:r w:rsidR="003913FB">
              <w:rPr>
                <w:sz w:val="26"/>
                <w:szCs w:val="26"/>
                <w:lang w:val="lv-LV"/>
              </w:rPr>
              <w:t>n</w:t>
            </w:r>
            <w:r w:rsidR="00954541">
              <w:rPr>
                <w:sz w:val="26"/>
                <w:szCs w:val="26"/>
                <w:lang w:val="lv-LV"/>
              </w:rPr>
              <w:t>t</w:t>
            </w:r>
            <w:r w:rsidR="003913FB">
              <w:rPr>
                <w:sz w:val="26"/>
                <w:szCs w:val="26"/>
                <w:lang w:val="lv-LV"/>
              </w:rPr>
              <w:t>u</w:t>
            </w:r>
            <w:r w:rsidR="00954541">
              <w:rPr>
                <w:sz w:val="26"/>
                <w:szCs w:val="26"/>
                <w:lang w:val="lv-LV"/>
              </w:rPr>
              <w:t xml:space="preserve"> likmes noteikšanas metodika ir komplicēta</w:t>
            </w:r>
            <w:r w:rsidR="008503CA">
              <w:rPr>
                <w:sz w:val="26"/>
                <w:szCs w:val="26"/>
                <w:lang w:val="lv-LV"/>
              </w:rPr>
              <w:t>,</w:t>
            </w:r>
            <w:r w:rsidR="00954541">
              <w:rPr>
                <w:sz w:val="26"/>
                <w:szCs w:val="26"/>
                <w:lang w:val="lv-LV"/>
              </w:rPr>
              <w:t xml:space="preserve"> un </w:t>
            </w:r>
            <w:r w:rsidR="008503CA">
              <w:rPr>
                <w:sz w:val="26"/>
                <w:szCs w:val="26"/>
                <w:lang w:val="lv-LV"/>
              </w:rPr>
              <w:t xml:space="preserve">tā </w:t>
            </w:r>
            <w:r w:rsidR="00954541">
              <w:rPr>
                <w:sz w:val="26"/>
                <w:szCs w:val="26"/>
                <w:lang w:val="lv-LV"/>
              </w:rPr>
              <w:t xml:space="preserve">apgrūtina </w:t>
            </w:r>
            <w:r w:rsidR="003913FB">
              <w:rPr>
                <w:sz w:val="26"/>
                <w:szCs w:val="26"/>
                <w:lang w:val="lv-LV"/>
              </w:rPr>
              <w:t xml:space="preserve">LGA nodrošināt </w:t>
            </w:r>
            <w:r w:rsidR="00954541">
              <w:rPr>
                <w:sz w:val="26"/>
                <w:szCs w:val="26"/>
                <w:lang w:val="lv-LV"/>
              </w:rPr>
              <w:t xml:space="preserve">līguma nosacījumu izpildi attiecībā uz </w:t>
            </w:r>
            <w:r w:rsidR="003913FB">
              <w:rPr>
                <w:sz w:val="26"/>
                <w:szCs w:val="26"/>
                <w:lang w:val="lv-LV"/>
              </w:rPr>
              <w:t xml:space="preserve">kārtējā </w:t>
            </w:r>
            <w:r w:rsidR="00954541">
              <w:rPr>
                <w:sz w:val="26"/>
                <w:szCs w:val="26"/>
                <w:lang w:val="lv-LV"/>
              </w:rPr>
              <w:t>rēķin</w:t>
            </w:r>
            <w:r w:rsidR="003913FB">
              <w:rPr>
                <w:sz w:val="26"/>
                <w:szCs w:val="26"/>
                <w:lang w:val="lv-LV"/>
              </w:rPr>
              <w:t>a</w:t>
            </w:r>
            <w:r w:rsidR="00954541">
              <w:rPr>
                <w:sz w:val="26"/>
                <w:szCs w:val="26"/>
                <w:lang w:val="lv-LV"/>
              </w:rPr>
              <w:t xml:space="preserve"> sagatavo</w:t>
            </w:r>
            <w:r w:rsidR="003913FB">
              <w:rPr>
                <w:sz w:val="26"/>
                <w:szCs w:val="26"/>
                <w:lang w:val="lv-LV"/>
              </w:rPr>
              <w:t>šanas termiņu</w:t>
            </w:r>
            <w:r w:rsidR="00954541">
              <w:rPr>
                <w:sz w:val="26"/>
                <w:szCs w:val="26"/>
                <w:lang w:val="lv-LV"/>
              </w:rPr>
              <w:t xml:space="preserve">. </w:t>
            </w:r>
            <w:r w:rsidR="00047095">
              <w:rPr>
                <w:sz w:val="26"/>
                <w:szCs w:val="26"/>
                <w:lang w:val="lv-LV"/>
              </w:rPr>
              <w:t xml:space="preserve">Turklāt </w:t>
            </w:r>
            <w:r w:rsidR="00954541" w:rsidRPr="00954541">
              <w:rPr>
                <w:sz w:val="26"/>
                <w:szCs w:val="26"/>
                <w:lang w:val="lv-LV"/>
              </w:rPr>
              <w:t xml:space="preserve">AS </w:t>
            </w:r>
            <w:r w:rsidR="00954541">
              <w:rPr>
                <w:sz w:val="26"/>
                <w:szCs w:val="26"/>
                <w:lang w:val="lv-LV"/>
              </w:rPr>
              <w:t>„</w:t>
            </w:r>
            <w:r w:rsidR="00954541" w:rsidRPr="00954541">
              <w:rPr>
                <w:sz w:val="26"/>
                <w:szCs w:val="26"/>
                <w:lang w:val="lv-LV"/>
              </w:rPr>
              <w:t>Attīstības finanšu institūcija</w:t>
            </w:r>
            <w:r w:rsidR="00954541">
              <w:rPr>
                <w:sz w:val="26"/>
                <w:szCs w:val="26"/>
                <w:lang w:val="lv-LV"/>
              </w:rPr>
              <w:t>” (turpmāk – AFI)</w:t>
            </w:r>
            <w:r w:rsidR="00EE4C51">
              <w:t xml:space="preserve"> </w:t>
            </w:r>
            <w:r w:rsidR="00EE4C51" w:rsidRPr="00EE4C51">
              <w:rPr>
                <w:sz w:val="26"/>
                <w:szCs w:val="26"/>
                <w:lang w:val="lv-LV"/>
              </w:rPr>
              <w:t>restrukturizācijas proces</w:t>
            </w:r>
            <w:r w:rsidR="00EE4C51">
              <w:rPr>
                <w:sz w:val="26"/>
                <w:szCs w:val="26"/>
                <w:lang w:val="lv-LV"/>
              </w:rPr>
              <w:t xml:space="preserve">s paredz, ka mezanīna aizdevumu administrēšana tiks veikta atbilstoši līdzšinējai </w:t>
            </w:r>
            <w:r w:rsidR="00EE4C51" w:rsidRPr="00EE4C51">
              <w:rPr>
                <w:sz w:val="26"/>
                <w:szCs w:val="26"/>
                <w:lang w:val="lv-LV"/>
              </w:rPr>
              <w:t>VAS „Attīstības finanšu institūcija</w:t>
            </w:r>
            <w:r w:rsidR="002D6BDB">
              <w:rPr>
                <w:sz w:val="26"/>
                <w:szCs w:val="26"/>
                <w:lang w:val="lv-LV"/>
              </w:rPr>
              <w:t xml:space="preserve"> ALTUM</w:t>
            </w:r>
            <w:r w:rsidR="00EE4C51" w:rsidRPr="00EE4C51">
              <w:rPr>
                <w:sz w:val="26"/>
                <w:szCs w:val="26"/>
                <w:lang w:val="lv-LV"/>
              </w:rPr>
              <w:t xml:space="preserve">” </w:t>
            </w:r>
            <w:r w:rsidR="00EE4C51">
              <w:rPr>
                <w:sz w:val="26"/>
                <w:szCs w:val="26"/>
                <w:lang w:val="lv-LV"/>
              </w:rPr>
              <w:t xml:space="preserve">aizdevumu </w:t>
            </w:r>
            <w:r w:rsidR="00EE4C51" w:rsidRPr="00EE4C51">
              <w:rPr>
                <w:sz w:val="26"/>
                <w:szCs w:val="26"/>
                <w:lang w:val="lv-LV"/>
              </w:rPr>
              <w:t>uzskaites sistēmai un principiem</w:t>
            </w:r>
            <w:r w:rsidR="00047095">
              <w:rPr>
                <w:sz w:val="26"/>
                <w:szCs w:val="26"/>
                <w:lang w:val="lv-LV"/>
              </w:rPr>
              <w:t xml:space="preserve">. Ņemot vērā minēto, </w:t>
            </w:r>
            <w:r w:rsidR="00954541">
              <w:rPr>
                <w:sz w:val="26"/>
                <w:szCs w:val="26"/>
                <w:lang w:val="lv-LV"/>
              </w:rPr>
              <w:t>ir nepieciešams</w:t>
            </w:r>
            <w:r w:rsidR="003913FB">
              <w:rPr>
                <w:sz w:val="26"/>
                <w:szCs w:val="26"/>
                <w:lang w:val="lv-LV"/>
              </w:rPr>
              <w:t xml:space="preserve"> nodrošināt, ka</w:t>
            </w:r>
            <w:r w:rsidR="00954541">
              <w:rPr>
                <w:sz w:val="26"/>
                <w:szCs w:val="26"/>
                <w:lang w:val="lv-LV"/>
              </w:rPr>
              <w:t xml:space="preserve"> </w:t>
            </w:r>
            <w:r w:rsidR="003913FB">
              <w:rPr>
                <w:sz w:val="26"/>
                <w:szCs w:val="26"/>
                <w:lang w:val="lv-LV"/>
              </w:rPr>
              <w:t>MK noteikumu Nr.241</w:t>
            </w:r>
            <w:r w:rsidR="00954541">
              <w:rPr>
                <w:sz w:val="26"/>
                <w:szCs w:val="26"/>
                <w:lang w:val="lv-LV"/>
              </w:rPr>
              <w:t xml:space="preserve"> ietvaros </w:t>
            </w:r>
            <w:r w:rsidR="00970D58">
              <w:rPr>
                <w:sz w:val="26"/>
                <w:szCs w:val="26"/>
                <w:lang w:val="lv-LV"/>
              </w:rPr>
              <w:t xml:space="preserve">mezanīna </w:t>
            </w:r>
            <w:r w:rsidR="00970D58">
              <w:rPr>
                <w:sz w:val="26"/>
                <w:szCs w:val="26"/>
                <w:lang w:val="lv-LV"/>
              </w:rPr>
              <w:lastRenderedPageBreak/>
              <w:t xml:space="preserve">aizdevumam pievienotās </w:t>
            </w:r>
            <w:r w:rsidR="00954541" w:rsidRPr="00954541">
              <w:rPr>
                <w:sz w:val="26"/>
                <w:szCs w:val="26"/>
                <w:lang w:val="lv-LV"/>
              </w:rPr>
              <w:t>naudas tirgus procentu likmju noteikšana</w:t>
            </w:r>
            <w:r w:rsidR="00970D58">
              <w:rPr>
                <w:sz w:val="26"/>
                <w:szCs w:val="26"/>
                <w:lang w:val="lv-LV"/>
              </w:rPr>
              <w:t>s metodika</w:t>
            </w:r>
            <w:r w:rsidR="00954541">
              <w:rPr>
                <w:sz w:val="26"/>
                <w:szCs w:val="26"/>
                <w:lang w:val="lv-LV"/>
              </w:rPr>
              <w:t xml:space="preserve"> būtu atbilsto</w:t>
            </w:r>
            <w:r w:rsidR="00970D58">
              <w:rPr>
                <w:sz w:val="26"/>
                <w:szCs w:val="26"/>
                <w:lang w:val="lv-LV"/>
              </w:rPr>
              <w:t>ša</w:t>
            </w:r>
            <w:r w:rsidR="00047095">
              <w:rPr>
                <w:sz w:val="26"/>
                <w:szCs w:val="26"/>
                <w:lang w:val="lv-LV"/>
              </w:rPr>
              <w:t xml:space="preserve"> plānotajai</w:t>
            </w:r>
            <w:r w:rsidR="00954541" w:rsidRPr="00954541">
              <w:rPr>
                <w:sz w:val="26"/>
                <w:szCs w:val="26"/>
                <w:lang w:val="lv-LV"/>
              </w:rPr>
              <w:t xml:space="preserve"> </w:t>
            </w:r>
            <w:r w:rsidR="00EE4C51">
              <w:rPr>
                <w:sz w:val="26"/>
                <w:szCs w:val="26"/>
                <w:lang w:val="lv-LV"/>
              </w:rPr>
              <w:t xml:space="preserve">jaunajai </w:t>
            </w:r>
            <w:r w:rsidR="00047095">
              <w:rPr>
                <w:sz w:val="26"/>
                <w:szCs w:val="26"/>
                <w:lang w:val="lv-LV"/>
              </w:rPr>
              <w:t xml:space="preserve">aizdevumu </w:t>
            </w:r>
            <w:r w:rsidR="00EE4C51">
              <w:rPr>
                <w:sz w:val="26"/>
                <w:szCs w:val="26"/>
                <w:lang w:val="lv-LV"/>
              </w:rPr>
              <w:t>uzskaites sistēmai</w:t>
            </w:r>
            <w:r w:rsidR="003913FB">
              <w:rPr>
                <w:sz w:val="26"/>
                <w:szCs w:val="26"/>
                <w:lang w:val="lv-LV"/>
              </w:rPr>
              <w:t xml:space="preserve">, kas tostarp paredz </w:t>
            </w:r>
            <w:r w:rsidR="00970D58">
              <w:rPr>
                <w:sz w:val="26"/>
                <w:szCs w:val="26"/>
                <w:lang w:val="lv-LV"/>
              </w:rPr>
              <w:t xml:space="preserve">aizdevumam pievienotās </w:t>
            </w:r>
            <w:r w:rsidR="003913FB">
              <w:rPr>
                <w:sz w:val="26"/>
                <w:szCs w:val="26"/>
                <w:lang w:val="lv-LV"/>
              </w:rPr>
              <w:t>naudas tirgus procentu likmi noteikt kārtējā mēneša</w:t>
            </w:r>
            <w:r w:rsidR="00970D58">
              <w:rPr>
                <w:sz w:val="26"/>
                <w:szCs w:val="26"/>
                <w:lang w:val="lv-LV"/>
              </w:rPr>
              <w:t xml:space="preserve"> ietvaros</w:t>
            </w:r>
            <w:r w:rsidR="00954541" w:rsidRPr="00954541">
              <w:rPr>
                <w:sz w:val="26"/>
                <w:szCs w:val="26"/>
                <w:lang w:val="lv-LV"/>
              </w:rPr>
              <w:t>, skaitot no iepriekšējā atmaksas datuma, nevis par iepriekšējo kalendāro mēnesi</w:t>
            </w:r>
            <w:r w:rsidR="003913FB">
              <w:rPr>
                <w:sz w:val="26"/>
                <w:szCs w:val="26"/>
                <w:lang w:val="lv-LV"/>
              </w:rPr>
              <w:t>, kā to līdzšinēji noteica LGA</w:t>
            </w:r>
            <w:r w:rsidR="00970D58">
              <w:rPr>
                <w:sz w:val="26"/>
                <w:szCs w:val="26"/>
                <w:lang w:val="lv-LV"/>
              </w:rPr>
              <w:t xml:space="preserve"> mezanīna</w:t>
            </w:r>
            <w:r w:rsidR="002D6BDB">
              <w:rPr>
                <w:sz w:val="26"/>
                <w:szCs w:val="26"/>
                <w:lang w:val="lv-LV"/>
              </w:rPr>
              <w:t xml:space="preserve"> aizdevuma</w:t>
            </w:r>
            <w:r w:rsidR="00970D58">
              <w:rPr>
                <w:sz w:val="26"/>
                <w:szCs w:val="26"/>
                <w:lang w:val="lv-LV"/>
              </w:rPr>
              <w:t xml:space="preserve"> instrumenta ietvaros</w:t>
            </w:r>
            <w:r w:rsidR="003913FB">
              <w:rPr>
                <w:sz w:val="26"/>
                <w:szCs w:val="26"/>
                <w:lang w:val="lv-LV"/>
              </w:rPr>
              <w:t xml:space="preserve">. </w:t>
            </w:r>
            <w:r w:rsidR="00047095">
              <w:rPr>
                <w:sz w:val="26"/>
                <w:szCs w:val="26"/>
                <w:lang w:val="lv-LV"/>
              </w:rPr>
              <w:t>Tādejādi</w:t>
            </w:r>
            <w:r w:rsidR="003913FB">
              <w:rPr>
                <w:sz w:val="26"/>
                <w:szCs w:val="26"/>
                <w:lang w:val="lv-LV"/>
              </w:rPr>
              <w:t xml:space="preserve"> noteikumu projekts paredz veikt atbilstošus grozījumus MK noteikumu Nr.241 normās, kas nosaka mezanīna aizdevumu </w:t>
            </w:r>
            <w:r w:rsidR="008503CA">
              <w:rPr>
                <w:sz w:val="26"/>
                <w:szCs w:val="26"/>
                <w:lang w:val="lv-LV"/>
              </w:rPr>
              <w:t xml:space="preserve">kopējās gada </w:t>
            </w:r>
            <w:r w:rsidR="003913FB">
              <w:rPr>
                <w:sz w:val="26"/>
                <w:szCs w:val="26"/>
                <w:lang w:val="lv-LV"/>
              </w:rPr>
              <w:t xml:space="preserve">procentu likmes noteikšanas nosacījumus. </w:t>
            </w:r>
            <w:r w:rsidR="008503CA" w:rsidRPr="004C0FE6">
              <w:rPr>
                <w:sz w:val="26"/>
                <w:szCs w:val="26"/>
                <w:lang w:val="lv-LV"/>
              </w:rPr>
              <w:t>Mezanīna aizdevumam pievienotās n</w:t>
            </w:r>
            <w:r w:rsidR="00970D58" w:rsidRPr="004C0FE6">
              <w:rPr>
                <w:sz w:val="26"/>
                <w:szCs w:val="26"/>
                <w:lang w:val="lv-LV"/>
              </w:rPr>
              <w:t>audas</w:t>
            </w:r>
            <w:r w:rsidR="003913FB" w:rsidRPr="004C0FE6">
              <w:rPr>
                <w:sz w:val="26"/>
                <w:szCs w:val="26"/>
                <w:lang w:val="lv-LV"/>
              </w:rPr>
              <w:t xml:space="preserve"> tirgus likmes </w:t>
            </w:r>
            <w:r w:rsidR="008503CA" w:rsidRPr="004C0FE6">
              <w:rPr>
                <w:sz w:val="26"/>
                <w:szCs w:val="26"/>
                <w:lang w:val="lv-LV"/>
              </w:rPr>
              <w:t xml:space="preserve">noteikšanas metodikas maiņa </w:t>
            </w:r>
            <w:r w:rsidR="003913FB" w:rsidRPr="004C0FE6">
              <w:rPr>
                <w:sz w:val="26"/>
                <w:szCs w:val="26"/>
                <w:lang w:val="lv-LV"/>
              </w:rPr>
              <w:t>neparedz būtisku ietekmi uz kopēj</w:t>
            </w:r>
            <w:r w:rsidR="00970D58" w:rsidRPr="004C0FE6">
              <w:rPr>
                <w:sz w:val="26"/>
                <w:szCs w:val="26"/>
                <w:lang w:val="lv-LV"/>
              </w:rPr>
              <w:t>o</w:t>
            </w:r>
            <w:r w:rsidR="003913FB" w:rsidRPr="004C0FE6">
              <w:rPr>
                <w:sz w:val="26"/>
                <w:szCs w:val="26"/>
                <w:lang w:val="lv-LV"/>
              </w:rPr>
              <w:t xml:space="preserve"> mezanīna aizdevumu gada procentu likmi</w:t>
            </w:r>
            <w:r w:rsidR="00047095" w:rsidRPr="004C0FE6">
              <w:rPr>
                <w:sz w:val="26"/>
                <w:szCs w:val="26"/>
                <w:lang w:val="lv-LV"/>
              </w:rPr>
              <w:t xml:space="preserve">, </w:t>
            </w:r>
            <w:r w:rsidR="004C0FE6" w:rsidRPr="004C0FE6">
              <w:rPr>
                <w:sz w:val="26"/>
                <w:szCs w:val="26"/>
                <w:lang w:val="lv-LV"/>
              </w:rPr>
              <w:t>un šāda mainīta pievienotās naudas tirgus procentu likmes noteikšanas metodika tiks piemērota tikai kārtējiem rēķiniem spēkā esošo līgumu ietvaros, pirms tam veicot atbilstošus grozījumus līgumos,</w:t>
            </w:r>
            <w:r w:rsidR="00415A66">
              <w:rPr>
                <w:sz w:val="26"/>
                <w:szCs w:val="26"/>
                <w:lang w:val="lv-LV"/>
              </w:rPr>
              <w:t xml:space="preserve"> ja saimnieciskās darbības veicējs piekr</w:t>
            </w:r>
            <w:r w:rsidR="00A73448">
              <w:rPr>
                <w:sz w:val="26"/>
                <w:szCs w:val="26"/>
                <w:lang w:val="lv-LV"/>
              </w:rPr>
              <w:t>itīs</w:t>
            </w:r>
            <w:r w:rsidR="00415A66">
              <w:rPr>
                <w:sz w:val="26"/>
                <w:szCs w:val="26"/>
                <w:lang w:val="lv-LV"/>
              </w:rPr>
              <w:t xml:space="preserve"> šādu grozījumu veikšanai,</w:t>
            </w:r>
            <w:r w:rsidR="004C0FE6" w:rsidRPr="004C0FE6">
              <w:rPr>
                <w:sz w:val="26"/>
                <w:szCs w:val="26"/>
                <w:lang w:val="lv-LV"/>
              </w:rPr>
              <w:t xml:space="preserve"> un jauniem līgumiem.</w:t>
            </w:r>
            <w:r w:rsidR="00415A66">
              <w:rPr>
                <w:sz w:val="26"/>
                <w:szCs w:val="26"/>
                <w:lang w:val="lv-LV"/>
              </w:rPr>
              <w:t xml:space="preserve"> Gadījumā, ja saimnieciskās darbības veicējs nepiekritīs grozījumiem noslēgto līgumu ietvaros</w:t>
            </w:r>
            <w:r w:rsidR="00A73448">
              <w:rPr>
                <w:sz w:val="26"/>
                <w:szCs w:val="26"/>
                <w:lang w:val="lv-LV"/>
              </w:rPr>
              <w:t>,</w:t>
            </w:r>
            <w:r w:rsidR="00415A66">
              <w:rPr>
                <w:sz w:val="26"/>
                <w:szCs w:val="26"/>
                <w:lang w:val="lv-LV"/>
              </w:rPr>
              <w:t xml:space="preserve"> tiks piemērota līgumā noteiktā pieeja mezanīna aizdevuma gada procentu likmes noteikšanai.</w:t>
            </w:r>
          </w:p>
          <w:p w:rsidR="00D455A4" w:rsidRDefault="008503CA" w:rsidP="008565FB">
            <w:pPr>
              <w:ind w:firstLine="709"/>
              <w:jc w:val="both"/>
              <w:rPr>
                <w:sz w:val="26"/>
                <w:szCs w:val="26"/>
                <w:lang w:val="lv-LV"/>
              </w:rPr>
            </w:pPr>
            <w:r>
              <w:rPr>
                <w:sz w:val="26"/>
                <w:szCs w:val="26"/>
                <w:lang w:val="lv-LV"/>
              </w:rPr>
              <w:t xml:space="preserve">MK noteikumi Nr.241 nosaka, ka </w:t>
            </w:r>
            <w:r w:rsidRPr="008503CA">
              <w:rPr>
                <w:sz w:val="26"/>
                <w:szCs w:val="26"/>
                <w:lang w:val="lv-LV"/>
              </w:rPr>
              <w:t xml:space="preserve">Eiropas Savienības struktūrfondu finansējumu nepiešķir, </w:t>
            </w:r>
            <w:r>
              <w:rPr>
                <w:sz w:val="26"/>
                <w:szCs w:val="26"/>
                <w:lang w:val="lv-LV"/>
              </w:rPr>
              <w:t>ja saimnieciskās darbības veicējs līdzšinēji</w:t>
            </w:r>
            <w:r w:rsidRPr="008503CA">
              <w:rPr>
                <w:sz w:val="26"/>
                <w:szCs w:val="26"/>
                <w:lang w:val="lv-LV"/>
              </w:rPr>
              <w:t xml:space="preserve"> ir saņēmis vai paredz saņemt finansējumu par tām pašām attiecināmajām izmaksām no valsts, pašvaldības vai Eiropas Savienības līdzekļiem</w:t>
            </w:r>
            <w:r>
              <w:rPr>
                <w:sz w:val="26"/>
                <w:szCs w:val="26"/>
                <w:lang w:val="lv-LV"/>
              </w:rPr>
              <w:t>. Lai ierobežotu dubultā finansējuma risku un nodrošinātu mērķtiecīgu ierobežotā finansējuma izlietošanu, noteikumu projekts nosaka, ka atbalstu MK noteikumu Nr.241 ietvaros nevar saņemt</w:t>
            </w:r>
            <w:r w:rsidR="002D6BDB">
              <w:rPr>
                <w:sz w:val="26"/>
                <w:szCs w:val="26"/>
                <w:lang w:val="lv-LV"/>
              </w:rPr>
              <w:t xml:space="preserve"> arī tad</w:t>
            </w:r>
            <w:r>
              <w:rPr>
                <w:sz w:val="26"/>
                <w:szCs w:val="26"/>
                <w:lang w:val="lv-LV"/>
              </w:rPr>
              <w:t xml:space="preserve">, ja par tām pašām attiecināmajām izmaksām līdzšinēji ir saņemts vai ir paredzēts saņemt atbalstu </w:t>
            </w:r>
            <w:r w:rsidR="008565FB">
              <w:rPr>
                <w:sz w:val="26"/>
                <w:szCs w:val="26"/>
                <w:lang w:val="lv-LV"/>
              </w:rPr>
              <w:t xml:space="preserve">no </w:t>
            </w:r>
            <w:r w:rsidRPr="008503CA">
              <w:rPr>
                <w:sz w:val="26"/>
                <w:szCs w:val="26"/>
                <w:lang w:val="lv-LV"/>
              </w:rPr>
              <w:t>Eiropas Ekonomikas zonas finanšu instrumenta un Norvēģijas finanšu instrumenta</w:t>
            </w:r>
            <w:r>
              <w:rPr>
                <w:sz w:val="26"/>
                <w:szCs w:val="26"/>
                <w:lang w:val="lv-LV"/>
              </w:rPr>
              <w:t xml:space="preserve"> </w:t>
            </w:r>
            <w:r w:rsidR="008565FB">
              <w:rPr>
                <w:sz w:val="26"/>
                <w:szCs w:val="26"/>
                <w:lang w:val="lv-LV"/>
              </w:rPr>
              <w:t>līdzekļiem.</w:t>
            </w:r>
          </w:p>
          <w:p w:rsidR="00757367" w:rsidRDefault="00757367" w:rsidP="008565FB">
            <w:pPr>
              <w:ind w:firstLine="709"/>
              <w:jc w:val="both"/>
              <w:rPr>
                <w:sz w:val="26"/>
                <w:szCs w:val="26"/>
                <w:lang w:val="lv-LV"/>
              </w:rPr>
            </w:pPr>
            <w:r w:rsidRPr="002D6BDB">
              <w:rPr>
                <w:sz w:val="26"/>
                <w:szCs w:val="26"/>
                <w:lang w:val="lv-LV"/>
              </w:rPr>
              <w:t>MK noteikumi Nr.241 nosaka, ka informāciju par izsniegto atbalstu publicē valsts atbalsta tīmekļa vietnē. Ņemot vērā, ka līdzšinēji nav izstrādāta un pieejama šāda valsts atbalsta tīmekļa vietne, noteikumu projekts paredz precizēt līdzšinējo MK noteikumu Nr.241 43.</w:t>
            </w:r>
            <w:r w:rsidRPr="002D6BDB">
              <w:rPr>
                <w:sz w:val="26"/>
                <w:szCs w:val="26"/>
                <w:vertAlign w:val="superscript"/>
                <w:lang w:val="lv-LV"/>
              </w:rPr>
              <w:t>2</w:t>
            </w:r>
            <w:r w:rsidRPr="002D6BDB">
              <w:rPr>
                <w:sz w:val="26"/>
                <w:szCs w:val="26"/>
                <w:lang w:val="lv-LV"/>
              </w:rPr>
              <w:t xml:space="preserve"> punkta redakciju, nosakot, ka informāciju LGA publicē savā mājās lapā.</w:t>
            </w:r>
          </w:p>
          <w:p w:rsidR="002A6400" w:rsidRPr="00CE35E1" w:rsidRDefault="002A6400" w:rsidP="008565FB">
            <w:pPr>
              <w:ind w:firstLine="709"/>
              <w:jc w:val="both"/>
              <w:rPr>
                <w:sz w:val="26"/>
                <w:szCs w:val="26"/>
                <w:lang w:val="lv-LV"/>
              </w:rPr>
            </w:pPr>
          </w:p>
        </w:tc>
      </w:tr>
      <w:tr w:rsidR="00EA6CD3"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8565FB" w:rsidP="00CB6AC4">
            <w:pPr>
              <w:ind w:firstLine="720"/>
              <w:jc w:val="both"/>
              <w:rPr>
                <w:sz w:val="26"/>
                <w:szCs w:val="26"/>
                <w:lang w:val="lv-LV"/>
              </w:rPr>
            </w:pPr>
            <w:r>
              <w:rPr>
                <w:sz w:val="26"/>
                <w:szCs w:val="26"/>
                <w:lang w:val="lv-LV"/>
              </w:rPr>
              <w:t>LGA</w:t>
            </w:r>
            <w:r w:rsidR="00EA6CD3" w:rsidRPr="008565FB">
              <w:rPr>
                <w:sz w:val="26"/>
                <w:szCs w:val="26"/>
                <w:lang w:val="lv-LV"/>
              </w:rPr>
              <w:t xml:space="preserve"> </w:t>
            </w:r>
          </w:p>
        </w:tc>
      </w:tr>
      <w:tr w:rsidR="00B300C7"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ind w:firstLine="720"/>
              <w:jc w:val="both"/>
              <w:rPr>
                <w:sz w:val="26"/>
                <w:szCs w:val="26"/>
                <w:lang w:val="lv-LV"/>
              </w:rPr>
            </w:pPr>
            <w:r w:rsidRPr="008565FB">
              <w:rPr>
                <w:sz w:val="26"/>
                <w:szCs w:val="26"/>
                <w:lang w:val="lv-LV"/>
              </w:rPr>
              <w:t>Nav</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10"/>
          <w:footerReference w:type="default" r:id="rId11"/>
          <w:footerReference w:type="first" r:id="rId12"/>
          <w:pgSz w:w="11906" w:h="16838"/>
          <w:pgMar w:top="1418" w:right="1134" w:bottom="1134" w:left="1701" w:header="709" w:footer="709" w:gutter="0"/>
          <w:cols w:space="708"/>
          <w:titlePg/>
          <w:docGrid w:linePitch="360"/>
        </w:sectPr>
      </w:pPr>
    </w:p>
    <w:p w:rsidR="002D6BDB" w:rsidRPr="003E5A6D" w:rsidRDefault="002D6BDB"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lastRenderedPageBreak/>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Sabiedrības mērķgrupa</w:t>
            </w:r>
            <w:r w:rsidR="00255BAC" w:rsidRPr="008565FB">
              <w:rPr>
                <w:sz w:val="26"/>
                <w:szCs w:val="26"/>
                <w:lang w:val="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646A6F" w:rsidP="00E7567F">
            <w:pPr>
              <w:ind w:firstLine="720"/>
              <w:jc w:val="both"/>
              <w:rPr>
                <w:sz w:val="26"/>
                <w:szCs w:val="26"/>
                <w:lang w:val="lv-LV"/>
              </w:rPr>
            </w:pPr>
            <w:r w:rsidRPr="008565FB">
              <w:rPr>
                <w:sz w:val="26"/>
                <w:szCs w:val="26"/>
                <w:lang w:val="lv-LV"/>
              </w:rPr>
              <w:t>Latvijā reģistrēti saimnieciskās darbības veicēji</w:t>
            </w:r>
            <w:r w:rsidR="008565FB">
              <w:rPr>
                <w:sz w:val="26"/>
                <w:szCs w:val="26"/>
                <w:lang w:val="lv-LV"/>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rsidR="00E7567F" w:rsidRPr="008565FB" w:rsidRDefault="00E7567F" w:rsidP="008565FB">
            <w:pPr>
              <w:pStyle w:val="BodyText"/>
              <w:ind w:right="142" w:firstLine="720"/>
              <w:rPr>
                <w:rFonts w:eastAsia="Calibri"/>
                <w:sz w:val="26"/>
                <w:szCs w:val="26"/>
                <w:lang w:eastAsia="en-US"/>
              </w:rPr>
            </w:pPr>
            <w:r w:rsidRPr="008565FB">
              <w:rPr>
                <w:rFonts w:eastAsia="Calibri"/>
                <w:sz w:val="26"/>
                <w:szCs w:val="26"/>
                <w:lang w:eastAsia="en-US"/>
              </w:rPr>
              <w:t xml:space="preserve">Noteikumu projekts sniedz ieguldījumu tautsaimniecībā, nodrošinot finansējuma pieejamību </w:t>
            </w:r>
            <w:r w:rsidR="008565FB">
              <w:rPr>
                <w:rFonts w:eastAsia="Calibri"/>
                <w:sz w:val="26"/>
                <w:szCs w:val="26"/>
                <w:lang w:eastAsia="en-US"/>
              </w:rPr>
              <w:t xml:space="preserve">tiem </w:t>
            </w:r>
            <w:r w:rsidRPr="008565FB">
              <w:rPr>
                <w:rFonts w:eastAsia="Calibri"/>
                <w:sz w:val="26"/>
                <w:szCs w:val="26"/>
                <w:lang w:eastAsia="en-US"/>
              </w:rPr>
              <w:t>s</w:t>
            </w:r>
            <w:r w:rsidR="008565FB">
              <w:rPr>
                <w:rFonts w:eastAsia="Calibri"/>
                <w:sz w:val="26"/>
                <w:szCs w:val="26"/>
                <w:lang w:eastAsia="en-US"/>
              </w:rPr>
              <w:t>aimnieciskās darbības veicējiem, kuri nevar piesaistīt komercbanku finansējumu projektu īstenošanai nepieciešamajā apmērā.</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B300C7" w:rsidP="00CB6AC4">
            <w:pPr>
              <w:ind w:firstLine="720"/>
              <w:jc w:val="both"/>
              <w:rPr>
                <w:sz w:val="26"/>
                <w:szCs w:val="26"/>
                <w:lang w:val="lv-LV"/>
              </w:rPr>
            </w:pPr>
            <w:r w:rsidRPr="008565FB">
              <w:rPr>
                <w:sz w:val="26"/>
                <w:szCs w:val="26"/>
                <w:lang w:val="lv-LV"/>
              </w:rPr>
              <w:t>Nav</w:t>
            </w:r>
          </w:p>
        </w:tc>
      </w:tr>
    </w:tbl>
    <w:p w:rsidR="00895E41" w:rsidRPr="003E5A6D" w:rsidRDefault="00895E41">
      <w:pPr>
        <w:rPr>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3E5A6D"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ind w:firstLine="720"/>
              <w:jc w:val="both"/>
              <w:rPr>
                <w:b/>
                <w:sz w:val="26"/>
                <w:szCs w:val="26"/>
                <w:lang w:val="lv-LV"/>
              </w:rPr>
            </w:pPr>
            <w:r w:rsidRPr="008565FB">
              <w:rPr>
                <w:b/>
                <w:sz w:val="26"/>
                <w:szCs w:val="26"/>
                <w:lang w:val="lv-LV"/>
              </w:rPr>
              <w:t>IV. Tiesību akta projekta ietekme uz spēkā esošo tiesību normu sistēmu</w:t>
            </w:r>
          </w:p>
        </w:tc>
      </w:tr>
      <w:tr w:rsidR="00EA6CD3"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7567F" w:rsidP="00E7567F">
            <w:pPr>
              <w:pStyle w:val="BodyText"/>
              <w:ind w:right="142" w:firstLine="720"/>
              <w:rPr>
                <w:rFonts w:eastAsia="Calibri"/>
                <w:sz w:val="26"/>
                <w:szCs w:val="26"/>
                <w:lang w:eastAsia="en-US"/>
              </w:rPr>
            </w:pPr>
            <w:r w:rsidRPr="008565FB">
              <w:rPr>
                <w:rFonts w:eastAsia="Calibri"/>
                <w:sz w:val="26"/>
                <w:szCs w:val="26"/>
                <w:lang w:eastAsia="en-US"/>
              </w:rPr>
              <w:t>Noteikumu projekts šo jomu neskar</w:t>
            </w:r>
            <w:r w:rsidR="008565FB">
              <w:rPr>
                <w:rFonts w:eastAsia="Calibri"/>
                <w:sz w:val="26"/>
                <w:szCs w:val="26"/>
                <w:lang w:eastAsia="en-US"/>
              </w:rPr>
              <w:t>.</w:t>
            </w:r>
          </w:p>
        </w:tc>
      </w:tr>
      <w:tr w:rsidR="002A0BC1"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8565FB" w:rsidP="00D217AC">
            <w:pPr>
              <w:pStyle w:val="BodyText"/>
              <w:ind w:right="142" w:firstLine="720"/>
              <w:rPr>
                <w:rFonts w:eastAsia="Calibri"/>
                <w:sz w:val="26"/>
                <w:szCs w:val="26"/>
                <w:lang w:eastAsia="en-US"/>
              </w:rPr>
            </w:pPr>
            <w:r>
              <w:rPr>
                <w:rFonts w:eastAsia="Calibri"/>
                <w:sz w:val="26"/>
                <w:szCs w:val="26"/>
                <w:lang w:eastAsia="en-US"/>
              </w:rPr>
              <w:t>EM</w:t>
            </w:r>
          </w:p>
        </w:tc>
      </w:tr>
      <w:tr w:rsidR="00EA6CD3" w:rsidRPr="003E5A6D"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3</w:t>
            </w:r>
            <w:r w:rsidR="00EA6CD3" w:rsidRPr="008565FB">
              <w:rPr>
                <w:sz w:val="26"/>
                <w:szCs w:val="26"/>
                <w:lang w:val="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8565FB" w:rsidP="00D455A4">
            <w:pPr>
              <w:ind w:firstLine="720"/>
              <w:jc w:val="both"/>
              <w:rPr>
                <w:sz w:val="26"/>
                <w:szCs w:val="26"/>
                <w:lang w:val="lv-LV"/>
              </w:rPr>
            </w:pPr>
            <w:r>
              <w:rPr>
                <w:sz w:val="26"/>
                <w:szCs w:val="26"/>
                <w:lang w:val="lv-LV"/>
              </w:rPr>
              <w:t>-</w:t>
            </w:r>
          </w:p>
        </w:tc>
      </w:tr>
    </w:tbl>
    <w:p w:rsidR="00ED4255" w:rsidRDefault="00ED4255" w:rsidP="00EA6CD3">
      <w:pPr>
        <w:rPr>
          <w:sz w:val="24"/>
          <w:szCs w:val="24"/>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689"/>
        <w:gridCol w:w="444"/>
        <w:gridCol w:w="1277"/>
        <w:gridCol w:w="1485"/>
        <w:gridCol w:w="3673"/>
      </w:tblGrid>
      <w:tr w:rsidR="001C5ED6" w:rsidRPr="00FB311D" w:rsidTr="00F17C34">
        <w:trPr>
          <w:tblCellSpacing w:w="15" w:type="dxa"/>
        </w:trPr>
        <w:tc>
          <w:tcPr>
            <w:tcW w:w="4966" w:type="pct"/>
            <w:gridSpan w:val="6"/>
            <w:shd w:val="clear" w:color="auto" w:fill="auto"/>
            <w:hideMark/>
          </w:tcPr>
          <w:p w:rsidR="001C5ED6" w:rsidRPr="00FB311D" w:rsidRDefault="001C5ED6" w:rsidP="00F17C34">
            <w:pPr>
              <w:jc w:val="center"/>
              <w:rPr>
                <w:rFonts w:eastAsia="Times New Roman"/>
                <w:b/>
                <w:bCs/>
                <w:sz w:val="26"/>
                <w:szCs w:val="26"/>
                <w:lang w:val="lv-LV" w:eastAsia="lv-LV"/>
              </w:rPr>
            </w:pPr>
            <w:r w:rsidRPr="00FB311D">
              <w:rPr>
                <w:rFonts w:eastAsia="Times New Roman"/>
                <w:b/>
                <w:bCs/>
                <w:sz w:val="26"/>
                <w:szCs w:val="26"/>
                <w:lang w:val="lv-LV" w:eastAsia="lv-LV"/>
              </w:rPr>
              <w:t>V. Tiesību akta projekta atbilstība Latvijas Republikas starptautiskajām saistībām</w:t>
            </w:r>
          </w:p>
        </w:tc>
      </w:tr>
      <w:tr w:rsidR="001C5ED6" w:rsidRPr="00FB311D" w:rsidTr="002D6BDB">
        <w:trPr>
          <w:tblCellSpacing w:w="15" w:type="dxa"/>
        </w:trPr>
        <w:tc>
          <w:tcPr>
            <w:tcW w:w="186" w:type="pct"/>
            <w:shd w:val="clear" w:color="auto" w:fill="auto"/>
            <w:hideMark/>
          </w:tcPr>
          <w:p w:rsidR="001C5ED6" w:rsidRPr="00FB311D" w:rsidRDefault="001C5ED6" w:rsidP="00F17C34">
            <w:pPr>
              <w:jc w:val="center"/>
              <w:rPr>
                <w:rFonts w:eastAsia="Times New Roman"/>
                <w:sz w:val="26"/>
                <w:szCs w:val="26"/>
                <w:lang w:val="lv-LV" w:eastAsia="lv-LV"/>
              </w:rPr>
            </w:pPr>
            <w:r w:rsidRPr="00FB311D">
              <w:rPr>
                <w:rFonts w:eastAsia="Times New Roman"/>
                <w:sz w:val="26"/>
                <w:szCs w:val="26"/>
                <w:lang w:val="lv-LV" w:eastAsia="lv-LV"/>
              </w:rPr>
              <w:t>1.</w:t>
            </w:r>
          </w:p>
        </w:tc>
        <w:tc>
          <w:tcPr>
            <w:tcW w:w="1187" w:type="pct"/>
            <w:gridSpan w:val="2"/>
            <w:shd w:val="clear" w:color="auto" w:fill="auto"/>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Saistības pret Eiropas Savienību</w:t>
            </w:r>
          </w:p>
        </w:tc>
        <w:tc>
          <w:tcPr>
            <w:tcW w:w="3560" w:type="pct"/>
            <w:gridSpan w:val="3"/>
            <w:shd w:val="clear" w:color="auto" w:fill="auto"/>
            <w:hideMark/>
          </w:tcPr>
          <w:p w:rsidR="001C5ED6" w:rsidRPr="00FB311D" w:rsidRDefault="0002596F" w:rsidP="002D6A10">
            <w:pPr>
              <w:ind w:firstLine="364"/>
              <w:jc w:val="both"/>
              <w:rPr>
                <w:sz w:val="26"/>
                <w:szCs w:val="26"/>
                <w:lang w:val="lv-LV"/>
              </w:rPr>
            </w:pPr>
            <w:r>
              <w:rPr>
                <w:sz w:val="26"/>
                <w:szCs w:val="26"/>
                <w:lang w:val="lv-LV"/>
              </w:rPr>
              <w:t>Komisijas Regula Nr.651/2014.</w:t>
            </w:r>
          </w:p>
        </w:tc>
      </w:tr>
      <w:tr w:rsidR="001C5ED6" w:rsidRPr="00FB311D" w:rsidTr="002D6BDB">
        <w:trPr>
          <w:tblCellSpacing w:w="15" w:type="dxa"/>
        </w:trPr>
        <w:tc>
          <w:tcPr>
            <w:tcW w:w="186" w:type="pct"/>
            <w:shd w:val="clear" w:color="auto" w:fill="auto"/>
            <w:hideMark/>
          </w:tcPr>
          <w:p w:rsidR="001C5ED6" w:rsidRPr="00FB311D" w:rsidRDefault="001C5ED6" w:rsidP="00F17C34">
            <w:pPr>
              <w:jc w:val="center"/>
              <w:rPr>
                <w:rFonts w:eastAsia="Times New Roman"/>
                <w:sz w:val="26"/>
                <w:szCs w:val="26"/>
                <w:lang w:val="lv-LV" w:eastAsia="lv-LV"/>
              </w:rPr>
            </w:pPr>
            <w:r w:rsidRPr="00FB311D">
              <w:rPr>
                <w:rFonts w:eastAsia="Times New Roman"/>
                <w:sz w:val="26"/>
                <w:szCs w:val="26"/>
                <w:lang w:val="lv-LV" w:eastAsia="lv-LV"/>
              </w:rPr>
              <w:t>2.</w:t>
            </w:r>
          </w:p>
        </w:tc>
        <w:tc>
          <w:tcPr>
            <w:tcW w:w="1187" w:type="pct"/>
            <w:gridSpan w:val="2"/>
            <w:shd w:val="clear" w:color="auto" w:fill="auto"/>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Citas starptautiskās saistības</w:t>
            </w:r>
          </w:p>
        </w:tc>
        <w:tc>
          <w:tcPr>
            <w:tcW w:w="3560" w:type="pct"/>
            <w:gridSpan w:val="3"/>
            <w:shd w:val="clear" w:color="auto" w:fill="auto"/>
            <w:hideMark/>
          </w:tcPr>
          <w:p w:rsidR="001C5ED6" w:rsidRPr="00FB311D" w:rsidRDefault="001C5ED6" w:rsidP="00F17C34">
            <w:pPr>
              <w:ind w:firstLine="341"/>
              <w:jc w:val="both"/>
              <w:rPr>
                <w:rFonts w:eastAsia="Times New Roman"/>
                <w:sz w:val="26"/>
                <w:szCs w:val="26"/>
                <w:lang w:val="lv-LV" w:eastAsia="lv-LV"/>
              </w:rPr>
            </w:pPr>
            <w:r w:rsidRPr="00FB311D">
              <w:rPr>
                <w:rFonts w:eastAsia="Times New Roman"/>
                <w:sz w:val="26"/>
                <w:szCs w:val="26"/>
                <w:lang w:val="lv-LV" w:eastAsia="lv-LV"/>
              </w:rPr>
              <w:t>Projekts šo jomu neskar.</w:t>
            </w:r>
          </w:p>
        </w:tc>
      </w:tr>
      <w:tr w:rsidR="001C5ED6" w:rsidRPr="00FB311D" w:rsidTr="002D6BDB">
        <w:trPr>
          <w:tblCellSpacing w:w="15" w:type="dxa"/>
        </w:trPr>
        <w:tc>
          <w:tcPr>
            <w:tcW w:w="186" w:type="pct"/>
            <w:shd w:val="clear" w:color="auto" w:fill="auto"/>
            <w:hideMark/>
          </w:tcPr>
          <w:p w:rsidR="001C5ED6" w:rsidRPr="00FB311D" w:rsidRDefault="001C5ED6" w:rsidP="00F17C34">
            <w:pPr>
              <w:jc w:val="center"/>
              <w:rPr>
                <w:rFonts w:eastAsia="Times New Roman"/>
                <w:sz w:val="26"/>
                <w:szCs w:val="26"/>
                <w:lang w:val="lv-LV" w:eastAsia="lv-LV"/>
              </w:rPr>
            </w:pPr>
            <w:r w:rsidRPr="00FB311D">
              <w:rPr>
                <w:rFonts w:eastAsia="Times New Roman"/>
                <w:sz w:val="26"/>
                <w:szCs w:val="26"/>
                <w:lang w:val="lv-LV" w:eastAsia="lv-LV"/>
              </w:rPr>
              <w:t>3.</w:t>
            </w:r>
          </w:p>
        </w:tc>
        <w:tc>
          <w:tcPr>
            <w:tcW w:w="1187" w:type="pct"/>
            <w:gridSpan w:val="2"/>
            <w:shd w:val="clear" w:color="auto" w:fill="auto"/>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560" w:type="pct"/>
            <w:gridSpan w:val="3"/>
            <w:shd w:val="clear" w:color="auto" w:fill="auto"/>
            <w:hideMark/>
          </w:tcPr>
          <w:p w:rsidR="001C5ED6" w:rsidRPr="00426A69" w:rsidRDefault="001C5ED6" w:rsidP="001C5ED6">
            <w:pPr>
              <w:ind w:firstLine="341"/>
              <w:jc w:val="both"/>
              <w:rPr>
                <w:rFonts w:eastAsia="Times New Roman"/>
                <w:sz w:val="26"/>
                <w:szCs w:val="26"/>
                <w:lang w:val="lv-LV" w:eastAsia="lv-LV"/>
              </w:rPr>
            </w:pPr>
            <w:r w:rsidRPr="005F75C4">
              <w:rPr>
                <w:rFonts w:eastAsia="Times New Roman"/>
                <w:sz w:val="26"/>
                <w:szCs w:val="26"/>
                <w:lang w:val="lv-LV" w:eastAsia="lv-LV"/>
              </w:rPr>
              <w:t xml:space="preserve">Izstrādājot noteikumu projektu, </w:t>
            </w:r>
            <w:r w:rsidRPr="00FE6FC3">
              <w:rPr>
                <w:rFonts w:eastAsia="Times New Roman"/>
                <w:sz w:val="26"/>
                <w:szCs w:val="26"/>
                <w:lang w:val="lv-LV" w:eastAsia="lv-LV"/>
              </w:rPr>
              <w:t>ir ņemt</w:t>
            </w:r>
            <w:r w:rsidRPr="009C7F6E">
              <w:rPr>
                <w:rFonts w:eastAsia="Times New Roman"/>
                <w:sz w:val="26"/>
                <w:szCs w:val="26"/>
                <w:lang w:val="lv-LV" w:eastAsia="lv-LV"/>
              </w:rPr>
              <w:t>a</w:t>
            </w:r>
            <w:r w:rsidRPr="00426A69">
              <w:rPr>
                <w:rFonts w:eastAsia="Times New Roman"/>
                <w:sz w:val="26"/>
                <w:szCs w:val="26"/>
                <w:lang w:val="lv-LV" w:eastAsia="lv-LV"/>
              </w:rPr>
              <w:t xml:space="preserve">s vērā Kopienas 2014.gada </w:t>
            </w:r>
            <w:r w:rsidR="0002596F">
              <w:rPr>
                <w:rFonts w:eastAsia="Times New Roman"/>
                <w:sz w:val="26"/>
                <w:szCs w:val="26"/>
                <w:lang w:val="lv-LV" w:eastAsia="lv-LV"/>
              </w:rPr>
              <w:t>Pamatnostādnes.</w:t>
            </w:r>
          </w:p>
          <w:p w:rsidR="005F75C4" w:rsidRPr="00FB311D" w:rsidRDefault="001C5ED6" w:rsidP="00611ADA">
            <w:pPr>
              <w:ind w:firstLine="341"/>
              <w:jc w:val="both"/>
              <w:rPr>
                <w:rFonts w:eastAsia="Times New Roman"/>
                <w:sz w:val="26"/>
                <w:szCs w:val="26"/>
                <w:lang w:val="lv-LV" w:eastAsia="lv-LV"/>
              </w:rPr>
            </w:pPr>
            <w:r w:rsidRPr="002D6BDB">
              <w:rPr>
                <w:rFonts w:eastAsia="Times New Roman"/>
                <w:sz w:val="26"/>
                <w:szCs w:val="26"/>
                <w:lang w:val="lv-LV" w:eastAsia="lv-LV"/>
              </w:rPr>
              <w:t xml:space="preserve">Noteikumu projekta </w:t>
            </w:r>
            <w:r w:rsidR="00611ADA">
              <w:rPr>
                <w:rFonts w:eastAsia="Times New Roman"/>
                <w:sz w:val="26"/>
                <w:szCs w:val="26"/>
                <w:lang w:val="lv-LV" w:eastAsia="lv-LV"/>
              </w:rPr>
              <w:t>5</w:t>
            </w:r>
            <w:r w:rsidR="00426A69">
              <w:rPr>
                <w:rFonts w:eastAsia="Times New Roman"/>
                <w:sz w:val="26"/>
                <w:szCs w:val="26"/>
                <w:lang w:val="lv-LV" w:eastAsia="lv-LV"/>
              </w:rPr>
              <w:t xml:space="preserve">.punkts </w:t>
            </w:r>
            <w:r w:rsidRPr="002D6BDB">
              <w:rPr>
                <w:rFonts w:eastAsia="Times New Roman"/>
                <w:sz w:val="26"/>
                <w:szCs w:val="26"/>
                <w:lang w:val="lv-LV" w:eastAsia="lv-LV"/>
              </w:rPr>
              <w:t>ir izstrād</w:t>
            </w:r>
            <w:r w:rsidR="00426A69" w:rsidRPr="00426A69">
              <w:rPr>
                <w:rFonts w:eastAsia="Times New Roman"/>
                <w:sz w:val="26"/>
                <w:szCs w:val="26"/>
                <w:lang w:val="lv-LV" w:eastAsia="lv-LV"/>
              </w:rPr>
              <w:t>āt</w:t>
            </w:r>
            <w:r w:rsidR="0002596F">
              <w:rPr>
                <w:rFonts w:eastAsia="Times New Roman"/>
                <w:sz w:val="26"/>
                <w:szCs w:val="26"/>
                <w:lang w:val="lv-LV" w:eastAsia="lv-LV"/>
              </w:rPr>
              <w:t>s</w:t>
            </w:r>
            <w:r w:rsidRPr="002D6BDB">
              <w:rPr>
                <w:rFonts w:eastAsia="Times New Roman"/>
                <w:sz w:val="26"/>
                <w:szCs w:val="26"/>
                <w:lang w:val="lv-LV" w:eastAsia="lv-LV"/>
              </w:rPr>
              <w:t xml:space="preserve"> a</w:t>
            </w:r>
            <w:r w:rsidRPr="005F75C4">
              <w:rPr>
                <w:rFonts w:eastAsia="Times New Roman"/>
                <w:sz w:val="26"/>
                <w:szCs w:val="26"/>
                <w:lang w:val="lv-LV" w:eastAsia="lv-LV"/>
              </w:rPr>
              <w:t xml:space="preserve">tbilstoši </w:t>
            </w:r>
            <w:r w:rsidRPr="00FE6FC3">
              <w:rPr>
                <w:rFonts w:eastAsia="Times New Roman"/>
                <w:sz w:val="26"/>
                <w:szCs w:val="26"/>
                <w:lang w:val="lv-LV" w:eastAsia="lv-LV"/>
              </w:rPr>
              <w:t>Kopienas 2014.gada Pamatnostād</w:t>
            </w:r>
            <w:r w:rsidRPr="009C7F6E">
              <w:rPr>
                <w:rFonts w:eastAsia="Times New Roman"/>
                <w:sz w:val="26"/>
                <w:szCs w:val="26"/>
                <w:lang w:val="lv-LV" w:eastAsia="lv-LV"/>
              </w:rPr>
              <w:t>ņu</w:t>
            </w:r>
            <w:r w:rsidRPr="002D6BDB">
              <w:rPr>
                <w:rFonts w:eastAsia="Times New Roman"/>
                <w:sz w:val="26"/>
                <w:szCs w:val="26"/>
                <w:lang w:val="lv-LV" w:eastAsia="lv-LV"/>
              </w:rPr>
              <w:t xml:space="preserve"> </w:t>
            </w:r>
            <w:r w:rsidR="005F75C4" w:rsidRPr="005F75C4">
              <w:rPr>
                <w:rFonts w:eastAsia="Times New Roman"/>
                <w:sz w:val="26"/>
                <w:szCs w:val="26"/>
                <w:lang w:val="lv-LV" w:eastAsia="lv-LV"/>
              </w:rPr>
              <w:t>20.punktam.</w:t>
            </w:r>
          </w:p>
        </w:tc>
      </w:tr>
      <w:tr w:rsidR="001C5ED6" w:rsidRPr="00FB311D" w:rsidTr="00F17C34">
        <w:trPr>
          <w:tblCellSpacing w:w="15" w:type="dxa"/>
        </w:trPr>
        <w:tc>
          <w:tcPr>
            <w:tcW w:w="4966" w:type="pct"/>
            <w:gridSpan w:val="6"/>
            <w:shd w:val="clear" w:color="auto" w:fill="auto"/>
            <w:vAlign w:val="center"/>
            <w:hideMark/>
          </w:tcPr>
          <w:p w:rsidR="001C5ED6" w:rsidRPr="00FB311D" w:rsidRDefault="001C5ED6" w:rsidP="00F17C34">
            <w:pPr>
              <w:jc w:val="center"/>
              <w:rPr>
                <w:rFonts w:eastAsia="Times New Roman"/>
                <w:b/>
                <w:bCs/>
                <w:sz w:val="26"/>
                <w:szCs w:val="26"/>
                <w:lang w:val="lv-LV" w:eastAsia="lv-LV"/>
              </w:rPr>
            </w:pPr>
            <w:r w:rsidRPr="00FB311D">
              <w:rPr>
                <w:rFonts w:eastAsia="Times New Roman"/>
                <w:b/>
                <w:bCs/>
                <w:sz w:val="26"/>
                <w:szCs w:val="26"/>
                <w:lang w:val="lv-LV" w:eastAsia="lv-LV"/>
              </w:rPr>
              <w:t>1.tabula</w:t>
            </w:r>
            <w:r w:rsidRPr="00FB311D">
              <w:rPr>
                <w:rFonts w:eastAsia="Times New Roman"/>
                <w:b/>
                <w:bCs/>
                <w:sz w:val="26"/>
                <w:szCs w:val="26"/>
                <w:lang w:val="lv-LV" w:eastAsia="lv-LV"/>
              </w:rPr>
              <w:br/>
              <w:t>Tiesību akta projekta atbilstība ES tiesību aktiem</w:t>
            </w:r>
          </w:p>
        </w:tc>
      </w:tr>
      <w:tr w:rsidR="001C5ED6" w:rsidRPr="00FB311D" w:rsidTr="002D6BDB">
        <w:trPr>
          <w:tblCellSpacing w:w="15" w:type="dxa"/>
        </w:trPr>
        <w:tc>
          <w:tcPr>
            <w:tcW w:w="1134" w:type="pct"/>
            <w:gridSpan w:val="2"/>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Attiecīgā ES tiesību akta datums, numurs un nosaukums</w:t>
            </w:r>
          </w:p>
        </w:tc>
        <w:tc>
          <w:tcPr>
            <w:tcW w:w="3815" w:type="pct"/>
            <w:gridSpan w:val="4"/>
            <w:shd w:val="clear" w:color="auto" w:fill="auto"/>
            <w:vAlign w:val="center"/>
            <w:hideMark/>
          </w:tcPr>
          <w:p w:rsidR="001C5ED6" w:rsidRPr="00FB311D" w:rsidRDefault="0002596F" w:rsidP="00F17C34">
            <w:pPr>
              <w:spacing w:after="120"/>
              <w:jc w:val="both"/>
              <w:rPr>
                <w:sz w:val="26"/>
                <w:szCs w:val="26"/>
                <w:lang w:val="lv-LV"/>
              </w:rPr>
            </w:pPr>
            <w:r w:rsidRPr="0002596F">
              <w:rPr>
                <w:sz w:val="26"/>
                <w:szCs w:val="26"/>
                <w:lang w:val="lv-LV"/>
              </w:rPr>
              <w:t>Komisijas 2014.gada 17.jūnija Regula (ES) Nr.651/2014, ar ko noteiktas atbalsta kategorijas atzīst par saderīgām ar iekšējo tirgu, piemērojot Līguma 107. un 108. pantu (vispārējā grupu atbrīvojuma regula) (Eiropas Savienības Oficiālais Vēstnesis, 2014. gada 26. jūnijs, L 187).</w:t>
            </w:r>
          </w:p>
        </w:tc>
      </w:tr>
      <w:tr w:rsidR="001C5ED6" w:rsidRPr="00FB311D" w:rsidTr="002D6BDB">
        <w:trPr>
          <w:tblCellSpacing w:w="15" w:type="dxa"/>
        </w:trPr>
        <w:tc>
          <w:tcPr>
            <w:tcW w:w="1134" w:type="pct"/>
            <w:gridSpan w:val="2"/>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A</w:t>
            </w:r>
          </w:p>
        </w:tc>
        <w:tc>
          <w:tcPr>
            <w:tcW w:w="952" w:type="pct"/>
            <w:gridSpan w:val="2"/>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B</w:t>
            </w:r>
          </w:p>
        </w:tc>
        <w:tc>
          <w:tcPr>
            <w:tcW w:w="813" w:type="pct"/>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C</w:t>
            </w:r>
          </w:p>
        </w:tc>
        <w:tc>
          <w:tcPr>
            <w:tcW w:w="2016" w:type="pct"/>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D</w:t>
            </w:r>
          </w:p>
        </w:tc>
      </w:tr>
      <w:tr w:rsidR="001C5ED6" w:rsidRPr="00FB311D" w:rsidTr="002D6BDB">
        <w:trPr>
          <w:tblCellSpacing w:w="15" w:type="dxa"/>
        </w:trPr>
        <w:tc>
          <w:tcPr>
            <w:tcW w:w="1134" w:type="pct"/>
            <w:gridSpan w:val="2"/>
            <w:shd w:val="clear" w:color="auto" w:fill="auto"/>
            <w:hideMark/>
          </w:tcPr>
          <w:p w:rsidR="001C5ED6" w:rsidRPr="00FB311D" w:rsidRDefault="001C5ED6" w:rsidP="00F17C34">
            <w:pPr>
              <w:pStyle w:val="naiskr"/>
              <w:spacing w:before="0" w:after="0"/>
              <w:jc w:val="both"/>
              <w:rPr>
                <w:sz w:val="26"/>
                <w:szCs w:val="26"/>
              </w:rPr>
            </w:pPr>
            <w:r w:rsidRPr="00FB311D">
              <w:rPr>
                <w:sz w:val="26"/>
                <w:szCs w:val="26"/>
              </w:rPr>
              <w:t xml:space="preserve">Attiecīgā ES tiesību akta panta numurs (uzskaitot katru tiesību akta </w:t>
            </w:r>
            <w:r w:rsidRPr="00FB311D">
              <w:rPr>
                <w:sz w:val="26"/>
                <w:szCs w:val="26"/>
              </w:rPr>
              <w:br/>
              <w:t>vienību – pantu, daļu, punktu, apakšpunktu)</w:t>
            </w:r>
          </w:p>
        </w:tc>
        <w:tc>
          <w:tcPr>
            <w:tcW w:w="952" w:type="pct"/>
            <w:gridSpan w:val="2"/>
            <w:shd w:val="clear" w:color="auto" w:fill="auto"/>
            <w:hideMark/>
          </w:tcPr>
          <w:p w:rsidR="001C5ED6" w:rsidRPr="00FB311D" w:rsidRDefault="001C5ED6" w:rsidP="00F17C34">
            <w:pPr>
              <w:pStyle w:val="naiskr"/>
              <w:spacing w:before="0" w:after="0"/>
              <w:jc w:val="both"/>
              <w:rPr>
                <w:sz w:val="26"/>
                <w:szCs w:val="26"/>
              </w:rPr>
            </w:pPr>
            <w:r w:rsidRPr="00FB311D">
              <w:rPr>
                <w:sz w:val="26"/>
                <w:szCs w:val="26"/>
              </w:rPr>
              <w:t>Projekta vienība, kas pārņem vai ievieš katru šīs tabulas A ailē minēto ES tiesību akta vienību</w:t>
            </w:r>
          </w:p>
        </w:tc>
        <w:tc>
          <w:tcPr>
            <w:tcW w:w="813" w:type="pct"/>
            <w:shd w:val="clear" w:color="auto" w:fill="auto"/>
            <w:hideMark/>
          </w:tcPr>
          <w:p w:rsidR="001C5ED6" w:rsidRPr="00FB311D" w:rsidRDefault="001C5ED6" w:rsidP="00F17C34">
            <w:pPr>
              <w:pStyle w:val="naiskr"/>
              <w:spacing w:before="0" w:after="0"/>
              <w:jc w:val="both"/>
              <w:rPr>
                <w:sz w:val="26"/>
                <w:szCs w:val="26"/>
              </w:rPr>
            </w:pPr>
            <w:r w:rsidRPr="00FB311D">
              <w:rPr>
                <w:sz w:val="26"/>
                <w:szCs w:val="26"/>
              </w:rPr>
              <w:t>Informācija par to, vai šīs tabulas A ailē minētās ES tiesību akta vienības tiek pārņemtas vai ieviestas pilnībā vai daļēji.</w:t>
            </w:r>
          </w:p>
          <w:p w:rsidR="001C5ED6" w:rsidRPr="00FB311D" w:rsidRDefault="001C5ED6" w:rsidP="00F17C34">
            <w:pPr>
              <w:pStyle w:val="naiskr"/>
              <w:spacing w:before="0" w:after="0"/>
              <w:jc w:val="both"/>
              <w:rPr>
                <w:sz w:val="26"/>
                <w:szCs w:val="26"/>
              </w:rPr>
            </w:pPr>
            <w:r w:rsidRPr="00FB311D">
              <w:rPr>
                <w:sz w:val="26"/>
                <w:szCs w:val="26"/>
              </w:rPr>
              <w:t>Ja attiecīgā ES tiesību akta vienība tiek pārņemta vai ieviesta daļēji, – sniedz attiecīgu skaidrojumu, kā arī precīzi norāda, kad un kādā veidā ES tiesību akta vienība tiks pārņemta vai ieviesta pilnībā.</w:t>
            </w:r>
          </w:p>
          <w:p w:rsidR="001C5ED6" w:rsidRPr="00FB311D" w:rsidRDefault="001C5ED6" w:rsidP="00F17C34">
            <w:pPr>
              <w:pStyle w:val="naiskr"/>
              <w:spacing w:before="0" w:after="0"/>
              <w:jc w:val="both"/>
              <w:rPr>
                <w:sz w:val="26"/>
                <w:szCs w:val="26"/>
              </w:rPr>
            </w:pPr>
            <w:r w:rsidRPr="00FB311D">
              <w:rPr>
                <w:sz w:val="26"/>
                <w:szCs w:val="26"/>
              </w:rPr>
              <w:t>Norāda institūciju, kas ir atbildīga par šo saistību izpildi pilnībā</w:t>
            </w:r>
          </w:p>
        </w:tc>
        <w:tc>
          <w:tcPr>
            <w:tcW w:w="2016" w:type="pct"/>
            <w:shd w:val="clear" w:color="auto" w:fill="auto"/>
            <w:hideMark/>
          </w:tcPr>
          <w:p w:rsidR="001C5ED6" w:rsidRPr="00FB311D" w:rsidRDefault="001C5ED6" w:rsidP="00F17C34">
            <w:pPr>
              <w:pStyle w:val="naiskr"/>
              <w:spacing w:before="0" w:after="0"/>
              <w:jc w:val="both"/>
              <w:rPr>
                <w:sz w:val="26"/>
                <w:szCs w:val="26"/>
              </w:rPr>
            </w:pPr>
            <w:r w:rsidRPr="00FB311D">
              <w:rPr>
                <w:sz w:val="26"/>
                <w:szCs w:val="26"/>
              </w:rPr>
              <w:t>Informācija par to, vai šīs tabulas B ailē minētās projekta vienības paredz stingrākas prasības nekā šīs tabulas A ailē minētās ES tiesību akta vienības.</w:t>
            </w:r>
          </w:p>
          <w:p w:rsidR="001C5ED6" w:rsidRPr="00FB311D" w:rsidRDefault="001C5ED6" w:rsidP="00F17C34">
            <w:pPr>
              <w:pStyle w:val="naiskr"/>
              <w:spacing w:before="0" w:after="0"/>
              <w:jc w:val="both"/>
              <w:rPr>
                <w:sz w:val="26"/>
                <w:szCs w:val="26"/>
              </w:rPr>
            </w:pPr>
            <w:r w:rsidRPr="00FB311D">
              <w:rPr>
                <w:sz w:val="26"/>
                <w:szCs w:val="26"/>
              </w:rPr>
              <w:t xml:space="preserve">Ja projekts satur stingrākas prasības nekā attiecīgais ES tiesību </w:t>
            </w:r>
            <w:smartTag w:uri="schemas-tilde-lv/tildestengine" w:element="veidnes">
              <w:smartTagPr>
                <w:attr w:name="id" w:val="-1"/>
                <w:attr w:name="baseform" w:val="akts"/>
                <w:attr w:name="text" w:val="akts"/>
              </w:smartTagPr>
              <w:r w:rsidRPr="00FB311D">
                <w:rPr>
                  <w:sz w:val="26"/>
                  <w:szCs w:val="26"/>
                </w:rPr>
                <w:t>akts</w:t>
              </w:r>
            </w:smartTag>
            <w:r w:rsidRPr="00FB311D">
              <w:rPr>
                <w:sz w:val="26"/>
                <w:szCs w:val="26"/>
              </w:rPr>
              <w:t>, – norāda pamatojumu un samērīgumu.</w:t>
            </w:r>
          </w:p>
          <w:p w:rsidR="001C5ED6" w:rsidRPr="00FB311D" w:rsidRDefault="001C5ED6" w:rsidP="00F17C34">
            <w:pPr>
              <w:pStyle w:val="naiskr"/>
              <w:spacing w:before="0" w:after="0"/>
              <w:jc w:val="both"/>
              <w:rPr>
                <w:sz w:val="26"/>
                <w:szCs w:val="26"/>
              </w:rPr>
            </w:pPr>
            <w:r w:rsidRPr="00FB311D">
              <w:rPr>
                <w:sz w:val="26"/>
                <w:szCs w:val="26"/>
              </w:rPr>
              <w:t>Norāda iespējamās alternatīvas (</w:t>
            </w:r>
            <w:proofErr w:type="spellStart"/>
            <w:r w:rsidRPr="00FB311D">
              <w:rPr>
                <w:sz w:val="26"/>
                <w:szCs w:val="26"/>
              </w:rPr>
              <w:t>t.sk</w:t>
            </w:r>
            <w:proofErr w:type="spellEnd"/>
            <w:r w:rsidRPr="00FB311D">
              <w:rPr>
                <w:sz w:val="26"/>
                <w:szCs w:val="26"/>
              </w:rPr>
              <w:t>. alternatīvas, kas neparedz tiesiskā regulējuma izstrādi) – kādos gadījumos būtu iespējams izvairīties no stingrāku prasību noteikšanas, nekā paredzēts attiecīgajos ES tiesību aktos</w:t>
            </w:r>
          </w:p>
        </w:tc>
      </w:tr>
      <w:tr w:rsidR="009D43B2" w:rsidRPr="0002596F" w:rsidTr="002D6BDB">
        <w:trPr>
          <w:tblCellSpacing w:w="15" w:type="dxa"/>
        </w:trPr>
        <w:tc>
          <w:tcPr>
            <w:tcW w:w="1134" w:type="pct"/>
            <w:gridSpan w:val="2"/>
            <w:shd w:val="clear" w:color="auto" w:fill="auto"/>
          </w:tcPr>
          <w:p w:rsidR="009D43B2" w:rsidRPr="0009324B" w:rsidRDefault="009D43B2" w:rsidP="00DB3228">
            <w:pPr>
              <w:pStyle w:val="naiskr"/>
              <w:spacing w:before="0" w:after="0"/>
              <w:jc w:val="both"/>
              <w:rPr>
                <w:sz w:val="26"/>
                <w:szCs w:val="26"/>
              </w:rPr>
            </w:pPr>
            <w:r w:rsidRPr="00C65AAE">
              <w:rPr>
                <w:sz w:val="26"/>
                <w:szCs w:val="26"/>
              </w:rPr>
              <w:t>Komisijas Regulas Nr.651/2014 1.pielikuma 3.panta 3.punkt</w:t>
            </w:r>
            <w:r w:rsidR="00DB3228" w:rsidRPr="005C3D03">
              <w:rPr>
                <w:sz w:val="26"/>
                <w:szCs w:val="26"/>
              </w:rPr>
              <w:t>s</w:t>
            </w:r>
          </w:p>
        </w:tc>
        <w:tc>
          <w:tcPr>
            <w:tcW w:w="952" w:type="pct"/>
            <w:gridSpan w:val="2"/>
            <w:shd w:val="clear" w:color="auto" w:fill="auto"/>
          </w:tcPr>
          <w:p w:rsidR="009D43B2" w:rsidRPr="00FB1472" w:rsidRDefault="00DB3228" w:rsidP="0009324B">
            <w:pPr>
              <w:pStyle w:val="naiskr"/>
              <w:spacing w:before="0" w:after="0"/>
              <w:jc w:val="both"/>
              <w:rPr>
                <w:sz w:val="26"/>
                <w:szCs w:val="26"/>
              </w:rPr>
            </w:pPr>
            <w:r>
              <w:rPr>
                <w:sz w:val="26"/>
                <w:szCs w:val="26"/>
              </w:rPr>
              <w:t xml:space="preserve">Noteikumu projekta 1.punkts </w:t>
            </w:r>
          </w:p>
        </w:tc>
        <w:tc>
          <w:tcPr>
            <w:tcW w:w="813" w:type="pct"/>
            <w:shd w:val="clear" w:color="auto" w:fill="auto"/>
          </w:tcPr>
          <w:p w:rsidR="009D43B2" w:rsidRPr="009D43B2" w:rsidRDefault="00DB3228" w:rsidP="00F17C34">
            <w:pPr>
              <w:pStyle w:val="naiskr"/>
              <w:spacing w:before="0" w:after="0"/>
              <w:jc w:val="both"/>
              <w:rPr>
                <w:sz w:val="26"/>
                <w:szCs w:val="26"/>
              </w:rPr>
            </w:pPr>
            <w:r w:rsidRPr="00DB3228">
              <w:rPr>
                <w:sz w:val="26"/>
                <w:szCs w:val="26"/>
              </w:rPr>
              <w:t>Ieviests pilnībā</w:t>
            </w:r>
          </w:p>
        </w:tc>
        <w:tc>
          <w:tcPr>
            <w:tcW w:w="2016" w:type="pct"/>
            <w:shd w:val="clear" w:color="auto" w:fill="auto"/>
          </w:tcPr>
          <w:p w:rsidR="009D43B2" w:rsidRPr="00DB3228" w:rsidRDefault="00DB3228" w:rsidP="00F17C34">
            <w:pPr>
              <w:pStyle w:val="naiskr"/>
              <w:spacing w:before="0" w:after="0"/>
              <w:jc w:val="both"/>
              <w:rPr>
                <w:sz w:val="26"/>
                <w:szCs w:val="26"/>
              </w:rPr>
            </w:pPr>
            <w:r w:rsidRPr="00DB3228">
              <w:rPr>
                <w:sz w:val="26"/>
                <w:szCs w:val="26"/>
              </w:rPr>
              <w:t>Neparedz stingrākas prasības</w:t>
            </w:r>
          </w:p>
        </w:tc>
      </w:tr>
      <w:tr w:rsidR="00611ADA" w:rsidRPr="0002596F" w:rsidTr="002D6BDB">
        <w:trPr>
          <w:tblCellSpacing w:w="15" w:type="dxa"/>
        </w:trPr>
        <w:tc>
          <w:tcPr>
            <w:tcW w:w="1134" w:type="pct"/>
            <w:gridSpan w:val="2"/>
            <w:shd w:val="clear" w:color="auto" w:fill="auto"/>
          </w:tcPr>
          <w:p w:rsidR="00611ADA" w:rsidRPr="002D6BDB" w:rsidRDefault="00611ADA" w:rsidP="00DB3228">
            <w:pPr>
              <w:pStyle w:val="naiskr"/>
              <w:spacing w:before="0" w:after="0"/>
              <w:jc w:val="both"/>
              <w:rPr>
                <w:sz w:val="26"/>
                <w:szCs w:val="26"/>
              </w:rPr>
            </w:pPr>
            <w:r w:rsidRPr="002D6BDB">
              <w:rPr>
                <w:sz w:val="26"/>
                <w:szCs w:val="26"/>
              </w:rPr>
              <w:t>Komis</w:t>
            </w:r>
            <w:r w:rsidR="00C65AAE" w:rsidRPr="002D6BDB">
              <w:rPr>
                <w:sz w:val="26"/>
                <w:szCs w:val="26"/>
              </w:rPr>
              <w:t>ijas Regulas Nr.651/2014 2.panta 18.punkts</w:t>
            </w:r>
          </w:p>
        </w:tc>
        <w:tc>
          <w:tcPr>
            <w:tcW w:w="952" w:type="pct"/>
            <w:gridSpan w:val="2"/>
            <w:shd w:val="clear" w:color="auto" w:fill="auto"/>
          </w:tcPr>
          <w:p w:rsidR="00611ADA" w:rsidRPr="002D6BDB" w:rsidRDefault="00611ADA" w:rsidP="0009324B">
            <w:pPr>
              <w:pStyle w:val="naiskr"/>
              <w:spacing w:before="0" w:after="0"/>
              <w:jc w:val="both"/>
              <w:rPr>
                <w:sz w:val="26"/>
                <w:szCs w:val="26"/>
              </w:rPr>
            </w:pPr>
            <w:r w:rsidRPr="002D6BDB">
              <w:rPr>
                <w:sz w:val="26"/>
                <w:szCs w:val="26"/>
              </w:rPr>
              <w:t>Noteikumu projekta 2.punkts</w:t>
            </w:r>
          </w:p>
        </w:tc>
        <w:tc>
          <w:tcPr>
            <w:tcW w:w="813" w:type="pct"/>
            <w:shd w:val="clear" w:color="auto" w:fill="auto"/>
          </w:tcPr>
          <w:p w:rsidR="00611ADA" w:rsidRPr="002D6BDB" w:rsidRDefault="00611ADA" w:rsidP="00F17C34">
            <w:pPr>
              <w:pStyle w:val="naiskr"/>
              <w:spacing w:before="0" w:after="0"/>
              <w:jc w:val="both"/>
              <w:rPr>
                <w:sz w:val="26"/>
                <w:szCs w:val="26"/>
              </w:rPr>
            </w:pPr>
            <w:r w:rsidRPr="002D6BDB">
              <w:rPr>
                <w:sz w:val="26"/>
                <w:szCs w:val="26"/>
              </w:rPr>
              <w:t>Ieviests pilnībā</w:t>
            </w:r>
          </w:p>
        </w:tc>
        <w:tc>
          <w:tcPr>
            <w:tcW w:w="2016" w:type="pct"/>
            <w:shd w:val="clear" w:color="auto" w:fill="auto"/>
          </w:tcPr>
          <w:p w:rsidR="00611ADA" w:rsidRPr="002D6BDB" w:rsidRDefault="00611ADA" w:rsidP="00F17C34">
            <w:pPr>
              <w:pStyle w:val="naiskr"/>
              <w:spacing w:before="0" w:after="0"/>
              <w:jc w:val="both"/>
              <w:rPr>
                <w:sz w:val="26"/>
                <w:szCs w:val="26"/>
              </w:rPr>
            </w:pPr>
            <w:r w:rsidRPr="002D6BDB">
              <w:rPr>
                <w:sz w:val="26"/>
                <w:szCs w:val="26"/>
              </w:rPr>
              <w:t>Neparedz stingrākas prasības</w:t>
            </w:r>
          </w:p>
        </w:tc>
      </w:tr>
      <w:tr w:rsidR="00757367" w:rsidRPr="0002596F" w:rsidTr="00611ADA">
        <w:trPr>
          <w:tblCellSpacing w:w="15" w:type="dxa"/>
        </w:trPr>
        <w:tc>
          <w:tcPr>
            <w:tcW w:w="1134" w:type="pct"/>
            <w:gridSpan w:val="2"/>
            <w:shd w:val="clear" w:color="auto" w:fill="auto"/>
          </w:tcPr>
          <w:p w:rsidR="00757367" w:rsidRPr="002D6BDB" w:rsidRDefault="00757367" w:rsidP="00757367">
            <w:pPr>
              <w:pStyle w:val="naiskr"/>
              <w:spacing w:before="0" w:after="0"/>
              <w:jc w:val="both"/>
              <w:rPr>
                <w:sz w:val="26"/>
                <w:szCs w:val="26"/>
              </w:rPr>
            </w:pPr>
            <w:r w:rsidRPr="002D6BDB">
              <w:rPr>
                <w:sz w:val="26"/>
                <w:szCs w:val="26"/>
              </w:rPr>
              <w:t>Komisijas Regulas Nr.651/2014 9.panta 1. un 4. punkts</w:t>
            </w:r>
          </w:p>
        </w:tc>
        <w:tc>
          <w:tcPr>
            <w:tcW w:w="952" w:type="pct"/>
            <w:gridSpan w:val="2"/>
            <w:shd w:val="clear" w:color="auto" w:fill="auto"/>
          </w:tcPr>
          <w:p w:rsidR="00757367" w:rsidRPr="002D6BDB" w:rsidRDefault="00757367" w:rsidP="0009324B">
            <w:pPr>
              <w:pStyle w:val="naiskr"/>
              <w:spacing w:before="0" w:after="0"/>
              <w:jc w:val="both"/>
              <w:rPr>
                <w:sz w:val="26"/>
                <w:szCs w:val="26"/>
              </w:rPr>
            </w:pPr>
            <w:r w:rsidRPr="002D6BDB">
              <w:rPr>
                <w:sz w:val="26"/>
                <w:szCs w:val="26"/>
              </w:rPr>
              <w:t>Noteikumu projekta 7.punkts</w:t>
            </w:r>
          </w:p>
        </w:tc>
        <w:tc>
          <w:tcPr>
            <w:tcW w:w="813" w:type="pct"/>
            <w:shd w:val="clear" w:color="auto" w:fill="auto"/>
          </w:tcPr>
          <w:p w:rsidR="00757367" w:rsidRPr="002D6BDB" w:rsidRDefault="00757367" w:rsidP="00F17C34">
            <w:pPr>
              <w:pStyle w:val="naiskr"/>
              <w:spacing w:before="0" w:after="0"/>
              <w:jc w:val="both"/>
              <w:rPr>
                <w:sz w:val="26"/>
                <w:szCs w:val="26"/>
              </w:rPr>
            </w:pPr>
            <w:r w:rsidRPr="002D6BDB">
              <w:rPr>
                <w:sz w:val="26"/>
                <w:szCs w:val="26"/>
              </w:rPr>
              <w:t>Ieviests pilnībā</w:t>
            </w:r>
          </w:p>
        </w:tc>
        <w:tc>
          <w:tcPr>
            <w:tcW w:w="2016" w:type="pct"/>
            <w:shd w:val="clear" w:color="auto" w:fill="auto"/>
          </w:tcPr>
          <w:p w:rsidR="00757367" w:rsidRPr="002D6BDB" w:rsidRDefault="00757367" w:rsidP="00F17C34">
            <w:pPr>
              <w:pStyle w:val="naiskr"/>
              <w:spacing w:before="0" w:after="0"/>
              <w:jc w:val="both"/>
              <w:rPr>
                <w:sz w:val="26"/>
                <w:szCs w:val="26"/>
              </w:rPr>
            </w:pPr>
            <w:r w:rsidRPr="002D6BDB">
              <w:rPr>
                <w:sz w:val="26"/>
                <w:szCs w:val="26"/>
              </w:rPr>
              <w:t>Neparedz stingrākas prasības</w:t>
            </w:r>
          </w:p>
        </w:tc>
      </w:tr>
      <w:tr w:rsidR="001C5ED6" w:rsidRPr="00FB311D" w:rsidTr="002D6BDB">
        <w:trPr>
          <w:tblCellSpacing w:w="15" w:type="dxa"/>
        </w:trPr>
        <w:tc>
          <w:tcPr>
            <w:tcW w:w="1134" w:type="pct"/>
            <w:gridSpan w:val="2"/>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Kā ir izmantota ES tiesību aktā paredzētā rīcības brīvība dalībvalstij pārņemt vai ieviest noteiktas ES tiesību akta normas.</w:t>
            </w:r>
          </w:p>
        </w:tc>
        <w:tc>
          <w:tcPr>
            <w:tcW w:w="3815" w:type="pct"/>
            <w:gridSpan w:val="4"/>
            <w:shd w:val="clear" w:color="auto" w:fill="auto"/>
            <w:hideMark/>
          </w:tcPr>
          <w:p w:rsidR="001C5ED6" w:rsidRPr="00FB311D" w:rsidRDefault="0002596F" w:rsidP="0002596F">
            <w:pPr>
              <w:autoSpaceDE w:val="0"/>
              <w:autoSpaceDN w:val="0"/>
              <w:adjustRightInd w:val="0"/>
              <w:jc w:val="both"/>
              <w:rPr>
                <w:rFonts w:eastAsia="Times New Roman"/>
                <w:sz w:val="26"/>
                <w:szCs w:val="26"/>
                <w:lang w:val="lv-LV" w:eastAsia="lv-LV"/>
              </w:rPr>
            </w:pPr>
            <w:r w:rsidRPr="0002596F">
              <w:rPr>
                <w:rFonts w:eastAsia="Times New Roman"/>
                <w:sz w:val="26"/>
                <w:szCs w:val="26"/>
                <w:lang w:val="lv-LV" w:eastAsia="lv-LV"/>
              </w:rPr>
              <w:t>Komisijas Regula Nr.651/2014 neparedz rīcības brīvību.</w:t>
            </w:r>
          </w:p>
        </w:tc>
      </w:tr>
      <w:tr w:rsidR="001C5ED6" w:rsidRPr="00FB311D" w:rsidTr="002D6BDB">
        <w:trPr>
          <w:tblCellSpacing w:w="15" w:type="dxa"/>
        </w:trPr>
        <w:tc>
          <w:tcPr>
            <w:tcW w:w="1134" w:type="pct"/>
            <w:gridSpan w:val="2"/>
            <w:shd w:val="clear" w:color="auto" w:fill="auto"/>
            <w:vAlign w:val="center"/>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5" w:type="pct"/>
            <w:gridSpan w:val="4"/>
            <w:shd w:val="clear" w:color="auto" w:fill="auto"/>
            <w:hideMark/>
          </w:tcPr>
          <w:p w:rsidR="001C5ED6" w:rsidRPr="00FB311D" w:rsidRDefault="00180E2B" w:rsidP="00180E2B">
            <w:pPr>
              <w:jc w:val="both"/>
              <w:rPr>
                <w:rFonts w:eastAsia="Times New Roman"/>
                <w:sz w:val="26"/>
                <w:szCs w:val="26"/>
                <w:lang w:val="lv-LV" w:eastAsia="lv-LV"/>
              </w:rPr>
            </w:pPr>
            <w:r>
              <w:rPr>
                <w:rFonts w:eastAsia="Times New Roman"/>
                <w:sz w:val="26"/>
                <w:szCs w:val="26"/>
                <w:lang w:val="lv-LV" w:eastAsia="lv-LV"/>
              </w:rPr>
              <w:t>EM</w:t>
            </w:r>
            <w:r w:rsidRPr="00180E2B">
              <w:rPr>
                <w:rFonts w:eastAsia="Times New Roman"/>
                <w:sz w:val="26"/>
                <w:szCs w:val="26"/>
                <w:lang w:val="lv-LV" w:eastAsia="lv-LV"/>
              </w:rPr>
              <w:t xml:space="preserve"> 20 darba dienu laikā no noteikumu projekta spēkā stāšanās par veiktajām izmaiņām </w:t>
            </w:r>
            <w:r>
              <w:rPr>
                <w:rFonts w:eastAsia="Times New Roman"/>
                <w:sz w:val="26"/>
                <w:szCs w:val="26"/>
                <w:lang w:val="lv-LV" w:eastAsia="lv-LV"/>
              </w:rPr>
              <w:t xml:space="preserve">MK noteikumu Nr.241 ietvaros informēs Eiropas Komisiju </w:t>
            </w:r>
            <w:r w:rsidRPr="00180E2B">
              <w:rPr>
                <w:rFonts w:eastAsia="Times New Roman"/>
                <w:sz w:val="26"/>
                <w:szCs w:val="26"/>
                <w:lang w:val="lv-LV" w:eastAsia="lv-LV"/>
              </w:rPr>
              <w:t>atbilstoši Komisijas Regulas Nr.651/2014 11.pantā norādītajam.</w:t>
            </w:r>
          </w:p>
        </w:tc>
      </w:tr>
      <w:tr w:rsidR="001C5ED6" w:rsidRPr="00FB311D" w:rsidTr="002D6BDB">
        <w:trPr>
          <w:tblCellSpacing w:w="15" w:type="dxa"/>
        </w:trPr>
        <w:tc>
          <w:tcPr>
            <w:tcW w:w="1134" w:type="pct"/>
            <w:gridSpan w:val="2"/>
            <w:shd w:val="clear" w:color="auto" w:fill="auto"/>
            <w:hideMark/>
          </w:tcPr>
          <w:p w:rsidR="001C5ED6" w:rsidRPr="00FB311D" w:rsidRDefault="001C5ED6" w:rsidP="00F17C3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815" w:type="pct"/>
            <w:gridSpan w:val="4"/>
            <w:shd w:val="clear" w:color="auto" w:fill="auto"/>
            <w:hideMark/>
          </w:tcPr>
          <w:p w:rsidR="001C5ED6" w:rsidRPr="00FB311D" w:rsidRDefault="001C5ED6" w:rsidP="00F17C34">
            <w:pPr>
              <w:jc w:val="both"/>
              <w:rPr>
                <w:rFonts w:eastAsia="Times New Roman"/>
                <w:sz w:val="26"/>
                <w:szCs w:val="26"/>
                <w:lang w:val="lv-LV" w:eastAsia="lv-LV"/>
              </w:rPr>
            </w:pPr>
            <w:r>
              <w:rPr>
                <w:rFonts w:eastAsia="Times New Roman"/>
                <w:sz w:val="26"/>
                <w:szCs w:val="26"/>
                <w:lang w:val="lv-LV" w:eastAsia="lv-LV"/>
              </w:rPr>
              <w:t>Nav</w:t>
            </w:r>
          </w:p>
        </w:tc>
      </w:tr>
    </w:tbl>
    <w:p w:rsidR="008D4F09" w:rsidRDefault="008D4F09"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4D3ABB">
            <w:pPr>
              <w:ind w:left="124"/>
              <w:jc w:val="both"/>
              <w:rPr>
                <w:sz w:val="26"/>
                <w:szCs w:val="26"/>
                <w:lang w:val="lv-LV"/>
              </w:rPr>
            </w:pPr>
            <w:r w:rsidRPr="004D3ABB">
              <w:rPr>
                <w:sz w:val="26"/>
                <w:szCs w:val="26"/>
                <w:lang w:val="lv-LV"/>
              </w:rPr>
              <w:t>Grozījumi ir labvēlīg</w:t>
            </w:r>
            <w:r w:rsidR="004D3ABB">
              <w:rPr>
                <w:sz w:val="26"/>
                <w:szCs w:val="26"/>
                <w:lang w:val="lv-LV"/>
              </w:rPr>
              <w:t xml:space="preserve">i </w:t>
            </w:r>
            <w:r w:rsidRPr="004D3ABB">
              <w:rPr>
                <w:sz w:val="26"/>
                <w:szCs w:val="26"/>
                <w:lang w:val="lv-LV"/>
              </w:rPr>
              <w:t>saimnieciskās darbības veicējiem</w:t>
            </w:r>
            <w:r w:rsidR="00026F18" w:rsidRPr="004D3ABB">
              <w:rPr>
                <w:sz w:val="26"/>
                <w:szCs w:val="26"/>
                <w:lang w:val="lv-LV"/>
              </w:rPr>
              <w:t xml:space="preserve">, jo paredz </w:t>
            </w:r>
            <w:r w:rsidR="004D3ABB">
              <w:rPr>
                <w:sz w:val="26"/>
                <w:szCs w:val="26"/>
                <w:lang w:val="lv-LV"/>
              </w:rPr>
              <w:t xml:space="preserve">MK noteikumus Nr.241 pielāgot Kopienas 2014.gada Pamatnostādnēm, tādejādi nodrošinot mezanīna aizdevumu pieejamību pēc 2015.gada 31.janvāra. </w:t>
            </w:r>
          </w:p>
        </w:tc>
      </w:tr>
      <w:tr w:rsidR="004D3ABB"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Grozījumi ir labvēlīgi saimnieciskās darbības veicējiem, jo paredz MK noteikumus Nr.241 pielāgot Kopienas 2014.gada Pamatnostādnēm, tādejādi nodrošinot mezanīna aizdevumu pieejamību pēc 2015.gada 31.janvāra.</w:t>
            </w:r>
          </w:p>
        </w:tc>
      </w:tr>
      <w:tr w:rsidR="004D3ABB" w:rsidRPr="00AB1A56" w:rsidTr="002A0BC1">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Grozījumi ir labvēlīgi saimnieciskās darbības veicējiem, jo paredz MK noteikumus Nr.241 pielāgot Kopienas 2014.gada Pamatnostādnēm, tādejādi nodrošinot mezanīna aizdevumu pieejamību pēc 2015.gada 31.janvāra.</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ind w:firstLine="284"/>
              <w:jc w:val="both"/>
              <w:rPr>
                <w:sz w:val="26"/>
                <w:szCs w:val="26"/>
                <w:lang w:val="lv-LV"/>
              </w:rPr>
            </w:pPr>
            <w:r w:rsidRPr="004D3ABB">
              <w:rPr>
                <w:sz w:val="26"/>
                <w:szCs w:val="26"/>
                <w:lang w:val="lv-LV"/>
              </w:rPr>
              <w:t>Nav</w:t>
            </w:r>
          </w:p>
        </w:tc>
      </w:tr>
    </w:tbl>
    <w:p w:rsidR="00ED4255" w:rsidRDefault="00ED4255"/>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EA6CD3" w:rsidRPr="003E5A6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4D3ABB">
            <w:pPr>
              <w:ind w:firstLine="720"/>
              <w:jc w:val="center"/>
              <w:rPr>
                <w:b/>
                <w:sz w:val="26"/>
                <w:szCs w:val="26"/>
                <w:lang w:val="lv-LV"/>
              </w:rPr>
            </w:pPr>
            <w:r w:rsidRPr="004D3ABB">
              <w:rPr>
                <w:b/>
                <w:sz w:val="26"/>
                <w:szCs w:val="26"/>
                <w:lang w:val="lv-LV"/>
              </w:rPr>
              <w:t>VII. Tiesību akta projekta izpildes nodrošināšana un tās ietekme uz institūcijām</w:t>
            </w:r>
          </w:p>
        </w:tc>
      </w:tr>
      <w:tr w:rsidR="00EA6CD3" w:rsidRPr="003E5A6D" w:rsidTr="002D6BDB">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3E171B">
            <w:pPr>
              <w:ind w:firstLine="720"/>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EM un LGA.</w:t>
            </w:r>
          </w:p>
        </w:tc>
      </w:tr>
      <w:tr w:rsidR="00EA6CD3" w:rsidRPr="003E5A6D" w:rsidTr="002D6BDB">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ind w:firstLine="720"/>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EM un LGA</w:t>
            </w:r>
            <w:r w:rsidRPr="004D3ABB">
              <w:rPr>
                <w:sz w:val="26"/>
                <w:szCs w:val="26"/>
                <w:lang w:val="lv-LV"/>
              </w:rPr>
              <w:t xml:space="preserve"> esošo funkciju ietvaros.</w:t>
            </w:r>
          </w:p>
          <w:p w:rsidR="00EA6CD3" w:rsidRPr="004D3ABB" w:rsidRDefault="00EA6CD3" w:rsidP="00CB6AC4">
            <w:pPr>
              <w:ind w:firstLine="720"/>
              <w:jc w:val="both"/>
              <w:rPr>
                <w:sz w:val="26"/>
                <w:szCs w:val="26"/>
                <w:lang w:val="lv-LV"/>
              </w:rPr>
            </w:pPr>
          </w:p>
        </w:tc>
      </w:tr>
      <w:tr w:rsidR="00EA6CD3" w:rsidRPr="003E5A6D" w:rsidTr="002D6BDB">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F53217" w:rsidRPr="004D3ABB" w:rsidRDefault="00F53217" w:rsidP="00EA6CD3">
      <w:pPr>
        <w:tabs>
          <w:tab w:val="left" w:pos="7655"/>
        </w:tabs>
        <w:jc w:val="both"/>
        <w:rPr>
          <w:sz w:val="26"/>
          <w:szCs w:val="26"/>
          <w:lang w:val="lv-LV"/>
        </w:rPr>
      </w:pPr>
    </w:p>
    <w:p w:rsidR="00EA6CD3" w:rsidRPr="004D3ABB" w:rsidRDefault="00EA6CD3" w:rsidP="00EA6CD3">
      <w:pPr>
        <w:tabs>
          <w:tab w:val="left" w:pos="7655"/>
        </w:tabs>
        <w:jc w:val="both"/>
        <w:rPr>
          <w:sz w:val="26"/>
          <w:szCs w:val="26"/>
          <w:lang w:val="lv-LV"/>
        </w:rPr>
      </w:pPr>
      <w:r w:rsidRPr="004D3ABB">
        <w:rPr>
          <w:sz w:val="26"/>
          <w:szCs w:val="26"/>
          <w:lang w:val="lv-LV"/>
        </w:rPr>
        <w:t>Anotācijas III</w:t>
      </w:r>
      <w:r w:rsidR="004D3ABB" w:rsidRPr="004D3ABB">
        <w:rPr>
          <w:sz w:val="26"/>
          <w:szCs w:val="26"/>
          <w:lang w:val="lv-LV"/>
        </w:rPr>
        <w:t xml:space="preserve">.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rsidR="003E171B" w:rsidRDefault="003E171B" w:rsidP="00EA6CD3">
      <w:pPr>
        <w:tabs>
          <w:tab w:val="right" w:pos="9072"/>
        </w:tabs>
        <w:rPr>
          <w:sz w:val="25"/>
          <w:szCs w:val="25"/>
          <w:lang w:val="lv-LV"/>
        </w:rPr>
      </w:pPr>
    </w:p>
    <w:p w:rsidR="005464E6" w:rsidRPr="004D3ABB" w:rsidRDefault="005464E6" w:rsidP="00EA6CD3">
      <w:pPr>
        <w:tabs>
          <w:tab w:val="right" w:pos="9072"/>
        </w:tabs>
        <w:rPr>
          <w:sz w:val="26"/>
          <w:szCs w:val="26"/>
          <w:lang w:val="lv-LV"/>
        </w:rPr>
      </w:pPr>
    </w:p>
    <w:p w:rsidR="00EA6CD3" w:rsidRPr="004D3ABB" w:rsidRDefault="00EA6CD3" w:rsidP="00EA6CD3">
      <w:pPr>
        <w:tabs>
          <w:tab w:val="right" w:pos="9072"/>
        </w:tabs>
        <w:rPr>
          <w:sz w:val="26"/>
          <w:szCs w:val="26"/>
          <w:lang w:val="lv-LV"/>
        </w:rPr>
      </w:pPr>
      <w:r w:rsidRPr="004D3ABB">
        <w:rPr>
          <w:sz w:val="26"/>
          <w:szCs w:val="26"/>
          <w:lang w:val="lv-LV"/>
        </w:rPr>
        <w:t>Ekonomikas ministr</w:t>
      </w:r>
      <w:r w:rsidR="004D3ABB" w:rsidRPr="004D3ABB">
        <w:rPr>
          <w:sz w:val="26"/>
          <w:szCs w:val="26"/>
          <w:lang w:val="lv-LV"/>
        </w:rPr>
        <w:t>e</w:t>
      </w:r>
      <w:r w:rsidRPr="004D3ABB">
        <w:rPr>
          <w:sz w:val="26"/>
          <w:szCs w:val="26"/>
          <w:lang w:val="lv-LV"/>
        </w:rPr>
        <w:tab/>
      </w:r>
      <w:r w:rsidR="004D3ABB" w:rsidRPr="004D3ABB">
        <w:rPr>
          <w:sz w:val="26"/>
          <w:szCs w:val="26"/>
          <w:lang w:val="lv-LV"/>
        </w:rPr>
        <w:t>D.Reizniece-Ozola</w:t>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p>
    <w:p w:rsidR="00EA6CD3" w:rsidRDefault="00EA6CD3" w:rsidP="00EA6CD3">
      <w:pPr>
        <w:tabs>
          <w:tab w:val="right" w:pos="9072"/>
        </w:tabs>
        <w:rPr>
          <w:sz w:val="26"/>
          <w:szCs w:val="26"/>
          <w:lang w:val="lv-LV"/>
        </w:rPr>
      </w:pPr>
    </w:p>
    <w:p w:rsidR="003E171B" w:rsidRPr="004D3ABB" w:rsidRDefault="003E171B" w:rsidP="00EA6CD3">
      <w:pPr>
        <w:tabs>
          <w:tab w:val="right" w:pos="9072"/>
        </w:tabs>
        <w:rPr>
          <w:sz w:val="26"/>
          <w:szCs w:val="26"/>
          <w:lang w:val="lv-LV"/>
        </w:rPr>
      </w:pPr>
    </w:p>
    <w:p w:rsidR="002D6BDB" w:rsidRPr="002D6BDB" w:rsidRDefault="002D6BDB" w:rsidP="00807802">
      <w:pPr>
        <w:tabs>
          <w:tab w:val="right" w:pos="9071"/>
        </w:tabs>
        <w:jc w:val="both"/>
        <w:rPr>
          <w:rFonts w:eastAsia="Times New Roman"/>
          <w:sz w:val="26"/>
          <w:szCs w:val="26"/>
          <w:lang w:val="lv-LV" w:eastAsia="ja-JP"/>
        </w:rPr>
      </w:pPr>
      <w:r w:rsidRPr="002D6BDB">
        <w:rPr>
          <w:rFonts w:eastAsia="Times New Roman"/>
          <w:sz w:val="26"/>
          <w:szCs w:val="26"/>
          <w:lang w:val="lv-LV" w:eastAsia="ja-JP"/>
        </w:rPr>
        <w:t>Vīza: Valsts sekretār</w:t>
      </w:r>
      <w:r w:rsidR="00807802">
        <w:rPr>
          <w:rFonts w:eastAsia="Times New Roman"/>
          <w:sz w:val="26"/>
          <w:szCs w:val="26"/>
          <w:lang w:val="lv-LV" w:eastAsia="ja-JP"/>
        </w:rPr>
        <w:t>s</w:t>
      </w:r>
      <w:r w:rsidRPr="002D6BDB">
        <w:rPr>
          <w:rFonts w:eastAsia="Times New Roman"/>
          <w:sz w:val="26"/>
          <w:szCs w:val="26"/>
          <w:lang w:val="lv-LV" w:eastAsia="ja-JP"/>
        </w:rPr>
        <w:tab/>
      </w:r>
      <w:r w:rsidR="00807802">
        <w:rPr>
          <w:rFonts w:eastAsia="Times New Roman"/>
          <w:sz w:val="26"/>
          <w:szCs w:val="26"/>
          <w:lang w:val="lv-LV" w:eastAsia="ja-JP"/>
        </w:rPr>
        <w:t>M.Lazdovskis</w:t>
      </w:r>
    </w:p>
    <w:p w:rsidR="00D64FFD" w:rsidRDefault="00D64FFD" w:rsidP="00EA6CD3">
      <w:pPr>
        <w:jc w:val="both"/>
        <w:rPr>
          <w:color w:val="000000"/>
          <w:sz w:val="22"/>
          <w:szCs w:val="22"/>
          <w:lang w:val="lv-LV"/>
        </w:rPr>
      </w:pPr>
    </w:p>
    <w:p w:rsidR="003E171B" w:rsidRPr="00EE57C3" w:rsidRDefault="003E171B" w:rsidP="00EA6CD3">
      <w:pPr>
        <w:jc w:val="both"/>
        <w:rPr>
          <w:color w:val="000000"/>
          <w:sz w:val="22"/>
          <w:szCs w:val="22"/>
          <w:lang w:val="lv-LV"/>
        </w:rPr>
      </w:pPr>
    </w:p>
    <w:p w:rsidR="00EA6CD3" w:rsidRPr="003E171B" w:rsidRDefault="00180E2B" w:rsidP="00EA6CD3">
      <w:pPr>
        <w:jc w:val="both"/>
        <w:rPr>
          <w:sz w:val="18"/>
          <w:szCs w:val="18"/>
          <w:lang w:val="lv-LV"/>
        </w:rPr>
      </w:pPr>
      <w:r w:rsidRPr="003E171B">
        <w:rPr>
          <w:sz w:val="18"/>
          <w:szCs w:val="18"/>
          <w:lang w:val="lv-LV"/>
        </w:rPr>
        <w:t>1</w:t>
      </w:r>
      <w:r w:rsidR="00807802">
        <w:rPr>
          <w:sz w:val="18"/>
          <w:szCs w:val="18"/>
          <w:lang w:val="lv-LV"/>
        </w:rPr>
        <w:t>4.01.2015</w:t>
      </w:r>
      <w:r w:rsidR="00026F18" w:rsidRPr="003E171B">
        <w:rPr>
          <w:sz w:val="18"/>
          <w:szCs w:val="18"/>
          <w:lang w:val="lv-LV"/>
        </w:rPr>
        <w:t xml:space="preserve">. </w:t>
      </w:r>
      <w:r w:rsidR="00807802">
        <w:rPr>
          <w:sz w:val="18"/>
          <w:szCs w:val="18"/>
          <w:lang w:val="lv-LV"/>
        </w:rPr>
        <w:t>15:31</w:t>
      </w:r>
      <w:bookmarkStart w:id="5" w:name="_GoBack"/>
      <w:bookmarkEnd w:id="5"/>
    </w:p>
    <w:p w:rsidR="00D04299" w:rsidRPr="003E171B" w:rsidRDefault="00807802" w:rsidP="00EA6CD3">
      <w:pPr>
        <w:jc w:val="both"/>
        <w:rPr>
          <w:color w:val="000000"/>
          <w:sz w:val="18"/>
          <w:szCs w:val="18"/>
          <w:lang w:val="lv-LV"/>
        </w:rPr>
      </w:pPr>
      <w:r>
        <w:rPr>
          <w:color w:val="000000"/>
          <w:sz w:val="18"/>
          <w:szCs w:val="18"/>
          <w:lang w:val="lv-LV"/>
        </w:rPr>
        <w:t>1601</w:t>
      </w:r>
    </w:p>
    <w:p w:rsidR="00EA6CD3" w:rsidRPr="003E171B" w:rsidRDefault="00EA6CD3" w:rsidP="00EA6CD3">
      <w:pPr>
        <w:jc w:val="both"/>
        <w:rPr>
          <w:color w:val="000000"/>
          <w:sz w:val="18"/>
          <w:szCs w:val="18"/>
          <w:lang w:val="lv-LV"/>
        </w:rPr>
      </w:pPr>
      <w:r w:rsidRPr="003E171B">
        <w:rPr>
          <w:color w:val="000000"/>
          <w:sz w:val="18"/>
          <w:szCs w:val="18"/>
          <w:lang w:val="lv-LV"/>
        </w:rPr>
        <w:t>A.Nicmane</w:t>
      </w:r>
    </w:p>
    <w:p w:rsidR="00EA6CD3" w:rsidRPr="003E171B" w:rsidRDefault="00EA6CD3" w:rsidP="00EA6CD3">
      <w:pPr>
        <w:jc w:val="both"/>
        <w:rPr>
          <w:color w:val="000000"/>
          <w:sz w:val="18"/>
          <w:szCs w:val="18"/>
          <w:lang w:val="lv-LV"/>
        </w:rPr>
      </w:pPr>
      <w:r w:rsidRPr="003E171B">
        <w:rPr>
          <w:sz w:val="18"/>
          <w:szCs w:val="18"/>
          <w:lang w:val="lv-LV"/>
        </w:rPr>
        <w:t>67013203,</w:t>
      </w:r>
      <w:r w:rsidR="00D04299" w:rsidRPr="003E171B">
        <w:rPr>
          <w:sz w:val="18"/>
          <w:szCs w:val="18"/>
          <w:lang w:val="lv-LV"/>
        </w:rPr>
        <w:t xml:space="preserve"> </w:t>
      </w:r>
      <w:r w:rsidRPr="003E171B">
        <w:rPr>
          <w:sz w:val="18"/>
          <w:szCs w:val="18"/>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A" w:rsidRDefault="00FC3C7A" w:rsidP="006B2FEF">
      <w:r>
        <w:separator/>
      </w:r>
    </w:p>
  </w:endnote>
  <w:endnote w:type="continuationSeparator" w:id="0">
    <w:p w:rsidR="00FC3C7A" w:rsidRDefault="00FC3C7A"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E7567F" w:rsidRDefault="00E7567F" w:rsidP="00E7567F">
    <w:pPr>
      <w:pStyle w:val="Footer"/>
      <w:jc w:val="both"/>
    </w:pPr>
    <w:r>
      <w:rPr>
        <w:rFonts w:eastAsia="Times New Roman"/>
        <w:lang w:val="lv-LV" w:eastAsia="lv-LV"/>
      </w:rPr>
      <w:t>EMANOT_</w:t>
    </w:r>
    <w:r w:rsidR="00415A66">
      <w:rPr>
        <w:rFonts w:eastAsia="Times New Roman"/>
        <w:lang w:val="lv-LV" w:eastAsia="lv-LV"/>
      </w:rPr>
      <w:t>1</w:t>
    </w:r>
    <w:r w:rsidR="00807802">
      <w:rPr>
        <w:rFonts w:eastAsia="Times New Roman"/>
        <w:lang w:val="lv-LV" w:eastAsia="lv-LV"/>
      </w:rPr>
      <w:t>40115</w:t>
    </w:r>
    <w:r w:rsidRPr="00720501">
      <w:rPr>
        <w:rFonts w:eastAsia="Times New Roman"/>
        <w:lang w:val="lv-LV" w:eastAsia="lv-LV"/>
      </w:rPr>
      <w:t>_</w:t>
    </w:r>
    <w:r>
      <w:rPr>
        <w:rFonts w:eastAsia="Times New Roman"/>
        <w:lang w:val="lv-LV" w:eastAsia="lv-LV"/>
      </w:rPr>
      <w:t>GROZ241</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Pr="00E7567F">
      <w:rPr>
        <w:rFonts w:eastAsia="Times New Roman"/>
        <w:lang w:val="lv-LV" w:eastAsia="lv-LV"/>
      </w:rPr>
      <w:t xml:space="preserve">,,Grozījumi Ministru kabineta 2014.gada 13.maija Ministru kabineta noteikumos Nr.241 „Noteikumi par </w:t>
    </w:r>
    <w:proofErr w:type="spellStart"/>
    <w:r w:rsidRPr="00E7567F">
      <w:rPr>
        <w:rFonts w:eastAsia="Times New Roman"/>
        <w:lang w:val="lv-LV" w:eastAsia="lv-LV"/>
      </w:rPr>
      <w:t>mezanīna</w:t>
    </w:r>
    <w:proofErr w:type="spellEnd"/>
    <w:r w:rsidRPr="00E7567F">
      <w:rPr>
        <w:rFonts w:eastAsia="Times New Roman"/>
        <w:lang w:val="lv-LV" w:eastAsia="lv-LV"/>
      </w:rPr>
      <w:t xml:space="preserve"> aizdevumiem saimnieciskās darbības veicēju konkurētspējas uzlabošanai””</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20" w:rsidRPr="0047031A" w:rsidRDefault="00F53217" w:rsidP="0047031A">
    <w:pPr>
      <w:pStyle w:val="Footer"/>
      <w:jc w:val="both"/>
    </w:pPr>
    <w:r>
      <w:rPr>
        <w:rFonts w:eastAsia="Times New Roman"/>
        <w:lang w:val="lv-LV" w:eastAsia="lv-LV"/>
      </w:rPr>
      <w:t>EMANOT_</w:t>
    </w:r>
    <w:r w:rsidR="00807802">
      <w:rPr>
        <w:rFonts w:eastAsia="Times New Roman"/>
        <w:lang w:val="lv-LV" w:eastAsia="lv-LV"/>
      </w:rPr>
      <w:t>140115</w:t>
    </w:r>
    <w:r w:rsidR="006D1520" w:rsidRPr="00720501">
      <w:rPr>
        <w:rFonts w:eastAsia="Times New Roman"/>
        <w:lang w:val="lv-LV" w:eastAsia="lv-LV"/>
      </w:rPr>
      <w:t>_</w:t>
    </w:r>
    <w:r w:rsidR="00E7567F">
      <w:rPr>
        <w:rFonts w:eastAsia="Times New Roman"/>
        <w:lang w:val="lv-LV" w:eastAsia="lv-LV"/>
      </w:rPr>
      <w:t>GROZ241</w:t>
    </w:r>
    <w:r w:rsidR="006D1520" w:rsidRPr="00720501">
      <w:rPr>
        <w:rFonts w:eastAsia="Times New Roman"/>
        <w:lang w:val="lv-LV" w:eastAsia="lv-LV"/>
      </w:rPr>
      <w:t>; Mini</w:t>
    </w:r>
    <w:r w:rsidR="006D1520">
      <w:rPr>
        <w:rFonts w:eastAsia="Times New Roman"/>
        <w:lang w:val="lv-LV" w:eastAsia="lv-LV"/>
      </w:rPr>
      <w:t>stru kabineta noteikumu projekt</w:t>
    </w:r>
    <w:r w:rsidR="00E7567F">
      <w:rPr>
        <w:rFonts w:eastAsia="Times New Roman"/>
        <w:lang w:val="lv-LV" w:eastAsia="lv-LV"/>
      </w:rPr>
      <w:t>a</w:t>
    </w:r>
    <w:r w:rsidR="006D1520" w:rsidRPr="00720501">
      <w:rPr>
        <w:rFonts w:eastAsia="Times New Roman"/>
        <w:lang w:val="lv-LV" w:eastAsia="lv-LV"/>
      </w:rPr>
      <w:t xml:space="preserve"> </w:t>
    </w:r>
    <w:r w:rsidR="00E7567F" w:rsidRPr="00E7567F">
      <w:rPr>
        <w:rFonts w:eastAsia="Times New Roman"/>
        <w:lang w:val="lv-LV" w:eastAsia="lv-LV"/>
      </w:rPr>
      <w:t>,,Grozījumi Ministru kabineta 2014.gada 13.maija Ministru kabineta noteikumos Nr.241 „Noteikumi par mezanīna aizdevumiem saimnieciskās darbības veicēju konkurētspējas uzlabošanai””</w:t>
    </w:r>
    <w:r w:rsidR="00E7567F">
      <w:rPr>
        <w:rFonts w:eastAsia="Times New Roman"/>
        <w:lang w:val="lv-LV" w:eastAsia="lv-LV"/>
      </w:rPr>
      <w:t xml:space="preserve"> </w:t>
    </w:r>
    <w:r w:rsidR="006D1520"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A" w:rsidRDefault="00FC3C7A" w:rsidP="006B2FEF">
      <w:r>
        <w:separator/>
      </w:r>
    </w:p>
  </w:footnote>
  <w:footnote w:type="continuationSeparator" w:id="0">
    <w:p w:rsidR="00FC3C7A" w:rsidRDefault="00FC3C7A"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6D1520" w:rsidRPr="00B014C2" w:rsidRDefault="006D152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07802">
          <w:rPr>
            <w:noProof/>
            <w:sz w:val="24"/>
            <w:szCs w:val="24"/>
          </w:rPr>
          <w:t>7</w:t>
        </w:r>
        <w:r w:rsidRPr="00B014C2">
          <w:rPr>
            <w:sz w:val="24"/>
            <w:szCs w:val="24"/>
          </w:rPr>
          <w:fldChar w:fldCharType="end"/>
        </w:r>
      </w:p>
    </w:sdtContent>
  </w:sdt>
  <w:p w:rsidR="006D1520" w:rsidRDefault="006D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B61"/>
    <w:rsid w:val="0002003C"/>
    <w:rsid w:val="0002596F"/>
    <w:rsid w:val="00026F18"/>
    <w:rsid w:val="00047095"/>
    <w:rsid w:val="000527A4"/>
    <w:rsid w:val="000678CD"/>
    <w:rsid w:val="00071082"/>
    <w:rsid w:val="0007330D"/>
    <w:rsid w:val="00074090"/>
    <w:rsid w:val="00080352"/>
    <w:rsid w:val="0009324B"/>
    <w:rsid w:val="00094B1E"/>
    <w:rsid w:val="00095280"/>
    <w:rsid w:val="00096060"/>
    <w:rsid w:val="000964C6"/>
    <w:rsid w:val="000B3449"/>
    <w:rsid w:val="000B492B"/>
    <w:rsid w:val="000C33C1"/>
    <w:rsid w:val="000D3D56"/>
    <w:rsid w:val="000D43D9"/>
    <w:rsid w:val="000D74B9"/>
    <w:rsid w:val="000E53C3"/>
    <w:rsid w:val="00102B1D"/>
    <w:rsid w:val="00145366"/>
    <w:rsid w:val="001655DD"/>
    <w:rsid w:val="00165747"/>
    <w:rsid w:val="00166A8B"/>
    <w:rsid w:val="00172082"/>
    <w:rsid w:val="00177882"/>
    <w:rsid w:val="00180E2B"/>
    <w:rsid w:val="00183B65"/>
    <w:rsid w:val="00186A4D"/>
    <w:rsid w:val="00187140"/>
    <w:rsid w:val="001935C8"/>
    <w:rsid w:val="001A3ED2"/>
    <w:rsid w:val="001A7C3A"/>
    <w:rsid w:val="001C0801"/>
    <w:rsid w:val="001C5ED6"/>
    <w:rsid w:val="001C68A2"/>
    <w:rsid w:val="001D0800"/>
    <w:rsid w:val="001D7DC1"/>
    <w:rsid w:val="001F7AAD"/>
    <w:rsid w:val="0020468C"/>
    <w:rsid w:val="00217F5B"/>
    <w:rsid w:val="002267E7"/>
    <w:rsid w:val="0025023B"/>
    <w:rsid w:val="00254901"/>
    <w:rsid w:val="00255BAC"/>
    <w:rsid w:val="00261B97"/>
    <w:rsid w:val="002651EA"/>
    <w:rsid w:val="002A0435"/>
    <w:rsid w:val="002A0BC1"/>
    <w:rsid w:val="002A166A"/>
    <w:rsid w:val="002A6400"/>
    <w:rsid w:val="002C15A0"/>
    <w:rsid w:val="002D6A10"/>
    <w:rsid w:val="002D6BDB"/>
    <w:rsid w:val="002E1075"/>
    <w:rsid w:val="002E678E"/>
    <w:rsid w:val="002E708A"/>
    <w:rsid w:val="002F741D"/>
    <w:rsid w:val="00304810"/>
    <w:rsid w:val="003061FB"/>
    <w:rsid w:val="0031259B"/>
    <w:rsid w:val="003228DE"/>
    <w:rsid w:val="00326096"/>
    <w:rsid w:val="00337AC6"/>
    <w:rsid w:val="00346CE0"/>
    <w:rsid w:val="00354ABE"/>
    <w:rsid w:val="00366AFE"/>
    <w:rsid w:val="00374F73"/>
    <w:rsid w:val="00375F30"/>
    <w:rsid w:val="00380AC5"/>
    <w:rsid w:val="003814A5"/>
    <w:rsid w:val="00387734"/>
    <w:rsid w:val="003913FB"/>
    <w:rsid w:val="00392998"/>
    <w:rsid w:val="00395460"/>
    <w:rsid w:val="00396152"/>
    <w:rsid w:val="003B32EC"/>
    <w:rsid w:val="003B5F6A"/>
    <w:rsid w:val="003B63BE"/>
    <w:rsid w:val="003C3D3D"/>
    <w:rsid w:val="003D1A86"/>
    <w:rsid w:val="003E171B"/>
    <w:rsid w:val="003E4132"/>
    <w:rsid w:val="003E58C7"/>
    <w:rsid w:val="003E5A6D"/>
    <w:rsid w:val="003F2B20"/>
    <w:rsid w:val="003F2C34"/>
    <w:rsid w:val="003F30FC"/>
    <w:rsid w:val="004038BC"/>
    <w:rsid w:val="00415A66"/>
    <w:rsid w:val="00416A31"/>
    <w:rsid w:val="00417136"/>
    <w:rsid w:val="00423B46"/>
    <w:rsid w:val="00425AA9"/>
    <w:rsid w:val="00426250"/>
    <w:rsid w:val="00426A69"/>
    <w:rsid w:val="00431019"/>
    <w:rsid w:val="004352F7"/>
    <w:rsid w:val="0043554A"/>
    <w:rsid w:val="00442D1E"/>
    <w:rsid w:val="00443016"/>
    <w:rsid w:val="00445945"/>
    <w:rsid w:val="00452140"/>
    <w:rsid w:val="00467343"/>
    <w:rsid w:val="0047031A"/>
    <w:rsid w:val="00483B86"/>
    <w:rsid w:val="004A5EEF"/>
    <w:rsid w:val="004B0B1D"/>
    <w:rsid w:val="004C0738"/>
    <w:rsid w:val="004C0FE6"/>
    <w:rsid w:val="004C2FC4"/>
    <w:rsid w:val="004D3ABB"/>
    <w:rsid w:val="005116FB"/>
    <w:rsid w:val="00531AFF"/>
    <w:rsid w:val="00534305"/>
    <w:rsid w:val="005464E6"/>
    <w:rsid w:val="00555557"/>
    <w:rsid w:val="00567FC5"/>
    <w:rsid w:val="00571CCF"/>
    <w:rsid w:val="00572180"/>
    <w:rsid w:val="005771D5"/>
    <w:rsid w:val="00592809"/>
    <w:rsid w:val="00593343"/>
    <w:rsid w:val="005A5A80"/>
    <w:rsid w:val="005B2DA5"/>
    <w:rsid w:val="005B476F"/>
    <w:rsid w:val="005B6095"/>
    <w:rsid w:val="005B65B8"/>
    <w:rsid w:val="005C3D03"/>
    <w:rsid w:val="005C63C7"/>
    <w:rsid w:val="005C6B2C"/>
    <w:rsid w:val="005D06E8"/>
    <w:rsid w:val="005D1195"/>
    <w:rsid w:val="005D688E"/>
    <w:rsid w:val="005E4164"/>
    <w:rsid w:val="005F3FC6"/>
    <w:rsid w:val="005F75C4"/>
    <w:rsid w:val="00611ADA"/>
    <w:rsid w:val="00614ECD"/>
    <w:rsid w:val="006231D7"/>
    <w:rsid w:val="00626031"/>
    <w:rsid w:val="006373FF"/>
    <w:rsid w:val="00646A6F"/>
    <w:rsid w:val="006559F5"/>
    <w:rsid w:val="00661782"/>
    <w:rsid w:val="00672822"/>
    <w:rsid w:val="006729D2"/>
    <w:rsid w:val="00673BC6"/>
    <w:rsid w:val="006775B3"/>
    <w:rsid w:val="00684808"/>
    <w:rsid w:val="006B2FEF"/>
    <w:rsid w:val="006B6D6C"/>
    <w:rsid w:val="006C5ECD"/>
    <w:rsid w:val="006D1520"/>
    <w:rsid w:val="006D2F0C"/>
    <w:rsid w:val="006D3604"/>
    <w:rsid w:val="006E2082"/>
    <w:rsid w:val="006F2362"/>
    <w:rsid w:val="006F47EB"/>
    <w:rsid w:val="006F4DE9"/>
    <w:rsid w:val="006F71C2"/>
    <w:rsid w:val="00700AC3"/>
    <w:rsid w:val="00700E68"/>
    <w:rsid w:val="007161D3"/>
    <w:rsid w:val="007262F0"/>
    <w:rsid w:val="00752DBC"/>
    <w:rsid w:val="0075411D"/>
    <w:rsid w:val="00756F8A"/>
    <w:rsid w:val="00757367"/>
    <w:rsid w:val="00762675"/>
    <w:rsid w:val="00762FC8"/>
    <w:rsid w:val="0077534E"/>
    <w:rsid w:val="0078045E"/>
    <w:rsid w:val="00780B70"/>
    <w:rsid w:val="00782847"/>
    <w:rsid w:val="00783D20"/>
    <w:rsid w:val="007954D3"/>
    <w:rsid w:val="007A2F02"/>
    <w:rsid w:val="007A5C51"/>
    <w:rsid w:val="007B41D7"/>
    <w:rsid w:val="007C1A7D"/>
    <w:rsid w:val="007E2FDE"/>
    <w:rsid w:val="007E4C1F"/>
    <w:rsid w:val="007F0204"/>
    <w:rsid w:val="00807802"/>
    <w:rsid w:val="00814AFC"/>
    <w:rsid w:val="0082350A"/>
    <w:rsid w:val="00831A5D"/>
    <w:rsid w:val="008503CA"/>
    <w:rsid w:val="008565FB"/>
    <w:rsid w:val="008764DD"/>
    <w:rsid w:val="008841EB"/>
    <w:rsid w:val="00891C00"/>
    <w:rsid w:val="00895E41"/>
    <w:rsid w:val="008A0A32"/>
    <w:rsid w:val="008B206C"/>
    <w:rsid w:val="008B56DF"/>
    <w:rsid w:val="008B5EFB"/>
    <w:rsid w:val="008D4F09"/>
    <w:rsid w:val="008D65D5"/>
    <w:rsid w:val="008D7F23"/>
    <w:rsid w:val="009165D6"/>
    <w:rsid w:val="00917D6F"/>
    <w:rsid w:val="00921504"/>
    <w:rsid w:val="00954428"/>
    <w:rsid w:val="00954541"/>
    <w:rsid w:val="00954C0F"/>
    <w:rsid w:val="00956C4B"/>
    <w:rsid w:val="00957E64"/>
    <w:rsid w:val="00961605"/>
    <w:rsid w:val="00963C88"/>
    <w:rsid w:val="00966814"/>
    <w:rsid w:val="00970D58"/>
    <w:rsid w:val="009A692C"/>
    <w:rsid w:val="009B584C"/>
    <w:rsid w:val="009B75D4"/>
    <w:rsid w:val="009C2E2D"/>
    <w:rsid w:val="009C7F6E"/>
    <w:rsid w:val="009D0A96"/>
    <w:rsid w:val="009D43B2"/>
    <w:rsid w:val="009F0FC9"/>
    <w:rsid w:val="00A03E32"/>
    <w:rsid w:val="00A14369"/>
    <w:rsid w:val="00A229AC"/>
    <w:rsid w:val="00A23E8B"/>
    <w:rsid w:val="00A25225"/>
    <w:rsid w:val="00A26676"/>
    <w:rsid w:val="00A27A02"/>
    <w:rsid w:val="00A32A3F"/>
    <w:rsid w:val="00A337C5"/>
    <w:rsid w:val="00A33B10"/>
    <w:rsid w:val="00A56E9B"/>
    <w:rsid w:val="00A73448"/>
    <w:rsid w:val="00A969CC"/>
    <w:rsid w:val="00A96C8D"/>
    <w:rsid w:val="00AD5C75"/>
    <w:rsid w:val="00AE0055"/>
    <w:rsid w:val="00B15DBA"/>
    <w:rsid w:val="00B2297A"/>
    <w:rsid w:val="00B300C7"/>
    <w:rsid w:val="00B32793"/>
    <w:rsid w:val="00B4164D"/>
    <w:rsid w:val="00B462F7"/>
    <w:rsid w:val="00B46A16"/>
    <w:rsid w:val="00B51427"/>
    <w:rsid w:val="00B5564B"/>
    <w:rsid w:val="00B65CF6"/>
    <w:rsid w:val="00B700CC"/>
    <w:rsid w:val="00B80371"/>
    <w:rsid w:val="00B837AE"/>
    <w:rsid w:val="00B868AD"/>
    <w:rsid w:val="00B9742D"/>
    <w:rsid w:val="00BB0BAA"/>
    <w:rsid w:val="00BB4E62"/>
    <w:rsid w:val="00BC608E"/>
    <w:rsid w:val="00BC69DC"/>
    <w:rsid w:val="00BD7AE1"/>
    <w:rsid w:val="00BE15E4"/>
    <w:rsid w:val="00BF15B9"/>
    <w:rsid w:val="00C0447C"/>
    <w:rsid w:val="00C05EF2"/>
    <w:rsid w:val="00C12CF8"/>
    <w:rsid w:val="00C25016"/>
    <w:rsid w:val="00C26333"/>
    <w:rsid w:val="00C264E6"/>
    <w:rsid w:val="00C26E37"/>
    <w:rsid w:val="00C42ACD"/>
    <w:rsid w:val="00C446A5"/>
    <w:rsid w:val="00C52004"/>
    <w:rsid w:val="00C65AAE"/>
    <w:rsid w:val="00C66A4D"/>
    <w:rsid w:val="00C77C68"/>
    <w:rsid w:val="00C85115"/>
    <w:rsid w:val="00CA0BCB"/>
    <w:rsid w:val="00CB6AC4"/>
    <w:rsid w:val="00CE35E1"/>
    <w:rsid w:val="00CE5541"/>
    <w:rsid w:val="00CF4607"/>
    <w:rsid w:val="00D00576"/>
    <w:rsid w:val="00D04299"/>
    <w:rsid w:val="00D05A7A"/>
    <w:rsid w:val="00D20CC5"/>
    <w:rsid w:val="00D217AC"/>
    <w:rsid w:val="00D41F46"/>
    <w:rsid w:val="00D455A4"/>
    <w:rsid w:val="00D5265D"/>
    <w:rsid w:val="00D62E09"/>
    <w:rsid w:val="00D64FFD"/>
    <w:rsid w:val="00D84DE0"/>
    <w:rsid w:val="00DA239C"/>
    <w:rsid w:val="00DB3228"/>
    <w:rsid w:val="00DB3721"/>
    <w:rsid w:val="00DB3D04"/>
    <w:rsid w:val="00DC72F1"/>
    <w:rsid w:val="00DD0953"/>
    <w:rsid w:val="00DD1F77"/>
    <w:rsid w:val="00DF6E16"/>
    <w:rsid w:val="00E00218"/>
    <w:rsid w:val="00E018E1"/>
    <w:rsid w:val="00E116BA"/>
    <w:rsid w:val="00E11D29"/>
    <w:rsid w:val="00E15447"/>
    <w:rsid w:val="00E23059"/>
    <w:rsid w:val="00E40942"/>
    <w:rsid w:val="00E50E6F"/>
    <w:rsid w:val="00E539B3"/>
    <w:rsid w:val="00E55EC8"/>
    <w:rsid w:val="00E72404"/>
    <w:rsid w:val="00E74A15"/>
    <w:rsid w:val="00E7567F"/>
    <w:rsid w:val="00E93CFE"/>
    <w:rsid w:val="00EA0EBB"/>
    <w:rsid w:val="00EA1619"/>
    <w:rsid w:val="00EA6CD3"/>
    <w:rsid w:val="00EC03E6"/>
    <w:rsid w:val="00ED053C"/>
    <w:rsid w:val="00ED18C9"/>
    <w:rsid w:val="00ED377A"/>
    <w:rsid w:val="00ED4255"/>
    <w:rsid w:val="00ED5CF7"/>
    <w:rsid w:val="00EE4A54"/>
    <w:rsid w:val="00EE4C51"/>
    <w:rsid w:val="00EE61BD"/>
    <w:rsid w:val="00F02EB7"/>
    <w:rsid w:val="00F066C5"/>
    <w:rsid w:val="00F30608"/>
    <w:rsid w:val="00F32822"/>
    <w:rsid w:val="00F352DD"/>
    <w:rsid w:val="00F40F20"/>
    <w:rsid w:val="00F44B3E"/>
    <w:rsid w:val="00F53217"/>
    <w:rsid w:val="00F70443"/>
    <w:rsid w:val="00F7097D"/>
    <w:rsid w:val="00F716EF"/>
    <w:rsid w:val="00F9016C"/>
    <w:rsid w:val="00F9305D"/>
    <w:rsid w:val="00F9522F"/>
    <w:rsid w:val="00FB1472"/>
    <w:rsid w:val="00FC3C7A"/>
    <w:rsid w:val="00FD061B"/>
    <w:rsid w:val="00FD5F34"/>
    <w:rsid w:val="00FE6FC3"/>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LV/TXT/PDF/?uri=OJ:C:2014:249:FULL&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7B2F-9D34-4A96-A2A5-38A7012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8487</Words>
  <Characters>4839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13.maija Ministru kabineta noteikumos Nr.241 „Noteikumi par mezanīna aizdevumiem saimnieciskās darbības veicēju konkurētspējas uzlabošanai””” sākotnējās ietekmes novērtējuma ziņo</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13.maija Ministru kabineta noteikumos Nr.241 „Noteikumi par mezanīna aizdevumiem saimnieciskās darbības veicēju konkurētspējas uzlabošanai””” sākotnējās ietekmes novērtējuma ziņojums (anotācija)</dc:title>
  <dc:subject>Anotācija</dc:subject>
  <dc:creator>Agita Nicmane</dc:creator>
  <dc:description>Agita.Nicmane@em.gov.lv</dc:description>
  <cp:lastModifiedBy>Agita Nicmane</cp:lastModifiedBy>
  <cp:revision>3</cp:revision>
  <cp:lastPrinted>2014-07-25T11:11:00Z</cp:lastPrinted>
  <dcterms:created xsi:type="dcterms:W3CDTF">2015-01-14T13:29:00Z</dcterms:created>
  <dcterms:modified xsi:type="dcterms:W3CDTF">2015-01-14T13:31:00Z</dcterms:modified>
</cp:coreProperties>
</file>