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70" w:rsidRDefault="00536870" w:rsidP="00033E4C">
      <w:pPr>
        <w:pStyle w:val="Title"/>
        <w:rPr>
          <w:szCs w:val="28"/>
        </w:rPr>
      </w:pPr>
    </w:p>
    <w:p w:rsidR="00FD5D50" w:rsidRPr="00900607" w:rsidRDefault="00FD5D50" w:rsidP="00033E4C">
      <w:pPr>
        <w:pStyle w:val="Title"/>
        <w:rPr>
          <w:szCs w:val="28"/>
        </w:rPr>
      </w:pPr>
      <w:r w:rsidRPr="00900607">
        <w:rPr>
          <w:szCs w:val="28"/>
        </w:rPr>
        <w:t>Ministru kabineta rīkojuma projekta</w:t>
      </w:r>
    </w:p>
    <w:p w:rsidR="00FD5D50" w:rsidRPr="00900607" w:rsidRDefault="00FD5D50" w:rsidP="007D0BE8">
      <w:pPr>
        <w:pStyle w:val="BodyText3"/>
        <w:jc w:val="center"/>
        <w:rPr>
          <w:b/>
          <w:sz w:val="28"/>
          <w:szCs w:val="28"/>
          <w:lang w:val="lv-LV"/>
        </w:rPr>
      </w:pPr>
      <w:r w:rsidRPr="00E23006">
        <w:rPr>
          <w:b/>
          <w:sz w:val="28"/>
          <w:szCs w:val="28"/>
          <w:lang w:val="lv-LV"/>
        </w:rPr>
        <w:t>„</w:t>
      </w:r>
      <w:r w:rsidR="007D0BE8" w:rsidRPr="007D0BE8">
        <w:rPr>
          <w:b/>
          <w:sz w:val="28"/>
          <w:szCs w:val="28"/>
          <w:lang w:val="lv-LV"/>
        </w:rPr>
        <w:t>Par Ministru kabineta 2009.gada 28.decembra rīkojuma Nr.922 „Par atteikumu nodot privatizācijai daļu no apbūvēta zemesgabala (zemes vienības kadastra apzīmējums 8882 008 0729) Rojas novada Rojas pagastā, "Rojas ostā" atcelšanu</w:t>
      </w:r>
      <w:r w:rsidR="002B72C5">
        <w:rPr>
          <w:b/>
          <w:sz w:val="28"/>
          <w:szCs w:val="28"/>
          <w:lang w:val="lv-LV"/>
        </w:rPr>
        <w:t xml:space="preserve"> daļā</w:t>
      </w:r>
      <w:r w:rsidRPr="00900607">
        <w:rPr>
          <w:b/>
          <w:sz w:val="28"/>
          <w:szCs w:val="28"/>
          <w:lang w:val="lv-LV"/>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D5D50" w:rsidRPr="0093291B" w:rsidTr="00033E4C">
        <w:tc>
          <w:tcPr>
            <w:tcW w:w="9725" w:type="dxa"/>
            <w:gridSpan w:val="3"/>
            <w:vAlign w:val="center"/>
          </w:tcPr>
          <w:p w:rsidR="00FD5D50" w:rsidRPr="0093291B" w:rsidRDefault="00FD5D50" w:rsidP="00033E4C">
            <w:pPr>
              <w:pStyle w:val="naisnod"/>
              <w:spacing w:before="0" w:after="0"/>
              <w:rPr>
                <w:sz w:val="28"/>
                <w:szCs w:val="28"/>
              </w:rPr>
            </w:pPr>
            <w:r w:rsidRPr="0093291B">
              <w:rPr>
                <w:sz w:val="28"/>
                <w:szCs w:val="28"/>
              </w:rPr>
              <w:t>I. Tiesību akta projekta izstrādes nepieciešamība</w:t>
            </w:r>
          </w:p>
        </w:tc>
      </w:tr>
      <w:tr w:rsidR="00FD5D50" w:rsidRPr="0093291B" w:rsidTr="00033E4C">
        <w:trPr>
          <w:trHeight w:val="630"/>
        </w:trPr>
        <w:tc>
          <w:tcPr>
            <w:tcW w:w="550" w:type="dxa"/>
          </w:tcPr>
          <w:p w:rsidR="00FD5D50" w:rsidRPr="0093291B" w:rsidRDefault="00FD5D50" w:rsidP="00033E4C">
            <w:pPr>
              <w:pStyle w:val="naiskr"/>
              <w:spacing w:before="0" w:after="0"/>
              <w:rPr>
                <w:sz w:val="28"/>
                <w:szCs w:val="28"/>
              </w:rPr>
            </w:pPr>
            <w:r w:rsidRPr="0093291B">
              <w:rPr>
                <w:sz w:val="28"/>
                <w:szCs w:val="28"/>
              </w:rPr>
              <w:t>1.</w:t>
            </w:r>
          </w:p>
        </w:tc>
        <w:tc>
          <w:tcPr>
            <w:tcW w:w="4315" w:type="dxa"/>
          </w:tcPr>
          <w:p w:rsidR="00FD5D50" w:rsidRPr="0093291B" w:rsidRDefault="00FD5D50" w:rsidP="00033E4C">
            <w:pPr>
              <w:pStyle w:val="naiskr"/>
              <w:spacing w:before="0" w:after="0"/>
              <w:ind w:hanging="10"/>
              <w:rPr>
                <w:sz w:val="28"/>
                <w:szCs w:val="28"/>
              </w:rPr>
            </w:pPr>
            <w:r w:rsidRPr="0093291B">
              <w:rPr>
                <w:sz w:val="28"/>
                <w:szCs w:val="28"/>
              </w:rPr>
              <w:t>Pamatojums</w:t>
            </w:r>
          </w:p>
        </w:tc>
        <w:tc>
          <w:tcPr>
            <w:tcW w:w="4860" w:type="dxa"/>
          </w:tcPr>
          <w:p w:rsidR="00520B79" w:rsidRPr="00FD5D50" w:rsidRDefault="002E765D" w:rsidP="001B5041">
            <w:pPr>
              <w:spacing w:before="120"/>
              <w:ind w:firstLine="810"/>
              <w:jc w:val="both"/>
            </w:pPr>
            <w:r>
              <w:rPr>
                <w:sz w:val="28"/>
                <w:szCs w:val="28"/>
              </w:rPr>
              <w:t>Ministru kabineta 2014</w:t>
            </w:r>
            <w:r w:rsidRPr="002E765D">
              <w:rPr>
                <w:sz w:val="28"/>
                <w:szCs w:val="28"/>
              </w:rPr>
              <w:t xml:space="preserve">.gada </w:t>
            </w:r>
            <w:r>
              <w:rPr>
                <w:sz w:val="28"/>
                <w:szCs w:val="28"/>
              </w:rPr>
              <w:t>13.maija</w:t>
            </w:r>
            <w:r w:rsidR="00690069">
              <w:rPr>
                <w:sz w:val="28"/>
                <w:szCs w:val="28"/>
              </w:rPr>
              <w:t xml:space="preserve"> sēdes (protokols Nr.28, 41.§) protokollēmuma </w:t>
            </w:r>
            <w:r w:rsidRPr="002E765D">
              <w:rPr>
                <w:sz w:val="28"/>
                <w:szCs w:val="28"/>
              </w:rPr>
              <w:t>„</w:t>
            </w:r>
            <w:r w:rsidR="00690069" w:rsidRPr="00690069">
              <w:rPr>
                <w:sz w:val="28"/>
                <w:szCs w:val="28"/>
              </w:rPr>
              <w:t>Atbilde Administratīvajai ap</w:t>
            </w:r>
            <w:r w:rsidR="00AD23CD">
              <w:rPr>
                <w:sz w:val="28"/>
                <w:szCs w:val="28"/>
              </w:rPr>
              <w:t>gabaltiesai lietā Nr.A420655310</w:t>
            </w:r>
            <w:r w:rsidR="00690069">
              <w:rPr>
                <w:sz w:val="28"/>
                <w:szCs w:val="28"/>
              </w:rPr>
              <w:t>” 3</w:t>
            </w:r>
            <w:r w:rsidR="00AF4DE4">
              <w:rPr>
                <w:sz w:val="28"/>
                <w:szCs w:val="28"/>
              </w:rPr>
              <w:t>.punkts.</w:t>
            </w:r>
          </w:p>
        </w:tc>
      </w:tr>
      <w:tr w:rsidR="00FD5D50" w:rsidRPr="0093291B" w:rsidTr="00033E4C">
        <w:trPr>
          <w:trHeight w:val="472"/>
        </w:trPr>
        <w:tc>
          <w:tcPr>
            <w:tcW w:w="550" w:type="dxa"/>
          </w:tcPr>
          <w:p w:rsidR="00FD5D50" w:rsidRPr="0093291B" w:rsidRDefault="00FD5D50" w:rsidP="00033E4C">
            <w:pPr>
              <w:pStyle w:val="naiskr"/>
              <w:spacing w:before="0" w:after="0"/>
              <w:rPr>
                <w:sz w:val="28"/>
                <w:szCs w:val="28"/>
              </w:rPr>
            </w:pPr>
            <w:r w:rsidRPr="0093291B">
              <w:rPr>
                <w:sz w:val="28"/>
                <w:szCs w:val="28"/>
              </w:rPr>
              <w:t>2.</w:t>
            </w:r>
          </w:p>
        </w:tc>
        <w:tc>
          <w:tcPr>
            <w:tcW w:w="4315" w:type="dxa"/>
          </w:tcPr>
          <w:p w:rsidR="00FD5D50" w:rsidRPr="0093291B" w:rsidRDefault="00FD5D50" w:rsidP="00033E4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D5D50" w:rsidRPr="0093291B" w:rsidRDefault="00FD5D50" w:rsidP="00033E4C">
            <w:pPr>
              <w:rPr>
                <w:sz w:val="28"/>
                <w:szCs w:val="28"/>
              </w:rPr>
            </w:pPr>
          </w:p>
          <w:p w:rsidR="00FD5D50" w:rsidRPr="0093291B" w:rsidRDefault="00FD5D50" w:rsidP="00033E4C">
            <w:pPr>
              <w:rPr>
                <w:sz w:val="28"/>
                <w:szCs w:val="28"/>
              </w:rPr>
            </w:pPr>
          </w:p>
          <w:p w:rsidR="00FD5D50" w:rsidRPr="0093291B" w:rsidRDefault="00FD5D50" w:rsidP="00033E4C">
            <w:pPr>
              <w:ind w:firstLine="720"/>
              <w:rPr>
                <w:sz w:val="28"/>
                <w:szCs w:val="28"/>
              </w:rPr>
            </w:pPr>
          </w:p>
        </w:tc>
        <w:tc>
          <w:tcPr>
            <w:tcW w:w="4860" w:type="dxa"/>
          </w:tcPr>
          <w:p w:rsidR="006D1932" w:rsidRDefault="00E91101" w:rsidP="001E08B3">
            <w:pPr>
              <w:spacing w:after="120"/>
              <w:ind w:firstLine="810"/>
              <w:jc w:val="both"/>
              <w:rPr>
                <w:sz w:val="28"/>
                <w:szCs w:val="28"/>
              </w:rPr>
            </w:pPr>
            <w:r>
              <w:rPr>
                <w:sz w:val="28"/>
                <w:szCs w:val="28"/>
              </w:rPr>
              <w:t>Ar Ministru kabinets 2009.gada 28.decembra rīkojumu</w:t>
            </w:r>
            <w:r w:rsidRPr="0070156E">
              <w:rPr>
                <w:sz w:val="28"/>
                <w:szCs w:val="28"/>
              </w:rPr>
              <w:t xml:space="preserve"> Nr.922 „Par atteikumu nodot privatizācijai daļu no apbūvēta zemesgabala (zemes vienības kadastra apzīmējums 8882 008 0729) Rojas novada Rojas pagastā, "Rojas ostā"</w:t>
            </w:r>
            <w:r>
              <w:rPr>
                <w:sz w:val="28"/>
                <w:szCs w:val="28"/>
              </w:rPr>
              <w:t xml:space="preserve">” (turpmāk – Rīkojums) tika atteikts nodot privatizācijai </w:t>
            </w:r>
            <w:r w:rsidRPr="00B2731B">
              <w:rPr>
                <w:sz w:val="28"/>
                <w:szCs w:val="28"/>
              </w:rPr>
              <w:t>valstij piederoša apbūvēta zemesgabala (zemes vienības kadastra apzīmējums 8882 008 0729) Rojas novada Rojas pagastā, "Rojas ostā" daļu 30300 m</w:t>
            </w:r>
            <w:r w:rsidRPr="008C2008">
              <w:rPr>
                <w:sz w:val="28"/>
                <w:szCs w:val="28"/>
                <w:vertAlign w:val="superscript"/>
              </w:rPr>
              <w:t>2</w:t>
            </w:r>
            <w:r>
              <w:rPr>
                <w:sz w:val="28"/>
                <w:szCs w:val="28"/>
              </w:rPr>
              <w:t xml:space="preserve"> platībā (turpmāk – apbūvēta zemesgabala daļa), ko aizņem sabiedrībai ar ierobežotu atbildību „Līcis-93” (turpmāk – Līcis-93) </w:t>
            </w:r>
            <w:r w:rsidRPr="003265BD">
              <w:rPr>
                <w:sz w:val="28"/>
                <w:szCs w:val="28"/>
              </w:rPr>
              <w:t xml:space="preserve">piederošais būvju </w:t>
            </w:r>
            <w:r w:rsidR="00D43125">
              <w:rPr>
                <w:sz w:val="28"/>
                <w:szCs w:val="28"/>
              </w:rPr>
              <w:t>nekustamais īpašums (17 ēka</w:t>
            </w:r>
            <w:r w:rsidR="006D1932">
              <w:rPr>
                <w:sz w:val="28"/>
                <w:szCs w:val="28"/>
              </w:rPr>
              <w:t>s un būves</w:t>
            </w:r>
            <w:r w:rsidR="006D1932" w:rsidRPr="005F4417">
              <w:rPr>
                <w:sz w:val="28"/>
                <w:szCs w:val="28"/>
              </w:rPr>
              <w:t>) (nekustamā īpašuma kadastra Nr.8882 5080 0010) Rojas novadā, Rojas pagastā, Rojā, Ostas ielā 1 (turpmāk – Būvju īpašums).</w:t>
            </w:r>
            <w:r w:rsidR="006D1932">
              <w:rPr>
                <w:sz w:val="28"/>
                <w:szCs w:val="28"/>
              </w:rPr>
              <w:t xml:space="preserve"> </w:t>
            </w:r>
          </w:p>
          <w:p w:rsidR="00690069" w:rsidRDefault="00143B14" w:rsidP="001E08B3">
            <w:pPr>
              <w:spacing w:after="120"/>
              <w:ind w:firstLine="810"/>
              <w:jc w:val="both"/>
              <w:rPr>
                <w:sz w:val="28"/>
                <w:szCs w:val="28"/>
              </w:rPr>
            </w:pPr>
            <w:r w:rsidRPr="00DD6E52">
              <w:rPr>
                <w:sz w:val="28"/>
                <w:szCs w:val="28"/>
              </w:rPr>
              <w:t>Atbilstoši R</w:t>
            </w:r>
            <w:r>
              <w:rPr>
                <w:sz w:val="28"/>
                <w:szCs w:val="28"/>
              </w:rPr>
              <w:t xml:space="preserve">īkojuma 3.6.apakšpunktam, </w:t>
            </w:r>
            <w:r w:rsidRPr="00DD6E52">
              <w:rPr>
                <w:sz w:val="28"/>
                <w:szCs w:val="28"/>
              </w:rPr>
              <w:t>saskaņā ar Ministru kabineta 2008.gada 19.maija noteikumu Nr.350 "Noteikumi par Rojas ostas robežu noteikšanu" 1.pielikumu apbūvētā zemesgabala daļa atrodas Rojas ostas robežās. Savukārt</w:t>
            </w:r>
            <w:r>
              <w:rPr>
                <w:sz w:val="28"/>
                <w:szCs w:val="28"/>
              </w:rPr>
              <w:t xml:space="preserve"> šī</w:t>
            </w:r>
            <w:r w:rsidRPr="00DD6E52">
              <w:rPr>
                <w:sz w:val="28"/>
                <w:szCs w:val="28"/>
              </w:rPr>
              <w:t xml:space="preserve"> </w:t>
            </w:r>
            <w:r>
              <w:rPr>
                <w:sz w:val="28"/>
                <w:szCs w:val="28"/>
              </w:rPr>
              <w:t xml:space="preserve"> r</w:t>
            </w:r>
            <w:r w:rsidRPr="00DD6E52">
              <w:rPr>
                <w:sz w:val="28"/>
                <w:szCs w:val="28"/>
              </w:rPr>
              <w:t>īkojuma 5.punkt</w:t>
            </w:r>
            <w:r>
              <w:rPr>
                <w:sz w:val="28"/>
                <w:szCs w:val="28"/>
              </w:rPr>
              <w:t>ā ir minēts, ka</w:t>
            </w:r>
            <w:r w:rsidRPr="00DD6E52">
              <w:rPr>
                <w:sz w:val="28"/>
                <w:szCs w:val="28"/>
              </w:rPr>
              <w:t xml:space="preserve"> Likuma par ostām 19.panta ceturtā daļa aizliedz ostas pārvaldei ostas zemju, </w:t>
            </w:r>
            <w:proofErr w:type="spellStart"/>
            <w:r w:rsidRPr="00DD6E52">
              <w:rPr>
                <w:sz w:val="28"/>
                <w:szCs w:val="28"/>
              </w:rPr>
              <w:t>t.sk</w:t>
            </w:r>
            <w:proofErr w:type="spellEnd"/>
            <w:r w:rsidRPr="00DD6E52">
              <w:rPr>
                <w:sz w:val="28"/>
                <w:szCs w:val="28"/>
              </w:rPr>
              <w:t xml:space="preserve">. apbūvētā zemesgabala daļa, jebkādu atsavināšanu (privatizāciju). Līdz ar to, ar Rīkojumu Nr.922 Ministru </w:t>
            </w:r>
            <w:r w:rsidRPr="00DD6E52">
              <w:rPr>
                <w:sz w:val="28"/>
                <w:szCs w:val="28"/>
              </w:rPr>
              <w:lastRenderedPageBreak/>
              <w:t>kabinets nolēma atteikt nodot privatizācijai apbūvētā zemesgabala daļu.</w:t>
            </w:r>
            <w:r>
              <w:rPr>
                <w:sz w:val="28"/>
                <w:szCs w:val="28"/>
              </w:rPr>
              <w:t xml:space="preserve"> </w:t>
            </w:r>
          </w:p>
          <w:p w:rsidR="00D4690B" w:rsidRDefault="00D4690B" w:rsidP="00D4690B">
            <w:pPr>
              <w:spacing w:after="120"/>
              <w:ind w:firstLine="567"/>
              <w:jc w:val="both"/>
              <w:rPr>
                <w:sz w:val="28"/>
                <w:szCs w:val="28"/>
              </w:rPr>
            </w:pPr>
            <w:r>
              <w:rPr>
                <w:sz w:val="28"/>
                <w:szCs w:val="28"/>
              </w:rPr>
              <w:t>Līcis-93 2010.gada 1.februārī vērsās Administratīvajā rajona tiesā ar pieteikumu lūdzot atcelt Rīkojumu un izdot labvēlīgu administratīvo aktu</w:t>
            </w:r>
            <w:r w:rsidRPr="00620001">
              <w:rPr>
                <w:sz w:val="28"/>
                <w:szCs w:val="28"/>
              </w:rPr>
              <w:t xml:space="preserve"> </w:t>
            </w:r>
            <w:r>
              <w:rPr>
                <w:sz w:val="28"/>
                <w:szCs w:val="28"/>
              </w:rPr>
              <w:t>par pienākuma uzlikšanu Ministru kabinetam izdot labvēlīgu administratīvo aktu, ar kuru privatizācijai tiktu nodota apbūvētais zemesgabals. Ar Administratīvās rajona tiesas 2012.gada 14.augusta spriedumu lietā Nr.A420655310 tika noraidīts Līcis-93 pieteikums. Par minēto spriedumu Līcis-93 iesniedza apelācijas sūdzību. Pamatojoties uz Līcis-93 lūgumu, Administratīvā apgabaltiesa 2013.gada 25.aprīlī atlika lietas izskatīšanu sakarā ar to, ka 2014.</w:t>
            </w:r>
            <w:r w:rsidRPr="00965926">
              <w:rPr>
                <w:sz w:val="28"/>
                <w:szCs w:val="28"/>
              </w:rPr>
              <w:t xml:space="preserve">gada 1.februārī spēkā </w:t>
            </w:r>
            <w:r>
              <w:rPr>
                <w:sz w:val="28"/>
                <w:szCs w:val="28"/>
              </w:rPr>
              <w:t xml:space="preserve">stāsies </w:t>
            </w:r>
            <w:r w:rsidRPr="00847B40">
              <w:rPr>
                <w:sz w:val="28"/>
                <w:szCs w:val="28"/>
              </w:rPr>
              <w:t xml:space="preserve">Ministru kabineta 2012.gada 26.jūnija noteikumi Nr.454 „Noteikumi par Rojas ostas robežu noteikšanu” (turpmāk – Noteikumi Nr.454), </w:t>
            </w:r>
            <w:r>
              <w:rPr>
                <w:sz w:val="28"/>
                <w:szCs w:val="28"/>
              </w:rPr>
              <w:t xml:space="preserve">kas grozīja </w:t>
            </w:r>
            <w:r w:rsidRPr="00847B40">
              <w:rPr>
                <w:sz w:val="28"/>
                <w:szCs w:val="28"/>
              </w:rPr>
              <w:t>Rojas ostas teritorijas robežas</w:t>
            </w:r>
            <w:r>
              <w:rPr>
                <w:sz w:val="28"/>
                <w:szCs w:val="28"/>
              </w:rPr>
              <w:t xml:space="preserve">, jo minētajiem noteikumiem var būt nozīme lietas izskatīšanā. </w:t>
            </w:r>
            <w:r w:rsidR="00CE787F">
              <w:rPr>
                <w:sz w:val="28"/>
                <w:szCs w:val="28"/>
              </w:rPr>
              <w:t xml:space="preserve"> Administratīvā apgabaltiesa secināja, ka lietā ir noskaidrojams lietas dalībnieku viedoklis par tiesvedības apturēšanu līdz Ministru kabinets izlems jautājumu par iespēju izdot Līcis-93 labvēlīgu administratīvo aktu. </w:t>
            </w:r>
            <w:r>
              <w:rPr>
                <w:sz w:val="28"/>
                <w:szCs w:val="28"/>
              </w:rPr>
              <w:t xml:space="preserve">Ministru kabinets </w:t>
            </w:r>
            <w:r w:rsidR="00CE787F">
              <w:rPr>
                <w:sz w:val="28"/>
                <w:szCs w:val="28"/>
              </w:rPr>
              <w:t>sniedzot savu viedoklis,</w:t>
            </w:r>
            <w:r>
              <w:rPr>
                <w:sz w:val="28"/>
                <w:szCs w:val="28"/>
              </w:rPr>
              <w:t xml:space="preserve"> norādīja, ka saskaņā ar Noteikumiem Nr.454 ir uzsākta nekustamā īpašuma sadale, kuras rezultātā tiks nodalītas teritorijas un precizētas platības, kas vairs neatrodas Rojas ostas teritorijā un attiecīgi pēc sadales pabeigšanas varēs konstatēt, uz kuru no nekustamā īpašuma daļām vairs neattiecas ierobežojumi, kas noteikti likuma „Par ostām” 19.panta ceturtajā daļā, kas ierobežo Ministru kabinetu pieņemt lēmumu par ostas zemes atsavināšanu (privatizāciju). </w:t>
            </w:r>
            <w:r w:rsidR="00CE787F">
              <w:rPr>
                <w:sz w:val="28"/>
                <w:szCs w:val="28"/>
              </w:rPr>
              <w:t xml:space="preserve">Tāpat </w:t>
            </w:r>
            <w:r>
              <w:rPr>
                <w:sz w:val="28"/>
                <w:szCs w:val="28"/>
              </w:rPr>
              <w:lastRenderedPageBreak/>
              <w:t xml:space="preserve">Ministru kabinets piekrita, ka tiek administratīvās lietas izskatīšana līdz </w:t>
            </w:r>
            <w:r w:rsidRPr="00A93B93">
              <w:rPr>
                <w:sz w:val="28"/>
                <w:szCs w:val="28"/>
              </w:rPr>
              <w:t>brīdim, kad Ministru kabinets izlems jautājumu par iespēju izdot Pieteicējam labvēlīgu administratīvo aktu</w:t>
            </w:r>
            <w:r>
              <w:rPr>
                <w:sz w:val="28"/>
                <w:szCs w:val="28"/>
              </w:rPr>
              <w:t>. Ņemot vērā, ka joprojām norisinās tiesvedība par minēto jautājumu, tad Rīkojums nav kļuvis neapstrīdams un tas nav stājies spēkā atbilstoši Administratīvā procesa likuma 76.panta ceturtajai daļai.</w:t>
            </w:r>
          </w:p>
          <w:p w:rsidR="007D47FA" w:rsidRDefault="007D47FA" w:rsidP="007D47FA">
            <w:pPr>
              <w:spacing w:after="120"/>
              <w:ind w:firstLine="810"/>
              <w:jc w:val="both"/>
              <w:rPr>
                <w:sz w:val="28"/>
                <w:szCs w:val="28"/>
              </w:rPr>
            </w:pPr>
            <w:r>
              <w:rPr>
                <w:sz w:val="28"/>
                <w:szCs w:val="28"/>
              </w:rPr>
              <w:t>Atbilstoši Ministru kabineta 2014</w:t>
            </w:r>
            <w:r w:rsidRPr="002E765D">
              <w:rPr>
                <w:sz w:val="28"/>
                <w:szCs w:val="28"/>
              </w:rPr>
              <w:t xml:space="preserve">.gada </w:t>
            </w:r>
            <w:r>
              <w:rPr>
                <w:sz w:val="28"/>
                <w:szCs w:val="28"/>
              </w:rPr>
              <w:t xml:space="preserve">13.maija sēdes (protokols Nr.28, 41.§) </w:t>
            </w:r>
            <w:r w:rsidRPr="002E765D">
              <w:rPr>
                <w:sz w:val="28"/>
                <w:szCs w:val="28"/>
              </w:rPr>
              <w:t>„</w:t>
            </w:r>
            <w:r w:rsidRPr="00690069">
              <w:rPr>
                <w:sz w:val="28"/>
                <w:szCs w:val="28"/>
              </w:rPr>
              <w:t>Atbilde Administratīvajai ap</w:t>
            </w:r>
            <w:r>
              <w:rPr>
                <w:sz w:val="28"/>
                <w:szCs w:val="28"/>
              </w:rPr>
              <w:t xml:space="preserve">gabaltiesai lietā Nr.A420655310” (turpmāk – protokollēmums) protokollēmuma 2.punktam </w:t>
            </w:r>
            <w:r w:rsidRPr="009E4245">
              <w:rPr>
                <w:sz w:val="28"/>
                <w:szCs w:val="28"/>
              </w:rPr>
              <w:t xml:space="preserve">Satiksmes ministrijai </w:t>
            </w:r>
            <w:r>
              <w:rPr>
                <w:sz w:val="28"/>
                <w:szCs w:val="28"/>
              </w:rPr>
              <w:t xml:space="preserve">tika uzdots </w:t>
            </w:r>
            <w:r w:rsidRPr="009E4245">
              <w:rPr>
                <w:sz w:val="28"/>
                <w:szCs w:val="28"/>
              </w:rPr>
              <w:t>nodrošināt, ka līdz 2014.gada 1.oktobrim Ekonomikas ministrijai tiek iesniegti dokumenti, kas apliecina nekustamā īpašuma "Rojas osta" (nekustamā īpašuma kadastra Nr.8882 008 0728) Rojas novada Rojas pagastā, sadali, ievērojot ar Ministru kabineta 2012.gada 26.jūnija noteikumiem Nr.454 "Noteikumi par Rojas ostas robežu noteikšanu" apstiprinātās Rojas ostas robežas.</w:t>
            </w:r>
            <w:r>
              <w:rPr>
                <w:sz w:val="28"/>
                <w:szCs w:val="28"/>
              </w:rPr>
              <w:t xml:space="preserve"> Savukārt atbilstoši protokollēmuma 3.punktam Ekonomikas ministrijai tika uzdots </w:t>
            </w:r>
            <w:r>
              <w:t xml:space="preserve"> </w:t>
            </w:r>
            <w:r w:rsidRPr="00BF380C">
              <w:rPr>
                <w:sz w:val="28"/>
                <w:szCs w:val="28"/>
              </w:rPr>
              <w:t>līdz 2015.gada 1.janvārim iesniegt izskatīšanai Ministru kabineta sēdē grozījumus Ministru kabineta 2009.gada 28.decembra rīkojumā Nr.922 "Par atteikumu nodot privatizācijai daļu no apbūvēta zemesgabala (zemes vienības kadastra apzīmējums 8882 008 0729) Rojas novada Rojas pagastā, "Rojas ostā"" un Ministru kabineta rīkojuma projektu par daļu no Nekustamā īpašuma, kas neatrodas Rojas ostas teritorijā, nodošanu privatizācijai.</w:t>
            </w:r>
          </w:p>
          <w:p w:rsidR="00690069" w:rsidRDefault="00572D80" w:rsidP="001E08B3">
            <w:pPr>
              <w:spacing w:after="120"/>
              <w:ind w:firstLine="810"/>
              <w:jc w:val="both"/>
              <w:rPr>
                <w:sz w:val="28"/>
                <w:szCs w:val="28"/>
              </w:rPr>
            </w:pPr>
            <w:r>
              <w:rPr>
                <w:sz w:val="28"/>
                <w:szCs w:val="28"/>
              </w:rPr>
              <w:t xml:space="preserve">Satiksmes ministrija </w:t>
            </w:r>
            <w:r w:rsidR="0066390D">
              <w:rPr>
                <w:sz w:val="28"/>
                <w:szCs w:val="28"/>
              </w:rPr>
              <w:t>ar</w:t>
            </w:r>
            <w:r>
              <w:rPr>
                <w:sz w:val="28"/>
                <w:szCs w:val="28"/>
              </w:rPr>
              <w:t xml:space="preserve"> 2014.gada 14.oktobra </w:t>
            </w:r>
            <w:r w:rsidR="0066390D">
              <w:rPr>
                <w:sz w:val="28"/>
                <w:szCs w:val="28"/>
              </w:rPr>
              <w:t>pavad</w:t>
            </w:r>
            <w:r>
              <w:rPr>
                <w:sz w:val="28"/>
                <w:szCs w:val="28"/>
              </w:rPr>
              <w:t>vēstul</w:t>
            </w:r>
            <w:r w:rsidR="0066390D">
              <w:rPr>
                <w:sz w:val="28"/>
                <w:szCs w:val="28"/>
              </w:rPr>
              <w:t>i</w:t>
            </w:r>
            <w:r>
              <w:rPr>
                <w:sz w:val="28"/>
                <w:szCs w:val="28"/>
              </w:rPr>
              <w:t xml:space="preserve"> Nr.03-01.3/4223</w:t>
            </w:r>
            <w:r w:rsidR="00D64AE5">
              <w:rPr>
                <w:sz w:val="28"/>
                <w:szCs w:val="28"/>
              </w:rPr>
              <w:t xml:space="preserve"> </w:t>
            </w:r>
            <w:r w:rsidR="0066390D">
              <w:rPr>
                <w:sz w:val="28"/>
                <w:szCs w:val="28"/>
              </w:rPr>
              <w:t xml:space="preserve">iesniedza </w:t>
            </w:r>
            <w:r w:rsidR="00476D3D">
              <w:rPr>
                <w:sz w:val="28"/>
                <w:szCs w:val="28"/>
              </w:rPr>
              <w:t xml:space="preserve">dokumentus, kas apliecina, ka </w:t>
            </w:r>
            <w:r w:rsidR="00D64AE5">
              <w:rPr>
                <w:sz w:val="28"/>
                <w:szCs w:val="28"/>
              </w:rPr>
              <w:t>atbilstoš</w:t>
            </w:r>
            <w:r w:rsidR="007171BD">
              <w:rPr>
                <w:sz w:val="28"/>
                <w:szCs w:val="28"/>
              </w:rPr>
              <w:t xml:space="preserve">i Noteikumiem Nr.454 no Rojas </w:t>
            </w:r>
            <w:r w:rsidR="007171BD">
              <w:rPr>
                <w:sz w:val="28"/>
                <w:szCs w:val="28"/>
              </w:rPr>
              <w:lastRenderedPageBreak/>
              <w:t>ostas teritorijas ir izslēgta zemes vienības daļa (zemes vienības kadastra apzīmējums 8882 008 0728 8028) ar kopējo platību 1,</w:t>
            </w:r>
            <w:r w:rsidR="00F866FE">
              <w:rPr>
                <w:sz w:val="28"/>
                <w:szCs w:val="28"/>
              </w:rPr>
              <w:t xml:space="preserve">8291 </w:t>
            </w:r>
            <w:r w:rsidR="007171BD">
              <w:rPr>
                <w:sz w:val="28"/>
                <w:szCs w:val="28"/>
              </w:rPr>
              <w:t xml:space="preserve">ha (turpmāk – Atdalītā zemes vienība), kas bija daļa no teritorijas, kas iznomāta Līcis-93, pamatojoties uz Rojas ostas pārvaldes un Līcis-93 2013.gada 1.oktobra zemes nomas līgumu, par apbūvēto zemesgabala daļu. Līdz ar to uz Atdalīto zemes vienību vairs neattiecas </w:t>
            </w:r>
            <w:r w:rsidR="007171BD" w:rsidRPr="00DD6E52">
              <w:rPr>
                <w:sz w:val="28"/>
                <w:szCs w:val="28"/>
              </w:rPr>
              <w:t>Likuma</w:t>
            </w:r>
            <w:r w:rsidR="007171BD">
              <w:rPr>
                <w:sz w:val="28"/>
                <w:szCs w:val="28"/>
              </w:rPr>
              <w:t xml:space="preserve"> par ostām 19.panta ceturtā daļā noteiktie ierobežojumi.</w:t>
            </w:r>
            <w:r w:rsidR="00C00FAF">
              <w:rPr>
                <w:sz w:val="28"/>
                <w:szCs w:val="28"/>
              </w:rPr>
              <w:t xml:space="preserve"> </w:t>
            </w:r>
          </w:p>
          <w:p w:rsidR="0047258C" w:rsidRDefault="00C00FAF" w:rsidP="0047258C">
            <w:pPr>
              <w:spacing w:after="120"/>
              <w:ind w:firstLine="567"/>
              <w:jc w:val="both"/>
              <w:rPr>
                <w:sz w:val="28"/>
                <w:szCs w:val="28"/>
              </w:rPr>
            </w:pPr>
            <w:r w:rsidRPr="00965926">
              <w:rPr>
                <w:sz w:val="28"/>
                <w:szCs w:val="28"/>
              </w:rPr>
              <w:t xml:space="preserve">Atbilstoši </w:t>
            </w:r>
            <w:r>
              <w:rPr>
                <w:sz w:val="28"/>
                <w:szCs w:val="28"/>
              </w:rPr>
              <w:t xml:space="preserve">nekustamā īpašuma valsts kadastra informācijas sistēmas (turpmāk – Kadastrs) datiem uz </w:t>
            </w:r>
            <w:r w:rsidR="00692AAA">
              <w:rPr>
                <w:sz w:val="28"/>
                <w:szCs w:val="28"/>
              </w:rPr>
              <w:t xml:space="preserve"> </w:t>
            </w:r>
            <w:r w:rsidR="00A47273">
              <w:rPr>
                <w:sz w:val="28"/>
                <w:szCs w:val="28"/>
              </w:rPr>
              <w:t xml:space="preserve">Atdalītās zemes </w:t>
            </w:r>
            <w:r>
              <w:rPr>
                <w:sz w:val="28"/>
                <w:szCs w:val="28"/>
              </w:rPr>
              <w:t xml:space="preserve">vienības atrodas </w:t>
            </w:r>
            <w:r w:rsidR="00DB46EC">
              <w:rPr>
                <w:sz w:val="28"/>
                <w:szCs w:val="28"/>
              </w:rPr>
              <w:t>desmit</w:t>
            </w:r>
            <w:r w:rsidR="00C66927">
              <w:rPr>
                <w:sz w:val="28"/>
                <w:szCs w:val="28"/>
              </w:rPr>
              <w:t xml:space="preserve"> </w:t>
            </w:r>
            <w:r>
              <w:rPr>
                <w:sz w:val="28"/>
                <w:szCs w:val="28"/>
              </w:rPr>
              <w:t xml:space="preserve">būves </w:t>
            </w:r>
            <w:r w:rsidR="0047258C">
              <w:rPr>
                <w:sz w:val="28"/>
                <w:szCs w:val="28"/>
              </w:rPr>
              <w:t>(būvju kadastra apzīmējumi 88820080729021, 88820080729033, 88820080729022, 88820080729023, 88820080729024, 88820080729020</w:t>
            </w:r>
            <w:r w:rsidR="00F40B9C">
              <w:rPr>
                <w:sz w:val="28"/>
                <w:szCs w:val="28"/>
              </w:rPr>
              <w:t>,</w:t>
            </w:r>
            <w:r w:rsidR="0047258C">
              <w:rPr>
                <w:sz w:val="28"/>
                <w:szCs w:val="28"/>
              </w:rPr>
              <w:t>88820080729016,</w:t>
            </w:r>
            <w:r w:rsidR="00F40B9C">
              <w:rPr>
                <w:sz w:val="28"/>
                <w:szCs w:val="28"/>
              </w:rPr>
              <w:t xml:space="preserve"> 88820080729031, 88820080729036 un 88820080729050</w:t>
            </w:r>
            <w:r w:rsidR="0047258C">
              <w:rPr>
                <w:sz w:val="28"/>
                <w:szCs w:val="28"/>
              </w:rPr>
              <w:t xml:space="preserve"> kas ietilpst Līcis-93 piederošajā Būvju īpašumā.</w:t>
            </w:r>
            <w:r w:rsidR="00DB46EC">
              <w:rPr>
                <w:sz w:val="28"/>
                <w:szCs w:val="28"/>
              </w:rPr>
              <w:t xml:space="preserve"> </w:t>
            </w:r>
            <w:r w:rsidR="00692AAA">
              <w:rPr>
                <w:sz w:val="28"/>
                <w:szCs w:val="28"/>
              </w:rPr>
              <w:t xml:space="preserve">Tai pat laikā uz </w:t>
            </w:r>
            <w:r w:rsidR="00A47273">
              <w:rPr>
                <w:sz w:val="28"/>
                <w:szCs w:val="28"/>
              </w:rPr>
              <w:t>Atdalītās zemes vienības</w:t>
            </w:r>
            <w:r w:rsidR="00692AAA">
              <w:rPr>
                <w:sz w:val="28"/>
                <w:szCs w:val="28"/>
              </w:rPr>
              <w:t xml:space="preserve"> atrodas </w:t>
            </w:r>
            <w:r w:rsidR="00A47273">
              <w:rPr>
                <w:sz w:val="28"/>
                <w:szCs w:val="28"/>
              </w:rPr>
              <w:t xml:space="preserve">arī </w:t>
            </w:r>
            <w:r w:rsidR="003310C5">
              <w:rPr>
                <w:sz w:val="28"/>
                <w:szCs w:val="28"/>
              </w:rPr>
              <w:t xml:space="preserve">valsts </w:t>
            </w:r>
            <w:r w:rsidR="00F03496">
              <w:rPr>
                <w:sz w:val="28"/>
                <w:szCs w:val="28"/>
              </w:rPr>
              <w:t>akciju sabiedrībai „</w:t>
            </w:r>
            <w:r w:rsidR="003310C5">
              <w:rPr>
                <w:sz w:val="28"/>
                <w:szCs w:val="28"/>
              </w:rPr>
              <w:t>Latvenergo”</w:t>
            </w:r>
            <w:r w:rsidR="006A16BD">
              <w:rPr>
                <w:sz w:val="28"/>
                <w:szCs w:val="28"/>
              </w:rPr>
              <w:t xml:space="preserve"> (turpmāk – Latvenergo)</w:t>
            </w:r>
            <w:r w:rsidR="00ED5240">
              <w:rPr>
                <w:sz w:val="28"/>
                <w:szCs w:val="28"/>
              </w:rPr>
              <w:t xml:space="preserve"> </w:t>
            </w:r>
            <w:r w:rsidR="003310C5">
              <w:rPr>
                <w:sz w:val="28"/>
                <w:szCs w:val="28"/>
              </w:rPr>
              <w:t>piederoša ēka (būve)</w:t>
            </w:r>
            <w:r w:rsidR="00880C62">
              <w:rPr>
                <w:sz w:val="28"/>
                <w:szCs w:val="28"/>
              </w:rPr>
              <w:t xml:space="preserve"> – transformatoru apakšstacija</w:t>
            </w:r>
            <w:r w:rsidR="003310C5">
              <w:rPr>
                <w:sz w:val="28"/>
                <w:szCs w:val="28"/>
              </w:rPr>
              <w:t xml:space="preserve"> (būves kadastra apzīmējums 88</w:t>
            </w:r>
            <w:r w:rsidR="009B47FC">
              <w:rPr>
                <w:sz w:val="28"/>
                <w:szCs w:val="28"/>
              </w:rPr>
              <w:t>8</w:t>
            </w:r>
            <w:r w:rsidR="003310C5">
              <w:rPr>
                <w:sz w:val="28"/>
                <w:szCs w:val="28"/>
              </w:rPr>
              <w:t xml:space="preserve">20080728054). </w:t>
            </w:r>
          </w:p>
          <w:p w:rsidR="0047258C" w:rsidRDefault="0047258C" w:rsidP="001E08B3">
            <w:pPr>
              <w:spacing w:after="120"/>
              <w:ind w:firstLine="810"/>
              <w:jc w:val="both"/>
              <w:rPr>
                <w:sz w:val="28"/>
                <w:szCs w:val="28"/>
              </w:rPr>
            </w:pPr>
            <w:r>
              <w:rPr>
                <w:sz w:val="28"/>
                <w:szCs w:val="28"/>
              </w:rPr>
              <w:t>Administratīvā procesa likuma 85.panta pirmajā daļā ir noteikts, ka a</w:t>
            </w:r>
            <w:r w:rsidRPr="007F483F">
              <w:rPr>
                <w:sz w:val="28"/>
                <w:szCs w:val="28"/>
              </w:rPr>
              <w:t>dresātam nelabvēlīgu tiesisku administratīvo aktu var atcelt jebkurā brīdī, izņemot gadījumu, kad saskaņā ar tiesību normām šāda paša satura administratīvais akts tūlīt būtu jāizdod no jauna.</w:t>
            </w:r>
          </w:p>
          <w:p w:rsidR="00FD5D50" w:rsidRPr="003D2613" w:rsidRDefault="00A837EF" w:rsidP="007171BD">
            <w:pPr>
              <w:spacing w:after="120"/>
              <w:ind w:firstLine="810"/>
              <w:jc w:val="both"/>
              <w:rPr>
                <w:sz w:val="28"/>
                <w:szCs w:val="28"/>
              </w:rPr>
            </w:pPr>
            <w:r w:rsidRPr="00A837EF">
              <w:rPr>
                <w:sz w:val="28"/>
                <w:szCs w:val="28"/>
              </w:rPr>
              <w:t xml:space="preserve">Ministru kabineta rīkojuma projekts paredz </w:t>
            </w:r>
            <w:r w:rsidR="002B5BC2">
              <w:rPr>
                <w:sz w:val="28"/>
                <w:szCs w:val="28"/>
              </w:rPr>
              <w:t xml:space="preserve">atcelt </w:t>
            </w:r>
            <w:r w:rsidR="007171BD">
              <w:t xml:space="preserve"> </w:t>
            </w:r>
            <w:r w:rsidR="007171BD" w:rsidRPr="007171BD">
              <w:rPr>
                <w:sz w:val="28"/>
                <w:szCs w:val="28"/>
              </w:rPr>
              <w:t>Rīkojumu daļā par atteikumu nodot privatizācijai Atdalīto zemes vienību</w:t>
            </w:r>
            <w:r w:rsidR="008F07E3">
              <w:rPr>
                <w:sz w:val="28"/>
                <w:szCs w:val="28"/>
              </w:rPr>
              <w:t>.</w:t>
            </w:r>
          </w:p>
        </w:tc>
      </w:tr>
      <w:tr w:rsidR="00FD5D50" w:rsidRPr="0093291B" w:rsidTr="00033E4C">
        <w:trPr>
          <w:trHeight w:val="1071"/>
        </w:trPr>
        <w:tc>
          <w:tcPr>
            <w:tcW w:w="550" w:type="dxa"/>
          </w:tcPr>
          <w:p w:rsidR="00FD5D50" w:rsidRPr="00624573" w:rsidRDefault="00FD5D50" w:rsidP="00033E4C">
            <w:pPr>
              <w:pStyle w:val="naiskr"/>
              <w:spacing w:before="0" w:after="0"/>
              <w:rPr>
                <w:sz w:val="28"/>
                <w:szCs w:val="28"/>
              </w:rPr>
            </w:pPr>
            <w:r w:rsidRPr="00624573">
              <w:rPr>
                <w:sz w:val="28"/>
                <w:szCs w:val="28"/>
              </w:rPr>
              <w:lastRenderedPageBreak/>
              <w:t>3.</w:t>
            </w:r>
          </w:p>
        </w:tc>
        <w:tc>
          <w:tcPr>
            <w:tcW w:w="4315" w:type="dxa"/>
          </w:tcPr>
          <w:p w:rsidR="00FD5D50" w:rsidRPr="00624573" w:rsidRDefault="00FD5D50" w:rsidP="00033E4C">
            <w:pPr>
              <w:pStyle w:val="naiskr"/>
              <w:spacing w:before="0" w:after="0"/>
              <w:rPr>
                <w:sz w:val="28"/>
                <w:szCs w:val="28"/>
              </w:rPr>
            </w:pPr>
            <w:r w:rsidRPr="00624573">
              <w:rPr>
                <w:sz w:val="28"/>
                <w:szCs w:val="28"/>
              </w:rPr>
              <w:t>Projekta izstrādē iesaistītās institūcijas</w:t>
            </w:r>
          </w:p>
        </w:tc>
        <w:tc>
          <w:tcPr>
            <w:tcW w:w="4860" w:type="dxa"/>
          </w:tcPr>
          <w:p w:rsidR="00FD5D50" w:rsidRPr="00624573" w:rsidRDefault="001E08B3" w:rsidP="00033E4C">
            <w:pPr>
              <w:pStyle w:val="FootnoteText"/>
              <w:rPr>
                <w:sz w:val="28"/>
                <w:szCs w:val="28"/>
              </w:rPr>
            </w:pPr>
            <w:r>
              <w:rPr>
                <w:sz w:val="28"/>
                <w:szCs w:val="28"/>
              </w:rPr>
              <w:t xml:space="preserve"> Nav.</w:t>
            </w:r>
          </w:p>
        </w:tc>
      </w:tr>
      <w:tr w:rsidR="00FD5D50" w:rsidRPr="0093291B" w:rsidTr="00033E4C">
        <w:tc>
          <w:tcPr>
            <w:tcW w:w="550" w:type="dxa"/>
          </w:tcPr>
          <w:p w:rsidR="00FD5D50" w:rsidRPr="00624573" w:rsidRDefault="00FD5D50" w:rsidP="00033E4C">
            <w:pPr>
              <w:pStyle w:val="naiskr"/>
              <w:spacing w:before="0" w:after="0"/>
              <w:rPr>
                <w:sz w:val="28"/>
                <w:szCs w:val="28"/>
              </w:rPr>
            </w:pPr>
            <w:r w:rsidRPr="00624573">
              <w:rPr>
                <w:sz w:val="28"/>
                <w:szCs w:val="28"/>
              </w:rPr>
              <w:t>4.</w:t>
            </w:r>
          </w:p>
        </w:tc>
        <w:tc>
          <w:tcPr>
            <w:tcW w:w="4315" w:type="dxa"/>
          </w:tcPr>
          <w:p w:rsidR="00FD5D50" w:rsidRPr="00624573" w:rsidRDefault="00FD5D50" w:rsidP="00033E4C">
            <w:pPr>
              <w:pStyle w:val="naiskr"/>
              <w:spacing w:before="0" w:after="0"/>
              <w:rPr>
                <w:sz w:val="28"/>
                <w:szCs w:val="28"/>
              </w:rPr>
            </w:pPr>
            <w:r w:rsidRPr="00624573">
              <w:rPr>
                <w:sz w:val="28"/>
                <w:szCs w:val="28"/>
              </w:rPr>
              <w:t>Cita informācija</w:t>
            </w:r>
          </w:p>
        </w:tc>
        <w:tc>
          <w:tcPr>
            <w:tcW w:w="4860" w:type="dxa"/>
          </w:tcPr>
          <w:p w:rsidR="005D449A" w:rsidRPr="005D449A" w:rsidRDefault="005D449A" w:rsidP="005D449A">
            <w:pPr>
              <w:tabs>
                <w:tab w:val="left" w:pos="960"/>
              </w:tabs>
              <w:ind w:firstLine="601"/>
              <w:jc w:val="both"/>
              <w:rPr>
                <w:sz w:val="28"/>
                <w:szCs w:val="28"/>
                <w:lang w:eastAsia="en-US" w:bidi="en-US"/>
              </w:rPr>
            </w:pPr>
            <w:r>
              <w:rPr>
                <w:sz w:val="28"/>
                <w:szCs w:val="28"/>
                <w:lang w:eastAsia="en-US" w:bidi="en-US"/>
              </w:rPr>
              <w:t>A</w:t>
            </w:r>
            <w:r w:rsidRPr="005D449A">
              <w:rPr>
                <w:sz w:val="28"/>
                <w:szCs w:val="28"/>
                <w:lang w:eastAsia="en-US" w:bidi="en-US"/>
              </w:rPr>
              <w:t xml:space="preserve">r šo Ministru kabineta rīkojuma projektu paredzēts tikai atcelt daļā </w:t>
            </w:r>
            <w:r>
              <w:rPr>
                <w:sz w:val="28"/>
                <w:szCs w:val="28"/>
                <w:lang w:eastAsia="en-US" w:bidi="en-US"/>
              </w:rPr>
              <w:t>Rīkojumu Nr.922</w:t>
            </w:r>
            <w:r w:rsidRPr="005D449A">
              <w:rPr>
                <w:sz w:val="28"/>
                <w:szCs w:val="28"/>
                <w:lang w:eastAsia="en-US" w:bidi="en-US"/>
              </w:rPr>
              <w:t>, jo Noteikumi</w:t>
            </w:r>
            <w:r w:rsidR="006A16BD">
              <w:rPr>
                <w:sz w:val="28"/>
                <w:szCs w:val="28"/>
                <w:lang w:eastAsia="en-US" w:bidi="en-US"/>
              </w:rPr>
              <w:t>em Nr.454</w:t>
            </w:r>
            <w:r w:rsidRPr="005D449A">
              <w:rPr>
                <w:sz w:val="28"/>
                <w:szCs w:val="28"/>
                <w:lang w:eastAsia="en-US" w:bidi="en-US"/>
              </w:rPr>
              <w:t xml:space="preserve"> ir grozītas Rojas ostas teritorijas robežas un uz </w:t>
            </w:r>
            <w:r w:rsidR="006A16BD">
              <w:rPr>
                <w:sz w:val="28"/>
                <w:szCs w:val="28"/>
                <w:lang w:eastAsia="en-US" w:bidi="en-US"/>
              </w:rPr>
              <w:t>Atdalīto zemes vienību</w:t>
            </w:r>
            <w:r w:rsidRPr="005D449A">
              <w:rPr>
                <w:sz w:val="28"/>
                <w:szCs w:val="28"/>
                <w:lang w:eastAsia="en-US" w:bidi="en-US"/>
              </w:rPr>
              <w:t>, kas ir izslēgta no Rojas ostas teritorijas un bija daļa no apbūvēta zemesgabala vairs nepastāv ierobežojumi, kas atbilstoši likuma „Par ostām” 19.panta ceturtajai daļai aizliedz to atsavināt (privatizēt).</w:t>
            </w:r>
          </w:p>
          <w:p w:rsidR="001E08B3" w:rsidRPr="00AD695B" w:rsidRDefault="004A3DA1" w:rsidP="004A3DA1">
            <w:pPr>
              <w:tabs>
                <w:tab w:val="left" w:pos="960"/>
              </w:tabs>
              <w:ind w:firstLine="601"/>
              <w:jc w:val="both"/>
              <w:rPr>
                <w:sz w:val="28"/>
                <w:szCs w:val="28"/>
                <w:lang w:eastAsia="en-US" w:bidi="en-US"/>
              </w:rPr>
            </w:pPr>
            <w:r w:rsidRPr="004A3DA1">
              <w:rPr>
                <w:sz w:val="28"/>
                <w:szCs w:val="28"/>
                <w:lang w:eastAsia="en-US" w:bidi="en-US"/>
              </w:rPr>
              <w:t xml:space="preserve">Pēc tam kad tiks pabeigts un apstiprināts zemes ierīcības projekts, tad Atdalītā zemes vienība tiks izveidota par patstāvīgu nekustamo īpašumu no kuras tiks nodalīta platība, kas nepieciešama </w:t>
            </w:r>
            <w:r>
              <w:rPr>
                <w:sz w:val="28"/>
                <w:szCs w:val="28"/>
                <w:lang w:eastAsia="en-US" w:bidi="en-US"/>
              </w:rPr>
              <w:t>Latvenergo</w:t>
            </w:r>
            <w:r w:rsidRPr="004A3DA1">
              <w:rPr>
                <w:sz w:val="28"/>
                <w:szCs w:val="28"/>
                <w:lang w:eastAsia="en-US" w:bidi="en-US"/>
              </w:rPr>
              <w:t xml:space="preserve"> piederošās ēkas (būves) uzturēšanai, kas savukārt netiks privatizēta.</w:t>
            </w:r>
            <w:r w:rsidR="003330E2" w:rsidRPr="003330E2">
              <w:rPr>
                <w:sz w:val="28"/>
                <w:szCs w:val="28"/>
                <w:lang w:eastAsia="en-US" w:bidi="en-US"/>
              </w:rPr>
              <w:t xml:space="preserve"> Pēc tam, kad Ministru kabinets būs pieņēmis lēmumu par Rīkojuma Nr.922 atcelšanu daļā, tad Privatizācijas aģentūra varēs pieņemt lēmumu par Atdalītās zemes vienības nodošanu privatizācijai precizējot privatizācijai nododamo platību, atbilstoši  Valsts un pašvaldību īpašuma privatizācijas un privatizācijas sertifikātu izmantošanas pabeigšanas likuma 7.panta pirmajai daļai. Ekonomikas ministrija ieskatā nepastāv tiesiski šķēršļi Atdalītās zemes vienības reālai sadalei, jo to kā kompetentā institūcija ir apliecinājusi Satiksmes ministrija.</w:t>
            </w:r>
            <w:r>
              <w:rPr>
                <w:sz w:val="28"/>
                <w:szCs w:val="28"/>
                <w:lang w:eastAsia="en-US" w:bidi="en-US"/>
              </w:rPr>
              <w:t xml:space="preserve"> </w:t>
            </w:r>
          </w:p>
        </w:tc>
      </w:tr>
    </w:tbl>
    <w:p w:rsidR="00FD5D50" w:rsidRPr="0093291B" w:rsidRDefault="00FD5D50" w:rsidP="00FD5D5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D5D50" w:rsidRPr="0093291B" w:rsidTr="00033E4C">
        <w:tc>
          <w:tcPr>
            <w:tcW w:w="9905" w:type="dxa"/>
            <w:gridSpan w:val="3"/>
            <w:vAlign w:val="center"/>
          </w:tcPr>
          <w:p w:rsidR="00FD5D50" w:rsidRPr="0093291B" w:rsidRDefault="00FD5D50" w:rsidP="00033E4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D5D50" w:rsidRPr="0093291B" w:rsidTr="00033E4C">
        <w:trPr>
          <w:trHeight w:val="467"/>
        </w:trPr>
        <w:tc>
          <w:tcPr>
            <w:tcW w:w="550" w:type="dxa"/>
          </w:tcPr>
          <w:p w:rsidR="00FD5D50" w:rsidRPr="0093291B" w:rsidRDefault="00FD5D50" w:rsidP="00033E4C">
            <w:pPr>
              <w:pStyle w:val="naiskr"/>
              <w:spacing w:before="0" w:after="0"/>
              <w:rPr>
                <w:sz w:val="28"/>
                <w:szCs w:val="28"/>
              </w:rPr>
            </w:pPr>
            <w:r w:rsidRPr="0093291B">
              <w:rPr>
                <w:sz w:val="28"/>
                <w:szCs w:val="28"/>
              </w:rPr>
              <w:t>1.</w:t>
            </w:r>
          </w:p>
        </w:tc>
        <w:tc>
          <w:tcPr>
            <w:tcW w:w="4855" w:type="dxa"/>
          </w:tcPr>
          <w:p w:rsidR="00FD5D50" w:rsidRPr="0093291B" w:rsidRDefault="00FD5D50" w:rsidP="00033E4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D5D50" w:rsidRDefault="005731D2" w:rsidP="004B2364">
            <w:pPr>
              <w:jc w:val="both"/>
              <w:rPr>
                <w:sz w:val="28"/>
                <w:szCs w:val="28"/>
              </w:rPr>
            </w:pPr>
            <w:r>
              <w:rPr>
                <w:sz w:val="28"/>
                <w:szCs w:val="28"/>
              </w:rPr>
              <w:t>Sabiedrība ar ierobežotu atbildību „Līcis-93”.</w:t>
            </w:r>
          </w:p>
          <w:p w:rsidR="001E08B3" w:rsidRDefault="001E08B3" w:rsidP="003C136B">
            <w:pPr>
              <w:ind w:firstLine="554"/>
              <w:jc w:val="both"/>
              <w:rPr>
                <w:sz w:val="28"/>
                <w:szCs w:val="28"/>
              </w:rPr>
            </w:pPr>
          </w:p>
          <w:p w:rsidR="001E08B3" w:rsidRPr="00D951E7" w:rsidRDefault="001E08B3" w:rsidP="003C136B">
            <w:pPr>
              <w:ind w:firstLine="554"/>
              <w:jc w:val="both"/>
              <w:rPr>
                <w:sz w:val="28"/>
                <w:szCs w:val="28"/>
              </w:rPr>
            </w:pPr>
          </w:p>
        </w:tc>
      </w:tr>
      <w:tr w:rsidR="00FD5D50" w:rsidRPr="0093291B" w:rsidTr="00033E4C">
        <w:trPr>
          <w:trHeight w:val="523"/>
        </w:trPr>
        <w:tc>
          <w:tcPr>
            <w:tcW w:w="550" w:type="dxa"/>
          </w:tcPr>
          <w:p w:rsidR="00FD5D50" w:rsidRPr="0093291B" w:rsidRDefault="00FD5D50" w:rsidP="00033E4C">
            <w:pPr>
              <w:pStyle w:val="naiskr"/>
              <w:spacing w:before="0" w:after="0"/>
              <w:rPr>
                <w:sz w:val="28"/>
                <w:szCs w:val="28"/>
              </w:rPr>
            </w:pPr>
            <w:r w:rsidRPr="0093291B">
              <w:rPr>
                <w:sz w:val="28"/>
                <w:szCs w:val="28"/>
              </w:rPr>
              <w:lastRenderedPageBreak/>
              <w:t>2.</w:t>
            </w:r>
          </w:p>
        </w:tc>
        <w:tc>
          <w:tcPr>
            <w:tcW w:w="4855" w:type="dxa"/>
          </w:tcPr>
          <w:p w:rsidR="00FD5D50" w:rsidRPr="0093291B" w:rsidRDefault="00FD5D50" w:rsidP="00033E4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D5D50" w:rsidRPr="0093291B" w:rsidRDefault="00FD5D50" w:rsidP="00033E4C">
            <w:pPr>
              <w:pStyle w:val="naiskr"/>
              <w:spacing w:before="0" w:after="0"/>
              <w:jc w:val="both"/>
              <w:rPr>
                <w:sz w:val="28"/>
                <w:szCs w:val="28"/>
              </w:rPr>
            </w:pPr>
            <w:r w:rsidRPr="0093291B">
              <w:rPr>
                <w:sz w:val="28"/>
                <w:szCs w:val="28"/>
              </w:rPr>
              <w:t>Nav.</w:t>
            </w:r>
          </w:p>
        </w:tc>
      </w:tr>
      <w:tr w:rsidR="00FD5D50" w:rsidRPr="0093291B" w:rsidTr="00033E4C">
        <w:trPr>
          <w:trHeight w:val="517"/>
        </w:trPr>
        <w:tc>
          <w:tcPr>
            <w:tcW w:w="550" w:type="dxa"/>
          </w:tcPr>
          <w:p w:rsidR="00FD5D50" w:rsidRPr="0093291B" w:rsidRDefault="00FD5D50" w:rsidP="00033E4C">
            <w:pPr>
              <w:pStyle w:val="naiskr"/>
              <w:spacing w:before="0" w:after="0"/>
              <w:rPr>
                <w:sz w:val="28"/>
                <w:szCs w:val="28"/>
              </w:rPr>
            </w:pPr>
            <w:r w:rsidRPr="0093291B">
              <w:rPr>
                <w:sz w:val="28"/>
                <w:szCs w:val="28"/>
              </w:rPr>
              <w:t>3.</w:t>
            </w:r>
          </w:p>
        </w:tc>
        <w:tc>
          <w:tcPr>
            <w:tcW w:w="4855" w:type="dxa"/>
          </w:tcPr>
          <w:p w:rsidR="00FD5D50" w:rsidRPr="0093291B" w:rsidRDefault="00FD5D50" w:rsidP="00033E4C">
            <w:pPr>
              <w:pStyle w:val="naiskr"/>
              <w:spacing w:before="0" w:after="0"/>
              <w:rPr>
                <w:sz w:val="28"/>
                <w:szCs w:val="28"/>
              </w:rPr>
            </w:pPr>
            <w:r w:rsidRPr="0093291B">
              <w:rPr>
                <w:sz w:val="28"/>
                <w:szCs w:val="28"/>
              </w:rPr>
              <w:t>Administratīvo izmaksu monetārs novērtējums</w:t>
            </w:r>
          </w:p>
        </w:tc>
        <w:tc>
          <w:tcPr>
            <w:tcW w:w="4500" w:type="dxa"/>
          </w:tcPr>
          <w:p w:rsidR="00FD5D50" w:rsidRPr="0093291B" w:rsidRDefault="00FD5D50" w:rsidP="00033E4C">
            <w:pPr>
              <w:pStyle w:val="naiskr"/>
              <w:spacing w:before="120" w:after="120"/>
              <w:rPr>
                <w:sz w:val="28"/>
                <w:szCs w:val="28"/>
              </w:rPr>
            </w:pPr>
            <w:r w:rsidRPr="0093291B">
              <w:rPr>
                <w:sz w:val="28"/>
                <w:szCs w:val="28"/>
              </w:rPr>
              <w:t>Nav.</w:t>
            </w:r>
          </w:p>
          <w:p w:rsidR="00FD5D50" w:rsidRPr="0093291B" w:rsidRDefault="00FD5D50" w:rsidP="00033E4C">
            <w:pPr>
              <w:pStyle w:val="naiskr"/>
              <w:spacing w:before="120" w:after="120"/>
              <w:rPr>
                <w:sz w:val="28"/>
                <w:szCs w:val="28"/>
              </w:rPr>
            </w:pPr>
          </w:p>
          <w:p w:rsidR="00FD5D50" w:rsidRPr="0093291B" w:rsidRDefault="00FD5D50" w:rsidP="00033E4C">
            <w:pPr>
              <w:pStyle w:val="naiskr"/>
              <w:spacing w:before="120" w:after="120"/>
              <w:rPr>
                <w:sz w:val="28"/>
                <w:szCs w:val="28"/>
              </w:rPr>
            </w:pPr>
          </w:p>
        </w:tc>
      </w:tr>
      <w:tr w:rsidR="00FD5D50" w:rsidRPr="0093291B" w:rsidTr="00033E4C">
        <w:tc>
          <w:tcPr>
            <w:tcW w:w="550" w:type="dxa"/>
          </w:tcPr>
          <w:p w:rsidR="00FD5D50" w:rsidRPr="0093291B" w:rsidRDefault="00FD5D50" w:rsidP="00033E4C">
            <w:pPr>
              <w:pStyle w:val="naiskr"/>
              <w:spacing w:before="0" w:after="0"/>
              <w:rPr>
                <w:sz w:val="28"/>
                <w:szCs w:val="28"/>
              </w:rPr>
            </w:pPr>
            <w:r w:rsidRPr="0093291B">
              <w:rPr>
                <w:sz w:val="28"/>
                <w:szCs w:val="28"/>
              </w:rPr>
              <w:t>4.</w:t>
            </w:r>
          </w:p>
        </w:tc>
        <w:tc>
          <w:tcPr>
            <w:tcW w:w="4855" w:type="dxa"/>
          </w:tcPr>
          <w:p w:rsidR="00FD5D50" w:rsidRPr="0093291B" w:rsidRDefault="00FD5D50" w:rsidP="00033E4C">
            <w:pPr>
              <w:pStyle w:val="naiskr"/>
              <w:spacing w:before="0" w:after="0"/>
              <w:rPr>
                <w:sz w:val="28"/>
                <w:szCs w:val="28"/>
              </w:rPr>
            </w:pPr>
            <w:r w:rsidRPr="0093291B">
              <w:rPr>
                <w:sz w:val="28"/>
                <w:szCs w:val="28"/>
              </w:rPr>
              <w:t>Cita informācija</w:t>
            </w:r>
          </w:p>
        </w:tc>
        <w:tc>
          <w:tcPr>
            <w:tcW w:w="4500" w:type="dxa"/>
          </w:tcPr>
          <w:p w:rsidR="00FD5D50" w:rsidRPr="0093291B" w:rsidRDefault="00FD5D50" w:rsidP="00033E4C">
            <w:pPr>
              <w:pStyle w:val="naiskr"/>
              <w:spacing w:before="0" w:after="0"/>
              <w:rPr>
                <w:sz w:val="28"/>
                <w:szCs w:val="28"/>
              </w:rPr>
            </w:pPr>
            <w:r w:rsidRPr="0093291B">
              <w:rPr>
                <w:sz w:val="28"/>
                <w:szCs w:val="28"/>
              </w:rPr>
              <w:t>Nav.</w:t>
            </w:r>
          </w:p>
        </w:tc>
      </w:tr>
    </w:tbl>
    <w:p w:rsidR="00FD5D50" w:rsidRPr="0093291B" w:rsidRDefault="00FD5D50" w:rsidP="00FD5D50">
      <w:pPr>
        <w:spacing w:before="360" w:after="360"/>
        <w:ind w:firstLine="720"/>
        <w:rPr>
          <w:b/>
          <w:sz w:val="28"/>
          <w:szCs w:val="28"/>
        </w:rPr>
      </w:pPr>
      <w:r w:rsidRPr="0093291B">
        <w:rPr>
          <w:b/>
          <w:sz w:val="28"/>
          <w:szCs w:val="28"/>
        </w:rPr>
        <w:t>Anotācijas III, IV, V un VI sadaļa – projekts šīs jomas neskar.</w:t>
      </w:r>
    </w:p>
    <w:p w:rsidR="00CD5834" w:rsidRPr="00CD5834" w:rsidRDefault="00CD5834" w:rsidP="00CD5834">
      <w:pPr>
        <w:pStyle w:val="naisf"/>
        <w:tabs>
          <w:tab w:val="left" w:pos="6804"/>
        </w:tabs>
        <w:spacing w:before="0" w:after="0"/>
        <w:rPr>
          <w:sz w:val="26"/>
          <w:szCs w:val="26"/>
        </w:rPr>
      </w:pPr>
      <w:r w:rsidRPr="00CD5834">
        <w:rPr>
          <w:sz w:val="26"/>
          <w:szCs w:val="26"/>
        </w:rPr>
        <w:t> </w:t>
      </w:r>
    </w:p>
    <w:tbl>
      <w:tblPr>
        <w:tblW w:w="5285" w:type="pct"/>
        <w:jc w:val="center"/>
        <w:tblCellSpacing w:w="15" w:type="dxa"/>
        <w:tblInd w:w="-52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7"/>
        <w:gridCol w:w="3444"/>
        <w:gridCol w:w="5286"/>
      </w:tblGrid>
      <w:tr w:rsidR="00CD5834" w:rsidRPr="00CD5834" w:rsidTr="00CD5834">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D91C49" w:rsidRPr="00CD5834" w:rsidRDefault="00CD5834" w:rsidP="00CD5834">
            <w:pPr>
              <w:pStyle w:val="naisf"/>
              <w:tabs>
                <w:tab w:val="left" w:pos="6804"/>
              </w:tabs>
              <w:spacing w:before="0" w:after="0"/>
              <w:rPr>
                <w:b/>
                <w:bCs/>
                <w:sz w:val="26"/>
                <w:szCs w:val="26"/>
              </w:rPr>
            </w:pPr>
            <w:r w:rsidRPr="00CD5834">
              <w:rPr>
                <w:b/>
                <w:bCs/>
                <w:sz w:val="26"/>
                <w:szCs w:val="26"/>
              </w:rPr>
              <w:t>VII. Tiesību akta projekta izpildes nodrošināšana un tās ietekme uz institūcijām</w:t>
            </w:r>
          </w:p>
        </w:tc>
      </w:tr>
      <w:tr w:rsidR="00CD5834" w:rsidRPr="00CD5834" w:rsidTr="00CD5834">
        <w:trPr>
          <w:trHeight w:val="420"/>
          <w:tblCellSpacing w:w="15" w:type="dxa"/>
          <w:jc w:val="center"/>
        </w:trPr>
        <w:tc>
          <w:tcPr>
            <w:tcW w:w="50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1.</w:t>
            </w:r>
          </w:p>
        </w:tc>
        <w:tc>
          <w:tcPr>
            <w:tcW w:w="176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Projekta izpildē iesaistītās institūcijas</w:t>
            </w:r>
          </w:p>
        </w:tc>
        <w:tc>
          <w:tcPr>
            <w:tcW w:w="2675"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Pr>
                <w:sz w:val="26"/>
                <w:szCs w:val="26"/>
              </w:rPr>
              <w:t>Privatizācijas aģentūra</w:t>
            </w:r>
          </w:p>
        </w:tc>
      </w:tr>
      <w:tr w:rsidR="00CD5834" w:rsidRPr="00CD5834" w:rsidTr="00CD5834">
        <w:trPr>
          <w:trHeight w:val="450"/>
          <w:tblCellSpacing w:w="15" w:type="dxa"/>
          <w:jc w:val="center"/>
        </w:trPr>
        <w:tc>
          <w:tcPr>
            <w:tcW w:w="50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2.</w:t>
            </w:r>
          </w:p>
        </w:tc>
        <w:tc>
          <w:tcPr>
            <w:tcW w:w="176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 xml:space="preserve">Projekta izpildes ietekme uz pārvaldes funkcijām un institucionālo struktūru. </w:t>
            </w:r>
          </w:p>
          <w:p w:rsidR="00D91C49" w:rsidRPr="00CD5834" w:rsidRDefault="00CD5834" w:rsidP="00CD5834">
            <w:pPr>
              <w:pStyle w:val="naisf"/>
              <w:tabs>
                <w:tab w:val="left" w:pos="6804"/>
              </w:tabs>
              <w:spacing w:before="0" w:after="0"/>
              <w:rPr>
                <w:sz w:val="26"/>
                <w:szCs w:val="26"/>
              </w:rPr>
            </w:pPr>
            <w:r w:rsidRPr="00CD5834">
              <w:rPr>
                <w:sz w:val="26"/>
                <w:szCs w:val="26"/>
              </w:rPr>
              <w:t>Jaunu institūciju izveide, esošu institūciju likvidācija vai reorganizācija, to ietekme uz institūcijas cilvēkresursiem</w:t>
            </w:r>
          </w:p>
        </w:tc>
        <w:tc>
          <w:tcPr>
            <w:tcW w:w="2675"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Pr>
                <w:sz w:val="26"/>
                <w:szCs w:val="26"/>
              </w:rPr>
              <w:t>Projekts šo jomu neskar.</w:t>
            </w:r>
          </w:p>
        </w:tc>
      </w:tr>
      <w:tr w:rsidR="00CD5834" w:rsidRPr="00CD5834" w:rsidTr="00CD5834">
        <w:trPr>
          <w:trHeight w:val="390"/>
          <w:tblCellSpacing w:w="15" w:type="dxa"/>
          <w:jc w:val="center"/>
        </w:trPr>
        <w:tc>
          <w:tcPr>
            <w:tcW w:w="50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3.</w:t>
            </w:r>
          </w:p>
        </w:tc>
        <w:tc>
          <w:tcPr>
            <w:tcW w:w="1762" w:type="pct"/>
            <w:tcBorders>
              <w:top w:val="outset" w:sz="6" w:space="0" w:color="auto"/>
              <w:left w:val="outset" w:sz="6" w:space="0" w:color="auto"/>
              <w:bottom w:val="outset" w:sz="6" w:space="0" w:color="auto"/>
              <w:right w:val="outset" w:sz="6" w:space="0" w:color="auto"/>
            </w:tcBorders>
            <w:hideMark/>
          </w:tcPr>
          <w:p w:rsidR="00CD5834" w:rsidRPr="00CD5834" w:rsidRDefault="00CD5834" w:rsidP="00CD5834">
            <w:pPr>
              <w:pStyle w:val="naisf"/>
              <w:tabs>
                <w:tab w:val="left" w:pos="6804"/>
              </w:tabs>
              <w:rPr>
                <w:sz w:val="26"/>
                <w:szCs w:val="26"/>
              </w:rPr>
            </w:pPr>
            <w:r w:rsidRPr="00CD5834">
              <w:rPr>
                <w:sz w:val="26"/>
                <w:szCs w:val="26"/>
              </w:rPr>
              <w:t>Cita informācija</w:t>
            </w:r>
          </w:p>
        </w:tc>
        <w:tc>
          <w:tcPr>
            <w:tcW w:w="2675" w:type="pct"/>
            <w:tcBorders>
              <w:top w:val="outset" w:sz="6" w:space="0" w:color="auto"/>
              <w:left w:val="outset" w:sz="6" w:space="0" w:color="auto"/>
              <w:bottom w:val="outset" w:sz="6" w:space="0" w:color="auto"/>
              <w:right w:val="outset" w:sz="6" w:space="0" w:color="auto"/>
            </w:tcBorders>
            <w:hideMark/>
          </w:tcPr>
          <w:p w:rsidR="00D91C49" w:rsidRPr="00CD5834" w:rsidRDefault="00CD5834" w:rsidP="00CD5834">
            <w:pPr>
              <w:pStyle w:val="naisf"/>
              <w:tabs>
                <w:tab w:val="left" w:pos="6804"/>
              </w:tabs>
              <w:spacing w:before="0" w:after="0"/>
              <w:rPr>
                <w:sz w:val="26"/>
                <w:szCs w:val="26"/>
              </w:rPr>
            </w:pPr>
            <w:r>
              <w:rPr>
                <w:sz w:val="26"/>
                <w:szCs w:val="26"/>
              </w:rPr>
              <w:t>Nav.</w:t>
            </w:r>
          </w:p>
        </w:tc>
      </w:tr>
    </w:tbl>
    <w:p w:rsidR="00FD5D50" w:rsidRPr="0093291B" w:rsidRDefault="00FD5D50" w:rsidP="00FD5D5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FD5D50" w:rsidRPr="0093291B" w:rsidTr="00033E4C">
        <w:trPr>
          <w:trHeight w:val="866"/>
        </w:trPr>
        <w:tc>
          <w:tcPr>
            <w:tcW w:w="4633" w:type="dxa"/>
            <w:shd w:val="clear" w:color="auto" w:fill="auto"/>
          </w:tcPr>
          <w:p w:rsidR="00FD5D50" w:rsidRPr="0093291B" w:rsidRDefault="00BE4E4E" w:rsidP="00033E4C">
            <w:pPr>
              <w:tabs>
                <w:tab w:val="left" w:pos="7938"/>
              </w:tabs>
              <w:spacing w:before="120"/>
              <w:rPr>
                <w:b/>
                <w:sz w:val="28"/>
              </w:rPr>
            </w:pPr>
            <w:r>
              <w:rPr>
                <w:b/>
                <w:sz w:val="28"/>
              </w:rPr>
              <w:t>Ekonomikas ministre</w:t>
            </w:r>
          </w:p>
        </w:tc>
        <w:tc>
          <w:tcPr>
            <w:tcW w:w="4634" w:type="dxa"/>
            <w:shd w:val="clear" w:color="auto" w:fill="auto"/>
          </w:tcPr>
          <w:p w:rsidR="00FD5D50" w:rsidRPr="0093291B" w:rsidRDefault="00BE4E4E" w:rsidP="00033E4C">
            <w:pPr>
              <w:tabs>
                <w:tab w:val="left" w:pos="7938"/>
              </w:tabs>
              <w:spacing w:before="120"/>
              <w:jc w:val="right"/>
              <w:rPr>
                <w:b/>
                <w:sz w:val="28"/>
              </w:rPr>
            </w:pPr>
            <w:r>
              <w:rPr>
                <w:b/>
                <w:sz w:val="28"/>
              </w:rPr>
              <w:t>D.Reizniece-Ozola</w:t>
            </w:r>
          </w:p>
        </w:tc>
      </w:tr>
      <w:tr w:rsidR="00FD5D50" w:rsidRPr="0093291B" w:rsidTr="00033E4C">
        <w:trPr>
          <w:trHeight w:val="950"/>
        </w:trPr>
        <w:tc>
          <w:tcPr>
            <w:tcW w:w="4633" w:type="dxa"/>
            <w:shd w:val="clear" w:color="auto" w:fill="auto"/>
          </w:tcPr>
          <w:p w:rsidR="00FD5D50" w:rsidRPr="0093291B" w:rsidRDefault="00FD5D50" w:rsidP="00FC2A7A">
            <w:pPr>
              <w:jc w:val="both"/>
              <w:rPr>
                <w:b/>
                <w:sz w:val="28"/>
                <w:szCs w:val="28"/>
              </w:rPr>
            </w:pPr>
            <w:r w:rsidRPr="0093291B">
              <w:rPr>
                <w:b/>
                <w:sz w:val="28"/>
                <w:szCs w:val="28"/>
              </w:rPr>
              <w:t xml:space="preserve">Vīza: </w:t>
            </w:r>
            <w:r w:rsidR="00950C7E">
              <w:rPr>
                <w:rFonts w:eastAsiaTheme="minorHAnsi"/>
                <w:b/>
                <w:sz w:val="28"/>
                <w:szCs w:val="28"/>
                <w:lang w:eastAsia="en-US"/>
              </w:rPr>
              <w:t>v</w:t>
            </w:r>
            <w:r w:rsidRPr="0093291B">
              <w:rPr>
                <w:rFonts w:eastAsiaTheme="minorHAnsi"/>
                <w:b/>
                <w:sz w:val="28"/>
                <w:szCs w:val="28"/>
                <w:lang w:eastAsia="en-US"/>
              </w:rPr>
              <w:t>alsts sekretār</w:t>
            </w:r>
            <w:r w:rsidR="00FC2A7A">
              <w:rPr>
                <w:rFonts w:eastAsiaTheme="minorHAnsi"/>
                <w:b/>
                <w:sz w:val="28"/>
                <w:szCs w:val="28"/>
                <w:lang w:eastAsia="en-US"/>
              </w:rPr>
              <w:t>s</w:t>
            </w:r>
          </w:p>
        </w:tc>
        <w:tc>
          <w:tcPr>
            <w:tcW w:w="4634" w:type="dxa"/>
            <w:shd w:val="clear" w:color="auto" w:fill="auto"/>
          </w:tcPr>
          <w:p w:rsidR="00FD5D50" w:rsidRPr="0093291B" w:rsidRDefault="00197522" w:rsidP="00033E4C">
            <w:pPr>
              <w:tabs>
                <w:tab w:val="left" w:pos="7938"/>
              </w:tabs>
              <w:spacing w:before="120"/>
              <w:jc w:val="right"/>
              <w:rPr>
                <w:b/>
                <w:sz w:val="28"/>
                <w:szCs w:val="28"/>
              </w:rPr>
            </w:pPr>
            <w:r>
              <w:rPr>
                <w:b/>
                <w:sz w:val="28"/>
                <w:szCs w:val="28"/>
              </w:rPr>
              <w:t>M.La</w:t>
            </w:r>
            <w:r w:rsidR="00FC2A7A">
              <w:rPr>
                <w:b/>
                <w:sz w:val="28"/>
                <w:szCs w:val="28"/>
              </w:rPr>
              <w:t>zdovskis</w:t>
            </w:r>
          </w:p>
        </w:tc>
      </w:tr>
    </w:tbl>
    <w:p w:rsidR="00FD5D50" w:rsidRPr="0093291B" w:rsidRDefault="00FD5D50" w:rsidP="00FD5D50">
      <w:pPr>
        <w:tabs>
          <w:tab w:val="left" w:pos="7938"/>
        </w:tabs>
        <w:rPr>
          <w:sz w:val="22"/>
          <w:szCs w:val="22"/>
        </w:rPr>
      </w:pPr>
    </w:p>
    <w:p w:rsidR="00FD5D50" w:rsidRPr="0093291B" w:rsidRDefault="006978A5" w:rsidP="00FD5D50">
      <w:pPr>
        <w:tabs>
          <w:tab w:val="left" w:pos="2552"/>
        </w:tabs>
        <w:jc w:val="both"/>
        <w:rPr>
          <w:rFonts w:eastAsia="Calibri"/>
          <w:sz w:val="22"/>
          <w:szCs w:val="22"/>
          <w:lang w:eastAsia="en-US"/>
        </w:rPr>
      </w:pPr>
      <w:r>
        <w:rPr>
          <w:rFonts w:eastAsia="Calibri"/>
          <w:sz w:val="22"/>
          <w:szCs w:val="22"/>
          <w:lang w:eastAsia="en-US"/>
        </w:rPr>
        <w:t>01.12</w:t>
      </w:r>
      <w:r w:rsidR="00EC538F">
        <w:rPr>
          <w:rFonts w:eastAsia="Calibri"/>
          <w:sz w:val="22"/>
          <w:szCs w:val="22"/>
          <w:lang w:eastAsia="en-US"/>
        </w:rPr>
        <w:t>.2014. 09</w:t>
      </w:r>
      <w:r w:rsidR="000A69A9">
        <w:rPr>
          <w:rFonts w:eastAsia="Calibri"/>
          <w:sz w:val="22"/>
          <w:szCs w:val="22"/>
          <w:lang w:eastAsia="en-US"/>
        </w:rPr>
        <w:t>:</w:t>
      </w:r>
      <w:r w:rsidR="00EC538F">
        <w:rPr>
          <w:rFonts w:eastAsia="Calibri"/>
          <w:sz w:val="22"/>
          <w:szCs w:val="22"/>
          <w:lang w:eastAsia="en-US"/>
        </w:rPr>
        <w:t>48</w:t>
      </w:r>
      <w:bookmarkStart w:id="0" w:name="_GoBack"/>
      <w:bookmarkEnd w:id="0"/>
    </w:p>
    <w:p w:rsidR="00FD5D50" w:rsidRPr="00BA0D3C" w:rsidRDefault="004A3DA1" w:rsidP="00FD5D50">
      <w:pPr>
        <w:tabs>
          <w:tab w:val="left" w:pos="2552"/>
        </w:tabs>
        <w:jc w:val="both"/>
        <w:rPr>
          <w:rFonts w:eastAsia="Calibri"/>
          <w:sz w:val="22"/>
          <w:szCs w:val="22"/>
          <w:lang w:eastAsia="en-US"/>
        </w:rPr>
      </w:pPr>
      <w:r>
        <w:rPr>
          <w:rFonts w:eastAsia="Calibri"/>
          <w:sz w:val="22"/>
          <w:szCs w:val="22"/>
          <w:lang w:eastAsia="en-US"/>
        </w:rPr>
        <w:t>1078</w:t>
      </w:r>
    </w:p>
    <w:p w:rsidR="00FD5D50" w:rsidRPr="0093291B" w:rsidRDefault="00FD5D50" w:rsidP="00FD5D50">
      <w:pPr>
        <w:jc w:val="both"/>
        <w:rPr>
          <w:rFonts w:eastAsia="Calibri"/>
          <w:sz w:val="22"/>
          <w:szCs w:val="22"/>
          <w:lang w:eastAsia="en-US"/>
        </w:rPr>
      </w:pPr>
      <w:r w:rsidRPr="0093291B">
        <w:rPr>
          <w:rFonts w:eastAsia="Calibri"/>
          <w:sz w:val="22"/>
          <w:szCs w:val="22"/>
          <w:lang w:eastAsia="en-US"/>
        </w:rPr>
        <w:t>Drāke</w:t>
      </w:r>
    </w:p>
    <w:p w:rsidR="00367CBE" w:rsidRPr="004A3DA1" w:rsidRDefault="00FD5D50" w:rsidP="004A3DA1">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4A3DA1" w:rsidSect="006401A1">
      <w:headerReference w:type="even" r:id="rId7"/>
      <w:headerReference w:type="default" r:id="rId8"/>
      <w:footerReference w:type="default" r:id="rId9"/>
      <w:footerReference w:type="first" r:id="rId10"/>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87" w:rsidRDefault="005C2887" w:rsidP="00FD5D50">
      <w:r>
        <w:separator/>
      </w:r>
    </w:p>
  </w:endnote>
  <w:endnote w:type="continuationSeparator" w:id="0">
    <w:p w:rsidR="005C2887" w:rsidRDefault="005C2887" w:rsidP="00FD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520B79" w:rsidRDefault="003C7A73" w:rsidP="00520B79">
    <w:pPr>
      <w:pStyle w:val="Footer"/>
      <w:jc w:val="both"/>
    </w:pPr>
    <w:r>
      <w:rPr>
        <w:sz w:val="20"/>
        <w:szCs w:val="20"/>
      </w:rPr>
      <w:t>EMAnot_0112</w:t>
    </w:r>
    <w:r w:rsidR="00520B79">
      <w:rPr>
        <w:sz w:val="20"/>
        <w:szCs w:val="20"/>
      </w:rPr>
      <w:t>14_922_atcelsana</w:t>
    </w:r>
    <w:r w:rsidR="00520B79" w:rsidRPr="003868C7">
      <w:rPr>
        <w:sz w:val="20"/>
        <w:szCs w:val="20"/>
      </w:rPr>
      <w:t xml:space="preserve">; Ministru kabineta rīkojuma projekta </w:t>
    </w:r>
    <w:r w:rsidR="00520B79" w:rsidRPr="00FD5D50">
      <w:rPr>
        <w:sz w:val="20"/>
        <w:szCs w:val="20"/>
      </w:rPr>
      <w:t>„</w:t>
    </w:r>
    <w:r w:rsidR="00520B79" w:rsidRPr="007D0BE8">
      <w:rPr>
        <w:sz w:val="20"/>
        <w:szCs w:val="20"/>
      </w:rPr>
      <w:t>Par Ministru kabineta 2009.gada 28.decembra rīkojuma Nr.922 „Par atteikumu nodot privatizācijai daļu no apbūvēta zemesgabala (zemes vienības kadastra apzīmējums 8882 008 0729) Rojas novada Rojas pagastā, "Rojas ostā" atcelšanu</w:t>
    </w:r>
    <w:r w:rsidR="002B72C5">
      <w:rPr>
        <w:sz w:val="20"/>
        <w:szCs w:val="20"/>
      </w:rPr>
      <w:t xml:space="preserve"> daļā</w:t>
    </w:r>
    <w:r w:rsidR="00520B79" w:rsidRPr="007D0BE8">
      <w:rPr>
        <w:sz w:val="20"/>
        <w:szCs w:val="20"/>
      </w:rPr>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868C7" w:rsidRDefault="005906C3" w:rsidP="003868C7">
    <w:pPr>
      <w:pStyle w:val="Footer"/>
      <w:jc w:val="both"/>
    </w:pPr>
    <w:r>
      <w:rPr>
        <w:sz w:val="20"/>
        <w:szCs w:val="20"/>
      </w:rPr>
      <w:t>EMAnot_</w:t>
    </w:r>
    <w:r w:rsidR="003C7A73">
      <w:rPr>
        <w:sz w:val="20"/>
        <w:szCs w:val="20"/>
      </w:rPr>
      <w:t>0112</w:t>
    </w:r>
    <w:r w:rsidR="007D0BE8">
      <w:rPr>
        <w:sz w:val="20"/>
        <w:szCs w:val="20"/>
      </w:rPr>
      <w:t>14_922_atcelsana</w:t>
    </w:r>
    <w:r w:rsidR="00713ADE" w:rsidRPr="003868C7">
      <w:rPr>
        <w:sz w:val="20"/>
        <w:szCs w:val="20"/>
      </w:rPr>
      <w:t xml:space="preserve">; Ministru kabineta rīkojuma projekta </w:t>
    </w:r>
    <w:r w:rsidR="00FD5D50" w:rsidRPr="00FD5D50">
      <w:rPr>
        <w:sz w:val="20"/>
        <w:szCs w:val="20"/>
      </w:rPr>
      <w:t>„</w:t>
    </w:r>
    <w:r w:rsidR="007D0BE8" w:rsidRPr="007D0BE8">
      <w:rPr>
        <w:sz w:val="20"/>
        <w:szCs w:val="20"/>
      </w:rPr>
      <w:t>Par Ministru kabineta 2009.gada 28.decembra rīkojuma Nr.922 „Par atteikumu nodot privatizācijai daļu no apbūvēta zemesgabala (zemes vienības kadastra apzīmējums 8882 008 0729) Rojas novada Rojas pagastā, "Rojas ostā" atcelšanu</w:t>
    </w:r>
    <w:r w:rsidR="002B72C5">
      <w:rPr>
        <w:sz w:val="20"/>
        <w:szCs w:val="20"/>
      </w:rPr>
      <w:t xml:space="preserve"> daļā</w:t>
    </w:r>
    <w:r w:rsidR="007D0BE8" w:rsidRPr="007D0BE8">
      <w:rPr>
        <w:sz w:val="20"/>
        <w:szCs w:val="20"/>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87" w:rsidRDefault="005C2887" w:rsidP="00FD5D50">
      <w:r>
        <w:separator/>
      </w:r>
    </w:p>
  </w:footnote>
  <w:footnote w:type="continuationSeparator" w:id="0">
    <w:p w:rsidR="005C2887" w:rsidRDefault="005C2887" w:rsidP="00FD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13A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C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13A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38F">
      <w:rPr>
        <w:rStyle w:val="PageNumber"/>
        <w:noProof/>
      </w:rPr>
      <w:t>6</w:t>
    </w:r>
    <w:r>
      <w:rPr>
        <w:rStyle w:val="PageNumber"/>
      </w:rPr>
      <w:fldChar w:fldCharType="end"/>
    </w:r>
  </w:p>
  <w:p w:rsidR="00DE1C13" w:rsidRDefault="005C2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50"/>
    <w:rsid w:val="00025D04"/>
    <w:rsid w:val="00027812"/>
    <w:rsid w:val="00055ADB"/>
    <w:rsid w:val="00067481"/>
    <w:rsid w:val="000733CF"/>
    <w:rsid w:val="00076158"/>
    <w:rsid w:val="00085E1C"/>
    <w:rsid w:val="000A69A9"/>
    <w:rsid w:val="000B4182"/>
    <w:rsid w:val="000E2F62"/>
    <w:rsid w:val="000F183B"/>
    <w:rsid w:val="0013116B"/>
    <w:rsid w:val="0013226B"/>
    <w:rsid w:val="0013453E"/>
    <w:rsid w:val="00137B18"/>
    <w:rsid w:val="00143685"/>
    <w:rsid w:val="00143B14"/>
    <w:rsid w:val="00153AE2"/>
    <w:rsid w:val="00154D69"/>
    <w:rsid w:val="00155BD1"/>
    <w:rsid w:val="00157E6E"/>
    <w:rsid w:val="00190E13"/>
    <w:rsid w:val="00197522"/>
    <w:rsid w:val="001B5041"/>
    <w:rsid w:val="001C2DD7"/>
    <w:rsid w:val="001D65C3"/>
    <w:rsid w:val="001E08B3"/>
    <w:rsid w:val="00211429"/>
    <w:rsid w:val="0022036B"/>
    <w:rsid w:val="00237115"/>
    <w:rsid w:val="002521B9"/>
    <w:rsid w:val="002729AA"/>
    <w:rsid w:val="00280F53"/>
    <w:rsid w:val="002B1D49"/>
    <w:rsid w:val="002B5BC2"/>
    <w:rsid w:val="002B5C43"/>
    <w:rsid w:val="002B72C5"/>
    <w:rsid w:val="002C4E10"/>
    <w:rsid w:val="002D1CF6"/>
    <w:rsid w:val="002E765D"/>
    <w:rsid w:val="002F6354"/>
    <w:rsid w:val="003150C0"/>
    <w:rsid w:val="003310C5"/>
    <w:rsid w:val="00332B2D"/>
    <w:rsid w:val="003330E2"/>
    <w:rsid w:val="003528AF"/>
    <w:rsid w:val="003801FE"/>
    <w:rsid w:val="003903BE"/>
    <w:rsid w:val="003C136B"/>
    <w:rsid w:val="003C7A73"/>
    <w:rsid w:val="003E7F36"/>
    <w:rsid w:val="003F0A06"/>
    <w:rsid w:val="003F182F"/>
    <w:rsid w:val="0041339D"/>
    <w:rsid w:val="0042698D"/>
    <w:rsid w:val="004435AB"/>
    <w:rsid w:val="00470488"/>
    <w:rsid w:val="0047258C"/>
    <w:rsid w:val="004737E2"/>
    <w:rsid w:val="00476D3D"/>
    <w:rsid w:val="004A3DA1"/>
    <w:rsid w:val="004B2364"/>
    <w:rsid w:val="004D69FC"/>
    <w:rsid w:val="00510A9D"/>
    <w:rsid w:val="00513AC3"/>
    <w:rsid w:val="00520B79"/>
    <w:rsid w:val="00536870"/>
    <w:rsid w:val="0054502C"/>
    <w:rsid w:val="00572D80"/>
    <w:rsid w:val="005731D2"/>
    <w:rsid w:val="00585CBC"/>
    <w:rsid w:val="005906C3"/>
    <w:rsid w:val="0059265D"/>
    <w:rsid w:val="005A715C"/>
    <w:rsid w:val="005B72D8"/>
    <w:rsid w:val="005C2887"/>
    <w:rsid w:val="005D10A3"/>
    <w:rsid w:val="005D449A"/>
    <w:rsid w:val="005E1A1F"/>
    <w:rsid w:val="005E5DBA"/>
    <w:rsid w:val="00600701"/>
    <w:rsid w:val="0064274F"/>
    <w:rsid w:val="0066390D"/>
    <w:rsid w:val="00671F4A"/>
    <w:rsid w:val="0067251E"/>
    <w:rsid w:val="00685176"/>
    <w:rsid w:val="00690069"/>
    <w:rsid w:val="00692AAA"/>
    <w:rsid w:val="006978A5"/>
    <w:rsid w:val="006A16BD"/>
    <w:rsid w:val="006A54E8"/>
    <w:rsid w:val="006D1932"/>
    <w:rsid w:val="00713ADE"/>
    <w:rsid w:val="00716922"/>
    <w:rsid w:val="007171BD"/>
    <w:rsid w:val="007205E1"/>
    <w:rsid w:val="0073028C"/>
    <w:rsid w:val="00731C5C"/>
    <w:rsid w:val="007511BB"/>
    <w:rsid w:val="00763F7C"/>
    <w:rsid w:val="00795F33"/>
    <w:rsid w:val="00797CA7"/>
    <w:rsid w:val="007A59E1"/>
    <w:rsid w:val="007D0BE8"/>
    <w:rsid w:val="007D47FA"/>
    <w:rsid w:val="007F4259"/>
    <w:rsid w:val="007F5F52"/>
    <w:rsid w:val="00800492"/>
    <w:rsid w:val="00803AC7"/>
    <w:rsid w:val="00806948"/>
    <w:rsid w:val="0084349E"/>
    <w:rsid w:val="00880C62"/>
    <w:rsid w:val="008A1E49"/>
    <w:rsid w:val="008E4A0A"/>
    <w:rsid w:val="008F07E3"/>
    <w:rsid w:val="009173AC"/>
    <w:rsid w:val="00923403"/>
    <w:rsid w:val="00950C7E"/>
    <w:rsid w:val="00956513"/>
    <w:rsid w:val="00973DE9"/>
    <w:rsid w:val="00980C76"/>
    <w:rsid w:val="009B47FC"/>
    <w:rsid w:val="009C2645"/>
    <w:rsid w:val="009E4245"/>
    <w:rsid w:val="00A134BD"/>
    <w:rsid w:val="00A376F4"/>
    <w:rsid w:val="00A47273"/>
    <w:rsid w:val="00A50BF6"/>
    <w:rsid w:val="00A63808"/>
    <w:rsid w:val="00A837EF"/>
    <w:rsid w:val="00AA323D"/>
    <w:rsid w:val="00AD23CD"/>
    <w:rsid w:val="00AD695B"/>
    <w:rsid w:val="00AF3787"/>
    <w:rsid w:val="00AF4DE4"/>
    <w:rsid w:val="00B03674"/>
    <w:rsid w:val="00B35FEA"/>
    <w:rsid w:val="00B41C91"/>
    <w:rsid w:val="00B446DE"/>
    <w:rsid w:val="00B63BA2"/>
    <w:rsid w:val="00B80144"/>
    <w:rsid w:val="00BA6E6A"/>
    <w:rsid w:val="00BD7C8C"/>
    <w:rsid w:val="00BD7DD8"/>
    <w:rsid w:val="00BE4E4E"/>
    <w:rsid w:val="00BF380C"/>
    <w:rsid w:val="00C00FAF"/>
    <w:rsid w:val="00C1606D"/>
    <w:rsid w:val="00C51625"/>
    <w:rsid w:val="00C56F19"/>
    <w:rsid w:val="00C66927"/>
    <w:rsid w:val="00CB3B4F"/>
    <w:rsid w:val="00CD5834"/>
    <w:rsid w:val="00CD64C1"/>
    <w:rsid w:val="00CE787F"/>
    <w:rsid w:val="00CF3F85"/>
    <w:rsid w:val="00CF7912"/>
    <w:rsid w:val="00D10EEE"/>
    <w:rsid w:val="00D1749E"/>
    <w:rsid w:val="00D30265"/>
    <w:rsid w:val="00D43125"/>
    <w:rsid w:val="00D458E5"/>
    <w:rsid w:val="00D4690B"/>
    <w:rsid w:val="00D64AE5"/>
    <w:rsid w:val="00D91C49"/>
    <w:rsid w:val="00D951E7"/>
    <w:rsid w:val="00D96D07"/>
    <w:rsid w:val="00DB46EC"/>
    <w:rsid w:val="00DE48B4"/>
    <w:rsid w:val="00DE7017"/>
    <w:rsid w:val="00DF3BC2"/>
    <w:rsid w:val="00E62F54"/>
    <w:rsid w:val="00E81E3C"/>
    <w:rsid w:val="00E86263"/>
    <w:rsid w:val="00E91101"/>
    <w:rsid w:val="00EA60A1"/>
    <w:rsid w:val="00EB7349"/>
    <w:rsid w:val="00EC538F"/>
    <w:rsid w:val="00ED42E3"/>
    <w:rsid w:val="00ED5240"/>
    <w:rsid w:val="00F03496"/>
    <w:rsid w:val="00F40B9C"/>
    <w:rsid w:val="00F43641"/>
    <w:rsid w:val="00F73827"/>
    <w:rsid w:val="00F86517"/>
    <w:rsid w:val="00F866FE"/>
    <w:rsid w:val="00FA15A4"/>
    <w:rsid w:val="00FA6A86"/>
    <w:rsid w:val="00FB5462"/>
    <w:rsid w:val="00FC2A7A"/>
    <w:rsid w:val="00FC7A0B"/>
    <w:rsid w:val="00FD5D50"/>
    <w:rsid w:val="00FE6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D50"/>
    <w:pPr>
      <w:tabs>
        <w:tab w:val="center" w:pos="4153"/>
        <w:tab w:val="right" w:pos="8306"/>
      </w:tabs>
    </w:pPr>
  </w:style>
  <w:style w:type="character" w:customStyle="1" w:styleId="HeaderChar">
    <w:name w:val="Header Char"/>
    <w:basedOn w:val="DefaultParagraphFont"/>
    <w:link w:val="Header"/>
    <w:rsid w:val="00FD5D50"/>
    <w:rPr>
      <w:rFonts w:ascii="Times New Roman" w:eastAsia="Times New Roman" w:hAnsi="Times New Roman" w:cs="Times New Roman"/>
      <w:sz w:val="24"/>
      <w:szCs w:val="24"/>
      <w:lang w:eastAsia="lv-LV"/>
    </w:rPr>
  </w:style>
  <w:style w:type="character" w:styleId="PageNumber">
    <w:name w:val="page number"/>
    <w:basedOn w:val="DefaultParagraphFont"/>
    <w:rsid w:val="00FD5D50"/>
  </w:style>
  <w:style w:type="paragraph" w:customStyle="1" w:styleId="naisf">
    <w:name w:val="naisf"/>
    <w:basedOn w:val="Normal"/>
    <w:rsid w:val="00FD5D50"/>
    <w:pPr>
      <w:spacing w:before="75" w:after="75"/>
      <w:ind w:firstLine="375"/>
      <w:jc w:val="both"/>
    </w:pPr>
  </w:style>
  <w:style w:type="paragraph" w:customStyle="1" w:styleId="naisnod">
    <w:name w:val="naisnod"/>
    <w:basedOn w:val="Normal"/>
    <w:rsid w:val="00FD5D50"/>
    <w:pPr>
      <w:spacing w:before="150" w:after="150"/>
      <w:jc w:val="center"/>
    </w:pPr>
    <w:rPr>
      <w:b/>
      <w:bCs/>
    </w:rPr>
  </w:style>
  <w:style w:type="paragraph" w:customStyle="1" w:styleId="naiskr">
    <w:name w:val="naiskr"/>
    <w:basedOn w:val="Normal"/>
    <w:rsid w:val="00FD5D50"/>
    <w:pPr>
      <w:spacing w:before="75" w:after="75"/>
    </w:pPr>
  </w:style>
  <w:style w:type="paragraph" w:styleId="FootnoteText">
    <w:name w:val="footnote text"/>
    <w:basedOn w:val="Normal"/>
    <w:link w:val="FootnoteTextChar"/>
    <w:semiHidden/>
    <w:rsid w:val="00FD5D50"/>
    <w:rPr>
      <w:sz w:val="20"/>
      <w:szCs w:val="20"/>
    </w:rPr>
  </w:style>
  <w:style w:type="character" w:customStyle="1" w:styleId="FootnoteTextChar">
    <w:name w:val="Footnote Text Char"/>
    <w:basedOn w:val="DefaultParagraphFont"/>
    <w:link w:val="FootnoteText"/>
    <w:semiHidden/>
    <w:rsid w:val="00FD5D5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D5D50"/>
    <w:pPr>
      <w:tabs>
        <w:tab w:val="center" w:pos="4153"/>
        <w:tab w:val="right" w:pos="8306"/>
      </w:tabs>
    </w:pPr>
  </w:style>
  <w:style w:type="character" w:customStyle="1" w:styleId="FooterChar">
    <w:name w:val="Footer Char"/>
    <w:basedOn w:val="DefaultParagraphFont"/>
    <w:link w:val="Footer"/>
    <w:uiPriority w:val="99"/>
    <w:rsid w:val="00FD5D50"/>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FD5D50"/>
    <w:pPr>
      <w:spacing w:before="100" w:beforeAutospacing="1" w:after="100" w:afterAutospacing="1"/>
    </w:pPr>
    <w:rPr>
      <w:color w:val="000000"/>
    </w:rPr>
  </w:style>
  <w:style w:type="paragraph" w:styleId="BodyTextIndent2">
    <w:name w:val="Body Text Indent 2"/>
    <w:basedOn w:val="Normal"/>
    <w:link w:val="BodyTextIndent2Char"/>
    <w:rsid w:val="00FD5D5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FD5D5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FD5D50"/>
    <w:pPr>
      <w:spacing w:after="120"/>
      <w:ind w:left="283"/>
    </w:pPr>
  </w:style>
  <w:style w:type="character" w:customStyle="1" w:styleId="BodyTextIndentChar">
    <w:name w:val="Body Text Indent Char"/>
    <w:basedOn w:val="DefaultParagraphFont"/>
    <w:link w:val="BodyTextIndent"/>
    <w:rsid w:val="00FD5D50"/>
    <w:rPr>
      <w:rFonts w:ascii="Times New Roman" w:eastAsia="Times New Roman" w:hAnsi="Times New Roman" w:cs="Times New Roman"/>
      <w:sz w:val="24"/>
      <w:szCs w:val="24"/>
      <w:lang w:eastAsia="lv-LV"/>
    </w:rPr>
  </w:style>
  <w:style w:type="paragraph" w:styleId="Title">
    <w:name w:val="Title"/>
    <w:basedOn w:val="Normal"/>
    <w:link w:val="TitleChar"/>
    <w:qFormat/>
    <w:rsid w:val="00FD5D50"/>
    <w:pPr>
      <w:jc w:val="center"/>
    </w:pPr>
    <w:rPr>
      <w:b/>
      <w:sz w:val="28"/>
      <w:szCs w:val="20"/>
    </w:rPr>
  </w:style>
  <w:style w:type="character" w:customStyle="1" w:styleId="TitleChar">
    <w:name w:val="Title Char"/>
    <w:basedOn w:val="DefaultParagraphFont"/>
    <w:link w:val="Title"/>
    <w:rsid w:val="00FD5D5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FD5D50"/>
    <w:pPr>
      <w:spacing w:after="120"/>
    </w:pPr>
    <w:rPr>
      <w:sz w:val="16"/>
      <w:szCs w:val="16"/>
      <w:lang w:val="en-AU"/>
    </w:rPr>
  </w:style>
  <w:style w:type="character" w:customStyle="1" w:styleId="BodyText3Char">
    <w:name w:val="Body Text 3 Char"/>
    <w:basedOn w:val="DefaultParagraphFont"/>
    <w:link w:val="BodyText3"/>
    <w:rsid w:val="00FD5D50"/>
    <w:rPr>
      <w:rFonts w:ascii="Times New Roman" w:eastAsia="Times New Roman" w:hAnsi="Times New Roman" w:cs="Times New Roman"/>
      <w:sz w:val="16"/>
      <w:szCs w:val="16"/>
      <w:lang w:val="en-AU" w:eastAsia="lv-LV"/>
    </w:rPr>
  </w:style>
  <w:style w:type="character" w:styleId="CommentReference">
    <w:name w:val="annotation reference"/>
    <w:basedOn w:val="DefaultParagraphFont"/>
    <w:uiPriority w:val="99"/>
    <w:semiHidden/>
    <w:unhideWhenUsed/>
    <w:rsid w:val="005A715C"/>
    <w:rPr>
      <w:sz w:val="16"/>
      <w:szCs w:val="16"/>
    </w:rPr>
  </w:style>
  <w:style w:type="paragraph" w:styleId="CommentText">
    <w:name w:val="annotation text"/>
    <w:basedOn w:val="Normal"/>
    <w:link w:val="CommentTextChar"/>
    <w:uiPriority w:val="99"/>
    <w:semiHidden/>
    <w:unhideWhenUsed/>
    <w:rsid w:val="005A715C"/>
    <w:rPr>
      <w:sz w:val="20"/>
      <w:szCs w:val="20"/>
    </w:rPr>
  </w:style>
  <w:style w:type="character" w:customStyle="1" w:styleId="CommentTextChar">
    <w:name w:val="Comment Text Char"/>
    <w:basedOn w:val="DefaultParagraphFont"/>
    <w:link w:val="CommentText"/>
    <w:uiPriority w:val="99"/>
    <w:semiHidden/>
    <w:rsid w:val="005A71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715C"/>
    <w:rPr>
      <w:b/>
      <w:bCs/>
    </w:rPr>
  </w:style>
  <w:style w:type="character" w:customStyle="1" w:styleId="CommentSubjectChar">
    <w:name w:val="Comment Subject Char"/>
    <w:basedOn w:val="CommentTextChar"/>
    <w:link w:val="CommentSubject"/>
    <w:uiPriority w:val="99"/>
    <w:semiHidden/>
    <w:rsid w:val="005A71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A715C"/>
    <w:rPr>
      <w:rFonts w:ascii="Tahoma" w:hAnsi="Tahoma" w:cs="Tahoma"/>
      <w:sz w:val="16"/>
      <w:szCs w:val="16"/>
    </w:rPr>
  </w:style>
  <w:style w:type="character" w:customStyle="1" w:styleId="BalloonTextChar">
    <w:name w:val="Balloon Text Char"/>
    <w:basedOn w:val="DefaultParagraphFont"/>
    <w:link w:val="BalloonText"/>
    <w:uiPriority w:val="99"/>
    <w:semiHidden/>
    <w:rsid w:val="005A715C"/>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143685"/>
    <w:pPr>
      <w:spacing w:after="120"/>
    </w:pPr>
  </w:style>
  <w:style w:type="character" w:customStyle="1" w:styleId="BodyTextChar">
    <w:name w:val="Body Text Char"/>
    <w:basedOn w:val="DefaultParagraphFont"/>
    <w:link w:val="BodyText"/>
    <w:uiPriority w:val="99"/>
    <w:semiHidden/>
    <w:rsid w:val="00143685"/>
    <w:rPr>
      <w:rFonts w:ascii="Times New Roman" w:eastAsia="Times New Roman" w:hAnsi="Times New Roman" w:cs="Times New Roman"/>
      <w:sz w:val="24"/>
      <w:szCs w:val="24"/>
      <w:lang w:eastAsia="lv-LV"/>
    </w:rPr>
  </w:style>
  <w:style w:type="paragraph" w:customStyle="1" w:styleId="tv213">
    <w:name w:val="tv213"/>
    <w:basedOn w:val="Normal"/>
    <w:rsid w:val="00AF3787"/>
    <w:pPr>
      <w:spacing w:before="100" w:beforeAutospacing="1" w:after="100" w:afterAutospacing="1"/>
    </w:pPr>
  </w:style>
  <w:style w:type="character" w:customStyle="1" w:styleId="FontStyle15">
    <w:name w:val="Font Style15"/>
    <w:rsid w:val="002B5C43"/>
    <w:rPr>
      <w:rFonts w:ascii="Times New Roman" w:hAnsi="Times New Roman"/>
      <w:sz w:val="22"/>
    </w:rPr>
  </w:style>
  <w:style w:type="paragraph" w:customStyle="1" w:styleId="tvhtml">
    <w:name w:val="tv_html"/>
    <w:basedOn w:val="Normal"/>
    <w:rsid w:val="00CD58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D50"/>
    <w:pPr>
      <w:tabs>
        <w:tab w:val="center" w:pos="4153"/>
        <w:tab w:val="right" w:pos="8306"/>
      </w:tabs>
    </w:pPr>
  </w:style>
  <w:style w:type="character" w:customStyle="1" w:styleId="HeaderChar">
    <w:name w:val="Header Char"/>
    <w:basedOn w:val="DefaultParagraphFont"/>
    <w:link w:val="Header"/>
    <w:rsid w:val="00FD5D50"/>
    <w:rPr>
      <w:rFonts w:ascii="Times New Roman" w:eastAsia="Times New Roman" w:hAnsi="Times New Roman" w:cs="Times New Roman"/>
      <w:sz w:val="24"/>
      <w:szCs w:val="24"/>
      <w:lang w:eastAsia="lv-LV"/>
    </w:rPr>
  </w:style>
  <w:style w:type="character" w:styleId="PageNumber">
    <w:name w:val="page number"/>
    <w:basedOn w:val="DefaultParagraphFont"/>
    <w:rsid w:val="00FD5D50"/>
  </w:style>
  <w:style w:type="paragraph" w:customStyle="1" w:styleId="naisf">
    <w:name w:val="naisf"/>
    <w:basedOn w:val="Normal"/>
    <w:rsid w:val="00FD5D50"/>
    <w:pPr>
      <w:spacing w:before="75" w:after="75"/>
      <w:ind w:firstLine="375"/>
      <w:jc w:val="both"/>
    </w:pPr>
  </w:style>
  <w:style w:type="paragraph" w:customStyle="1" w:styleId="naisnod">
    <w:name w:val="naisnod"/>
    <w:basedOn w:val="Normal"/>
    <w:rsid w:val="00FD5D50"/>
    <w:pPr>
      <w:spacing w:before="150" w:after="150"/>
      <w:jc w:val="center"/>
    </w:pPr>
    <w:rPr>
      <w:b/>
      <w:bCs/>
    </w:rPr>
  </w:style>
  <w:style w:type="paragraph" w:customStyle="1" w:styleId="naiskr">
    <w:name w:val="naiskr"/>
    <w:basedOn w:val="Normal"/>
    <w:rsid w:val="00FD5D50"/>
    <w:pPr>
      <w:spacing w:before="75" w:after="75"/>
    </w:pPr>
  </w:style>
  <w:style w:type="paragraph" w:styleId="FootnoteText">
    <w:name w:val="footnote text"/>
    <w:basedOn w:val="Normal"/>
    <w:link w:val="FootnoteTextChar"/>
    <w:semiHidden/>
    <w:rsid w:val="00FD5D50"/>
    <w:rPr>
      <w:sz w:val="20"/>
      <w:szCs w:val="20"/>
    </w:rPr>
  </w:style>
  <w:style w:type="character" w:customStyle="1" w:styleId="FootnoteTextChar">
    <w:name w:val="Footnote Text Char"/>
    <w:basedOn w:val="DefaultParagraphFont"/>
    <w:link w:val="FootnoteText"/>
    <w:semiHidden/>
    <w:rsid w:val="00FD5D5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D5D50"/>
    <w:pPr>
      <w:tabs>
        <w:tab w:val="center" w:pos="4153"/>
        <w:tab w:val="right" w:pos="8306"/>
      </w:tabs>
    </w:pPr>
  </w:style>
  <w:style w:type="character" w:customStyle="1" w:styleId="FooterChar">
    <w:name w:val="Footer Char"/>
    <w:basedOn w:val="DefaultParagraphFont"/>
    <w:link w:val="Footer"/>
    <w:uiPriority w:val="99"/>
    <w:rsid w:val="00FD5D50"/>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FD5D50"/>
    <w:pPr>
      <w:spacing w:before="100" w:beforeAutospacing="1" w:after="100" w:afterAutospacing="1"/>
    </w:pPr>
    <w:rPr>
      <w:color w:val="000000"/>
    </w:rPr>
  </w:style>
  <w:style w:type="paragraph" w:styleId="BodyTextIndent2">
    <w:name w:val="Body Text Indent 2"/>
    <w:basedOn w:val="Normal"/>
    <w:link w:val="BodyTextIndent2Char"/>
    <w:rsid w:val="00FD5D5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FD5D5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FD5D50"/>
    <w:pPr>
      <w:spacing w:after="120"/>
      <w:ind w:left="283"/>
    </w:pPr>
  </w:style>
  <w:style w:type="character" w:customStyle="1" w:styleId="BodyTextIndentChar">
    <w:name w:val="Body Text Indent Char"/>
    <w:basedOn w:val="DefaultParagraphFont"/>
    <w:link w:val="BodyTextIndent"/>
    <w:rsid w:val="00FD5D50"/>
    <w:rPr>
      <w:rFonts w:ascii="Times New Roman" w:eastAsia="Times New Roman" w:hAnsi="Times New Roman" w:cs="Times New Roman"/>
      <w:sz w:val="24"/>
      <w:szCs w:val="24"/>
      <w:lang w:eastAsia="lv-LV"/>
    </w:rPr>
  </w:style>
  <w:style w:type="paragraph" w:styleId="Title">
    <w:name w:val="Title"/>
    <w:basedOn w:val="Normal"/>
    <w:link w:val="TitleChar"/>
    <w:qFormat/>
    <w:rsid w:val="00FD5D50"/>
    <w:pPr>
      <w:jc w:val="center"/>
    </w:pPr>
    <w:rPr>
      <w:b/>
      <w:sz w:val="28"/>
      <w:szCs w:val="20"/>
    </w:rPr>
  </w:style>
  <w:style w:type="character" w:customStyle="1" w:styleId="TitleChar">
    <w:name w:val="Title Char"/>
    <w:basedOn w:val="DefaultParagraphFont"/>
    <w:link w:val="Title"/>
    <w:rsid w:val="00FD5D5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FD5D50"/>
    <w:pPr>
      <w:spacing w:after="120"/>
    </w:pPr>
    <w:rPr>
      <w:sz w:val="16"/>
      <w:szCs w:val="16"/>
      <w:lang w:val="en-AU"/>
    </w:rPr>
  </w:style>
  <w:style w:type="character" w:customStyle="1" w:styleId="BodyText3Char">
    <w:name w:val="Body Text 3 Char"/>
    <w:basedOn w:val="DefaultParagraphFont"/>
    <w:link w:val="BodyText3"/>
    <w:rsid w:val="00FD5D50"/>
    <w:rPr>
      <w:rFonts w:ascii="Times New Roman" w:eastAsia="Times New Roman" w:hAnsi="Times New Roman" w:cs="Times New Roman"/>
      <w:sz w:val="16"/>
      <w:szCs w:val="16"/>
      <w:lang w:val="en-AU" w:eastAsia="lv-LV"/>
    </w:rPr>
  </w:style>
  <w:style w:type="character" w:styleId="CommentReference">
    <w:name w:val="annotation reference"/>
    <w:basedOn w:val="DefaultParagraphFont"/>
    <w:uiPriority w:val="99"/>
    <w:semiHidden/>
    <w:unhideWhenUsed/>
    <w:rsid w:val="005A715C"/>
    <w:rPr>
      <w:sz w:val="16"/>
      <w:szCs w:val="16"/>
    </w:rPr>
  </w:style>
  <w:style w:type="paragraph" w:styleId="CommentText">
    <w:name w:val="annotation text"/>
    <w:basedOn w:val="Normal"/>
    <w:link w:val="CommentTextChar"/>
    <w:uiPriority w:val="99"/>
    <w:semiHidden/>
    <w:unhideWhenUsed/>
    <w:rsid w:val="005A715C"/>
    <w:rPr>
      <w:sz w:val="20"/>
      <w:szCs w:val="20"/>
    </w:rPr>
  </w:style>
  <w:style w:type="character" w:customStyle="1" w:styleId="CommentTextChar">
    <w:name w:val="Comment Text Char"/>
    <w:basedOn w:val="DefaultParagraphFont"/>
    <w:link w:val="CommentText"/>
    <w:uiPriority w:val="99"/>
    <w:semiHidden/>
    <w:rsid w:val="005A71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715C"/>
    <w:rPr>
      <w:b/>
      <w:bCs/>
    </w:rPr>
  </w:style>
  <w:style w:type="character" w:customStyle="1" w:styleId="CommentSubjectChar">
    <w:name w:val="Comment Subject Char"/>
    <w:basedOn w:val="CommentTextChar"/>
    <w:link w:val="CommentSubject"/>
    <w:uiPriority w:val="99"/>
    <w:semiHidden/>
    <w:rsid w:val="005A71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A715C"/>
    <w:rPr>
      <w:rFonts w:ascii="Tahoma" w:hAnsi="Tahoma" w:cs="Tahoma"/>
      <w:sz w:val="16"/>
      <w:szCs w:val="16"/>
    </w:rPr>
  </w:style>
  <w:style w:type="character" w:customStyle="1" w:styleId="BalloonTextChar">
    <w:name w:val="Balloon Text Char"/>
    <w:basedOn w:val="DefaultParagraphFont"/>
    <w:link w:val="BalloonText"/>
    <w:uiPriority w:val="99"/>
    <w:semiHidden/>
    <w:rsid w:val="005A715C"/>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143685"/>
    <w:pPr>
      <w:spacing w:after="120"/>
    </w:pPr>
  </w:style>
  <w:style w:type="character" w:customStyle="1" w:styleId="BodyTextChar">
    <w:name w:val="Body Text Char"/>
    <w:basedOn w:val="DefaultParagraphFont"/>
    <w:link w:val="BodyText"/>
    <w:uiPriority w:val="99"/>
    <w:semiHidden/>
    <w:rsid w:val="00143685"/>
    <w:rPr>
      <w:rFonts w:ascii="Times New Roman" w:eastAsia="Times New Roman" w:hAnsi="Times New Roman" w:cs="Times New Roman"/>
      <w:sz w:val="24"/>
      <w:szCs w:val="24"/>
      <w:lang w:eastAsia="lv-LV"/>
    </w:rPr>
  </w:style>
  <w:style w:type="paragraph" w:customStyle="1" w:styleId="tv213">
    <w:name w:val="tv213"/>
    <w:basedOn w:val="Normal"/>
    <w:rsid w:val="00AF3787"/>
    <w:pPr>
      <w:spacing w:before="100" w:beforeAutospacing="1" w:after="100" w:afterAutospacing="1"/>
    </w:pPr>
  </w:style>
  <w:style w:type="character" w:customStyle="1" w:styleId="FontStyle15">
    <w:name w:val="Font Style15"/>
    <w:rsid w:val="002B5C43"/>
    <w:rPr>
      <w:rFonts w:ascii="Times New Roman" w:hAnsi="Times New Roman"/>
      <w:sz w:val="22"/>
    </w:rPr>
  </w:style>
  <w:style w:type="paragraph" w:customStyle="1" w:styleId="tvhtml">
    <w:name w:val="tv_html"/>
    <w:basedOn w:val="Normal"/>
    <w:rsid w:val="00CD58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0005">
      <w:bodyDiv w:val="1"/>
      <w:marLeft w:val="0"/>
      <w:marRight w:val="0"/>
      <w:marTop w:val="0"/>
      <w:marBottom w:val="0"/>
      <w:divBdr>
        <w:top w:val="none" w:sz="0" w:space="0" w:color="auto"/>
        <w:left w:val="none" w:sz="0" w:space="0" w:color="auto"/>
        <w:bottom w:val="none" w:sz="0" w:space="0" w:color="auto"/>
        <w:right w:val="none" w:sz="0" w:space="0" w:color="auto"/>
      </w:divBdr>
    </w:div>
    <w:div w:id="1249921707">
      <w:bodyDiv w:val="1"/>
      <w:marLeft w:val="0"/>
      <w:marRight w:val="0"/>
      <w:marTop w:val="0"/>
      <w:marBottom w:val="0"/>
      <w:divBdr>
        <w:top w:val="none" w:sz="0" w:space="0" w:color="auto"/>
        <w:left w:val="none" w:sz="0" w:space="0" w:color="auto"/>
        <w:bottom w:val="none" w:sz="0" w:space="0" w:color="auto"/>
        <w:right w:val="none" w:sz="0" w:space="0" w:color="auto"/>
      </w:divBdr>
    </w:div>
    <w:div w:id="1363894214">
      <w:bodyDiv w:val="1"/>
      <w:marLeft w:val="0"/>
      <w:marRight w:val="0"/>
      <w:marTop w:val="0"/>
      <w:marBottom w:val="0"/>
      <w:divBdr>
        <w:top w:val="none" w:sz="0" w:space="0" w:color="auto"/>
        <w:left w:val="none" w:sz="0" w:space="0" w:color="auto"/>
        <w:bottom w:val="none" w:sz="0" w:space="0" w:color="auto"/>
        <w:right w:val="none" w:sz="0" w:space="0" w:color="auto"/>
      </w:divBdr>
    </w:div>
    <w:div w:id="15428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5643</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24</cp:revision>
  <cp:lastPrinted>2014-10-17T11:55:00Z</cp:lastPrinted>
  <dcterms:created xsi:type="dcterms:W3CDTF">2014-09-26T05:38:00Z</dcterms:created>
  <dcterms:modified xsi:type="dcterms:W3CDTF">2014-12-01T07:49:00Z</dcterms:modified>
</cp:coreProperties>
</file>