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5E0829" w:rsidRDefault="002C4EE1" w:rsidP="00FA0113">
      <w:pPr>
        <w:tabs>
          <w:tab w:val="left" w:pos="2552"/>
        </w:tabs>
        <w:spacing w:after="0" w:line="240" w:lineRule="auto"/>
        <w:rPr>
          <w:rFonts w:ascii="Times New Roman" w:hAnsi="Times New Roman" w:cs="Times New Roman"/>
          <w:sz w:val="24"/>
          <w:szCs w:val="24"/>
        </w:rPr>
      </w:pPr>
      <w:r w:rsidRPr="005E0829">
        <w:rPr>
          <w:rFonts w:ascii="Times New Roman" w:hAnsi="Times New Roman" w:cs="Times New Roman"/>
          <w:sz w:val="24"/>
          <w:szCs w:val="24"/>
        </w:rPr>
        <w:t>201</w:t>
      </w:r>
      <w:r w:rsidR="001D1DF4" w:rsidRPr="005E0829">
        <w:rPr>
          <w:rFonts w:ascii="Times New Roman" w:hAnsi="Times New Roman" w:cs="Times New Roman"/>
          <w:sz w:val="24"/>
          <w:szCs w:val="24"/>
        </w:rPr>
        <w:t>4</w:t>
      </w:r>
      <w:r w:rsidRPr="005E0829">
        <w:rPr>
          <w:rFonts w:ascii="Times New Roman" w:hAnsi="Times New Roman" w:cs="Times New Roman"/>
          <w:sz w:val="24"/>
          <w:szCs w:val="24"/>
        </w:rPr>
        <w:t>.gada ___.______</w:t>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2C5874" w:rsidRPr="005E0829">
        <w:rPr>
          <w:rFonts w:ascii="Times New Roman" w:hAnsi="Times New Roman" w:cs="Times New Roman"/>
          <w:sz w:val="24"/>
          <w:szCs w:val="24"/>
        </w:rPr>
        <w:t>Noteikumi</w:t>
      </w:r>
      <w:r w:rsidRPr="005E0829">
        <w:rPr>
          <w:rFonts w:ascii="Times New Roman" w:hAnsi="Times New Roman" w:cs="Times New Roman"/>
          <w:sz w:val="24"/>
          <w:szCs w:val="24"/>
        </w:rPr>
        <w:t xml:space="preserve"> </w:t>
      </w:r>
      <w:proofErr w:type="spellStart"/>
      <w:r w:rsidRPr="005E0829">
        <w:rPr>
          <w:rFonts w:ascii="Times New Roman" w:hAnsi="Times New Roman" w:cs="Times New Roman"/>
          <w:sz w:val="24"/>
          <w:szCs w:val="24"/>
        </w:rPr>
        <w:t>Nr</w:t>
      </w:r>
      <w:proofErr w:type="spellEnd"/>
      <w:r w:rsidRPr="005E0829">
        <w:rPr>
          <w:rFonts w:ascii="Times New Roman" w:hAnsi="Times New Roman" w:cs="Times New Roman"/>
          <w:sz w:val="24"/>
          <w:szCs w:val="24"/>
        </w:rPr>
        <w:t>.</w:t>
      </w:r>
    </w:p>
    <w:p w:rsidR="00955A84" w:rsidRPr="005E0829" w:rsidRDefault="002C5874" w:rsidP="00FA0113">
      <w:pPr>
        <w:spacing w:after="0" w:line="240" w:lineRule="auto"/>
        <w:rPr>
          <w:rFonts w:ascii="Times New Roman" w:hAnsi="Times New Roman" w:cs="Times New Roman"/>
          <w:sz w:val="24"/>
          <w:szCs w:val="24"/>
        </w:rPr>
      </w:pPr>
      <w:r w:rsidRPr="005E0829">
        <w:rPr>
          <w:rFonts w:ascii="Times New Roman" w:hAnsi="Times New Roman" w:cs="Times New Roman"/>
          <w:sz w:val="24"/>
          <w:szCs w:val="24"/>
        </w:rPr>
        <w:t>Rīgā</w:t>
      </w:r>
      <w:r w:rsidRPr="005E0829">
        <w:rPr>
          <w:rFonts w:ascii="Times New Roman" w:hAnsi="Times New Roman" w:cs="Times New Roman"/>
          <w:sz w:val="24"/>
          <w:szCs w:val="24"/>
        </w:rPr>
        <w:tab/>
      </w:r>
      <w:r w:rsidRPr="005E0829">
        <w:rPr>
          <w:rFonts w:ascii="Times New Roman" w:hAnsi="Times New Roman" w:cs="Times New Roman"/>
          <w:sz w:val="24"/>
          <w:szCs w:val="24"/>
        </w:rPr>
        <w:tab/>
      </w:r>
      <w:r w:rsidRPr="005E0829">
        <w:rPr>
          <w:rFonts w:ascii="Times New Roman" w:hAnsi="Times New Roman" w:cs="Times New Roman"/>
          <w:sz w:val="24"/>
          <w:szCs w:val="24"/>
        </w:rPr>
        <w:tab/>
      </w:r>
      <w:r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6E1245" w:rsidRPr="005E0829">
        <w:rPr>
          <w:rFonts w:ascii="Times New Roman" w:hAnsi="Times New Roman" w:cs="Times New Roman"/>
          <w:sz w:val="24"/>
          <w:szCs w:val="24"/>
        </w:rPr>
        <w:tab/>
      </w:r>
      <w:r w:rsidR="002C4EE1" w:rsidRPr="005E0829">
        <w:rPr>
          <w:rFonts w:ascii="Times New Roman" w:hAnsi="Times New Roman" w:cs="Times New Roman"/>
          <w:sz w:val="24"/>
          <w:szCs w:val="24"/>
        </w:rPr>
        <w:t>(</w:t>
      </w:r>
      <w:proofErr w:type="spellStart"/>
      <w:r w:rsidR="002C4EE1" w:rsidRPr="005E0829">
        <w:rPr>
          <w:rFonts w:ascii="Times New Roman" w:hAnsi="Times New Roman" w:cs="Times New Roman"/>
          <w:sz w:val="24"/>
          <w:szCs w:val="24"/>
        </w:rPr>
        <w:t>prot</w:t>
      </w:r>
      <w:proofErr w:type="spellEnd"/>
      <w:r w:rsidR="002C4EE1" w:rsidRPr="005E0829">
        <w:rPr>
          <w:rFonts w:ascii="Times New Roman" w:hAnsi="Times New Roman" w:cs="Times New Roman"/>
          <w:sz w:val="24"/>
          <w:szCs w:val="24"/>
        </w:rPr>
        <w:t xml:space="preserve">. </w:t>
      </w:r>
      <w:proofErr w:type="spellStart"/>
      <w:r w:rsidR="002C4EE1" w:rsidRPr="005E0829">
        <w:rPr>
          <w:rFonts w:ascii="Times New Roman" w:hAnsi="Times New Roman" w:cs="Times New Roman"/>
          <w:sz w:val="24"/>
          <w:szCs w:val="24"/>
        </w:rPr>
        <w:t>Nr</w:t>
      </w:r>
      <w:proofErr w:type="spellEnd"/>
      <w:r w:rsidR="002C4EE1" w:rsidRPr="005E0829">
        <w:rPr>
          <w:rFonts w:ascii="Times New Roman" w:hAnsi="Times New Roman" w:cs="Times New Roman"/>
          <w:sz w:val="24"/>
          <w:szCs w:val="24"/>
        </w:rPr>
        <w:t>.</w:t>
      </w:r>
      <w:r w:rsidRPr="005E0829">
        <w:rPr>
          <w:rFonts w:ascii="Times New Roman" w:hAnsi="Times New Roman" w:cs="Times New Roman"/>
          <w:sz w:val="24"/>
          <w:szCs w:val="24"/>
        </w:rPr>
        <w:t xml:space="preserve"> _______  </w:t>
      </w:r>
      <w:r w:rsidR="002C4EE1" w:rsidRPr="005E0829">
        <w:rPr>
          <w:rFonts w:ascii="Times New Roman" w:hAnsi="Times New Roman" w:cs="Times New Roman"/>
          <w:sz w:val="24"/>
          <w:szCs w:val="24"/>
        </w:rPr>
        <w:t>.§)</w:t>
      </w:r>
    </w:p>
    <w:p w:rsidR="006E1245" w:rsidRPr="005E0829" w:rsidRDefault="006E1245" w:rsidP="00FA0113">
      <w:pPr>
        <w:spacing w:after="0" w:line="240" w:lineRule="auto"/>
        <w:rPr>
          <w:rFonts w:ascii="Times New Roman" w:hAnsi="Times New Roman" w:cs="Times New Roman"/>
          <w:sz w:val="16"/>
          <w:szCs w:val="16"/>
        </w:rPr>
      </w:pPr>
    </w:p>
    <w:p w:rsidR="009C2B23" w:rsidRPr="005E0829" w:rsidRDefault="002E2EBD" w:rsidP="00C35BCF">
      <w:pPr>
        <w:spacing w:after="0" w:line="240" w:lineRule="auto"/>
        <w:jc w:val="center"/>
        <w:rPr>
          <w:rFonts w:ascii="Times New Roman" w:eastAsia="Times New Roman" w:hAnsi="Times New Roman" w:cs="Times New Roman"/>
          <w:b/>
          <w:bCs/>
          <w:sz w:val="24"/>
          <w:szCs w:val="24"/>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5E0829">
        <w:rPr>
          <w:rFonts w:ascii="Times New Roman" w:hAnsi="Times New Roman" w:cs="Times New Roman"/>
          <w:b/>
          <w:bCs/>
          <w:sz w:val="24"/>
          <w:szCs w:val="24"/>
        </w:rPr>
        <w:t>Grozījum</w:t>
      </w:r>
      <w:r w:rsidR="0034387D" w:rsidRPr="005E0829">
        <w:rPr>
          <w:rFonts w:ascii="Times New Roman" w:hAnsi="Times New Roman" w:cs="Times New Roman"/>
          <w:b/>
          <w:bCs/>
          <w:sz w:val="24"/>
          <w:szCs w:val="24"/>
        </w:rPr>
        <w:t>i</w:t>
      </w:r>
      <w:r w:rsidR="001D1DF4" w:rsidRPr="005E0829">
        <w:rPr>
          <w:rFonts w:ascii="Times New Roman" w:hAnsi="Times New Roman" w:cs="Times New Roman"/>
          <w:b/>
          <w:bCs/>
          <w:sz w:val="24"/>
          <w:szCs w:val="24"/>
        </w:rPr>
        <w:t xml:space="preserve"> Ministru kabineta 2011.gada 11</w:t>
      </w:r>
      <w:r w:rsidRPr="005E0829">
        <w:rPr>
          <w:rFonts w:ascii="Times New Roman" w:hAnsi="Times New Roman" w:cs="Times New Roman"/>
          <w:b/>
          <w:bCs/>
          <w:sz w:val="24"/>
          <w:szCs w:val="24"/>
        </w:rPr>
        <w:t>.</w:t>
      </w:r>
      <w:r w:rsidR="001D1DF4" w:rsidRPr="005E0829">
        <w:rPr>
          <w:rFonts w:ascii="Times New Roman" w:hAnsi="Times New Roman" w:cs="Times New Roman"/>
          <w:b/>
          <w:bCs/>
          <w:sz w:val="24"/>
          <w:szCs w:val="24"/>
        </w:rPr>
        <w:t>oktobra</w:t>
      </w:r>
      <w:r w:rsidRPr="005E0829">
        <w:rPr>
          <w:rFonts w:ascii="Times New Roman" w:hAnsi="Times New Roman" w:cs="Times New Roman"/>
          <w:b/>
          <w:bCs/>
          <w:sz w:val="24"/>
          <w:szCs w:val="24"/>
        </w:rPr>
        <w:t xml:space="preserve"> noteikumos Nr.</w:t>
      </w:r>
      <w:r w:rsidR="001D1DF4" w:rsidRPr="005E0829">
        <w:rPr>
          <w:rFonts w:ascii="Times New Roman" w:hAnsi="Times New Roman" w:cs="Times New Roman"/>
          <w:b/>
          <w:bCs/>
          <w:sz w:val="24"/>
          <w:szCs w:val="24"/>
        </w:rPr>
        <w:t>788</w:t>
      </w:r>
      <w:r w:rsidRPr="005E0829">
        <w:rPr>
          <w:rFonts w:ascii="Times New Roman" w:hAnsi="Times New Roman" w:cs="Times New Roman"/>
          <w:b/>
          <w:bCs/>
          <w:sz w:val="24"/>
          <w:szCs w:val="24"/>
        </w:rPr>
        <w:t xml:space="preserve"> </w:t>
      </w:r>
      <w:r w:rsidRPr="005E0829">
        <w:rPr>
          <w:rFonts w:ascii="Times New Roman" w:hAnsi="Times New Roman" w:cs="Times New Roman"/>
          <w:b/>
          <w:sz w:val="24"/>
          <w:szCs w:val="24"/>
        </w:rPr>
        <w:t>„</w:t>
      </w:r>
      <w:r w:rsidR="001D1DF4" w:rsidRPr="005E0829">
        <w:rPr>
          <w:rFonts w:ascii="Times New Roman" w:hAnsi="Times New Roman" w:cs="Times New Roman"/>
          <w:b/>
          <w:sz w:val="24"/>
          <w:szCs w:val="24"/>
        </w:rPr>
        <w:t>Noteikumi par darbības programmas „Uzņēmējdarbība un inovācijas” papildinājuma 2.3.2.3.aktivitāti „Klasteru programma</w:t>
      </w:r>
      <w:r w:rsidRPr="005E0829">
        <w:rPr>
          <w:rFonts w:ascii="Times New Roman" w:hAnsi="Times New Roman" w:cs="Times New Roman"/>
          <w:b/>
          <w:sz w:val="24"/>
          <w:szCs w:val="24"/>
        </w:rPr>
        <w:t>””</w:t>
      </w:r>
      <w:bookmarkEnd w:id="0"/>
      <w:bookmarkEnd w:id="1"/>
    </w:p>
    <w:bookmarkEnd w:id="2"/>
    <w:bookmarkEnd w:id="3"/>
    <w:bookmarkEnd w:id="4"/>
    <w:bookmarkEnd w:id="5"/>
    <w:bookmarkEnd w:id="6"/>
    <w:bookmarkEnd w:id="7"/>
    <w:p w:rsidR="00696D88" w:rsidRPr="005E0829" w:rsidRDefault="00B27E32" w:rsidP="000D1263">
      <w:pPr>
        <w:pStyle w:val="naislab"/>
        <w:spacing w:before="0" w:after="0"/>
        <w:ind w:left="4395" w:firstLine="1417"/>
        <w:rPr>
          <w:iCs/>
        </w:rPr>
      </w:pPr>
      <w:r w:rsidRPr="005E0829">
        <w:rPr>
          <w:iCs/>
        </w:rPr>
        <w:t>Izdoti saskaņā ar</w:t>
      </w:r>
      <w:r w:rsidR="000D1263" w:rsidRPr="005E0829">
        <w:rPr>
          <w:iCs/>
        </w:rPr>
        <w:t xml:space="preserve"> </w:t>
      </w:r>
      <w:r w:rsidR="001C6235" w:rsidRPr="005E0829">
        <w:rPr>
          <w:iCs/>
        </w:rPr>
        <w:t>Eiropas Savienības struktūrfondu un Kohēzijas fonda vadības likuma 18.panta 10.punktu</w:t>
      </w:r>
    </w:p>
    <w:p w:rsidR="00521FA2" w:rsidRPr="004B4BF8" w:rsidRDefault="00521FA2" w:rsidP="000D1263">
      <w:pPr>
        <w:pStyle w:val="naislab"/>
        <w:spacing w:before="0" w:after="0"/>
        <w:ind w:left="4395" w:firstLine="1417"/>
        <w:rPr>
          <w:iCs/>
          <w:sz w:val="16"/>
          <w:szCs w:val="16"/>
        </w:rPr>
      </w:pPr>
    </w:p>
    <w:p w:rsidR="00824D2E" w:rsidRPr="005E0829" w:rsidRDefault="002401B3"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ab/>
      </w:r>
      <w:r w:rsidR="00D51E6F" w:rsidRPr="005E0829">
        <w:rPr>
          <w:rFonts w:ascii="Times New Roman" w:hAnsi="Times New Roman" w:cs="Times New Roman"/>
          <w:sz w:val="24"/>
          <w:szCs w:val="24"/>
        </w:rPr>
        <w:t xml:space="preserve">Izdarīt </w:t>
      </w:r>
      <w:r w:rsidR="00BD5835" w:rsidRPr="005E0829">
        <w:rPr>
          <w:rFonts w:ascii="Times New Roman" w:hAnsi="Times New Roman" w:cs="Times New Roman"/>
          <w:sz w:val="24"/>
          <w:szCs w:val="24"/>
        </w:rPr>
        <w:t xml:space="preserve">Ministru kabineta </w:t>
      </w:r>
      <w:r w:rsidR="001D1DF4" w:rsidRPr="005E0829">
        <w:rPr>
          <w:rFonts w:ascii="Times New Roman" w:hAnsi="Times New Roman" w:cs="Times New Roman"/>
          <w:bCs/>
          <w:sz w:val="24"/>
          <w:szCs w:val="24"/>
        </w:rPr>
        <w:t>2011.gada 11</w:t>
      </w:r>
      <w:r w:rsidR="002E2EBD" w:rsidRPr="005E0829">
        <w:rPr>
          <w:rFonts w:ascii="Times New Roman" w:hAnsi="Times New Roman" w:cs="Times New Roman"/>
          <w:bCs/>
          <w:sz w:val="24"/>
          <w:szCs w:val="24"/>
        </w:rPr>
        <w:t>.</w:t>
      </w:r>
      <w:r w:rsidR="001D1DF4" w:rsidRPr="005E0829">
        <w:rPr>
          <w:rFonts w:ascii="Times New Roman" w:hAnsi="Times New Roman" w:cs="Times New Roman"/>
          <w:bCs/>
          <w:sz w:val="24"/>
          <w:szCs w:val="24"/>
        </w:rPr>
        <w:t>oktobra</w:t>
      </w:r>
      <w:r w:rsidR="002E2EBD" w:rsidRPr="005E0829">
        <w:rPr>
          <w:rFonts w:ascii="Times New Roman" w:hAnsi="Times New Roman" w:cs="Times New Roman"/>
          <w:bCs/>
          <w:sz w:val="24"/>
          <w:szCs w:val="24"/>
        </w:rPr>
        <w:t xml:space="preserve"> noteikumos Nr.</w:t>
      </w:r>
      <w:r w:rsidR="001D1DF4" w:rsidRPr="005E0829">
        <w:rPr>
          <w:rFonts w:ascii="Times New Roman" w:hAnsi="Times New Roman" w:cs="Times New Roman"/>
          <w:bCs/>
          <w:sz w:val="24"/>
          <w:szCs w:val="24"/>
        </w:rPr>
        <w:t>788</w:t>
      </w:r>
      <w:r w:rsidR="002E2EBD" w:rsidRPr="005E0829">
        <w:rPr>
          <w:rFonts w:ascii="Times New Roman" w:hAnsi="Times New Roman" w:cs="Times New Roman"/>
          <w:bCs/>
          <w:sz w:val="24"/>
          <w:szCs w:val="24"/>
        </w:rPr>
        <w:t xml:space="preserve"> </w:t>
      </w:r>
      <w:r w:rsidR="002E2EBD" w:rsidRPr="005E0829">
        <w:rPr>
          <w:rFonts w:ascii="Times New Roman" w:hAnsi="Times New Roman" w:cs="Times New Roman"/>
          <w:sz w:val="24"/>
          <w:szCs w:val="24"/>
        </w:rPr>
        <w:t>„</w:t>
      </w:r>
      <w:r w:rsidR="001D1DF4" w:rsidRPr="005E0829">
        <w:rPr>
          <w:rFonts w:ascii="Times New Roman" w:hAnsi="Times New Roman" w:cs="Times New Roman"/>
          <w:sz w:val="24"/>
          <w:szCs w:val="24"/>
        </w:rPr>
        <w:t>Noteikumi par darbības programmas „Uzņēmējdarbība un inovācijas” papildinājuma 2.3.2.3.aktivitāti „Klasteru programma”</w:t>
      </w:r>
      <w:r w:rsidR="002E2EBD" w:rsidRPr="005E0829">
        <w:rPr>
          <w:rFonts w:ascii="Times New Roman" w:hAnsi="Times New Roman" w:cs="Times New Roman"/>
          <w:sz w:val="24"/>
          <w:szCs w:val="24"/>
        </w:rPr>
        <w:t>”</w:t>
      </w:r>
      <w:r w:rsidR="001D65F4" w:rsidRPr="005E0829">
        <w:rPr>
          <w:rFonts w:ascii="Times New Roman" w:hAnsi="Times New Roman" w:cs="Times New Roman"/>
          <w:sz w:val="24"/>
          <w:szCs w:val="24"/>
        </w:rPr>
        <w:t xml:space="preserve"> </w:t>
      </w:r>
      <w:r w:rsidR="001A2F24" w:rsidRPr="005E0829">
        <w:rPr>
          <w:rFonts w:ascii="Times New Roman" w:hAnsi="Times New Roman" w:cs="Times New Roman"/>
          <w:sz w:val="24"/>
          <w:szCs w:val="24"/>
        </w:rPr>
        <w:t>(</w:t>
      </w:r>
      <w:r w:rsidR="00B4150B" w:rsidRPr="005E0829">
        <w:rPr>
          <w:rFonts w:ascii="Times New Roman" w:hAnsi="Times New Roman" w:cs="Times New Roman"/>
          <w:sz w:val="24"/>
          <w:szCs w:val="24"/>
        </w:rPr>
        <w:t xml:space="preserve">Latvijas </w:t>
      </w:r>
      <w:r w:rsidR="00A553CE" w:rsidRPr="005E0829">
        <w:rPr>
          <w:rFonts w:ascii="Times New Roman" w:hAnsi="Times New Roman" w:cs="Times New Roman"/>
          <w:sz w:val="24"/>
          <w:szCs w:val="24"/>
        </w:rPr>
        <w:t xml:space="preserve">Vēstnesis, </w:t>
      </w:r>
      <w:r w:rsidR="001D1DF4" w:rsidRPr="005E0829">
        <w:rPr>
          <w:rFonts w:ascii="Times New Roman" w:hAnsi="Times New Roman" w:cs="Times New Roman"/>
          <w:sz w:val="24"/>
          <w:szCs w:val="24"/>
        </w:rPr>
        <w:t>2011</w:t>
      </w:r>
      <w:r w:rsidR="002E2EBD" w:rsidRPr="005E0829">
        <w:rPr>
          <w:rFonts w:ascii="Times New Roman" w:hAnsi="Times New Roman" w:cs="Times New Roman"/>
          <w:sz w:val="24"/>
          <w:szCs w:val="24"/>
        </w:rPr>
        <w:t>,</w:t>
      </w:r>
      <w:r w:rsidR="00E112F4" w:rsidRPr="005E0829">
        <w:rPr>
          <w:rFonts w:ascii="Times New Roman" w:hAnsi="Times New Roman" w:cs="Times New Roman"/>
          <w:sz w:val="24"/>
          <w:szCs w:val="24"/>
        </w:rPr>
        <w:t xml:space="preserve"> </w:t>
      </w:r>
      <w:r w:rsidR="00DA17CF" w:rsidRPr="005E0829">
        <w:rPr>
          <w:rFonts w:ascii="Times New Roman" w:hAnsi="Times New Roman" w:cs="Times New Roman"/>
          <w:sz w:val="24"/>
          <w:szCs w:val="24"/>
        </w:rPr>
        <w:t>1</w:t>
      </w:r>
      <w:r w:rsidR="00F41DD6" w:rsidRPr="005E0829">
        <w:rPr>
          <w:rFonts w:ascii="Times New Roman" w:hAnsi="Times New Roman" w:cs="Times New Roman"/>
          <w:sz w:val="24"/>
          <w:szCs w:val="24"/>
        </w:rPr>
        <w:t>7</w:t>
      </w:r>
      <w:r w:rsidR="009719E2" w:rsidRPr="005E0829">
        <w:rPr>
          <w:rFonts w:ascii="Times New Roman" w:hAnsi="Times New Roman" w:cs="Times New Roman"/>
          <w:sz w:val="24"/>
          <w:szCs w:val="24"/>
        </w:rPr>
        <w:t>0</w:t>
      </w:r>
      <w:r w:rsidR="00E112F4" w:rsidRPr="005E0829">
        <w:rPr>
          <w:rFonts w:ascii="Times New Roman" w:hAnsi="Times New Roman" w:cs="Times New Roman"/>
          <w:sz w:val="24"/>
          <w:szCs w:val="24"/>
        </w:rPr>
        <w:t>.nr</w:t>
      </w:r>
      <w:r w:rsidR="00E67ED1" w:rsidRPr="005E0829">
        <w:rPr>
          <w:rFonts w:ascii="Times New Roman" w:hAnsi="Times New Roman" w:cs="Times New Roman"/>
          <w:sz w:val="24"/>
          <w:szCs w:val="24"/>
        </w:rPr>
        <w:t>.</w:t>
      </w:r>
      <w:r w:rsidR="0038267B" w:rsidRPr="005E0829">
        <w:rPr>
          <w:rFonts w:ascii="Times New Roman" w:hAnsi="Times New Roman" w:cs="Times New Roman"/>
          <w:sz w:val="24"/>
          <w:szCs w:val="24"/>
        </w:rPr>
        <w:t>)</w:t>
      </w:r>
      <w:r w:rsidR="00D51E6F" w:rsidRPr="005E0829">
        <w:rPr>
          <w:rFonts w:ascii="Times New Roman" w:hAnsi="Times New Roman" w:cs="Times New Roman"/>
          <w:sz w:val="24"/>
          <w:szCs w:val="24"/>
        </w:rPr>
        <w:t xml:space="preserve"> šādus grozījumus</w:t>
      </w:r>
      <w:r w:rsidR="008E4431" w:rsidRPr="005E0829">
        <w:rPr>
          <w:rFonts w:ascii="Times New Roman" w:hAnsi="Times New Roman" w:cs="Times New Roman"/>
          <w:sz w:val="24"/>
          <w:szCs w:val="24"/>
        </w:rPr>
        <w:t>:</w:t>
      </w:r>
    </w:p>
    <w:p w:rsidR="008E4431" w:rsidRPr="005E0829" w:rsidRDefault="00F41DD6"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6</w:t>
      </w:r>
      <w:r w:rsidR="008E4431" w:rsidRPr="005E0829">
        <w:rPr>
          <w:rFonts w:ascii="Times New Roman" w:hAnsi="Times New Roman" w:cs="Times New Roman"/>
          <w:sz w:val="24"/>
          <w:szCs w:val="24"/>
        </w:rPr>
        <w:t>.punktu šādā redakcijā:</w:t>
      </w:r>
    </w:p>
    <w:p w:rsidR="00F41DD6" w:rsidRPr="005E0829" w:rsidRDefault="008E4431"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F41DD6" w:rsidRPr="005E0829">
        <w:rPr>
          <w:rFonts w:ascii="Times New Roman" w:hAnsi="Times New Roman" w:cs="Times New Roman"/>
          <w:sz w:val="24"/>
          <w:szCs w:val="24"/>
        </w:rPr>
        <w:t>6. Aktivitātes ietvaros atbalstu sniedz saskaņā ar Komisijas 2013.gada 18.decembra Regulu (E</w:t>
      </w:r>
      <w:r w:rsidR="009719E2" w:rsidRPr="005E0829">
        <w:rPr>
          <w:rFonts w:ascii="Times New Roman" w:hAnsi="Times New Roman" w:cs="Times New Roman"/>
          <w:sz w:val="24"/>
          <w:szCs w:val="24"/>
        </w:rPr>
        <w:t>S</w:t>
      </w:r>
      <w:r w:rsidR="00F41DD6" w:rsidRPr="005E0829">
        <w:rPr>
          <w:rFonts w:ascii="Times New Roman" w:hAnsi="Times New Roman" w:cs="Times New Roman"/>
          <w:sz w:val="24"/>
          <w:szCs w:val="24"/>
        </w:rPr>
        <w:t xml:space="preserve">) Nr.1407/2013 par Līguma par Eiropas Savienības darbību 107. un 108. panta piemērošanu </w:t>
      </w:r>
      <w:proofErr w:type="spellStart"/>
      <w:r w:rsidR="00F41DD6" w:rsidRPr="005E0829">
        <w:rPr>
          <w:rFonts w:ascii="Times New Roman" w:hAnsi="Times New Roman" w:cs="Times New Roman"/>
          <w:i/>
          <w:sz w:val="24"/>
          <w:szCs w:val="24"/>
        </w:rPr>
        <w:t>de</w:t>
      </w:r>
      <w:proofErr w:type="spellEnd"/>
      <w:r w:rsidR="00F41DD6" w:rsidRPr="005E0829">
        <w:rPr>
          <w:rFonts w:ascii="Times New Roman" w:hAnsi="Times New Roman" w:cs="Times New Roman"/>
          <w:i/>
          <w:sz w:val="24"/>
          <w:szCs w:val="24"/>
        </w:rPr>
        <w:t xml:space="preserve"> </w:t>
      </w:r>
      <w:proofErr w:type="spellStart"/>
      <w:r w:rsidR="00F41DD6" w:rsidRPr="005E0829">
        <w:rPr>
          <w:rFonts w:ascii="Times New Roman" w:hAnsi="Times New Roman" w:cs="Times New Roman"/>
          <w:i/>
          <w:sz w:val="24"/>
          <w:szCs w:val="24"/>
        </w:rPr>
        <w:t>minimis</w:t>
      </w:r>
      <w:proofErr w:type="spellEnd"/>
      <w:r w:rsidR="00F41DD6" w:rsidRPr="005E0829">
        <w:rPr>
          <w:rFonts w:ascii="Times New Roman" w:hAnsi="Times New Roman" w:cs="Times New Roman"/>
          <w:sz w:val="24"/>
          <w:szCs w:val="24"/>
        </w:rPr>
        <w:t xml:space="preserve"> atbalstam (Eiropas Savienības Oficiālais Vēstnesis, 2013.gada 24.decembris, </w:t>
      </w:r>
      <w:proofErr w:type="spellStart"/>
      <w:r w:rsidR="00F41DD6" w:rsidRPr="005E0829">
        <w:rPr>
          <w:rFonts w:ascii="Times New Roman" w:hAnsi="Times New Roman" w:cs="Times New Roman"/>
          <w:sz w:val="24"/>
          <w:szCs w:val="24"/>
        </w:rPr>
        <w:t>Nr</w:t>
      </w:r>
      <w:proofErr w:type="spellEnd"/>
      <w:r w:rsidR="00F41DD6" w:rsidRPr="005E0829">
        <w:rPr>
          <w:rFonts w:ascii="Times New Roman" w:hAnsi="Times New Roman" w:cs="Times New Roman"/>
          <w:sz w:val="24"/>
          <w:szCs w:val="24"/>
        </w:rPr>
        <w:t xml:space="preserve">. L 352) (turpmāk – </w:t>
      </w:r>
      <w:r w:rsidR="0053494C" w:rsidRPr="005E0829">
        <w:rPr>
          <w:rFonts w:ascii="Times New Roman" w:hAnsi="Times New Roman" w:cs="Times New Roman"/>
          <w:sz w:val="24"/>
          <w:szCs w:val="24"/>
        </w:rPr>
        <w:t xml:space="preserve">Komisijas </w:t>
      </w:r>
      <w:r w:rsidR="00F41DD6" w:rsidRPr="005E0829">
        <w:rPr>
          <w:rFonts w:ascii="Times New Roman" w:hAnsi="Times New Roman" w:cs="Times New Roman"/>
          <w:sz w:val="24"/>
          <w:szCs w:val="24"/>
        </w:rPr>
        <w:t xml:space="preserve">regula Nr.1407/2013) un normatīvajiem aktiem par </w:t>
      </w:r>
      <w:proofErr w:type="spellStart"/>
      <w:r w:rsidR="00F41DD6" w:rsidRPr="005E0829">
        <w:rPr>
          <w:rFonts w:ascii="Times New Roman" w:hAnsi="Times New Roman" w:cs="Times New Roman"/>
          <w:i/>
          <w:sz w:val="24"/>
          <w:szCs w:val="24"/>
        </w:rPr>
        <w:t>de</w:t>
      </w:r>
      <w:proofErr w:type="spellEnd"/>
      <w:r w:rsidR="00F41DD6" w:rsidRPr="005E0829">
        <w:rPr>
          <w:rFonts w:ascii="Times New Roman" w:hAnsi="Times New Roman" w:cs="Times New Roman"/>
          <w:i/>
          <w:sz w:val="24"/>
          <w:szCs w:val="24"/>
        </w:rPr>
        <w:t xml:space="preserve"> </w:t>
      </w:r>
      <w:proofErr w:type="spellStart"/>
      <w:r w:rsidR="00F41DD6" w:rsidRPr="005E0829">
        <w:rPr>
          <w:rFonts w:ascii="Times New Roman" w:hAnsi="Times New Roman" w:cs="Times New Roman"/>
          <w:i/>
          <w:sz w:val="24"/>
          <w:szCs w:val="24"/>
        </w:rPr>
        <w:t>minimis</w:t>
      </w:r>
      <w:proofErr w:type="spellEnd"/>
      <w:r w:rsidR="00F41DD6" w:rsidRPr="005E0829">
        <w:rPr>
          <w:rFonts w:ascii="Times New Roman" w:hAnsi="Times New Roman" w:cs="Times New Roman"/>
          <w:sz w:val="24"/>
          <w:szCs w:val="24"/>
        </w:rPr>
        <w:t xml:space="preserve"> atbalsta piešķiršanu un uzskaiti.”</w:t>
      </w:r>
      <w:r w:rsidR="009F3B79" w:rsidRPr="005E0829">
        <w:rPr>
          <w:rFonts w:ascii="Times New Roman" w:hAnsi="Times New Roman" w:cs="Times New Roman"/>
          <w:sz w:val="24"/>
          <w:szCs w:val="24"/>
        </w:rPr>
        <w:t>;</w:t>
      </w:r>
    </w:p>
    <w:p w:rsidR="00A5223B" w:rsidRPr="005E0829" w:rsidRDefault="00F41DD6"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7.2.13</w:t>
      </w:r>
      <w:r w:rsidR="00A5223B" w:rsidRPr="005E0829">
        <w:rPr>
          <w:rFonts w:ascii="Times New Roman" w:hAnsi="Times New Roman" w:cs="Times New Roman"/>
          <w:sz w:val="24"/>
          <w:szCs w:val="24"/>
        </w:rPr>
        <w:t>.apakšpunktu šādā redakcijā:</w:t>
      </w:r>
    </w:p>
    <w:p w:rsidR="002401B3" w:rsidRPr="005E0829" w:rsidRDefault="00A5223B" w:rsidP="00521FA2">
      <w:pPr>
        <w:spacing w:before="120" w:after="120" w:line="240" w:lineRule="auto"/>
        <w:jc w:val="both"/>
        <w:rPr>
          <w:rFonts w:ascii="Times New Roman" w:hAnsi="Times New Roman"/>
          <w:bCs/>
          <w:sz w:val="24"/>
          <w:szCs w:val="24"/>
        </w:rPr>
      </w:pPr>
      <w:r w:rsidRPr="005E0829">
        <w:rPr>
          <w:rFonts w:ascii="Times New Roman" w:hAnsi="Times New Roman"/>
          <w:bCs/>
          <w:sz w:val="24"/>
          <w:szCs w:val="24"/>
        </w:rPr>
        <w:t>„</w:t>
      </w:r>
      <w:r w:rsidR="00F41DD6" w:rsidRPr="005E0829">
        <w:rPr>
          <w:rFonts w:ascii="Times New Roman" w:hAnsi="Times New Roman"/>
          <w:bCs/>
          <w:sz w:val="24"/>
          <w:szCs w:val="24"/>
        </w:rPr>
        <w:t xml:space="preserve">7.2.13. pieņem lēmumu par </w:t>
      </w:r>
      <w:proofErr w:type="spellStart"/>
      <w:r w:rsidR="00F41DD6" w:rsidRPr="005E0829">
        <w:rPr>
          <w:rFonts w:ascii="Times New Roman" w:hAnsi="Times New Roman"/>
          <w:bCs/>
          <w:i/>
          <w:sz w:val="24"/>
          <w:szCs w:val="24"/>
        </w:rPr>
        <w:t>de</w:t>
      </w:r>
      <w:proofErr w:type="spellEnd"/>
      <w:r w:rsidR="00F41DD6" w:rsidRPr="005E0829">
        <w:rPr>
          <w:rFonts w:ascii="Times New Roman" w:hAnsi="Times New Roman"/>
          <w:bCs/>
          <w:i/>
          <w:sz w:val="24"/>
          <w:szCs w:val="24"/>
        </w:rPr>
        <w:t xml:space="preserve"> </w:t>
      </w:r>
      <w:proofErr w:type="spellStart"/>
      <w:r w:rsidR="00F41DD6" w:rsidRPr="005E0829">
        <w:rPr>
          <w:rFonts w:ascii="Times New Roman" w:hAnsi="Times New Roman"/>
          <w:bCs/>
          <w:i/>
          <w:sz w:val="24"/>
          <w:szCs w:val="24"/>
        </w:rPr>
        <w:t>minimis</w:t>
      </w:r>
      <w:proofErr w:type="spellEnd"/>
      <w:r w:rsidR="00F41DD6" w:rsidRPr="005E0829">
        <w:rPr>
          <w:rFonts w:ascii="Times New Roman" w:hAnsi="Times New Roman"/>
          <w:bCs/>
          <w:sz w:val="24"/>
          <w:szCs w:val="24"/>
        </w:rPr>
        <w:t xml:space="preserve"> atbalsta piešķiršanu finansējuma saņēmējam un veic tā uzskaiti ievērojot normatīvos aktus par </w:t>
      </w:r>
      <w:proofErr w:type="spellStart"/>
      <w:r w:rsidR="00F41DD6" w:rsidRPr="005E0829">
        <w:rPr>
          <w:rFonts w:ascii="Times New Roman" w:hAnsi="Times New Roman"/>
          <w:bCs/>
          <w:i/>
          <w:sz w:val="24"/>
          <w:szCs w:val="24"/>
        </w:rPr>
        <w:t>de</w:t>
      </w:r>
      <w:proofErr w:type="spellEnd"/>
      <w:r w:rsidR="00F41DD6" w:rsidRPr="005E0829">
        <w:rPr>
          <w:rFonts w:ascii="Times New Roman" w:hAnsi="Times New Roman"/>
          <w:bCs/>
          <w:i/>
          <w:sz w:val="24"/>
          <w:szCs w:val="24"/>
        </w:rPr>
        <w:t xml:space="preserve"> </w:t>
      </w:r>
      <w:proofErr w:type="spellStart"/>
      <w:r w:rsidR="00F41DD6" w:rsidRPr="005E0829">
        <w:rPr>
          <w:rFonts w:ascii="Times New Roman" w:hAnsi="Times New Roman"/>
          <w:bCs/>
          <w:i/>
          <w:sz w:val="24"/>
          <w:szCs w:val="24"/>
        </w:rPr>
        <w:t>minimis</w:t>
      </w:r>
      <w:proofErr w:type="spellEnd"/>
      <w:r w:rsidR="00F41DD6" w:rsidRPr="005E0829">
        <w:rPr>
          <w:rFonts w:ascii="Times New Roman" w:hAnsi="Times New Roman"/>
          <w:bCs/>
          <w:sz w:val="24"/>
          <w:szCs w:val="24"/>
        </w:rPr>
        <w:t xml:space="preserve"> atbalsta uzskaites un piešķiršanas kārtību un </w:t>
      </w:r>
      <w:proofErr w:type="spellStart"/>
      <w:r w:rsidR="00F41DD6" w:rsidRPr="005E0829">
        <w:rPr>
          <w:rFonts w:ascii="Times New Roman" w:hAnsi="Times New Roman"/>
          <w:bCs/>
          <w:i/>
          <w:sz w:val="24"/>
          <w:szCs w:val="24"/>
        </w:rPr>
        <w:t>de</w:t>
      </w:r>
      <w:proofErr w:type="spellEnd"/>
      <w:r w:rsidR="00F41DD6" w:rsidRPr="005E0829">
        <w:rPr>
          <w:rFonts w:ascii="Times New Roman" w:hAnsi="Times New Roman"/>
          <w:bCs/>
          <w:i/>
          <w:sz w:val="24"/>
          <w:szCs w:val="24"/>
        </w:rPr>
        <w:t xml:space="preserve"> </w:t>
      </w:r>
      <w:proofErr w:type="spellStart"/>
      <w:r w:rsidR="00F41DD6" w:rsidRPr="005E0829">
        <w:rPr>
          <w:rFonts w:ascii="Times New Roman" w:hAnsi="Times New Roman"/>
          <w:bCs/>
          <w:i/>
          <w:sz w:val="24"/>
          <w:szCs w:val="24"/>
        </w:rPr>
        <w:t>minimis</w:t>
      </w:r>
      <w:proofErr w:type="spellEnd"/>
      <w:r w:rsidR="00F41DD6" w:rsidRPr="005E0829">
        <w:rPr>
          <w:rFonts w:ascii="Times New Roman" w:hAnsi="Times New Roman"/>
          <w:bCs/>
          <w:sz w:val="24"/>
          <w:szCs w:val="24"/>
        </w:rPr>
        <w:t xml:space="preserve"> atbalsta uzskaites veidlapu paraugiem, norādot ziņas par </w:t>
      </w:r>
      <w:r w:rsidR="00BE6F60">
        <w:rPr>
          <w:rFonts w:ascii="Times New Roman" w:hAnsi="Times New Roman"/>
          <w:bCs/>
          <w:sz w:val="24"/>
          <w:szCs w:val="24"/>
        </w:rPr>
        <w:t xml:space="preserve"> attiecīgo fiskā</w:t>
      </w:r>
      <w:r w:rsidR="00146AB1">
        <w:rPr>
          <w:rFonts w:ascii="Times New Roman" w:hAnsi="Times New Roman"/>
          <w:bCs/>
          <w:sz w:val="24"/>
          <w:szCs w:val="24"/>
        </w:rPr>
        <w:t>lo</w:t>
      </w:r>
      <w:r w:rsidR="00146AB1" w:rsidRPr="005E0829">
        <w:rPr>
          <w:rFonts w:ascii="Times New Roman" w:hAnsi="Times New Roman"/>
          <w:bCs/>
          <w:sz w:val="24"/>
          <w:szCs w:val="24"/>
        </w:rPr>
        <w:t xml:space="preserve"> </w:t>
      </w:r>
      <w:r w:rsidR="00F41DD6" w:rsidRPr="005E0829">
        <w:rPr>
          <w:rFonts w:ascii="Times New Roman" w:hAnsi="Times New Roman"/>
          <w:bCs/>
          <w:sz w:val="24"/>
          <w:szCs w:val="24"/>
        </w:rPr>
        <w:t xml:space="preserve">gadu un diviem iepriekšējiem </w:t>
      </w:r>
      <w:r w:rsidR="00146AB1">
        <w:rPr>
          <w:rFonts w:ascii="Times New Roman" w:hAnsi="Times New Roman"/>
          <w:bCs/>
          <w:sz w:val="24"/>
          <w:szCs w:val="24"/>
        </w:rPr>
        <w:t>fiskāliem</w:t>
      </w:r>
      <w:r w:rsidR="00146AB1" w:rsidRPr="005E0829">
        <w:rPr>
          <w:rFonts w:ascii="Times New Roman" w:hAnsi="Times New Roman"/>
          <w:bCs/>
          <w:sz w:val="24"/>
          <w:szCs w:val="24"/>
        </w:rPr>
        <w:t xml:space="preserve"> </w:t>
      </w:r>
      <w:r w:rsidR="00F41DD6" w:rsidRPr="005E0829">
        <w:rPr>
          <w:rFonts w:ascii="Times New Roman" w:hAnsi="Times New Roman"/>
          <w:bCs/>
          <w:sz w:val="24"/>
          <w:szCs w:val="24"/>
        </w:rPr>
        <w:t>gadiem.;</w:t>
      </w:r>
      <w:r w:rsidRPr="005E0829">
        <w:rPr>
          <w:rFonts w:ascii="Times New Roman" w:hAnsi="Times New Roman"/>
          <w:bCs/>
          <w:sz w:val="24"/>
          <w:szCs w:val="24"/>
        </w:rPr>
        <w:t>”</w:t>
      </w:r>
      <w:r w:rsidR="009F3B79" w:rsidRPr="005E0829">
        <w:rPr>
          <w:rFonts w:ascii="Times New Roman" w:hAnsi="Times New Roman"/>
          <w:bCs/>
          <w:sz w:val="24"/>
          <w:szCs w:val="24"/>
        </w:rPr>
        <w:t>;</w:t>
      </w:r>
    </w:p>
    <w:p w:rsidR="005461D0" w:rsidRPr="005E0829" w:rsidRDefault="005461D0"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papildināt noteikumus ar 7.2.15. punktu šādā redakcijā:</w:t>
      </w:r>
    </w:p>
    <w:p w:rsidR="005461D0" w:rsidRPr="005E0829" w:rsidRDefault="005461D0" w:rsidP="005461D0">
      <w:pPr>
        <w:spacing w:before="120" w:after="120" w:line="240" w:lineRule="auto"/>
        <w:jc w:val="both"/>
        <w:rPr>
          <w:rFonts w:ascii="Times New Roman" w:hAnsi="Times New Roman" w:cs="Times New Roman"/>
          <w:sz w:val="24"/>
          <w:szCs w:val="24"/>
        </w:rPr>
      </w:pPr>
      <w:r w:rsidRPr="005E0829">
        <w:rPr>
          <w:rFonts w:ascii="Times New Roman" w:hAnsi="Times New Roman"/>
          <w:sz w:val="24"/>
          <w:szCs w:val="24"/>
        </w:rPr>
        <w:t xml:space="preserve">„7.2.15. veic finansējuma saņēmēja sadarbības partneriem sniegtā </w:t>
      </w:r>
      <w:proofErr w:type="spellStart"/>
      <w:r w:rsidRPr="005E0829">
        <w:rPr>
          <w:rFonts w:ascii="Times New Roman" w:hAnsi="Times New Roman"/>
          <w:i/>
          <w:sz w:val="24"/>
          <w:szCs w:val="24"/>
        </w:rPr>
        <w:t>de</w:t>
      </w:r>
      <w:proofErr w:type="spellEnd"/>
      <w:r w:rsidRPr="005E0829">
        <w:rPr>
          <w:rFonts w:ascii="Times New Roman" w:hAnsi="Times New Roman"/>
          <w:i/>
          <w:sz w:val="24"/>
          <w:szCs w:val="24"/>
        </w:rPr>
        <w:t xml:space="preserve"> </w:t>
      </w:r>
      <w:proofErr w:type="spellStart"/>
      <w:r w:rsidRPr="005E0829">
        <w:rPr>
          <w:rFonts w:ascii="Times New Roman" w:hAnsi="Times New Roman"/>
          <w:i/>
          <w:sz w:val="24"/>
          <w:szCs w:val="24"/>
        </w:rPr>
        <w:t>minimis</w:t>
      </w:r>
      <w:proofErr w:type="spellEnd"/>
      <w:r w:rsidRPr="005E0829">
        <w:rPr>
          <w:rFonts w:ascii="Times New Roman" w:hAnsi="Times New Roman"/>
          <w:sz w:val="24"/>
          <w:szCs w:val="24"/>
        </w:rPr>
        <w:t xml:space="preserve"> atbalsta piešķiršanas un uzskaites atbilstības pārbaudi saskaņā ar šo noteikumu 31.2.7.apakšpunktā minēto sadarbības partneru </w:t>
      </w:r>
      <w:proofErr w:type="spellStart"/>
      <w:r w:rsidRPr="005E0829">
        <w:rPr>
          <w:rFonts w:ascii="Times New Roman" w:hAnsi="Times New Roman"/>
          <w:i/>
          <w:sz w:val="24"/>
          <w:szCs w:val="24"/>
        </w:rPr>
        <w:t>de</w:t>
      </w:r>
      <w:proofErr w:type="spellEnd"/>
      <w:r w:rsidRPr="005E0829">
        <w:rPr>
          <w:rFonts w:ascii="Times New Roman" w:hAnsi="Times New Roman"/>
          <w:i/>
          <w:sz w:val="24"/>
          <w:szCs w:val="24"/>
        </w:rPr>
        <w:t xml:space="preserve"> </w:t>
      </w:r>
      <w:proofErr w:type="spellStart"/>
      <w:r w:rsidRPr="005E0829">
        <w:rPr>
          <w:rFonts w:ascii="Times New Roman" w:hAnsi="Times New Roman"/>
          <w:i/>
          <w:sz w:val="24"/>
          <w:szCs w:val="24"/>
        </w:rPr>
        <w:t>minimis</w:t>
      </w:r>
      <w:proofErr w:type="spellEnd"/>
      <w:r w:rsidRPr="005E0829">
        <w:rPr>
          <w:rFonts w:ascii="Times New Roman" w:hAnsi="Times New Roman"/>
          <w:sz w:val="24"/>
          <w:szCs w:val="24"/>
        </w:rPr>
        <w:t xml:space="preserve"> atbalsta uzskaites kārtību;”;</w:t>
      </w:r>
    </w:p>
    <w:p w:rsidR="00BF700D" w:rsidRPr="005E0829" w:rsidRDefault="00BF700D"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8.</w:t>
      </w:r>
      <w:r w:rsidR="004E55DA" w:rsidRPr="005E0829">
        <w:rPr>
          <w:rFonts w:ascii="Times New Roman" w:hAnsi="Times New Roman" w:cs="Times New Roman"/>
          <w:sz w:val="24"/>
          <w:szCs w:val="24"/>
        </w:rPr>
        <w:t xml:space="preserve"> </w:t>
      </w:r>
      <w:r w:rsidRPr="005E0829">
        <w:rPr>
          <w:rFonts w:ascii="Times New Roman" w:hAnsi="Times New Roman" w:cs="Times New Roman"/>
          <w:sz w:val="24"/>
          <w:szCs w:val="24"/>
        </w:rPr>
        <w:t>punktu šādā redakcijā:</w:t>
      </w:r>
    </w:p>
    <w:p w:rsidR="00BF700D" w:rsidRPr="005E0829" w:rsidRDefault="00BF700D"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210EC4" w:rsidRPr="005E0829">
        <w:rPr>
          <w:rFonts w:ascii="Times New Roman" w:hAnsi="Times New Roman" w:cs="Times New Roman"/>
          <w:sz w:val="24"/>
          <w:szCs w:val="24"/>
        </w:rPr>
        <w:t xml:space="preserve">8. Aktivitātes ietvaros īstenotos projektus līdzfinansē no Eiropas Reģionālās attīstības fonda (turpmāk – fonds) līdzekļiem. Kopējais aktivitātes ietvaros pieejamais </w:t>
      </w:r>
      <w:r w:rsidR="003E7CD4" w:rsidRPr="005E0829">
        <w:rPr>
          <w:rFonts w:ascii="Times New Roman" w:hAnsi="Times New Roman" w:cs="Times New Roman"/>
          <w:sz w:val="24"/>
          <w:szCs w:val="24"/>
        </w:rPr>
        <w:t>fonda finansējums</w:t>
      </w:r>
      <w:r w:rsidR="00210EC4" w:rsidRPr="005E0829">
        <w:rPr>
          <w:rFonts w:ascii="Times New Roman" w:hAnsi="Times New Roman" w:cs="Times New Roman"/>
          <w:sz w:val="24"/>
          <w:szCs w:val="24"/>
        </w:rPr>
        <w:t xml:space="preserve"> ir </w:t>
      </w:r>
      <w:r w:rsidR="004E55DA" w:rsidRPr="005E0829">
        <w:rPr>
          <w:rFonts w:ascii="Times New Roman" w:hAnsi="Times New Roman" w:cs="Times New Roman"/>
          <w:sz w:val="24"/>
          <w:szCs w:val="24"/>
        </w:rPr>
        <w:t>4 607 022</w:t>
      </w:r>
      <w:r w:rsidR="00210EC4" w:rsidRPr="005E0829">
        <w:rPr>
          <w:rFonts w:ascii="Times New Roman" w:hAnsi="Times New Roman" w:cs="Times New Roman"/>
          <w:sz w:val="24"/>
          <w:szCs w:val="24"/>
        </w:rPr>
        <w:t xml:space="preserve"> </w:t>
      </w:r>
      <w:proofErr w:type="spellStart"/>
      <w:r w:rsidR="004E55DA" w:rsidRPr="005E0829">
        <w:rPr>
          <w:rFonts w:ascii="Times New Roman" w:hAnsi="Times New Roman" w:cs="Times New Roman"/>
          <w:i/>
          <w:sz w:val="24"/>
          <w:szCs w:val="24"/>
        </w:rPr>
        <w:t>euro</w:t>
      </w:r>
      <w:proofErr w:type="spellEnd"/>
      <w:r w:rsidR="00210EC4" w:rsidRPr="005E0829">
        <w:rPr>
          <w:rFonts w:ascii="Times New Roman" w:hAnsi="Times New Roman" w:cs="Times New Roman"/>
          <w:sz w:val="24"/>
          <w:szCs w:val="24"/>
        </w:rPr>
        <w:t>.</w:t>
      </w:r>
      <w:r w:rsidR="00E4748C" w:rsidRPr="005E0829">
        <w:rPr>
          <w:rFonts w:ascii="Times New Roman" w:hAnsi="Times New Roman" w:cs="Times New Roman"/>
          <w:sz w:val="24"/>
          <w:szCs w:val="24"/>
        </w:rPr>
        <w:t xml:space="preserve"> </w:t>
      </w:r>
      <w:proofErr w:type="spellStart"/>
      <w:r w:rsidR="00E4748C" w:rsidRPr="005E0829">
        <w:rPr>
          <w:rFonts w:ascii="Times New Roman" w:hAnsi="Times New Roman" w:cs="Times New Roman"/>
          <w:sz w:val="24"/>
          <w:szCs w:val="24"/>
        </w:rPr>
        <w:t>Apakšaktivitātei</w:t>
      </w:r>
      <w:proofErr w:type="spellEnd"/>
      <w:r w:rsidR="00E4748C" w:rsidRPr="005E0829">
        <w:rPr>
          <w:rFonts w:ascii="Times New Roman" w:hAnsi="Times New Roman" w:cs="Times New Roman"/>
          <w:sz w:val="24"/>
          <w:szCs w:val="24"/>
        </w:rPr>
        <w:t xml:space="preserve"> pieejamais saistību apjoms, kas pārsniedz šo fonda finansējumu (turpmāk – </w:t>
      </w:r>
      <w:proofErr w:type="spellStart"/>
      <w:r w:rsidR="00E4748C" w:rsidRPr="005E0829">
        <w:rPr>
          <w:rFonts w:ascii="Times New Roman" w:hAnsi="Times New Roman" w:cs="Times New Roman"/>
          <w:sz w:val="24"/>
          <w:szCs w:val="24"/>
        </w:rPr>
        <w:t>virssaistību</w:t>
      </w:r>
      <w:proofErr w:type="spellEnd"/>
      <w:r w:rsidR="00E4748C" w:rsidRPr="005E0829">
        <w:rPr>
          <w:rFonts w:ascii="Times New Roman" w:hAnsi="Times New Roman" w:cs="Times New Roman"/>
          <w:sz w:val="24"/>
          <w:szCs w:val="24"/>
        </w:rPr>
        <w:t xml:space="preserve"> fi</w:t>
      </w:r>
      <w:r w:rsidR="003C73DB" w:rsidRPr="005E0829">
        <w:rPr>
          <w:rFonts w:ascii="Times New Roman" w:hAnsi="Times New Roman" w:cs="Times New Roman"/>
          <w:sz w:val="24"/>
          <w:szCs w:val="24"/>
        </w:rPr>
        <w:t>nansējums), ir 1</w:t>
      </w:r>
      <w:r w:rsidR="00E4748C" w:rsidRPr="005E0829">
        <w:rPr>
          <w:rFonts w:ascii="Times New Roman" w:hAnsi="Times New Roman" w:cs="Times New Roman"/>
          <w:sz w:val="24"/>
          <w:szCs w:val="24"/>
        </w:rPr>
        <w:t xml:space="preserve"> 000 000 </w:t>
      </w:r>
      <w:proofErr w:type="spellStart"/>
      <w:r w:rsidR="00E4748C" w:rsidRPr="005E0829">
        <w:rPr>
          <w:rFonts w:ascii="Times New Roman" w:hAnsi="Times New Roman" w:cs="Times New Roman"/>
          <w:i/>
          <w:sz w:val="24"/>
          <w:szCs w:val="24"/>
        </w:rPr>
        <w:t>euro</w:t>
      </w:r>
      <w:proofErr w:type="spellEnd"/>
      <w:r w:rsidR="00E4748C" w:rsidRPr="005E0829">
        <w:rPr>
          <w:rFonts w:ascii="Times New Roman" w:hAnsi="Times New Roman" w:cs="Times New Roman"/>
          <w:sz w:val="24"/>
          <w:szCs w:val="24"/>
        </w:rPr>
        <w:t>.</w:t>
      </w:r>
      <w:r w:rsidRPr="005E0829">
        <w:rPr>
          <w:rFonts w:ascii="Times New Roman" w:hAnsi="Times New Roman" w:cs="Times New Roman"/>
          <w:sz w:val="24"/>
          <w:szCs w:val="24"/>
        </w:rPr>
        <w:t>”</w:t>
      </w:r>
      <w:r w:rsidR="009F3B79" w:rsidRPr="005E0829">
        <w:rPr>
          <w:rFonts w:ascii="Times New Roman" w:hAnsi="Times New Roman" w:cs="Times New Roman"/>
          <w:sz w:val="24"/>
          <w:szCs w:val="24"/>
        </w:rPr>
        <w:t>;</w:t>
      </w:r>
    </w:p>
    <w:p w:rsidR="0034387D" w:rsidRPr="005E0829" w:rsidRDefault="0034387D"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9.punktu šādā redakcijā:</w:t>
      </w:r>
    </w:p>
    <w:p w:rsidR="0034387D" w:rsidRPr="005E0829" w:rsidRDefault="0034387D"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4E55DA" w:rsidRPr="005E0829">
        <w:rPr>
          <w:rFonts w:ascii="Times New Roman" w:hAnsi="Times New Roman" w:cs="Times New Roman"/>
          <w:sz w:val="24"/>
          <w:szCs w:val="24"/>
        </w:rPr>
        <w:t xml:space="preserve">9. Finansējuma saņēmējam maksimāli pieejamais fonda līdzfinansējums ir 426 862 </w:t>
      </w:r>
      <w:proofErr w:type="spellStart"/>
      <w:r w:rsidR="004E55DA" w:rsidRPr="005E0829">
        <w:rPr>
          <w:rFonts w:ascii="Times New Roman" w:hAnsi="Times New Roman" w:cs="Times New Roman"/>
          <w:i/>
          <w:sz w:val="24"/>
          <w:szCs w:val="24"/>
        </w:rPr>
        <w:t>euro</w:t>
      </w:r>
      <w:proofErr w:type="spellEnd"/>
      <w:r w:rsidR="004E55DA" w:rsidRPr="005E0829">
        <w:rPr>
          <w:rFonts w:ascii="Times New Roman" w:hAnsi="Times New Roman" w:cs="Times New Roman"/>
          <w:sz w:val="24"/>
          <w:szCs w:val="24"/>
        </w:rPr>
        <w:t>.”</w:t>
      </w:r>
      <w:r w:rsidR="009F3B79" w:rsidRPr="005E0829">
        <w:rPr>
          <w:rFonts w:ascii="Times New Roman" w:hAnsi="Times New Roman" w:cs="Times New Roman"/>
          <w:sz w:val="24"/>
          <w:szCs w:val="24"/>
        </w:rPr>
        <w:t>;</w:t>
      </w:r>
    </w:p>
    <w:p w:rsidR="0034387D" w:rsidRPr="006F15CF" w:rsidRDefault="002755DD"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6F15CF">
        <w:rPr>
          <w:rFonts w:ascii="Times New Roman" w:hAnsi="Times New Roman" w:cs="Times New Roman"/>
          <w:sz w:val="24"/>
          <w:szCs w:val="24"/>
        </w:rPr>
        <w:t xml:space="preserve">izteikt </w:t>
      </w:r>
      <w:r w:rsidR="004E55DA" w:rsidRPr="006F15CF">
        <w:rPr>
          <w:rFonts w:ascii="Times New Roman" w:hAnsi="Times New Roman" w:cs="Times New Roman"/>
          <w:sz w:val="24"/>
          <w:szCs w:val="24"/>
        </w:rPr>
        <w:t>10</w:t>
      </w:r>
      <w:r w:rsidRPr="006F15CF">
        <w:rPr>
          <w:rFonts w:ascii="Times New Roman" w:hAnsi="Times New Roman" w:cs="Times New Roman"/>
          <w:sz w:val="24"/>
          <w:szCs w:val="24"/>
        </w:rPr>
        <w:t>.</w:t>
      </w:r>
      <w:r w:rsidR="001252B0" w:rsidRPr="006F15CF">
        <w:rPr>
          <w:rFonts w:ascii="Times New Roman" w:hAnsi="Times New Roman" w:cs="Times New Roman"/>
          <w:sz w:val="24"/>
          <w:szCs w:val="24"/>
        </w:rPr>
        <w:t>punktu šādā redakcijā:</w:t>
      </w:r>
    </w:p>
    <w:p w:rsidR="004E55DA" w:rsidRPr="006F15CF" w:rsidRDefault="0034387D" w:rsidP="00521FA2">
      <w:pPr>
        <w:spacing w:before="120" w:after="120" w:line="240" w:lineRule="auto"/>
        <w:jc w:val="both"/>
        <w:rPr>
          <w:rFonts w:ascii="Times New Roman" w:hAnsi="Times New Roman" w:cs="Times New Roman"/>
          <w:sz w:val="24"/>
          <w:szCs w:val="24"/>
        </w:rPr>
      </w:pPr>
      <w:r w:rsidRPr="006F15CF">
        <w:rPr>
          <w:rFonts w:ascii="Times New Roman" w:hAnsi="Times New Roman" w:cs="Times New Roman"/>
          <w:sz w:val="24"/>
          <w:szCs w:val="24"/>
        </w:rPr>
        <w:t>„</w:t>
      </w:r>
      <w:r w:rsidR="004E55DA" w:rsidRPr="006F15CF">
        <w:rPr>
          <w:rFonts w:ascii="Times New Roman" w:hAnsi="Times New Roman" w:cs="Times New Roman"/>
          <w:sz w:val="24"/>
          <w:szCs w:val="24"/>
        </w:rPr>
        <w:t xml:space="preserve">10. </w:t>
      </w:r>
      <w:r w:rsidR="005D1415" w:rsidRPr="006F15CF">
        <w:rPr>
          <w:rFonts w:ascii="Times New Roman" w:hAnsi="Times New Roman" w:cs="Times New Roman"/>
          <w:bCs/>
          <w:sz w:val="24"/>
          <w:szCs w:val="24"/>
        </w:rPr>
        <w:t>Viens vienots uzņēmums</w:t>
      </w:r>
      <w:r w:rsidR="005D1415" w:rsidRPr="006F15CF">
        <w:rPr>
          <w:rFonts w:ascii="Times New Roman" w:hAnsi="Times New Roman" w:cs="Times New Roman"/>
          <w:sz w:val="24"/>
          <w:szCs w:val="24"/>
        </w:rPr>
        <w:t xml:space="preserve"> šo noteikumu izpratnē atbilst Komisijas 2014.gada 17.jūnija Regulas (ES) </w:t>
      </w:r>
      <w:proofErr w:type="spellStart"/>
      <w:r w:rsidR="005D1415" w:rsidRPr="006F15CF">
        <w:rPr>
          <w:rFonts w:ascii="Times New Roman" w:hAnsi="Times New Roman" w:cs="Times New Roman"/>
          <w:sz w:val="24"/>
          <w:szCs w:val="24"/>
        </w:rPr>
        <w:t>Nr</w:t>
      </w:r>
      <w:proofErr w:type="spellEnd"/>
      <w:r w:rsidR="005D1415" w:rsidRPr="006F15CF">
        <w:rPr>
          <w:rFonts w:ascii="Times New Roman" w:hAnsi="Times New Roman" w:cs="Times New Roman"/>
          <w:sz w:val="24"/>
          <w:szCs w:val="24"/>
        </w:rPr>
        <w:t>. 651/2014, ar ko noteiktas atbalsta kategorijas atzīst par saderīgām ar iekšējo tirgu, piemērojot Līguma</w:t>
      </w:r>
      <w:r w:rsidR="005D1415" w:rsidRPr="006F15CF">
        <w:rPr>
          <w:rStyle w:val="apple-converted-space"/>
          <w:rFonts w:ascii="Times New Roman" w:hAnsi="Times New Roman" w:cs="Times New Roman"/>
          <w:sz w:val="24"/>
          <w:szCs w:val="24"/>
        </w:rPr>
        <w:t> </w:t>
      </w:r>
      <w:r w:rsidR="005D1415" w:rsidRPr="006F15CF">
        <w:rPr>
          <w:rFonts w:ascii="Times New Roman" w:hAnsi="Times New Roman" w:cs="Times New Roman"/>
          <w:sz w:val="24"/>
          <w:szCs w:val="24"/>
        </w:rPr>
        <w:t>107.</w:t>
      </w:r>
      <w:r w:rsidR="005D1415" w:rsidRPr="006F15CF">
        <w:rPr>
          <w:rStyle w:val="apple-converted-space"/>
          <w:rFonts w:ascii="Times New Roman" w:hAnsi="Times New Roman" w:cs="Times New Roman"/>
          <w:sz w:val="24"/>
          <w:szCs w:val="24"/>
        </w:rPr>
        <w:t> </w:t>
      </w:r>
      <w:r w:rsidR="005D1415" w:rsidRPr="006F15CF">
        <w:rPr>
          <w:rFonts w:ascii="Times New Roman" w:hAnsi="Times New Roman" w:cs="Times New Roman"/>
          <w:sz w:val="24"/>
          <w:szCs w:val="24"/>
        </w:rPr>
        <w:t>un</w:t>
      </w:r>
      <w:r w:rsidR="005D1415" w:rsidRPr="006F15CF">
        <w:rPr>
          <w:rStyle w:val="apple-converted-space"/>
          <w:rFonts w:ascii="Times New Roman" w:hAnsi="Times New Roman" w:cs="Times New Roman"/>
          <w:sz w:val="24"/>
          <w:szCs w:val="24"/>
        </w:rPr>
        <w:t> </w:t>
      </w:r>
      <w:r w:rsidR="005D1415" w:rsidRPr="006F15CF">
        <w:rPr>
          <w:rFonts w:ascii="Times New Roman" w:hAnsi="Times New Roman" w:cs="Times New Roman"/>
          <w:sz w:val="24"/>
          <w:szCs w:val="24"/>
        </w:rPr>
        <w:t xml:space="preserve">108. pantu (Eiropas Savienības Oficiālais Vēstnesis, 2014.gada 26.jūnijs, </w:t>
      </w:r>
      <w:proofErr w:type="spellStart"/>
      <w:r w:rsidR="005D1415" w:rsidRPr="006F15CF">
        <w:rPr>
          <w:rFonts w:ascii="Times New Roman" w:hAnsi="Times New Roman" w:cs="Times New Roman"/>
          <w:sz w:val="24"/>
          <w:szCs w:val="24"/>
        </w:rPr>
        <w:t>Nr</w:t>
      </w:r>
      <w:proofErr w:type="spellEnd"/>
      <w:r w:rsidR="005D1415" w:rsidRPr="006F15CF">
        <w:rPr>
          <w:rFonts w:ascii="Times New Roman" w:hAnsi="Times New Roman" w:cs="Times New Roman"/>
          <w:sz w:val="24"/>
          <w:szCs w:val="24"/>
        </w:rPr>
        <w:t xml:space="preserve">. L 187) 1.pielikuma 3.punktā noteiktajai </w:t>
      </w:r>
      <w:r w:rsidR="005D1415" w:rsidRPr="006F15CF">
        <w:rPr>
          <w:rFonts w:ascii="Times New Roman" w:hAnsi="Times New Roman" w:cs="Times New Roman"/>
          <w:bCs/>
          <w:sz w:val="24"/>
          <w:szCs w:val="24"/>
        </w:rPr>
        <w:t>saistīto uzņēmumu definīcijai</w:t>
      </w:r>
      <w:r w:rsidR="00C822E3" w:rsidRPr="006F15CF">
        <w:rPr>
          <w:rFonts w:ascii="Times New Roman" w:hAnsi="Times New Roman" w:cs="Times New Roman"/>
          <w:sz w:val="24"/>
          <w:szCs w:val="24"/>
        </w:rPr>
        <w:t>.</w:t>
      </w:r>
      <w:r w:rsidR="004E55DA" w:rsidRPr="006F15CF">
        <w:rPr>
          <w:rFonts w:ascii="Times New Roman" w:hAnsi="Times New Roman" w:cs="Times New Roman"/>
          <w:sz w:val="24"/>
          <w:szCs w:val="24"/>
        </w:rPr>
        <w:t>”</w:t>
      </w:r>
      <w:r w:rsidR="009F3B79" w:rsidRPr="006F15CF">
        <w:rPr>
          <w:rFonts w:ascii="Times New Roman" w:hAnsi="Times New Roman" w:cs="Times New Roman"/>
          <w:sz w:val="24"/>
          <w:szCs w:val="24"/>
        </w:rPr>
        <w:t>;</w:t>
      </w:r>
    </w:p>
    <w:p w:rsidR="00D92F72" w:rsidRPr="006F15CF" w:rsidRDefault="004E55DA"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6F15CF">
        <w:rPr>
          <w:rFonts w:ascii="Times New Roman" w:hAnsi="Times New Roman" w:cs="Times New Roman"/>
          <w:sz w:val="24"/>
          <w:szCs w:val="24"/>
        </w:rPr>
        <w:t xml:space="preserve">izteikt </w:t>
      </w:r>
      <w:r w:rsidR="00AF128D" w:rsidRPr="006F15CF">
        <w:rPr>
          <w:rFonts w:ascii="Times New Roman" w:hAnsi="Times New Roman" w:cs="Times New Roman"/>
          <w:sz w:val="24"/>
          <w:szCs w:val="24"/>
        </w:rPr>
        <w:t xml:space="preserve">14.2. un </w:t>
      </w:r>
      <w:r w:rsidR="0053494C" w:rsidRPr="006F15CF">
        <w:rPr>
          <w:rFonts w:ascii="Times New Roman" w:hAnsi="Times New Roman" w:cs="Times New Roman"/>
          <w:sz w:val="24"/>
          <w:szCs w:val="24"/>
        </w:rPr>
        <w:t>14.4.</w:t>
      </w:r>
      <w:r w:rsidR="00D92F72" w:rsidRPr="006F15CF">
        <w:rPr>
          <w:rFonts w:ascii="Times New Roman" w:hAnsi="Times New Roman" w:cs="Times New Roman"/>
          <w:sz w:val="24"/>
          <w:szCs w:val="24"/>
        </w:rPr>
        <w:t>apakšpunktu šādā redakcijā:</w:t>
      </w:r>
    </w:p>
    <w:p w:rsidR="00AF128D" w:rsidRPr="005E0829" w:rsidRDefault="00D92F72" w:rsidP="0086322D">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lastRenderedPageBreak/>
        <w:t>„</w:t>
      </w:r>
      <w:r w:rsidR="00AF128D" w:rsidRPr="005E0829">
        <w:rPr>
          <w:rFonts w:ascii="Times New Roman" w:hAnsi="Times New Roman" w:cs="Times New Roman"/>
          <w:sz w:val="24"/>
          <w:szCs w:val="24"/>
        </w:rPr>
        <w:t>14.2. projekta aktivitātes īsteno tikai atbalstāmajās nozarēs, kas nav minētas šo noteikumu 1.pielikumā un tiek ievēroti Komisijas regulas Nr.1407/2013 1.panta 1.punktā minētie nosacījumi;</w:t>
      </w:r>
    </w:p>
    <w:p w:rsidR="002401B3" w:rsidRPr="005E0829" w:rsidRDefault="0053494C" w:rsidP="0086322D">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14.4. sadarbības partneru – komersantu – kopējais neto apgrozījums vidēji pēdējo triju gadu laikā ir ne mazāks kā 42,</w:t>
      </w:r>
      <w:r w:rsidR="00C57993" w:rsidRPr="005E0829">
        <w:rPr>
          <w:rFonts w:ascii="Times New Roman" w:hAnsi="Times New Roman" w:cs="Times New Roman"/>
          <w:sz w:val="24"/>
          <w:szCs w:val="24"/>
        </w:rPr>
        <w:t xml:space="preserve">69 </w:t>
      </w:r>
      <w:r w:rsidRPr="005E0829">
        <w:rPr>
          <w:rFonts w:ascii="Times New Roman" w:hAnsi="Times New Roman" w:cs="Times New Roman"/>
          <w:sz w:val="24"/>
          <w:szCs w:val="24"/>
        </w:rPr>
        <w:t xml:space="preserve">miljoni </w:t>
      </w:r>
      <w:proofErr w:type="spellStart"/>
      <w:r w:rsidRPr="005E0829">
        <w:rPr>
          <w:rFonts w:ascii="Times New Roman" w:hAnsi="Times New Roman" w:cs="Times New Roman"/>
          <w:i/>
          <w:sz w:val="24"/>
          <w:szCs w:val="24"/>
        </w:rPr>
        <w:t>euro</w:t>
      </w:r>
      <w:proofErr w:type="spellEnd"/>
      <w:r w:rsidRPr="005E0829">
        <w:rPr>
          <w:rFonts w:ascii="Times New Roman" w:hAnsi="Times New Roman" w:cs="Times New Roman"/>
          <w:sz w:val="24"/>
          <w:szCs w:val="24"/>
        </w:rPr>
        <w:t xml:space="preserve"> gadā</w:t>
      </w:r>
      <w:r w:rsidR="00D92F72" w:rsidRPr="005E0829">
        <w:rPr>
          <w:rFonts w:ascii="Times New Roman" w:hAnsi="Times New Roman" w:cs="Times New Roman"/>
          <w:sz w:val="24"/>
          <w:szCs w:val="24"/>
        </w:rPr>
        <w:t>;”</w:t>
      </w:r>
      <w:r w:rsidR="009F3B79" w:rsidRPr="005E0829">
        <w:rPr>
          <w:rFonts w:ascii="Times New Roman" w:hAnsi="Times New Roman" w:cs="Times New Roman"/>
          <w:sz w:val="24"/>
          <w:szCs w:val="24"/>
        </w:rPr>
        <w:t>;</w:t>
      </w:r>
    </w:p>
    <w:p w:rsidR="00A50433" w:rsidRPr="00A50433" w:rsidRDefault="009A3CFA" w:rsidP="00A50433">
      <w:pPr>
        <w:pStyle w:val="ListParagraph"/>
        <w:numPr>
          <w:ilvl w:val="0"/>
          <w:numId w:val="23"/>
        </w:numPr>
        <w:spacing w:before="120" w:after="120"/>
        <w:ind w:left="709" w:hanging="357"/>
        <w:rPr>
          <w:rFonts w:ascii="Times New Roman" w:hAnsi="Times New Roman" w:cs="Times New Roman"/>
          <w:sz w:val="24"/>
          <w:szCs w:val="24"/>
        </w:rPr>
      </w:pPr>
      <w:r w:rsidRPr="005E0829">
        <w:rPr>
          <w:rFonts w:ascii="Times New Roman" w:hAnsi="Times New Roman" w:cs="Times New Roman"/>
          <w:sz w:val="24"/>
          <w:szCs w:val="24"/>
        </w:rPr>
        <w:t xml:space="preserve">svītrot </w:t>
      </w:r>
      <w:r w:rsidR="00632FD0" w:rsidRPr="005E0829">
        <w:rPr>
          <w:rFonts w:ascii="Times New Roman" w:hAnsi="Times New Roman" w:cs="Times New Roman"/>
          <w:sz w:val="24"/>
          <w:szCs w:val="24"/>
        </w:rPr>
        <w:t>1</w:t>
      </w:r>
      <w:r w:rsidRPr="005E0829">
        <w:rPr>
          <w:rFonts w:ascii="Times New Roman" w:hAnsi="Times New Roman" w:cs="Times New Roman"/>
          <w:sz w:val="24"/>
          <w:szCs w:val="24"/>
        </w:rPr>
        <w:t>6</w:t>
      </w:r>
      <w:r w:rsidR="00632FD0" w:rsidRPr="005E0829">
        <w:rPr>
          <w:rFonts w:ascii="Times New Roman" w:hAnsi="Times New Roman" w:cs="Times New Roman"/>
          <w:sz w:val="24"/>
          <w:szCs w:val="24"/>
        </w:rPr>
        <w:t>.5</w:t>
      </w:r>
      <w:r w:rsidRPr="005E0829">
        <w:rPr>
          <w:rFonts w:ascii="Times New Roman" w:hAnsi="Times New Roman" w:cs="Times New Roman"/>
          <w:sz w:val="24"/>
          <w:szCs w:val="24"/>
        </w:rPr>
        <w:t>.</w:t>
      </w:r>
      <w:r w:rsidR="00632FD0" w:rsidRPr="005E0829">
        <w:rPr>
          <w:rFonts w:ascii="Times New Roman" w:hAnsi="Times New Roman" w:cs="Times New Roman"/>
          <w:sz w:val="24"/>
          <w:szCs w:val="24"/>
        </w:rPr>
        <w:t xml:space="preserve"> un 16.6.apakš</w:t>
      </w:r>
      <w:r w:rsidRPr="005E0829">
        <w:rPr>
          <w:rFonts w:ascii="Times New Roman" w:hAnsi="Times New Roman" w:cs="Times New Roman"/>
          <w:sz w:val="24"/>
          <w:szCs w:val="24"/>
        </w:rPr>
        <w:t>punktu</w:t>
      </w:r>
      <w:r w:rsidR="00632FD0" w:rsidRPr="005E0829">
        <w:rPr>
          <w:rFonts w:ascii="Times New Roman" w:hAnsi="Times New Roman" w:cs="Times New Roman"/>
          <w:sz w:val="24"/>
          <w:szCs w:val="24"/>
        </w:rPr>
        <w:t>.</w:t>
      </w:r>
    </w:p>
    <w:p w:rsidR="00B85252" w:rsidRPr="005E0829" w:rsidRDefault="008C6C1E" w:rsidP="00A50433">
      <w:pPr>
        <w:pStyle w:val="ListParagraph"/>
        <w:numPr>
          <w:ilvl w:val="0"/>
          <w:numId w:val="23"/>
        </w:numPr>
        <w:spacing w:before="120" w:after="120" w:line="240" w:lineRule="auto"/>
        <w:ind w:left="709" w:hanging="357"/>
        <w:jc w:val="both"/>
        <w:rPr>
          <w:rFonts w:ascii="Times New Roman" w:hAnsi="Times New Roman" w:cs="Times New Roman"/>
          <w:sz w:val="24"/>
          <w:szCs w:val="24"/>
        </w:rPr>
      </w:pPr>
      <w:r w:rsidRPr="005E0829">
        <w:rPr>
          <w:rFonts w:ascii="Times New Roman" w:hAnsi="Times New Roman" w:cs="Times New Roman"/>
          <w:sz w:val="24"/>
          <w:szCs w:val="24"/>
        </w:rPr>
        <w:t xml:space="preserve">pildināt noteikumus ar </w:t>
      </w:r>
      <w:r w:rsidR="00960B32" w:rsidRPr="005E0829">
        <w:rPr>
          <w:rFonts w:ascii="Times New Roman" w:hAnsi="Times New Roman" w:cs="Times New Roman"/>
          <w:sz w:val="24"/>
          <w:szCs w:val="24"/>
        </w:rPr>
        <w:t>18.</w:t>
      </w:r>
      <w:r w:rsidR="00960B32" w:rsidRPr="005E0829">
        <w:rPr>
          <w:rFonts w:ascii="Times New Roman" w:hAnsi="Times New Roman" w:cs="Times New Roman"/>
          <w:sz w:val="24"/>
          <w:szCs w:val="24"/>
          <w:vertAlign w:val="superscript"/>
        </w:rPr>
        <w:t>1</w:t>
      </w:r>
      <w:r w:rsidR="00B85252" w:rsidRPr="005E0829">
        <w:rPr>
          <w:rFonts w:ascii="Times New Roman" w:hAnsi="Times New Roman" w:cs="Times New Roman"/>
          <w:sz w:val="24"/>
          <w:szCs w:val="24"/>
        </w:rPr>
        <w:t>punktu šādā redakcijā:</w:t>
      </w:r>
    </w:p>
    <w:p w:rsidR="00B85252" w:rsidRPr="005E0829" w:rsidRDefault="00B85252" w:rsidP="00B85252">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„18.</w:t>
      </w:r>
      <w:r w:rsidRPr="005E0829">
        <w:rPr>
          <w:rFonts w:ascii="Times New Roman" w:hAnsi="Times New Roman" w:cs="Times New Roman"/>
          <w:sz w:val="24"/>
          <w:szCs w:val="24"/>
          <w:vertAlign w:val="superscript"/>
        </w:rPr>
        <w:t xml:space="preserve">1 </w:t>
      </w:r>
      <w:r w:rsidRPr="005E0829">
        <w:rPr>
          <w:rFonts w:ascii="Times New Roman" w:hAnsi="Times New Roman" w:cs="Times New Roman"/>
          <w:sz w:val="24"/>
          <w:szCs w:val="24"/>
        </w:rPr>
        <w:t xml:space="preserve">Šo noteikumu 18.2.2.apakšpunktā minēto mārketinga un komerciālās sadarbības sekmēšanas pasākumu ietvaros organizējot reklāmas pasākumus ievēro šādas prasības: </w:t>
      </w:r>
    </w:p>
    <w:p w:rsidR="00B85252" w:rsidRPr="005E0829" w:rsidRDefault="00B85252" w:rsidP="00B85252">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18.</w:t>
      </w:r>
      <w:r w:rsidRPr="005E0829">
        <w:rPr>
          <w:rFonts w:ascii="Times New Roman" w:hAnsi="Times New Roman" w:cs="Times New Roman"/>
          <w:sz w:val="24"/>
          <w:szCs w:val="24"/>
          <w:vertAlign w:val="superscript"/>
        </w:rPr>
        <w:t xml:space="preserve">1 </w:t>
      </w:r>
      <w:r w:rsidRPr="005E0829">
        <w:rPr>
          <w:rFonts w:ascii="Times New Roman" w:hAnsi="Times New Roman" w:cs="Times New Roman"/>
          <w:sz w:val="24"/>
          <w:szCs w:val="24"/>
        </w:rPr>
        <w:t>1. reklāmas kampaņai jābūt vispārējai pēc savas būtības un tai ir jāsniedz labums visiem attiecīgā veida produktu ražotājiem;</w:t>
      </w:r>
    </w:p>
    <w:p w:rsidR="00B85252" w:rsidRPr="005E0829" w:rsidRDefault="00B85252" w:rsidP="00B85252">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18.</w:t>
      </w:r>
      <w:r w:rsidRPr="005E0829">
        <w:rPr>
          <w:rFonts w:ascii="Times New Roman" w:hAnsi="Times New Roman" w:cs="Times New Roman"/>
          <w:sz w:val="24"/>
          <w:szCs w:val="24"/>
          <w:vertAlign w:val="superscript"/>
        </w:rPr>
        <w:t xml:space="preserve">1 </w:t>
      </w:r>
      <w:r w:rsidRPr="005E0829">
        <w:rPr>
          <w:rFonts w:ascii="Times New Roman" w:hAnsi="Times New Roman" w:cs="Times New Roman"/>
          <w:sz w:val="24"/>
          <w:szCs w:val="24"/>
        </w:rPr>
        <w:t xml:space="preserve">2. reklāmas ietvaros netiek </w:t>
      </w:r>
      <w:r w:rsidR="005E0829" w:rsidRPr="005E0829">
        <w:rPr>
          <w:rFonts w:ascii="Times New Roman" w:hAnsi="Times New Roman" w:cs="Times New Roman"/>
          <w:sz w:val="24"/>
          <w:szCs w:val="24"/>
        </w:rPr>
        <w:t>minēta produktu izcelsme</w:t>
      </w:r>
      <w:r w:rsidR="00A14F91">
        <w:rPr>
          <w:rFonts w:ascii="Times New Roman" w:hAnsi="Times New Roman" w:cs="Times New Roman"/>
          <w:sz w:val="24"/>
          <w:szCs w:val="24"/>
        </w:rPr>
        <w:t>s valsts</w:t>
      </w:r>
      <w:r w:rsidRPr="005E0829">
        <w:rPr>
          <w:rFonts w:ascii="Times New Roman" w:hAnsi="Times New Roman" w:cs="Times New Roman"/>
          <w:sz w:val="24"/>
          <w:szCs w:val="24"/>
        </w:rPr>
        <w:t>;</w:t>
      </w:r>
    </w:p>
    <w:p w:rsidR="00B85252" w:rsidRPr="005E0829" w:rsidRDefault="00B85252" w:rsidP="00B85252">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18.</w:t>
      </w:r>
      <w:r w:rsidRPr="005E0829">
        <w:rPr>
          <w:rFonts w:ascii="Times New Roman" w:hAnsi="Times New Roman" w:cs="Times New Roman"/>
          <w:sz w:val="24"/>
          <w:szCs w:val="24"/>
          <w:vertAlign w:val="superscript"/>
        </w:rPr>
        <w:t xml:space="preserve">1 </w:t>
      </w:r>
      <w:r w:rsidRPr="005E0829">
        <w:rPr>
          <w:rFonts w:ascii="Times New Roman" w:hAnsi="Times New Roman" w:cs="Times New Roman"/>
          <w:sz w:val="24"/>
          <w:szCs w:val="24"/>
        </w:rPr>
        <w:t>3.</w:t>
      </w:r>
      <w:r w:rsidRPr="005E0829">
        <w:rPr>
          <w:rFonts w:ascii="Times New Roman" w:hAnsi="Times New Roman" w:cs="Times New Roman"/>
          <w:sz w:val="24"/>
          <w:szCs w:val="24"/>
          <w:vertAlign w:val="superscript"/>
        </w:rPr>
        <w:t xml:space="preserve"> </w:t>
      </w:r>
      <w:r w:rsidRPr="005E0829">
        <w:rPr>
          <w:rFonts w:ascii="Times New Roman" w:hAnsi="Times New Roman" w:cs="Times New Roman"/>
          <w:sz w:val="24"/>
          <w:szCs w:val="24"/>
        </w:rPr>
        <w:t>reklāmu var īstenot ražotāju grupas vai citas organizācijas neatkarīgi no to lieluma.”;</w:t>
      </w:r>
    </w:p>
    <w:p w:rsidR="00385F40" w:rsidRPr="00B06F32" w:rsidRDefault="00385F40" w:rsidP="00A50433">
      <w:pPr>
        <w:pStyle w:val="ListParagraph"/>
        <w:numPr>
          <w:ilvl w:val="0"/>
          <w:numId w:val="23"/>
        </w:numPr>
        <w:spacing w:before="120" w:after="120" w:line="240" w:lineRule="auto"/>
        <w:ind w:left="709" w:hanging="357"/>
        <w:jc w:val="both"/>
        <w:rPr>
          <w:rFonts w:ascii="Times New Roman" w:hAnsi="Times New Roman" w:cs="Times New Roman"/>
          <w:sz w:val="24"/>
          <w:szCs w:val="24"/>
        </w:rPr>
      </w:pPr>
      <w:r w:rsidRPr="00B06F32">
        <w:rPr>
          <w:rFonts w:ascii="Times New Roman" w:hAnsi="Times New Roman" w:cs="Times New Roman"/>
          <w:sz w:val="24"/>
          <w:szCs w:val="24"/>
        </w:rPr>
        <w:t xml:space="preserve">izteikt 26.punktu šādā redakcijā: </w:t>
      </w:r>
    </w:p>
    <w:p w:rsidR="002401B3" w:rsidRPr="005E0829" w:rsidRDefault="00385F40" w:rsidP="00521FA2">
      <w:pPr>
        <w:pStyle w:val="ListParagraph"/>
        <w:spacing w:before="120" w:after="120" w:line="240" w:lineRule="auto"/>
        <w:ind w:left="0"/>
        <w:jc w:val="both"/>
        <w:rPr>
          <w:rFonts w:ascii="Times New Roman" w:hAnsi="Times New Roman" w:cs="Times New Roman"/>
          <w:sz w:val="24"/>
          <w:szCs w:val="24"/>
        </w:rPr>
      </w:pPr>
      <w:r w:rsidRPr="00B06F32">
        <w:rPr>
          <w:rFonts w:ascii="Times New Roman" w:hAnsi="Times New Roman" w:cs="Times New Roman"/>
          <w:sz w:val="24"/>
          <w:szCs w:val="24"/>
        </w:rPr>
        <w:t>„</w:t>
      </w:r>
      <w:r w:rsidR="009116A9" w:rsidRPr="00B06F32">
        <w:rPr>
          <w:rFonts w:ascii="Times New Roman" w:hAnsi="Times New Roman"/>
          <w:sz w:val="24"/>
          <w:szCs w:val="24"/>
        </w:rPr>
        <w:t xml:space="preserve">26. Finansējuma saņēmējs ne vairāk kā 70% no finansējuma saņēmējam piešķirtā fonda līdzfinansējuma izmanto šo noteikumu 18.1.apakšpunktā minētajām darbībām, savukārt, ne mazāk kā 30% no finansējuma saņēmējam piešķirtā fonda līdzfinansējuma izmanto šo noteikumu 18.2.apakšpunktā minētajām darbībām. Fonda līdzfinansējums šo noteikumu 18.2.apakšpunktā minētajām darbībām tiek sniegts kā </w:t>
      </w:r>
      <w:proofErr w:type="spellStart"/>
      <w:r w:rsidR="009116A9" w:rsidRPr="00E513CC">
        <w:rPr>
          <w:rFonts w:ascii="Times New Roman" w:hAnsi="Times New Roman"/>
          <w:i/>
          <w:sz w:val="24"/>
          <w:szCs w:val="24"/>
        </w:rPr>
        <w:t>de</w:t>
      </w:r>
      <w:proofErr w:type="spellEnd"/>
      <w:r w:rsidR="009116A9" w:rsidRPr="00E513CC">
        <w:rPr>
          <w:rFonts w:ascii="Times New Roman" w:hAnsi="Times New Roman"/>
          <w:i/>
          <w:sz w:val="24"/>
          <w:szCs w:val="24"/>
        </w:rPr>
        <w:t xml:space="preserve"> </w:t>
      </w:r>
      <w:proofErr w:type="spellStart"/>
      <w:r w:rsidR="009116A9" w:rsidRPr="00E513CC">
        <w:rPr>
          <w:rFonts w:ascii="Times New Roman" w:hAnsi="Times New Roman"/>
          <w:i/>
          <w:sz w:val="24"/>
          <w:szCs w:val="24"/>
        </w:rPr>
        <w:t>minimis</w:t>
      </w:r>
      <w:proofErr w:type="spellEnd"/>
      <w:r w:rsidR="009116A9" w:rsidRPr="00B06F32">
        <w:rPr>
          <w:rFonts w:ascii="Times New Roman" w:hAnsi="Times New Roman"/>
          <w:sz w:val="24"/>
          <w:szCs w:val="24"/>
        </w:rPr>
        <w:t xml:space="preserve"> atbalsts šo noteikumu 13.punktā minētajiem sadarbības partneriem.</w:t>
      </w:r>
      <w:r w:rsidRPr="005E0829">
        <w:rPr>
          <w:rFonts w:ascii="Times New Roman" w:hAnsi="Times New Roman" w:cs="Times New Roman"/>
          <w:sz w:val="24"/>
          <w:szCs w:val="24"/>
        </w:rPr>
        <w:t>”</w:t>
      </w:r>
      <w:r w:rsidR="009F3B79" w:rsidRPr="005E0829">
        <w:rPr>
          <w:rFonts w:ascii="Times New Roman" w:hAnsi="Times New Roman" w:cs="Times New Roman"/>
          <w:sz w:val="24"/>
          <w:szCs w:val="24"/>
        </w:rPr>
        <w:t>;</w:t>
      </w:r>
    </w:p>
    <w:p w:rsidR="0035284D" w:rsidRPr="005E0829" w:rsidRDefault="0035284D" w:rsidP="00A50433">
      <w:pPr>
        <w:pStyle w:val="ListParagraph"/>
        <w:numPr>
          <w:ilvl w:val="0"/>
          <w:numId w:val="23"/>
        </w:numPr>
        <w:spacing w:before="120" w:after="120" w:line="240" w:lineRule="auto"/>
        <w:ind w:left="709"/>
        <w:rPr>
          <w:rFonts w:ascii="Times New Roman" w:hAnsi="Times New Roman" w:cs="Times New Roman"/>
          <w:sz w:val="24"/>
          <w:szCs w:val="24"/>
        </w:rPr>
      </w:pPr>
      <w:r w:rsidRPr="005E0829">
        <w:rPr>
          <w:rFonts w:ascii="Times New Roman" w:hAnsi="Times New Roman" w:cs="Times New Roman"/>
          <w:sz w:val="24"/>
          <w:szCs w:val="24"/>
        </w:rPr>
        <w:t>izteikt 56.punktu šādā redakcijā:</w:t>
      </w:r>
    </w:p>
    <w:p w:rsidR="0035284D" w:rsidRPr="005E0829" w:rsidRDefault="0035284D"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 xml:space="preserve">„56. </w:t>
      </w:r>
      <w:r w:rsidR="00C5614A" w:rsidRPr="005E0829">
        <w:rPr>
          <w:rStyle w:val="apple-converted-space"/>
          <w:rFonts w:ascii="Times New Roman" w:hAnsi="Times New Roman" w:cs="Times New Roman"/>
          <w:sz w:val="24"/>
          <w:szCs w:val="24"/>
        </w:rPr>
        <w:t> </w:t>
      </w:r>
      <w:r w:rsidR="00B53A53" w:rsidRPr="00B53A53">
        <w:rPr>
          <w:rFonts w:ascii="Times New Roman" w:hAnsi="Times New Roman" w:cs="Times New Roman"/>
          <w:sz w:val="24"/>
          <w:szCs w:val="24"/>
        </w:rPr>
        <w:t>Projekta maksimālais īstenošanas laiks ir trīs gadi no līguma par projekta īstenošanu noslēgšanas. Projekta maksimālo īstenošanas laiku var pagarināt līdz 2015.gada 31.decembrim</w:t>
      </w:r>
      <w:r w:rsidR="00B53A53" w:rsidRPr="00B06F32">
        <w:rPr>
          <w:rFonts w:ascii="Times New Roman" w:hAnsi="Times New Roman" w:cs="Times New Roman"/>
          <w:sz w:val="24"/>
          <w:szCs w:val="24"/>
        </w:rPr>
        <w:t>, ja veic grozījumus līgumā par projekta īstenošanu atbilstoši šo</w:t>
      </w:r>
      <w:r w:rsidR="006F15CF" w:rsidRPr="00B06F32">
        <w:rPr>
          <w:rFonts w:ascii="Times New Roman" w:hAnsi="Times New Roman" w:cs="Times New Roman"/>
          <w:sz w:val="24"/>
          <w:szCs w:val="24"/>
        </w:rPr>
        <w:t xml:space="preserve"> noteikumu 60.</w:t>
      </w:r>
      <w:r w:rsidR="006F15CF" w:rsidRPr="00B06F32">
        <w:rPr>
          <w:rFonts w:ascii="Times New Roman" w:hAnsi="Times New Roman" w:cs="Times New Roman"/>
          <w:sz w:val="24"/>
          <w:szCs w:val="24"/>
          <w:vertAlign w:val="superscript"/>
        </w:rPr>
        <w:t>1</w:t>
      </w:r>
      <w:r w:rsidR="006F15CF" w:rsidRPr="00B06F32">
        <w:rPr>
          <w:rFonts w:ascii="Times New Roman" w:hAnsi="Times New Roman" w:cs="Times New Roman"/>
          <w:sz w:val="24"/>
          <w:szCs w:val="24"/>
        </w:rPr>
        <w:t xml:space="preserve"> un 60.</w:t>
      </w:r>
      <w:r w:rsidR="006F15CF" w:rsidRPr="00B06F32">
        <w:rPr>
          <w:rFonts w:ascii="Times New Roman" w:hAnsi="Times New Roman" w:cs="Times New Roman"/>
          <w:sz w:val="24"/>
          <w:szCs w:val="24"/>
          <w:vertAlign w:val="superscript"/>
        </w:rPr>
        <w:t>2</w:t>
      </w:r>
      <w:r w:rsidR="00B12B8F">
        <w:rPr>
          <w:rFonts w:ascii="Times New Roman" w:hAnsi="Times New Roman" w:cs="Times New Roman"/>
          <w:sz w:val="24"/>
          <w:szCs w:val="24"/>
        </w:rPr>
        <w:t xml:space="preserve"> punktam vai</w:t>
      </w:r>
      <w:r w:rsidR="006F15CF" w:rsidRPr="00C04F59">
        <w:rPr>
          <w:rFonts w:ascii="Times New Roman" w:hAnsi="Times New Roman" w:cs="Times New Roman"/>
          <w:sz w:val="24"/>
          <w:szCs w:val="24"/>
        </w:rPr>
        <w:t xml:space="preserve"> </w:t>
      </w:r>
      <w:r w:rsidR="00B53A53" w:rsidRPr="00B06F32">
        <w:rPr>
          <w:rFonts w:ascii="Times New Roman" w:hAnsi="Times New Roman" w:cs="Times New Roman"/>
          <w:sz w:val="24"/>
          <w:szCs w:val="24"/>
        </w:rPr>
        <w:t>saskaņā ar normatīvo aktu, kas nosaka kārtību, kādā Eiropas Savienības struktūrfondu un Kohēzijas fonda vadībā iesaistītās institūcijas nodrošina plānošanas dokumentu sagatavošanu un šo fondu ieviešanu.</w:t>
      </w:r>
      <w:r w:rsidRPr="005E0829">
        <w:rPr>
          <w:rFonts w:ascii="Times New Roman" w:hAnsi="Times New Roman" w:cs="Times New Roman"/>
          <w:sz w:val="24"/>
          <w:szCs w:val="24"/>
        </w:rPr>
        <w:t>”;</w:t>
      </w:r>
    </w:p>
    <w:p w:rsidR="001C1DEA" w:rsidRPr="005E0829" w:rsidRDefault="001C1DEA" w:rsidP="00A50433">
      <w:pPr>
        <w:pStyle w:val="ListParagraph"/>
        <w:numPr>
          <w:ilvl w:val="0"/>
          <w:numId w:val="23"/>
        </w:numPr>
        <w:spacing w:before="120" w:after="120" w:line="240" w:lineRule="auto"/>
        <w:ind w:left="709"/>
        <w:rPr>
          <w:rFonts w:ascii="Times New Roman" w:hAnsi="Times New Roman" w:cs="Times New Roman"/>
          <w:sz w:val="24"/>
          <w:szCs w:val="24"/>
        </w:rPr>
      </w:pPr>
      <w:r w:rsidRPr="005E0829">
        <w:rPr>
          <w:rFonts w:ascii="Times New Roman" w:hAnsi="Times New Roman" w:cs="Times New Roman"/>
          <w:sz w:val="24"/>
          <w:szCs w:val="24"/>
        </w:rPr>
        <w:t>papildināt noteikumus ar 60.</w:t>
      </w:r>
      <w:r w:rsidRPr="005E0829">
        <w:rPr>
          <w:rFonts w:ascii="Times New Roman" w:hAnsi="Times New Roman" w:cs="Times New Roman"/>
          <w:sz w:val="24"/>
          <w:szCs w:val="24"/>
          <w:vertAlign w:val="superscript"/>
        </w:rPr>
        <w:t xml:space="preserve">1 </w:t>
      </w:r>
      <w:r w:rsidR="000167E2" w:rsidRPr="005E0829">
        <w:rPr>
          <w:rFonts w:ascii="Times New Roman" w:hAnsi="Times New Roman" w:cs="Times New Roman"/>
          <w:sz w:val="24"/>
          <w:szCs w:val="24"/>
        </w:rPr>
        <w:t>un 60.</w:t>
      </w:r>
      <w:r w:rsidR="000167E2" w:rsidRPr="005E0829">
        <w:rPr>
          <w:rFonts w:ascii="Times New Roman" w:hAnsi="Times New Roman" w:cs="Times New Roman"/>
          <w:sz w:val="24"/>
          <w:szCs w:val="24"/>
          <w:vertAlign w:val="superscript"/>
        </w:rPr>
        <w:t xml:space="preserve">2 </w:t>
      </w:r>
      <w:r w:rsidRPr="005E0829">
        <w:rPr>
          <w:rFonts w:ascii="Times New Roman" w:hAnsi="Times New Roman" w:cs="Times New Roman"/>
          <w:sz w:val="24"/>
          <w:szCs w:val="24"/>
        </w:rPr>
        <w:t>punktu šādā redakcijā:</w:t>
      </w:r>
    </w:p>
    <w:p w:rsidR="00537949" w:rsidRPr="005E0829" w:rsidRDefault="001C1DEA" w:rsidP="00537949">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537949" w:rsidRPr="005E0829">
        <w:rPr>
          <w:rFonts w:ascii="Times New Roman" w:hAnsi="Times New Roman" w:cs="Times New Roman"/>
          <w:sz w:val="24"/>
          <w:szCs w:val="24"/>
        </w:rPr>
        <w:t>60.</w:t>
      </w:r>
      <w:r w:rsidR="00537949" w:rsidRPr="005E0829">
        <w:rPr>
          <w:rFonts w:ascii="Times New Roman" w:hAnsi="Times New Roman" w:cs="Times New Roman"/>
          <w:sz w:val="24"/>
          <w:szCs w:val="24"/>
          <w:vertAlign w:val="superscript"/>
        </w:rPr>
        <w:t>1</w:t>
      </w:r>
      <w:r w:rsidR="00537949" w:rsidRPr="005E0829">
        <w:rPr>
          <w:rFonts w:ascii="Times New Roman" w:hAnsi="Times New Roman" w:cs="Times New Roman"/>
          <w:sz w:val="24"/>
          <w:szCs w:val="24"/>
        </w:rPr>
        <w:t xml:space="preserve"> Finansējuma saņēmējs, kura pārstāvētā saimnieciskās darbības nozare ir saistīta ar NACE 2.red. C sadaļas „Apstrādes rūpniecība” 10.nodaļu „Pārtikas produktu ražošana”, var ierosināt grozījumus līgumā par projekta īstenošanu par projekta kopējā finansējuma apmēra palielinājumu, ja ir ievēroti šādi nosacījumi:</w:t>
      </w:r>
    </w:p>
    <w:p w:rsidR="00537949" w:rsidRPr="005E0829" w:rsidRDefault="00537949" w:rsidP="00537949">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Pr="005E0829">
        <w:rPr>
          <w:rFonts w:ascii="Times New Roman" w:hAnsi="Times New Roman" w:cs="Times New Roman"/>
          <w:sz w:val="24"/>
          <w:szCs w:val="24"/>
          <w:vertAlign w:val="superscript"/>
        </w:rPr>
        <w:t>1</w:t>
      </w:r>
      <w:r w:rsidR="000559E1">
        <w:rPr>
          <w:rFonts w:ascii="Times New Roman" w:hAnsi="Times New Roman" w:cs="Times New Roman"/>
          <w:sz w:val="24"/>
          <w:szCs w:val="24"/>
          <w:vertAlign w:val="superscript"/>
        </w:rPr>
        <w:t xml:space="preserve"> </w:t>
      </w:r>
      <w:r w:rsidRPr="005E0829">
        <w:rPr>
          <w:rFonts w:ascii="Times New Roman" w:hAnsi="Times New Roman" w:cs="Times New Roman"/>
          <w:sz w:val="24"/>
          <w:szCs w:val="24"/>
        </w:rPr>
        <w:t xml:space="preserve">1. projekta finansējuma apmēru nepalielina vairāk kā par </w:t>
      </w:r>
      <w:r w:rsidR="000167E2" w:rsidRPr="005E0829">
        <w:rPr>
          <w:rFonts w:ascii="Times New Roman" w:hAnsi="Times New Roman" w:cs="Times New Roman"/>
          <w:sz w:val="24"/>
          <w:szCs w:val="24"/>
        </w:rPr>
        <w:t>30</w:t>
      </w:r>
      <w:r w:rsidRPr="005E0829">
        <w:rPr>
          <w:rFonts w:ascii="Times New Roman" w:hAnsi="Times New Roman" w:cs="Times New Roman"/>
          <w:sz w:val="24"/>
          <w:szCs w:val="24"/>
        </w:rPr>
        <w:t xml:space="preserve">0 000 </w:t>
      </w:r>
      <w:proofErr w:type="spellStart"/>
      <w:r w:rsidRPr="00BE6F60">
        <w:rPr>
          <w:rFonts w:ascii="Times New Roman" w:hAnsi="Times New Roman" w:cs="Times New Roman"/>
          <w:i/>
          <w:sz w:val="24"/>
          <w:szCs w:val="24"/>
        </w:rPr>
        <w:t>euro</w:t>
      </w:r>
      <w:proofErr w:type="spellEnd"/>
      <w:r w:rsidRPr="005E0829">
        <w:rPr>
          <w:rFonts w:ascii="Times New Roman" w:hAnsi="Times New Roman" w:cs="Times New Roman"/>
          <w:sz w:val="24"/>
          <w:szCs w:val="24"/>
        </w:rPr>
        <w:t>;</w:t>
      </w:r>
    </w:p>
    <w:p w:rsidR="00537949" w:rsidRPr="005E0829" w:rsidRDefault="00537949" w:rsidP="00537949">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Pr="005E0829">
        <w:rPr>
          <w:rFonts w:ascii="Times New Roman" w:hAnsi="Times New Roman" w:cs="Times New Roman"/>
          <w:sz w:val="24"/>
          <w:szCs w:val="24"/>
          <w:vertAlign w:val="superscript"/>
        </w:rPr>
        <w:t>1</w:t>
      </w:r>
      <w:r w:rsidR="000559E1">
        <w:rPr>
          <w:rFonts w:ascii="Times New Roman" w:hAnsi="Times New Roman" w:cs="Times New Roman"/>
          <w:sz w:val="24"/>
          <w:szCs w:val="24"/>
          <w:vertAlign w:val="superscript"/>
        </w:rPr>
        <w:t xml:space="preserve"> </w:t>
      </w:r>
      <w:r w:rsidR="000559E1">
        <w:rPr>
          <w:rFonts w:ascii="Times New Roman" w:hAnsi="Times New Roman" w:cs="Times New Roman"/>
          <w:sz w:val="24"/>
          <w:szCs w:val="24"/>
        </w:rPr>
        <w:t>2</w:t>
      </w:r>
      <w:r w:rsidRPr="005E0829">
        <w:rPr>
          <w:rFonts w:ascii="Times New Roman" w:hAnsi="Times New Roman" w:cs="Times New Roman"/>
          <w:sz w:val="24"/>
          <w:szCs w:val="24"/>
        </w:rPr>
        <w:t>.</w:t>
      </w:r>
      <w:r w:rsidR="0079719D" w:rsidRPr="005E0829">
        <w:rPr>
          <w:rFonts w:ascii="Times New Roman" w:hAnsi="Times New Roman" w:cs="Times New Roman"/>
          <w:sz w:val="24"/>
          <w:szCs w:val="24"/>
        </w:rPr>
        <w:t xml:space="preserve"> projekta finansējumu palielina</w:t>
      </w:r>
      <w:r w:rsidRPr="005E0829">
        <w:rPr>
          <w:rFonts w:ascii="Times New Roman" w:hAnsi="Times New Roman" w:cs="Times New Roman"/>
          <w:sz w:val="24"/>
          <w:szCs w:val="24"/>
        </w:rPr>
        <w:t xml:space="preserve"> izmantojot </w:t>
      </w:r>
      <w:proofErr w:type="spellStart"/>
      <w:r w:rsidRPr="005E0829">
        <w:rPr>
          <w:rFonts w:ascii="Times New Roman" w:hAnsi="Times New Roman" w:cs="Times New Roman"/>
          <w:sz w:val="24"/>
          <w:szCs w:val="24"/>
        </w:rPr>
        <w:t>virssaistību</w:t>
      </w:r>
      <w:proofErr w:type="spellEnd"/>
      <w:r w:rsidRPr="005E0829">
        <w:rPr>
          <w:rFonts w:ascii="Times New Roman" w:hAnsi="Times New Roman" w:cs="Times New Roman"/>
          <w:sz w:val="24"/>
          <w:szCs w:val="24"/>
        </w:rPr>
        <w:t xml:space="preserve"> finansējumu.</w:t>
      </w:r>
    </w:p>
    <w:p w:rsidR="00537949" w:rsidRPr="005E0829" w:rsidRDefault="00537949" w:rsidP="001C1DEA">
      <w:pPr>
        <w:spacing w:after="0" w:line="240" w:lineRule="auto"/>
        <w:jc w:val="both"/>
        <w:rPr>
          <w:rFonts w:ascii="Times New Roman" w:hAnsi="Times New Roman" w:cs="Times New Roman"/>
          <w:sz w:val="24"/>
          <w:szCs w:val="24"/>
        </w:rPr>
      </w:pPr>
    </w:p>
    <w:p w:rsidR="001C1DEA" w:rsidRPr="005E0829" w:rsidRDefault="00537949" w:rsidP="001C1DEA">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000167E2" w:rsidRPr="005E0829">
        <w:rPr>
          <w:rFonts w:ascii="Times New Roman" w:hAnsi="Times New Roman" w:cs="Times New Roman"/>
          <w:sz w:val="24"/>
          <w:szCs w:val="24"/>
          <w:vertAlign w:val="superscript"/>
        </w:rPr>
        <w:t>2</w:t>
      </w:r>
      <w:r w:rsidR="001C1DEA" w:rsidRPr="005E0829">
        <w:rPr>
          <w:rFonts w:ascii="Times New Roman" w:hAnsi="Times New Roman" w:cs="Times New Roman"/>
          <w:sz w:val="24"/>
          <w:szCs w:val="24"/>
        </w:rPr>
        <w:t xml:space="preserve"> Finansējuma saņēmējs</w:t>
      </w:r>
      <w:r w:rsidRPr="005E0829">
        <w:rPr>
          <w:rFonts w:ascii="Times New Roman" w:hAnsi="Times New Roman" w:cs="Times New Roman"/>
          <w:sz w:val="24"/>
          <w:szCs w:val="24"/>
        </w:rPr>
        <w:t xml:space="preserve">, kura pārstāvētā saimnieciskās darbības nozare nav saistīta ar NACE 2.red. C sadaļas „Apstrādes rūpniecība” 10.nodaļu „Pārtikas produktu ražošana”, </w:t>
      </w:r>
      <w:r w:rsidR="001C1DEA" w:rsidRPr="005E0829">
        <w:rPr>
          <w:rFonts w:ascii="Times New Roman" w:hAnsi="Times New Roman" w:cs="Times New Roman"/>
          <w:sz w:val="24"/>
          <w:szCs w:val="24"/>
        </w:rPr>
        <w:t>var ierosināt grozījumus līgumā par projekta īstenošanu par projekta kopējā finansējuma apmēra palielinājumu, ja ir ievēroti šādi nosacījumi:</w:t>
      </w:r>
    </w:p>
    <w:p w:rsidR="001C1DEA" w:rsidRPr="005E0829" w:rsidRDefault="00537949" w:rsidP="001C1DEA">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000167E2" w:rsidRPr="005E0829">
        <w:rPr>
          <w:rFonts w:ascii="Times New Roman" w:hAnsi="Times New Roman" w:cs="Times New Roman"/>
          <w:sz w:val="24"/>
          <w:szCs w:val="24"/>
          <w:vertAlign w:val="superscript"/>
        </w:rPr>
        <w:t>2</w:t>
      </w:r>
      <w:r w:rsidR="000559E1">
        <w:rPr>
          <w:rFonts w:ascii="Times New Roman" w:hAnsi="Times New Roman" w:cs="Times New Roman"/>
          <w:sz w:val="24"/>
          <w:szCs w:val="24"/>
          <w:vertAlign w:val="superscript"/>
        </w:rPr>
        <w:t xml:space="preserve"> </w:t>
      </w:r>
      <w:r w:rsidR="001C1DEA" w:rsidRPr="005E0829">
        <w:rPr>
          <w:rFonts w:ascii="Times New Roman" w:hAnsi="Times New Roman" w:cs="Times New Roman"/>
          <w:sz w:val="24"/>
          <w:szCs w:val="24"/>
        </w:rPr>
        <w:t xml:space="preserve">1. finansējuma saņēmējs ir iesniedzis sadarbības iestādē starpposma maksājuma pieprasījumus vismaz par </w:t>
      </w:r>
      <w:r w:rsidR="002D61BB" w:rsidRPr="005E0829">
        <w:rPr>
          <w:rFonts w:ascii="Times New Roman" w:hAnsi="Times New Roman" w:cs="Times New Roman"/>
          <w:sz w:val="24"/>
          <w:szCs w:val="24"/>
        </w:rPr>
        <w:t>60</w:t>
      </w:r>
      <w:r w:rsidR="001C1DEA" w:rsidRPr="005E0829">
        <w:rPr>
          <w:rFonts w:ascii="Times New Roman" w:hAnsi="Times New Roman" w:cs="Times New Roman"/>
          <w:sz w:val="24"/>
          <w:szCs w:val="24"/>
        </w:rPr>
        <w:t xml:space="preserve"> % no projekta attiecināmo izmaksu summas</w:t>
      </w:r>
      <w:r w:rsidR="00B5266E" w:rsidRPr="005E0829">
        <w:rPr>
          <w:rFonts w:ascii="Times New Roman" w:hAnsi="Times New Roman" w:cs="Times New Roman"/>
          <w:sz w:val="24"/>
          <w:szCs w:val="24"/>
        </w:rPr>
        <w:t>;</w:t>
      </w:r>
    </w:p>
    <w:p w:rsidR="00F36255" w:rsidRPr="005E0829" w:rsidRDefault="00537949" w:rsidP="001C1DEA">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000167E2" w:rsidRPr="005E0829">
        <w:rPr>
          <w:rFonts w:ascii="Times New Roman" w:hAnsi="Times New Roman" w:cs="Times New Roman"/>
          <w:sz w:val="24"/>
          <w:szCs w:val="24"/>
          <w:vertAlign w:val="superscript"/>
        </w:rPr>
        <w:t>2</w:t>
      </w:r>
      <w:r w:rsidR="000559E1">
        <w:rPr>
          <w:rFonts w:ascii="Times New Roman" w:hAnsi="Times New Roman" w:cs="Times New Roman"/>
          <w:sz w:val="24"/>
          <w:szCs w:val="24"/>
          <w:vertAlign w:val="superscript"/>
        </w:rPr>
        <w:t xml:space="preserve"> </w:t>
      </w:r>
      <w:r w:rsidRPr="005E0829">
        <w:rPr>
          <w:rFonts w:ascii="Times New Roman" w:hAnsi="Times New Roman" w:cs="Times New Roman"/>
          <w:sz w:val="24"/>
          <w:szCs w:val="24"/>
        </w:rPr>
        <w:t>2</w:t>
      </w:r>
      <w:r w:rsidR="001C1DEA" w:rsidRPr="005E0829">
        <w:rPr>
          <w:rFonts w:ascii="Times New Roman" w:hAnsi="Times New Roman" w:cs="Times New Roman"/>
          <w:sz w:val="24"/>
          <w:szCs w:val="24"/>
        </w:rPr>
        <w:t xml:space="preserve">. projekta finansējuma apmēru nepalielina vairāk kā par </w:t>
      </w:r>
      <w:r w:rsidR="007C511C" w:rsidRPr="005E0829">
        <w:rPr>
          <w:rFonts w:ascii="Times New Roman" w:hAnsi="Times New Roman" w:cs="Times New Roman"/>
          <w:sz w:val="24"/>
          <w:szCs w:val="24"/>
        </w:rPr>
        <w:t>1</w:t>
      </w:r>
      <w:r w:rsidR="000102DB" w:rsidRPr="005E0829">
        <w:rPr>
          <w:rFonts w:ascii="Times New Roman" w:hAnsi="Times New Roman" w:cs="Times New Roman"/>
          <w:sz w:val="24"/>
          <w:szCs w:val="24"/>
        </w:rPr>
        <w:t>0</w:t>
      </w:r>
      <w:r w:rsidR="001C1DEA" w:rsidRPr="005E0829">
        <w:rPr>
          <w:rFonts w:ascii="Times New Roman" w:hAnsi="Times New Roman" w:cs="Times New Roman"/>
          <w:sz w:val="24"/>
          <w:szCs w:val="24"/>
        </w:rPr>
        <w:t>0</w:t>
      </w:r>
      <w:r w:rsidR="00C61414" w:rsidRPr="005E0829">
        <w:rPr>
          <w:rFonts w:ascii="Times New Roman" w:hAnsi="Times New Roman" w:cs="Times New Roman"/>
          <w:sz w:val="24"/>
          <w:szCs w:val="24"/>
        </w:rPr>
        <w:t xml:space="preserve"> 000</w:t>
      </w:r>
      <w:r w:rsidR="001C1DEA" w:rsidRPr="005E0829">
        <w:rPr>
          <w:rFonts w:ascii="Times New Roman" w:hAnsi="Times New Roman" w:cs="Times New Roman"/>
          <w:sz w:val="24"/>
          <w:szCs w:val="24"/>
        </w:rPr>
        <w:t xml:space="preserve"> </w:t>
      </w:r>
      <w:proofErr w:type="spellStart"/>
      <w:r w:rsidR="001C1DEA" w:rsidRPr="00BE6F60">
        <w:rPr>
          <w:rFonts w:ascii="Times New Roman" w:hAnsi="Times New Roman" w:cs="Times New Roman"/>
          <w:i/>
          <w:sz w:val="24"/>
          <w:szCs w:val="24"/>
        </w:rPr>
        <w:t>euro</w:t>
      </w:r>
      <w:proofErr w:type="spellEnd"/>
      <w:r w:rsidR="001C1DEA" w:rsidRPr="005E0829">
        <w:rPr>
          <w:rFonts w:ascii="Times New Roman" w:hAnsi="Times New Roman" w:cs="Times New Roman"/>
          <w:sz w:val="24"/>
          <w:szCs w:val="24"/>
        </w:rPr>
        <w:t>;</w:t>
      </w:r>
    </w:p>
    <w:p w:rsidR="001C1DEA" w:rsidRPr="005E0829" w:rsidRDefault="00537949" w:rsidP="00537949">
      <w:pPr>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60.</w:t>
      </w:r>
      <w:r w:rsidR="000167E2" w:rsidRPr="005E0829">
        <w:rPr>
          <w:rFonts w:ascii="Times New Roman" w:hAnsi="Times New Roman" w:cs="Times New Roman"/>
          <w:sz w:val="24"/>
          <w:szCs w:val="24"/>
          <w:vertAlign w:val="superscript"/>
        </w:rPr>
        <w:t>2</w:t>
      </w:r>
      <w:r w:rsidR="000559E1">
        <w:rPr>
          <w:rFonts w:ascii="Times New Roman" w:hAnsi="Times New Roman" w:cs="Times New Roman"/>
          <w:sz w:val="24"/>
          <w:szCs w:val="24"/>
          <w:vertAlign w:val="superscript"/>
        </w:rPr>
        <w:t xml:space="preserve"> </w:t>
      </w:r>
      <w:r w:rsidR="000559E1">
        <w:rPr>
          <w:rFonts w:ascii="Times New Roman" w:hAnsi="Times New Roman" w:cs="Times New Roman"/>
          <w:sz w:val="24"/>
          <w:szCs w:val="24"/>
        </w:rPr>
        <w:t>3</w:t>
      </w:r>
      <w:r w:rsidR="001C1DEA" w:rsidRPr="005E0829">
        <w:rPr>
          <w:rFonts w:ascii="Times New Roman" w:hAnsi="Times New Roman" w:cs="Times New Roman"/>
          <w:sz w:val="24"/>
          <w:szCs w:val="24"/>
        </w:rPr>
        <w:t>.</w:t>
      </w:r>
      <w:r w:rsidR="0079719D" w:rsidRPr="005E0829">
        <w:rPr>
          <w:rFonts w:ascii="Times New Roman" w:hAnsi="Times New Roman" w:cs="Times New Roman"/>
          <w:sz w:val="24"/>
          <w:szCs w:val="24"/>
        </w:rPr>
        <w:t xml:space="preserve"> projekta finansējumu palielina</w:t>
      </w:r>
      <w:r w:rsidR="001C1DEA" w:rsidRPr="005E0829">
        <w:rPr>
          <w:rFonts w:ascii="Times New Roman" w:hAnsi="Times New Roman" w:cs="Times New Roman"/>
          <w:sz w:val="24"/>
          <w:szCs w:val="24"/>
        </w:rPr>
        <w:t xml:space="preserve"> izmantojot </w:t>
      </w:r>
      <w:proofErr w:type="spellStart"/>
      <w:r w:rsidR="001C1DEA" w:rsidRPr="005E0829">
        <w:rPr>
          <w:rFonts w:ascii="Times New Roman" w:hAnsi="Times New Roman" w:cs="Times New Roman"/>
          <w:sz w:val="24"/>
          <w:szCs w:val="24"/>
        </w:rPr>
        <w:t>virssaistību</w:t>
      </w:r>
      <w:proofErr w:type="spellEnd"/>
      <w:r w:rsidR="001C1DEA" w:rsidRPr="005E0829">
        <w:rPr>
          <w:rFonts w:ascii="Times New Roman" w:hAnsi="Times New Roman" w:cs="Times New Roman"/>
          <w:sz w:val="24"/>
          <w:szCs w:val="24"/>
        </w:rPr>
        <w:t xml:space="preserve"> finansējumu</w:t>
      </w:r>
      <w:r w:rsidR="00B9344B" w:rsidRPr="005E0829">
        <w:rPr>
          <w:rFonts w:ascii="Times New Roman" w:hAnsi="Times New Roman" w:cs="Times New Roman"/>
          <w:sz w:val="24"/>
          <w:szCs w:val="24"/>
        </w:rPr>
        <w:t>.”;</w:t>
      </w:r>
    </w:p>
    <w:p w:rsidR="007C06BC" w:rsidRPr="005E0829" w:rsidRDefault="007C06BC" w:rsidP="00A50433">
      <w:pPr>
        <w:pStyle w:val="ListParagraph"/>
        <w:numPr>
          <w:ilvl w:val="0"/>
          <w:numId w:val="23"/>
        </w:numPr>
        <w:spacing w:before="120" w:after="120" w:line="240" w:lineRule="auto"/>
        <w:ind w:left="709"/>
        <w:rPr>
          <w:rFonts w:ascii="Times New Roman" w:hAnsi="Times New Roman" w:cs="Times New Roman"/>
          <w:sz w:val="24"/>
          <w:szCs w:val="24"/>
        </w:rPr>
      </w:pPr>
      <w:r w:rsidRPr="005E0829">
        <w:rPr>
          <w:rFonts w:ascii="Times New Roman" w:hAnsi="Times New Roman" w:cs="Times New Roman"/>
          <w:sz w:val="24"/>
          <w:szCs w:val="24"/>
        </w:rPr>
        <w:t>papildināt noteikumus ar 61.</w:t>
      </w:r>
      <w:r w:rsidRPr="005E0829">
        <w:rPr>
          <w:rFonts w:ascii="Times New Roman" w:hAnsi="Times New Roman" w:cs="Times New Roman"/>
          <w:sz w:val="24"/>
          <w:szCs w:val="24"/>
          <w:vertAlign w:val="superscript"/>
        </w:rPr>
        <w:t xml:space="preserve">1 </w:t>
      </w:r>
      <w:r w:rsidRPr="005E0829">
        <w:rPr>
          <w:rFonts w:ascii="Times New Roman" w:hAnsi="Times New Roman" w:cs="Times New Roman"/>
          <w:sz w:val="24"/>
          <w:szCs w:val="24"/>
        </w:rPr>
        <w:t>punktu šādā redakcijā:</w:t>
      </w:r>
    </w:p>
    <w:p w:rsidR="007C06BC" w:rsidRPr="005E0829" w:rsidRDefault="00B9344B" w:rsidP="007C06BC">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7C06BC" w:rsidRPr="005E0829">
        <w:rPr>
          <w:rFonts w:ascii="Times New Roman" w:hAnsi="Times New Roman" w:cs="Times New Roman"/>
          <w:sz w:val="24"/>
          <w:szCs w:val="24"/>
        </w:rPr>
        <w:t>61.</w:t>
      </w:r>
      <w:r w:rsidR="007C06BC" w:rsidRPr="005E0829">
        <w:rPr>
          <w:rFonts w:ascii="Times New Roman" w:hAnsi="Times New Roman" w:cs="Times New Roman"/>
          <w:sz w:val="24"/>
          <w:szCs w:val="24"/>
          <w:vertAlign w:val="superscript"/>
        </w:rPr>
        <w:t>1</w:t>
      </w:r>
      <w:r w:rsidR="007C06BC" w:rsidRPr="005E0829">
        <w:rPr>
          <w:rFonts w:ascii="Times New Roman" w:hAnsi="Times New Roman" w:cs="Times New Roman"/>
          <w:sz w:val="24"/>
          <w:szCs w:val="24"/>
        </w:rPr>
        <w:t xml:space="preserve"> Sadarbības iestāde samazina līgumā par projekta īstenošanu paredzēto finansējumu par papildus piešķirto </w:t>
      </w:r>
      <w:proofErr w:type="spellStart"/>
      <w:r w:rsidR="007C06BC" w:rsidRPr="005E0829">
        <w:rPr>
          <w:rFonts w:ascii="Times New Roman" w:hAnsi="Times New Roman" w:cs="Times New Roman"/>
          <w:sz w:val="24"/>
          <w:szCs w:val="24"/>
        </w:rPr>
        <w:t>virssaistību</w:t>
      </w:r>
      <w:proofErr w:type="spellEnd"/>
      <w:r w:rsidR="007C06BC" w:rsidRPr="005E0829">
        <w:rPr>
          <w:rFonts w:ascii="Times New Roman" w:hAnsi="Times New Roman" w:cs="Times New Roman"/>
          <w:sz w:val="24"/>
          <w:szCs w:val="24"/>
        </w:rPr>
        <w:t xml:space="preserve"> finansējuma apmēru, ja finansējuma saņēmējs </w:t>
      </w:r>
      <w:r w:rsidR="00EE7E0C" w:rsidRPr="005E0829">
        <w:rPr>
          <w:rFonts w:ascii="Times New Roman" w:hAnsi="Times New Roman" w:cs="Times New Roman"/>
          <w:sz w:val="24"/>
          <w:szCs w:val="24"/>
        </w:rPr>
        <w:t>līdz 2015</w:t>
      </w:r>
      <w:r w:rsidR="007C06BC" w:rsidRPr="005E0829">
        <w:rPr>
          <w:rFonts w:ascii="Times New Roman" w:hAnsi="Times New Roman" w:cs="Times New Roman"/>
          <w:sz w:val="24"/>
          <w:szCs w:val="24"/>
        </w:rPr>
        <w:t xml:space="preserve">.gada </w:t>
      </w:r>
      <w:r w:rsidR="003E7CD4" w:rsidRPr="005E0829">
        <w:rPr>
          <w:rFonts w:ascii="Times New Roman" w:hAnsi="Times New Roman" w:cs="Times New Roman"/>
          <w:sz w:val="24"/>
          <w:szCs w:val="24"/>
        </w:rPr>
        <w:lastRenderedPageBreak/>
        <w:t xml:space="preserve">1.jūlijam </w:t>
      </w:r>
      <w:r w:rsidR="007C06BC" w:rsidRPr="005E0829">
        <w:rPr>
          <w:rFonts w:ascii="Times New Roman" w:hAnsi="Times New Roman" w:cs="Times New Roman"/>
          <w:sz w:val="24"/>
          <w:szCs w:val="24"/>
        </w:rPr>
        <w:t xml:space="preserve">nav </w:t>
      </w:r>
      <w:r w:rsidRPr="005E0829">
        <w:rPr>
          <w:rFonts w:ascii="Times New Roman" w:hAnsi="Times New Roman" w:cs="Times New Roman"/>
          <w:sz w:val="24"/>
          <w:szCs w:val="24"/>
        </w:rPr>
        <w:t>izlietojis</w:t>
      </w:r>
      <w:r w:rsidR="003E7CD4" w:rsidRPr="005E0829">
        <w:rPr>
          <w:rFonts w:ascii="Times New Roman" w:hAnsi="Times New Roman" w:cs="Times New Roman"/>
          <w:sz w:val="24"/>
          <w:szCs w:val="24"/>
        </w:rPr>
        <w:t xml:space="preserve"> </w:t>
      </w:r>
      <w:r w:rsidR="0086322D" w:rsidRPr="005E0829">
        <w:rPr>
          <w:rFonts w:ascii="Times New Roman" w:hAnsi="Times New Roman" w:cs="Times New Roman"/>
          <w:sz w:val="24"/>
          <w:szCs w:val="24"/>
        </w:rPr>
        <w:t>80</w:t>
      </w:r>
      <w:r w:rsidR="003E7CD4" w:rsidRPr="005E0829">
        <w:rPr>
          <w:rFonts w:ascii="Times New Roman" w:hAnsi="Times New Roman" w:cs="Times New Roman"/>
          <w:sz w:val="24"/>
          <w:szCs w:val="24"/>
        </w:rPr>
        <w:t xml:space="preserve">% </w:t>
      </w:r>
      <w:r w:rsidRPr="005E0829">
        <w:rPr>
          <w:rFonts w:ascii="Times New Roman" w:hAnsi="Times New Roman" w:cs="Times New Roman"/>
          <w:sz w:val="24"/>
          <w:szCs w:val="24"/>
        </w:rPr>
        <w:t xml:space="preserve">no </w:t>
      </w:r>
      <w:r w:rsidR="003E7CD4" w:rsidRPr="005E0829">
        <w:rPr>
          <w:rFonts w:ascii="Times New Roman" w:hAnsi="Times New Roman" w:cs="Times New Roman"/>
          <w:sz w:val="24"/>
          <w:szCs w:val="24"/>
        </w:rPr>
        <w:t>šo noteikumu 9.punkt</w:t>
      </w:r>
      <w:r w:rsidRPr="005E0829">
        <w:rPr>
          <w:rFonts w:ascii="Times New Roman" w:hAnsi="Times New Roman" w:cs="Times New Roman"/>
          <w:sz w:val="24"/>
          <w:szCs w:val="24"/>
        </w:rPr>
        <w:t>ā</w:t>
      </w:r>
      <w:r w:rsidR="003E7CD4" w:rsidRPr="005E0829">
        <w:rPr>
          <w:rFonts w:ascii="Times New Roman" w:hAnsi="Times New Roman" w:cs="Times New Roman"/>
          <w:sz w:val="24"/>
          <w:szCs w:val="24"/>
        </w:rPr>
        <w:t xml:space="preserve"> minētā sākotnēji pieš</w:t>
      </w:r>
      <w:r w:rsidRPr="005E0829">
        <w:rPr>
          <w:rFonts w:ascii="Times New Roman" w:hAnsi="Times New Roman" w:cs="Times New Roman"/>
          <w:sz w:val="24"/>
          <w:szCs w:val="24"/>
        </w:rPr>
        <w:t>ķirtā fonda līdzfinansējuma</w:t>
      </w:r>
      <w:r w:rsidR="007C06BC" w:rsidRPr="005E0829">
        <w:rPr>
          <w:rFonts w:ascii="Times New Roman" w:hAnsi="Times New Roman" w:cs="Times New Roman"/>
          <w:sz w:val="24"/>
          <w:szCs w:val="24"/>
        </w:rPr>
        <w:t>.</w:t>
      </w:r>
      <w:r w:rsidRPr="005E0829">
        <w:rPr>
          <w:rFonts w:ascii="Times New Roman" w:hAnsi="Times New Roman" w:cs="Times New Roman"/>
          <w:sz w:val="24"/>
          <w:szCs w:val="24"/>
        </w:rPr>
        <w:t>”;</w:t>
      </w:r>
    </w:p>
    <w:p w:rsidR="00D5575F" w:rsidRPr="005E0829" w:rsidRDefault="00D5575F" w:rsidP="00A50433">
      <w:pPr>
        <w:pStyle w:val="ListParagraph"/>
        <w:numPr>
          <w:ilvl w:val="0"/>
          <w:numId w:val="23"/>
        </w:numPr>
        <w:spacing w:before="120" w:after="120" w:line="240" w:lineRule="auto"/>
        <w:ind w:left="709"/>
        <w:rPr>
          <w:rFonts w:ascii="Times New Roman" w:hAnsi="Times New Roman" w:cs="Times New Roman"/>
          <w:sz w:val="24"/>
          <w:szCs w:val="24"/>
        </w:rPr>
      </w:pPr>
      <w:r w:rsidRPr="005E0829">
        <w:rPr>
          <w:rFonts w:ascii="Times New Roman" w:hAnsi="Times New Roman" w:cs="Times New Roman"/>
          <w:sz w:val="24"/>
          <w:szCs w:val="24"/>
        </w:rPr>
        <w:t xml:space="preserve">izteikt </w:t>
      </w:r>
      <w:r w:rsidR="002403F3" w:rsidRPr="005E0829">
        <w:rPr>
          <w:rFonts w:ascii="Times New Roman" w:hAnsi="Times New Roman" w:cs="Times New Roman"/>
          <w:sz w:val="24"/>
          <w:szCs w:val="24"/>
        </w:rPr>
        <w:t>67</w:t>
      </w:r>
      <w:r w:rsidRPr="005E0829">
        <w:rPr>
          <w:rFonts w:ascii="Times New Roman" w:hAnsi="Times New Roman" w:cs="Times New Roman"/>
          <w:sz w:val="24"/>
          <w:szCs w:val="24"/>
        </w:rPr>
        <w:t xml:space="preserve">.punktu šādā redakcijā: </w:t>
      </w:r>
    </w:p>
    <w:p w:rsidR="002401B3" w:rsidRPr="005E0829" w:rsidRDefault="00D5575F"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2403F3" w:rsidRPr="005E0829">
        <w:rPr>
          <w:rFonts w:ascii="Times New Roman" w:hAnsi="Times New Roman" w:cs="Times New Roman"/>
          <w:sz w:val="24"/>
          <w:szCs w:val="24"/>
        </w:rPr>
        <w:t>67. Noslēguma pārskatu finansējuma saņēmējs iesniedz sadarbības iestādē 15 darbdienu laikā pēc projekta īstenošanas pabeigšanas</w:t>
      </w:r>
      <w:r w:rsidR="0012372C" w:rsidRPr="005E0829">
        <w:rPr>
          <w:rFonts w:ascii="Times New Roman" w:hAnsi="Times New Roman" w:cs="Times New Roman"/>
          <w:sz w:val="24"/>
          <w:szCs w:val="24"/>
        </w:rPr>
        <w:t>,</w:t>
      </w:r>
      <w:r w:rsidR="0012372C" w:rsidRPr="005E0829">
        <w:t xml:space="preserve"> </w:t>
      </w:r>
      <w:r w:rsidR="0012372C" w:rsidRPr="005E0829">
        <w:rPr>
          <w:rFonts w:ascii="Times New Roman" w:hAnsi="Times New Roman" w:cs="Times New Roman"/>
          <w:sz w:val="24"/>
          <w:szCs w:val="24"/>
        </w:rPr>
        <w:t xml:space="preserve">bet ne vēlāk kā 2016.gada </w:t>
      </w:r>
      <w:r w:rsidR="00A466D4" w:rsidRPr="005E0829">
        <w:rPr>
          <w:rFonts w:ascii="Times New Roman" w:hAnsi="Times New Roman" w:cs="Times New Roman"/>
          <w:sz w:val="24"/>
          <w:szCs w:val="24"/>
        </w:rPr>
        <w:t>15.</w:t>
      </w:r>
      <w:r w:rsidR="00FA7995">
        <w:rPr>
          <w:rFonts w:ascii="Times New Roman" w:hAnsi="Times New Roman" w:cs="Times New Roman"/>
          <w:sz w:val="24"/>
          <w:szCs w:val="24"/>
        </w:rPr>
        <w:t>janvāris</w:t>
      </w:r>
      <w:r w:rsidR="002403F3" w:rsidRPr="005E0829">
        <w:rPr>
          <w:rFonts w:ascii="Times New Roman" w:hAnsi="Times New Roman" w:cs="Times New Roman"/>
          <w:sz w:val="24"/>
          <w:szCs w:val="24"/>
        </w:rPr>
        <w:t>.</w:t>
      </w:r>
      <w:r w:rsidRPr="005E0829">
        <w:rPr>
          <w:rFonts w:ascii="Times New Roman" w:hAnsi="Times New Roman" w:cs="Times New Roman"/>
          <w:sz w:val="24"/>
          <w:szCs w:val="24"/>
        </w:rPr>
        <w:t>”;</w:t>
      </w:r>
    </w:p>
    <w:p w:rsidR="00D5575F" w:rsidRPr="005E0829" w:rsidRDefault="00CA5064"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71</w:t>
      </w:r>
      <w:r w:rsidR="00D5575F" w:rsidRPr="005E0829">
        <w:rPr>
          <w:rFonts w:ascii="Times New Roman" w:hAnsi="Times New Roman" w:cs="Times New Roman"/>
          <w:sz w:val="24"/>
          <w:szCs w:val="24"/>
        </w:rPr>
        <w:t xml:space="preserve">.punktu šādā redakcijā: </w:t>
      </w:r>
    </w:p>
    <w:p w:rsidR="00D5575F" w:rsidRPr="005E0829" w:rsidRDefault="003C381F"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w:t>
      </w:r>
      <w:r w:rsidR="00A466D4" w:rsidRPr="005E0829">
        <w:rPr>
          <w:rFonts w:ascii="Times New Roman" w:eastAsia="Times New Roman" w:hAnsi="Times New Roman"/>
          <w:sz w:val="24"/>
          <w:szCs w:val="24"/>
        </w:rPr>
        <w:t xml:space="preserve">71. Finansējuma saņēmējam piešķirtais </w:t>
      </w:r>
      <w:proofErr w:type="spellStart"/>
      <w:r w:rsidR="00A466D4" w:rsidRPr="005E0829">
        <w:rPr>
          <w:rFonts w:ascii="Times New Roman" w:eastAsia="Times New Roman" w:hAnsi="Times New Roman"/>
          <w:i/>
          <w:sz w:val="24"/>
          <w:szCs w:val="24"/>
        </w:rPr>
        <w:t>de</w:t>
      </w:r>
      <w:proofErr w:type="spellEnd"/>
      <w:r w:rsidR="00A466D4" w:rsidRPr="005E0829">
        <w:rPr>
          <w:rFonts w:ascii="Times New Roman" w:eastAsia="Times New Roman" w:hAnsi="Times New Roman"/>
          <w:i/>
          <w:sz w:val="24"/>
          <w:szCs w:val="24"/>
        </w:rPr>
        <w:t xml:space="preserve"> </w:t>
      </w:r>
      <w:proofErr w:type="spellStart"/>
      <w:r w:rsidR="00A466D4" w:rsidRPr="005E0829">
        <w:rPr>
          <w:rFonts w:ascii="Times New Roman" w:eastAsia="Times New Roman" w:hAnsi="Times New Roman"/>
          <w:i/>
          <w:sz w:val="24"/>
          <w:szCs w:val="24"/>
        </w:rPr>
        <w:t>minimis</w:t>
      </w:r>
      <w:proofErr w:type="spellEnd"/>
      <w:r w:rsidR="00A466D4" w:rsidRPr="005E0829">
        <w:rPr>
          <w:rFonts w:ascii="Times New Roman" w:eastAsia="Times New Roman" w:hAnsi="Times New Roman"/>
          <w:sz w:val="24"/>
          <w:szCs w:val="24"/>
        </w:rPr>
        <w:t xml:space="preserve"> atbalsta apjoms vienota uzņēmuma līmenī kopā ar attiecīgajā fiskālajā gadā un iepriekšējos divos fiskālajos gados piešķirto </w:t>
      </w:r>
      <w:proofErr w:type="spellStart"/>
      <w:r w:rsidR="00A466D4" w:rsidRPr="005E0829">
        <w:rPr>
          <w:rFonts w:ascii="Times New Roman" w:eastAsia="Times New Roman" w:hAnsi="Times New Roman"/>
          <w:i/>
          <w:sz w:val="24"/>
          <w:szCs w:val="24"/>
        </w:rPr>
        <w:t>de</w:t>
      </w:r>
      <w:proofErr w:type="spellEnd"/>
      <w:r w:rsidR="00A466D4" w:rsidRPr="005E0829">
        <w:rPr>
          <w:rFonts w:ascii="Times New Roman" w:eastAsia="Times New Roman" w:hAnsi="Times New Roman"/>
          <w:i/>
          <w:sz w:val="24"/>
          <w:szCs w:val="24"/>
        </w:rPr>
        <w:t xml:space="preserve"> </w:t>
      </w:r>
      <w:proofErr w:type="spellStart"/>
      <w:r w:rsidR="00A466D4" w:rsidRPr="005E0829">
        <w:rPr>
          <w:rFonts w:ascii="Times New Roman" w:eastAsia="Times New Roman" w:hAnsi="Times New Roman"/>
          <w:i/>
          <w:sz w:val="24"/>
          <w:szCs w:val="24"/>
        </w:rPr>
        <w:t>minimis</w:t>
      </w:r>
      <w:proofErr w:type="spellEnd"/>
      <w:r w:rsidR="00A466D4" w:rsidRPr="005E0829">
        <w:rPr>
          <w:rFonts w:ascii="Times New Roman" w:eastAsia="Times New Roman" w:hAnsi="Times New Roman"/>
          <w:sz w:val="24"/>
          <w:szCs w:val="24"/>
        </w:rPr>
        <w:t xml:space="preserve"> atbalstu nedrīkst pārsniegt Komisijas regulas Nr.1407/2013 3.panta 2.punktā noteikto maksimālo </w:t>
      </w:r>
      <w:proofErr w:type="spellStart"/>
      <w:r w:rsidR="00A466D4" w:rsidRPr="005E0829">
        <w:rPr>
          <w:rFonts w:ascii="Times New Roman" w:eastAsia="Times New Roman" w:hAnsi="Times New Roman"/>
          <w:i/>
          <w:sz w:val="24"/>
          <w:szCs w:val="24"/>
        </w:rPr>
        <w:t>de</w:t>
      </w:r>
      <w:proofErr w:type="spellEnd"/>
      <w:r w:rsidR="00A466D4" w:rsidRPr="005E0829">
        <w:rPr>
          <w:rFonts w:ascii="Times New Roman" w:eastAsia="Times New Roman" w:hAnsi="Times New Roman"/>
          <w:i/>
          <w:sz w:val="24"/>
          <w:szCs w:val="24"/>
        </w:rPr>
        <w:t xml:space="preserve"> </w:t>
      </w:r>
      <w:proofErr w:type="spellStart"/>
      <w:r w:rsidR="00A466D4" w:rsidRPr="005E0829">
        <w:rPr>
          <w:rFonts w:ascii="Times New Roman" w:eastAsia="Times New Roman" w:hAnsi="Times New Roman"/>
          <w:i/>
          <w:sz w:val="24"/>
          <w:szCs w:val="24"/>
        </w:rPr>
        <w:t>minimis</w:t>
      </w:r>
      <w:proofErr w:type="spellEnd"/>
      <w:r w:rsidR="00A466D4" w:rsidRPr="005E0829">
        <w:rPr>
          <w:rFonts w:ascii="Times New Roman" w:eastAsia="Times New Roman" w:hAnsi="Times New Roman"/>
          <w:sz w:val="24"/>
          <w:szCs w:val="24"/>
        </w:rPr>
        <w:t xml:space="preserve"> atbalsta apmēru</w:t>
      </w:r>
      <w:r w:rsidRPr="005E0829">
        <w:rPr>
          <w:rFonts w:ascii="Times New Roman" w:hAnsi="Times New Roman" w:cs="Times New Roman"/>
          <w:sz w:val="24"/>
          <w:szCs w:val="24"/>
        </w:rPr>
        <w:t>”;</w:t>
      </w:r>
    </w:p>
    <w:p w:rsidR="003C381F" w:rsidRPr="005E0829" w:rsidRDefault="003C381F"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 xml:space="preserve">izteikt </w:t>
      </w:r>
      <w:r w:rsidR="006E28A9" w:rsidRPr="005E0829">
        <w:rPr>
          <w:rFonts w:ascii="Times New Roman" w:hAnsi="Times New Roman" w:cs="Times New Roman"/>
          <w:sz w:val="24"/>
          <w:szCs w:val="24"/>
        </w:rPr>
        <w:t>74.</w:t>
      </w:r>
      <w:r w:rsidRPr="005E0829">
        <w:rPr>
          <w:rFonts w:ascii="Times New Roman" w:hAnsi="Times New Roman" w:cs="Times New Roman"/>
          <w:sz w:val="24"/>
          <w:szCs w:val="24"/>
        </w:rPr>
        <w:t xml:space="preserve">punktu šādā redakcijā: </w:t>
      </w:r>
    </w:p>
    <w:p w:rsidR="003C381F" w:rsidRPr="005E0829" w:rsidRDefault="003C381F"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w:t>
      </w:r>
      <w:r w:rsidR="006E28A9" w:rsidRPr="005E0829">
        <w:rPr>
          <w:rFonts w:ascii="Times New Roman" w:hAnsi="Times New Roman" w:cs="Times New Roman"/>
          <w:sz w:val="24"/>
          <w:szCs w:val="24"/>
          <w:shd w:val="clear" w:color="auto" w:fill="FFFFFF"/>
        </w:rPr>
        <w:t xml:space="preserve">74. Aktivitātes ietvaros viens sadarbības partneris var saņemt šo noteikumu 18.2.apakšpunktā minētos pakalpojumus no finansējuma saņēmēja kā </w:t>
      </w:r>
      <w:proofErr w:type="spellStart"/>
      <w:r w:rsidR="006E28A9" w:rsidRPr="005E0829">
        <w:rPr>
          <w:rFonts w:ascii="Times New Roman" w:hAnsi="Times New Roman" w:cs="Times New Roman"/>
          <w:i/>
          <w:sz w:val="24"/>
          <w:szCs w:val="24"/>
          <w:shd w:val="clear" w:color="auto" w:fill="FFFFFF"/>
        </w:rPr>
        <w:t>de</w:t>
      </w:r>
      <w:proofErr w:type="spellEnd"/>
      <w:r w:rsidR="006E28A9" w:rsidRPr="005E0829">
        <w:rPr>
          <w:rFonts w:ascii="Times New Roman" w:hAnsi="Times New Roman" w:cs="Times New Roman"/>
          <w:i/>
          <w:sz w:val="24"/>
          <w:szCs w:val="24"/>
          <w:shd w:val="clear" w:color="auto" w:fill="FFFFFF"/>
        </w:rPr>
        <w:t xml:space="preserve"> </w:t>
      </w:r>
      <w:proofErr w:type="spellStart"/>
      <w:r w:rsidR="006E28A9" w:rsidRPr="005E0829">
        <w:rPr>
          <w:rFonts w:ascii="Times New Roman" w:hAnsi="Times New Roman" w:cs="Times New Roman"/>
          <w:i/>
          <w:sz w:val="24"/>
          <w:szCs w:val="24"/>
          <w:shd w:val="clear" w:color="auto" w:fill="FFFFFF"/>
        </w:rPr>
        <w:t>minimis</w:t>
      </w:r>
      <w:proofErr w:type="spellEnd"/>
      <w:r w:rsidR="006E28A9" w:rsidRPr="005E0829">
        <w:rPr>
          <w:rFonts w:ascii="Times New Roman" w:hAnsi="Times New Roman" w:cs="Times New Roman"/>
          <w:sz w:val="24"/>
          <w:szCs w:val="24"/>
          <w:shd w:val="clear" w:color="auto" w:fill="FFFFFF"/>
        </w:rPr>
        <w:t xml:space="preserve"> atbalstu ne vairāk kā </w:t>
      </w:r>
      <w:r w:rsidR="00FC4779" w:rsidRPr="005E0829">
        <w:rPr>
          <w:rFonts w:ascii="Times New Roman" w:hAnsi="Times New Roman" w:cs="Times New Roman"/>
          <w:sz w:val="24"/>
          <w:szCs w:val="24"/>
          <w:shd w:val="clear" w:color="auto" w:fill="FFFFFF"/>
        </w:rPr>
        <w:t>25 000</w:t>
      </w:r>
      <w:r w:rsidR="006E28A9" w:rsidRPr="005E0829">
        <w:rPr>
          <w:rFonts w:ascii="Times New Roman" w:hAnsi="Times New Roman" w:cs="Times New Roman"/>
          <w:sz w:val="24"/>
          <w:szCs w:val="24"/>
          <w:shd w:val="clear" w:color="auto" w:fill="FFFFFF"/>
        </w:rPr>
        <w:t xml:space="preserve"> </w:t>
      </w:r>
      <w:proofErr w:type="spellStart"/>
      <w:r w:rsidR="006E28A9" w:rsidRPr="005E0829">
        <w:rPr>
          <w:rFonts w:ascii="Times New Roman" w:hAnsi="Times New Roman" w:cs="Times New Roman"/>
          <w:i/>
          <w:sz w:val="24"/>
          <w:szCs w:val="24"/>
          <w:shd w:val="clear" w:color="auto" w:fill="FFFFFF"/>
        </w:rPr>
        <w:t>euro</w:t>
      </w:r>
      <w:proofErr w:type="spellEnd"/>
      <w:r w:rsidR="006E28A9" w:rsidRPr="005E0829">
        <w:rPr>
          <w:rFonts w:ascii="Times New Roman" w:hAnsi="Times New Roman" w:cs="Times New Roman"/>
          <w:sz w:val="24"/>
          <w:szCs w:val="24"/>
          <w:shd w:val="clear" w:color="auto" w:fill="FFFFFF"/>
        </w:rPr>
        <w:t xml:space="preserve"> apmērā.</w:t>
      </w:r>
      <w:r w:rsidRPr="005E0829">
        <w:rPr>
          <w:rFonts w:ascii="Times New Roman" w:hAnsi="Times New Roman" w:cs="Times New Roman"/>
          <w:sz w:val="24"/>
          <w:szCs w:val="24"/>
          <w:shd w:val="clear" w:color="auto" w:fill="FFFFFF"/>
        </w:rPr>
        <w:t>”;</w:t>
      </w:r>
    </w:p>
    <w:p w:rsidR="006E28A9" w:rsidRPr="005E0829" w:rsidRDefault="006E28A9"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 xml:space="preserve">izteikt </w:t>
      </w:r>
      <w:r w:rsidR="009F3BAD" w:rsidRPr="005E0829">
        <w:rPr>
          <w:rFonts w:ascii="Times New Roman" w:hAnsi="Times New Roman" w:cs="Times New Roman"/>
          <w:sz w:val="24"/>
          <w:szCs w:val="24"/>
        </w:rPr>
        <w:t>75</w:t>
      </w:r>
      <w:r w:rsidRPr="005E0829">
        <w:rPr>
          <w:rFonts w:ascii="Times New Roman" w:hAnsi="Times New Roman" w:cs="Times New Roman"/>
          <w:sz w:val="24"/>
          <w:szCs w:val="24"/>
        </w:rPr>
        <w:t xml:space="preserve">.punktu šādā redakcijā: </w:t>
      </w:r>
    </w:p>
    <w:p w:rsidR="006E28A9" w:rsidRPr="005E0829" w:rsidRDefault="006E28A9"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 xml:space="preserve">„75. Klastera atbalsta pakalpojumus saņem sadarbības partneri saskaņā ar </w:t>
      </w:r>
      <w:r w:rsidR="009F3BAD" w:rsidRPr="005E0829">
        <w:rPr>
          <w:rFonts w:ascii="Times New Roman" w:hAnsi="Times New Roman" w:cs="Times New Roman"/>
          <w:sz w:val="24"/>
          <w:szCs w:val="24"/>
        </w:rPr>
        <w:t>Komisijas regul</w:t>
      </w:r>
      <w:r w:rsidR="007139B2" w:rsidRPr="005E0829">
        <w:rPr>
          <w:rFonts w:ascii="Times New Roman" w:hAnsi="Times New Roman" w:cs="Times New Roman"/>
          <w:sz w:val="24"/>
          <w:szCs w:val="24"/>
        </w:rPr>
        <w:t>u</w:t>
      </w:r>
      <w:r w:rsidR="009F3BAD" w:rsidRPr="005E0829">
        <w:rPr>
          <w:rFonts w:ascii="Times New Roman" w:hAnsi="Times New Roman" w:cs="Times New Roman"/>
          <w:sz w:val="24"/>
          <w:szCs w:val="24"/>
        </w:rPr>
        <w:t xml:space="preserve"> Nr.1407/2013</w:t>
      </w:r>
      <w:r w:rsidRPr="005E0829">
        <w:rPr>
          <w:rFonts w:ascii="Times New Roman" w:hAnsi="Times New Roman" w:cs="Times New Roman"/>
          <w:sz w:val="24"/>
          <w:szCs w:val="24"/>
          <w:shd w:val="clear" w:color="auto" w:fill="FFFFFF"/>
        </w:rPr>
        <w:t xml:space="preserve"> un normatīvajiem aktiem par </w:t>
      </w:r>
      <w:proofErr w:type="spellStart"/>
      <w:r w:rsidRPr="005E0829">
        <w:rPr>
          <w:rFonts w:ascii="Times New Roman" w:hAnsi="Times New Roman" w:cs="Times New Roman"/>
          <w:i/>
          <w:sz w:val="24"/>
          <w:szCs w:val="24"/>
          <w:shd w:val="clear" w:color="auto" w:fill="FFFFFF"/>
        </w:rPr>
        <w:t>de</w:t>
      </w:r>
      <w:proofErr w:type="spellEnd"/>
      <w:r w:rsidRPr="005E0829">
        <w:rPr>
          <w:rFonts w:ascii="Times New Roman" w:hAnsi="Times New Roman" w:cs="Times New Roman"/>
          <w:i/>
          <w:sz w:val="24"/>
          <w:szCs w:val="24"/>
          <w:shd w:val="clear" w:color="auto" w:fill="FFFFFF"/>
        </w:rPr>
        <w:t xml:space="preserve"> </w:t>
      </w:r>
      <w:proofErr w:type="spellStart"/>
      <w:r w:rsidRPr="005E0829">
        <w:rPr>
          <w:rFonts w:ascii="Times New Roman" w:hAnsi="Times New Roman" w:cs="Times New Roman"/>
          <w:i/>
          <w:sz w:val="24"/>
          <w:szCs w:val="24"/>
          <w:shd w:val="clear" w:color="auto" w:fill="FFFFFF"/>
        </w:rPr>
        <w:t>minimis</w:t>
      </w:r>
      <w:proofErr w:type="spellEnd"/>
      <w:r w:rsidRPr="005E0829">
        <w:rPr>
          <w:rFonts w:ascii="Times New Roman" w:hAnsi="Times New Roman" w:cs="Times New Roman"/>
          <w:sz w:val="24"/>
          <w:szCs w:val="24"/>
          <w:shd w:val="clear" w:color="auto" w:fill="FFFFFF"/>
        </w:rPr>
        <w:t xml:space="preserve"> atbalsta piešķiršanu un uzskaiti, ievērojot šādus nosacījumus:</w:t>
      </w:r>
    </w:p>
    <w:p w:rsidR="001C7AFF" w:rsidRPr="005E0829" w:rsidRDefault="00A466D4"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 xml:space="preserve">75.1. vienam sadarbības partnerim piešķirtais </w:t>
      </w:r>
      <w:proofErr w:type="spellStart"/>
      <w:r w:rsidRPr="005E0829">
        <w:rPr>
          <w:rFonts w:ascii="Times New Roman" w:hAnsi="Times New Roman" w:cs="Times New Roman"/>
          <w:i/>
          <w:sz w:val="24"/>
          <w:szCs w:val="24"/>
          <w:shd w:val="clear" w:color="auto" w:fill="FFFFFF"/>
        </w:rPr>
        <w:t>de</w:t>
      </w:r>
      <w:proofErr w:type="spellEnd"/>
      <w:r w:rsidRPr="005E0829">
        <w:rPr>
          <w:rFonts w:ascii="Times New Roman" w:hAnsi="Times New Roman" w:cs="Times New Roman"/>
          <w:i/>
          <w:sz w:val="24"/>
          <w:szCs w:val="24"/>
          <w:shd w:val="clear" w:color="auto" w:fill="FFFFFF"/>
        </w:rPr>
        <w:t xml:space="preserve"> </w:t>
      </w:r>
      <w:proofErr w:type="spellStart"/>
      <w:r w:rsidRPr="005E0829">
        <w:rPr>
          <w:rFonts w:ascii="Times New Roman" w:hAnsi="Times New Roman" w:cs="Times New Roman"/>
          <w:i/>
          <w:sz w:val="24"/>
          <w:szCs w:val="24"/>
          <w:shd w:val="clear" w:color="auto" w:fill="FFFFFF"/>
        </w:rPr>
        <w:t>minimis</w:t>
      </w:r>
      <w:proofErr w:type="spellEnd"/>
      <w:r w:rsidRPr="005E0829">
        <w:rPr>
          <w:rFonts w:ascii="Times New Roman" w:hAnsi="Times New Roman" w:cs="Times New Roman"/>
          <w:i/>
          <w:sz w:val="24"/>
          <w:szCs w:val="24"/>
          <w:shd w:val="clear" w:color="auto" w:fill="FFFFFF"/>
        </w:rPr>
        <w:t xml:space="preserve"> </w:t>
      </w:r>
      <w:r w:rsidRPr="005E0829">
        <w:rPr>
          <w:rFonts w:ascii="Times New Roman" w:hAnsi="Times New Roman" w:cs="Times New Roman"/>
          <w:sz w:val="24"/>
          <w:szCs w:val="24"/>
          <w:shd w:val="clear" w:color="auto" w:fill="FFFFFF"/>
        </w:rPr>
        <w:t xml:space="preserve">atbalsta apjoms viena vienota uzņēmuma līmenī kopā ar attiecīgajā fiskālajā gadā un iepriekšējos divos fiskālajos gados piešķirto </w:t>
      </w:r>
      <w:proofErr w:type="spellStart"/>
      <w:r w:rsidRPr="005E0829">
        <w:rPr>
          <w:rFonts w:ascii="Times New Roman" w:hAnsi="Times New Roman" w:cs="Times New Roman"/>
          <w:i/>
          <w:sz w:val="24"/>
          <w:szCs w:val="24"/>
          <w:shd w:val="clear" w:color="auto" w:fill="FFFFFF"/>
        </w:rPr>
        <w:t>de</w:t>
      </w:r>
      <w:proofErr w:type="spellEnd"/>
      <w:r w:rsidRPr="005E0829">
        <w:rPr>
          <w:rFonts w:ascii="Times New Roman" w:hAnsi="Times New Roman" w:cs="Times New Roman"/>
          <w:i/>
          <w:sz w:val="24"/>
          <w:szCs w:val="24"/>
          <w:shd w:val="clear" w:color="auto" w:fill="FFFFFF"/>
        </w:rPr>
        <w:t xml:space="preserve"> </w:t>
      </w:r>
      <w:proofErr w:type="spellStart"/>
      <w:r w:rsidRPr="005E0829">
        <w:rPr>
          <w:rFonts w:ascii="Times New Roman" w:hAnsi="Times New Roman" w:cs="Times New Roman"/>
          <w:i/>
          <w:sz w:val="24"/>
          <w:szCs w:val="24"/>
          <w:shd w:val="clear" w:color="auto" w:fill="FFFFFF"/>
        </w:rPr>
        <w:t>minimi</w:t>
      </w:r>
      <w:r w:rsidRPr="005E0829">
        <w:rPr>
          <w:rFonts w:ascii="Times New Roman" w:hAnsi="Times New Roman" w:cs="Times New Roman"/>
          <w:sz w:val="24"/>
          <w:szCs w:val="24"/>
          <w:shd w:val="clear" w:color="auto" w:fill="FFFFFF"/>
        </w:rPr>
        <w:t>s</w:t>
      </w:r>
      <w:proofErr w:type="spellEnd"/>
      <w:r w:rsidRPr="005E0829">
        <w:rPr>
          <w:rFonts w:ascii="Times New Roman" w:hAnsi="Times New Roman" w:cs="Times New Roman"/>
          <w:sz w:val="24"/>
          <w:szCs w:val="24"/>
          <w:shd w:val="clear" w:color="auto" w:fill="FFFFFF"/>
        </w:rPr>
        <w:t xml:space="preserve"> atbalstu nedrīkst pārsniegt Komisijas regulas Nr.1407/2013 3.panta 2.punktā noteikto maksimālo </w:t>
      </w:r>
      <w:proofErr w:type="spellStart"/>
      <w:r w:rsidRPr="005E0829">
        <w:rPr>
          <w:rFonts w:ascii="Times New Roman" w:hAnsi="Times New Roman" w:cs="Times New Roman"/>
          <w:i/>
          <w:sz w:val="24"/>
          <w:szCs w:val="24"/>
          <w:shd w:val="clear" w:color="auto" w:fill="FFFFFF"/>
        </w:rPr>
        <w:t>de</w:t>
      </w:r>
      <w:proofErr w:type="spellEnd"/>
      <w:r w:rsidRPr="005E0829">
        <w:rPr>
          <w:rFonts w:ascii="Times New Roman" w:hAnsi="Times New Roman" w:cs="Times New Roman"/>
          <w:i/>
          <w:sz w:val="24"/>
          <w:szCs w:val="24"/>
          <w:shd w:val="clear" w:color="auto" w:fill="FFFFFF"/>
        </w:rPr>
        <w:t xml:space="preserve"> </w:t>
      </w:r>
      <w:proofErr w:type="spellStart"/>
      <w:r w:rsidRPr="005E0829">
        <w:rPr>
          <w:rFonts w:ascii="Times New Roman" w:hAnsi="Times New Roman" w:cs="Times New Roman"/>
          <w:i/>
          <w:sz w:val="24"/>
          <w:szCs w:val="24"/>
          <w:shd w:val="clear" w:color="auto" w:fill="FFFFFF"/>
        </w:rPr>
        <w:t>minimis</w:t>
      </w:r>
      <w:proofErr w:type="spellEnd"/>
      <w:r w:rsidRPr="005E0829">
        <w:rPr>
          <w:rFonts w:ascii="Times New Roman" w:hAnsi="Times New Roman" w:cs="Times New Roman"/>
          <w:sz w:val="24"/>
          <w:szCs w:val="24"/>
          <w:shd w:val="clear" w:color="auto" w:fill="FFFFFF"/>
        </w:rPr>
        <w:t xml:space="preserve"> atbalsta apmēru</w:t>
      </w:r>
      <w:r w:rsidR="001C7AFF" w:rsidRPr="005E0829">
        <w:rPr>
          <w:rFonts w:ascii="Times New Roman" w:hAnsi="Times New Roman" w:cs="Times New Roman"/>
          <w:sz w:val="24"/>
          <w:szCs w:val="24"/>
          <w:shd w:val="clear" w:color="auto" w:fill="FFFFFF"/>
        </w:rPr>
        <w:t>, kā arī ievērojot šādas prasības:</w:t>
      </w:r>
    </w:p>
    <w:p w:rsidR="006E28A9" w:rsidRPr="005E0829" w:rsidRDefault="001C7AFF" w:rsidP="00521FA2">
      <w:pPr>
        <w:spacing w:before="120" w:after="120" w:line="240" w:lineRule="auto"/>
        <w:jc w:val="both"/>
        <w:rPr>
          <w:rFonts w:ascii="Times New Roman" w:hAnsi="Times New Roman" w:cs="Times New Roman"/>
          <w:sz w:val="24"/>
          <w:szCs w:val="24"/>
          <w:shd w:val="clear" w:color="auto" w:fill="F1F1F1"/>
        </w:rPr>
      </w:pPr>
      <w:r w:rsidRPr="005E0829">
        <w:rPr>
          <w:rFonts w:ascii="Times New Roman" w:hAnsi="Times New Roman" w:cs="Times New Roman"/>
          <w:sz w:val="24"/>
          <w:szCs w:val="24"/>
          <w:shd w:val="clear" w:color="auto" w:fill="FFFFFF"/>
        </w:rPr>
        <w:t xml:space="preserve">75.1.1. </w:t>
      </w:r>
      <w:r w:rsidRPr="006F15CF">
        <w:rPr>
          <w:rFonts w:ascii="Times New Roman" w:hAnsi="Times New Roman" w:cs="Times New Roman"/>
          <w:sz w:val="24"/>
          <w:szCs w:val="24"/>
          <w:shd w:val="clear" w:color="auto" w:fill="FFFFFF"/>
        </w:rPr>
        <w:t xml:space="preserve">ja tiek konstatēts, ka </w:t>
      </w:r>
      <w:r w:rsidR="00C25D2A" w:rsidRPr="006F15CF">
        <w:rPr>
          <w:rFonts w:ascii="Times New Roman" w:hAnsi="Times New Roman" w:cs="Times New Roman"/>
          <w:sz w:val="24"/>
          <w:szCs w:val="24"/>
        </w:rPr>
        <w:t>uzņēmums</w:t>
      </w:r>
      <w:r w:rsidRPr="006F15CF">
        <w:rPr>
          <w:rFonts w:ascii="Times New Roman" w:hAnsi="Times New Roman" w:cs="Times New Roman"/>
          <w:sz w:val="24"/>
          <w:szCs w:val="24"/>
        </w:rPr>
        <w:t xml:space="preserve"> ir ticis apvienots</w:t>
      </w:r>
      <w:r w:rsidR="009D37BC" w:rsidRPr="006F15CF">
        <w:rPr>
          <w:rFonts w:ascii="Times New Roman" w:hAnsi="Times New Roman" w:cs="Times New Roman"/>
          <w:sz w:val="24"/>
          <w:szCs w:val="24"/>
        </w:rPr>
        <w:t xml:space="preserve"> vai iegādāts</w:t>
      </w:r>
      <w:r w:rsidRPr="006F15CF">
        <w:rPr>
          <w:rFonts w:ascii="Times New Roman" w:hAnsi="Times New Roman" w:cs="Times New Roman"/>
          <w:sz w:val="24"/>
          <w:szCs w:val="24"/>
        </w:rPr>
        <w:t>, ņem vērā visu katram apvienošanā</w:t>
      </w:r>
      <w:r w:rsidR="009D37BC" w:rsidRPr="006F15CF">
        <w:rPr>
          <w:rFonts w:ascii="Times New Roman" w:hAnsi="Times New Roman" w:cs="Times New Roman"/>
          <w:sz w:val="24"/>
          <w:szCs w:val="24"/>
        </w:rPr>
        <w:t xml:space="preserve"> vai iegādē</w:t>
      </w:r>
      <w:r w:rsidRPr="006F15CF">
        <w:rPr>
          <w:rFonts w:ascii="Times New Roman" w:hAnsi="Times New Roman" w:cs="Times New Roman"/>
          <w:sz w:val="24"/>
          <w:szCs w:val="24"/>
        </w:rPr>
        <w:t xml:space="preserve"> iesaistītajam </w:t>
      </w:r>
      <w:proofErr w:type="spellStart"/>
      <w:r w:rsidR="00C25D2A" w:rsidRPr="006F15CF">
        <w:rPr>
          <w:rFonts w:ascii="Times New Roman" w:hAnsi="Times New Roman" w:cs="Times New Roman"/>
          <w:sz w:val="24"/>
          <w:szCs w:val="24"/>
        </w:rPr>
        <w:t>uzņēmumumam</w:t>
      </w:r>
      <w:proofErr w:type="spellEnd"/>
      <w:r w:rsidRPr="006F15CF">
        <w:rPr>
          <w:rFonts w:ascii="Times New Roman" w:hAnsi="Times New Roman" w:cs="Times New Roman"/>
          <w:sz w:val="24"/>
          <w:szCs w:val="24"/>
        </w:rPr>
        <w:t xml:space="preserve"> iepriekš piešķirto</w:t>
      </w:r>
      <w:r w:rsidRPr="005E0829">
        <w:rPr>
          <w:rStyle w:val="apple-converted-space"/>
          <w:rFonts w:ascii="Times New Roman" w:hAnsi="Times New Roman" w:cs="Times New Roman"/>
          <w:sz w:val="24"/>
          <w:szCs w:val="24"/>
        </w:rPr>
        <w:t> </w:t>
      </w:r>
      <w:proofErr w:type="spellStart"/>
      <w:r w:rsidRPr="005E0829">
        <w:rPr>
          <w:rFonts w:ascii="Times New Roman" w:hAnsi="Times New Roman" w:cs="Times New Roman"/>
          <w:i/>
          <w:iCs/>
          <w:sz w:val="24"/>
          <w:szCs w:val="24"/>
        </w:rPr>
        <w:t>de</w:t>
      </w:r>
      <w:proofErr w:type="spellEnd"/>
      <w:r w:rsidRPr="005E0829">
        <w:rPr>
          <w:rFonts w:ascii="Times New Roman" w:hAnsi="Times New Roman" w:cs="Times New Roman"/>
          <w:i/>
          <w:iCs/>
          <w:sz w:val="24"/>
          <w:szCs w:val="24"/>
        </w:rPr>
        <w:t xml:space="preserve"> </w:t>
      </w:r>
      <w:proofErr w:type="spellStart"/>
      <w:r w:rsidRPr="005E0829">
        <w:rPr>
          <w:rFonts w:ascii="Times New Roman" w:hAnsi="Times New Roman" w:cs="Times New Roman"/>
          <w:i/>
          <w:iCs/>
          <w:sz w:val="24"/>
          <w:szCs w:val="24"/>
        </w:rPr>
        <w:t>minimis</w:t>
      </w:r>
      <w:proofErr w:type="spellEnd"/>
      <w:r w:rsidRPr="005E0829">
        <w:rPr>
          <w:rStyle w:val="apple-converted-space"/>
          <w:rFonts w:ascii="Times New Roman" w:hAnsi="Times New Roman" w:cs="Times New Roman"/>
          <w:sz w:val="24"/>
          <w:szCs w:val="24"/>
        </w:rPr>
        <w:t> </w:t>
      </w:r>
      <w:r w:rsidRPr="005E0829">
        <w:rPr>
          <w:rFonts w:ascii="Times New Roman" w:hAnsi="Times New Roman" w:cs="Times New Roman"/>
          <w:sz w:val="24"/>
          <w:szCs w:val="24"/>
        </w:rPr>
        <w:t>atbalstu;</w:t>
      </w:r>
    </w:p>
    <w:p w:rsidR="001C7AFF" w:rsidRPr="00A50433" w:rsidRDefault="001C7AFF"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rPr>
        <w:t xml:space="preserve">75.1.2. </w:t>
      </w:r>
      <w:r w:rsidR="00C25D2A" w:rsidRPr="005E0829">
        <w:rPr>
          <w:rFonts w:ascii="Times New Roman" w:hAnsi="Times New Roman" w:cs="Times New Roman"/>
          <w:sz w:val="24"/>
          <w:szCs w:val="24"/>
        </w:rPr>
        <w:t>ja tiek konstatēts, ka uzņēmums</w:t>
      </w:r>
      <w:r w:rsidRPr="005E0829">
        <w:rPr>
          <w:rFonts w:ascii="Times New Roman" w:hAnsi="Times New Roman" w:cs="Times New Roman"/>
          <w:sz w:val="24"/>
          <w:szCs w:val="24"/>
        </w:rPr>
        <w:t xml:space="preserve"> ir ticis sadalīts, saņemto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atbalstu attiecina uz to </w:t>
      </w:r>
      <w:r w:rsidR="00C25D2A" w:rsidRPr="005E0829">
        <w:rPr>
          <w:rFonts w:ascii="Times New Roman" w:hAnsi="Times New Roman" w:cs="Times New Roman"/>
          <w:sz w:val="24"/>
          <w:szCs w:val="24"/>
        </w:rPr>
        <w:t>uzņēmumu</w:t>
      </w:r>
      <w:r w:rsidRPr="005E0829">
        <w:rPr>
          <w:rFonts w:ascii="Times New Roman" w:hAnsi="Times New Roman" w:cs="Times New Roman"/>
          <w:sz w:val="24"/>
          <w:szCs w:val="24"/>
        </w:rPr>
        <w:t xml:space="preserve">, kas guva labumu no saņemtā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atbalsta un kas pārņēma darbības, kurām sākotnēji tika izmantots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atbalsts, vai, ja minētā attiecināšana nav iespējama, saņemto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atbalstu attiecina proporcionāli, pamatojoties </w:t>
      </w:r>
      <w:r w:rsidRPr="00A50433">
        <w:rPr>
          <w:rFonts w:ascii="Times New Roman" w:hAnsi="Times New Roman" w:cs="Times New Roman"/>
          <w:sz w:val="24"/>
          <w:szCs w:val="24"/>
        </w:rPr>
        <w:t xml:space="preserve">uz </w:t>
      </w:r>
      <w:r w:rsidR="00C25D2A" w:rsidRPr="00A50433">
        <w:rPr>
          <w:rFonts w:ascii="Times New Roman" w:hAnsi="Times New Roman" w:cs="Times New Roman"/>
          <w:sz w:val="24"/>
          <w:szCs w:val="24"/>
        </w:rPr>
        <w:t>uzņēmuma</w:t>
      </w:r>
      <w:r w:rsidRPr="00A50433">
        <w:rPr>
          <w:rFonts w:ascii="Times New Roman" w:hAnsi="Times New Roman" w:cs="Times New Roman"/>
          <w:sz w:val="24"/>
          <w:szCs w:val="24"/>
        </w:rPr>
        <w:t xml:space="preserve"> pašu kapitāla bilances vērtību sadales faktiskajā datumā</w:t>
      </w:r>
      <w:r w:rsidR="008C6C1E" w:rsidRPr="00A50433">
        <w:rPr>
          <w:rFonts w:ascii="Times New Roman" w:hAnsi="Times New Roman" w:cs="Times New Roman"/>
          <w:sz w:val="24"/>
          <w:szCs w:val="24"/>
        </w:rPr>
        <w:t>;</w:t>
      </w:r>
    </w:p>
    <w:p w:rsidR="006E28A9" w:rsidRPr="005E0829" w:rsidRDefault="006E28A9" w:rsidP="00521FA2">
      <w:pPr>
        <w:spacing w:before="120" w:after="120" w:line="240" w:lineRule="auto"/>
        <w:jc w:val="both"/>
        <w:rPr>
          <w:rFonts w:ascii="Times New Roman" w:hAnsi="Times New Roman" w:cs="Times New Roman"/>
          <w:sz w:val="24"/>
          <w:szCs w:val="24"/>
          <w:shd w:val="clear" w:color="auto" w:fill="FFFFFF"/>
        </w:rPr>
      </w:pPr>
      <w:r w:rsidRPr="00A50433">
        <w:rPr>
          <w:rFonts w:ascii="Times New Roman" w:hAnsi="Times New Roman" w:cs="Times New Roman"/>
          <w:sz w:val="24"/>
          <w:szCs w:val="24"/>
          <w:shd w:val="clear" w:color="auto" w:fill="FFFFFF"/>
        </w:rPr>
        <w:t xml:space="preserve">75.2. sadarbības partneris nesaņem vai neparedz saņemt </w:t>
      </w:r>
      <w:proofErr w:type="spellStart"/>
      <w:r w:rsidRPr="00A50433">
        <w:rPr>
          <w:rFonts w:ascii="Times New Roman" w:hAnsi="Times New Roman" w:cs="Times New Roman"/>
          <w:i/>
          <w:sz w:val="24"/>
          <w:szCs w:val="24"/>
          <w:shd w:val="clear" w:color="auto" w:fill="FFFFFF"/>
        </w:rPr>
        <w:t>de</w:t>
      </w:r>
      <w:proofErr w:type="spellEnd"/>
      <w:r w:rsidRPr="00A50433">
        <w:rPr>
          <w:rFonts w:ascii="Times New Roman" w:hAnsi="Times New Roman" w:cs="Times New Roman"/>
          <w:i/>
          <w:sz w:val="24"/>
          <w:szCs w:val="24"/>
          <w:shd w:val="clear" w:color="auto" w:fill="FFFFFF"/>
        </w:rPr>
        <w:t xml:space="preserve"> </w:t>
      </w:r>
      <w:proofErr w:type="spellStart"/>
      <w:r w:rsidRPr="00A50433">
        <w:rPr>
          <w:rFonts w:ascii="Times New Roman" w:hAnsi="Times New Roman" w:cs="Times New Roman"/>
          <w:i/>
          <w:sz w:val="24"/>
          <w:szCs w:val="24"/>
          <w:shd w:val="clear" w:color="auto" w:fill="FFFFFF"/>
        </w:rPr>
        <w:t>minimis</w:t>
      </w:r>
      <w:proofErr w:type="spellEnd"/>
      <w:r w:rsidRPr="00A50433">
        <w:rPr>
          <w:rFonts w:ascii="Times New Roman" w:hAnsi="Times New Roman" w:cs="Times New Roman"/>
          <w:sz w:val="24"/>
          <w:szCs w:val="24"/>
          <w:shd w:val="clear" w:color="auto" w:fill="FFFFFF"/>
        </w:rPr>
        <w:t xml:space="preserve"> </w:t>
      </w:r>
      <w:r w:rsidR="00B06F32" w:rsidRPr="00A50433">
        <w:rPr>
          <w:rFonts w:ascii="Times New Roman" w:hAnsi="Times New Roman" w:cs="Times New Roman"/>
          <w:sz w:val="24"/>
          <w:szCs w:val="24"/>
          <w:shd w:val="clear" w:color="auto" w:fill="FFFFFF"/>
        </w:rPr>
        <w:t xml:space="preserve">vai citu </w:t>
      </w:r>
      <w:r w:rsidRPr="00A50433">
        <w:rPr>
          <w:rFonts w:ascii="Times New Roman" w:hAnsi="Times New Roman" w:cs="Times New Roman"/>
          <w:sz w:val="24"/>
          <w:szCs w:val="24"/>
          <w:shd w:val="clear" w:color="auto" w:fill="FFFFFF"/>
        </w:rPr>
        <w:t>atbalstu par tām pašām attiecināmajām izmaksām citu aktivitāšu ietvaros no vietējiem, reģionālajiem, valsts vai Eiropas Savienības līdzekļiem;</w:t>
      </w:r>
    </w:p>
    <w:p w:rsidR="009F3BAD" w:rsidRPr="005E0829" w:rsidRDefault="009F3BAD"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75.3. sadarbības partnerim</w:t>
      </w:r>
      <w:r w:rsidR="006E28A9" w:rsidRPr="005E0829">
        <w:rPr>
          <w:rFonts w:ascii="Times New Roman" w:hAnsi="Times New Roman" w:cs="Times New Roman"/>
          <w:sz w:val="24"/>
          <w:szCs w:val="24"/>
          <w:shd w:val="clear" w:color="auto" w:fill="FFFFFF"/>
        </w:rPr>
        <w:t xml:space="preserve"> </w:t>
      </w:r>
      <w:r w:rsidRPr="005E0829">
        <w:rPr>
          <w:rFonts w:ascii="Times New Roman" w:hAnsi="Times New Roman" w:cs="Times New Roman"/>
          <w:sz w:val="24"/>
          <w:szCs w:val="24"/>
          <w:shd w:val="clear" w:color="auto" w:fill="FFFFFF"/>
        </w:rPr>
        <w:t>ar tiesas spriedumu nav pasludināts maksātnespējas process vai ar tiesas spriedumu netiek īstenots tiesiskās aizsardzības process, ar tiesas lēmumu netiek īstenots ārpustiesas tiesiskās aizsardzības process, tam nav uzsākta bankrota procedūra, piemērota sanācija vai mierizlīgums vai tā saimnieciskā darbība nav izbeigta;</w:t>
      </w:r>
    </w:p>
    <w:p w:rsidR="006E28A9" w:rsidRPr="005E0829" w:rsidRDefault="006E28A9"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75.4. sadarbības partnerim nav Valsts ieņēmumu dienesta administrēto nodokļu parādu un citu valsts vai pašvaldību noteikto obligāto maksājumu parādu;</w:t>
      </w:r>
    </w:p>
    <w:p w:rsidR="006E28A9" w:rsidRPr="005E0829" w:rsidRDefault="006E28A9" w:rsidP="00521FA2">
      <w:pPr>
        <w:spacing w:before="120" w:after="120" w:line="240" w:lineRule="auto"/>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shd w:val="clear" w:color="auto" w:fill="FFFFFF"/>
        </w:rPr>
        <w:t>75.5. sadarbības partnera interesēs fiziska persona nav izdarījusi noziedzīgu nodarījumu, kas skāris Latvijas Republikas vai Eiropas Savienības finanšu intereses, un sadarbības partnerim saskaņā ar Krimināllikumu nav piemēroti piespiedu ietekmēšanas līdzekļi.</w:t>
      </w:r>
      <w:r w:rsidR="009F3B79" w:rsidRPr="005E0829">
        <w:rPr>
          <w:rFonts w:ascii="Times New Roman" w:hAnsi="Times New Roman" w:cs="Times New Roman"/>
          <w:sz w:val="24"/>
          <w:szCs w:val="24"/>
          <w:shd w:val="clear" w:color="auto" w:fill="FFFFFF"/>
        </w:rPr>
        <w:t>”;</w:t>
      </w:r>
    </w:p>
    <w:p w:rsidR="009F3BAD" w:rsidRPr="005E0829" w:rsidRDefault="00B92727"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 xml:space="preserve">svītrot </w:t>
      </w:r>
      <w:r w:rsidR="00AD51A1" w:rsidRPr="005E0829">
        <w:rPr>
          <w:rFonts w:ascii="Times New Roman" w:hAnsi="Times New Roman" w:cs="Times New Roman"/>
          <w:sz w:val="24"/>
          <w:szCs w:val="24"/>
        </w:rPr>
        <w:t>76.</w:t>
      </w:r>
      <w:r w:rsidR="00063F37" w:rsidRPr="005E0829">
        <w:rPr>
          <w:rFonts w:ascii="Times New Roman" w:hAnsi="Times New Roman" w:cs="Times New Roman"/>
          <w:sz w:val="24"/>
          <w:szCs w:val="24"/>
        </w:rPr>
        <w:t xml:space="preserve"> un 77.</w:t>
      </w:r>
      <w:r w:rsidR="00AD51A1" w:rsidRPr="005E0829">
        <w:rPr>
          <w:rFonts w:ascii="Times New Roman" w:hAnsi="Times New Roman" w:cs="Times New Roman"/>
          <w:sz w:val="24"/>
          <w:szCs w:val="24"/>
        </w:rPr>
        <w:t>punktu</w:t>
      </w:r>
      <w:r w:rsidRPr="005E0829">
        <w:rPr>
          <w:rFonts w:ascii="Times New Roman" w:hAnsi="Times New Roman" w:cs="Times New Roman"/>
          <w:sz w:val="24"/>
          <w:szCs w:val="24"/>
        </w:rPr>
        <w:t>.</w:t>
      </w:r>
    </w:p>
    <w:p w:rsidR="00C25D2A" w:rsidRPr="005E0829" w:rsidRDefault="00C25D2A" w:rsidP="00A50433">
      <w:pPr>
        <w:pStyle w:val="ListParagraph"/>
        <w:numPr>
          <w:ilvl w:val="0"/>
          <w:numId w:val="23"/>
        </w:numPr>
        <w:spacing w:before="120" w:after="120" w:line="240" w:lineRule="auto"/>
        <w:ind w:left="709"/>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rPr>
        <w:lastRenderedPageBreak/>
        <w:t>izteikt 1.pielikuma „Nozares, kurām nav paredzēts atbalsts” III punktu „Ogļu rūpniecības nozare” šādā redakcijā:</w:t>
      </w:r>
    </w:p>
    <w:p w:rsidR="00C25D2A" w:rsidRPr="00BF714D" w:rsidRDefault="00C25D2A" w:rsidP="00C25D2A">
      <w:pPr>
        <w:spacing w:before="120" w:after="120" w:line="240" w:lineRule="auto"/>
        <w:jc w:val="both"/>
        <w:rPr>
          <w:rFonts w:ascii="Times New Roman" w:hAnsi="Times New Roman" w:cs="Times New Roman"/>
          <w:sz w:val="24"/>
          <w:szCs w:val="24"/>
        </w:rPr>
      </w:pPr>
      <w:r w:rsidRPr="00BF714D">
        <w:rPr>
          <w:rFonts w:ascii="Times New Roman" w:hAnsi="Times New Roman" w:cs="Times New Roman"/>
          <w:sz w:val="24"/>
          <w:szCs w:val="24"/>
          <w:shd w:val="clear" w:color="auto" w:fill="FFFFFF"/>
        </w:rPr>
        <w:t>„</w:t>
      </w:r>
      <w:r w:rsidRPr="00BF714D">
        <w:rPr>
          <w:rFonts w:ascii="Times New Roman" w:hAnsi="Times New Roman" w:cs="Times New Roman"/>
          <w:b/>
          <w:sz w:val="24"/>
          <w:szCs w:val="24"/>
        </w:rPr>
        <w:t>III. Ogļu rūpniecības nozare</w:t>
      </w:r>
    </w:p>
    <w:p w:rsidR="00C25D2A" w:rsidRPr="00A50433" w:rsidRDefault="00C25D2A" w:rsidP="00C25D2A">
      <w:pPr>
        <w:spacing w:before="120" w:after="120" w:line="240" w:lineRule="auto"/>
        <w:jc w:val="both"/>
        <w:rPr>
          <w:rFonts w:ascii="Times New Roman" w:hAnsi="Times New Roman" w:cs="Times New Roman"/>
          <w:sz w:val="24"/>
          <w:szCs w:val="24"/>
          <w:shd w:val="clear" w:color="auto" w:fill="FFFFFF"/>
        </w:rPr>
      </w:pPr>
      <w:r w:rsidRPr="00A50433">
        <w:rPr>
          <w:rFonts w:ascii="Times New Roman" w:hAnsi="Times New Roman" w:cs="Times New Roman"/>
          <w:sz w:val="24"/>
          <w:szCs w:val="24"/>
          <w:shd w:val="clear" w:color="auto" w:fill="FFFFFF"/>
        </w:rPr>
        <w:t>Ogļu rūpniecībai</w:t>
      </w:r>
      <w:r w:rsidR="00C04F59" w:rsidRPr="00A50433">
        <w:rPr>
          <w:rFonts w:ascii="Times New Roman" w:hAnsi="Times New Roman" w:cs="Times New Roman"/>
          <w:sz w:val="24"/>
          <w:szCs w:val="24"/>
          <w:shd w:val="clear" w:color="auto" w:fill="FFFFFF"/>
        </w:rPr>
        <w:t xml:space="preserve"> atbilstoši </w:t>
      </w:r>
      <w:r w:rsidRPr="00A50433">
        <w:rPr>
          <w:rFonts w:ascii="Times New Roman" w:hAnsi="Times New Roman" w:cs="Times New Roman"/>
          <w:sz w:val="24"/>
          <w:szCs w:val="24"/>
        </w:rPr>
        <w:t xml:space="preserve">Komisijas 2014. gada 17. jūnija Regulas (ES) </w:t>
      </w:r>
      <w:proofErr w:type="spellStart"/>
      <w:r w:rsidRPr="00A50433">
        <w:rPr>
          <w:rFonts w:ascii="Times New Roman" w:hAnsi="Times New Roman" w:cs="Times New Roman"/>
          <w:sz w:val="24"/>
          <w:szCs w:val="24"/>
        </w:rPr>
        <w:t>Nr</w:t>
      </w:r>
      <w:proofErr w:type="spellEnd"/>
      <w:r w:rsidRPr="00A50433">
        <w:rPr>
          <w:rFonts w:ascii="Times New Roman" w:hAnsi="Times New Roman" w:cs="Times New Roman"/>
          <w:sz w:val="24"/>
          <w:szCs w:val="24"/>
        </w:rPr>
        <w:t>. 651/2014, ar ko noteiktas atbalsta kategorijas atzīst par saderīgām ar iekšējo tirgu, piemērojot Līguma</w:t>
      </w:r>
      <w:r w:rsidRPr="00A50433">
        <w:rPr>
          <w:rStyle w:val="apple-converted-space"/>
          <w:rFonts w:ascii="Times New Roman" w:hAnsi="Times New Roman" w:cs="Times New Roman"/>
          <w:sz w:val="24"/>
          <w:szCs w:val="24"/>
        </w:rPr>
        <w:t> </w:t>
      </w:r>
      <w:hyperlink r:id="rId9" w:anchor="p107" w:tgtFrame="_blank" w:history="1">
        <w:r w:rsidRPr="00A50433">
          <w:rPr>
            <w:rStyle w:val="Hyperlink"/>
            <w:rFonts w:ascii="Times New Roman" w:hAnsi="Times New Roman" w:cs="Times New Roman"/>
            <w:color w:val="auto"/>
            <w:sz w:val="24"/>
            <w:szCs w:val="24"/>
          </w:rPr>
          <w:t>107.</w:t>
        </w:r>
        <w:r w:rsidRPr="00A50433">
          <w:rPr>
            <w:rStyle w:val="apple-converted-space"/>
            <w:rFonts w:ascii="Times New Roman" w:hAnsi="Times New Roman" w:cs="Times New Roman"/>
            <w:sz w:val="24"/>
            <w:szCs w:val="24"/>
          </w:rPr>
          <w:t> </w:t>
        </w:r>
      </w:hyperlink>
      <w:r w:rsidRPr="00A50433">
        <w:rPr>
          <w:rFonts w:ascii="Times New Roman" w:hAnsi="Times New Roman" w:cs="Times New Roman"/>
          <w:sz w:val="24"/>
          <w:szCs w:val="24"/>
        </w:rPr>
        <w:t>un</w:t>
      </w:r>
      <w:r w:rsidRPr="00A50433">
        <w:rPr>
          <w:rStyle w:val="apple-converted-space"/>
          <w:rFonts w:ascii="Times New Roman" w:hAnsi="Times New Roman" w:cs="Times New Roman"/>
          <w:sz w:val="24"/>
          <w:szCs w:val="24"/>
        </w:rPr>
        <w:t> </w:t>
      </w:r>
      <w:hyperlink r:id="rId10" w:anchor="p108" w:tgtFrame="_blank" w:history="1">
        <w:r w:rsidRPr="00A50433">
          <w:rPr>
            <w:rStyle w:val="Hyperlink"/>
            <w:rFonts w:ascii="Times New Roman" w:hAnsi="Times New Roman" w:cs="Times New Roman"/>
            <w:color w:val="auto"/>
            <w:sz w:val="24"/>
            <w:szCs w:val="24"/>
          </w:rPr>
          <w:t>108. pantu</w:t>
        </w:r>
      </w:hyperlink>
      <w:r w:rsidRPr="00A50433">
        <w:rPr>
          <w:rFonts w:ascii="Times New Roman" w:hAnsi="Times New Roman" w:cs="Times New Roman"/>
          <w:sz w:val="24"/>
          <w:szCs w:val="24"/>
        </w:rPr>
        <w:t xml:space="preserve"> (Eiropas Savienības Oficiālais Vēstnesis, 2014. gada 26. jūnijs, </w:t>
      </w:r>
      <w:proofErr w:type="spellStart"/>
      <w:r w:rsidRPr="00A50433">
        <w:rPr>
          <w:rFonts w:ascii="Times New Roman" w:hAnsi="Times New Roman" w:cs="Times New Roman"/>
          <w:sz w:val="24"/>
          <w:szCs w:val="24"/>
        </w:rPr>
        <w:t>Nr</w:t>
      </w:r>
      <w:proofErr w:type="spellEnd"/>
      <w:r w:rsidRPr="00A50433">
        <w:rPr>
          <w:rFonts w:ascii="Times New Roman" w:hAnsi="Times New Roman" w:cs="Times New Roman"/>
          <w:sz w:val="24"/>
          <w:szCs w:val="24"/>
        </w:rPr>
        <w:t>. L 187) 2.panta 13.punkt</w:t>
      </w:r>
      <w:r w:rsidR="00C04F59" w:rsidRPr="00A50433">
        <w:rPr>
          <w:rFonts w:ascii="Times New Roman" w:hAnsi="Times New Roman" w:cs="Times New Roman"/>
          <w:sz w:val="24"/>
          <w:szCs w:val="24"/>
        </w:rPr>
        <w:t>ā sniegtajai definīcijai</w:t>
      </w:r>
      <w:r w:rsidRPr="00A50433">
        <w:rPr>
          <w:rFonts w:ascii="Times New Roman" w:hAnsi="Times New Roman" w:cs="Times New Roman"/>
          <w:sz w:val="24"/>
          <w:szCs w:val="24"/>
          <w:shd w:val="clear" w:color="auto" w:fill="FFFFFF"/>
        </w:rPr>
        <w:t>.</w:t>
      </w:r>
    </w:p>
    <w:p w:rsidR="00C25D2A" w:rsidRPr="005E0829" w:rsidRDefault="00C25D2A" w:rsidP="00C25D2A">
      <w:pPr>
        <w:spacing w:before="120" w:after="120" w:line="240" w:lineRule="auto"/>
        <w:jc w:val="both"/>
        <w:rPr>
          <w:rFonts w:ascii="Times New Roman" w:hAnsi="Times New Roman" w:cs="Times New Roman"/>
          <w:sz w:val="24"/>
          <w:szCs w:val="24"/>
          <w:shd w:val="clear" w:color="auto" w:fill="FFFFFF"/>
        </w:rPr>
      </w:pPr>
      <w:r w:rsidRPr="00A50433">
        <w:rPr>
          <w:rFonts w:ascii="Times New Roman" w:hAnsi="Times New Roman" w:cs="Times New Roman"/>
          <w:sz w:val="24"/>
          <w:szCs w:val="24"/>
          <w:shd w:val="clear" w:color="auto" w:fill="FFFFFF"/>
        </w:rPr>
        <w:t>Ogļu rūpniecības nozare ietilpst NACE 2.red. 05.nodaļā</w:t>
      </w:r>
      <w:r w:rsidRPr="005E0829">
        <w:rPr>
          <w:rFonts w:ascii="Times New Roman" w:hAnsi="Times New Roman" w:cs="Times New Roman"/>
          <w:sz w:val="24"/>
          <w:szCs w:val="24"/>
          <w:shd w:val="clear" w:color="auto" w:fill="FFFFFF"/>
        </w:rPr>
        <w:t xml:space="preserve"> “Ogļu un brūnogļu (</w:t>
      </w:r>
      <w:proofErr w:type="spellStart"/>
      <w:r w:rsidRPr="005E0829">
        <w:rPr>
          <w:rFonts w:ascii="Times New Roman" w:hAnsi="Times New Roman" w:cs="Times New Roman"/>
          <w:sz w:val="24"/>
          <w:szCs w:val="24"/>
          <w:shd w:val="clear" w:color="auto" w:fill="FFFFFF"/>
        </w:rPr>
        <w:t>lignīta</w:t>
      </w:r>
      <w:proofErr w:type="spellEnd"/>
      <w:r w:rsidRPr="005E0829">
        <w:rPr>
          <w:rFonts w:ascii="Times New Roman" w:hAnsi="Times New Roman" w:cs="Times New Roman"/>
          <w:sz w:val="24"/>
          <w:szCs w:val="24"/>
          <w:shd w:val="clear" w:color="auto" w:fill="FFFFFF"/>
        </w:rPr>
        <w:t>) ieguve” (NACE 1.1.red. grupā 10.1 “Akmeņogļu ieguve, apstrāde un aglomerācija” un grupā 10.2 “Brūnogļu (</w:t>
      </w:r>
      <w:proofErr w:type="spellStart"/>
      <w:r w:rsidRPr="005E0829">
        <w:rPr>
          <w:rFonts w:ascii="Times New Roman" w:hAnsi="Times New Roman" w:cs="Times New Roman"/>
          <w:sz w:val="24"/>
          <w:szCs w:val="24"/>
          <w:shd w:val="clear" w:color="auto" w:fill="FFFFFF"/>
        </w:rPr>
        <w:t>lignīta</w:t>
      </w:r>
      <w:proofErr w:type="spellEnd"/>
      <w:r w:rsidRPr="005E0829">
        <w:rPr>
          <w:rFonts w:ascii="Times New Roman" w:hAnsi="Times New Roman" w:cs="Times New Roman"/>
          <w:sz w:val="24"/>
          <w:szCs w:val="24"/>
          <w:shd w:val="clear" w:color="auto" w:fill="FFFFFF"/>
        </w:rPr>
        <w:t>) ieguve, apstrāde un aglomerācija”).”;</w:t>
      </w:r>
    </w:p>
    <w:p w:rsidR="00F81BC1" w:rsidRPr="005E0829" w:rsidRDefault="00A76CC3"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 xml:space="preserve">izteikt </w:t>
      </w:r>
      <w:r w:rsidR="00B060BA" w:rsidRPr="005E0829">
        <w:rPr>
          <w:rFonts w:ascii="Times New Roman" w:hAnsi="Times New Roman" w:cs="Times New Roman"/>
          <w:sz w:val="24"/>
          <w:szCs w:val="24"/>
        </w:rPr>
        <w:t xml:space="preserve">noteikumu </w:t>
      </w:r>
      <w:r w:rsidR="0012325D" w:rsidRPr="005E0829">
        <w:rPr>
          <w:rFonts w:ascii="Times New Roman" w:hAnsi="Times New Roman" w:cs="Times New Roman"/>
          <w:sz w:val="24"/>
          <w:szCs w:val="24"/>
        </w:rPr>
        <w:t>2.pielikuma „</w:t>
      </w:r>
      <w:r w:rsidR="009A0A8A" w:rsidRPr="005E0829">
        <w:rPr>
          <w:rFonts w:ascii="Times New Roman" w:hAnsi="Times New Roman" w:cs="Times New Roman"/>
          <w:sz w:val="24"/>
          <w:szCs w:val="24"/>
        </w:rPr>
        <w:t>Klastera attīstības stratēģija 2012.–20__.gadam</w:t>
      </w:r>
      <w:r w:rsidR="0012325D" w:rsidRPr="005E0829">
        <w:rPr>
          <w:rFonts w:ascii="Times New Roman" w:hAnsi="Times New Roman" w:cs="Times New Roman"/>
          <w:sz w:val="24"/>
          <w:szCs w:val="24"/>
        </w:rPr>
        <w:t xml:space="preserve">” </w:t>
      </w:r>
      <w:r w:rsidR="009A0A8A" w:rsidRPr="005E0829">
        <w:rPr>
          <w:rFonts w:ascii="Times New Roman" w:hAnsi="Times New Roman" w:cs="Times New Roman"/>
          <w:sz w:val="24"/>
          <w:szCs w:val="24"/>
        </w:rPr>
        <w:t>2.6</w:t>
      </w:r>
      <w:r w:rsidR="0012325D" w:rsidRPr="005E0829">
        <w:rPr>
          <w:rFonts w:ascii="Times New Roman" w:hAnsi="Times New Roman" w:cs="Times New Roman"/>
          <w:sz w:val="24"/>
          <w:szCs w:val="24"/>
        </w:rPr>
        <w:t>.apakšpunkta tabulu šādā redakcijā:</w:t>
      </w:r>
    </w:p>
    <w:tbl>
      <w:tblPr>
        <w:tblStyle w:val="TableGrid"/>
        <w:tblW w:w="0" w:type="auto"/>
        <w:tblInd w:w="108" w:type="dxa"/>
        <w:tblLayout w:type="fixed"/>
        <w:tblLook w:val="04A0" w:firstRow="1" w:lastRow="0" w:firstColumn="1" w:lastColumn="0" w:noHBand="0" w:noVBand="1"/>
      </w:tblPr>
      <w:tblGrid>
        <w:gridCol w:w="3828"/>
        <w:gridCol w:w="850"/>
        <w:gridCol w:w="567"/>
        <w:gridCol w:w="567"/>
        <w:gridCol w:w="567"/>
        <w:gridCol w:w="567"/>
        <w:gridCol w:w="567"/>
        <w:gridCol w:w="567"/>
        <w:gridCol w:w="567"/>
        <w:gridCol w:w="532"/>
      </w:tblGrid>
      <w:tr w:rsidR="005E0829" w:rsidRPr="005E0829" w:rsidTr="00BF714D">
        <w:tc>
          <w:tcPr>
            <w:tcW w:w="3828" w:type="dxa"/>
          </w:tcPr>
          <w:p w:rsidR="00AD51A1" w:rsidRPr="005E0829" w:rsidRDefault="00316332"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w:t>
            </w:r>
            <w:r w:rsidR="00AD51A1" w:rsidRPr="005E0829">
              <w:rPr>
                <w:rFonts w:ascii="Times New Roman" w:hAnsi="Times New Roman" w:cs="Times New Roman"/>
                <w:sz w:val="20"/>
                <w:szCs w:val="20"/>
              </w:rPr>
              <w:t>Rādītājs (mērvienība)</w:t>
            </w:r>
          </w:p>
        </w:tc>
        <w:tc>
          <w:tcPr>
            <w:tcW w:w="850" w:type="dxa"/>
          </w:tcPr>
          <w:p w:rsidR="00AD51A1" w:rsidRPr="005E0829" w:rsidRDefault="00AD51A1"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Pēdējā pārskata gadā</w:t>
            </w:r>
          </w:p>
        </w:tc>
        <w:tc>
          <w:tcPr>
            <w:tcW w:w="567" w:type="dxa"/>
          </w:tcPr>
          <w:p w:rsidR="00AD51A1" w:rsidRPr="005E0829" w:rsidRDefault="00AD51A1" w:rsidP="00BF714D">
            <w:pPr>
              <w:ind w:left="-108" w:right="-112"/>
              <w:jc w:val="center"/>
              <w:rPr>
                <w:rFonts w:ascii="Times New Roman" w:hAnsi="Times New Roman" w:cs="Times New Roman"/>
                <w:sz w:val="20"/>
                <w:szCs w:val="20"/>
              </w:rPr>
            </w:pPr>
            <w:r w:rsidRPr="005E0829">
              <w:rPr>
                <w:rFonts w:ascii="Times New Roman" w:hAnsi="Times New Roman" w:cs="Times New Roman"/>
                <w:sz w:val="20"/>
                <w:szCs w:val="20"/>
              </w:rPr>
              <w:t>2012.</w:t>
            </w:r>
          </w:p>
        </w:tc>
        <w:tc>
          <w:tcPr>
            <w:tcW w:w="567" w:type="dxa"/>
          </w:tcPr>
          <w:p w:rsidR="00AD51A1" w:rsidRPr="005E0829" w:rsidRDefault="00AD51A1" w:rsidP="00BF714D">
            <w:pPr>
              <w:ind w:left="-104" w:right="-103"/>
              <w:jc w:val="center"/>
              <w:rPr>
                <w:rFonts w:ascii="Times New Roman" w:hAnsi="Times New Roman" w:cs="Times New Roman"/>
                <w:sz w:val="20"/>
                <w:szCs w:val="20"/>
              </w:rPr>
            </w:pPr>
            <w:r w:rsidRPr="005E0829">
              <w:rPr>
                <w:rFonts w:ascii="Times New Roman" w:hAnsi="Times New Roman" w:cs="Times New Roman"/>
                <w:sz w:val="20"/>
                <w:szCs w:val="20"/>
              </w:rPr>
              <w:t>2013.</w:t>
            </w:r>
          </w:p>
        </w:tc>
        <w:tc>
          <w:tcPr>
            <w:tcW w:w="567" w:type="dxa"/>
          </w:tcPr>
          <w:p w:rsidR="00AD51A1" w:rsidRPr="005E0829" w:rsidRDefault="00AD51A1" w:rsidP="00BF714D">
            <w:pPr>
              <w:ind w:left="-113" w:right="-94"/>
              <w:jc w:val="center"/>
              <w:rPr>
                <w:rFonts w:ascii="Times New Roman" w:hAnsi="Times New Roman" w:cs="Times New Roman"/>
                <w:sz w:val="20"/>
                <w:szCs w:val="20"/>
              </w:rPr>
            </w:pPr>
            <w:r w:rsidRPr="005E0829">
              <w:rPr>
                <w:rFonts w:ascii="Times New Roman" w:hAnsi="Times New Roman" w:cs="Times New Roman"/>
                <w:sz w:val="20"/>
                <w:szCs w:val="20"/>
              </w:rPr>
              <w:t>2014.</w:t>
            </w:r>
          </w:p>
        </w:tc>
        <w:tc>
          <w:tcPr>
            <w:tcW w:w="567" w:type="dxa"/>
          </w:tcPr>
          <w:p w:rsidR="00AD51A1" w:rsidRPr="005E0829" w:rsidRDefault="00AD51A1" w:rsidP="00BF714D">
            <w:pPr>
              <w:ind w:left="-122" w:right="-84"/>
              <w:jc w:val="center"/>
              <w:rPr>
                <w:rFonts w:ascii="Times New Roman" w:hAnsi="Times New Roman" w:cs="Times New Roman"/>
                <w:sz w:val="20"/>
                <w:szCs w:val="20"/>
              </w:rPr>
            </w:pPr>
            <w:r w:rsidRPr="005E0829">
              <w:rPr>
                <w:rFonts w:ascii="Times New Roman" w:hAnsi="Times New Roman" w:cs="Times New Roman"/>
                <w:sz w:val="20"/>
                <w:szCs w:val="20"/>
              </w:rPr>
              <w:t>2015.</w:t>
            </w:r>
          </w:p>
        </w:tc>
        <w:tc>
          <w:tcPr>
            <w:tcW w:w="567" w:type="dxa"/>
          </w:tcPr>
          <w:p w:rsidR="00AD51A1" w:rsidRPr="005E0829" w:rsidRDefault="00AD51A1" w:rsidP="00BF714D">
            <w:pPr>
              <w:ind w:left="-132" w:right="-75"/>
              <w:jc w:val="center"/>
              <w:rPr>
                <w:rFonts w:ascii="Times New Roman" w:hAnsi="Times New Roman" w:cs="Times New Roman"/>
                <w:sz w:val="20"/>
                <w:szCs w:val="20"/>
              </w:rPr>
            </w:pPr>
            <w:r w:rsidRPr="005E0829">
              <w:rPr>
                <w:rFonts w:ascii="Times New Roman" w:hAnsi="Times New Roman" w:cs="Times New Roman"/>
                <w:sz w:val="20"/>
                <w:szCs w:val="20"/>
              </w:rPr>
              <w:t>2016.</w:t>
            </w:r>
          </w:p>
        </w:tc>
        <w:tc>
          <w:tcPr>
            <w:tcW w:w="567" w:type="dxa"/>
          </w:tcPr>
          <w:p w:rsidR="00AD51A1" w:rsidRPr="005E0829" w:rsidRDefault="00AD51A1" w:rsidP="00BF714D">
            <w:pPr>
              <w:ind w:left="-141" w:right="-162"/>
              <w:jc w:val="center"/>
              <w:rPr>
                <w:rFonts w:ascii="Times New Roman" w:hAnsi="Times New Roman" w:cs="Times New Roman"/>
                <w:sz w:val="20"/>
                <w:szCs w:val="20"/>
              </w:rPr>
            </w:pPr>
            <w:r w:rsidRPr="005E0829">
              <w:rPr>
                <w:rFonts w:ascii="Times New Roman" w:hAnsi="Times New Roman" w:cs="Times New Roman"/>
                <w:sz w:val="20"/>
                <w:szCs w:val="20"/>
              </w:rPr>
              <w:t>2017.</w:t>
            </w:r>
          </w:p>
        </w:tc>
        <w:tc>
          <w:tcPr>
            <w:tcW w:w="567" w:type="dxa"/>
          </w:tcPr>
          <w:p w:rsidR="00AD51A1" w:rsidRPr="005E0829" w:rsidRDefault="00AD51A1" w:rsidP="00BF714D">
            <w:pPr>
              <w:ind w:left="-54" w:right="-152"/>
              <w:jc w:val="center"/>
              <w:rPr>
                <w:rFonts w:ascii="Times New Roman" w:hAnsi="Times New Roman" w:cs="Times New Roman"/>
                <w:sz w:val="20"/>
                <w:szCs w:val="20"/>
              </w:rPr>
            </w:pPr>
            <w:r w:rsidRPr="005E0829">
              <w:rPr>
                <w:rFonts w:ascii="Times New Roman" w:hAnsi="Times New Roman" w:cs="Times New Roman"/>
                <w:sz w:val="20"/>
                <w:szCs w:val="20"/>
              </w:rPr>
              <w:t>2018.</w:t>
            </w:r>
          </w:p>
        </w:tc>
        <w:tc>
          <w:tcPr>
            <w:tcW w:w="532" w:type="dxa"/>
          </w:tcPr>
          <w:p w:rsidR="00AD51A1" w:rsidRPr="005E0829" w:rsidRDefault="00AD51A1" w:rsidP="00BF714D">
            <w:pPr>
              <w:ind w:left="-64" w:right="-143"/>
              <w:jc w:val="center"/>
              <w:rPr>
                <w:rFonts w:ascii="Times New Roman" w:hAnsi="Times New Roman" w:cs="Times New Roman"/>
                <w:sz w:val="20"/>
                <w:szCs w:val="20"/>
              </w:rPr>
            </w:pPr>
            <w:r w:rsidRPr="005E0829">
              <w:rPr>
                <w:rFonts w:ascii="Times New Roman" w:hAnsi="Times New Roman" w:cs="Times New Roman"/>
                <w:sz w:val="20"/>
                <w:szCs w:val="20"/>
              </w:rPr>
              <w:t>2019.</w:t>
            </w:r>
          </w:p>
        </w:tc>
      </w:tr>
      <w:tr w:rsidR="005E0829" w:rsidRPr="005E0829" w:rsidTr="00BF714D">
        <w:trPr>
          <w:trHeight w:val="449"/>
        </w:trPr>
        <w:tc>
          <w:tcPr>
            <w:tcW w:w="3828" w:type="dxa"/>
          </w:tcPr>
          <w:p w:rsidR="00AD51A1" w:rsidRPr="005E0829" w:rsidRDefault="00AD51A1"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Klastera sadarbības partneru (komersantu) eksporta apjoms (</w:t>
            </w:r>
            <w:proofErr w:type="spellStart"/>
            <w:r w:rsidRPr="005E0829">
              <w:rPr>
                <w:rFonts w:ascii="Times New Roman" w:hAnsi="Times New Roman" w:cs="Times New Roman"/>
                <w:sz w:val="20"/>
                <w:szCs w:val="20"/>
              </w:rPr>
              <w:t>milj</w:t>
            </w:r>
            <w:proofErr w:type="spellEnd"/>
            <w:r w:rsidRPr="005E0829">
              <w:rPr>
                <w:rFonts w:ascii="Times New Roman" w:hAnsi="Times New Roman" w:cs="Times New Roman"/>
                <w:sz w:val="20"/>
                <w:szCs w:val="20"/>
              </w:rPr>
              <w:t>. EUR)</w:t>
            </w:r>
          </w:p>
        </w:tc>
        <w:tc>
          <w:tcPr>
            <w:tcW w:w="850"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32" w:type="dxa"/>
          </w:tcPr>
          <w:p w:rsidR="00AD51A1" w:rsidRPr="005E0829" w:rsidRDefault="00AD51A1" w:rsidP="00BF714D">
            <w:pPr>
              <w:pStyle w:val="ListParagraph"/>
              <w:ind w:left="0"/>
              <w:jc w:val="both"/>
              <w:rPr>
                <w:rFonts w:ascii="Times New Roman" w:hAnsi="Times New Roman" w:cs="Times New Roman"/>
                <w:sz w:val="20"/>
                <w:szCs w:val="20"/>
              </w:rPr>
            </w:pPr>
          </w:p>
        </w:tc>
      </w:tr>
      <w:tr w:rsidR="005E0829" w:rsidRPr="005E0829" w:rsidTr="00BF714D">
        <w:tc>
          <w:tcPr>
            <w:tcW w:w="3828" w:type="dxa"/>
          </w:tcPr>
          <w:p w:rsidR="00AD51A1" w:rsidRPr="005E0829" w:rsidRDefault="00AD51A1"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Klastera sadarbības partneru (komersantu) darbaspēka produktivitāte (pievienotā vērtība/strādājošo skaits) (EUR)</w:t>
            </w:r>
          </w:p>
        </w:tc>
        <w:tc>
          <w:tcPr>
            <w:tcW w:w="850"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32" w:type="dxa"/>
          </w:tcPr>
          <w:p w:rsidR="00AD51A1" w:rsidRPr="005E0829" w:rsidRDefault="00AD51A1" w:rsidP="00BF714D">
            <w:pPr>
              <w:pStyle w:val="ListParagraph"/>
              <w:ind w:left="0"/>
              <w:jc w:val="both"/>
              <w:rPr>
                <w:rFonts w:ascii="Times New Roman" w:hAnsi="Times New Roman" w:cs="Times New Roman"/>
                <w:sz w:val="20"/>
                <w:szCs w:val="20"/>
              </w:rPr>
            </w:pPr>
          </w:p>
        </w:tc>
      </w:tr>
      <w:tr w:rsidR="005E0829" w:rsidRPr="005E0829" w:rsidTr="00BF714D">
        <w:tc>
          <w:tcPr>
            <w:tcW w:w="3828" w:type="dxa"/>
          </w:tcPr>
          <w:p w:rsidR="00AD51A1" w:rsidRPr="005E0829" w:rsidRDefault="00AD51A1"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Klastera sadarbības partneru (komersantu) ieguldījumi pētniecībā un attīstībā (EUR)</w:t>
            </w:r>
          </w:p>
        </w:tc>
        <w:tc>
          <w:tcPr>
            <w:tcW w:w="850"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32" w:type="dxa"/>
          </w:tcPr>
          <w:p w:rsidR="00AD51A1" w:rsidRPr="005E0829" w:rsidRDefault="00AD51A1" w:rsidP="00BF714D">
            <w:pPr>
              <w:pStyle w:val="ListParagraph"/>
              <w:ind w:left="0"/>
              <w:jc w:val="both"/>
              <w:rPr>
                <w:rFonts w:ascii="Times New Roman" w:hAnsi="Times New Roman" w:cs="Times New Roman"/>
                <w:sz w:val="20"/>
                <w:szCs w:val="20"/>
              </w:rPr>
            </w:pPr>
          </w:p>
        </w:tc>
      </w:tr>
      <w:tr w:rsidR="005E0829" w:rsidRPr="005E0829" w:rsidTr="00BF714D">
        <w:trPr>
          <w:trHeight w:val="56"/>
        </w:trPr>
        <w:tc>
          <w:tcPr>
            <w:tcW w:w="3828" w:type="dxa"/>
          </w:tcPr>
          <w:p w:rsidR="00AD51A1" w:rsidRPr="005E0829" w:rsidRDefault="00AD51A1"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w:t>
            </w:r>
          </w:p>
        </w:tc>
        <w:tc>
          <w:tcPr>
            <w:tcW w:w="850"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67" w:type="dxa"/>
          </w:tcPr>
          <w:p w:rsidR="00AD51A1" w:rsidRPr="005E0829" w:rsidRDefault="00AD51A1" w:rsidP="00BF714D">
            <w:pPr>
              <w:pStyle w:val="ListParagraph"/>
              <w:ind w:left="0"/>
              <w:jc w:val="both"/>
              <w:rPr>
                <w:rFonts w:ascii="Times New Roman" w:hAnsi="Times New Roman" w:cs="Times New Roman"/>
                <w:sz w:val="20"/>
                <w:szCs w:val="20"/>
              </w:rPr>
            </w:pPr>
          </w:p>
        </w:tc>
        <w:tc>
          <w:tcPr>
            <w:tcW w:w="532" w:type="dxa"/>
          </w:tcPr>
          <w:p w:rsidR="00AD51A1" w:rsidRPr="005E0829" w:rsidRDefault="00316332" w:rsidP="00BF714D">
            <w:pPr>
              <w:pStyle w:val="ListParagraph"/>
              <w:ind w:left="0"/>
              <w:jc w:val="both"/>
              <w:rPr>
                <w:rFonts w:ascii="Times New Roman" w:hAnsi="Times New Roman" w:cs="Times New Roman"/>
                <w:sz w:val="20"/>
                <w:szCs w:val="20"/>
              </w:rPr>
            </w:pPr>
            <w:r w:rsidRPr="005E0829">
              <w:rPr>
                <w:rFonts w:ascii="Times New Roman" w:hAnsi="Times New Roman" w:cs="Times New Roman"/>
                <w:sz w:val="20"/>
                <w:szCs w:val="20"/>
              </w:rPr>
              <w:t>„</w:t>
            </w:r>
          </w:p>
        </w:tc>
      </w:tr>
    </w:tbl>
    <w:p w:rsidR="00A96448" w:rsidRPr="005E0829" w:rsidRDefault="00A96448" w:rsidP="00A50433">
      <w:pPr>
        <w:pStyle w:val="ListParagraph"/>
        <w:numPr>
          <w:ilvl w:val="0"/>
          <w:numId w:val="23"/>
        </w:numPr>
        <w:spacing w:before="120" w:after="120" w:line="240" w:lineRule="auto"/>
        <w:ind w:left="709"/>
        <w:jc w:val="both"/>
        <w:rPr>
          <w:rFonts w:ascii="Times New Roman" w:hAnsi="Times New Roman" w:cs="Times New Roman"/>
          <w:sz w:val="24"/>
          <w:szCs w:val="24"/>
          <w:shd w:val="clear" w:color="auto" w:fill="FFFFFF"/>
        </w:rPr>
      </w:pPr>
      <w:r w:rsidRPr="005E0829">
        <w:rPr>
          <w:rFonts w:ascii="Times New Roman" w:hAnsi="Times New Roman" w:cs="Times New Roman"/>
          <w:sz w:val="24"/>
          <w:szCs w:val="24"/>
        </w:rPr>
        <w:t>aizstāt noteikumu 5.pielikuma „Apliecinājums par projekta iesniedzēja sadarbības partneru ekonomiskajiem rādītājiem pēdējos trijos gados (2009.–2011.gads)” tabulā vārdu „LVL” ar vārdu „EUR”.;</w:t>
      </w:r>
    </w:p>
    <w:p w:rsidR="00A96448" w:rsidRPr="005E0829" w:rsidRDefault="00A96448"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 xml:space="preserve">aizstāt noteikumu 7.pielikuma „Klastera stratēģijas 2012.-2015. ____.gada darbības plāns” 2.2., 3.1., 3.2., 3.3. un 3.4. </w:t>
      </w:r>
      <w:proofErr w:type="spellStart"/>
      <w:r w:rsidRPr="005E0829">
        <w:rPr>
          <w:rFonts w:ascii="Times New Roman" w:hAnsi="Times New Roman" w:cs="Times New Roman"/>
          <w:sz w:val="24"/>
          <w:szCs w:val="24"/>
        </w:rPr>
        <w:t>apakšpunta</w:t>
      </w:r>
      <w:proofErr w:type="spellEnd"/>
      <w:r w:rsidRPr="005E0829">
        <w:rPr>
          <w:rFonts w:ascii="Times New Roman" w:hAnsi="Times New Roman" w:cs="Times New Roman"/>
          <w:sz w:val="24"/>
          <w:szCs w:val="24"/>
        </w:rPr>
        <w:t xml:space="preserve"> tabulās vārdu „LVL” ar vārdu „EUR”.;</w:t>
      </w:r>
    </w:p>
    <w:p w:rsidR="0073553D" w:rsidRPr="005E0829" w:rsidRDefault="00A96448" w:rsidP="00A50433">
      <w:pPr>
        <w:pStyle w:val="ListParagraph"/>
        <w:numPr>
          <w:ilvl w:val="0"/>
          <w:numId w:val="23"/>
        </w:numPr>
        <w:spacing w:before="120" w:after="120" w:line="240" w:lineRule="auto"/>
        <w:ind w:left="709"/>
        <w:jc w:val="both"/>
        <w:rPr>
          <w:rFonts w:ascii="Times New Roman" w:hAnsi="Times New Roman" w:cs="Times New Roman"/>
          <w:sz w:val="24"/>
          <w:szCs w:val="24"/>
        </w:rPr>
      </w:pPr>
      <w:r w:rsidRPr="005E0829">
        <w:rPr>
          <w:rFonts w:ascii="Times New Roman" w:hAnsi="Times New Roman" w:cs="Times New Roman"/>
          <w:sz w:val="24"/>
          <w:szCs w:val="24"/>
        </w:rPr>
        <w:t>izteikt 7.pielikuma „Klastera stratēģijas 2012.-2015. ____.gada darbības plāns” 4.sadaļas „K</w:t>
      </w:r>
      <w:r w:rsidR="00521FA2" w:rsidRPr="005E0829">
        <w:rPr>
          <w:rFonts w:ascii="Times New Roman" w:hAnsi="Times New Roman" w:cs="Times New Roman"/>
          <w:sz w:val="24"/>
          <w:szCs w:val="24"/>
        </w:rPr>
        <w:t>lastera apliecinājums” 10.punktu</w:t>
      </w:r>
      <w:r w:rsidRPr="005E0829">
        <w:rPr>
          <w:rFonts w:ascii="Times New Roman" w:hAnsi="Times New Roman" w:cs="Times New Roman"/>
          <w:sz w:val="24"/>
          <w:szCs w:val="24"/>
        </w:rPr>
        <w:t xml:space="preserve"> šādā redakcijā:</w:t>
      </w:r>
    </w:p>
    <w:p w:rsidR="008E4431" w:rsidRPr="005E0829" w:rsidRDefault="00A96448" w:rsidP="00521FA2">
      <w:pPr>
        <w:spacing w:before="120" w:after="120" w:line="240" w:lineRule="auto"/>
        <w:jc w:val="both"/>
        <w:rPr>
          <w:rFonts w:ascii="Times New Roman" w:hAnsi="Times New Roman" w:cs="Times New Roman"/>
          <w:sz w:val="24"/>
          <w:szCs w:val="24"/>
        </w:rPr>
      </w:pPr>
      <w:r w:rsidRPr="005E0829">
        <w:rPr>
          <w:rFonts w:ascii="Times New Roman" w:hAnsi="Times New Roman" w:cs="Times New Roman"/>
          <w:sz w:val="24"/>
          <w:szCs w:val="24"/>
        </w:rPr>
        <w:t xml:space="preserve">„projekta iesniedzējs veiks sadarbības partneru sniegtā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atbalsta uzskaiti </w:t>
      </w:r>
      <w:r w:rsidR="0073553D" w:rsidRPr="005E0829">
        <w:rPr>
          <w:rFonts w:ascii="Times New Roman" w:hAnsi="Times New Roman" w:cs="Times New Roman"/>
          <w:sz w:val="24"/>
          <w:szCs w:val="24"/>
        </w:rPr>
        <w:t xml:space="preserve">ievērojot normatīvos aktus par </w:t>
      </w:r>
      <w:proofErr w:type="spellStart"/>
      <w:r w:rsidR="0073553D" w:rsidRPr="005E0829">
        <w:rPr>
          <w:rFonts w:ascii="Times New Roman" w:hAnsi="Times New Roman" w:cs="Times New Roman"/>
          <w:i/>
          <w:sz w:val="24"/>
          <w:szCs w:val="24"/>
        </w:rPr>
        <w:t>de</w:t>
      </w:r>
      <w:proofErr w:type="spellEnd"/>
      <w:r w:rsidR="0073553D" w:rsidRPr="005E0829">
        <w:rPr>
          <w:rFonts w:ascii="Times New Roman" w:hAnsi="Times New Roman" w:cs="Times New Roman"/>
          <w:i/>
          <w:sz w:val="24"/>
          <w:szCs w:val="24"/>
        </w:rPr>
        <w:t xml:space="preserve"> </w:t>
      </w:r>
      <w:proofErr w:type="spellStart"/>
      <w:r w:rsidR="0073553D" w:rsidRPr="005E0829">
        <w:rPr>
          <w:rFonts w:ascii="Times New Roman" w:hAnsi="Times New Roman" w:cs="Times New Roman"/>
          <w:i/>
          <w:sz w:val="24"/>
          <w:szCs w:val="24"/>
        </w:rPr>
        <w:t>minimis</w:t>
      </w:r>
      <w:proofErr w:type="spellEnd"/>
      <w:r w:rsidR="0073553D" w:rsidRPr="005E0829">
        <w:rPr>
          <w:rFonts w:ascii="Times New Roman" w:hAnsi="Times New Roman" w:cs="Times New Roman"/>
          <w:sz w:val="24"/>
          <w:szCs w:val="24"/>
        </w:rPr>
        <w:t xml:space="preserve"> atbalsta uzskaites un piešķiršanas kārtību un </w:t>
      </w:r>
      <w:proofErr w:type="spellStart"/>
      <w:r w:rsidR="0073553D" w:rsidRPr="005E0829">
        <w:rPr>
          <w:rFonts w:ascii="Times New Roman" w:hAnsi="Times New Roman" w:cs="Times New Roman"/>
          <w:i/>
          <w:sz w:val="24"/>
          <w:szCs w:val="24"/>
        </w:rPr>
        <w:t>de</w:t>
      </w:r>
      <w:proofErr w:type="spellEnd"/>
      <w:r w:rsidR="0073553D" w:rsidRPr="005E0829">
        <w:rPr>
          <w:rFonts w:ascii="Times New Roman" w:hAnsi="Times New Roman" w:cs="Times New Roman"/>
          <w:i/>
          <w:sz w:val="24"/>
          <w:szCs w:val="24"/>
        </w:rPr>
        <w:t xml:space="preserve"> </w:t>
      </w:r>
      <w:proofErr w:type="spellStart"/>
      <w:r w:rsidR="0073553D" w:rsidRPr="005E0829">
        <w:rPr>
          <w:rFonts w:ascii="Times New Roman" w:hAnsi="Times New Roman" w:cs="Times New Roman"/>
          <w:i/>
          <w:sz w:val="24"/>
          <w:szCs w:val="24"/>
        </w:rPr>
        <w:t>minimis</w:t>
      </w:r>
      <w:proofErr w:type="spellEnd"/>
      <w:r w:rsidR="0073553D" w:rsidRPr="005E0829">
        <w:rPr>
          <w:rFonts w:ascii="Times New Roman" w:hAnsi="Times New Roman" w:cs="Times New Roman"/>
          <w:sz w:val="24"/>
          <w:szCs w:val="24"/>
        </w:rPr>
        <w:t xml:space="preserve"> atbalsta uzskaites veidlapu paraugiem, norādot ziņas par kārtējo gadu un diviem</w:t>
      </w:r>
      <w:r w:rsidR="00521FA2" w:rsidRPr="005E0829">
        <w:rPr>
          <w:rFonts w:ascii="Times New Roman" w:hAnsi="Times New Roman" w:cs="Times New Roman"/>
          <w:sz w:val="24"/>
          <w:szCs w:val="24"/>
        </w:rPr>
        <w:t xml:space="preserve"> iepriekšējiem kalendāra gadiem,</w:t>
      </w:r>
      <w:r w:rsidRPr="005E0829">
        <w:rPr>
          <w:rFonts w:ascii="Times New Roman" w:hAnsi="Times New Roman" w:cs="Times New Roman"/>
          <w:sz w:val="24"/>
          <w:szCs w:val="24"/>
        </w:rPr>
        <w:t xml:space="preserve"> un projekta iesniedzēja izstrādāto sadarbības partneru </w:t>
      </w:r>
      <w:proofErr w:type="spellStart"/>
      <w:r w:rsidRPr="005E0829">
        <w:rPr>
          <w:rFonts w:ascii="Times New Roman" w:hAnsi="Times New Roman" w:cs="Times New Roman"/>
          <w:i/>
          <w:sz w:val="24"/>
          <w:szCs w:val="24"/>
        </w:rPr>
        <w:t>de</w:t>
      </w:r>
      <w:proofErr w:type="spellEnd"/>
      <w:r w:rsidRPr="005E0829">
        <w:rPr>
          <w:rFonts w:ascii="Times New Roman" w:hAnsi="Times New Roman" w:cs="Times New Roman"/>
          <w:i/>
          <w:sz w:val="24"/>
          <w:szCs w:val="24"/>
        </w:rPr>
        <w:t xml:space="preserve"> </w:t>
      </w:r>
      <w:proofErr w:type="spellStart"/>
      <w:r w:rsidRPr="005E0829">
        <w:rPr>
          <w:rFonts w:ascii="Times New Roman" w:hAnsi="Times New Roman" w:cs="Times New Roman"/>
          <w:i/>
          <w:sz w:val="24"/>
          <w:szCs w:val="24"/>
        </w:rPr>
        <w:t>minimis</w:t>
      </w:r>
      <w:proofErr w:type="spellEnd"/>
      <w:r w:rsidRPr="005E0829">
        <w:rPr>
          <w:rFonts w:ascii="Times New Roman" w:hAnsi="Times New Roman" w:cs="Times New Roman"/>
          <w:sz w:val="24"/>
          <w:szCs w:val="24"/>
        </w:rPr>
        <w:t xml:space="preserve"> atbalsta uzskaites kārtību.</w:t>
      </w:r>
      <w:r w:rsidR="0073553D" w:rsidRPr="005E0829">
        <w:rPr>
          <w:rFonts w:ascii="Times New Roman" w:hAnsi="Times New Roman" w:cs="Times New Roman"/>
          <w:sz w:val="24"/>
          <w:szCs w:val="24"/>
        </w:rPr>
        <w:t>”.</w:t>
      </w:r>
    </w:p>
    <w:p w:rsidR="00F561BF" w:rsidRPr="004B4BF8" w:rsidRDefault="00F561BF" w:rsidP="00615DE7">
      <w:pPr>
        <w:tabs>
          <w:tab w:val="left" w:pos="7371"/>
        </w:tabs>
        <w:spacing w:after="0" w:line="240" w:lineRule="auto"/>
        <w:jc w:val="both"/>
        <w:rPr>
          <w:rFonts w:ascii="Times New Roman" w:hAnsi="Times New Roman" w:cs="Times New Roman"/>
          <w:sz w:val="16"/>
          <w:szCs w:val="16"/>
        </w:rPr>
      </w:pPr>
    </w:p>
    <w:p w:rsidR="00696D88" w:rsidRPr="005E0829" w:rsidRDefault="00521FA2" w:rsidP="00B8289A">
      <w:pPr>
        <w:tabs>
          <w:tab w:val="left" w:pos="7230"/>
        </w:tabs>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Ministru prezidente</w:t>
      </w:r>
      <w:r w:rsidR="00615DE7" w:rsidRPr="005E0829">
        <w:rPr>
          <w:rFonts w:ascii="Times New Roman" w:hAnsi="Times New Roman" w:cs="Times New Roman"/>
          <w:sz w:val="24"/>
          <w:szCs w:val="24"/>
        </w:rPr>
        <w:tab/>
      </w:r>
      <w:r w:rsidR="004D4DE4" w:rsidRPr="005E0829">
        <w:rPr>
          <w:rFonts w:ascii="Times New Roman" w:hAnsi="Times New Roman" w:cs="Times New Roman"/>
          <w:sz w:val="24"/>
          <w:szCs w:val="24"/>
        </w:rPr>
        <w:t>L.Straujuma</w:t>
      </w:r>
    </w:p>
    <w:p w:rsidR="00F561BF" w:rsidRPr="004B4BF8" w:rsidRDefault="00F561BF" w:rsidP="00B8289A">
      <w:pPr>
        <w:tabs>
          <w:tab w:val="left" w:pos="7371"/>
        </w:tabs>
        <w:spacing w:after="0" w:line="240" w:lineRule="auto"/>
        <w:jc w:val="both"/>
        <w:rPr>
          <w:rFonts w:ascii="Times New Roman" w:hAnsi="Times New Roman" w:cs="Times New Roman"/>
          <w:sz w:val="16"/>
          <w:szCs w:val="16"/>
        </w:rPr>
      </w:pPr>
    </w:p>
    <w:p w:rsidR="00C35BCF" w:rsidRPr="005E0829" w:rsidRDefault="00953E74" w:rsidP="00B8289A">
      <w:pPr>
        <w:tabs>
          <w:tab w:val="left" w:pos="7230"/>
        </w:tabs>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Ekonomikas ministre</w:t>
      </w:r>
      <w:r w:rsidR="004D4DE4" w:rsidRPr="005E0829">
        <w:rPr>
          <w:rFonts w:ascii="Times New Roman" w:hAnsi="Times New Roman" w:cs="Times New Roman"/>
          <w:sz w:val="24"/>
          <w:szCs w:val="24"/>
        </w:rPr>
        <w:t xml:space="preserve"> </w:t>
      </w:r>
      <w:r w:rsidR="004D4DE4" w:rsidRPr="005E0829">
        <w:rPr>
          <w:rFonts w:ascii="Times New Roman" w:hAnsi="Times New Roman" w:cs="Times New Roman"/>
          <w:sz w:val="24"/>
          <w:szCs w:val="24"/>
        </w:rPr>
        <w:tab/>
      </w:r>
      <w:proofErr w:type="spellStart"/>
      <w:r w:rsidR="00B8289A" w:rsidRPr="005E0829">
        <w:rPr>
          <w:rFonts w:ascii="Times New Roman" w:hAnsi="Times New Roman" w:cs="Times New Roman"/>
          <w:sz w:val="24"/>
          <w:szCs w:val="24"/>
        </w:rPr>
        <w:t>D.Reizniece-Ozola</w:t>
      </w:r>
      <w:proofErr w:type="spellEnd"/>
    </w:p>
    <w:p w:rsidR="00F561BF" w:rsidRPr="004B4BF8" w:rsidRDefault="00F561BF" w:rsidP="00B8289A">
      <w:pPr>
        <w:tabs>
          <w:tab w:val="left" w:pos="7371"/>
        </w:tabs>
        <w:spacing w:after="0" w:line="240" w:lineRule="auto"/>
        <w:jc w:val="both"/>
        <w:rPr>
          <w:rFonts w:ascii="Times New Roman" w:hAnsi="Times New Roman" w:cs="Times New Roman"/>
          <w:sz w:val="16"/>
          <w:szCs w:val="16"/>
        </w:rPr>
      </w:pPr>
    </w:p>
    <w:p w:rsidR="00696D88" w:rsidRPr="005E0829" w:rsidRDefault="00DE27E8" w:rsidP="00B8289A">
      <w:pPr>
        <w:tabs>
          <w:tab w:val="left" w:pos="7371"/>
        </w:tabs>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Iesniedzējs:</w:t>
      </w:r>
    </w:p>
    <w:p w:rsidR="00BF714D" w:rsidRPr="004B4BF8" w:rsidRDefault="00953E74" w:rsidP="004B4BF8">
      <w:pPr>
        <w:tabs>
          <w:tab w:val="left" w:pos="7230"/>
        </w:tabs>
        <w:spacing w:after="0" w:line="240" w:lineRule="auto"/>
        <w:jc w:val="both"/>
        <w:rPr>
          <w:rFonts w:ascii="Times New Roman" w:hAnsi="Times New Roman" w:cs="Times New Roman"/>
          <w:sz w:val="24"/>
          <w:szCs w:val="24"/>
        </w:rPr>
      </w:pPr>
      <w:r w:rsidRPr="005E0829">
        <w:rPr>
          <w:rFonts w:ascii="Times New Roman" w:hAnsi="Times New Roman" w:cs="Times New Roman"/>
          <w:sz w:val="24"/>
          <w:szCs w:val="24"/>
        </w:rPr>
        <w:t>Ekonomikas ministre</w:t>
      </w:r>
      <w:r w:rsidR="00F80FB5" w:rsidRPr="005E0829">
        <w:rPr>
          <w:rFonts w:ascii="Times New Roman" w:hAnsi="Times New Roman" w:cs="Times New Roman"/>
          <w:sz w:val="24"/>
          <w:szCs w:val="24"/>
        </w:rPr>
        <w:t xml:space="preserve"> </w:t>
      </w:r>
      <w:r w:rsidR="00F80FB5" w:rsidRPr="005E0829">
        <w:rPr>
          <w:rFonts w:ascii="Times New Roman" w:hAnsi="Times New Roman" w:cs="Times New Roman"/>
          <w:sz w:val="24"/>
          <w:szCs w:val="24"/>
        </w:rPr>
        <w:tab/>
      </w:r>
      <w:proofErr w:type="spellStart"/>
      <w:r w:rsidR="00B8289A" w:rsidRPr="005E0829">
        <w:rPr>
          <w:rFonts w:ascii="Times New Roman" w:hAnsi="Times New Roman" w:cs="Times New Roman"/>
          <w:sz w:val="24"/>
          <w:szCs w:val="24"/>
        </w:rPr>
        <w:t>D.Reizniece-Ozola</w:t>
      </w:r>
      <w:proofErr w:type="spellEnd"/>
    </w:p>
    <w:p w:rsidR="004B4BF8" w:rsidRDefault="004B4BF8" w:rsidP="004B4BF8">
      <w:pPr>
        <w:spacing w:after="0" w:line="240" w:lineRule="auto"/>
        <w:jc w:val="both"/>
        <w:rPr>
          <w:rFonts w:ascii="Times New Roman" w:hAnsi="Times New Roman" w:cs="Times New Roman"/>
          <w:sz w:val="24"/>
          <w:szCs w:val="24"/>
        </w:rPr>
      </w:pPr>
    </w:p>
    <w:p w:rsidR="004B4BF8" w:rsidRDefault="00F80FB5" w:rsidP="004B4BF8">
      <w:pPr>
        <w:spacing w:after="0" w:line="240" w:lineRule="auto"/>
        <w:jc w:val="both"/>
        <w:rPr>
          <w:rFonts w:ascii="Times New Roman" w:hAnsi="Times New Roman"/>
          <w:sz w:val="24"/>
          <w:szCs w:val="24"/>
        </w:rPr>
      </w:pPr>
      <w:r w:rsidRPr="004B4BF8">
        <w:rPr>
          <w:rFonts w:ascii="Times New Roman" w:hAnsi="Times New Roman" w:cs="Times New Roman"/>
          <w:sz w:val="24"/>
          <w:szCs w:val="24"/>
        </w:rPr>
        <w:t>Vīza:</w:t>
      </w:r>
      <w:r w:rsidRPr="005E0829">
        <w:rPr>
          <w:sz w:val="24"/>
          <w:szCs w:val="24"/>
        </w:rPr>
        <w:t xml:space="preserve"> </w:t>
      </w:r>
      <w:r w:rsidR="004B4BF8">
        <w:rPr>
          <w:rFonts w:ascii="Times New Roman" w:hAnsi="Times New Roman"/>
          <w:sz w:val="24"/>
          <w:szCs w:val="24"/>
        </w:rPr>
        <w:t>Valsts sekretāra pienākumu izpildītāja,</w:t>
      </w:r>
    </w:p>
    <w:p w:rsidR="004B4BF8" w:rsidRDefault="004B4BF8" w:rsidP="004B4BF8">
      <w:pPr>
        <w:spacing w:after="0" w:line="240" w:lineRule="auto"/>
        <w:jc w:val="both"/>
        <w:rPr>
          <w:rFonts w:ascii="Times New Roman" w:hAnsi="Times New Roman"/>
          <w:sz w:val="24"/>
          <w:szCs w:val="24"/>
        </w:rPr>
      </w:pPr>
      <w:r>
        <w:rPr>
          <w:rFonts w:ascii="Times New Roman" w:hAnsi="Times New Roman"/>
          <w:sz w:val="24"/>
          <w:szCs w:val="24"/>
        </w:rPr>
        <w:t xml:space="preserve">Stratēģiskās plānošanas un resursu vadības </w:t>
      </w:r>
    </w:p>
    <w:p w:rsidR="004D4DE4" w:rsidRPr="005E0829" w:rsidRDefault="004B4BF8" w:rsidP="004B4BF8">
      <w:pPr>
        <w:pStyle w:val="Signature"/>
        <w:widowControl/>
        <w:tabs>
          <w:tab w:val="clear" w:pos="9072"/>
          <w:tab w:val="left" w:pos="7230"/>
        </w:tabs>
        <w:spacing w:before="0"/>
        <w:ind w:firstLine="0"/>
        <w:rPr>
          <w:sz w:val="24"/>
          <w:szCs w:val="24"/>
        </w:rPr>
      </w:pPr>
      <w:proofErr w:type="spellStart"/>
      <w:proofErr w:type="gramStart"/>
      <w:r>
        <w:rPr>
          <w:sz w:val="24"/>
          <w:szCs w:val="24"/>
        </w:rPr>
        <w:t>departamenta</w:t>
      </w:r>
      <w:proofErr w:type="spellEnd"/>
      <w:proofErr w:type="gramEnd"/>
      <w:r>
        <w:rPr>
          <w:sz w:val="24"/>
          <w:szCs w:val="24"/>
        </w:rPr>
        <w:t xml:space="preserve"> </w:t>
      </w:r>
      <w:proofErr w:type="spellStart"/>
      <w:r>
        <w:rPr>
          <w:sz w:val="24"/>
          <w:szCs w:val="24"/>
        </w:rPr>
        <w:t>direktore</w:t>
      </w:r>
      <w:proofErr w:type="spellEnd"/>
      <w:r>
        <w:rPr>
          <w:sz w:val="24"/>
          <w:szCs w:val="24"/>
        </w:rPr>
        <w:t xml:space="preserve">                                                    </w:t>
      </w:r>
      <w:r>
        <w:rPr>
          <w:sz w:val="24"/>
          <w:szCs w:val="24"/>
        </w:rPr>
        <w:t xml:space="preserve">                         </w:t>
      </w:r>
      <w:r>
        <w:rPr>
          <w:sz w:val="24"/>
          <w:szCs w:val="24"/>
        </w:rPr>
        <w:tab/>
      </w:r>
      <w:proofErr w:type="spellStart"/>
      <w:r>
        <w:rPr>
          <w:sz w:val="24"/>
          <w:szCs w:val="24"/>
        </w:rPr>
        <w:t>V.Feodorova</w:t>
      </w:r>
      <w:proofErr w:type="spellEnd"/>
    </w:p>
    <w:p w:rsidR="00F561BF" w:rsidRPr="005E0829" w:rsidRDefault="00F561BF" w:rsidP="00FA0113">
      <w:pPr>
        <w:spacing w:after="0" w:line="240" w:lineRule="auto"/>
        <w:rPr>
          <w:rFonts w:ascii="Times New Roman" w:hAnsi="Times New Roman" w:cs="Times New Roman"/>
          <w:sz w:val="20"/>
          <w:szCs w:val="20"/>
        </w:rPr>
      </w:pPr>
    </w:p>
    <w:p w:rsidR="00893703" w:rsidRPr="005E0829" w:rsidRDefault="00430A64"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22.01.2015 14:42</w:t>
      </w:r>
      <w:bookmarkStart w:id="8" w:name="_GoBack"/>
      <w:bookmarkEnd w:id="8"/>
    </w:p>
    <w:p w:rsidR="008B6F23" w:rsidRPr="005E0829" w:rsidRDefault="008E70DF" w:rsidP="00FA0113">
      <w:pPr>
        <w:spacing w:after="0" w:line="240" w:lineRule="auto"/>
        <w:rPr>
          <w:rFonts w:ascii="Times New Roman" w:hAnsi="Times New Roman" w:cs="Times New Roman"/>
          <w:sz w:val="20"/>
          <w:szCs w:val="20"/>
        </w:rPr>
      </w:pPr>
      <w:r w:rsidRPr="005E0829">
        <w:rPr>
          <w:rFonts w:ascii="Times New Roman" w:hAnsi="Times New Roman" w:cs="Times New Roman"/>
          <w:sz w:val="20"/>
          <w:szCs w:val="20"/>
        </w:rPr>
        <w:fldChar w:fldCharType="begin"/>
      </w:r>
      <w:r w:rsidRPr="005E0829">
        <w:rPr>
          <w:rFonts w:ascii="Times New Roman" w:hAnsi="Times New Roman" w:cs="Times New Roman"/>
          <w:sz w:val="20"/>
          <w:szCs w:val="20"/>
        </w:rPr>
        <w:instrText xml:space="preserve"> NUMWORDS   \* MERGEFORMAT </w:instrText>
      </w:r>
      <w:r w:rsidRPr="005E0829">
        <w:rPr>
          <w:rFonts w:ascii="Times New Roman" w:hAnsi="Times New Roman" w:cs="Times New Roman"/>
          <w:sz w:val="20"/>
          <w:szCs w:val="20"/>
        </w:rPr>
        <w:fldChar w:fldCharType="separate"/>
      </w:r>
      <w:r w:rsidR="004B4BF8">
        <w:rPr>
          <w:rFonts w:ascii="Times New Roman" w:hAnsi="Times New Roman" w:cs="Times New Roman"/>
          <w:noProof/>
          <w:sz w:val="20"/>
          <w:szCs w:val="20"/>
        </w:rPr>
        <w:t>1431</w:t>
      </w:r>
      <w:r w:rsidRPr="005E0829">
        <w:rPr>
          <w:rFonts w:ascii="Times New Roman" w:hAnsi="Times New Roman" w:cs="Times New Roman"/>
          <w:noProof/>
          <w:sz w:val="20"/>
          <w:szCs w:val="20"/>
        </w:rPr>
        <w:fldChar w:fldCharType="end"/>
      </w:r>
    </w:p>
    <w:p w:rsidR="00C35BCF" w:rsidRPr="005E0829" w:rsidRDefault="00C35BCF" w:rsidP="00C35BCF">
      <w:pPr>
        <w:spacing w:after="0" w:line="240" w:lineRule="auto"/>
        <w:rPr>
          <w:rFonts w:ascii="Times New Roman" w:hAnsi="Times New Roman" w:cs="Times New Roman"/>
          <w:sz w:val="20"/>
          <w:szCs w:val="20"/>
        </w:rPr>
      </w:pPr>
      <w:r w:rsidRPr="005E0829">
        <w:rPr>
          <w:rFonts w:ascii="Times New Roman" w:hAnsi="Times New Roman" w:cs="Times New Roman"/>
          <w:sz w:val="20"/>
          <w:szCs w:val="20"/>
        </w:rPr>
        <w:t>Austris Jansons</w:t>
      </w:r>
    </w:p>
    <w:p w:rsidR="00A94E52" w:rsidRPr="005E0829" w:rsidRDefault="00C35BCF" w:rsidP="00C35BCF">
      <w:pPr>
        <w:spacing w:after="0" w:line="240" w:lineRule="auto"/>
        <w:rPr>
          <w:rFonts w:ascii="Times New Roman" w:hAnsi="Times New Roman" w:cs="Times New Roman"/>
          <w:sz w:val="20"/>
          <w:szCs w:val="20"/>
        </w:rPr>
      </w:pPr>
      <w:r w:rsidRPr="005E0829">
        <w:rPr>
          <w:rFonts w:ascii="Times New Roman" w:hAnsi="Times New Roman" w:cs="Times New Roman"/>
          <w:sz w:val="20"/>
          <w:szCs w:val="20"/>
        </w:rPr>
        <w:t>67013062, Austris.Jansons@em.gov.lv</w:t>
      </w:r>
    </w:p>
    <w:sectPr w:rsidR="00A94E52" w:rsidRPr="005E0829" w:rsidSect="007A5C6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A4" w:rsidRDefault="004E3BA4" w:rsidP="00173166">
      <w:pPr>
        <w:spacing w:after="0" w:line="240" w:lineRule="auto"/>
      </w:pPr>
      <w:r>
        <w:separator/>
      </w:r>
    </w:p>
  </w:endnote>
  <w:endnote w:type="continuationSeparator" w:id="0">
    <w:p w:rsidR="004E3BA4" w:rsidRDefault="004E3BA4"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A1" w:rsidRPr="0034387D" w:rsidRDefault="00AD51A1" w:rsidP="0034387D">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w:t>
    </w:r>
    <w:r w:rsidRPr="002E2EBD">
      <w:rPr>
        <w:rFonts w:ascii="Times New Roman" w:eastAsia="Calibri" w:hAnsi="Times New Roman" w:cs="Times New Roman"/>
        <w:sz w:val="20"/>
        <w:szCs w:val="20"/>
      </w:rPr>
      <w:t>Not</w:t>
    </w:r>
    <w:r w:rsidR="00F561BF">
      <w:rPr>
        <w:rFonts w:ascii="Times New Roman" w:eastAsia="Calibri" w:hAnsi="Times New Roman" w:cs="Times New Roman"/>
        <w:sz w:val="20"/>
        <w:szCs w:val="20"/>
      </w:rPr>
      <w:t>_</w:t>
    </w:r>
    <w:r w:rsidR="00B12B8F">
      <w:rPr>
        <w:rFonts w:ascii="Times New Roman" w:eastAsia="Calibri" w:hAnsi="Times New Roman" w:cs="Times New Roman"/>
        <w:sz w:val="20"/>
        <w:szCs w:val="20"/>
      </w:rPr>
      <w:t>22</w:t>
    </w:r>
    <w:r w:rsidR="00A50433">
      <w:rPr>
        <w:rFonts w:ascii="Times New Roman" w:eastAsia="Calibri" w:hAnsi="Times New Roman" w:cs="Times New Roman"/>
        <w:sz w:val="20"/>
        <w:szCs w:val="20"/>
      </w:rPr>
      <w:t>012015</w:t>
    </w:r>
    <w:r w:rsidRPr="002E2EBD">
      <w:rPr>
        <w:rFonts w:ascii="Times New Roman" w:eastAsia="Calibri" w:hAnsi="Times New Roman" w:cs="Times New Roman"/>
        <w:sz w:val="20"/>
        <w:szCs w:val="20"/>
      </w:rPr>
      <w:t>_groz</w:t>
    </w:r>
    <w:r>
      <w:rPr>
        <w:rFonts w:ascii="Times New Roman" w:eastAsia="Calibri" w:hAnsi="Times New Roman" w:cs="Times New Roman"/>
        <w:sz w:val="20"/>
        <w:szCs w:val="20"/>
      </w:rPr>
      <w:t>788</w:t>
    </w:r>
    <w:r w:rsidRPr="002E2EBD">
      <w:rPr>
        <w:rFonts w:ascii="Times New Roman" w:eastAsia="Calibri" w:hAnsi="Times New Roman" w:cs="Times New Roman"/>
        <w:sz w:val="20"/>
        <w:szCs w:val="20"/>
      </w:rPr>
      <w:t xml:space="preserve">; </w:t>
    </w:r>
    <w:r w:rsidRPr="00F41DD6">
      <w:rPr>
        <w:rFonts w:ascii="Times New Roman" w:hAnsi="Times New Roman" w:cs="Times New Roman"/>
        <w:bCs/>
        <w:sz w:val="20"/>
        <w:szCs w:val="20"/>
      </w:rPr>
      <w:t>Grozījumi Ministru kabineta 2011.gada 11.oktobra noteikumos Nr.788 „Noteikumi par darbības programmas „Uzņēmējdarbība un inovācijas” papildinājuma 2.3.2.3.aktivitāti „Klasteru programma””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A1" w:rsidRPr="002E2EBD" w:rsidRDefault="00AD51A1" w:rsidP="002E2EBD">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w:t>
    </w:r>
    <w:r w:rsidRPr="002E2EBD">
      <w:rPr>
        <w:rFonts w:ascii="Times New Roman" w:eastAsia="Calibri" w:hAnsi="Times New Roman" w:cs="Times New Roman"/>
        <w:sz w:val="20"/>
        <w:szCs w:val="20"/>
      </w:rPr>
      <w:t>Not</w:t>
    </w:r>
    <w:r w:rsidR="007139B2">
      <w:rPr>
        <w:rFonts w:ascii="Times New Roman" w:eastAsia="Calibri" w:hAnsi="Times New Roman" w:cs="Times New Roman"/>
        <w:sz w:val="20"/>
        <w:szCs w:val="20"/>
      </w:rPr>
      <w:t>_</w:t>
    </w:r>
    <w:r w:rsidR="00B12B8F">
      <w:rPr>
        <w:rFonts w:ascii="Times New Roman" w:eastAsia="Calibri" w:hAnsi="Times New Roman" w:cs="Times New Roman"/>
        <w:sz w:val="20"/>
        <w:szCs w:val="20"/>
      </w:rPr>
      <w:t>22</w:t>
    </w:r>
    <w:r w:rsidR="00A50433">
      <w:rPr>
        <w:rFonts w:ascii="Times New Roman" w:eastAsia="Calibri" w:hAnsi="Times New Roman" w:cs="Times New Roman"/>
        <w:sz w:val="20"/>
        <w:szCs w:val="20"/>
      </w:rPr>
      <w:t>012015</w:t>
    </w:r>
    <w:r w:rsidRPr="002E2EBD">
      <w:rPr>
        <w:rFonts w:ascii="Times New Roman" w:eastAsia="Calibri" w:hAnsi="Times New Roman" w:cs="Times New Roman"/>
        <w:sz w:val="20"/>
        <w:szCs w:val="20"/>
      </w:rPr>
      <w:t>_groz</w:t>
    </w:r>
    <w:r>
      <w:rPr>
        <w:rFonts w:ascii="Times New Roman" w:eastAsia="Calibri" w:hAnsi="Times New Roman" w:cs="Times New Roman"/>
        <w:sz w:val="20"/>
        <w:szCs w:val="20"/>
      </w:rPr>
      <w:t>788</w:t>
    </w:r>
    <w:r w:rsidRPr="002E2EBD">
      <w:rPr>
        <w:rFonts w:ascii="Times New Roman" w:eastAsia="Calibri" w:hAnsi="Times New Roman" w:cs="Times New Roman"/>
        <w:sz w:val="20"/>
        <w:szCs w:val="20"/>
      </w:rPr>
      <w:t xml:space="preserve">; </w:t>
    </w:r>
    <w:r w:rsidRPr="00F41DD6">
      <w:rPr>
        <w:rFonts w:ascii="Times New Roman" w:hAnsi="Times New Roman" w:cs="Times New Roman"/>
        <w:bCs/>
        <w:sz w:val="20"/>
        <w:szCs w:val="20"/>
      </w:rPr>
      <w:t>Grozījumi Ministru kabineta 2011.gada 11.oktobra noteikumos Nr.788 „Noteikumi par darbības programmas „Uzņēmējdarbība un inovācijas” papildinājuma 2.3.2.3.aktivitāti „Klasteru programma””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A4" w:rsidRDefault="004E3BA4" w:rsidP="00173166">
      <w:pPr>
        <w:spacing w:after="0" w:line="240" w:lineRule="auto"/>
      </w:pPr>
      <w:r>
        <w:separator/>
      </w:r>
    </w:p>
  </w:footnote>
  <w:footnote w:type="continuationSeparator" w:id="0">
    <w:p w:rsidR="004E3BA4" w:rsidRDefault="004E3BA4"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AD51A1" w:rsidRDefault="00AD51A1">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430A64">
          <w:rPr>
            <w:rFonts w:ascii="Times New Roman" w:hAnsi="Times New Roman" w:cs="Times New Roman"/>
            <w:noProof/>
            <w:sz w:val="24"/>
            <w:szCs w:val="24"/>
          </w:rPr>
          <w:t>4</w:t>
        </w:r>
        <w:r w:rsidRPr="007A5C63">
          <w:rPr>
            <w:rFonts w:ascii="Times New Roman" w:hAnsi="Times New Roman" w:cs="Times New Roman"/>
            <w:sz w:val="24"/>
            <w:szCs w:val="24"/>
          </w:rPr>
          <w:fldChar w:fldCharType="end"/>
        </w:r>
      </w:p>
    </w:sdtContent>
  </w:sdt>
  <w:p w:rsidR="00AD51A1" w:rsidRPr="00173166" w:rsidRDefault="00AD51A1"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A1" w:rsidRPr="00EA5197" w:rsidRDefault="00AD51A1"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AD51A1" w:rsidRDefault="00AD5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CAF0F10"/>
    <w:multiLevelType w:val="hybridMultilevel"/>
    <w:tmpl w:val="43AEF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7">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064D54"/>
    <w:multiLevelType w:val="hybridMultilevel"/>
    <w:tmpl w:val="66D8DC7A"/>
    <w:lvl w:ilvl="0" w:tplc="074427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8">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5AE83017"/>
    <w:multiLevelType w:val="hybridMultilevel"/>
    <w:tmpl w:val="C9566708"/>
    <w:lvl w:ilvl="0" w:tplc="074427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6C509A"/>
    <w:multiLevelType w:val="hybridMultilevel"/>
    <w:tmpl w:val="6568A8D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1"/>
  </w:num>
  <w:num w:numId="2">
    <w:abstractNumId w:val="2"/>
  </w:num>
  <w:num w:numId="3">
    <w:abstractNumId w:val="9"/>
  </w:num>
  <w:num w:numId="4">
    <w:abstractNumId w:val="3"/>
  </w:num>
  <w:num w:numId="5">
    <w:abstractNumId w:val="7"/>
  </w:num>
  <w:num w:numId="6">
    <w:abstractNumId w:val="5"/>
  </w:num>
  <w:num w:numId="7">
    <w:abstractNumId w:val="10"/>
  </w:num>
  <w:num w:numId="8">
    <w:abstractNumId w:val="14"/>
  </w:num>
  <w:num w:numId="9">
    <w:abstractNumId w:val="24"/>
  </w:num>
  <w:num w:numId="10">
    <w:abstractNumId w:val="23"/>
  </w:num>
  <w:num w:numId="11">
    <w:abstractNumId w:val="0"/>
  </w:num>
  <w:num w:numId="12">
    <w:abstractNumId w:val="8"/>
  </w:num>
  <w:num w:numId="13">
    <w:abstractNumId w:val="12"/>
  </w:num>
  <w:num w:numId="14">
    <w:abstractNumId w:val="6"/>
  </w:num>
  <w:num w:numId="15">
    <w:abstractNumId w:val="15"/>
  </w:num>
  <w:num w:numId="16">
    <w:abstractNumId w:val="18"/>
  </w:num>
  <w:num w:numId="17">
    <w:abstractNumId w:val="22"/>
  </w:num>
  <w:num w:numId="18">
    <w:abstractNumId w:val="20"/>
  </w:num>
  <w:num w:numId="19">
    <w:abstractNumId w:val="4"/>
  </w:num>
  <w:num w:numId="20">
    <w:abstractNumId w:val="16"/>
  </w:num>
  <w:num w:numId="21">
    <w:abstractNumId w:val="17"/>
  </w:num>
  <w:num w:numId="22">
    <w:abstractNumId w:val="21"/>
  </w:num>
  <w:num w:numId="23">
    <w:abstractNumId w:val="1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3DCF"/>
    <w:rsid w:val="000102DB"/>
    <w:rsid w:val="00011762"/>
    <w:rsid w:val="00013397"/>
    <w:rsid w:val="000167E2"/>
    <w:rsid w:val="00016A30"/>
    <w:rsid w:val="00017EE1"/>
    <w:rsid w:val="000245CC"/>
    <w:rsid w:val="00025E50"/>
    <w:rsid w:val="000270E6"/>
    <w:rsid w:val="00034CDB"/>
    <w:rsid w:val="00035793"/>
    <w:rsid w:val="00036AD6"/>
    <w:rsid w:val="000437BD"/>
    <w:rsid w:val="000452D2"/>
    <w:rsid w:val="00050C92"/>
    <w:rsid w:val="000512E6"/>
    <w:rsid w:val="00054232"/>
    <w:rsid w:val="000559E1"/>
    <w:rsid w:val="00063F37"/>
    <w:rsid w:val="00074CC3"/>
    <w:rsid w:val="000828DE"/>
    <w:rsid w:val="000862BD"/>
    <w:rsid w:val="000933E1"/>
    <w:rsid w:val="000A2F7D"/>
    <w:rsid w:val="000A3CA9"/>
    <w:rsid w:val="000B4406"/>
    <w:rsid w:val="000C6DB9"/>
    <w:rsid w:val="000C7680"/>
    <w:rsid w:val="000D1263"/>
    <w:rsid w:val="000D5040"/>
    <w:rsid w:val="000E306E"/>
    <w:rsid w:val="000E64DD"/>
    <w:rsid w:val="000F53EA"/>
    <w:rsid w:val="000F5CFC"/>
    <w:rsid w:val="000F78CD"/>
    <w:rsid w:val="0010061C"/>
    <w:rsid w:val="001022D0"/>
    <w:rsid w:val="00107818"/>
    <w:rsid w:val="00121160"/>
    <w:rsid w:val="0012325D"/>
    <w:rsid w:val="0012372C"/>
    <w:rsid w:val="001252B0"/>
    <w:rsid w:val="00142E72"/>
    <w:rsid w:val="00146AB1"/>
    <w:rsid w:val="001515B0"/>
    <w:rsid w:val="0015244A"/>
    <w:rsid w:val="001602F5"/>
    <w:rsid w:val="0016661F"/>
    <w:rsid w:val="00171C0F"/>
    <w:rsid w:val="00173166"/>
    <w:rsid w:val="001920C5"/>
    <w:rsid w:val="00194628"/>
    <w:rsid w:val="001A2C2F"/>
    <w:rsid w:val="001A2F24"/>
    <w:rsid w:val="001A5905"/>
    <w:rsid w:val="001A5B13"/>
    <w:rsid w:val="001B249B"/>
    <w:rsid w:val="001C1121"/>
    <w:rsid w:val="001C158C"/>
    <w:rsid w:val="001C1DEA"/>
    <w:rsid w:val="001C2883"/>
    <w:rsid w:val="001C6235"/>
    <w:rsid w:val="001C7AFF"/>
    <w:rsid w:val="001D1DF4"/>
    <w:rsid w:val="001D58BC"/>
    <w:rsid w:val="001D65F4"/>
    <w:rsid w:val="001D69CD"/>
    <w:rsid w:val="001D6AE5"/>
    <w:rsid w:val="001E4C9E"/>
    <w:rsid w:val="001F28E9"/>
    <w:rsid w:val="001F33B6"/>
    <w:rsid w:val="001F66C0"/>
    <w:rsid w:val="00210EC4"/>
    <w:rsid w:val="00210F9B"/>
    <w:rsid w:val="00215E14"/>
    <w:rsid w:val="0022172F"/>
    <w:rsid w:val="0022590A"/>
    <w:rsid w:val="00225C51"/>
    <w:rsid w:val="00225EFB"/>
    <w:rsid w:val="00236C2D"/>
    <w:rsid w:val="002401B3"/>
    <w:rsid w:val="002403F3"/>
    <w:rsid w:val="00240E7B"/>
    <w:rsid w:val="00241EA8"/>
    <w:rsid w:val="00247080"/>
    <w:rsid w:val="00247EA6"/>
    <w:rsid w:val="002569DA"/>
    <w:rsid w:val="00270427"/>
    <w:rsid w:val="00272001"/>
    <w:rsid w:val="002755DD"/>
    <w:rsid w:val="00276046"/>
    <w:rsid w:val="00285FBC"/>
    <w:rsid w:val="00296029"/>
    <w:rsid w:val="002A5EDD"/>
    <w:rsid w:val="002C1AAB"/>
    <w:rsid w:val="002C38A6"/>
    <w:rsid w:val="002C4EE1"/>
    <w:rsid w:val="002C5874"/>
    <w:rsid w:val="002C7074"/>
    <w:rsid w:val="002D0EB2"/>
    <w:rsid w:val="002D1EC7"/>
    <w:rsid w:val="002D324D"/>
    <w:rsid w:val="002D61BB"/>
    <w:rsid w:val="002D684B"/>
    <w:rsid w:val="002E0F15"/>
    <w:rsid w:val="002E1740"/>
    <w:rsid w:val="002E2EBD"/>
    <w:rsid w:val="002E3621"/>
    <w:rsid w:val="002E6B69"/>
    <w:rsid w:val="002F09A0"/>
    <w:rsid w:val="002F6942"/>
    <w:rsid w:val="003063E4"/>
    <w:rsid w:val="00316332"/>
    <w:rsid w:val="00331382"/>
    <w:rsid w:val="00336B5A"/>
    <w:rsid w:val="0034387D"/>
    <w:rsid w:val="003468EA"/>
    <w:rsid w:val="0035100D"/>
    <w:rsid w:val="0035284D"/>
    <w:rsid w:val="00354184"/>
    <w:rsid w:val="00362EDE"/>
    <w:rsid w:val="00363711"/>
    <w:rsid w:val="003639FD"/>
    <w:rsid w:val="00364C1F"/>
    <w:rsid w:val="0036784F"/>
    <w:rsid w:val="00376B9F"/>
    <w:rsid w:val="0038267B"/>
    <w:rsid w:val="00382744"/>
    <w:rsid w:val="0038571D"/>
    <w:rsid w:val="00385F40"/>
    <w:rsid w:val="003861F1"/>
    <w:rsid w:val="00390266"/>
    <w:rsid w:val="00390DB2"/>
    <w:rsid w:val="00392048"/>
    <w:rsid w:val="003B2894"/>
    <w:rsid w:val="003B4B11"/>
    <w:rsid w:val="003B53FB"/>
    <w:rsid w:val="003B68AC"/>
    <w:rsid w:val="003B6A6E"/>
    <w:rsid w:val="003C1EAA"/>
    <w:rsid w:val="003C2D63"/>
    <w:rsid w:val="003C381F"/>
    <w:rsid w:val="003C4585"/>
    <w:rsid w:val="003C5A3E"/>
    <w:rsid w:val="003C7144"/>
    <w:rsid w:val="003C73DB"/>
    <w:rsid w:val="003D09E8"/>
    <w:rsid w:val="003D0A51"/>
    <w:rsid w:val="003D46A2"/>
    <w:rsid w:val="003D47C8"/>
    <w:rsid w:val="003D4BAF"/>
    <w:rsid w:val="003D6DFF"/>
    <w:rsid w:val="003E2A90"/>
    <w:rsid w:val="003E2B89"/>
    <w:rsid w:val="003E36A3"/>
    <w:rsid w:val="003E4055"/>
    <w:rsid w:val="003E56AF"/>
    <w:rsid w:val="003E7CD4"/>
    <w:rsid w:val="003F739A"/>
    <w:rsid w:val="00403D85"/>
    <w:rsid w:val="00406BC5"/>
    <w:rsid w:val="00406F9C"/>
    <w:rsid w:val="0041220C"/>
    <w:rsid w:val="00416692"/>
    <w:rsid w:val="00423E94"/>
    <w:rsid w:val="00430A64"/>
    <w:rsid w:val="00433A20"/>
    <w:rsid w:val="00435560"/>
    <w:rsid w:val="004369E8"/>
    <w:rsid w:val="0043780F"/>
    <w:rsid w:val="00441FE2"/>
    <w:rsid w:val="00447573"/>
    <w:rsid w:val="00453011"/>
    <w:rsid w:val="0045433B"/>
    <w:rsid w:val="004566C6"/>
    <w:rsid w:val="00457C81"/>
    <w:rsid w:val="00460F13"/>
    <w:rsid w:val="004633F7"/>
    <w:rsid w:val="00464DFC"/>
    <w:rsid w:val="00465025"/>
    <w:rsid w:val="00471BEF"/>
    <w:rsid w:val="00472ABA"/>
    <w:rsid w:val="0047567C"/>
    <w:rsid w:val="0049247A"/>
    <w:rsid w:val="00492836"/>
    <w:rsid w:val="00493A04"/>
    <w:rsid w:val="00495240"/>
    <w:rsid w:val="004A2146"/>
    <w:rsid w:val="004B4BF8"/>
    <w:rsid w:val="004C3870"/>
    <w:rsid w:val="004C3DC9"/>
    <w:rsid w:val="004D4DE4"/>
    <w:rsid w:val="004D5313"/>
    <w:rsid w:val="004D5C93"/>
    <w:rsid w:val="004E3BA4"/>
    <w:rsid w:val="004E551A"/>
    <w:rsid w:val="004E55DA"/>
    <w:rsid w:val="004F1930"/>
    <w:rsid w:val="004F316C"/>
    <w:rsid w:val="004F58D9"/>
    <w:rsid w:val="00510622"/>
    <w:rsid w:val="005116CC"/>
    <w:rsid w:val="005156C9"/>
    <w:rsid w:val="00521FA2"/>
    <w:rsid w:val="0053494C"/>
    <w:rsid w:val="00537949"/>
    <w:rsid w:val="005461D0"/>
    <w:rsid w:val="00554ED0"/>
    <w:rsid w:val="005569F7"/>
    <w:rsid w:val="0058234B"/>
    <w:rsid w:val="005860D2"/>
    <w:rsid w:val="005A496B"/>
    <w:rsid w:val="005D12D6"/>
    <w:rsid w:val="005D1415"/>
    <w:rsid w:val="005D7C24"/>
    <w:rsid w:val="005E0829"/>
    <w:rsid w:val="005F627D"/>
    <w:rsid w:val="005F6CD3"/>
    <w:rsid w:val="00603BE4"/>
    <w:rsid w:val="0060417D"/>
    <w:rsid w:val="00604661"/>
    <w:rsid w:val="00604BE1"/>
    <w:rsid w:val="0060741D"/>
    <w:rsid w:val="00611718"/>
    <w:rsid w:val="006126F9"/>
    <w:rsid w:val="00615DE7"/>
    <w:rsid w:val="006203EF"/>
    <w:rsid w:val="0062128E"/>
    <w:rsid w:val="00622949"/>
    <w:rsid w:val="00622F0C"/>
    <w:rsid w:val="0062338F"/>
    <w:rsid w:val="006242DC"/>
    <w:rsid w:val="00626267"/>
    <w:rsid w:val="006262FF"/>
    <w:rsid w:val="00631BD9"/>
    <w:rsid w:val="006323EA"/>
    <w:rsid w:val="00632FD0"/>
    <w:rsid w:val="00635506"/>
    <w:rsid w:val="006514CC"/>
    <w:rsid w:val="00654E9E"/>
    <w:rsid w:val="006636A8"/>
    <w:rsid w:val="00664DDD"/>
    <w:rsid w:val="00671B75"/>
    <w:rsid w:val="006848E0"/>
    <w:rsid w:val="00687C94"/>
    <w:rsid w:val="00695309"/>
    <w:rsid w:val="00696D88"/>
    <w:rsid w:val="006A18FE"/>
    <w:rsid w:val="006A1955"/>
    <w:rsid w:val="006B52BC"/>
    <w:rsid w:val="006B7336"/>
    <w:rsid w:val="006C2630"/>
    <w:rsid w:val="006C36F4"/>
    <w:rsid w:val="006C3C19"/>
    <w:rsid w:val="006C534F"/>
    <w:rsid w:val="006D1DCB"/>
    <w:rsid w:val="006D292B"/>
    <w:rsid w:val="006D3B22"/>
    <w:rsid w:val="006D5A6A"/>
    <w:rsid w:val="006D6099"/>
    <w:rsid w:val="006E1245"/>
    <w:rsid w:val="006E28A9"/>
    <w:rsid w:val="006E4749"/>
    <w:rsid w:val="006F15CF"/>
    <w:rsid w:val="006F5DA7"/>
    <w:rsid w:val="00702444"/>
    <w:rsid w:val="007030D9"/>
    <w:rsid w:val="007037AC"/>
    <w:rsid w:val="00712208"/>
    <w:rsid w:val="007132C6"/>
    <w:rsid w:val="007139B2"/>
    <w:rsid w:val="00717F68"/>
    <w:rsid w:val="00731423"/>
    <w:rsid w:val="00734857"/>
    <w:rsid w:val="0073544C"/>
    <w:rsid w:val="0073553D"/>
    <w:rsid w:val="00752C78"/>
    <w:rsid w:val="007550E0"/>
    <w:rsid w:val="0077021D"/>
    <w:rsid w:val="00773E95"/>
    <w:rsid w:val="00783DCB"/>
    <w:rsid w:val="00784B73"/>
    <w:rsid w:val="00786122"/>
    <w:rsid w:val="00792E8C"/>
    <w:rsid w:val="0079719D"/>
    <w:rsid w:val="007A3390"/>
    <w:rsid w:val="007A5C63"/>
    <w:rsid w:val="007B79B8"/>
    <w:rsid w:val="007C06BC"/>
    <w:rsid w:val="007C0E6E"/>
    <w:rsid w:val="007C511C"/>
    <w:rsid w:val="007D3CD0"/>
    <w:rsid w:val="007D5051"/>
    <w:rsid w:val="007D66A5"/>
    <w:rsid w:val="007E089B"/>
    <w:rsid w:val="007F013B"/>
    <w:rsid w:val="007F5036"/>
    <w:rsid w:val="00801C1D"/>
    <w:rsid w:val="00801E3D"/>
    <w:rsid w:val="00804AD0"/>
    <w:rsid w:val="008052DD"/>
    <w:rsid w:val="00810DC0"/>
    <w:rsid w:val="00811CA6"/>
    <w:rsid w:val="00813A79"/>
    <w:rsid w:val="008171DE"/>
    <w:rsid w:val="00822F1E"/>
    <w:rsid w:val="00824D2E"/>
    <w:rsid w:val="00833D8A"/>
    <w:rsid w:val="008416F3"/>
    <w:rsid w:val="00841849"/>
    <w:rsid w:val="00846CE6"/>
    <w:rsid w:val="00852BB9"/>
    <w:rsid w:val="00854EC1"/>
    <w:rsid w:val="00856132"/>
    <w:rsid w:val="008602DC"/>
    <w:rsid w:val="0086322D"/>
    <w:rsid w:val="00863D8B"/>
    <w:rsid w:val="00866FAF"/>
    <w:rsid w:val="008714A1"/>
    <w:rsid w:val="00871F8B"/>
    <w:rsid w:val="008832F5"/>
    <w:rsid w:val="00893703"/>
    <w:rsid w:val="00895172"/>
    <w:rsid w:val="008A0E4C"/>
    <w:rsid w:val="008B6F23"/>
    <w:rsid w:val="008C02B7"/>
    <w:rsid w:val="008C2125"/>
    <w:rsid w:val="008C4C4B"/>
    <w:rsid w:val="008C60FF"/>
    <w:rsid w:val="008C6C1E"/>
    <w:rsid w:val="008D08F0"/>
    <w:rsid w:val="008D1561"/>
    <w:rsid w:val="008D6210"/>
    <w:rsid w:val="008E4431"/>
    <w:rsid w:val="008E6A5E"/>
    <w:rsid w:val="008E70DF"/>
    <w:rsid w:val="008E7FCF"/>
    <w:rsid w:val="008F3263"/>
    <w:rsid w:val="008F3C9C"/>
    <w:rsid w:val="0090145A"/>
    <w:rsid w:val="00910700"/>
    <w:rsid w:val="009107C2"/>
    <w:rsid w:val="009116A9"/>
    <w:rsid w:val="0091204F"/>
    <w:rsid w:val="00915BCC"/>
    <w:rsid w:val="0092110A"/>
    <w:rsid w:val="009248FA"/>
    <w:rsid w:val="0093171E"/>
    <w:rsid w:val="009323C3"/>
    <w:rsid w:val="009358CF"/>
    <w:rsid w:val="00945D7C"/>
    <w:rsid w:val="00947892"/>
    <w:rsid w:val="00953E74"/>
    <w:rsid w:val="00955A84"/>
    <w:rsid w:val="00960B32"/>
    <w:rsid w:val="009716B3"/>
    <w:rsid w:val="009719E2"/>
    <w:rsid w:val="00973738"/>
    <w:rsid w:val="00985BE0"/>
    <w:rsid w:val="00996731"/>
    <w:rsid w:val="009A0A8A"/>
    <w:rsid w:val="009A1B66"/>
    <w:rsid w:val="009A1CEF"/>
    <w:rsid w:val="009A3CFA"/>
    <w:rsid w:val="009B4D1B"/>
    <w:rsid w:val="009B54A1"/>
    <w:rsid w:val="009B5991"/>
    <w:rsid w:val="009C2B23"/>
    <w:rsid w:val="009C4691"/>
    <w:rsid w:val="009C4FE8"/>
    <w:rsid w:val="009D21CA"/>
    <w:rsid w:val="009D37BC"/>
    <w:rsid w:val="009D4ED8"/>
    <w:rsid w:val="009E000F"/>
    <w:rsid w:val="009E1E86"/>
    <w:rsid w:val="009E7E8E"/>
    <w:rsid w:val="009F3B79"/>
    <w:rsid w:val="009F3BAD"/>
    <w:rsid w:val="009F3F66"/>
    <w:rsid w:val="00A00AE7"/>
    <w:rsid w:val="00A04C54"/>
    <w:rsid w:val="00A05DF1"/>
    <w:rsid w:val="00A10E9C"/>
    <w:rsid w:val="00A1293D"/>
    <w:rsid w:val="00A14D53"/>
    <w:rsid w:val="00A14F91"/>
    <w:rsid w:val="00A150BE"/>
    <w:rsid w:val="00A15C95"/>
    <w:rsid w:val="00A20BEB"/>
    <w:rsid w:val="00A25138"/>
    <w:rsid w:val="00A25916"/>
    <w:rsid w:val="00A259FA"/>
    <w:rsid w:val="00A317C3"/>
    <w:rsid w:val="00A319E1"/>
    <w:rsid w:val="00A32CBF"/>
    <w:rsid w:val="00A340F5"/>
    <w:rsid w:val="00A36612"/>
    <w:rsid w:val="00A42D72"/>
    <w:rsid w:val="00A438E3"/>
    <w:rsid w:val="00A463AC"/>
    <w:rsid w:val="00A466D4"/>
    <w:rsid w:val="00A50433"/>
    <w:rsid w:val="00A5223B"/>
    <w:rsid w:val="00A54A8D"/>
    <w:rsid w:val="00A553CE"/>
    <w:rsid w:val="00A56064"/>
    <w:rsid w:val="00A6028A"/>
    <w:rsid w:val="00A66022"/>
    <w:rsid w:val="00A76CC3"/>
    <w:rsid w:val="00A77E7F"/>
    <w:rsid w:val="00A82373"/>
    <w:rsid w:val="00A83BA7"/>
    <w:rsid w:val="00A94E52"/>
    <w:rsid w:val="00A96448"/>
    <w:rsid w:val="00A97539"/>
    <w:rsid w:val="00AB2EEF"/>
    <w:rsid w:val="00AC77B4"/>
    <w:rsid w:val="00AD51A1"/>
    <w:rsid w:val="00AE0B23"/>
    <w:rsid w:val="00AE5D8D"/>
    <w:rsid w:val="00AF128D"/>
    <w:rsid w:val="00AF2CD5"/>
    <w:rsid w:val="00AF33AC"/>
    <w:rsid w:val="00AF46BA"/>
    <w:rsid w:val="00AF4FE6"/>
    <w:rsid w:val="00B0422D"/>
    <w:rsid w:val="00B060BA"/>
    <w:rsid w:val="00B06F32"/>
    <w:rsid w:val="00B1118E"/>
    <w:rsid w:val="00B11E46"/>
    <w:rsid w:val="00B12B8F"/>
    <w:rsid w:val="00B2193C"/>
    <w:rsid w:val="00B27E32"/>
    <w:rsid w:val="00B3396D"/>
    <w:rsid w:val="00B339F6"/>
    <w:rsid w:val="00B34793"/>
    <w:rsid w:val="00B35E5B"/>
    <w:rsid w:val="00B4150B"/>
    <w:rsid w:val="00B47086"/>
    <w:rsid w:val="00B5266E"/>
    <w:rsid w:val="00B53A53"/>
    <w:rsid w:val="00B57E65"/>
    <w:rsid w:val="00B6014A"/>
    <w:rsid w:val="00B70207"/>
    <w:rsid w:val="00B760EC"/>
    <w:rsid w:val="00B80ADC"/>
    <w:rsid w:val="00B81755"/>
    <w:rsid w:val="00B8289A"/>
    <w:rsid w:val="00B85252"/>
    <w:rsid w:val="00B90D1E"/>
    <w:rsid w:val="00B92727"/>
    <w:rsid w:val="00B9344B"/>
    <w:rsid w:val="00B9746A"/>
    <w:rsid w:val="00BA2A19"/>
    <w:rsid w:val="00BA4303"/>
    <w:rsid w:val="00BA5789"/>
    <w:rsid w:val="00BA7461"/>
    <w:rsid w:val="00BB2636"/>
    <w:rsid w:val="00BB2720"/>
    <w:rsid w:val="00BB5B47"/>
    <w:rsid w:val="00BD0344"/>
    <w:rsid w:val="00BD5835"/>
    <w:rsid w:val="00BD77EC"/>
    <w:rsid w:val="00BE42CB"/>
    <w:rsid w:val="00BE6F60"/>
    <w:rsid w:val="00BE76ED"/>
    <w:rsid w:val="00BF1457"/>
    <w:rsid w:val="00BF700D"/>
    <w:rsid w:val="00BF714D"/>
    <w:rsid w:val="00C02677"/>
    <w:rsid w:val="00C03F5E"/>
    <w:rsid w:val="00C04F59"/>
    <w:rsid w:val="00C077B2"/>
    <w:rsid w:val="00C12C59"/>
    <w:rsid w:val="00C20B69"/>
    <w:rsid w:val="00C25D2A"/>
    <w:rsid w:val="00C35BCF"/>
    <w:rsid w:val="00C372BD"/>
    <w:rsid w:val="00C410A8"/>
    <w:rsid w:val="00C436B3"/>
    <w:rsid w:val="00C450EC"/>
    <w:rsid w:val="00C47C36"/>
    <w:rsid w:val="00C50018"/>
    <w:rsid w:val="00C528A5"/>
    <w:rsid w:val="00C5320F"/>
    <w:rsid w:val="00C53D4A"/>
    <w:rsid w:val="00C5614A"/>
    <w:rsid w:val="00C57993"/>
    <w:rsid w:val="00C61414"/>
    <w:rsid w:val="00C61434"/>
    <w:rsid w:val="00C659A4"/>
    <w:rsid w:val="00C8050F"/>
    <w:rsid w:val="00C822E3"/>
    <w:rsid w:val="00C82D41"/>
    <w:rsid w:val="00C8744D"/>
    <w:rsid w:val="00C92B2E"/>
    <w:rsid w:val="00CA1AD3"/>
    <w:rsid w:val="00CA5064"/>
    <w:rsid w:val="00CC117F"/>
    <w:rsid w:val="00CC1968"/>
    <w:rsid w:val="00CC655D"/>
    <w:rsid w:val="00CD1C6A"/>
    <w:rsid w:val="00CE203B"/>
    <w:rsid w:val="00CE593F"/>
    <w:rsid w:val="00CE6426"/>
    <w:rsid w:val="00CF20CD"/>
    <w:rsid w:val="00CF2E4E"/>
    <w:rsid w:val="00CF7A1E"/>
    <w:rsid w:val="00D03665"/>
    <w:rsid w:val="00D22C48"/>
    <w:rsid w:val="00D23A48"/>
    <w:rsid w:val="00D262F4"/>
    <w:rsid w:val="00D33C39"/>
    <w:rsid w:val="00D37239"/>
    <w:rsid w:val="00D419C5"/>
    <w:rsid w:val="00D47E86"/>
    <w:rsid w:val="00D51E6F"/>
    <w:rsid w:val="00D5575F"/>
    <w:rsid w:val="00D61089"/>
    <w:rsid w:val="00D63A09"/>
    <w:rsid w:val="00D6464D"/>
    <w:rsid w:val="00D72782"/>
    <w:rsid w:val="00D7416B"/>
    <w:rsid w:val="00D80A1F"/>
    <w:rsid w:val="00D86795"/>
    <w:rsid w:val="00D92F72"/>
    <w:rsid w:val="00D96961"/>
    <w:rsid w:val="00D96B78"/>
    <w:rsid w:val="00DA17CF"/>
    <w:rsid w:val="00DA540C"/>
    <w:rsid w:val="00DC490C"/>
    <w:rsid w:val="00DC51E4"/>
    <w:rsid w:val="00DC5895"/>
    <w:rsid w:val="00DC5AC5"/>
    <w:rsid w:val="00DC7384"/>
    <w:rsid w:val="00DC7CCF"/>
    <w:rsid w:val="00DD1BE1"/>
    <w:rsid w:val="00DD1FD0"/>
    <w:rsid w:val="00DD49B6"/>
    <w:rsid w:val="00DD4B7C"/>
    <w:rsid w:val="00DE1EF5"/>
    <w:rsid w:val="00DE27E8"/>
    <w:rsid w:val="00DE6F4F"/>
    <w:rsid w:val="00DF78EC"/>
    <w:rsid w:val="00E01250"/>
    <w:rsid w:val="00E014A4"/>
    <w:rsid w:val="00E10915"/>
    <w:rsid w:val="00E112F4"/>
    <w:rsid w:val="00E169D6"/>
    <w:rsid w:val="00E2459E"/>
    <w:rsid w:val="00E27EF9"/>
    <w:rsid w:val="00E32D6E"/>
    <w:rsid w:val="00E34B3B"/>
    <w:rsid w:val="00E356D5"/>
    <w:rsid w:val="00E46F99"/>
    <w:rsid w:val="00E4748C"/>
    <w:rsid w:val="00E513CC"/>
    <w:rsid w:val="00E53D71"/>
    <w:rsid w:val="00E571FA"/>
    <w:rsid w:val="00E66A54"/>
    <w:rsid w:val="00E67935"/>
    <w:rsid w:val="00E67ED1"/>
    <w:rsid w:val="00E72580"/>
    <w:rsid w:val="00E72CC8"/>
    <w:rsid w:val="00E7787F"/>
    <w:rsid w:val="00E81F30"/>
    <w:rsid w:val="00EA5197"/>
    <w:rsid w:val="00EA7B78"/>
    <w:rsid w:val="00EB1F18"/>
    <w:rsid w:val="00EB3B06"/>
    <w:rsid w:val="00EB53F6"/>
    <w:rsid w:val="00EB6DCE"/>
    <w:rsid w:val="00EC4861"/>
    <w:rsid w:val="00ED01E6"/>
    <w:rsid w:val="00ED0CC1"/>
    <w:rsid w:val="00ED1AD8"/>
    <w:rsid w:val="00ED5D18"/>
    <w:rsid w:val="00ED6BCD"/>
    <w:rsid w:val="00EE0405"/>
    <w:rsid w:val="00EE4D54"/>
    <w:rsid w:val="00EE7E0C"/>
    <w:rsid w:val="00F03F09"/>
    <w:rsid w:val="00F050FC"/>
    <w:rsid w:val="00F121D7"/>
    <w:rsid w:val="00F166D9"/>
    <w:rsid w:val="00F17724"/>
    <w:rsid w:val="00F23660"/>
    <w:rsid w:val="00F36255"/>
    <w:rsid w:val="00F419BD"/>
    <w:rsid w:val="00F41DD6"/>
    <w:rsid w:val="00F43C7A"/>
    <w:rsid w:val="00F475E6"/>
    <w:rsid w:val="00F47C1D"/>
    <w:rsid w:val="00F54675"/>
    <w:rsid w:val="00F561BF"/>
    <w:rsid w:val="00F602F8"/>
    <w:rsid w:val="00F7177A"/>
    <w:rsid w:val="00F71B28"/>
    <w:rsid w:val="00F80FB5"/>
    <w:rsid w:val="00F81BC1"/>
    <w:rsid w:val="00F820E4"/>
    <w:rsid w:val="00F84C31"/>
    <w:rsid w:val="00F94359"/>
    <w:rsid w:val="00FA0113"/>
    <w:rsid w:val="00FA209E"/>
    <w:rsid w:val="00FA7995"/>
    <w:rsid w:val="00FB1E63"/>
    <w:rsid w:val="00FB41A8"/>
    <w:rsid w:val="00FC1BEA"/>
    <w:rsid w:val="00FC4779"/>
    <w:rsid w:val="00FC7E56"/>
    <w:rsid w:val="00FD3895"/>
    <w:rsid w:val="00FE2082"/>
    <w:rsid w:val="00FE2A74"/>
    <w:rsid w:val="00FE3B0A"/>
    <w:rsid w:val="00FE5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AD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1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81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AD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1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81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8515">
      <w:bodyDiv w:val="1"/>
      <w:marLeft w:val="0"/>
      <w:marRight w:val="0"/>
      <w:marTop w:val="0"/>
      <w:marBottom w:val="0"/>
      <w:divBdr>
        <w:top w:val="none" w:sz="0" w:space="0" w:color="auto"/>
        <w:left w:val="none" w:sz="0" w:space="0" w:color="auto"/>
        <w:bottom w:val="none" w:sz="0" w:space="0" w:color="auto"/>
        <w:right w:val="none" w:sz="0" w:space="0" w:color="auto"/>
      </w:divBdr>
    </w:div>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8703856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17207261">
      <w:bodyDiv w:val="1"/>
      <w:marLeft w:val="0"/>
      <w:marRight w:val="0"/>
      <w:marTop w:val="0"/>
      <w:marBottom w:val="0"/>
      <w:divBdr>
        <w:top w:val="none" w:sz="0" w:space="0" w:color="auto"/>
        <w:left w:val="none" w:sz="0" w:space="0" w:color="auto"/>
        <w:bottom w:val="none" w:sz="0" w:space="0" w:color="auto"/>
        <w:right w:val="none" w:sz="0" w:space="0" w:color="auto"/>
      </w:divBdr>
      <w:divsChild>
        <w:div w:id="753010532">
          <w:marLeft w:val="0"/>
          <w:marRight w:val="0"/>
          <w:marTop w:val="0"/>
          <w:marBottom w:val="0"/>
          <w:divBdr>
            <w:top w:val="none" w:sz="0" w:space="0" w:color="auto"/>
            <w:left w:val="none" w:sz="0" w:space="0" w:color="auto"/>
            <w:bottom w:val="none" w:sz="0" w:space="0" w:color="auto"/>
            <w:right w:val="none" w:sz="0" w:space="0" w:color="auto"/>
          </w:divBdr>
        </w:div>
        <w:div w:id="487401289">
          <w:marLeft w:val="0"/>
          <w:marRight w:val="0"/>
          <w:marTop w:val="0"/>
          <w:marBottom w:val="0"/>
          <w:divBdr>
            <w:top w:val="none" w:sz="0" w:space="0" w:color="auto"/>
            <w:left w:val="none" w:sz="0" w:space="0" w:color="auto"/>
            <w:bottom w:val="none" w:sz="0" w:space="0" w:color="auto"/>
            <w:right w:val="none" w:sz="0" w:space="0" w:color="auto"/>
          </w:divBdr>
        </w:div>
      </w:divsChild>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685A-6D80-4EA0-93FC-B0B00AEF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1462</Words>
  <Characters>10265</Characters>
  <Application>Microsoft Office Word</Application>
  <DocSecurity>0</DocSecurity>
  <Lines>233</Lines>
  <Paragraphs>105</Paragraphs>
  <ScaleCrop>false</ScaleCrop>
  <HeadingPairs>
    <vt:vector size="2" baseType="variant">
      <vt:variant>
        <vt:lpstr>Title</vt:lpstr>
      </vt:variant>
      <vt:variant>
        <vt:i4>1</vt:i4>
      </vt:variant>
    </vt:vector>
  </HeadingPairs>
  <TitlesOfParts>
    <vt:vector size="1" baseType="lpstr">
      <vt:lpstr>Grozījumi Ministru kabineta 2011.gada 11.oktobra noteikumos Nr.788 „Noteikumi par darbības programmas „Uzņēmējdarbība un inovācijas” papildinājuma 2.3.2.3.aktivitāti „Klasteru programma””</vt:lpstr>
    </vt:vector>
  </TitlesOfParts>
  <Company>LR Ekonomikas ministrija</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11.oktobra noteikumos Nr.788 „Noteikumi par darbības programmas „Uzņēmējdarbība un inovācijas” papildinājuma 2.3.2.3.aktivitāti „Klasteru programma””</dc:title>
  <dc:subject>Ministru kabineta noteikumu projekts</dc:subject>
  <dc:creator>Austris Jansons</dc:creator>
  <dc:description>67013062, Austris.Jansons@em.gov.lv</dc:description>
  <cp:lastModifiedBy>Austris Jansons</cp:lastModifiedBy>
  <cp:revision>93</cp:revision>
  <cp:lastPrinted>2014-07-10T11:22:00Z</cp:lastPrinted>
  <dcterms:created xsi:type="dcterms:W3CDTF">2014-07-11T06:43:00Z</dcterms:created>
  <dcterms:modified xsi:type="dcterms:W3CDTF">2015-01-22T12:42:00Z</dcterms:modified>
</cp:coreProperties>
</file>