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B40" w:rsidRPr="00E1671A" w:rsidRDefault="00D56B40" w:rsidP="00D56B40">
      <w:pPr>
        <w:pStyle w:val="Heading1"/>
        <w:jc w:val="right"/>
        <w:rPr>
          <w:rFonts w:ascii="Times New Roman" w:hAnsi="Times New Roman"/>
          <w:b w:val="0"/>
          <w:color w:val="auto"/>
          <w:sz w:val="24"/>
          <w:szCs w:val="24"/>
        </w:rPr>
      </w:pPr>
      <w:bookmarkStart w:id="0" w:name="_Toc378266947"/>
      <w:proofErr w:type="spellStart"/>
      <w:r w:rsidRPr="00E1671A">
        <w:rPr>
          <w:rFonts w:ascii="Times New Roman" w:hAnsi="Times New Roman"/>
          <w:b w:val="0"/>
          <w:color w:val="auto"/>
          <w:sz w:val="24"/>
          <w:szCs w:val="24"/>
        </w:rPr>
        <w:t>Pielikums</w:t>
      </w:r>
      <w:proofErr w:type="spellEnd"/>
      <w:r w:rsidRPr="00E1671A">
        <w:rPr>
          <w:rFonts w:ascii="Times New Roman" w:hAnsi="Times New Roman"/>
          <w:b w:val="0"/>
          <w:color w:val="auto"/>
          <w:sz w:val="24"/>
          <w:szCs w:val="24"/>
        </w:rPr>
        <w:t xml:space="preserve"> Nr.</w:t>
      </w:r>
      <w:bookmarkEnd w:id="0"/>
      <w:r w:rsidR="00A4368E">
        <w:rPr>
          <w:rFonts w:ascii="Times New Roman" w:hAnsi="Times New Roman"/>
          <w:b w:val="0"/>
          <w:color w:val="auto"/>
          <w:sz w:val="24"/>
          <w:szCs w:val="24"/>
        </w:rPr>
        <w:t>7</w:t>
      </w:r>
    </w:p>
    <w:p w:rsidR="00D56B40" w:rsidRPr="00E1671A" w:rsidRDefault="00D56B40" w:rsidP="00D56B40">
      <w:pPr>
        <w:jc w:val="center"/>
      </w:pPr>
    </w:p>
    <w:p w:rsidR="00D56B40" w:rsidRPr="00E1671A" w:rsidRDefault="00D56B40" w:rsidP="00D56B40">
      <w:pPr>
        <w:jc w:val="center"/>
        <w:rPr>
          <w:b/>
        </w:rPr>
      </w:pPr>
      <w:r w:rsidRPr="00E1671A">
        <w:rPr>
          <w:b/>
        </w:rPr>
        <w:t>Koordinācija ar Eiropas Savienības stratēģiju Baltijas jūras reģionam (ESSBJR)</w:t>
      </w:r>
    </w:p>
    <w:p w:rsidR="00D56B40" w:rsidRPr="00E1671A" w:rsidRDefault="00D56B40" w:rsidP="00D56B40"/>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1268"/>
        <w:gridCol w:w="1505"/>
        <w:gridCol w:w="1701"/>
        <w:gridCol w:w="1560"/>
        <w:gridCol w:w="7516"/>
      </w:tblGrid>
      <w:tr w:rsidR="00A84D1B" w:rsidRPr="00E1671A" w:rsidTr="00A84D1B">
        <w:trPr>
          <w:trHeight w:val="315"/>
          <w:tblHeader/>
        </w:trPr>
        <w:tc>
          <w:tcPr>
            <w:tcW w:w="624" w:type="dxa"/>
            <w:shd w:val="clear" w:color="auto" w:fill="D9D9D9" w:themeFill="background1" w:themeFillShade="D9"/>
            <w:vAlign w:val="center"/>
          </w:tcPr>
          <w:p w:rsidR="00D56B40" w:rsidRPr="00E1671A" w:rsidRDefault="00D56B40" w:rsidP="00A84D1B">
            <w:pPr>
              <w:jc w:val="center"/>
              <w:rPr>
                <w:rFonts w:eastAsia="Times New Roman"/>
                <w:b/>
                <w:bCs/>
                <w:sz w:val="22"/>
                <w:lang w:eastAsia="lv-LV"/>
              </w:rPr>
            </w:pPr>
            <w:r w:rsidRPr="00E1671A">
              <w:rPr>
                <w:rFonts w:eastAsia="Times New Roman"/>
                <w:b/>
                <w:bCs/>
                <w:sz w:val="22"/>
                <w:lang w:eastAsia="lv-LV"/>
              </w:rPr>
              <w:t>Nr. p.k.</w:t>
            </w:r>
          </w:p>
        </w:tc>
        <w:tc>
          <w:tcPr>
            <w:tcW w:w="1268" w:type="dxa"/>
            <w:shd w:val="clear" w:color="auto" w:fill="D9D9D9" w:themeFill="background1" w:themeFillShade="D9"/>
            <w:vAlign w:val="center"/>
          </w:tcPr>
          <w:p w:rsidR="00D56B40" w:rsidRPr="00E1671A" w:rsidRDefault="00D56B40" w:rsidP="00A84D1B">
            <w:pPr>
              <w:jc w:val="center"/>
              <w:rPr>
                <w:rFonts w:eastAsia="Times New Roman"/>
                <w:b/>
                <w:bCs/>
                <w:sz w:val="22"/>
                <w:lang w:eastAsia="lv-LV"/>
              </w:rPr>
            </w:pPr>
            <w:r w:rsidRPr="00E1671A">
              <w:rPr>
                <w:rFonts w:eastAsia="Times New Roman"/>
                <w:b/>
                <w:bCs/>
                <w:sz w:val="22"/>
                <w:lang w:eastAsia="lv-LV"/>
              </w:rPr>
              <w:t>ESSBJR mērķi</w:t>
            </w:r>
            <w:r w:rsidRPr="00E1671A">
              <w:rPr>
                <w:rStyle w:val="FootnoteReference"/>
                <w:rFonts w:eastAsia="Times New Roman"/>
                <w:b/>
                <w:bCs/>
                <w:sz w:val="22"/>
                <w:lang w:eastAsia="lv-LV"/>
              </w:rPr>
              <w:footnoteReference w:id="1"/>
            </w:r>
          </w:p>
        </w:tc>
        <w:tc>
          <w:tcPr>
            <w:tcW w:w="1505" w:type="dxa"/>
            <w:shd w:val="clear" w:color="auto" w:fill="D9D9D9" w:themeFill="background1" w:themeFillShade="D9"/>
            <w:noWrap/>
            <w:vAlign w:val="center"/>
            <w:hideMark/>
          </w:tcPr>
          <w:p w:rsidR="00D56B40" w:rsidRPr="00E1671A" w:rsidRDefault="00D56B40" w:rsidP="00A84D1B">
            <w:pPr>
              <w:jc w:val="center"/>
              <w:rPr>
                <w:rFonts w:eastAsia="Times New Roman"/>
                <w:b/>
                <w:bCs/>
                <w:sz w:val="22"/>
                <w:lang w:eastAsia="lv-LV"/>
              </w:rPr>
            </w:pPr>
            <w:r w:rsidRPr="00E1671A">
              <w:rPr>
                <w:rFonts w:eastAsia="Times New Roman"/>
                <w:b/>
                <w:bCs/>
                <w:sz w:val="22"/>
                <w:lang w:eastAsia="lv-LV"/>
              </w:rPr>
              <w:t xml:space="preserve">ESSBJR </w:t>
            </w:r>
            <w:proofErr w:type="spellStart"/>
            <w:r w:rsidRPr="00E1671A">
              <w:rPr>
                <w:rFonts w:eastAsia="Times New Roman"/>
                <w:b/>
                <w:bCs/>
                <w:sz w:val="22"/>
                <w:lang w:eastAsia="lv-LV"/>
              </w:rPr>
              <w:t>apakšmērķi</w:t>
            </w:r>
            <w:proofErr w:type="spellEnd"/>
          </w:p>
        </w:tc>
        <w:tc>
          <w:tcPr>
            <w:tcW w:w="1701" w:type="dxa"/>
            <w:shd w:val="clear" w:color="auto" w:fill="D9D9D9" w:themeFill="background1" w:themeFillShade="D9"/>
            <w:vAlign w:val="center"/>
          </w:tcPr>
          <w:p w:rsidR="00D56B40" w:rsidRPr="00E1671A" w:rsidRDefault="00D56B40" w:rsidP="00A84D1B">
            <w:pPr>
              <w:jc w:val="center"/>
              <w:rPr>
                <w:rFonts w:eastAsia="Times New Roman"/>
                <w:b/>
                <w:bCs/>
                <w:sz w:val="22"/>
                <w:lang w:eastAsia="lv-LV"/>
              </w:rPr>
            </w:pPr>
            <w:r w:rsidRPr="00E1671A">
              <w:rPr>
                <w:rFonts w:eastAsia="Times New Roman"/>
                <w:b/>
                <w:bCs/>
                <w:sz w:val="22"/>
                <w:lang w:eastAsia="lv-LV"/>
              </w:rPr>
              <w:t>ESSBJR prioritārās joma</w:t>
            </w:r>
          </w:p>
        </w:tc>
        <w:tc>
          <w:tcPr>
            <w:tcW w:w="1560" w:type="dxa"/>
            <w:shd w:val="clear" w:color="auto" w:fill="D9D9D9" w:themeFill="background1" w:themeFillShade="D9"/>
            <w:vAlign w:val="center"/>
          </w:tcPr>
          <w:p w:rsidR="00D56B40" w:rsidRPr="00E1671A" w:rsidRDefault="00D56B40" w:rsidP="00A84D1B">
            <w:pPr>
              <w:jc w:val="center"/>
              <w:rPr>
                <w:rFonts w:eastAsia="Times New Roman"/>
                <w:b/>
                <w:bCs/>
                <w:sz w:val="22"/>
                <w:lang w:eastAsia="lv-LV"/>
              </w:rPr>
            </w:pPr>
            <w:r w:rsidRPr="00E1671A">
              <w:rPr>
                <w:rFonts w:eastAsia="Times New Roman"/>
                <w:b/>
                <w:bCs/>
                <w:sz w:val="22"/>
                <w:lang w:eastAsia="lv-LV"/>
              </w:rPr>
              <w:t>Atbilstošie darbības programmas SAM</w:t>
            </w:r>
          </w:p>
        </w:tc>
        <w:tc>
          <w:tcPr>
            <w:tcW w:w="7516" w:type="dxa"/>
            <w:shd w:val="clear" w:color="auto" w:fill="D9D9D9" w:themeFill="background1" w:themeFillShade="D9"/>
            <w:vAlign w:val="center"/>
          </w:tcPr>
          <w:p w:rsidR="00D56B40" w:rsidRPr="00E1671A" w:rsidRDefault="00D56B40" w:rsidP="00A84D1B">
            <w:pPr>
              <w:jc w:val="center"/>
              <w:rPr>
                <w:rFonts w:eastAsia="Times New Roman"/>
                <w:b/>
                <w:bCs/>
                <w:sz w:val="22"/>
                <w:lang w:eastAsia="lv-LV"/>
              </w:rPr>
            </w:pPr>
            <w:r w:rsidRPr="00E1671A">
              <w:rPr>
                <w:rFonts w:eastAsia="Times New Roman"/>
                <w:b/>
                <w:bCs/>
                <w:sz w:val="22"/>
                <w:lang w:eastAsia="lv-LV"/>
              </w:rPr>
              <w:t>SAM ieguldījuma apraksts</w:t>
            </w:r>
          </w:p>
        </w:tc>
      </w:tr>
      <w:tr w:rsidR="00D56B40" w:rsidRPr="00E1671A" w:rsidTr="00A84D1B">
        <w:trPr>
          <w:trHeight w:val="340"/>
        </w:trPr>
        <w:tc>
          <w:tcPr>
            <w:tcW w:w="624" w:type="dxa"/>
            <w:vMerge w:val="restart"/>
          </w:tcPr>
          <w:p w:rsidR="00D56B40" w:rsidRPr="00E1671A" w:rsidRDefault="00D56B40" w:rsidP="002647D1">
            <w:pPr>
              <w:pStyle w:val="ListParagraph"/>
              <w:numPr>
                <w:ilvl w:val="0"/>
                <w:numId w:val="1"/>
              </w:numPr>
              <w:contextualSpacing w:val="0"/>
              <w:rPr>
                <w:rFonts w:eastAsia="Times New Roman"/>
                <w:sz w:val="22"/>
                <w:lang w:eastAsia="lv-LV"/>
              </w:rPr>
            </w:pPr>
          </w:p>
        </w:tc>
        <w:tc>
          <w:tcPr>
            <w:tcW w:w="1268" w:type="dxa"/>
            <w:vMerge w:val="restart"/>
            <w:vAlign w:val="center"/>
          </w:tcPr>
          <w:p w:rsidR="00D56B40" w:rsidRPr="00E1671A" w:rsidRDefault="00D56B40" w:rsidP="002647D1">
            <w:pPr>
              <w:jc w:val="center"/>
              <w:rPr>
                <w:rFonts w:eastAsia="Times New Roman"/>
                <w:b/>
                <w:sz w:val="22"/>
                <w:u w:val="single"/>
                <w:lang w:eastAsia="lv-LV"/>
              </w:rPr>
            </w:pPr>
            <w:r w:rsidRPr="00E1671A">
              <w:rPr>
                <w:b/>
                <w:bCs/>
                <w:sz w:val="22"/>
              </w:rPr>
              <w:t>Glābt jūru</w:t>
            </w:r>
          </w:p>
        </w:tc>
        <w:tc>
          <w:tcPr>
            <w:tcW w:w="1505" w:type="dxa"/>
            <w:shd w:val="clear" w:color="auto" w:fill="auto"/>
            <w:noWrap/>
          </w:tcPr>
          <w:p w:rsidR="00D56B40" w:rsidRPr="00E1671A" w:rsidRDefault="00D56B40" w:rsidP="002647D1">
            <w:pPr>
              <w:rPr>
                <w:rFonts w:eastAsia="Times New Roman"/>
                <w:sz w:val="22"/>
                <w:lang w:eastAsia="lv-LV"/>
              </w:rPr>
            </w:pPr>
            <w:r w:rsidRPr="00E1671A">
              <w:rPr>
                <w:sz w:val="22"/>
              </w:rPr>
              <w:t>Skaidrs ūdens jūrā</w:t>
            </w:r>
          </w:p>
        </w:tc>
        <w:tc>
          <w:tcPr>
            <w:tcW w:w="1701" w:type="dxa"/>
          </w:tcPr>
          <w:p w:rsidR="00D56B40" w:rsidRPr="00E1671A" w:rsidRDefault="00D56B40" w:rsidP="002647D1">
            <w:pPr>
              <w:jc w:val="both"/>
              <w:rPr>
                <w:rFonts w:eastAsia="Times New Roman"/>
                <w:sz w:val="22"/>
                <w:lang w:eastAsia="lv-LV"/>
              </w:rPr>
            </w:pPr>
            <w:r w:rsidRPr="00E1671A">
              <w:rPr>
                <w:rFonts w:eastAsia="Times New Roman"/>
                <w:sz w:val="22"/>
                <w:lang w:eastAsia="lv-LV"/>
              </w:rPr>
              <w:t>Līdz pieņemamam līmenim samazināt barības vielu ieplūdi jūrā</w:t>
            </w:r>
          </w:p>
        </w:tc>
        <w:tc>
          <w:tcPr>
            <w:tcW w:w="1560" w:type="dxa"/>
          </w:tcPr>
          <w:p w:rsidR="00D56B40" w:rsidRPr="00E1671A" w:rsidRDefault="00D56B40" w:rsidP="002647D1">
            <w:pPr>
              <w:rPr>
                <w:rFonts w:eastAsia="Times New Roman"/>
                <w:sz w:val="22"/>
                <w:lang w:eastAsia="lv-LV"/>
              </w:rPr>
            </w:pPr>
            <w:r w:rsidRPr="00E1671A">
              <w:rPr>
                <w:rFonts w:eastAsia="Times New Roman"/>
                <w:sz w:val="22"/>
                <w:lang w:eastAsia="lv-LV"/>
              </w:rPr>
              <w:t>5.3.1.SAM</w:t>
            </w:r>
          </w:p>
        </w:tc>
        <w:tc>
          <w:tcPr>
            <w:tcW w:w="7516" w:type="dxa"/>
          </w:tcPr>
          <w:p w:rsidR="00D56B40" w:rsidRPr="00E1671A" w:rsidRDefault="00D56B40" w:rsidP="00A95EEF">
            <w:pPr>
              <w:jc w:val="both"/>
              <w:rPr>
                <w:rFonts w:eastAsia="Times New Roman"/>
                <w:sz w:val="22"/>
                <w:lang w:eastAsia="lv-LV"/>
              </w:rPr>
            </w:pPr>
            <w:r w:rsidRPr="00E1671A">
              <w:rPr>
                <w:rFonts w:eastAsia="Times New Roman"/>
                <w:sz w:val="22"/>
                <w:lang w:eastAsia="lv-LV"/>
              </w:rPr>
              <w:t>SAM ietvaros paredzēts attīstīt un uzlabot ūdensapgādes un kanalizācijas sistēmas pakalpojumu un kvalitāti un nodrošināt pieslēgšanas iespējas. Uzmanība tiks pievērsta arī kanalizācijas tīklu rek</w:t>
            </w:r>
            <w:r w:rsidR="00A95EEF">
              <w:rPr>
                <w:rFonts w:eastAsia="Times New Roman"/>
                <w:sz w:val="22"/>
                <w:lang w:eastAsia="lv-LV"/>
              </w:rPr>
              <w:t>o</w:t>
            </w:r>
            <w:r w:rsidRPr="00E1671A">
              <w:rPr>
                <w:rFonts w:eastAsia="Times New Roman"/>
                <w:sz w:val="22"/>
                <w:lang w:eastAsia="lv-LV"/>
              </w:rPr>
              <w:t>n</w:t>
            </w:r>
            <w:r w:rsidR="00A95EEF">
              <w:rPr>
                <w:rFonts w:eastAsia="Times New Roman"/>
                <w:sz w:val="22"/>
                <w:lang w:eastAsia="lv-LV"/>
              </w:rPr>
              <w:t>s</w:t>
            </w:r>
            <w:r w:rsidRPr="00E1671A">
              <w:rPr>
                <w:rFonts w:eastAsia="Times New Roman"/>
                <w:sz w:val="22"/>
                <w:lang w:eastAsia="lv-LV"/>
              </w:rPr>
              <w:t>trukcijai vidē n</w:t>
            </w:r>
            <w:r w:rsidR="00A95EEF">
              <w:rPr>
                <w:rFonts w:eastAsia="Times New Roman"/>
                <w:sz w:val="22"/>
                <w:lang w:eastAsia="lv-LV"/>
              </w:rPr>
              <w:t>ovadītā piesārņojuma samazināša</w:t>
            </w:r>
            <w:r w:rsidRPr="00E1671A">
              <w:rPr>
                <w:rFonts w:eastAsia="Times New Roman"/>
                <w:sz w:val="22"/>
                <w:lang w:eastAsia="lv-LV"/>
              </w:rPr>
              <w:t>n</w:t>
            </w:r>
            <w:r w:rsidR="00A95EEF">
              <w:rPr>
                <w:rFonts w:eastAsia="Times New Roman"/>
                <w:sz w:val="22"/>
                <w:lang w:eastAsia="lv-LV"/>
              </w:rPr>
              <w:t>a</w:t>
            </w:r>
            <w:r w:rsidRPr="00E1671A">
              <w:rPr>
                <w:rFonts w:eastAsia="Times New Roman"/>
                <w:sz w:val="22"/>
                <w:lang w:eastAsia="lv-LV"/>
              </w:rPr>
              <w:t xml:space="preserve">i. Lai veicinātu ūdenssaimniecības pakalpojumu lietošanu, ir plānoti arī sabiedrības informēšanas pasākumi. SAM ietvaros paredzētie pasākumi vienlaicīgi veicinās arī ESSBJR </w:t>
            </w:r>
            <w:proofErr w:type="spellStart"/>
            <w:r w:rsidRPr="00E1671A">
              <w:rPr>
                <w:rFonts w:eastAsia="Times New Roman"/>
                <w:sz w:val="22"/>
                <w:lang w:eastAsia="lv-LV"/>
              </w:rPr>
              <w:t>apakšmērķa</w:t>
            </w:r>
            <w:proofErr w:type="spellEnd"/>
            <w:r w:rsidRPr="00E1671A">
              <w:rPr>
                <w:rFonts w:eastAsia="Times New Roman"/>
                <w:sz w:val="22"/>
                <w:lang w:eastAsia="lv-LV"/>
              </w:rPr>
              <w:t xml:space="preserve"> “Skaidrs ūdens jūrā” plānoto rezultātu sasniegšanu.</w:t>
            </w:r>
          </w:p>
        </w:tc>
      </w:tr>
      <w:tr w:rsidR="00D56B40" w:rsidRPr="00E1671A" w:rsidTr="00A84D1B">
        <w:trPr>
          <w:trHeight w:val="303"/>
        </w:trPr>
        <w:tc>
          <w:tcPr>
            <w:tcW w:w="624" w:type="dxa"/>
            <w:vMerge/>
          </w:tcPr>
          <w:p w:rsidR="00D56B40" w:rsidRPr="00E1671A" w:rsidRDefault="00D56B40" w:rsidP="002647D1">
            <w:pPr>
              <w:pStyle w:val="ListParagraph"/>
              <w:numPr>
                <w:ilvl w:val="0"/>
                <w:numId w:val="1"/>
              </w:numPr>
              <w:contextualSpacing w:val="0"/>
              <w:rPr>
                <w:rFonts w:eastAsia="Times New Roman"/>
                <w:sz w:val="22"/>
                <w:lang w:eastAsia="lv-LV"/>
              </w:rPr>
            </w:pPr>
          </w:p>
        </w:tc>
        <w:tc>
          <w:tcPr>
            <w:tcW w:w="1268" w:type="dxa"/>
            <w:vMerge/>
            <w:vAlign w:val="center"/>
          </w:tcPr>
          <w:p w:rsidR="00D56B40" w:rsidRPr="00E1671A" w:rsidRDefault="00D56B40" w:rsidP="002647D1">
            <w:pPr>
              <w:jc w:val="center"/>
              <w:rPr>
                <w:rFonts w:eastAsia="Times New Roman"/>
                <w:b/>
                <w:sz w:val="22"/>
                <w:u w:val="single"/>
                <w:lang w:eastAsia="lv-LV"/>
              </w:rPr>
            </w:pPr>
          </w:p>
        </w:tc>
        <w:tc>
          <w:tcPr>
            <w:tcW w:w="1505" w:type="dxa"/>
            <w:vMerge w:val="restart"/>
            <w:shd w:val="clear" w:color="auto" w:fill="auto"/>
            <w:noWrap/>
          </w:tcPr>
          <w:p w:rsidR="00D56B40" w:rsidRPr="00E1671A" w:rsidRDefault="00D56B40" w:rsidP="002647D1">
            <w:pPr>
              <w:rPr>
                <w:rFonts w:eastAsia="Times New Roman"/>
                <w:sz w:val="22"/>
                <w:lang w:eastAsia="lv-LV"/>
              </w:rPr>
            </w:pPr>
            <w:r w:rsidRPr="00E1671A">
              <w:rPr>
                <w:sz w:val="22"/>
              </w:rPr>
              <w:t>Bagāta un veselīga augu un dzīvnieku pasaule</w:t>
            </w:r>
          </w:p>
        </w:tc>
        <w:tc>
          <w:tcPr>
            <w:tcW w:w="1701" w:type="dxa"/>
          </w:tcPr>
          <w:p w:rsidR="00D56B40" w:rsidRPr="00E1671A" w:rsidRDefault="00D56B40" w:rsidP="002647D1">
            <w:pPr>
              <w:jc w:val="both"/>
              <w:rPr>
                <w:rFonts w:eastAsia="Times New Roman"/>
                <w:sz w:val="22"/>
                <w:lang w:eastAsia="lv-LV"/>
              </w:rPr>
            </w:pPr>
            <w:r w:rsidRPr="00E1671A">
              <w:rPr>
                <w:rFonts w:eastAsia="Times New Roman"/>
                <w:sz w:val="22"/>
                <w:lang w:eastAsia="lv-LV"/>
              </w:rPr>
              <w:t>Saglabāt dabiskās zonas un bioloģisko daudzveidību, tostarp zvejniecības</w:t>
            </w:r>
          </w:p>
        </w:tc>
        <w:tc>
          <w:tcPr>
            <w:tcW w:w="1560" w:type="dxa"/>
          </w:tcPr>
          <w:p w:rsidR="00D56B40" w:rsidRPr="00E1671A" w:rsidRDefault="00D56B40" w:rsidP="002647D1">
            <w:pPr>
              <w:rPr>
                <w:rFonts w:eastAsia="Times New Roman"/>
                <w:sz w:val="22"/>
                <w:lang w:eastAsia="lv-LV"/>
              </w:rPr>
            </w:pPr>
            <w:r w:rsidRPr="00E1671A">
              <w:rPr>
                <w:rFonts w:eastAsia="Times New Roman"/>
                <w:sz w:val="22"/>
                <w:lang w:eastAsia="lv-LV"/>
              </w:rPr>
              <w:t>5.4.1.SAM.</w:t>
            </w:r>
          </w:p>
        </w:tc>
        <w:tc>
          <w:tcPr>
            <w:tcW w:w="7516" w:type="dxa"/>
          </w:tcPr>
          <w:p w:rsidR="00D56B40" w:rsidRPr="00E1671A" w:rsidRDefault="00D56B40" w:rsidP="002647D1">
            <w:pPr>
              <w:jc w:val="both"/>
              <w:rPr>
                <w:rFonts w:eastAsia="Times New Roman"/>
                <w:sz w:val="22"/>
                <w:lang w:eastAsia="lv-LV"/>
              </w:rPr>
            </w:pPr>
            <w:r w:rsidRPr="00E1671A">
              <w:rPr>
                <w:rFonts w:eastAsia="Times New Roman"/>
                <w:sz w:val="22"/>
                <w:lang w:eastAsia="lv-LV"/>
              </w:rPr>
              <w:t xml:space="preserve">SAM ietvaros paredzētie pasākumi bioloģiskās daudzveidības saglabāšanai un atjaunošanai un ekosistēmas aizsargāšanai vienlaikus veicinās arī ESSBJR </w:t>
            </w:r>
            <w:proofErr w:type="spellStart"/>
            <w:r w:rsidRPr="00E1671A">
              <w:rPr>
                <w:rFonts w:eastAsia="Times New Roman"/>
                <w:sz w:val="22"/>
                <w:lang w:eastAsia="lv-LV"/>
              </w:rPr>
              <w:t>apakšmēŗķa</w:t>
            </w:r>
            <w:proofErr w:type="spellEnd"/>
            <w:r w:rsidRPr="00E1671A">
              <w:rPr>
                <w:rFonts w:eastAsia="Times New Roman"/>
                <w:sz w:val="22"/>
                <w:lang w:eastAsia="lv-LV"/>
              </w:rPr>
              <w:t xml:space="preserve"> “Bagāta un veselīga augu un dzīvnieku pasaule”.</w:t>
            </w:r>
          </w:p>
        </w:tc>
      </w:tr>
      <w:tr w:rsidR="00D56B40" w:rsidRPr="00E1671A" w:rsidTr="00A84D1B">
        <w:trPr>
          <w:trHeight w:val="303"/>
        </w:trPr>
        <w:tc>
          <w:tcPr>
            <w:tcW w:w="624" w:type="dxa"/>
            <w:vMerge/>
          </w:tcPr>
          <w:p w:rsidR="00D56B40" w:rsidRPr="00E1671A" w:rsidRDefault="00D56B40" w:rsidP="002647D1">
            <w:pPr>
              <w:pStyle w:val="ListParagraph"/>
              <w:numPr>
                <w:ilvl w:val="0"/>
                <w:numId w:val="1"/>
              </w:numPr>
              <w:contextualSpacing w:val="0"/>
              <w:rPr>
                <w:rFonts w:eastAsia="Times New Roman"/>
                <w:sz w:val="22"/>
                <w:lang w:eastAsia="lv-LV"/>
              </w:rPr>
            </w:pPr>
          </w:p>
        </w:tc>
        <w:tc>
          <w:tcPr>
            <w:tcW w:w="1268" w:type="dxa"/>
            <w:vMerge/>
            <w:vAlign w:val="center"/>
          </w:tcPr>
          <w:p w:rsidR="00D56B40" w:rsidRPr="00E1671A" w:rsidRDefault="00D56B40" w:rsidP="002647D1">
            <w:pPr>
              <w:jc w:val="center"/>
              <w:rPr>
                <w:rFonts w:eastAsia="Times New Roman"/>
                <w:b/>
                <w:sz w:val="22"/>
                <w:u w:val="single"/>
                <w:lang w:eastAsia="lv-LV"/>
              </w:rPr>
            </w:pPr>
          </w:p>
        </w:tc>
        <w:tc>
          <w:tcPr>
            <w:tcW w:w="1505" w:type="dxa"/>
            <w:vMerge/>
            <w:shd w:val="clear" w:color="auto" w:fill="auto"/>
            <w:noWrap/>
          </w:tcPr>
          <w:p w:rsidR="00D56B40" w:rsidRPr="00E1671A" w:rsidRDefault="00D56B40" w:rsidP="002647D1">
            <w:pPr>
              <w:rPr>
                <w:sz w:val="22"/>
              </w:rPr>
            </w:pPr>
          </w:p>
        </w:tc>
        <w:tc>
          <w:tcPr>
            <w:tcW w:w="1701" w:type="dxa"/>
          </w:tcPr>
          <w:p w:rsidR="00D56B40" w:rsidRPr="00E1671A" w:rsidRDefault="00D56B40" w:rsidP="002647D1">
            <w:pPr>
              <w:jc w:val="both"/>
              <w:rPr>
                <w:rFonts w:eastAsia="Times New Roman"/>
                <w:sz w:val="22"/>
                <w:lang w:eastAsia="lv-LV"/>
              </w:rPr>
            </w:pPr>
            <w:r w:rsidRPr="00E1671A">
              <w:rPr>
                <w:rFonts w:eastAsia="Times New Roman"/>
                <w:sz w:val="22"/>
                <w:lang w:eastAsia="lv-LV"/>
              </w:rPr>
              <w:t>Samazināt bīstamo vielu izmantošanu un ietekmi</w:t>
            </w:r>
          </w:p>
        </w:tc>
        <w:tc>
          <w:tcPr>
            <w:tcW w:w="1560" w:type="dxa"/>
          </w:tcPr>
          <w:p w:rsidR="00D56B40" w:rsidRPr="00E1671A" w:rsidRDefault="00D56B40" w:rsidP="002647D1">
            <w:pPr>
              <w:rPr>
                <w:rFonts w:eastAsia="Times New Roman"/>
                <w:sz w:val="22"/>
                <w:lang w:eastAsia="lv-LV"/>
              </w:rPr>
            </w:pPr>
            <w:r w:rsidRPr="00E1671A">
              <w:rPr>
                <w:rFonts w:eastAsia="Times New Roman"/>
                <w:sz w:val="22"/>
                <w:lang w:eastAsia="lv-LV"/>
              </w:rPr>
              <w:t>5.2.1.SAM</w:t>
            </w:r>
          </w:p>
        </w:tc>
        <w:tc>
          <w:tcPr>
            <w:tcW w:w="7516" w:type="dxa"/>
          </w:tcPr>
          <w:p w:rsidR="00D56B40" w:rsidRPr="00E1671A" w:rsidRDefault="00D56B40" w:rsidP="002647D1">
            <w:pPr>
              <w:jc w:val="both"/>
              <w:rPr>
                <w:rFonts w:eastAsia="Times New Roman"/>
                <w:sz w:val="22"/>
                <w:lang w:eastAsia="lv-LV"/>
              </w:rPr>
            </w:pPr>
            <w:r w:rsidRPr="00E1671A">
              <w:rPr>
                <w:rFonts w:eastAsia="Times New Roman"/>
                <w:sz w:val="22"/>
                <w:lang w:eastAsia="lv-LV"/>
              </w:rPr>
              <w:t>SAM ietvaros paredzēts palielināt dažāda veida atkritumu atkārtotu izmantošanu, pārstādi un reģenerāciju, lai samazinātu atkritumu ietekmi uz vidi.</w:t>
            </w:r>
          </w:p>
        </w:tc>
      </w:tr>
      <w:tr w:rsidR="00D56B40" w:rsidRPr="00E1671A" w:rsidTr="00A84D1B">
        <w:trPr>
          <w:trHeight w:val="269"/>
        </w:trPr>
        <w:tc>
          <w:tcPr>
            <w:tcW w:w="624" w:type="dxa"/>
            <w:vMerge/>
          </w:tcPr>
          <w:p w:rsidR="00D56B40" w:rsidRPr="00E1671A" w:rsidRDefault="00D56B40" w:rsidP="002647D1">
            <w:pPr>
              <w:pStyle w:val="ListParagraph"/>
              <w:numPr>
                <w:ilvl w:val="0"/>
                <w:numId w:val="1"/>
              </w:numPr>
              <w:contextualSpacing w:val="0"/>
              <w:rPr>
                <w:rFonts w:eastAsia="Times New Roman"/>
                <w:sz w:val="22"/>
                <w:lang w:eastAsia="lv-LV"/>
              </w:rPr>
            </w:pPr>
          </w:p>
        </w:tc>
        <w:tc>
          <w:tcPr>
            <w:tcW w:w="1268" w:type="dxa"/>
            <w:vMerge/>
            <w:vAlign w:val="center"/>
          </w:tcPr>
          <w:p w:rsidR="00D56B40" w:rsidRPr="00E1671A" w:rsidRDefault="00D56B40" w:rsidP="002647D1">
            <w:pPr>
              <w:jc w:val="center"/>
              <w:rPr>
                <w:rFonts w:eastAsia="Times New Roman"/>
                <w:b/>
                <w:sz w:val="22"/>
                <w:lang w:eastAsia="lv-LV"/>
              </w:rPr>
            </w:pPr>
          </w:p>
        </w:tc>
        <w:tc>
          <w:tcPr>
            <w:tcW w:w="1505" w:type="dxa"/>
            <w:vMerge w:val="restart"/>
            <w:shd w:val="clear" w:color="auto" w:fill="auto"/>
            <w:noWrap/>
          </w:tcPr>
          <w:p w:rsidR="00D56B40" w:rsidRPr="00E1671A" w:rsidRDefault="00D56B40" w:rsidP="002647D1">
            <w:pPr>
              <w:rPr>
                <w:rFonts w:eastAsia="Times New Roman"/>
                <w:sz w:val="22"/>
                <w:lang w:eastAsia="lv-LV"/>
              </w:rPr>
            </w:pPr>
            <w:r w:rsidRPr="00E1671A">
              <w:rPr>
                <w:sz w:val="22"/>
              </w:rPr>
              <w:t>Tīra un droša kuģošana</w:t>
            </w:r>
          </w:p>
        </w:tc>
        <w:tc>
          <w:tcPr>
            <w:tcW w:w="1701" w:type="dxa"/>
          </w:tcPr>
          <w:p w:rsidR="00D56B40" w:rsidRPr="00E1671A" w:rsidRDefault="00D56B40" w:rsidP="002647D1">
            <w:pPr>
              <w:jc w:val="both"/>
              <w:rPr>
                <w:rFonts w:eastAsia="Times New Roman"/>
                <w:sz w:val="22"/>
                <w:lang w:eastAsia="lv-LV"/>
              </w:rPr>
            </w:pPr>
            <w:r w:rsidRPr="00E1671A">
              <w:rPr>
                <w:sz w:val="22"/>
              </w:rPr>
              <w:t xml:space="preserve">Kļūt par tīras kuģošanas </w:t>
            </w:r>
            <w:proofErr w:type="spellStart"/>
            <w:r w:rsidRPr="00E1671A">
              <w:rPr>
                <w:sz w:val="22"/>
              </w:rPr>
              <w:t>paraugreģionu</w:t>
            </w:r>
            <w:proofErr w:type="spellEnd"/>
          </w:p>
        </w:tc>
        <w:tc>
          <w:tcPr>
            <w:tcW w:w="1560" w:type="dxa"/>
          </w:tcPr>
          <w:p w:rsidR="00D56B40" w:rsidRPr="00E1671A" w:rsidRDefault="00D56B40" w:rsidP="002647D1">
            <w:pPr>
              <w:rPr>
                <w:rFonts w:eastAsia="Times New Roman"/>
                <w:sz w:val="22"/>
                <w:lang w:eastAsia="lv-LV"/>
              </w:rPr>
            </w:pPr>
            <w:r w:rsidRPr="00E1671A">
              <w:rPr>
                <w:rFonts w:eastAsia="Times New Roman"/>
                <w:sz w:val="22"/>
                <w:lang w:eastAsia="lv-LV"/>
              </w:rPr>
              <w:t>6.1.1.SAM</w:t>
            </w:r>
          </w:p>
        </w:tc>
        <w:tc>
          <w:tcPr>
            <w:tcW w:w="7516" w:type="dxa"/>
            <w:vMerge w:val="restart"/>
          </w:tcPr>
          <w:p w:rsidR="00D56B40" w:rsidRPr="00E1671A" w:rsidRDefault="00D56B40" w:rsidP="002647D1">
            <w:pPr>
              <w:tabs>
                <w:tab w:val="left" w:pos="0"/>
              </w:tabs>
              <w:jc w:val="both"/>
              <w:rPr>
                <w:sz w:val="22"/>
              </w:rPr>
            </w:pPr>
            <w:r w:rsidRPr="00E1671A">
              <w:rPr>
                <w:sz w:val="22"/>
              </w:rPr>
              <w:t xml:space="preserve">6.1.1.SAM ietvaros veicot ostu koplietošanas infrastruktūras sakārtošanu, tiks rekonstruētas kritiskā stāvoklī esošās kopējās hidrotehniskās būves lielajās ostās un veikti ieguldījumi kuģu satiksmes monitoringa un koordinācijas sistēmas attīstībā, kas paaugstinās kuģošanas drošību, uzlabos vides kvalitāti ostu teritorijās, dodot ieguldījumu ESSBJR mērķa “Glābsim jūru” sasniegšanā, kā arī veicinot emisiju samazināšanas mērķa sasniegšanu prioritātes “Tīra kuģošana” ietvaros. </w:t>
            </w:r>
          </w:p>
          <w:p w:rsidR="00D56B40" w:rsidRPr="00E1671A" w:rsidRDefault="00D56B40" w:rsidP="002647D1">
            <w:pPr>
              <w:tabs>
                <w:tab w:val="left" w:pos="0"/>
              </w:tabs>
              <w:jc w:val="both"/>
              <w:rPr>
                <w:sz w:val="22"/>
              </w:rPr>
            </w:pPr>
            <w:r w:rsidRPr="00E1671A">
              <w:rPr>
                <w:sz w:val="22"/>
              </w:rPr>
              <w:lastRenderedPageBreak/>
              <w:t>SAM ietvaros sasniedzamos iznākuma un rezultāta rādītājus skatīt pie 6. prioritārā virziena “Ilgtspējīga transporta sistēma” apraksta.</w:t>
            </w:r>
          </w:p>
        </w:tc>
      </w:tr>
      <w:tr w:rsidR="00D56B40" w:rsidRPr="00E1671A" w:rsidTr="00A84D1B">
        <w:trPr>
          <w:trHeight w:val="269"/>
        </w:trPr>
        <w:tc>
          <w:tcPr>
            <w:tcW w:w="624" w:type="dxa"/>
            <w:vMerge/>
          </w:tcPr>
          <w:p w:rsidR="00D56B40" w:rsidRPr="00E1671A" w:rsidRDefault="00D56B40" w:rsidP="002647D1">
            <w:pPr>
              <w:pStyle w:val="ListParagraph"/>
              <w:numPr>
                <w:ilvl w:val="0"/>
                <w:numId w:val="1"/>
              </w:numPr>
              <w:contextualSpacing w:val="0"/>
              <w:rPr>
                <w:rFonts w:eastAsia="Times New Roman"/>
                <w:sz w:val="22"/>
                <w:lang w:eastAsia="lv-LV"/>
              </w:rPr>
            </w:pPr>
          </w:p>
        </w:tc>
        <w:tc>
          <w:tcPr>
            <w:tcW w:w="1268" w:type="dxa"/>
            <w:vMerge/>
            <w:vAlign w:val="center"/>
          </w:tcPr>
          <w:p w:rsidR="00D56B40" w:rsidRPr="00E1671A" w:rsidRDefault="00D56B40" w:rsidP="002647D1">
            <w:pPr>
              <w:jc w:val="center"/>
              <w:rPr>
                <w:rFonts w:eastAsia="Times New Roman"/>
                <w:b/>
                <w:sz w:val="22"/>
                <w:lang w:eastAsia="lv-LV"/>
              </w:rPr>
            </w:pPr>
          </w:p>
        </w:tc>
        <w:tc>
          <w:tcPr>
            <w:tcW w:w="1505" w:type="dxa"/>
            <w:vMerge/>
            <w:shd w:val="clear" w:color="auto" w:fill="auto"/>
            <w:noWrap/>
          </w:tcPr>
          <w:p w:rsidR="00D56B40" w:rsidRPr="00E1671A" w:rsidRDefault="00D56B40" w:rsidP="002647D1">
            <w:pPr>
              <w:rPr>
                <w:sz w:val="22"/>
              </w:rPr>
            </w:pPr>
          </w:p>
        </w:tc>
        <w:tc>
          <w:tcPr>
            <w:tcW w:w="1701" w:type="dxa"/>
          </w:tcPr>
          <w:p w:rsidR="00D56B40" w:rsidRPr="00E1671A" w:rsidRDefault="00D56B40" w:rsidP="002647D1">
            <w:pPr>
              <w:rPr>
                <w:rFonts w:eastAsia="Times New Roman"/>
                <w:sz w:val="22"/>
                <w:lang w:eastAsia="lv-LV"/>
              </w:rPr>
            </w:pPr>
            <w:r w:rsidRPr="00E1671A">
              <w:rPr>
                <w:rFonts w:eastAsia="Times New Roman"/>
                <w:sz w:val="22"/>
                <w:lang w:eastAsia="lv-LV"/>
              </w:rPr>
              <w:t xml:space="preserve">Kļūt par vadošo reģionu jūras drošības un </w:t>
            </w:r>
            <w:r w:rsidRPr="00E1671A">
              <w:rPr>
                <w:rFonts w:eastAsia="Times New Roman"/>
                <w:sz w:val="22"/>
                <w:lang w:eastAsia="lv-LV"/>
              </w:rPr>
              <w:lastRenderedPageBreak/>
              <w:t>aizsardzības jomā</w:t>
            </w:r>
          </w:p>
          <w:p w:rsidR="00D56B40" w:rsidRPr="00E1671A" w:rsidRDefault="00D56B40" w:rsidP="002647D1">
            <w:pPr>
              <w:jc w:val="both"/>
              <w:rPr>
                <w:sz w:val="22"/>
              </w:rPr>
            </w:pPr>
          </w:p>
        </w:tc>
        <w:tc>
          <w:tcPr>
            <w:tcW w:w="1560" w:type="dxa"/>
          </w:tcPr>
          <w:p w:rsidR="00D56B40" w:rsidRPr="00E1671A" w:rsidRDefault="00D56B40" w:rsidP="002647D1">
            <w:pPr>
              <w:rPr>
                <w:rFonts w:eastAsia="Times New Roman"/>
                <w:sz w:val="22"/>
                <w:lang w:eastAsia="lv-LV"/>
              </w:rPr>
            </w:pPr>
            <w:r w:rsidRPr="00E1671A">
              <w:rPr>
                <w:rFonts w:eastAsia="Times New Roman"/>
                <w:sz w:val="22"/>
                <w:lang w:eastAsia="lv-LV"/>
              </w:rPr>
              <w:lastRenderedPageBreak/>
              <w:t>6.1.1.SAM</w:t>
            </w:r>
          </w:p>
        </w:tc>
        <w:tc>
          <w:tcPr>
            <w:tcW w:w="7516" w:type="dxa"/>
            <w:vMerge/>
          </w:tcPr>
          <w:p w:rsidR="00D56B40" w:rsidRPr="00E1671A" w:rsidRDefault="00D56B40" w:rsidP="002647D1">
            <w:pPr>
              <w:rPr>
                <w:rFonts w:eastAsia="Times New Roman"/>
                <w:sz w:val="22"/>
                <w:lang w:eastAsia="lv-LV"/>
              </w:rPr>
            </w:pPr>
          </w:p>
        </w:tc>
      </w:tr>
      <w:tr w:rsidR="00F87FF9" w:rsidRPr="00E1671A" w:rsidTr="00A84D1B">
        <w:trPr>
          <w:trHeight w:val="314"/>
        </w:trPr>
        <w:tc>
          <w:tcPr>
            <w:tcW w:w="624" w:type="dxa"/>
            <w:vMerge w:val="restart"/>
          </w:tcPr>
          <w:p w:rsidR="00F87FF9" w:rsidRPr="00E1671A" w:rsidRDefault="00F87FF9" w:rsidP="002647D1">
            <w:pPr>
              <w:pStyle w:val="ListParagraph"/>
              <w:numPr>
                <w:ilvl w:val="0"/>
                <w:numId w:val="1"/>
              </w:numPr>
              <w:contextualSpacing w:val="0"/>
              <w:rPr>
                <w:rFonts w:eastAsia="Times New Roman"/>
                <w:sz w:val="22"/>
                <w:lang w:eastAsia="lv-LV"/>
              </w:rPr>
            </w:pPr>
          </w:p>
        </w:tc>
        <w:tc>
          <w:tcPr>
            <w:tcW w:w="1268" w:type="dxa"/>
            <w:vMerge w:val="restart"/>
            <w:vAlign w:val="center"/>
          </w:tcPr>
          <w:p w:rsidR="00F87FF9" w:rsidRPr="00E1671A" w:rsidRDefault="00F87FF9" w:rsidP="002647D1">
            <w:pPr>
              <w:jc w:val="center"/>
              <w:rPr>
                <w:rFonts w:eastAsia="Times New Roman"/>
                <w:b/>
                <w:sz w:val="22"/>
                <w:u w:val="single"/>
                <w:lang w:eastAsia="lv-LV"/>
              </w:rPr>
            </w:pPr>
            <w:r w:rsidRPr="00E1671A">
              <w:rPr>
                <w:b/>
                <w:bCs/>
                <w:sz w:val="22"/>
              </w:rPr>
              <w:t>Nodrošināt reģiona pieejamību</w:t>
            </w:r>
          </w:p>
        </w:tc>
        <w:tc>
          <w:tcPr>
            <w:tcW w:w="1505" w:type="dxa"/>
            <w:shd w:val="clear" w:color="auto" w:fill="auto"/>
            <w:noWrap/>
          </w:tcPr>
          <w:p w:rsidR="00F87FF9" w:rsidRPr="00E1671A" w:rsidRDefault="00F87FF9" w:rsidP="002647D1">
            <w:pPr>
              <w:rPr>
                <w:rFonts w:eastAsia="Times New Roman"/>
                <w:sz w:val="22"/>
                <w:lang w:eastAsia="lv-LV"/>
              </w:rPr>
            </w:pPr>
            <w:r w:rsidRPr="00E1671A">
              <w:rPr>
                <w:sz w:val="22"/>
              </w:rPr>
              <w:t>Labi transporta apstākļi</w:t>
            </w:r>
          </w:p>
        </w:tc>
        <w:tc>
          <w:tcPr>
            <w:tcW w:w="1701" w:type="dxa"/>
          </w:tcPr>
          <w:p w:rsidR="00F87FF9" w:rsidRPr="00E1671A" w:rsidRDefault="00F87FF9" w:rsidP="002647D1">
            <w:pPr>
              <w:rPr>
                <w:rFonts w:eastAsia="Times New Roman"/>
                <w:sz w:val="22"/>
                <w:lang w:eastAsia="lv-LV"/>
              </w:rPr>
            </w:pPr>
            <w:r w:rsidRPr="00E1671A">
              <w:rPr>
                <w:rFonts w:eastAsia="Times New Roman"/>
                <w:sz w:val="22"/>
                <w:lang w:eastAsia="lv-LV"/>
              </w:rPr>
              <w:t>Uzlabot iekšējos un ārējos transporta savienojumus</w:t>
            </w:r>
          </w:p>
        </w:tc>
        <w:tc>
          <w:tcPr>
            <w:tcW w:w="1560" w:type="dxa"/>
          </w:tcPr>
          <w:p w:rsidR="00F87FF9" w:rsidRPr="00E1671A" w:rsidRDefault="00F87FF9" w:rsidP="002647D1">
            <w:pPr>
              <w:rPr>
                <w:rFonts w:eastAsia="Times New Roman"/>
                <w:sz w:val="22"/>
                <w:lang w:eastAsia="lv-LV"/>
              </w:rPr>
            </w:pPr>
            <w:r w:rsidRPr="00E1671A">
              <w:rPr>
                <w:rFonts w:eastAsia="Times New Roman"/>
                <w:sz w:val="22"/>
                <w:lang w:eastAsia="lv-LV"/>
              </w:rPr>
              <w:t>6.1.4., 6.1.5.,, 6.2.1. un 6.3.1.SAM</w:t>
            </w:r>
          </w:p>
        </w:tc>
        <w:tc>
          <w:tcPr>
            <w:tcW w:w="7516" w:type="dxa"/>
          </w:tcPr>
          <w:p w:rsidR="00F87FF9" w:rsidRPr="00E1671A" w:rsidRDefault="00F87FF9" w:rsidP="002647D1">
            <w:pPr>
              <w:jc w:val="both"/>
              <w:rPr>
                <w:rFonts w:eastAsia="Times New Roman"/>
                <w:sz w:val="22"/>
                <w:lang w:eastAsia="lv-LV"/>
              </w:rPr>
            </w:pPr>
            <w:r w:rsidRPr="00E1671A">
              <w:rPr>
                <w:rFonts w:eastAsia="Times New Roman"/>
                <w:sz w:val="22"/>
                <w:lang w:eastAsia="lv-LV"/>
              </w:rPr>
              <w:t xml:space="preserve">Minētie SAM tiešā veidā vērsti uz transporta savienojumu uzlabošanu. </w:t>
            </w:r>
          </w:p>
          <w:p w:rsidR="00F87FF9" w:rsidRPr="00E1671A" w:rsidRDefault="00F87FF9" w:rsidP="002647D1">
            <w:pPr>
              <w:jc w:val="both"/>
              <w:rPr>
                <w:rFonts w:eastAsia="Times New Roman"/>
                <w:sz w:val="22"/>
                <w:lang w:eastAsia="lv-LV"/>
              </w:rPr>
            </w:pPr>
            <w:r w:rsidRPr="00E1671A">
              <w:rPr>
                <w:rFonts w:eastAsia="Times New Roman"/>
                <w:sz w:val="22"/>
                <w:lang w:eastAsia="lv-LV"/>
              </w:rPr>
              <w:t>6.1.4.SAM paredzētas investīcijas pilsētu sasaistei ar TEN-T.</w:t>
            </w:r>
          </w:p>
          <w:p w:rsidR="00F87FF9" w:rsidRPr="00E1671A" w:rsidRDefault="00F87FF9" w:rsidP="002647D1">
            <w:pPr>
              <w:jc w:val="both"/>
              <w:rPr>
                <w:rFonts w:eastAsia="Times New Roman"/>
                <w:sz w:val="22"/>
                <w:lang w:eastAsia="lv-LV"/>
              </w:rPr>
            </w:pPr>
            <w:r w:rsidRPr="00E1671A">
              <w:rPr>
                <w:rFonts w:eastAsia="Times New Roman"/>
                <w:sz w:val="22"/>
                <w:lang w:eastAsia="lv-LV"/>
              </w:rPr>
              <w:t>6.1.5.SAM investīcijas uzlabos to v</w:t>
            </w:r>
            <w:r>
              <w:rPr>
                <w:rFonts w:eastAsia="Times New Roman"/>
                <w:sz w:val="22"/>
                <w:lang w:eastAsia="lv-LV"/>
              </w:rPr>
              <w:t>alsts galveno autoceļu kvalitāti</w:t>
            </w:r>
            <w:r w:rsidRPr="00E1671A">
              <w:rPr>
                <w:rFonts w:eastAsia="Times New Roman"/>
                <w:sz w:val="22"/>
                <w:lang w:eastAsia="lv-LV"/>
              </w:rPr>
              <w:t>, kas atrodas TEN-T autoceļu tīklā</w:t>
            </w:r>
            <w:r>
              <w:rPr>
                <w:rFonts w:eastAsia="Times New Roman"/>
                <w:sz w:val="22"/>
                <w:lang w:eastAsia="lv-LV"/>
              </w:rPr>
              <w:t>.</w:t>
            </w:r>
          </w:p>
          <w:p w:rsidR="00F87FF9" w:rsidRPr="00E1671A" w:rsidRDefault="00F87FF9" w:rsidP="002647D1">
            <w:pPr>
              <w:jc w:val="both"/>
              <w:rPr>
                <w:rFonts w:eastAsia="Times New Roman"/>
                <w:sz w:val="22"/>
                <w:lang w:eastAsia="lv-LV"/>
              </w:rPr>
            </w:pPr>
            <w:r w:rsidRPr="00E1671A">
              <w:rPr>
                <w:rFonts w:eastAsia="Times New Roman"/>
                <w:sz w:val="22"/>
                <w:lang w:eastAsia="lv-LV"/>
              </w:rPr>
              <w:t>6.2.1.SAM</w:t>
            </w:r>
            <w:r>
              <w:rPr>
                <w:rFonts w:eastAsia="Times New Roman"/>
                <w:sz w:val="22"/>
                <w:lang w:eastAsia="lv-LV"/>
              </w:rPr>
              <w:t xml:space="preserve"> tiks īstenot</w:t>
            </w:r>
            <w:r w:rsidRPr="00E1671A">
              <w:rPr>
                <w:rFonts w:eastAsia="Times New Roman"/>
                <w:sz w:val="22"/>
                <w:lang w:eastAsia="lv-LV"/>
              </w:rPr>
              <w:t>s ar mērķi nodrošināt konkurētspējīgu un videi draudzīgu TEN-T dzelzceļa tīklu, veicinot tā drošību, kvalitāti un kapacitāti.</w:t>
            </w:r>
          </w:p>
          <w:p w:rsidR="00F87FF9" w:rsidRPr="00E1671A" w:rsidRDefault="00F87FF9" w:rsidP="002647D1">
            <w:pPr>
              <w:jc w:val="both"/>
              <w:rPr>
                <w:rFonts w:eastAsia="Times New Roman"/>
                <w:sz w:val="22"/>
                <w:lang w:eastAsia="lv-LV"/>
              </w:rPr>
            </w:pPr>
            <w:r w:rsidRPr="00E1671A">
              <w:rPr>
                <w:rFonts w:eastAsia="Times New Roman"/>
                <w:sz w:val="22"/>
                <w:lang w:eastAsia="lv-LV"/>
              </w:rPr>
              <w:t>6.3.1.SAM ietvaros tiks īstenoti projekti, kas nodrošina ekonomisko centru sasaisti ar TEN-T tīklu</w:t>
            </w:r>
            <w:r>
              <w:rPr>
                <w:rFonts w:eastAsia="Times New Roman"/>
                <w:sz w:val="22"/>
                <w:lang w:eastAsia="lv-LV"/>
              </w:rPr>
              <w:t>, kā</w:t>
            </w:r>
            <w:r w:rsidRPr="00E1671A">
              <w:rPr>
                <w:rFonts w:eastAsia="Times New Roman"/>
                <w:sz w:val="22"/>
                <w:lang w:eastAsia="lv-LV"/>
              </w:rPr>
              <w:t xml:space="preserve"> rezultātā tiks uzlabota sasniedzamība, uzlabojot valsts reģionālo autoceļu maršrutus, kas savieno reģionālos attīstības centrus ar nacionālajiem attīstības centriem vai Rīgu. </w:t>
            </w:r>
          </w:p>
          <w:p w:rsidR="00F87FF9" w:rsidRPr="00E1671A" w:rsidRDefault="00F87FF9" w:rsidP="002647D1">
            <w:pPr>
              <w:jc w:val="both"/>
              <w:rPr>
                <w:rFonts w:eastAsia="Times New Roman"/>
                <w:sz w:val="22"/>
                <w:lang w:eastAsia="lv-LV"/>
              </w:rPr>
            </w:pPr>
            <w:r w:rsidRPr="00E1671A">
              <w:rPr>
                <w:sz w:val="22"/>
              </w:rPr>
              <w:t>Visu minēto SAM ietvaros sasniedzamos iznākuma un re</w:t>
            </w:r>
            <w:r>
              <w:rPr>
                <w:sz w:val="22"/>
              </w:rPr>
              <w:t>zultāta rādītājus skatīt pie 6.</w:t>
            </w:r>
            <w:r w:rsidRPr="00E1671A">
              <w:rPr>
                <w:sz w:val="22"/>
              </w:rPr>
              <w:t>prioritārā virziena “Ilgtspējīga transporta sistēma” apraksta.</w:t>
            </w:r>
          </w:p>
        </w:tc>
      </w:tr>
      <w:tr w:rsidR="00F87FF9" w:rsidRPr="00E1671A" w:rsidTr="00A84D1B">
        <w:trPr>
          <w:trHeight w:val="315"/>
        </w:trPr>
        <w:tc>
          <w:tcPr>
            <w:tcW w:w="624" w:type="dxa"/>
            <w:vMerge/>
          </w:tcPr>
          <w:p w:rsidR="00F87FF9" w:rsidRPr="00E1671A" w:rsidRDefault="00F87FF9" w:rsidP="002647D1">
            <w:pPr>
              <w:pStyle w:val="ListParagraph"/>
              <w:numPr>
                <w:ilvl w:val="0"/>
                <w:numId w:val="1"/>
              </w:numPr>
              <w:contextualSpacing w:val="0"/>
              <w:rPr>
                <w:rFonts w:eastAsia="Times New Roman"/>
                <w:sz w:val="22"/>
                <w:lang w:eastAsia="lv-LV"/>
              </w:rPr>
            </w:pPr>
          </w:p>
        </w:tc>
        <w:tc>
          <w:tcPr>
            <w:tcW w:w="1268" w:type="dxa"/>
            <w:vMerge/>
            <w:vAlign w:val="center"/>
          </w:tcPr>
          <w:p w:rsidR="00F87FF9" w:rsidRPr="00E1671A" w:rsidRDefault="00F87FF9" w:rsidP="002647D1">
            <w:pPr>
              <w:jc w:val="center"/>
              <w:rPr>
                <w:rFonts w:eastAsia="Times New Roman"/>
                <w:b/>
                <w:sz w:val="22"/>
                <w:lang w:eastAsia="lv-LV"/>
              </w:rPr>
            </w:pPr>
          </w:p>
        </w:tc>
        <w:tc>
          <w:tcPr>
            <w:tcW w:w="1505" w:type="dxa"/>
            <w:shd w:val="clear" w:color="auto" w:fill="auto"/>
            <w:noWrap/>
          </w:tcPr>
          <w:p w:rsidR="00F87FF9" w:rsidRPr="00E1671A" w:rsidRDefault="00F87FF9" w:rsidP="002647D1">
            <w:pPr>
              <w:rPr>
                <w:rFonts w:eastAsia="Times New Roman"/>
                <w:sz w:val="22"/>
                <w:lang w:eastAsia="lv-LV"/>
              </w:rPr>
            </w:pPr>
            <w:r w:rsidRPr="00E1671A">
              <w:rPr>
                <w:rFonts w:eastAsia="Times New Roman"/>
                <w:sz w:val="22"/>
                <w:lang w:eastAsia="lv-LV"/>
              </w:rPr>
              <w:t>Uzticami enerģijas tirgi</w:t>
            </w:r>
          </w:p>
        </w:tc>
        <w:tc>
          <w:tcPr>
            <w:tcW w:w="1701" w:type="dxa"/>
          </w:tcPr>
          <w:p w:rsidR="00F87FF9" w:rsidRPr="00E1671A" w:rsidRDefault="00F87FF9" w:rsidP="002647D1">
            <w:pPr>
              <w:jc w:val="both"/>
              <w:rPr>
                <w:rFonts w:eastAsia="Times New Roman"/>
                <w:sz w:val="22"/>
                <w:lang w:eastAsia="lv-LV"/>
              </w:rPr>
            </w:pPr>
            <w:r w:rsidRPr="00E1671A">
              <w:rPr>
                <w:rFonts w:eastAsia="Times New Roman"/>
                <w:sz w:val="22"/>
                <w:lang w:eastAsia="lv-LV"/>
              </w:rPr>
              <w:t>Uzlabot enerģijas tirgu pieejamību, efektivitāti un drošību</w:t>
            </w:r>
          </w:p>
        </w:tc>
        <w:tc>
          <w:tcPr>
            <w:tcW w:w="1560" w:type="dxa"/>
          </w:tcPr>
          <w:p w:rsidR="00F87FF9" w:rsidRPr="00E1671A" w:rsidRDefault="00F87FF9" w:rsidP="002647D1">
            <w:pPr>
              <w:jc w:val="both"/>
              <w:rPr>
                <w:rFonts w:eastAsia="Times New Roman"/>
                <w:sz w:val="22"/>
                <w:lang w:eastAsia="lv-LV"/>
              </w:rPr>
            </w:pPr>
            <w:r w:rsidRPr="00E1671A">
              <w:rPr>
                <w:rFonts w:eastAsia="Times New Roman"/>
                <w:sz w:val="22"/>
                <w:lang w:eastAsia="lv-LV"/>
              </w:rPr>
              <w:t>4.1.1., 4.2.1., un 4.2.2., 4.3.1.SAM</w:t>
            </w:r>
          </w:p>
        </w:tc>
        <w:tc>
          <w:tcPr>
            <w:tcW w:w="7516" w:type="dxa"/>
          </w:tcPr>
          <w:p w:rsidR="00F87FF9" w:rsidRPr="00E1671A" w:rsidRDefault="00F87FF9" w:rsidP="002647D1">
            <w:pPr>
              <w:jc w:val="both"/>
              <w:rPr>
                <w:rFonts w:eastAsia="Times New Roman"/>
                <w:sz w:val="22"/>
                <w:lang w:eastAsia="lv-LV"/>
              </w:rPr>
            </w:pPr>
            <w:r w:rsidRPr="00E1671A">
              <w:rPr>
                <w:rFonts w:eastAsia="Times New Roman"/>
                <w:sz w:val="22"/>
                <w:lang w:eastAsia="lv-LV"/>
              </w:rPr>
              <w:t xml:space="preserve">Visi minētie </w:t>
            </w:r>
            <w:r>
              <w:rPr>
                <w:rFonts w:eastAsia="Times New Roman"/>
                <w:sz w:val="22"/>
                <w:lang w:eastAsia="lv-LV"/>
              </w:rPr>
              <w:t>SAM</w:t>
            </w:r>
            <w:r w:rsidRPr="00E1671A">
              <w:rPr>
                <w:rFonts w:eastAsia="Times New Roman"/>
                <w:sz w:val="22"/>
                <w:lang w:eastAsia="lv-LV"/>
              </w:rPr>
              <w:t xml:space="preserve"> ir vērsti uz energoefektivitātes paaugstināšanas pasākumiem privātajā un publiskajā sektorā. Izceltie SAM tiešā veidā sniegs ieguldījumu attiecīgās </w:t>
            </w:r>
            <w:r>
              <w:rPr>
                <w:rFonts w:eastAsia="Times New Roman"/>
                <w:sz w:val="22"/>
                <w:lang w:eastAsia="lv-LV"/>
              </w:rPr>
              <w:t>ESSBJR</w:t>
            </w:r>
            <w:r w:rsidRPr="00E1671A">
              <w:rPr>
                <w:rFonts w:eastAsia="Times New Roman"/>
                <w:sz w:val="22"/>
                <w:lang w:eastAsia="lv-LV"/>
              </w:rPr>
              <w:t xml:space="preserve"> prioritārās jomas rādītājiem, kas attiecas uz </w:t>
            </w:r>
            <w:r w:rsidRPr="00E1671A">
              <w:rPr>
                <w:sz w:val="22"/>
              </w:rPr>
              <w:t>enerģijas ietaupījumu līmeni un no atjaunojamiem energoresursiem iegūtas enerģijas veicināšanu un izmantošanas līmeni.</w:t>
            </w:r>
          </w:p>
          <w:p w:rsidR="00F87FF9" w:rsidRPr="00E1671A" w:rsidRDefault="00F87FF9" w:rsidP="002647D1">
            <w:pPr>
              <w:pStyle w:val="Default"/>
              <w:jc w:val="both"/>
              <w:rPr>
                <w:color w:val="auto"/>
                <w:sz w:val="22"/>
                <w:szCs w:val="22"/>
              </w:rPr>
            </w:pPr>
            <w:r w:rsidRPr="00E1671A">
              <w:rPr>
                <w:color w:val="auto"/>
                <w:sz w:val="22"/>
                <w:szCs w:val="22"/>
              </w:rPr>
              <w:t>SAM ietvaros sasniedzamos iznākuma un re</w:t>
            </w:r>
            <w:r>
              <w:rPr>
                <w:color w:val="auto"/>
                <w:sz w:val="22"/>
                <w:szCs w:val="22"/>
              </w:rPr>
              <w:t>zultāta rādītājus skatīt pie 4.</w:t>
            </w:r>
            <w:r w:rsidRPr="00E1671A">
              <w:rPr>
                <w:color w:val="auto"/>
                <w:sz w:val="22"/>
                <w:szCs w:val="22"/>
              </w:rPr>
              <w:t xml:space="preserve">prioritārā virziena “Pāreja uz ekonomiku ar zemu oglekļa emisijas līmeni visās nozarēs” apraksta. </w:t>
            </w:r>
          </w:p>
        </w:tc>
      </w:tr>
      <w:tr w:rsidR="00F87FF9" w:rsidRPr="00E1671A" w:rsidTr="00A84D1B">
        <w:trPr>
          <w:trHeight w:val="315"/>
        </w:trPr>
        <w:tc>
          <w:tcPr>
            <w:tcW w:w="624" w:type="dxa"/>
            <w:vMerge/>
          </w:tcPr>
          <w:p w:rsidR="00F87FF9" w:rsidRPr="00E1671A" w:rsidRDefault="00F87FF9" w:rsidP="00F87FF9">
            <w:pPr>
              <w:pStyle w:val="ListParagraph"/>
              <w:numPr>
                <w:ilvl w:val="0"/>
                <w:numId w:val="1"/>
              </w:numPr>
              <w:contextualSpacing w:val="0"/>
              <w:rPr>
                <w:rFonts w:eastAsia="Times New Roman"/>
                <w:sz w:val="22"/>
                <w:lang w:eastAsia="lv-LV"/>
              </w:rPr>
            </w:pPr>
          </w:p>
        </w:tc>
        <w:tc>
          <w:tcPr>
            <w:tcW w:w="1268" w:type="dxa"/>
            <w:vMerge/>
          </w:tcPr>
          <w:p w:rsidR="00F87FF9" w:rsidRPr="00E1671A" w:rsidRDefault="00F87FF9" w:rsidP="00F87FF9">
            <w:pPr>
              <w:jc w:val="center"/>
              <w:rPr>
                <w:rFonts w:eastAsia="Times New Roman"/>
                <w:b/>
                <w:sz w:val="22"/>
                <w:lang w:eastAsia="lv-LV"/>
              </w:rPr>
            </w:pPr>
          </w:p>
        </w:tc>
        <w:tc>
          <w:tcPr>
            <w:tcW w:w="1505" w:type="dxa"/>
            <w:shd w:val="clear" w:color="auto" w:fill="auto"/>
            <w:noWrap/>
          </w:tcPr>
          <w:p w:rsidR="00F87FF9" w:rsidRPr="00E1671A" w:rsidRDefault="00F87FF9" w:rsidP="00F87FF9">
            <w:pPr>
              <w:rPr>
                <w:rFonts w:eastAsia="Times New Roman"/>
                <w:sz w:val="22"/>
                <w:lang w:eastAsia="lv-LV"/>
              </w:rPr>
            </w:pPr>
            <w:r w:rsidRPr="00E1671A">
              <w:rPr>
                <w:sz w:val="22"/>
              </w:rPr>
              <w:t>Labāka sadarbība pārrobežu noziedzības apkarošanā</w:t>
            </w:r>
          </w:p>
        </w:tc>
        <w:tc>
          <w:tcPr>
            <w:tcW w:w="1701" w:type="dxa"/>
          </w:tcPr>
          <w:p w:rsidR="00F87FF9" w:rsidRPr="00E1671A" w:rsidRDefault="00F87FF9" w:rsidP="00F87FF9">
            <w:pPr>
              <w:jc w:val="both"/>
              <w:rPr>
                <w:rFonts w:eastAsia="Times New Roman"/>
                <w:sz w:val="22"/>
                <w:lang w:eastAsia="lv-LV"/>
              </w:rPr>
            </w:pPr>
            <w:r>
              <w:rPr>
                <w:rFonts w:eastAsia="Times New Roman"/>
                <w:sz w:val="22"/>
                <w:lang w:eastAsia="lv-LV"/>
              </w:rPr>
              <w:t>P</w:t>
            </w:r>
            <w:r w:rsidRPr="00F87FF9">
              <w:rPr>
                <w:rFonts w:eastAsia="Times New Roman"/>
                <w:sz w:val="22"/>
                <w:lang w:eastAsia="lv-LV"/>
              </w:rPr>
              <w:t>ārrobežu noziedzības apkarošana</w:t>
            </w:r>
          </w:p>
        </w:tc>
        <w:tc>
          <w:tcPr>
            <w:tcW w:w="1560" w:type="dxa"/>
          </w:tcPr>
          <w:p w:rsidR="00F87FF9" w:rsidRPr="00E1671A" w:rsidRDefault="00F87FF9" w:rsidP="00F87FF9">
            <w:pPr>
              <w:jc w:val="both"/>
              <w:rPr>
                <w:rFonts w:eastAsia="Times New Roman"/>
                <w:sz w:val="22"/>
                <w:lang w:eastAsia="lv-LV"/>
              </w:rPr>
            </w:pPr>
            <w:r w:rsidRPr="00E1671A">
              <w:rPr>
                <w:rFonts w:eastAsia="Times New Roman"/>
                <w:sz w:val="22"/>
                <w:lang w:eastAsia="lv-LV"/>
              </w:rPr>
              <w:t>2.2.1.SAM</w:t>
            </w:r>
          </w:p>
        </w:tc>
        <w:tc>
          <w:tcPr>
            <w:tcW w:w="7516" w:type="dxa"/>
          </w:tcPr>
          <w:p w:rsidR="00F87FF9" w:rsidRPr="00E1671A" w:rsidRDefault="00F87FF9" w:rsidP="00F87FF9">
            <w:pPr>
              <w:jc w:val="both"/>
              <w:rPr>
                <w:rFonts w:eastAsia="Times New Roman"/>
                <w:sz w:val="22"/>
                <w:lang w:eastAsia="lv-LV"/>
              </w:rPr>
            </w:pPr>
            <w:r w:rsidRPr="00E1671A">
              <w:rPr>
                <w:rFonts w:eastAsia="Times New Roman"/>
                <w:sz w:val="22"/>
                <w:lang w:eastAsia="lv-LV"/>
              </w:rPr>
              <w:t>Īstenojot 2.2.1</w:t>
            </w:r>
            <w:r>
              <w:rPr>
                <w:rFonts w:eastAsia="Times New Roman"/>
                <w:sz w:val="22"/>
                <w:lang w:eastAsia="lv-LV"/>
              </w:rPr>
              <w:t>.</w:t>
            </w:r>
            <w:r w:rsidRPr="00E1671A">
              <w:rPr>
                <w:rFonts w:eastAsia="Times New Roman"/>
                <w:sz w:val="22"/>
                <w:lang w:eastAsia="lv-LV"/>
              </w:rPr>
              <w:t xml:space="preserve">SAM </w:t>
            </w:r>
            <w:r>
              <w:rPr>
                <w:rFonts w:eastAsia="Times New Roman"/>
                <w:sz w:val="22"/>
                <w:lang w:eastAsia="lv-LV"/>
              </w:rPr>
              <w:t>c</w:t>
            </w:r>
            <w:r w:rsidRPr="00E1671A">
              <w:rPr>
                <w:rFonts w:eastAsia="Times New Roman"/>
                <w:sz w:val="22"/>
                <w:lang w:eastAsia="lv-LV"/>
              </w:rPr>
              <w:t xml:space="preserve">ita starpā tiks attīstīta ciešāka sadarbība Baltijas jūras reģiona valstu starpā, kur tiks izvērtētas ciešākas sadarbības iespējas, piemēram, ātrai un drošai nodokļu informācijas apmaiņai. Investīcijas pārrobežu e-pakalpojumu attīstībā sniegs ieguldījumu ESSBJR </w:t>
            </w:r>
            <w:proofErr w:type="spellStart"/>
            <w:r w:rsidRPr="00E1671A">
              <w:rPr>
                <w:rFonts w:eastAsia="Times New Roman"/>
                <w:sz w:val="22"/>
                <w:lang w:eastAsia="lv-LV"/>
              </w:rPr>
              <w:t>apakšmērķa</w:t>
            </w:r>
            <w:proofErr w:type="spellEnd"/>
            <w:r w:rsidRPr="00E1671A">
              <w:rPr>
                <w:rFonts w:eastAsia="Times New Roman"/>
                <w:sz w:val="22"/>
                <w:lang w:eastAsia="lv-LV"/>
              </w:rPr>
              <w:t xml:space="preserve"> “</w:t>
            </w:r>
            <w:r w:rsidRPr="00E1671A">
              <w:rPr>
                <w:sz w:val="22"/>
              </w:rPr>
              <w:t>Labāka sadarbība pārrobežu noziedzības apkarošanā” sasniegšanā.</w:t>
            </w:r>
            <w:r w:rsidRPr="00E1671A">
              <w:rPr>
                <w:rFonts w:eastAsia="Times New Roman"/>
                <w:sz w:val="22"/>
                <w:lang w:eastAsia="lv-LV"/>
              </w:rPr>
              <w:t xml:space="preserve"> </w:t>
            </w:r>
          </w:p>
          <w:p w:rsidR="00F87FF9" w:rsidRPr="00E1671A" w:rsidRDefault="00F87FF9" w:rsidP="00F87FF9">
            <w:pPr>
              <w:jc w:val="both"/>
              <w:rPr>
                <w:rFonts w:eastAsia="Times New Roman"/>
                <w:sz w:val="22"/>
                <w:lang w:eastAsia="lv-LV"/>
              </w:rPr>
            </w:pPr>
            <w:r w:rsidRPr="00E1671A">
              <w:rPr>
                <w:sz w:val="22"/>
              </w:rPr>
              <w:t>SAM ietvaros sasniedzamos iznākuma un re</w:t>
            </w:r>
            <w:r>
              <w:rPr>
                <w:sz w:val="22"/>
              </w:rPr>
              <w:t>zultāta rādītājus skatīt pie 2.</w:t>
            </w:r>
            <w:r w:rsidRPr="00E1671A">
              <w:rPr>
                <w:sz w:val="22"/>
              </w:rPr>
              <w:t>prioritārā virziena “IKT pieejamība, e-pārvalde un pakalpojumi” apraksta.</w:t>
            </w:r>
          </w:p>
        </w:tc>
      </w:tr>
      <w:tr w:rsidR="00F87FF9" w:rsidRPr="00E1671A" w:rsidTr="00A84D1B">
        <w:trPr>
          <w:trHeight w:val="668"/>
        </w:trPr>
        <w:tc>
          <w:tcPr>
            <w:tcW w:w="624" w:type="dxa"/>
            <w:vMerge w:val="restart"/>
          </w:tcPr>
          <w:p w:rsidR="00F87FF9" w:rsidRPr="00E1671A" w:rsidRDefault="00F87FF9" w:rsidP="00F87FF9">
            <w:pPr>
              <w:pStyle w:val="ListParagraph"/>
              <w:numPr>
                <w:ilvl w:val="0"/>
                <w:numId w:val="1"/>
              </w:numPr>
              <w:contextualSpacing w:val="0"/>
              <w:rPr>
                <w:rFonts w:eastAsia="Times New Roman"/>
                <w:sz w:val="22"/>
                <w:lang w:eastAsia="lv-LV"/>
              </w:rPr>
            </w:pPr>
          </w:p>
        </w:tc>
        <w:tc>
          <w:tcPr>
            <w:tcW w:w="1268" w:type="dxa"/>
            <w:vMerge w:val="restart"/>
            <w:vAlign w:val="center"/>
          </w:tcPr>
          <w:p w:rsidR="00F87FF9" w:rsidRPr="00E1671A" w:rsidRDefault="00F87FF9" w:rsidP="00F87FF9">
            <w:pPr>
              <w:jc w:val="center"/>
              <w:rPr>
                <w:rFonts w:eastAsia="Times New Roman"/>
                <w:b/>
                <w:sz w:val="22"/>
                <w:lang w:eastAsia="lv-LV"/>
              </w:rPr>
            </w:pPr>
            <w:r w:rsidRPr="00E1671A">
              <w:rPr>
                <w:b/>
                <w:bCs/>
                <w:sz w:val="22"/>
              </w:rPr>
              <w:t>Palielināt labklājību</w:t>
            </w:r>
          </w:p>
        </w:tc>
        <w:tc>
          <w:tcPr>
            <w:tcW w:w="1505" w:type="dxa"/>
            <w:shd w:val="clear" w:color="auto" w:fill="auto"/>
            <w:noWrap/>
          </w:tcPr>
          <w:p w:rsidR="00F87FF9" w:rsidRPr="00E1671A" w:rsidRDefault="00F87FF9" w:rsidP="00F87FF9">
            <w:pPr>
              <w:rPr>
                <w:rFonts w:eastAsia="Times New Roman"/>
                <w:sz w:val="22"/>
                <w:lang w:eastAsia="lv-LV"/>
              </w:rPr>
            </w:pPr>
            <w:r w:rsidRPr="00E1671A">
              <w:rPr>
                <w:sz w:val="22"/>
              </w:rPr>
              <w:t>ESSBJR kā līdere vienotā tirgus nostiprināšanā un īstenošanā</w:t>
            </w:r>
          </w:p>
        </w:tc>
        <w:tc>
          <w:tcPr>
            <w:tcW w:w="1701" w:type="dxa"/>
          </w:tcPr>
          <w:p w:rsidR="00F87FF9" w:rsidRPr="00E1671A" w:rsidRDefault="00F87FF9" w:rsidP="00F87FF9">
            <w:pPr>
              <w:rPr>
                <w:rFonts w:eastAsia="Times New Roman"/>
                <w:sz w:val="22"/>
                <w:lang w:eastAsia="lv-LV"/>
              </w:rPr>
            </w:pPr>
            <w:r w:rsidRPr="00E1671A">
              <w:rPr>
                <w:rFonts w:eastAsia="Times New Roman"/>
                <w:sz w:val="22"/>
                <w:lang w:eastAsia="lv-LV"/>
              </w:rPr>
              <w:t>Šķēršļu likvidēšana iekšējam tirgum</w:t>
            </w:r>
          </w:p>
        </w:tc>
        <w:tc>
          <w:tcPr>
            <w:tcW w:w="1560" w:type="dxa"/>
          </w:tcPr>
          <w:p w:rsidR="00F87FF9" w:rsidRPr="00E1671A" w:rsidRDefault="00F87FF9" w:rsidP="00F87FF9">
            <w:pPr>
              <w:rPr>
                <w:rFonts w:eastAsia="Times New Roman"/>
                <w:sz w:val="22"/>
                <w:lang w:eastAsia="lv-LV"/>
              </w:rPr>
            </w:pPr>
            <w:r w:rsidRPr="00E1671A">
              <w:rPr>
                <w:rFonts w:eastAsia="Times New Roman"/>
                <w:sz w:val="22"/>
                <w:lang w:eastAsia="lv-LV"/>
              </w:rPr>
              <w:t>2.1.1.,3.4.2.SAM</w:t>
            </w:r>
          </w:p>
        </w:tc>
        <w:tc>
          <w:tcPr>
            <w:tcW w:w="7516" w:type="dxa"/>
          </w:tcPr>
          <w:p w:rsidR="00F87FF9" w:rsidRPr="00E1671A" w:rsidRDefault="00F87FF9" w:rsidP="00F87FF9">
            <w:pPr>
              <w:jc w:val="both"/>
              <w:rPr>
                <w:sz w:val="22"/>
              </w:rPr>
            </w:pPr>
            <w:r w:rsidRPr="00E1671A">
              <w:rPr>
                <w:rFonts w:eastAsia="Times New Roman"/>
                <w:sz w:val="22"/>
                <w:lang w:eastAsia="lv-LV"/>
              </w:rPr>
              <w:t xml:space="preserve">Īstenojot 2.1.1.SAM </w:t>
            </w:r>
            <w:r>
              <w:rPr>
                <w:rFonts w:eastAsia="Times New Roman"/>
                <w:sz w:val="22"/>
                <w:lang w:eastAsia="lv-LV"/>
              </w:rPr>
              <w:t>c</w:t>
            </w:r>
            <w:r w:rsidRPr="00E1671A">
              <w:rPr>
                <w:rFonts w:eastAsia="Times New Roman"/>
                <w:sz w:val="22"/>
                <w:lang w:eastAsia="lv-LV"/>
              </w:rPr>
              <w:t xml:space="preserve">ita starpā tiks attīstīta ciešāka sadarbība Baltijas jūras reģiona valstu starpā, kur tiks izvērtētas ciešākas sadarbības iespējas, piemēram, ātrai un drošai nodokļu informācijas apmaiņai, attiecīgi sniedzot ieguldījumu arī ESSBJR prioritārajā jomā “Šķēršļu likvidēšana iekšējam tirgum”. </w:t>
            </w:r>
            <w:r w:rsidRPr="00E1671A">
              <w:rPr>
                <w:sz w:val="22"/>
              </w:rPr>
              <w:t>SAM ietvaros sasniedzamos iznākuma un rezultāta rādītājus skatīt pie 2. prioritārā virziena “IKT pieejamība, e-pārvalde un pakalpojumi” apraksta.</w:t>
            </w:r>
          </w:p>
          <w:p w:rsidR="00F87FF9" w:rsidRPr="00E1671A" w:rsidRDefault="00F87FF9" w:rsidP="00F87FF9">
            <w:pPr>
              <w:jc w:val="both"/>
              <w:rPr>
                <w:sz w:val="22"/>
              </w:rPr>
            </w:pPr>
            <w:r w:rsidRPr="00E1671A">
              <w:rPr>
                <w:sz w:val="22"/>
              </w:rPr>
              <w:t>Jaunā kompetenču attīstīšanas iniciatīva 2014.–2020.gadā ar ESF palīdzību 3.4.2.SAM ietvaros piedāvā sistēmisku un mērķtiecīgu pieeju apmācību plānošanā un organizēšanā, īpaši pievēršoties to valsts pārvaldes iestāžu administratīvo spēju stiprināšanai, kuras tiešā veidā ir atbildīgas par komercdarbības vides sakārtošanu un sniedz ieguldījumu korupcijas un ēnu ekonomikas mazināšanā, pretstatā 2007.–2013.gadā īstenotajām mācībām, kas bija paredzētas noteiktām mērķa grupām, reaģējot uz konkrētu problēmu. SAM ietvaros sasniedzamos iznākuma un rezultāta rādītājus skatīt pie 3.prioritārā virziena “Mazo un vidējo komersantu konkurētspēja” apraksta.</w:t>
            </w:r>
          </w:p>
        </w:tc>
      </w:tr>
      <w:tr w:rsidR="00F87FF9" w:rsidRPr="00E1671A" w:rsidTr="00A84D1B">
        <w:trPr>
          <w:trHeight w:val="496"/>
        </w:trPr>
        <w:tc>
          <w:tcPr>
            <w:tcW w:w="624" w:type="dxa"/>
            <w:vMerge/>
          </w:tcPr>
          <w:p w:rsidR="00F87FF9" w:rsidRPr="00E1671A" w:rsidRDefault="00F87FF9" w:rsidP="00F87FF9">
            <w:pPr>
              <w:pStyle w:val="ListParagraph"/>
              <w:numPr>
                <w:ilvl w:val="0"/>
                <w:numId w:val="1"/>
              </w:numPr>
              <w:contextualSpacing w:val="0"/>
              <w:rPr>
                <w:rFonts w:eastAsia="Times New Roman"/>
                <w:sz w:val="22"/>
                <w:lang w:eastAsia="lv-LV"/>
              </w:rPr>
            </w:pPr>
          </w:p>
        </w:tc>
        <w:tc>
          <w:tcPr>
            <w:tcW w:w="1268" w:type="dxa"/>
            <w:vMerge/>
          </w:tcPr>
          <w:p w:rsidR="00F87FF9" w:rsidRPr="00E1671A" w:rsidRDefault="00F87FF9" w:rsidP="00F87FF9">
            <w:pPr>
              <w:rPr>
                <w:rFonts w:eastAsia="Times New Roman"/>
                <w:sz w:val="22"/>
                <w:lang w:eastAsia="lv-LV"/>
              </w:rPr>
            </w:pPr>
          </w:p>
        </w:tc>
        <w:tc>
          <w:tcPr>
            <w:tcW w:w="1505" w:type="dxa"/>
            <w:vMerge w:val="restart"/>
            <w:shd w:val="clear" w:color="auto" w:fill="auto"/>
            <w:noWrap/>
          </w:tcPr>
          <w:p w:rsidR="00F87FF9" w:rsidRPr="00E1671A" w:rsidRDefault="00F87FF9" w:rsidP="00F87FF9">
            <w:pPr>
              <w:rPr>
                <w:rFonts w:eastAsia="Times New Roman"/>
                <w:sz w:val="22"/>
                <w:lang w:eastAsia="lv-LV"/>
              </w:rPr>
            </w:pPr>
            <w:r w:rsidRPr="00E1671A">
              <w:rPr>
                <w:sz w:val="22"/>
              </w:rPr>
              <w:t>Uzlabota Baltijas jūras reģiona konkurētspēja pasaulē</w:t>
            </w:r>
          </w:p>
        </w:tc>
        <w:tc>
          <w:tcPr>
            <w:tcW w:w="1701" w:type="dxa"/>
            <w:shd w:val="clear" w:color="auto" w:fill="auto"/>
          </w:tcPr>
          <w:p w:rsidR="00F87FF9" w:rsidRPr="00E1671A" w:rsidRDefault="00F87FF9" w:rsidP="00F87FF9">
            <w:pPr>
              <w:rPr>
                <w:rFonts w:eastAsia="Times New Roman"/>
                <w:sz w:val="22"/>
                <w:lang w:eastAsia="lv-LV"/>
              </w:rPr>
            </w:pPr>
            <w:r w:rsidRPr="00E1671A">
              <w:rPr>
                <w:rFonts w:eastAsia="Times New Roman"/>
                <w:sz w:val="22"/>
                <w:lang w:eastAsia="lv-LV"/>
              </w:rPr>
              <w:t>“MVU” — veicināt</w:t>
            </w:r>
            <w:r w:rsidRPr="00E1671A">
              <w:rPr>
                <w:sz w:val="22"/>
              </w:rPr>
              <w:t xml:space="preserve"> </w:t>
            </w:r>
            <w:r w:rsidRPr="00E1671A">
              <w:rPr>
                <w:rFonts w:eastAsia="Times New Roman"/>
                <w:sz w:val="22"/>
                <w:lang w:eastAsia="lv-LV"/>
              </w:rPr>
              <w:t>uzņēmējdarbību un nostiprināt MVU izaugsmi</w:t>
            </w:r>
          </w:p>
        </w:tc>
        <w:tc>
          <w:tcPr>
            <w:tcW w:w="1560" w:type="dxa"/>
          </w:tcPr>
          <w:p w:rsidR="00F87FF9" w:rsidRPr="00E1671A" w:rsidRDefault="00F87FF9" w:rsidP="00F87FF9">
            <w:pPr>
              <w:rPr>
                <w:rFonts w:eastAsia="Times New Roman"/>
                <w:sz w:val="22"/>
                <w:lang w:eastAsia="lv-LV"/>
              </w:rPr>
            </w:pPr>
            <w:r w:rsidRPr="00E1671A">
              <w:rPr>
                <w:rFonts w:eastAsia="Times New Roman"/>
                <w:sz w:val="22"/>
                <w:lang w:eastAsia="lv-LV"/>
              </w:rPr>
              <w:t xml:space="preserve">3.1.1., </w:t>
            </w:r>
          </w:p>
          <w:p w:rsidR="00F87FF9" w:rsidRPr="00E1671A" w:rsidRDefault="00F87FF9" w:rsidP="00F87FF9">
            <w:pPr>
              <w:rPr>
                <w:rFonts w:eastAsia="Times New Roman"/>
                <w:sz w:val="22"/>
                <w:lang w:eastAsia="lv-LV"/>
              </w:rPr>
            </w:pPr>
            <w:r w:rsidRPr="00E1671A">
              <w:rPr>
                <w:rFonts w:eastAsia="Times New Roman"/>
                <w:sz w:val="22"/>
                <w:lang w:eastAsia="lv-LV"/>
              </w:rPr>
              <w:t>3.1.2.</w:t>
            </w:r>
            <w:r>
              <w:rPr>
                <w:rFonts w:eastAsia="Times New Roman"/>
                <w:sz w:val="22"/>
                <w:lang w:eastAsia="lv-LV"/>
              </w:rPr>
              <w:t>,</w:t>
            </w:r>
            <w:r w:rsidRPr="00E1671A">
              <w:rPr>
                <w:rFonts w:eastAsia="Times New Roman"/>
                <w:sz w:val="22"/>
                <w:lang w:eastAsia="lv-LV"/>
              </w:rPr>
              <w:t xml:space="preserve"> 3.2.1., 3.3.1., 3.4.2.SAM</w:t>
            </w:r>
          </w:p>
        </w:tc>
        <w:tc>
          <w:tcPr>
            <w:tcW w:w="7516" w:type="dxa"/>
          </w:tcPr>
          <w:p w:rsidR="00F87FF9" w:rsidRPr="00E1671A" w:rsidRDefault="00F87FF9" w:rsidP="00F87FF9">
            <w:pPr>
              <w:jc w:val="both"/>
              <w:rPr>
                <w:rFonts w:eastAsia="Times New Roman"/>
                <w:sz w:val="22"/>
                <w:lang w:eastAsia="lv-LV"/>
              </w:rPr>
            </w:pPr>
            <w:r w:rsidRPr="00E1671A">
              <w:rPr>
                <w:rFonts w:eastAsia="Times New Roman"/>
                <w:sz w:val="22"/>
                <w:lang w:eastAsia="lv-LV"/>
              </w:rPr>
              <w:t>3.1.1. un 3.1.2.SAM ir vērsti uz uzņēmējdarbības sekmēšanu, jo īpaši veicinot jaunu ideju izmantošanu ekonomikā un jaunu uzņēmumu veidošanu, tostarp ar uzņēmējdarbības inkubatoru un tehnoloģiju akseleratoru palīdzību, cita starpā atbalstot finansējuma pieejamību jaunu uzņēmumu veidošanai un esošo attīstībai, kā arī atbalstot apstrādes rūpniecības komersantu vajadzībām atbilstošas infrastruktūras izveidi.</w:t>
            </w:r>
          </w:p>
          <w:p w:rsidR="00F87FF9" w:rsidRPr="00E1671A" w:rsidRDefault="00F87FF9" w:rsidP="00F87FF9">
            <w:pPr>
              <w:jc w:val="both"/>
              <w:rPr>
                <w:rFonts w:eastAsia="Times New Roman"/>
                <w:sz w:val="22"/>
                <w:lang w:eastAsia="lv-LV"/>
              </w:rPr>
            </w:pPr>
          </w:p>
          <w:p w:rsidR="00F87FF9" w:rsidRPr="00E1671A" w:rsidRDefault="00F87FF9" w:rsidP="00F87FF9">
            <w:pPr>
              <w:jc w:val="both"/>
              <w:rPr>
                <w:rFonts w:eastAsia="Times New Roman"/>
                <w:sz w:val="22"/>
                <w:lang w:eastAsia="lv-LV"/>
              </w:rPr>
            </w:pPr>
            <w:r w:rsidRPr="00E1671A">
              <w:rPr>
                <w:rFonts w:eastAsia="Times New Roman"/>
                <w:sz w:val="22"/>
                <w:lang w:eastAsia="lv-LV"/>
              </w:rPr>
              <w:t>3.2.1.SAM ir vērsts uz MVK spēju panākt izaugsmi reģionālos, valsts un starptautiskos tirgos atbalstīšanu un iesaistīšanās veicināšanu inovāciju procesos.</w:t>
            </w:r>
          </w:p>
          <w:p w:rsidR="00F87FF9" w:rsidRPr="00E1671A" w:rsidRDefault="00F87FF9" w:rsidP="00F87FF9">
            <w:pPr>
              <w:jc w:val="both"/>
              <w:rPr>
                <w:rFonts w:eastAsia="Times New Roman"/>
                <w:sz w:val="22"/>
                <w:lang w:eastAsia="lv-LV"/>
              </w:rPr>
            </w:pPr>
          </w:p>
          <w:p w:rsidR="00F87FF9" w:rsidRPr="00E1671A" w:rsidRDefault="00F87FF9" w:rsidP="00F87FF9">
            <w:pPr>
              <w:autoSpaceDE w:val="0"/>
              <w:autoSpaceDN w:val="0"/>
              <w:adjustRightInd w:val="0"/>
              <w:jc w:val="both"/>
              <w:rPr>
                <w:rFonts w:eastAsia="Times New Roman"/>
                <w:sz w:val="22"/>
                <w:lang w:eastAsia="lv-LV"/>
              </w:rPr>
            </w:pPr>
            <w:r w:rsidRPr="00E1671A">
              <w:rPr>
                <w:rFonts w:eastAsia="Times New Roman"/>
                <w:sz w:val="22"/>
                <w:lang w:eastAsia="lv-LV"/>
              </w:rPr>
              <w:t xml:space="preserve">3.3.1.SAM ir vērsts uz uzlabotu spēju radīšanas un paplašināšanas preču un pakalpojumu attīstībai atbalstīšanu, tā ietvaros palielinot privāto investīciju apjomu reģionos, veicot ieguldījumus uzņēmējdarbības attīstībai atbilstoši pašvaldību attīstības programmās noteiktajai teritoriju ekonomiskajai specializācijai un balstoties uz vietējo uzņēmēju vajadzībām. </w:t>
            </w:r>
          </w:p>
          <w:p w:rsidR="00F87FF9" w:rsidRPr="00E1671A" w:rsidRDefault="00F87FF9" w:rsidP="00F87FF9">
            <w:pPr>
              <w:autoSpaceDE w:val="0"/>
              <w:autoSpaceDN w:val="0"/>
              <w:adjustRightInd w:val="0"/>
              <w:jc w:val="both"/>
              <w:rPr>
                <w:rFonts w:eastAsia="Times New Roman"/>
                <w:sz w:val="22"/>
                <w:lang w:eastAsia="lv-LV"/>
              </w:rPr>
            </w:pPr>
          </w:p>
          <w:p w:rsidR="00F87FF9" w:rsidRPr="00E1671A" w:rsidRDefault="00F87FF9" w:rsidP="00F87FF9">
            <w:pPr>
              <w:autoSpaceDE w:val="0"/>
              <w:autoSpaceDN w:val="0"/>
              <w:adjustRightInd w:val="0"/>
              <w:jc w:val="both"/>
              <w:rPr>
                <w:rFonts w:eastAsia="Times New Roman"/>
                <w:sz w:val="22"/>
                <w:lang w:eastAsia="lv-LV"/>
              </w:rPr>
            </w:pPr>
            <w:r w:rsidRPr="00E1671A">
              <w:rPr>
                <w:sz w:val="22"/>
              </w:rPr>
              <w:lastRenderedPageBreak/>
              <w:t>Jaunā kompetenču attīstīšanas iniciatīva 2014.–2020.gadā ar ESF palīdzību 3.4.2.SAM ietvaros piedāvā sistēmisku un mērķtiecīgu pieeju apmācību plānošanā un organizēšanā, īpaši pievēršoties to valsts pārvaldes iestāžu administratīvo spēju stiprināšanai, kuras tiešā veidā ir atbildīgas par komercdarbības vides sakārtošanu un sniedz ieguldījumu korupcijas un ēnu ekonomikas mazināšanā, pretstatā 2007.–2013.gadā īstenotajām mācībām, kas bija paredzētas noteiktām mērķa grupām, reaģējot uz konkrētu problēmu.</w:t>
            </w:r>
          </w:p>
          <w:p w:rsidR="00F87FF9" w:rsidRPr="00E1671A" w:rsidRDefault="00F87FF9" w:rsidP="00F87FF9">
            <w:pPr>
              <w:autoSpaceDE w:val="0"/>
              <w:autoSpaceDN w:val="0"/>
              <w:adjustRightInd w:val="0"/>
              <w:jc w:val="both"/>
              <w:rPr>
                <w:rFonts w:eastAsia="Times New Roman"/>
                <w:sz w:val="22"/>
                <w:lang w:eastAsia="lv-LV"/>
              </w:rPr>
            </w:pPr>
          </w:p>
          <w:p w:rsidR="00F87FF9" w:rsidRPr="00E1671A" w:rsidRDefault="00F87FF9" w:rsidP="00F87FF9">
            <w:pPr>
              <w:autoSpaceDE w:val="0"/>
              <w:autoSpaceDN w:val="0"/>
              <w:adjustRightInd w:val="0"/>
              <w:jc w:val="both"/>
              <w:rPr>
                <w:rFonts w:eastAsia="Times New Roman"/>
                <w:sz w:val="22"/>
                <w:lang w:eastAsia="lv-LV"/>
              </w:rPr>
            </w:pPr>
            <w:r w:rsidRPr="00E1671A">
              <w:rPr>
                <w:rFonts w:eastAsia="Times New Roman"/>
                <w:sz w:val="22"/>
                <w:lang w:eastAsia="lv-LV"/>
              </w:rPr>
              <w:t>Visu minēto SAM ietvaros sasniedzamos iznākuma un rezultāta rādītājus skatīt pie 3. prioritārā virziena “Mazo un vidējo komersantu konkurētspēja”.</w:t>
            </w:r>
          </w:p>
        </w:tc>
      </w:tr>
      <w:tr w:rsidR="00F87FF9" w:rsidRPr="00E1671A" w:rsidTr="00A84D1B">
        <w:trPr>
          <w:trHeight w:val="5520"/>
        </w:trPr>
        <w:tc>
          <w:tcPr>
            <w:tcW w:w="624" w:type="dxa"/>
            <w:vMerge/>
          </w:tcPr>
          <w:p w:rsidR="00F87FF9" w:rsidRPr="00E1671A" w:rsidRDefault="00F87FF9" w:rsidP="00F87FF9">
            <w:pPr>
              <w:pStyle w:val="ListParagraph"/>
              <w:numPr>
                <w:ilvl w:val="0"/>
                <w:numId w:val="1"/>
              </w:numPr>
              <w:contextualSpacing w:val="0"/>
              <w:rPr>
                <w:rFonts w:eastAsia="Times New Roman"/>
                <w:sz w:val="22"/>
                <w:lang w:eastAsia="lv-LV"/>
              </w:rPr>
            </w:pPr>
          </w:p>
        </w:tc>
        <w:tc>
          <w:tcPr>
            <w:tcW w:w="1268" w:type="dxa"/>
            <w:vMerge/>
          </w:tcPr>
          <w:p w:rsidR="00F87FF9" w:rsidRPr="00E1671A" w:rsidRDefault="00F87FF9" w:rsidP="00F87FF9">
            <w:pPr>
              <w:rPr>
                <w:rFonts w:eastAsia="Times New Roman"/>
                <w:sz w:val="22"/>
                <w:lang w:eastAsia="lv-LV"/>
              </w:rPr>
            </w:pPr>
          </w:p>
        </w:tc>
        <w:tc>
          <w:tcPr>
            <w:tcW w:w="1505" w:type="dxa"/>
            <w:vMerge/>
            <w:shd w:val="clear" w:color="auto" w:fill="auto"/>
            <w:noWrap/>
          </w:tcPr>
          <w:p w:rsidR="00F87FF9" w:rsidRPr="00E1671A" w:rsidRDefault="00F87FF9" w:rsidP="00F87FF9">
            <w:pPr>
              <w:rPr>
                <w:sz w:val="22"/>
              </w:rPr>
            </w:pPr>
          </w:p>
        </w:tc>
        <w:tc>
          <w:tcPr>
            <w:tcW w:w="1701" w:type="dxa"/>
          </w:tcPr>
          <w:p w:rsidR="00F87FF9" w:rsidRPr="00E1671A" w:rsidRDefault="00F87FF9" w:rsidP="00F87FF9">
            <w:pPr>
              <w:rPr>
                <w:rFonts w:eastAsia="Times New Roman"/>
                <w:sz w:val="22"/>
                <w:lang w:eastAsia="lv-LV"/>
              </w:rPr>
            </w:pPr>
            <w:r w:rsidRPr="00E1671A">
              <w:rPr>
                <w:rFonts w:eastAsia="Times New Roman"/>
                <w:sz w:val="22"/>
                <w:lang w:eastAsia="lv-LV"/>
              </w:rPr>
              <w:t>“Inovācija” — visa reģiona potenciāla izmantošana pētniecības un inovācijas jomā</w:t>
            </w:r>
          </w:p>
        </w:tc>
        <w:tc>
          <w:tcPr>
            <w:tcW w:w="1560" w:type="dxa"/>
          </w:tcPr>
          <w:p w:rsidR="00F87FF9" w:rsidRPr="00E1671A" w:rsidRDefault="00F87FF9" w:rsidP="00F87FF9">
            <w:pPr>
              <w:rPr>
                <w:rFonts w:eastAsia="Times New Roman"/>
                <w:sz w:val="22"/>
                <w:lang w:eastAsia="lv-LV"/>
              </w:rPr>
            </w:pPr>
            <w:r>
              <w:rPr>
                <w:rFonts w:eastAsia="Times New Roman"/>
                <w:sz w:val="22"/>
                <w:lang w:eastAsia="lv-LV"/>
              </w:rPr>
              <w:t>1.1.1.,1.</w:t>
            </w:r>
            <w:r w:rsidRPr="00E1671A">
              <w:rPr>
                <w:rFonts w:eastAsia="Times New Roman"/>
                <w:sz w:val="22"/>
                <w:lang w:eastAsia="lv-LV"/>
              </w:rPr>
              <w:t>2.1. un 1.2.2.SAM</w:t>
            </w:r>
          </w:p>
        </w:tc>
        <w:tc>
          <w:tcPr>
            <w:tcW w:w="7516" w:type="dxa"/>
          </w:tcPr>
          <w:p w:rsidR="00F87FF9" w:rsidRPr="00E1671A" w:rsidRDefault="00F87FF9" w:rsidP="00F87FF9">
            <w:pPr>
              <w:tabs>
                <w:tab w:val="left" w:pos="709"/>
              </w:tabs>
              <w:jc w:val="both"/>
              <w:rPr>
                <w:rFonts w:eastAsia="Times New Roman"/>
                <w:sz w:val="22"/>
                <w:u w:val="single"/>
                <w:lang w:eastAsia="lv-LV"/>
              </w:rPr>
            </w:pPr>
            <w:r w:rsidRPr="00E1671A">
              <w:rPr>
                <w:rFonts w:eastAsia="Times New Roman"/>
                <w:sz w:val="22"/>
                <w:u w:val="single"/>
                <w:lang w:eastAsia="lv-LV"/>
              </w:rPr>
              <w:t>Visi ieguldījumi 1.tematiskā mērķa ietvaros tiks veikti atbilstoši Latvijas viedās specializācijas stratēģijā noteiktajam.</w:t>
            </w:r>
          </w:p>
          <w:p w:rsidR="00F87FF9" w:rsidRPr="00E1671A" w:rsidRDefault="00F87FF9" w:rsidP="00F87FF9">
            <w:pPr>
              <w:tabs>
                <w:tab w:val="left" w:pos="709"/>
              </w:tabs>
              <w:jc w:val="both"/>
              <w:rPr>
                <w:rFonts w:eastAsia="Times New Roman"/>
                <w:sz w:val="22"/>
                <w:lang w:eastAsia="lv-LV"/>
              </w:rPr>
            </w:pPr>
          </w:p>
          <w:p w:rsidR="00F87FF9" w:rsidRPr="00E1671A" w:rsidRDefault="00F87FF9" w:rsidP="00F87FF9">
            <w:pPr>
              <w:tabs>
                <w:tab w:val="left" w:pos="709"/>
              </w:tabs>
              <w:jc w:val="both"/>
              <w:rPr>
                <w:rFonts w:eastAsia="Times New Roman"/>
                <w:sz w:val="22"/>
                <w:lang w:eastAsia="lv-LV"/>
              </w:rPr>
            </w:pPr>
            <w:r w:rsidRPr="00E1671A">
              <w:rPr>
                <w:rFonts w:eastAsia="Times New Roman"/>
                <w:sz w:val="22"/>
                <w:lang w:eastAsia="lv-LV"/>
              </w:rPr>
              <w:t xml:space="preserve">1.1.1.SAM. ir vērsts uz P&amp;I infrastruktūras uzlabošanu un P&amp;I izcilību spēju attīstīšanu, kā arī kompetences centru, it īpaši Eiropas nozīmes centru, izveides veicināšanu. </w:t>
            </w:r>
          </w:p>
          <w:p w:rsidR="00F87FF9" w:rsidRPr="00E1671A" w:rsidRDefault="00F87FF9" w:rsidP="00F87FF9">
            <w:pPr>
              <w:tabs>
                <w:tab w:val="left" w:pos="709"/>
              </w:tabs>
              <w:jc w:val="both"/>
              <w:rPr>
                <w:rFonts w:eastAsia="Times New Roman"/>
                <w:sz w:val="22"/>
                <w:lang w:eastAsia="lv-LV"/>
              </w:rPr>
            </w:pPr>
          </w:p>
          <w:p w:rsidR="00F87FF9" w:rsidRPr="00E1671A" w:rsidRDefault="00F87FF9" w:rsidP="00F87FF9">
            <w:pPr>
              <w:tabs>
                <w:tab w:val="left" w:pos="709"/>
              </w:tabs>
              <w:jc w:val="both"/>
              <w:rPr>
                <w:rFonts w:eastAsia="Times New Roman"/>
                <w:sz w:val="22"/>
                <w:lang w:eastAsia="lv-LV"/>
              </w:rPr>
            </w:pPr>
            <w:r w:rsidRPr="00E1671A">
              <w:rPr>
                <w:rFonts w:eastAsia="Times New Roman"/>
                <w:sz w:val="22"/>
                <w:lang w:eastAsia="lv-LV"/>
              </w:rPr>
              <w:t xml:space="preserve">Savukārt 1.2.1. un 1.2.2.SAM ir vērsti uz uzņēmumu investīciju P&amp;I sekmēšanu, veidojot saiknes un sinerģiju starp uzņēmumiem, pētniecības un izstrādes centriem un augstākās izglītības nozari, jo īpaši veicinot investīcijas produktu un pakalpojumu (tai skaitā radošu produktu) attīstībā, tehnoloģiju nodošanu, sociālās inovācijas, </w:t>
            </w:r>
            <w:proofErr w:type="spellStart"/>
            <w:r w:rsidRPr="00E1671A">
              <w:rPr>
                <w:rFonts w:eastAsia="Times New Roman"/>
                <w:sz w:val="22"/>
                <w:lang w:eastAsia="lv-LV"/>
              </w:rPr>
              <w:t>ekoinovācijas</w:t>
            </w:r>
            <w:proofErr w:type="spellEnd"/>
            <w:r w:rsidRPr="00E1671A">
              <w:rPr>
                <w:rFonts w:eastAsia="Times New Roman"/>
                <w:sz w:val="22"/>
                <w:lang w:eastAsia="lv-LV"/>
              </w:rPr>
              <w:t xml:space="preserve">, sabiedrisko pakalpojumu lietotnes, pieprasījuma stimulēšanu, tīklu veidošanu, kopu izveidi un atvērtās inovācijas ar viedās specializācijas palīdzību un atbalstot tehnoloģisko un lietišķo pētniecību, izmēģinājuma projektus, ražojumu apstiprināšanu to agrīnā izstrādes stadijā, ražošanas spēju palielināšanu un pirmo ražošanu, jo īpaši attiecībā uz svarīgākajām pamattehnoloģijām un universālo tehnoloģiju izplatīšanu. </w:t>
            </w:r>
          </w:p>
          <w:p w:rsidR="00F87FF9" w:rsidRPr="00E1671A" w:rsidRDefault="00F87FF9" w:rsidP="00F87FF9">
            <w:pPr>
              <w:tabs>
                <w:tab w:val="left" w:pos="709"/>
              </w:tabs>
              <w:jc w:val="both"/>
              <w:rPr>
                <w:rFonts w:eastAsia="Times New Roman"/>
                <w:sz w:val="22"/>
                <w:lang w:eastAsia="lv-LV"/>
              </w:rPr>
            </w:pPr>
          </w:p>
          <w:p w:rsidR="00F87FF9" w:rsidRPr="00E1671A" w:rsidRDefault="00F87FF9" w:rsidP="00F87FF9">
            <w:pPr>
              <w:tabs>
                <w:tab w:val="left" w:pos="709"/>
              </w:tabs>
              <w:jc w:val="both"/>
              <w:rPr>
                <w:rFonts w:eastAsia="Times New Roman"/>
                <w:sz w:val="22"/>
                <w:lang w:eastAsia="lv-LV"/>
              </w:rPr>
            </w:pPr>
            <w:r w:rsidRPr="00E1671A">
              <w:rPr>
                <w:rFonts w:eastAsia="Times New Roman"/>
                <w:sz w:val="22"/>
                <w:lang w:eastAsia="lv-LV"/>
              </w:rPr>
              <w:t>Visu minēto SAM ietvaros sasniedzamos iznākuma un rezultāta rādītājus skatīt pie 1.prioritārā virziena “Pētniecība, tehnoloģiju attīstība un inovācijas.</w:t>
            </w:r>
          </w:p>
        </w:tc>
      </w:tr>
      <w:tr w:rsidR="00F87FF9" w:rsidRPr="00E1671A" w:rsidTr="00A84D1B">
        <w:trPr>
          <w:trHeight w:val="315"/>
        </w:trPr>
        <w:tc>
          <w:tcPr>
            <w:tcW w:w="624" w:type="dxa"/>
            <w:vMerge/>
          </w:tcPr>
          <w:p w:rsidR="00F87FF9" w:rsidRPr="00E1671A" w:rsidRDefault="00F87FF9" w:rsidP="00F87FF9">
            <w:pPr>
              <w:pStyle w:val="ListParagraph"/>
              <w:numPr>
                <w:ilvl w:val="0"/>
                <w:numId w:val="1"/>
              </w:numPr>
              <w:contextualSpacing w:val="0"/>
              <w:rPr>
                <w:rFonts w:eastAsia="Times New Roman"/>
                <w:sz w:val="22"/>
                <w:lang w:eastAsia="lv-LV"/>
              </w:rPr>
            </w:pPr>
          </w:p>
        </w:tc>
        <w:tc>
          <w:tcPr>
            <w:tcW w:w="1268" w:type="dxa"/>
            <w:vMerge/>
          </w:tcPr>
          <w:p w:rsidR="00F87FF9" w:rsidRPr="00E1671A" w:rsidRDefault="00F87FF9" w:rsidP="00F87FF9">
            <w:pPr>
              <w:rPr>
                <w:rFonts w:eastAsia="Times New Roman"/>
                <w:sz w:val="22"/>
                <w:lang w:eastAsia="lv-LV"/>
              </w:rPr>
            </w:pPr>
          </w:p>
        </w:tc>
        <w:tc>
          <w:tcPr>
            <w:tcW w:w="1505" w:type="dxa"/>
            <w:shd w:val="clear" w:color="auto" w:fill="auto"/>
            <w:noWrap/>
          </w:tcPr>
          <w:p w:rsidR="00F87FF9" w:rsidRPr="00E1671A" w:rsidRDefault="00F87FF9" w:rsidP="00F87FF9">
            <w:pPr>
              <w:rPr>
                <w:rFonts w:eastAsia="Times New Roman"/>
                <w:sz w:val="22"/>
                <w:lang w:eastAsia="lv-LV"/>
              </w:rPr>
            </w:pPr>
            <w:r w:rsidRPr="00E1671A">
              <w:rPr>
                <w:sz w:val="22"/>
              </w:rPr>
              <w:t>Pielāgošanās klimata pārmaiņām, riska novēršana un pārvaldība</w:t>
            </w:r>
          </w:p>
        </w:tc>
        <w:tc>
          <w:tcPr>
            <w:tcW w:w="1701" w:type="dxa"/>
          </w:tcPr>
          <w:p w:rsidR="00F87FF9" w:rsidRPr="00E1671A" w:rsidRDefault="00F87FF9" w:rsidP="00F87FF9">
            <w:pPr>
              <w:jc w:val="both"/>
              <w:rPr>
                <w:rFonts w:eastAsia="Times New Roman"/>
                <w:sz w:val="22"/>
                <w:lang w:eastAsia="lv-LV"/>
              </w:rPr>
            </w:pPr>
            <w:r w:rsidRPr="00E1671A">
              <w:rPr>
                <w:rFonts w:eastAsia="Times New Roman"/>
                <w:sz w:val="22"/>
                <w:lang w:eastAsia="lv-LV"/>
              </w:rPr>
              <w:t>“Drošība” — aizsardzība pret ārkārtas situācijām un negadījumiem uz sauszemes</w:t>
            </w:r>
          </w:p>
        </w:tc>
        <w:tc>
          <w:tcPr>
            <w:tcW w:w="1560" w:type="dxa"/>
          </w:tcPr>
          <w:p w:rsidR="00F87FF9" w:rsidRPr="00E1671A" w:rsidRDefault="00F87FF9" w:rsidP="00F87FF9">
            <w:pPr>
              <w:rPr>
                <w:rFonts w:eastAsia="Times New Roman"/>
                <w:sz w:val="22"/>
                <w:lang w:eastAsia="lv-LV"/>
              </w:rPr>
            </w:pPr>
            <w:r w:rsidRPr="00E1671A">
              <w:rPr>
                <w:rFonts w:eastAsia="Times New Roman"/>
                <w:sz w:val="22"/>
                <w:lang w:eastAsia="lv-LV"/>
              </w:rPr>
              <w:t>5.1.1., 5.1.2.SAM</w:t>
            </w:r>
          </w:p>
        </w:tc>
        <w:tc>
          <w:tcPr>
            <w:tcW w:w="7516" w:type="dxa"/>
          </w:tcPr>
          <w:p w:rsidR="00F87FF9" w:rsidRPr="00E1671A" w:rsidRDefault="00F87FF9" w:rsidP="00F87FF9">
            <w:pPr>
              <w:jc w:val="both"/>
              <w:rPr>
                <w:rFonts w:eastAsia="Times New Roman"/>
                <w:sz w:val="22"/>
                <w:lang w:eastAsia="lv-LV"/>
              </w:rPr>
            </w:pPr>
            <w:r w:rsidRPr="00E1671A">
              <w:rPr>
                <w:rFonts w:eastAsia="Times New Roman"/>
                <w:sz w:val="22"/>
                <w:lang w:eastAsia="lv-LV"/>
              </w:rPr>
              <w:t>SAM ietvaros paredzēts novērts plūdu un krasta erozijas risku apdraudējumu pilsētu teritorijās, kā arī samazināt plūdu riskus laiku teritorijās. Ieguldītās investīcijas, īpaši jūras krastu erozijas risku samazināšanā, līdz minimumam samazinās arī iespējama piesārņojuma izplatīšanu Baltijas jūrā, kas varētu negatīvi ietekmēt ne tikai Latvi</w:t>
            </w:r>
            <w:r>
              <w:rPr>
                <w:rFonts w:eastAsia="Times New Roman"/>
                <w:sz w:val="22"/>
                <w:lang w:eastAsia="lv-LV"/>
              </w:rPr>
              <w:t>jas iedzīvotāju dzīves kvalitāt</w:t>
            </w:r>
            <w:r w:rsidRPr="00E1671A">
              <w:rPr>
                <w:rFonts w:eastAsia="Times New Roman"/>
                <w:sz w:val="22"/>
                <w:lang w:eastAsia="lv-LV"/>
              </w:rPr>
              <w:t xml:space="preserve">i, bet arī visu Baltijas reģionu. Tās veicinās arī ESSBJR </w:t>
            </w:r>
            <w:proofErr w:type="spellStart"/>
            <w:r w:rsidRPr="00E1671A">
              <w:rPr>
                <w:rFonts w:eastAsia="Times New Roman"/>
                <w:sz w:val="22"/>
                <w:lang w:eastAsia="lv-LV"/>
              </w:rPr>
              <w:t>apakšmērķa</w:t>
            </w:r>
            <w:proofErr w:type="spellEnd"/>
            <w:r w:rsidRPr="00E1671A">
              <w:rPr>
                <w:rFonts w:eastAsia="Times New Roman"/>
                <w:sz w:val="22"/>
                <w:lang w:eastAsia="lv-LV"/>
              </w:rPr>
              <w:t xml:space="preserve"> “Pielāgošanās klimata pārmaiņām, risku novēršana un pārvaldība” noteikto problēmu risināšanu.</w:t>
            </w:r>
          </w:p>
        </w:tc>
      </w:tr>
    </w:tbl>
    <w:p w:rsidR="006D5CCC" w:rsidRDefault="006D5CCC" w:rsidP="007F32B3">
      <w:pPr>
        <w:rPr>
          <w:rFonts w:eastAsiaTheme="minorHAnsi" w:cstheme="minorBidi"/>
          <w:szCs w:val="24"/>
        </w:rPr>
      </w:pPr>
    </w:p>
    <w:p w:rsidR="007758D2" w:rsidRDefault="007758D2" w:rsidP="007F32B3">
      <w:pPr>
        <w:rPr>
          <w:rFonts w:eastAsiaTheme="minorHAnsi" w:cstheme="minorBidi"/>
          <w:szCs w:val="24"/>
        </w:rPr>
      </w:pPr>
    </w:p>
    <w:p w:rsidR="007758D2" w:rsidRDefault="005C3E98" w:rsidP="00DB2E52">
      <w:pPr>
        <w:pStyle w:val="NormalWeb"/>
        <w:spacing w:before="0" w:beforeAutospacing="0" w:after="0" w:afterAutospacing="0"/>
        <w:ind w:firstLine="357"/>
        <w:rPr>
          <w:sz w:val="20"/>
          <w:szCs w:val="20"/>
        </w:rPr>
      </w:pPr>
      <w:r>
        <w:t>Finanšu ministr</w:t>
      </w:r>
      <w:r w:rsidR="00DB2E52">
        <w:t xml:space="preserve">s </w:t>
      </w:r>
      <w:r w:rsidR="00DB2E52">
        <w:tab/>
      </w:r>
      <w:r w:rsidR="00DB2E52">
        <w:tab/>
      </w:r>
      <w:r w:rsidR="00DB2E52">
        <w:tab/>
      </w:r>
      <w:r w:rsidR="00DB2E52">
        <w:tab/>
      </w:r>
      <w:r w:rsidR="00DB2E52">
        <w:tab/>
      </w:r>
      <w:r w:rsidR="00DB2E52">
        <w:tab/>
      </w:r>
      <w:r w:rsidR="00DB2E52">
        <w:tab/>
      </w:r>
      <w:r w:rsidR="00DB2E52">
        <w:tab/>
      </w:r>
      <w:r w:rsidR="00DB2E52">
        <w:tab/>
      </w:r>
      <w:r w:rsidR="00DB2E52">
        <w:tab/>
      </w:r>
      <w:r w:rsidR="00DB2E52">
        <w:tab/>
      </w:r>
      <w:r w:rsidR="00DB2E52">
        <w:tab/>
      </w:r>
      <w:r w:rsidR="00DB2E52">
        <w:tab/>
      </w:r>
      <w:r w:rsidR="00DB2E52">
        <w:tab/>
      </w:r>
      <w:proofErr w:type="spellStart"/>
      <w:r w:rsidR="00DB2E52">
        <w:t>J.Reirs</w:t>
      </w:r>
      <w:proofErr w:type="spellEnd"/>
    </w:p>
    <w:p w:rsidR="007758D2" w:rsidRDefault="007758D2" w:rsidP="007758D2">
      <w:pPr>
        <w:rPr>
          <w:sz w:val="20"/>
          <w:szCs w:val="20"/>
        </w:rPr>
      </w:pPr>
    </w:p>
    <w:p w:rsidR="00E00D08" w:rsidRDefault="00E00D08" w:rsidP="007758D2">
      <w:pPr>
        <w:rPr>
          <w:sz w:val="20"/>
          <w:szCs w:val="20"/>
        </w:rPr>
      </w:pPr>
    </w:p>
    <w:p w:rsidR="00E00D08" w:rsidRDefault="00E00D08" w:rsidP="007758D2">
      <w:pPr>
        <w:rPr>
          <w:sz w:val="20"/>
          <w:szCs w:val="20"/>
        </w:rPr>
      </w:pPr>
    </w:p>
    <w:p w:rsidR="00E00D08" w:rsidRDefault="00E00D08" w:rsidP="007758D2">
      <w:pPr>
        <w:rPr>
          <w:sz w:val="20"/>
          <w:szCs w:val="20"/>
        </w:rPr>
      </w:pPr>
    </w:p>
    <w:p w:rsidR="00E00D08" w:rsidRDefault="00E00D08" w:rsidP="007758D2">
      <w:pPr>
        <w:rPr>
          <w:sz w:val="20"/>
          <w:szCs w:val="20"/>
        </w:rPr>
      </w:pPr>
    </w:p>
    <w:p w:rsidR="00E00D08" w:rsidRDefault="00E00D08" w:rsidP="007758D2">
      <w:pPr>
        <w:rPr>
          <w:sz w:val="20"/>
          <w:szCs w:val="20"/>
        </w:rPr>
      </w:pPr>
    </w:p>
    <w:p w:rsidR="00E00D08" w:rsidRDefault="00E00D08" w:rsidP="007758D2">
      <w:pPr>
        <w:rPr>
          <w:sz w:val="20"/>
          <w:szCs w:val="20"/>
        </w:rPr>
      </w:pPr>
    </w:p>
    <w:p w:rsidR="00E00D08" w:rsidRDefault="00E00D08" w:rsidP="007758D2">
      <w:pPr>
        <w:rPr>
          <w:sz w:val="20"/>
          <w:szCs w:val="20"/>
        </w:rPr>
      </w:pPr>
    </w:p>
    <w:p w:rsidR="00E00D08" w:rsidRDefault="00E00D08" w:rsidP="007758D2">
      <w:pPr>
        <w:rPr>
          <w:sz w:val="20"/>
          <w:szCs w:val="20"/>
        </w:rPr>
      </w:pPr>
    </w:p>
    <w:p w:rsidR="00E00D08" w:rsidRDefault="00E00D08" w:rsidP="007758D2">
      <w:pPr>
        <w:rPr>
          <w:sz w:val="20"/>
          <w:szCs w:val="20"/>
        </w:rPr>
      </w:pPr>
    </w:p>
    <w:p w:rsidR="00E00D08" w:rsidRDefault="00E00D08" w:rsidP="007758D2">
      <w:pPr>
        <w:rPr>
          <w:sz w:val="20"/>
          <w:szCs w:val="20"/>
        </w:rPr>
      </w:pPr>
    </w:p>
    <w:p w:rsidR="00E00D08" w:rsidRDefault="00E00D08" w:rsidP="007758D2">
      <w:pPr>
        <w:rPr>
          <w:sz w:val="20"/>
          <w:szCs w:val="20"/>
        </w:rPr>
      </w:pPr>
    </w:p>
    <w:p w:rsidR="00E00D08" w:rsidRDefault="00E00D08" w:rsidP="007758D2">
      <w:pPr>
        <w:rPr>
          <w:sz w:val="20"/>
          <w:szCs w:val="20"/>
        </w:rPr>
      </w:pPr>
    </w:p>
    <w:p w:rsidR="00E00D08" w:rsidRDefault="00E00D08" w:rsidP="007758D2">
      <w:pPr>
        <w:rPr>
          <w:sz w:val="20"/>
          <w:szCs w:val="20"/>
        </w:rPr>
      </w:pPr>
    </w:p>
    <w:p w:rsidR="00E00D08" w:rsidRDefault="00E00D08" w:rsidP="007758D2">
      <w:pPr>
        <w:rPr>
          <w:sz w:val="20"/>
          <w:szCs w:val="20"/>
        </w:rPr>
      </w:pPr>
    </w:p>
    <w:p w:rsidR="007758D2" w:rsidRDefault="007758D2" w:rsidP="007758D2">
      <w:pPr>
        <w:rPr>
          <w:sz w:val="20"/>
          <w:szCs w:val="20"/>
        </w:rPr>
      </w:pPr>
      <w:r>
        <w:rPr>
          <w:sz w:val="20"/>
          <w:szCs w:val="20"/>
        </w:rPr>
        <w:fldChar w:fldCharType="begin"/>
      </w:r>
      <w:r>
        <w:rPr>
          <w:sz w:val="20"/>
          <w:szCs w:val="20"/>
        </w:rPr>
        <w:instrText xml:space="preserve"> TIME \@ "dd.MM.yyyy H:mm" </w:instrText>
      </w:r>
      <w:r>
        <w:rPr>
          <w:sz w:val="20"/>
          <w:szCs w:val="20"/>
        </w:rPr>
        <w:fldChar w:fldCharType="separate"/>
      </w:r>
      <w:r w:rsidR="0001700B">
        <w:rPr>
          <w:noProof/>
          <w:sz w:val="20"/>
          <w:szCs w:val="20"/>
        </w:rPr>
        <w:t>1</w:t>
      </w:r>
      <w:r w:rsidR="0001700B">
        <w:rPr>
          <w:noProof/>
          <w:sz w:val="20"/>
          <w:szCs w:val="20"/>
        </w:rPr>
        <w:t>6.01.2015 13:09</w:t>
      </w:r>
      <w:bookmarkStart w:id="1" w:name="_GoBack"/>
      <w:bookmarkEnd w:id="1"/>
      <w:r>
        <w:rPr>
          <w:sz w:val="20"/>
          <w:szCs w:val="20"/>
        </w:rPr>
        <w:fldChar w:fldCharType="end"/>
      </w:r>
    </w:p>
    <w:p w:rsidR="007758D2" w:rsidRDefault="00DB2E52" w:rsidP="007758D2">
      <w:pPr>
        <w:rPr>
          <w:sz w:val="20"/>
          <w:szCs w:val="20"/>
        </w:rPr>
      </w:pPr>
      <w:r>
        <w:rPr>
          <w:sz w:val="20"/>
          <w:szCs w:val="20"/>
        </w:rPr>
        <w:t>1112</w:t>
      </w:r>
    </w:p>
    <w:p w:rsidR="007758D2" w:rsidRDefault="007758D2" w:rsidP="007758D2">
      <w:pPr>
        <w:rPr>
          <w:sz w:val="20"/>
          <w:szCs w:val="20"/>
        </w:rPr>
      </w:pPr>
      <w:proofErr w:type="spellStart"/>
      <w:r>
        <w:rPr>
          <w:sz w:val="20"/>
          <w:szCs w:val="20"/>
        </w:rPr>
        <w:t>K.Virse</w:t>
      </w:r>
      <w:proofErr w:type="spellEnd"/>
      <w:r>
        <w:rPr>
          <w:sz w:val="20"/>
          <w:szCs w:val="20"/>
        </w:rPr>
        <w:br/>
        <w:t>67095479, Karina.Virse@fm.gov.lv</w:t>
      </w:r>
    </w:p>
    <w:p w:rsidR="007758D2" w:rsidRDefault="007758D2" w:rsidP="007758D2">
      <w:pPr>
        <w:ind w:left="426"/>
        <w:rPr>
          <w:rFonts w:eastAsiaTheme="minorHAnsi" w:cstheme="minorBidi"/>
          <w:szCs w:val="24"/>
        </w:rPr>
      </w:pPr>
    </w:p>
    <w:sectPr w:rsidR="007758D2" w:rsidSect="006D5CCC">
      <w:headerReference w:type="even" r:id="rId7"/>
      <w:headerReference w:type="default" r:id="rId8"/>
      <w:footerReference w:type="even" r:id="rId9"/>
      <w:footerReference w:type="default" r:id="rId10"/>
      <w:headerReference w:type="first" r:id="rId11"/>
      <w:footerReference w:type="first" r:id="rId12"/>
      <w:pgSz w:w="16838" w:h="11906" w:orient="landscape"/>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80C" w:rsidRDefault="0026680C" w:rsidP="00D56B40">
      <w:r>
        <w:separator/>
      </w:r>
    </w:p>
  </w:endnote>
  <w:endnote w:type="continuationSeparator" w:id="0">
    <w:p w:rsidR="0026680C" w:rsidRDefault="0026680C" w:rsidP="00D5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7A8" w:rsidRDefault="000927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983" w:rsidRDefault="0026680C">
    <w:pPr>
      <w:pStyle w:val="Footer"/>
      <w:jc w:val="center"/>
    </w:pPr>
  </w:p>
  <w:sdt>
    <w:sdtPr>
      <w:id w:val="1709683451"/>
      <w:docPartObj>
        <w:docPartGallery w:val="Page Numbers (Bottom of Page)"/>
        <w:docPartUnique/>
      </w:docPartObj>
    </w:sdtPr>
    <w:sdtEndPr>
      <w:rPr>
        <w:noProof/>
        <w:sz w:val="20"/>
        <w:szCs w:val="20"/>
      </w:rPr>
    </w:sdtEndPr>
    <w:sdtContent>
      <w:p w:rsidR="00CC4983" w:rsidRDefault="00D56B40">
        <w:pPr>
          <w:pStyle w:val="Footer"/>
          <w:jc w:val="center"/>
          <w:rPr>
            <w:noProof/>
          </w:rPr>
        </w:pPr>
        <w:r>
          <w:fldChar w:fldCharType="begin"/>
        </w:r>
        <w:r>
          <w:instrText xml:space="preserve"> PAGE   \* MERGEFORMAT </w:instrText>
        </w:r>
        <w:r>
          <w:fldChar w:fldCharType="separate"/>
        </w:r>
        <w:r w:rsidR="0001700B">
          <w:rPr>
            <w:noProof/>
          </w:rPr>
          <w:t>4</w:t>
        </w:r>
        <w:r>
          <w:rPr>
            <w:noProof/>
          </w:rPr>
          <w:fldChar w:fldCharType="end"/>
        </w:r>
      </w:p>
    </w:sdtContent>
  </w:sdt>
  <w:p w:rsidR="00E67AE7" w:rsidRDefault="00B4467D" w:rsidP="00CC4983">
    <w:pPr>
      <w:pStyle w:val="Footer"/>
      <w:tabs>
        <w:tab w:val="clear" w:pos="4153"/>
        <w:tab w:val="clear" w:pos="8306"/>
        <w:tab w:val="left" w:pos="10020"/>
      </w:tabs>
    </w:pPr>
    <w:r w:rsidRPr="00155AD3">
      <w:rPr>
        <w:noProof/>
        <w:sz w:val="20"/>
        <w:szCs w:val="20"/>
      </w:rPr>
      <w:fldChar w:fldCharType="begin"/>
    </w:r>
    <w:r w:rsidRPr="00155AD3">
      <w:rPr>
        <w:noProof/>
        <w:sz w:val="20"/>
        <w:szCs w:val="20"/>
      </w:rPr>
      <w:instrText xml:space="preserve"> FILENAME   \* MERGEFORMAT </w:instrText>
    </w:r>
    <w:r w:rsidRPr="00155AD3">
      <w:rPr>
        <w:noProof/>
        <w:sz w:val="20"/>
        <w:szCs w:val="20"/>
      </w:rPr>
      <w:fldChar w:fldCharType="separate"/>
    </w:r>
    <w:r w:rsidR="000927A8">
      <w:rPr>
        <w:noProof/>
        <w:sz w:val="20"/>
        <w:szCs w:val="20"/>
      </w:rPr>
      <w:t>FMProgP07_111114</w:t>
    </w:r>
    <w:r w:rsidRPr="00155AD3">
      <w:rPr>
        <w:noProof/>
        <w:sz w:val="20"/>
        <w:szCs w:val="20"/>
      </w:rPr>
      <w:fldChar w:fldCharType="end"/>
    </w:r>
    <w:r w:rsidR="000927A8">
      <w:rPr>
        <w:noProof/>
        <w:sz w:val="20"/>
        <w:szCs w:val="20"/>
      </w:rPr>
      <w:t xml:space="preserve">; </w:t>
    </w:r>
    <w:sdt>
      <w:sdtPr>
        <w:rPr>
          <w:noProof/>
          <w:sz w:val="20"/>
          <w:szCs w:val="20"/>
        </w:rPr>
        <w:alias w:val="Title"/>
        <w:tag w:val=""/>
        <w:id w:val="1223175927"/>
        <w:placeholder>
          <w:docPart w:val="89F6020F162B4D4C9F81E1DC94DB7DC0"/>
        </w:placeholder>
        <w:dataBinding w:prefixMappings="xmlns:ns0='http://purl.org/dc/elements/1.1/' xmlns:ns1='http://schemas.openxmlformats.org/package/2006/metadata/core-properties' " w:xpath="/ns1:coreProperties[1]/ns0:title[1]" w:storeItemID="{6C3C8BC8-F283-45AE-878A-BAB7291924A1}"/>
        <w:text/>
      </w:sdtPr>
      <w:sdtEndPr/>
      <w:sdtContent>
        <w:r w:rsidR="000927A8">
          <w:rPr>
            <w:noProof/>
            <w:sz w:val="20"/>
            <w:szCs w:val="20"/>
          </w:rPr>
          <w:t>Koordinācija ar Eiropas Savienības stratēģiju Baltijas jūras reģionam (ESSBJR)</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7A8" w:rsidRDefault="00092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80C" w:rsidRDefault="0026680C" w:rsidP="00D56B40">
      <w:r>
        <w:separator/>
      </w:r>
    </w:p>
  </w:footnote>
  <w:footnote w:type="continuationSeparator" w:id="0">
    <w:p w:rsidR="0026680C" w:rsidRDefault="0026680C" w:rsidP="00D56B40">
      <w:r>
        <w:continuationSeparator/>
      </w:r>
    </w:p>
  </w:footnote>
  <w:footnote w:id="1">
    <w:p w:rsidR="00D56B40" w:rsidRDefault="00D56B40" w:rsidP="00D56B40">
      <w:pPr>
        <w:pStyle w:val="FootnoteText"/>
      </w:pPr>
      <w:r>
        <w:rPr>
          <w:rStyle w:val="FootnoteReference"/>
        </w:rPr>
        <w:footnoteRef/>
      </w:r>
      <w:r>
        <w:t xml:space="preserve"> </w:t>
      </w:r>
      <w:hyperlink r:id="rId1" w:history="1">
        <w:r w:rsidRPr="007643D4">
          <w:rPr>
            <w:rStyle w:val="Hyperlink"/>
          </w:rPr>
          <w:t>http://www.mfa.gov.lv/data/file/REGIO-2013-00811-00-00-LV-TRA-00.pdf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7A8" w:rsidRDefault="000927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56F" w:rsidRDefault="00D56B40" w:rsidP="0010156F">
    <w:pPr>
      <w:pStyle w:val="Header"/>
      <w:tabs>
        <w:tab w:val="clear" w:pos="4153"/>
        <w:tab w:val="clear" w:pos="8306"/>
        <w:tab w:val="left" w:pos="7875"/>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7A8" w:rsidRDefault="000927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3B5533"/>
    <w:multiLevelType w:val="hybridMultilevel"/>
    <w:tmpl w:val="37FACFD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76"/>
    <w:rsid w:val="0001700B"/>
    <w:rsid w:val="000927A8"/>
    <w:rsid w:val="0015395D"/>
    <w:rsid w:val="0026680C"/>
    <w:rsid w:val="003D34D8"/>
    <w:rsid w:val="003F59F5"/>
    <w:rsid w:val="00404E76"/>
    <w:rsid w:val="004B58A9"/>
    <w:rsid w:val="005C3E98"/>
    <w:rsid w:val="006D5CCC"/>
    <w:rsid w:val="007758D2"/>
    <w:rsid w:val="007F32B3"/>
    <w:rsid w:val="00901EDA"/>
    <w:rsid w:val="00A4368E"/>
    <w:rsid w:val="00A84D1B"/>
    <w:rsid w:val="00A95EEF"/>
    <w:rsid w:val="00B4467D"/>
    <w:rsid w:val="00BB60EB"/>
    <w:rsid w:val="00C4083E"/>
    <w:rsid w:val="00CD61EB"/>
    <w:rsid w:val="00D56B40"/>
    <w:rsid w:val="00DA6ED0"/>
    <w:rsid w:val="00DB2E52"/>
    <w:rsid w:val="00E00D08"/>
    <w:rsid w:val="00E74286"/>
    <w:rsid w:val="00EF72EA"/>
    <w:rsid w:val="00F1280E"/>
    <w:rsid w:val="00F42234"/>
    <w:rsid w:val="00F87F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302619-DBC9-45E4-B6D0-2A7CBCFB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B40"/>
    <w:pPr>
      <w:spacing w:after="0" w:line="240" w:lineRule="auto"/>
    </w:pPr>
    <w:rPr>
      <w:rFonts w:ascii="Times New Roman" w:eastAsia="PMingLiU" w:hAnsi="Times New Roman" w:cs="Times New Roman"/>
      <w:sz w:val="24"/>
    </w:rPr>
  </w:style>
  <w:style w:type="paragraph" w:styleId="Heading1">
    <w:name w:val="heading 1"/>
    <w:basedOn w:val="Normal"/>
    <w:next w:val="Normal"/>
    <w:link w:val="Heading1Char"/>
    <w:uiPriority w:val="9"/>
    <w:qFormat/>
    <w:rsid w:val="00D56B40"/>
    <w:pPr>
      <w:keepNext/>
      <w:keepLines/>
      <w:pBdr>
        <w:bottom w:val="single" w:sz="4" w:space="1" w:color="595959"/>
      </w:pBdr>
      <w:spacing w:before="360" w:after="160" w:line="259" w:lineRule="auto"/>
      <w:ind w:left="360" w:hanging="360"/>
      <w:outlineLvl w:val="0"/>
    </w:pPr>
    <w:rPr>
      <w:rFonts w:ascii="Calibri Light" w:eastAsia="Times New Roman" w:hAnsi="Calibri Light"/>
      <w:b/>
      <w:bCs/>
      <w:smallCaps/>
      <w:color w:val="000000"/>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6B40"/>
    <w:rPr>
      <w:rFonts w:ascii="Calibri Light" w:eastAsia="Times New Roman" w:hAnsi="Calibri Light" w:cs="Times New Roman"/>
      <w:b/>
      <w:bCs/>
      <w:smallCaps/>
      <w:color w:val="000000"/>
      <w:sz w:val="36"/>
      <w:szCs w:val="36"/>
      <w:lang w:val="en-US" w:eastAsia="ja-JP"/>
    </w:rPr>
  </w:style>
  <w:style w:type="paragraph" w:styleId="ListParagraph">
    <w:name w:val="List Paragraph"/>
    <w:aliases w:val="2"/>
    <w:basedOn w:val="Normal"/>
    <w:link w:val="ListParagraphChar"/>
    <w:uiPriority w:val="34"/>
    <w:qFormat/>
    <w:rsid w:val="00D56B40"/>
    <w:pPr>
      <w:ind w:left="720"/>
      <w:contextualSpacing/>
    </w:pPr>
  </w:style>
  <w:style w:type="character" w:customStyle="1" w:styleId="ListParagraphChar">
    <w:name w:val="List Paragraph Char"/>
    <w:aliases w:val="2 Char"/>
    <w:link w:val="ListParagraph"/>
    <w:uiPriority w:val="34"/>
    <w:rsid w:val="00D56B40"/>
    <w:rPr>
      <w:rFonts w:ascii="Times New Roman" w:eastAsia="PMingLiU" w:hAnsi="Times New Roman" w:cs="Times New Roman"/>
      <w:sz w:val="24"/>
    </w:rPr>
  </w:style>
  <w:style w:type="paragraph" w:styleId="FootnoteText">
    <w:name w:val="footnote text"/>
    <w:basedOn w:val="Normal"/>
    <w:link w:val="FootnoteTextChar"/>
    <w:uiPriority w:val="99"/>
    <w:semiHidden/>
    <w:unhideWhenUsed/>
    <w:rsid w:val="00D56B40"/>
    <w:rPr>
      <w:sz w:val="20"/>
      <w:szCs w:val="20"/>
    </w:rPr>
  </w:style>
  <w:style w:type="character" w:customStyle="1" w:styleId="FootnoteTextChar">
    <w:name w:val="Footnote Text Char"/>
    <w:basedOn w:val="DefaultParagraphFont"/>
    <w:link w:val="FootnoteText"/>
    <w:uiPriority w:val="99"/>
    <w:semiHidden/>
    <w:rsid w:val="00D56B40"/>
    <w:rPr>
      <w:rFonts w:ascii="Times New Roman" w:eastAsia="PMingLiU" w:hAnsi="Times New Roman" w:cs="Times New Roman"/>
      <w:sz w:val="20"/>
      <w:szCs w:val="20"/>
    </w:rPr>
  </w:style>
  <w:style w:type="character" w:styleId="FootnoteReference">
    <w:name w:val="footnote reference"/>
    <w:basedOn w:val="DefaultParagraphFont"/>
    <w:uiPriority w:val="99"/>
    <w:semiHidden/>
    <w:unhideWhenUsed/>
    <w:rsid w:val="00D56B40"/>
    <w:rPr>
      <w:vertAlign w:val="superscript"/>
    </w:rPr>
  </w:style>
  <w:style w:type="character" w:styleId="Hyperlink">
    <w:name w:val="Hyperlink"/>
    <w:basedOn w:val="DefaultParagraphFont"/>
    <w:uiPriority w:val="99"/>
    <w:unhideWhenUsed/>
    <w:rsid w:val="00D56B40"/>
    <w:rPr>
      <w:color w:val="0563C1" w:themeColor="hyperlink"/>
      <w:u w:val="single"/>
    </w:rPr>
  </w:style>
  <w:style w:type="paragraph" w:customStyle="1" w:styleId="Default">
    <w:name w:val="Default"/>
    <w:rsid w:val="00D56B4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56B40"/>
    <w:pPr>
      <w:tabs>
        <w:tab w:val="center" w:pos="4153"/>
        <w:tab w:val="right" w:pos="8306"/>
      </w:tabs>
    </w:pPr>
  </w:style>
  <w:style w:type="character" w:customStyle="1" w:styleId="HeaderChar">
    <w:name w:val="Header Char"/>
    <w:basedOn w:val="DefaultParagraphFont"/>
    <w:link w:val="Header"/>
    <w:uiPriority w:val="99"/>
    <w:rsid w:val="00D56B40"/>
    <w:rPr>
      <w:rFonts w:ascii="Times New Roman" w:eastAsia="PMingLiU" w:hAnsi="Times New Roman" w:cs="Times New Roman"/>
      <w:sz w:val="24"/>
    </w:rPr>
  </w:style>
  <w:style w:type="paragraph" w:styleId="Footer">
    <w:name w:val="footer"/>
    <w:basedOn w:val="Normal"/>
    <w:link w:val="FooterChar"/>
    <w:uiPriority w:val="99"/>
    <w:unhideWhenUsed/>
    <w:rsid w:val="00D56B40"/>
    <w:pPr>
      <w:tabs>
        <w:tab w:val="center" w:pos="4153"/>
        <w:tab w:val="right" w:pos="8306"/>
      </w:tabs>
    </w:pPr>
  </w:style>
  <w:style w:type="character" w:customStyle="1" w:styleId="FooterChar">
    <w:name w:val="Footer Char"/>
    <w:basedOn w:val="DefaultParagraphFont"/>
    <w:link w:val="Footer"/>
    <w:uiPriority w:val="99"/>
    <w:rsid w:val="00D56B40"/>
    <w:rPr>
      <w:rFonts w:ascii="Times New Roman" w:eastAsia="PMingLiU" w:hAnsi="Times New Roman" w:cs="Times New Roman"/>
      <w:sz w:val="24"/>
    </w:rPr>
  </w:style>
  <w:style w:type="paragraph" w:styleId="NormalWeb">
    <w:name w:val="Normal (Web)"/>
    <w:basedOn w:val="Normal"/>
    <w:unhideWhenUsed/>
    <w:rsid w:val="006D5CCC"/>
    <w:pPr>
      <w:spacing w:before="100" w:beforeAutospacing="1" w:after="100" w:afterAutospacing="1"/>
    </w:pPr>
    <w:rPr>
      <w:rFonts w:eastAsia="Times New Roman"/>
      <w:szCs w:val="24"/>
      <w:lang w:eastAsia="lv-LV"/>
    </w:rPr>
  </w:style>
  <w:style w:type="paragraph" w:styleId="BalloonText">
    <w:name w:val="Balloon Text"/>
    <w:basedOn w:val="Normal"/>
    <w:link w:val="BalloonTextChar"/>
    <w:uiPriority w:val="99"/>
    <w:semiHidden/>
    <w:unhideWhenUsed/>
    <w:rsid w:val="00F87F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FF9"/>
    <w:rPr>
      <w:rFonts w:ascii="Segoe UI" w:eastAsia="PMingLiU" w:hAnsi="Segoe UI" w:cs="Segoe UI"/>
      <w:sz w:val="18"/>
      <w:szCs w:val="18"/>
    </w:rPr>
  </w:style>
  <w:style w:type="character" w:styleId="PlaceholderText">
    <w:name w:val="Placeholder Text"/>
    <w:basedOn w:val="DefaultParagraphFont"/>
    <w:uiPriority w:val="99"/>
    <w:semiHidden/>
    <w:rsid w:val="000927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03541">
      <w:bodyDiv w:val="1"/>
      <w:marLeft w:val="0"/>
      <w:marRight w:val="0"/>
      <w:marTop w:val="0"/>
      <w:marBottom w:val="0"/>
      <w:divBdr>
        <w:top w:val="none" w:sz="0" w:space="0" w:color="auto"/>
        <w:left w:val="none" w:sz="0" w:space="0" w:color="auto"/>
        <w:bottom w:val="none" w:sz="0" w:space="0" w:color="auto"/>
        <w:right w:val="none" w:sz="0" w:space="0" w:color="auto"/>
      </w:divBdr>
    </w:div>
    <w:div w:id="1319772473">
      <w:bodyDiv w:val="1"/>
      <w:marLeft w:val="0"/>
      <w:marRight w:val="0"/>
      <w:marTop w:val="0"/>
      <w:marBottom w:val="0"/>
      <w:divBdr>
        <w:top w:val="none" w:sz="0" w:space="0" w:color="auto"/>
        <w:left w:val="none" w:sz="0" w:space="0" w:color="auto"/>
        <w:bottom w:val="none" w:sz="0" w:space="0" w:color="auto"/>
        <w:right w:val="none" w:sz="0" w:space="0" w:color="auto"/>
      </w:divBdr>
    </w:div>
    <w:div w:id="14721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www.mfa.gov.lv/data/file/REGIO-2013-00811-00-00-LV-TRA-00.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F6020F162B4D4C9F81E1DC94DB7DC0"/>
        <w:category>
          <w:name w:val="General"/>
          <w:gallery w:val="placeholder"/>
        </w:category>
        <w:types>
          <w:type w:val="bbPlcHdr"/>
        </w:types>
        <w:behaviors>
          <w:behavior w:val="content"/>
        </w:behaviors>
        <w:guid w:val="{2FD2F97B-0EF8-4AF8-8C63-3DBDDA7772F1}"/>
      </w:docPartPr>
      <w:docPartBody>
        <w:p w:rsidR="00CE7594" w:rsidRDefault="00EE5F0D">
          <w:r w:rsidRPr="00AB28E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F0D"/>
    <w:rsid w:val="00CE7594"/>
    <w:rsid w:val="00ED5800"/>
    <w:rsid w:val="00EE5F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F0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F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6030</Words>
  <Characters>3438</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Koordinācija ar Eiropas Savienības stratēģiju Baltijas jūras reģionam (ESSBJR)</vt:lpstr>
    </vt:vector>
  </TitlesOfParts>
  <Company/>
  <LinksUpToDate>false</LinksUpToDate>
  <CharactersWithSpaces>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Koordinācija ar Eiropas Savienības stratēģiju Baltijas jūras reģionam (ESSBJR)</dc:title>
  <dc:subject>9.pielikums</dc:subject>
  <dc:creator>Karina.Virse@fm.gov.lv</dc:creator>
  <cp:keywords/>
  <dc:description>K.Virse, 67095479,
Karina.Virse@fm.gov.lv</dc:description>
  <cp:lastModifiedBy>Liene Strēlniece</cp:lastModifiedBy>
  <cp:revision>28</cp:revision>
  <dcterms:created xsi:type="dcterms:W3CDTF">2014-08-21T06:04:00Z</dcterms:created>
  <dcterms:modified xsi:type="dcterms:W3CDTF">2015-01-19T07:26:00Z</dcterms:modified>
</cp:coreProperties>
</file>