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74D3" w:rsidRDefault="003031FA">
      <w:pPr>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Ministru kabineta noteikumu projekta „Grozījumi Ministru kabineta 2012. gada 21.februāra noteikumos Nr. 134 „Personu apliecinošu dokumentu noteikumi”” sākotnējās ietekmes novērtējuma ziņojums (anotācija)</w:t>
      </w:r>
    </w:p>
    <w:p w:rsidR="00F174D3" w:rsidRDefault="00F174D3">
      <w:pPr>
        <w:spacing w:after="0"/>
        <w:jc w:val="center"/>
        <w:rPr>
          <w:rFonts w:ascii="Times New Roman" w:eastAsia="Times New Roman" w:hAnsi="Times New Roman"/>
          <w:b/>
          <w:bCs/>
          <w:sz w:val="24"/>
          <w:szCs w:val="24"/>
          <w:lang w:eastAsia="lv-LV"/>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501"/>
        <w:gridCol w:w="2849"/>
        <w:gridCol w:w="5871"/>
      </w:tblGrid>
      <w:tr w:rsidR="00F174D3">
        <w:trPr>
          <w:trHeight w:val="40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F174D3" w:rsidRDefault="003031FA">
            <w:pPr>
              <w:spacing w:after="0"/>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F174D3">
        <w:trPr>
          <w:trHeight w:val="405"/>
          <w:tblCellSpacing w:w="15" w:type="dxa"/>
        </w:trPr>
        <w:tc>
          <w:tcPr>
            <w:tcW w:w="456"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lang w:eastAsia="lv-LV"/>
              </w:rPr>
            </w:pPr>
            <w:r>
              <w:rPr>
                <w:rFonts w:ascii="Times New Roman" w:eastAsia="Times New Roman" w:hAnsi="Times New Roman"/>
                <w:lang w:eastAsia="lv-LV"/>
              </w:rPr>
              <w:t>1.</w:t>
            </w:r>
          </w:p>
        </w:tc>
        <w:tc>
          <w:tcPr>
            <w:tcW w:w="2819"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5826" w:type="dxa"/>
            <w:tcBorders>
              <w:top w:val="outset" w:sz="6" w:space="0" w:color="auto"/>
              <w:left w:val="outset" w:sz="6" w:space="0" w:color="auto"/>
              <w:bottom w:val="outset" w:sz="6" w:space="0" w:color="auto"/>
              <w:right w:val="outset" w:sz="6" w:space="0" w:color="auto"/>
            </w:tcBorders>
          </w:tcPr>
          <w:p w:rsidR="00F174D3" w:rsidRDefault="003031FA">
            <w:pPr>
              <w:spacing w:after="0"/>
              <w:jc w:val="both"/>
              <w:rPr>
                <w:rFonts w:ascii="Times New Roman" w:eastAsia="Times New Roman" w:hAnsi="Times New Roman"/>
                <w:sz w:val="24"/>
                <w:szCs w:val="24"/>
                <w:lang w:eastAsia="lv-LV"/>
              </w:rPr>
            </w:pPr>
            <w:r>
              <w:rPr>
                <w:rFonts w:ascii="Times New Roman" w:hAnsi="Times New Roman"/>
                <w:sz w:val="24"/>
                <w:szCs w:val="24"/>
              </w:rPr>
              <w:t>Ministru kabineta noteikumu projekta „Grozījumi Ministru kabineta 2012.gada 21.februāra noteikumos Nr.134 „Personu apliecinošu dokumentu noteikumi”” (turpmāk – Projekts) izstrāde ir Iekšlietu ministrijas iniciatīva</w:t>
            </w:r>
          </w:p>
        </w:tc>
      </w:tr>
      <w:tr w:rsidR="00F174D3">
        <w:trPr>
          <w:trHeight w:val="465"/>
          <w:tblCellSpacing w:w="15" w:type="dxa"/>
        </w:trPr>
        <w:tc>
          <w:tcPr>
            <w:tcW w:w="456"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19"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5826" w:type="dxa"/>
            <w:tcBorders>
              <w:top w:val="outset" w:sz="6" w:space="0" w:color="auto"/>
              <w:left w:val="outset" w:sz="6" w:space="0" w:color="auto"/>
              <w:bottom w:val="outset" w:sz="6" w:space="0" w:color="auto"/>
              <w:right w:val="outset" w:sz="6" w:space="0" w:color="auto"/>
            </w:tcBorders>
          </w:tcPr>
          <w:p w:rsidR="00F174D3" w:rsidRDefault="003031FA">
            <w:pPr>
              <w:autoSpaceDE w:val="0"/>
              <w:ind w:left="141" w:right="160"/>
              <w:jc w:val="both"/>
              <w:rPr>
                <w:rFonts w:ascii="Times New Roman" w:hAnsi="Times New Roman"/>
                <w:sz w:val="24"/>
                <w:szCs w:val="24"/>
              </w:rPr>
            </w:pPr>
            <w:r>
              <w:rPr>
                <w:rFonts w:ascii="Times New Roman" w:hAnsi="Times New Roman"/>
                <w:sz w:val="24"/>
                <w:szCs w:val="24"/>
              </w:rPr>
              <w:t xml:space="preserve">Projekts izstrādāts pašlaik spēkā esošos Ministru kabineta 2012.gada 21.februāra noteikumu Nr.134 „Personu apliecinošu dokumentu noteikumi” (turpmāk – Noteikumi) precizēšanai, kā arī lai no 2015.gada 26.janvāra varētu uzsākt jauna parauga pilsoņu pasu izsniegšanu. </w:t>
            </w:r>
          </w:p>
          <w:p w:rsidR="00F174D3" w:rsidRDefault="003031FA">
            <w:pPr>
              <w:pStyle w:val="NoSpacing"/>
              <w:numPr>
                <w:ilvl w:val="0"/>
                <w:numId w:val="1"/>
              </w:numPr>
              <w:tabs>
                <w:tab w:val="left" w:pos="850"/>
              </w:tabs>
              <w:autoSpaceDE w:val="0"/>
              <w:ind w:left="141" w:right="142" w:firstLine="284"/>
              <w:jc w:val="both"/>
              <w:rPr>
                <w:rFonts w:ascii="Times New Roman" w:hAnsi="Times New Roman"/>
                <w:sz w:val="24"/>
                <w:szCs w:val="24"/>
              </w:rPr>
            </w:pPr>
            <w:r>
              <w:rPr>
                <w:rFonts w:ascii="Times New Roman" w:hAnsi="Times New Roman"/>
                <w:sz w:val="24"/>
                <w:szCs w:val="24"/>
              </w:rPr>
              <w:t>Noteikumu 40.punktā noteikts, ja personu apliecinoša dokumenta izsniegšanai nepieciešamos dokumentus persona iesniedz vai uzrāda Latvijas pārstāvniecībā, personu apliecinošu dokumentu sagatavo izsniegšanai desmit vai divās darbdienās</w:t>
            </w:r>
            <w:proofErr w:type="gramStart"/>
            <w:r>
              <w:rPr>
                <w:rFonts w:ascii="Times New Roman" w:hAnsi="Times New Roman"/>
                <w:sz w:val="24"/>
                <w:szCs w:val="24"/>
              </w:rPr>
              <w:t xml:space="preserve">  </w:t>
            </w:r>
            <w:proofErr w:type="gramEnd"/>
            <w:r>
              <w:rPr>
                <w:rFonts w:ascii="Times New Roman" w:hAnsi="Times New Roman"/>
                <w:sz w:val="24"/>
                <w:szCs w:val="24"/>
              </w:rPr>
              <w:t>pēc tam, kad nepieciešamie dokumenti saņemti Pārvaldē. Dokumenti no Latvijas pārstāvniecībām uz Latviju un sagatavotie personu apliecinošie dokumenti uz Latvijas pārstāvniecību tiek nogādāti ar diplomātisko pastu, kas var aizņemt vairākus mēnešus, ievērojami paildzinot laiku personu apliecinoša dokumenta saņemšanai, atrodoties ārvalstīs.</w:t>
            </w:r>
          </w:p>
          <w:p w:rsidR="00F174D3" w:rsidRDefault="003031FA">
            <w:pPr>
              <w:pStyle w:val="ListParagraph"/>
              <w:numPr>
                <w:ilvl w:val="0"/>
                <w:numId w:val="1"/>
              </w:numPr>
              <w:tabs>
                <w:tab w:val="left" w:pos="906"/>
              </w:tabs>
              <w:suppressAutoHyphens/>
              <w:autoSpaceDE w:val="0"/>
              <w:spacing w:after="0"/>
              <w:ind w:left="141" w:right="160" w:firstLine="426"/>
              <w:jc w:val="both"/>
              <w:rPr>
                <w:rFonts w:ascii="Times New Roman" w:hAnsi="Times New Roman"/>
                <w:sz w:val="24"/>
                <w:szCs w:val="24"/>
              </w:rPr>
            </w:pPr>
            <w:r>
              <w:rPr>
                <w:rFonts w:ascii="Times New Roman" w:hAnsi="Times New Roman"/>
                <w:sz w:val="24"/>
                <w:szCs w:val="24"/>
              </w:rPr>
              <w:t xml:space="preserve">Saskaņā ar Noteikumu 23.6.apakšpunktu gadījumos, kad persona vēlas, lai pasē vai personas apliecībā tiktu iekļauta personvārda vai dzimtas uzvārda vēsturiskā forma vai personvārda citas valodas oriģinālforma </w:t>
            </w:r>
            <w:proofErr w:type="spellStart"/>
            <w:r>
              <w:rPr>
                <w:rFonts w:ascii="Times New Roman" w:hAnsi="Times New Roman"/>
                <w:sz w:val="24"/>
                <w:szCs w:val="24"/>
              </w:rPr>
              <w:t>latīņalfabētiskajā</w:t>
            </w:r>
            <w:proofErr w:type="spellEnd"/>
            <w:r>
              <w:rPr>
                <w:rFonts w:ascii="Times New Roman" w:hAnsi="Times New Roman"/>
                <w:sz w:val="24"/>
                <w:szCs w:val="24"/>
              </w:rPr>
              <w:t xml:space="preserve"> transliterācijā un minētā atšķirība nav norādīta Iedzīvotāju reģistrā vai iepriekšējā pasē, vai personas apliecībā, personai jāiesniedz personvārda rakstības atšķirību apliecinošs dokuments. Tiesību aktos nav noteikts, tieši kādi dokumenti apliecina personvārda vai dzimtas uzvārda vēsturisko formu vai personvārda oriģinālformu, tādēļ itin bieži rodas situācijas, kad personas iesniedz dokumentus, dokumentu tulkojumus vai kopijas, kas īstenībā nemaz neapliecina personvārda oriģinālformu. Pašreizējo tiesību aktu normas šajā jomā ir ļoti nenoteiktas un vispārīgas, un tas maldina personas, kas vēlas personu apliecinošā dokumentā ierakstu par sava personvārda vai dzimtas uzvārda vēsturisko formu vai </w:t>
            </w:r>
            <w:r>
              <w:rPr>
                <w:rFonts w:ascii="Times New Roman" w:hAnsi="Times New Roman"/>
                <w:sz w:val="24"/>
                <w:szCs w:val="24"/>
              </w:rPr>
              <w:lastRenderedPageBreak/>
              <w:t>personvārda citas valodas oriģinālformu.</w:t>
            </w:r>
          </w:p>
          <w:p w:rsidR="00F174D3" w:rsidRDefault="003031FA">
            <w:pPr>
              <w:pStyle w:val="ListParagraph"/>
              <w:numPr>
                <w:ilvl w:val="0"/>
                <w:numId w:val="1"/>
              </w:numPr>
              <w:tabs>
                <w:tab w:val="left" w:pos="906"/>
              </w:tabs>
              <w:suppressAutoHyphens/>
              <w:autoSpaceDE w:val="0"/>
              <w:spacing w:after="0"/>
              <w:ind w:left="141" w:right="160" w:firstLine="426"/>
              <w:jc w:val="both"/>
              <w:rPr>
                <w:rFonts w:ascii="Times New Roman" w:hAnsi="Times New Roman"/>
                <w:sz w:val="24"/>
                <w:szCs w:val="24"/>
              </w:rPr>
            </w:pPr>
            <w:r>
              <w:rPr>
                <w:rFonts w:ascii="Times New Roman" w:hAnsi="Times New Roman"/>
                <w:sz w:val="24"/>
                <w:szCs w:val="24"/>
              </w:rPr>
              <w:t xml:space="preserve">Personu apliecinošu dokumentu aizsardzība pret viltošanu to dzīvescikla laikā samazinās, tāpēc, lai mazinātu tos riskus, kas saistās ar viltotu dokumentu izmantošanu, personu apliecinošu dokumentu paraugs periodiski ir jāuzlabo, mainot dizainu un ieviešot jaunākas paaudzes aizsarglīdzekļus. Pašreizējā parauga pases tika uzsākts izsniegt 2007.gada 20.novembrī, un rekomendējamais laiks viena parauga dokumentu izsniegšanai ir 5 – 7 gadi, tāpēc jau 2012.gadā Pārvalde uzsākta darbu pie jauna parauga pasu ieviešanas. </w:t>
            </w:r>
          </w:p>
          <w:p w:rsidR="00F174D3" w:rsidRDefault="003031FA">
            <w:pPr>
              <w:tabs>
                <w:tab w:val="left" w:pos="906"/>
              </w:tabs>
              <w:suppressAutoHyphens/>
              <w:autoSpaceDE w:val="0"/>
              <w:spacing w:after="0"/>
              <w:ind w:left="141" w:right="160"/>
              <w:jc w:val="both"/>
              <w:rPr>
                <w:rFonts w:ascii="Times New Roman" w:hAnsi="Times New Roman"/>
                <w:sz w:val="24"/>
                <w:szCs w:val="24"/>
              </w:rPr>
            </w:pPr>
            <w:r>
              <w:rPr>
                <w:rFonts w:ascii="Times New Roman" w:hAnsi="Times New Roman"/>
                <w:sz w:val="24"/>
                <w:szCs w:val="24"/>
              </w:rPr>
              <w:t>Jaunā parauga pases arī nodrošinās Eiropas Komisijas 2013.gada 30.septembra īstenošanas lēmuma C(2013) 6181, ar ko groza Komisijas Lēmumu C (2006) 2909 (galīgā redakcija), ar kuru nosaka tehniskās specifikācijas drošības elementu un biometrijas standartiem dalībvalstu izdotās pasēs un ceļošanas dokumentos, un Komisijas Lēmumu C (2008) 8657, ar kuru izveido sertifikātu politiku, kā prasīts tehniskajās specifikācijas drošības elementu un biometrijas standartiem dalībvalstu izdotās pasēs un ceļošanas dokumentos, un atjaunina normatīvos atsauces dokumentus, izpildi. Tas paredz, ka dalībvalstīm ir jānodrošina, ka visi elektroniskie mašīnlasāmie ceļošanas dokumenti, kas izsniegti pēc 2014.gada 31.decembra, atbalsta jaunu bezkontakta mikroshēmā iekļauto elektronisko datu aizsardzības mehānismu (“Papildinātā pieejas kontrole”) ar precizētām funkcionālajām un nefunkcionālajām (drošības) prasībām, un ir sertificēti atbilstoši lēmumā minētajam jaunākajam aizsardzības profilam (Kopējo kritēriju aizsardzības profils mašīnlasāmam ceļošanas dokumentam ar „ICAO lietojumu”, papildinātā piekļuves kontrole ar PACE, BSI-CC-PP-0056-V2-2012).</w:t>
            </w:r>
          </w:p>
          <w:p w:rsidR="00F174D3" w:rsidRDefault="003031FA">
            <w:pPr>
              <w:tabs>
                <w:tab w:val="left" w:pos="906"/>
              </w:tabs>
              <w:suppressAutoHyphens/>
              <w:autoSpaceDE w:val="0"/>
              <w:spacing w:after="0"/>
              <w:ind w:left="141" w:right="160"/>
              <w:jc w:val="both"/>
              <w:rPr>
                <w:rFonts w:ascii="Times New Roman" w:hAnsi="Times New Roman"/>
                <w:sz w:val="24"/>
                <w:szCs w:val="24"/>
              </w:rPr>
            </w:pPr>
            <w:r>
              <w:rPr>
                <w:rFonts w:ascii="Times New Roman" w:hAnsi="Times New Roman"/>
                <w:sz w:val="24"/>
                <w:szCs w:val="24"/>
              </w:rPr>
              <w:t>2015.gada 26.janvārī ir plānots uzsākt jauna parauga pilsoņu pasu izsniegšana, bet šo pasu paraugus nosaka Ministru kabinets, ar Noteikumu 2.pielikumu. Tuvāko mēnešu laikā, atbilstoši pašreizējā parauga pasu sagatavju izlietojumam, tiks veikta arī pārējo pasu veidu (Latvijas nepilsoņu, bezvalstnieku, bēgļu un personu, kurām noteikts alternatīvais statuss) paraugu maiņa.</w:t>
            </w:r>
          </w:p>
          <w:p w:rsidR="00F174D3" w:rsidRDefault="00F174D3">
            <w:pPr>
              <w:pStyle w:val="ListParagraph"/>
              <w:tabs>
                <w:tab w:val="left" w:pos="906"/>
              </w:tabs>
              <w:suppressAutoHyphens/>
              <w:autoSpaceDE w:val="0"/>
              <w:spacing w:after="0"/>
              <w:ind w:left="567" w:right="160"/>
              <w:jc w:val="both"/>
              <w:rPr>
                <w:rFonts w:ascii="Times New Roman" w:hAnsi="Times New Roman"/>
                <w:sz w:val="24"/>
                <w:szCs w:val="24"/>
              </w:rPr>
            </w:pPr>
          </w:p>
          <w:p w:rsidR="00F174D3" w:rsidRDefault="003031FA">
            <w:pPr>
              <w:ind w:left="141" w:right="26"/>
              <w:jc w:val="both"/>
              <w:rPr>
                <w:rFonts w:ascii="Times New Roman" w:hAnsi="Times New Roman"/>
                <w:sz w:val="24"/>
                <w:szCs w:val="24"/>
              </w:rPr>
            </w:pPr>
            <w:r>
              <w:rPr>
                <w:rFonts w:ascii="Times New Roman" w:hAnsi="Times New Roman"/>
                <w:sz w:val="24"/>
                <w:szCs w:val="24"/>
              </w:rPr>
              <w:t>Projekts izstrādāts ar mērķi risināt iepriekšminētos jautājumus. Tālāk – detalizētāks Projekta apraksts.</w:t>
            </w:r>
          </w:p>
          <w:p w:rsidR="00F174D3" w:rsidRDefault="003031FA">
            <w:pPr>
              <w:ind w:left="141" w:right="160"/>
              <w:jc w:val="both"/>
              <w:rPr>
                <w:rFonts w:ascii="Times New Roman" w:hAnsi="Times New Roman"/>
                <w:sz w:val="24"/>
                <w:szCs w:val="24"/>
              </w:rPr>
            </w:pPr>
            <w:r>
              <w:rPr>
                <w:rFonts w:ascii="Times New Roman" w:hAnsi="Times New Roman"/>
                <w:sz w:val="24"/>
                <w:szCs w:val="24"/>
              </w:rPr>
              <w:t xml:space="preserve">Projekts paredz svītrot Noteikumu 8.punktā teikumu par to, ka personvārda vai dzimtas uzvārda rakstības atšķirību persona apliecina dokumentāri, ja tā nav norādīta Iedzīvotāju reģistrā vai iepriekšējā personu </w:t>
            </w:r>
            <w:r>
              <w:rPr>
                <w:rFonts w:ascii="Times New Roman" w:hAnsi="Times New Roman"/>
                <w:sz w:val="24"/>
                <w:szCs w:val="24"/>
              </w:rPr>
              <w:lastRenderedPageBreak/>
              <w:t>apliecinošā dokumentā, jo šī norma pilnīgāk un precīzāk ir iekļauta projekta 1.4. un 1.5.punktā.</w:t>
            </w:r>
          </w:p>
          <w:p w:rsidR="00F174D3" w:rsidRDefault="003031FA">
            <w:pPr>
              <w:ind w:left="141" w:right="160"/>
              <w:jc w:val="both"/>
              <w:rPr>
                <w:rFonts w:ascii="Times New Roman" w:hAnsi="Times New Roman"/>
                <w:sz w:val="24"/>
                <w:szCs w:val="24"/>
              </w:rPr>
            </w:pPr>
            <w:r>
              <w:rPr>
                <w:rFonts w:ascii="Times New Roman" w:hAnsi="Times New Roman"/>
                <w:sz w:val="24"/>
                <w:szCs w:val="24"/>
              </w:rPr>
              <w:t>Projekts paredz, ka turpmāk personai būs jāiesniedz fotogrāfija, kas izgatavota atbilstoši prasībām, lai sagatavotu iesniegumu, arī gadījumā, ja Latvijas pārstāvniecībā nav nodrošināta iespēja personu nofotografēt.</w:t>
            </w:r>
          </w:p>
          <w:p w:rsidR="00F174D3" w:rsidRDefault="003031FA">
            <w:pPr>
              <w:ind w:left="141" w:right="160"/>
              <w:jc w:val="both"/>
              <w:rPr>
                <w:rFonts w:ascii="Times New Roman" w:hAnsi="Times New Roman"/>
                <w:sz w:val="24"/>
                <w:szCs w:val="24"/>
              </w:rPr>
            </w:pPr>
            <w:r>
              <w:rPr>
                <w:rFonts w:ascii="Times New Roman" w:hAnsi="Times New Roman"/>
                <w:sz w:val="24"/>
                <w:szCs w:val="24"/>
              </w:rPr>
              <w:t xml:space="preserve">Projekts paredz papildināt Noteikumus 18.punktu ar jaunām normām, kas nosaka, ka Latvijas pārstāvniecība sagatavoto pasi vai personas apliecību, kurā nav iekļauti sertifikāti, personai, kura uzturas ārvalstī un ir informējusi pārstāvniecību, ka objektīvu iemeslu dēļ (piemēram, veselības stāvokļa vai dzīvesvietas attāluma dēļ) nevar ierasties pārstāvniecībā, var nosūtīt pa pastu ar drošu ierakstītu sūtījumu, tādejādi samazinot administratīvo slogu tām personām, kam personu apliecinošu dokumentu izsniedz ārvalstīs. Regulējumu, kurā brīdī informācija par personu apliecinoša dokumenta izsniegšanu tiek ievadīta Personu apliecinošu dokumentu sistēmā, paredzēts noteikt ar iekšējā normatīvajā aktu – </w:t>
            </w:r>
            <w:proofErr w:type="gramStart"/>
            <w:r>
              <w:rPr>
                <w:rFonts w:ascii="Times New Roman" w:hAnsi="Times New Roman"/>
                <w:sz w:val="24"/>
                <w:szCs w:val="24"/>
              </w:rPr>
              <w:t>līdzīgi,</w:t>
            </w:r>
            <w:proofErr w:type="gramEnd"/>
            <w:r>
              <w:rPr>
                <w:rFonts w:ascii="Times New Roman" w:hAnsi="Times New Roman"/>
                <w:sz w:val="24"/>
                <w:szCs w:val="24"/>
              </w:rPr>
              <w:t xml:space="preserve"> kā tas ir gadījumos, kad persona jaunu personu apliecinošu dokumentu saņem Pārvaldes teritoriālajā nodaļā Latvijā. </w:t>
            </w:r>
          </w:p>
          <w:p w:rsidR="00F174D3" w:rsidRDefault="003031FA">
            <w:pPr>
              <w:ind w:left="141" w:right="160"/>
              <w:jc w:val="both"/>
              <w:rPr>
                <w:rFonts w:ascii="Times New Roman" w:hAnsi="Times New Roman"/>
                <w:sz w:val="24"/>
                <w:szCs w:val="24"/>
              </w:rPr>
            </w:pPr>
            <w:r>
              <w:rPr>
                <w:rFonts w:ascii="Times New Roman" w:hAnsi="Times New Roman"/>
                <w:sz w:val="24"/>
                <w:szCs w:val="24"/>
              </w:rPr>
              <w:t xml:space="preserve">Projektā precizēts Noteikumu 23.6.apakšpunkts nosakot, kādi dokumenti personai jāuzrāda gadījumā, ja viņa vēlas, lai personu apliecinošā dokumentā tiktu iekļauta personvārda citas valodas oriģinālforma </w:t>
            </w:r>
            <w:proofErr w:type="spellStart"/>
            <w:r>
              <w:rPr>
                <w:rFonts w:ascii="Times New Roman" w:hAnsi="Times New Roman"/>
                <w:sz w:val="24"/>
                <w:szCs w:val="24"/>
              </w:rPr>
              <w:t>latīņalfabētiskajā</w:t>
            </w:r>
            <w:proofErr w:type="spellEnd"/>
            <w:r>
              <w:rPr>
                <w:rFonts w:ascii="Times New Roman" w:hAnsi="Times New Roman"/>
                <w:sz w:val="24"/>
                <w:szCs w:val="24"/>
              </w:rPr>
              <w:t xml:space="preserve"> transliterācijā, kā arī Projekts paredz papildināt Noteikumu 23.punktu ar jaunu apakšpunktu, kurā noteiktas normas attiecībā uz personvārda vai dzimtas uzvārda vēsturiskā formas ierakstu personu apliecinošā dokumentā.</w:t>
            </w:r>
          </w:p>
          <w:p w:rsidR="00F174D3" w:rsidRDefault="003031FA">
            <w:pPr>
              <w:ind w:left="141" w:right="160"/>
              <w:jc w:val="both"/>
              <w:rPr>
                <w:rFonts w:ascii="Times New Roman" w:hAnsi="Times New Roman"/>
                <w:sz w:val="24"/>
                <w:szCs w:val="24"/>
              </w:rPr>
            </w:pPr>
            <w:r>
              <w:rPr>
                <w:rFonts w:ascii="Times New Roman" w:hAnsi="Times New Roman"/>
                <w:sz w:val="24"/>
                <w:szCs w:val="24"/>
              </w:rPr>
              <w:t>Projekta 1.6. un 1.7.apakšpunktos precizētas tehniskās iespējas personas paraksta iegūšanai, paredzot iespēju personai parakstīties uz paraksta attēla iegūšanas aparatūras sensora, jo Pārvalde plāno veikt personu apliecinošu dokumentu izsniegšanas darbavietas aprīkojuma nomaiņu, izmantojot arī jauna veida aparatūru un programmatūru personas paraksta attēla iegūšanai.</w:t>
            </w:r>
          </w:p>
          <w:p w:rsidR="00F174D3" w:rsidRDefault="003031FA">
            <w:pPr>
              <w:ind w:left="141" w:right="160"/>
              <w:jc w:val="both"/>
              <w:rPr>
                <w:rFonts w:ascii="Times New Roman" w:hAnsi="Times New Roman"/>
                <w:sz w:val="24"/>
                <w:szCs w:val="24"/>
              </w:rPr>
            </w:pPr>
            <w:r>
              <w:rPr>
                <w:rFonts w:ascii="Times New Roman" w:hAnsi="Times New Roman"/>
                <w:sz w:val="24"/>
                <w:szCs w:val="24"/>
              </w:rPr>
              <w:t>Projekts paredz precizēt Noteikumu 30.punktu, atceļot līdz šim noteikto nepieciešamību personai iesniegumā jauna personu apliecinoša dokumenta izsniegšanai rakstiski norādīt, ka viņa piekrīt iesniegumā iekļautajām ziņām, tādējādi kaut nedaudz, bet samazinot administratīvo slogu un laiku, kas nepieciešams viena klienta apkalpošanai.</w:t>
            </w:r>
          </w:p>
          <w:p w:rsidR="00F174D3" w:rsidRDefault="003031FA">
            <w:pPr>
              <w:ind w:left="141" w:right="160"/>
              <w:jc w:val="both"/>
              <w:rPr>
                <w:rFonts w:ascii="Times New Roman" w:hAnsi="Times New Roman"/>
                <w:sz w:val="24"/>
                <w:szCs w:val="24"/>
              </w:rPr>
            </w:pPr>
            <w:r>
              <w:rPr>
                <w:rFonts w:ascii="Times New Roman" w:hAnsi="Times New Roman"/>
                <w:sz w:val="24"/>
                <w:szCs w:val="24"/>
              </w:rPr>
              <w:lastRenderedPageBreak/>
              <w:t xml:space="preserve">Projekts paredz precizēt Noteikumu 40.punktu, nosakot, ka personu apliecinoši dokumenti personām, kas to saņemšanai pieteikušās Latvijas pārstāvniecībās, tiek izgatavoti desmit vai divu darba dienu laikā pēc tam, kad nepieciešamie dokumenti saņemti Pārvaldē tikai tādā gadījumā, kad iepriekšējais personu apliecinošais dokuments ir zudis. </w:t>
            </w:r>
            <w:r w:rsidRPr="000A2ED7">
              <w:rPr>
                <w:rFonts w:ascii="Times New Roman" w:hAnsi="Times New Roman"/>
                <w:sz w:val="24"/>
                <w:szCs w:val="24"/>
              </w:rPr>
              <w:t>Citos gadījumos jauna personu apliecinoša dokumenta izgatavošana turpmāk tiks uzsākta tūlīt pēc personas iesnieguma jauna personu apliecinoša dokumenta izsniegšanai sagatavošanas Personu apliecinošu dokumentu informācijas sistēmā un tā parakstīšanas – negaidot papīra formāta iesnieguma saņemšanu no Latvijas pārstāvniecības, respektīvi – pārējos gadījumos personu apliecinoša dokumenta izgatavošanas termiņš noteikts Noteikumu 38.punktā.</w:t>
            </w:r>
            <w:r>
              <w:rPr>
                <w:rFonts w:ascii="Times New Roman" w:hAnsi="Times New Roman"/>
                <w:sz w:val="24"/>
                <w:szCs w:val="24"/>
              </w:rPr>
              <w:t xml:space="preserve"> Tas atvieglos un paātrinās jauna personu apliecinoša dokumenta saņemšanu Latvijas valstspiederīgajam uzturoties ārvalstī.</w:t>
            </w:r>
          </w:p>
          <w:p w:rsidR="00F174D3" w:rsidRDefault="003031FA">
            <w:pPr>
              <w:ind w:left="141" w:right="160"/>
              <w:jc w:val="both"/>
              <w:rPr>
                <w:rFonts w:ascii="Times New Roman" w:hAnsi="Times New Roman"/>
                <w:sz w:val="24"/>
                <w:szCs w:val="24"/>
              </w:rPr>
            </w:pPr>
            <w:r>
              <w:rPr>
                <w:rFonts w:ascii="Times New Roman" w:hAnsi="Times New Roman"/>
                <w:sz w:val="24"/>
                <w:szCs w:val="24"/>
              </w:rPr>
              <w:t>Projekts nosaka, ka neizsniegtu personu apliecinošu dokumentu pārvalde glabā divus gadus un tad iznīcina, šobrīd glabā vienu gadu.</w:t>
            </w:r>
          </w:p>
          <w:p w:rsidR="00F174D3" w:rsidRDefault="003031FA">
            <w:pPr>
              <w:ind w:left="141" w:right="160"/>
              <w:jc w:val="both"/>
              <w:rPr>
                <w:rFonts w:ascii="Times New Roman" w:hAnsi="Times New Roman"/>
                <w:sz w:val="24"/>
                <w:szCs w:val="24"/>
              </w:rPr>
            </w:pPr>
            <w:r>
              <w:rPr>
                <w:rFonts w:ascii="Times New Roman" w:hAnsi="Times New Roman"/>
                <w:sz w:val="24"/>
                <w:szCs w:val="24"/>
              </w:rPr>
              <w:t>Projekts izsaka 2.pielikumu jaunā redakcijā, nosakot jaunā parauga pilsoņu pasu saturu un paraugus.</w:t>
            </w:r>
          </w:p>
        </w:tc>
      </w:tr>
      <w:tr w:rsidR="00F174D3">
        <w:trPr>
          <w:trHeight w:val="465"/>
          <w:tblCellSpacing w:w="15" w:type="dxa"/>
        </w:trPr>
        <w:tc>
          <w:tcPr>
            <w:tcW w:w="456"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lang w:eastAsia="lv-LV"/>
              </w:rPr>
            </w:pPr>
            <w:r>
              <w:rPr>
                <w:rFonts w:ascii="Times New Roman" w:eastAsia="Times New Roman" w:hAnsi="Times New Roman"/>
                <w:lang w:eastAsia="lv-LV"/>
              </w:rPr>
              <w:lastRenderedPageBreak/>
              <w:t>3.</w:t>
            </w:r>
          </w:p>
        </w:tc>
        <w:tc>
          <w:tcPr>
            <w:tcW w:w="2819"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w:t>
            </w:r>
          </w:p>
        </w:tc>
        <w:tc>
          <w:tcPr>
            <w:tcW w:w="5826" w:type="dxa"/>
            <w:tcBorders>
              <w:top w:val="outset" w:sz="6" w:space="0" w:color="auto"/>
              <w:left w:val="outset" w:sz="6" w:space="0" w:color="auto"/>
              <w:bottom w:val="outset" w:sz="6" w:space="0" w:color="auto"/>
              <w:right w:val="outset" w:sz="6" w:space="0" w:color="auto"/>
            </w:tcBorders>
          </w:tcPr>
          <w:p w:rsidR="00F174D3" w:rsidRDefault="003031FA">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Pilsonības un migrācijas lietu pārvalde.</w:t>
            </w:r>
          </w:p>
          <w:p w:rsidR="00F174D3" w:rsidRDefault="003031FA">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Ārlietu ministrija – attiecībā uz normām par personu apliecinošu dokumentu izsniegšanu Latvijas valstspiederīgajiem, kas uzturas ārvalstīs.</w:t>
            </w:r>
          </w:p>
          <w:p w:rsidR="00F174D3" w:rsidRDefault="00F174D3">
            <w:pPr>
              <w:spacing w:after="0"/>
              <w:jc w:val="both"/>
              <w:rPr>
                <w:rFonts w:ascii="Times New Roman" w:eastAsia="Times New Roman" w:hAnsi="Times New Roman"/>
                <w:sz w:val="24"/>
                <w:szCs w:val="24"/>
                <w:lang w:eastAsia="lv-LV"/>
              </w:rPr>
            </w:pPr>
          </w:p>
        </w:tc>
      </w:tr>
      <w:tr w:rsidR="00F174D3">
        <w:trPr>
          <w:tblCellSpacing w:w="15" w:type="dxa"/>
        </w:trPr>
        <w:tc>
          <w:tcPr>
            <w:tcW w:w="456"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lang w:eastAsia="lv-LV"/>
              </w:rPr>
            </w:pPr>
            <w:r>
              <w:rPr>
                <w:rFonts w:ascii="Times New Roman" w:eastAsia="Times New Roman" w:hAnsi="Times New Roman"/>
                <w:lang w:eastAsia="lv-LV"/>
              </w:rPr>
              <w:t>4.</w:t>
            </w:r>
          </w:p>
        </w:tc>
        <w:tc>
          <w:tcPr>
            <w:tcW w:w="2819"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826"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p w:rsidR="00F174D3" w:rsidRDefault="00F174D3">
            <w:pPr>
              <w:spacing w:after="0"/>
              <w:rPr>
                <w:rFonts w:ascii="Times New Roman" w:eastAsia="Times New Roman" w:hAnsi="Times New Roman"/>
                <w:sz w:val="24"/>
                <w:szCs w:val="24"/>
                <w:lang w:eastAsia="lv-LV"/>
              </w:rPr>
            </w:pPr>
          </w:p>
        </w:tc>
      </w:tr>
    </w:tbl>
    <w:p w:rsidR="00F174D3" w:rsidRDefault="003031FA">
      <w:pPr>
        <w:spacing w:after="0"/>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500"/>
        <w:gridCol w:w="2851"/>
        <w:gridCol w:w="5870"/>
      </w:tblGrid>
      <w:tr w:rsidR="00F174D3">
        <w:trPr>
          <w:trHeight w:val="55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F174D3" w:rsidRDefault="003031FA">
            <w:pPr>
              <w:spacing w:after="0"/>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F174D3">
        <w:trPr>
          <w:trHeight w:val="465"/>
          <w:tblCellSpacing w:w="15" w:type="dxa"/>
        </w:trPr>
        <w:tc>
          <w:tcPr>
            <w:tcW w:w="455"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821"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5825" w:type="dxa"/>
            <w:tcBorders>
              <w:top w:val="outset" w:sz="6" w:space="0" w:color="auto"/>
              <w:left w:val="outset" w:sz="6" w:space="0" w:color="auto"/>
              <w:bottom w:val="outset" w:sz="6" w:space="0" w:color="auto"/>
              <w:right w:val="outset" w:sz="6" w:space="0" w:color="auto"/>
            </w:tcBorders>
          </w:tcPr>
          <w:p w:rsidR="00F174D3" w:rsidRDefault="003031FA">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Latvijas pilsoņi, kas saņem jaunas pases – 250 līdz 350 tūkstoši gadā</w:t>
            </w:r>
          </w:p>
          <w:p w:rsidR="00F174D3" w:rsidRDefault="003031FA">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Latvijas pilsoņi un nepilsoņi, kas jaunus personu apliecinošus dokumentus saņem ārvalstīs – 25 - 28 tūkstoši gadā.</w:t>
            </w:r>
          </w:p>
          <w:p w:rsidR="00F174D3" w:rsidRDefault="003031FA">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kas vēlas personu apliecinošos dokumentos</w:t>
            </w:r>
            <w:proofErr w:type="gramStart"/>
            <w:r>
              <w:rPr>
                <w:rFonts w:ascii="Times New Roman" w:eastAsia="Times New Roman" w:hAnsi="Times New Roman"/>
                <w:sz w:val="24"/>
                <w:szCs w:val="24"/>
                <w:lang w:eastAsia="lv-LV"/>
              </w:rPr>
              <w:t xml:space="preserve">  </w:t>
            </w:r>
            <w:proofErr w:type="gramEnd"/>
            <w:r>
              <w:rPr>
                <w:rFonts w:ascii="Times New Roman" w:eastAsia="Times New Roman" w:hAnsi="Times New Roman"/>
                <w:sz w:val="24"/>
                <w:szCs w:val="24"/>
                <w:lang w:eastAsia="lv-LV"/>
              </w:rPr>
              <w:t xml:space="preserve">ierakstus par personvārda citas valodas oriģinālformas </w:t>
            </w:r>
            <w:proofErr w:type="spellStart"/>
            <w:r>
              <w:rPr>
                <w:rFonts w:ascii="Times New Roman" w:eastAsia="Times New Roman" w:hAnsi="Times New Roman"/>
                <w:sz w:val="24"/>
                <w:szCs w:val="24"/>
                <w:lang w:eastAsia="lv-LV"/>
              </w:rPr>
              <w:t>latīņalfabētisko</w:t>
            </w:r>
            <w:proofErr w:type="spellEnd"/>
            <w:r>
              <w:rPr>
                <w:rFonts w:ascii="Times New Roman" w:eastAsia="Times New Roman" w:hAnsi="Times New Roman"/>
                <w:sz w:val="24"/>
                <w:szCs w:val="24"/>
                <w:lang w:eastAsia="lv-LV"/>
              </w:rPr>
              <w:t xml:space="preserve"> rakstību vai personvārda vēsturisko formu – līdz 10 tūkstošiem gadā.</w:t>
            </w:r>
          </w:p>
        </w:tc>
      </w:tr>
      <w:tr w:rsidR="00F174D3">
        <w:trPr>
          <w:trHeight w:val="510"/>
          <w:tblCellSpacing w:w="15" w:type="dxa"/>
        </w:trPr>
        <w:tc>
          <w:tcPr>
            <w:tcW w:w="455"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21"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825" w:type="dxa"/>
            <w:tcBorders>
              <w:top w:val="outset" w:sz="6" w:space="0" w:color="auto"/>
              <w:left w:val="outset" w:sz="6" w:space="0" w:color="auto"/>
              <w:bottom w:val="outset" w:sz="6" w:space="0" w:color="auto"/>
              <w:right w:val="outset" w:sz="6" w:space="0" w:color="auto"/>
            </w:tcBorders>
          </w:tcPr>
          <w:p w:rsidR="00F174D3" w:rsidRDefault="003031FA">
            <w:pPr>
              <w:spacing w:after="0"/>
              <w:jc w:val="both"/>
              <w:rPr>
                <w:rFonts w:ascii="Times New Roman" w:eastAsia="Times New Roman" w:hAnsi="Times New Roman"/>
                <w:sz w:val="24"/>
                <w:szCs w:val="24"/>
              </w:rPr>
            </w:pPr>
            <w:r>
              <w:rPr>
                <w:rFonts w:ascii="Times New Roman" w:eastAsia="Times New Roman" w:hAnsi="Times New Roman"/>
                <w:sz w:val="24"/>
                <w:szCs w:val="24"/>
              </w:rPr>
              <w:t>Projektam ir pozitīva ietekme uz tautsaimniecību un administratīvā sloga samazināšanu.</w:t>
            </w:r>
          </w:p>
          <w:p w:rsidR="00F174D3" w:rsidRDefault="00F174D3">
            <w:pPr>
              <w:spacing w:after="0"/>
              <w:jc w:val="both"/>
              <w:rPr>
                <w:rFonts w:ascii="Times New Roman" w:eastAsia="Times New Roman" w:hAnsi="Times New Roman"/>
                <w:sz w:val="24"/>
                <w:szCs w:val="24"/>
                <w:lang w:eastAsia="lv-LV"/>
              </w:rPr>
            </w:pPr>
          </w:p>
        </w:tc>
      </w:tr>
      <w:tr w:rsidR="00F174D3">
        <w:trPr>
          <w:trHeight w:val="510"/>
          <w:tblCellSpacing w:w="15" w:type="dxa"/>
        </w:trPr>
        <w:tc>
          <w:tcPr>
            <w:tcW w:w="455"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821"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tcPr>
          <w:p w:rsidR="00F174D3" w:rsidRDefault="003031FA">
            <w:pPr>
              <w:spacing w:after="0"/>
              <w:jc w:val="both"/>
              <w:rPr>
                <w:rFonts w:ascii="Times New Roman" w:eastAsia="Times New Roman" w:hAnsi="Times New Roman"/>
                <w:sz w:val="24"/>
                <w:szCs w:val="24"/>
              </w:rPr>
            </w:pPr>
            <w:r>
              <w:rPr>
                <w:rFonts w:ascii="Times New Roman" w:eastAsia="Times New Roman" w:hAnsi="Times New Roman"/>
                <w:sz w:val="24"/>
                <w:szCs w:val="24"/>
              </w:rPr>
              <w:t>Projekts šo jomu neskar.</w:t>
            </w:r>
          </w:p>
          <w:p w:rsidR="00F174D3" w:rsidRDefault="00F174D3">
            <w:pPr>
              <w:spacing w:after="0"/>
              <w:jc w:val="both"/>
              <w:rPr>
                <w:rFonts w:ascii="Times New Roman" w:eastAsia="Times New Roman" w:hAnsi="Times New Roman"/>
                <w:sz w:val="24"/>
                <w:szCs w:val="24"/>
                <w:highlight w:val="yellow"/>
                <w:lang w:eastAsia="lv-LV"/>
              </w:rPr>
            </w:pPr>
          </w:p>
        </w:tc>
      </w:tr>
      <w:tr w:rsidR="00F174D3">
        <w:trPr>
          <w:trHeight w:val="345"/>
          <w:tblCellSpacing w:w="15" w:type="dxa"/>
        </w:trPr>
        <w:tc>
          <w:tcPr>
            <w:tcW w:w="455"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21"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825" w:type="dxa"/>
            <w:tcBorders>
              <w:top w:val="outset" w:sz="6" w:space="0" w:color="auto"/>
              <w:left w:val="outset" w:sz="6" w:space="0" w:color="auto"/>
              <w:bottom w:val="outset" w:sz="6" w:space="0" w:color="auto"/>
              <w:right w:val="outset" w:sz="6" w:space="0" w:color="auto"/>
            </w:tcBorders>
          </w:tcPr>
          <w:p w:rsidR="00F174D3" w:rsidRDefault="003031FA">
            <w:pPr>
              <w:pStyle w:val="naiskr"/>
              <w:spacing w:before="0" w:after="0"/>
              <w:jc w:val="both"/>
              <w:rPr>
                <w:lang w:eastAsia="en-US"/>
              </w:rPr>
            </w:pPr>
            <w:r>
              <w:rPr>
                <w:lang w:eastAsia="en-US"/>
              </w:rPr>
              <w:t>Nav</w:t>
            </w:r>
          </w:p>
        </w:tc>
      </w:tr>
    </w:tbl>
    <w:p w:rsidR="00F174D3" w:rsidRDefault="00F174D3">
      <w:pPr>
        <w:spacing w:after="0"/>
        <w:ind w:firstLine="300"/>
        <w:rPr>
          <w:rFonts w:ascii="Times New Roman" w:eastAsia="Times New Roman" w:hAnsi="Times New Roman"/>
          <w:sz w:val="24"/>
          <w:szCs w:val="24"/>
          <w:lang w:eastAsia="lv-LV"/>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501"/>
        <w:gridCol w:w="2759"/>
        <w:gridCol w:w="5961"/>
      </w:tblGrid>
      <w:tr w:rsidR="00F174D3">
        <w:trPr>
          <w:trHeight w:val="420"/>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tcPr>
          <w:p w:rsidR="00F174D3" w:rsidRDefault="003031FA">
            <w:pPr>
              <w:spacing w:after="0"/>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F174D3">
        <w:trPr>
          <w:trHeight w:val="540"/>
          <w:tblCellSpacing w:w="15" w:type="dxa"/>
          <w:jc w:val="center"/>
        </w:trPr>
        <w:tc>
          <w:tcPr>
            <w:tcW w:w="456"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729"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5916" w:type="dxa"/>
            <w:tcBorders>
              <w:top w:val="outset" w:sz="6" w:space="0" w:color="auto"/>
              <w:left w:val="outset" w:sz="6" w:space="0" w:color="auto"/>
              <w:bottom w:val="outset" w:sz="6" w:space="0" w:color="auto"/>
              <w:right w:val="outset" w:sz="6" w:space="0" w:color="auto"/>
            </w:tcBorders>
          </w:tcPr>
          <w:p w:rsidR="00F174D3" w:rsidRDefault="003031FA">
            <w:pPr>
              <w:ind w:right="142"/>
              <w:jc w:val="both"/>
              <w:rPr>
                <w:rFonts w:ascii="Times New Roman" w:eastAsia="Times New Roman" w:hAnsi="Times New Roman"/>
                <w:sz w:val="24"/>
                <w:szCs w:val="24"/>
              </w:rPr>
            </w:pPr>
            <w:r>
              <w:rPr>
                <w:rFonts w:ascii="Times New Roman" w:eastAsia="Times New Roman" w:hAnsi="Times New Roman"/>
                <w:sz w:val="24"/>
                <w:szCs w:val="24"/>
              </w:rPr>
              <w:t>Projekts neuzliek sabiedrībai jaunus pienākumus.</w:t>
            </w:r>
          </w:p>
          <w:p w:rsidR="00F174D3" w:rsidRDefault="003031FA">
            <w:pPr>
              <w:ind w:right="142"/>
              <w:jc w:val="both"/>
              <w:rPr>
                <w:rFonts w:ascii="Times New Roman" w:eastAsia="Times New Roman" w:hAnsi="Times New Roman"/>
                <w:sz w:val="24"/>
                <w:szCs w:val="24"/>
                <w:lang w:eastAsia="lv-LV"/>
              </w:rPr>
            </w:pPr>
            <w:r>
              <w:rPr>
                <w:rFonts w:ascii="Times New Roman" w:eastAsia="Times New Roman" w:hAnsi="Times New Roman"/>
                <w:sz w:val="24"/>
                <w:szCs w:val="24"/>
              </w:rPr>
              <w:t>Projekts ievietots Pilsonības un migrācijas lietu pārvaldes mājas lapā.</w:t>
            </w:r>
            <w:proofErr w:type="gramStart"/>
            <w:r>
              <w:rPr>
                <w:rFonts w:ascii="Times New Roman" w:eastAsia="Times New Roman" w:hAnsi="Times New Roman"/>
                <w:sz w:val="24"/>
                <w:szCs w:val="24"/>
              </w:rPr>
              <w:t xml:space="preserve">  </w:t>
            </w:r>
            <w:proofErr w:type="gramEnd"/>
          </w:p>
        </w:tc>
      </w:tr>
      <w:tr w:rsidR="00F174D3">
        <w:trPr>
          <w:trHeight w:val="330"/>
          <w:tblCellSpacing w:w="15" w:type="dxa"/>
          <w:jc w:val="center"/>
        </w:trPr>
        <w:tc>
          <w:tcPr>
            <w:tcW w:w="456"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729"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5916" w:type="dxa"/>
            <w:tcBorders>
              <w:top w:val="outset" w:sz="6" w:space="0" w:color="auto"/>
              <w:left w:val="outset" w:sz="6" w:space="0" w:color="auto"/>
              <w:bottom w:val="outset" w:sz="6" w:space="0" w:color="auto"/>
              <w:right w:val="outset" w:sz="6" w:space="0" w:color="auto"/>
            </w:tcBorders>
          </w:tcPr>
          <w:p w:rsidR="00F174D3" w:rsidRDefault="003031FA">
            <w:pPr>
              <w:spacing w:after="0"/>
              <w:jc w:val="both"/>
              <w:rPr>
                <w:rFonts w:ascii="Times New Roman" w:eastAsia="Times New Roman" w:hAnsi="Times New Roman"/>
                <w:sz w:val="24"/>
                <w:szCs w:val="24"/>
              </w:rPr>
            </w:pPr>
            <w:r>
              <w:rPr>
                <w:rFonts w:ascii="Times New Roman" w:eastAsia="Times New Roman" w:hAnsi="Times New Roman"/>
                <w:sz w:val="24"/>
                <w:szCs w:val="24"/>
                <w:lang w:eastAsia="lv-LV"/>
              </w:rPr>
              <w:t>Projekts šo jomu neskar.</w:t>
            </w:r>
          </w:p>
        </w:tc>
      </w:tr>
      <w:tr w:rsidR="00F174D3">
        <w:trPr>
          <w:trHeight w:val="465"/>
          <w:tblCellSpacing w:w="15" w:type="dxa"/>
          <w:jc w:val="center"/>
        </w:trPr>
        <w:tc>
          <w:tcPr>
            <w:tcW w:w="456"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729"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5916" w:type="dxa"/>
            <w:tcBorders>
              <w:top w:val="outset" w:sz="6" w:space="0" w:color="auto"/>
              <w:left w:val="outset" w:sz="6" w:space="0" w:color="auto"/>
              <w:bottom w:val="outset" w:sz="6" w:space="0" w:color="auto"/>
              <w:right w:val="outset" w:sz="6" w:space="0" w:color="auto"/>
            </w:tcBorders>
          </w:tcPr>
          <w:p w:rsidR="00F174D3" w:rsidRDefault="003031FA">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F174D3">
        <w:trPr>
          <w:trHeight w:val="465"/>
          <w:tblCellSpacing w:w="15" w:type="dxa"/>
          <w:jc w:val="center"/>
        </w:trPr>
        <w:tc>
          <w:tcPr>
            <w:tcW w:w="456"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729"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16" w:type="dxa"/>
            <w:tcBorders>
              <w:top w:val="outset" w:sz="6" w:space="0" w:color="auto"/>
              <w:left w:val="outset" w:sz="6" w:space="0" w:color="auto"/>
              <w:bottom w:val="outset" w:sz="6" w:space="0" w:color="auto"/>
              <w:right w:val="outset" w:sz="6" w:space="0" w:color="auto"/>
            </w:tcBorders>
          </w:tcPr>
          <w:p w:rsidR="00F174D3" w:rsidRDefault="003031FA">
            <w:pPr>
              <w:spacing w:after="0"/>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F174D3" w:rsidRDefault="003031FA">
      <w:pPr>
        <w:spacing w:after="0"/>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500"/>
        <w:gridCol w:w="3488"/>
        <w:gridCol w:w="5233"/>
      </w:tblGrid>
      <w:tr w:rsidR="00F174D3">
        <w:trPr>
          <w:trHeight w:val="375"/>
          <w:tblCellSpacing w:w="15" w:type="dxa"/>
          <w:jc w:val="center"/>
        </w:trPr>
        <w:tc>
          <w:tcPr>
            <w:tcW w:w="9161" w:type="dxa"/>
            <w:gridSpan w:val="3"/>
            <w:tcBorders>
              <w:top w:val="outset" w:sz="6" w:space="0" w:color="auto"/>
              <w:left w:val="outset" w:sz="6" w:space="0" w:color="auto"/>
              <w:bottom w:val="outset" w:sz="6" w:space="0" w:color="auto"/>
              <w:right w:val="outset" w:sz="6" w:space="0" w:color="auto"/>
            </w:tcBorders>
            <w:vAlign w:val="center"/>
          </w:tcPr>
          <w:p w:rsidR="00F174D3" w:rsidRDefault="003031FA">
            <w:pPr>
              <w:spacing w:after="0"/>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F174D3">
        <w:trPr>
          <w:trHeight w:val="420"/>
          <w:tblCellSpacing w:w="15" w:type="dxa"/>
          <w:jc w:val="center"/>
        </w:trPr>
        <w:tc>
          <w:tcPr>
            <w:tcW w:w="455"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458"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5188" w:type="dxa"/>
            <w:tcBorders>
              <w:top w:val="outset" w:sz="6" w:space="0" w:color="auto"/>
              <w:left w:val="outset" w:sz="6" w:space="0" w:color="auto"/>
              <w:bottom w:val="outset" w:sz="6" w:space="0" w:color="auto"/>
              <w:right w:val="outset" w:sz="6" w:space="0" w:color="auto"/>
            </w:tcBorders>
          </w:tcPr>
          <w:p w:rsidR="00F174D3" w:rsidRDefault="003031FA">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Pilsonības un migrācijas lietu pārvalde </w:t>
            </w:r>
          </w:p>
          <w:p w:rsidR="00F174D3" w:rsidRDefault="003031FA">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Latvijas Republikas pārstāvniecības ārvalstīs</w:t>
            </w:r>
          </w:p>
        </w:tc>
      </w:tr>
      <w:tr w:rsidR="00F174D3">
        <w:trPr>
          <w:trHeight w:val="450"/>
          <w:tblCellSpacing w:w="15" w:type="dxa"/>
          <w:jc w:val="center"/>
        </w:trPr>
        <w:tc>
          <w:tcPr>
            <w:tcW w:w="455"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458"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8"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F174D3">
        <w:trPr>
          <w:trHeight w:val="390"/>
          <w:tblCellSpacing w:w="15" w:type="dxa"/>
          <w:jc w:val="center"/>
        </w:trPr>
        <w:tc>
          <w:tcPr>
            <w:tcW w:w="455"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458" w:type="dxa"/>
            <w:tcBorders>
              <w:top w:val="outset" w:sz="6" w:space="0" w:color="auto"/>
              <w:left w:val="outset" w:sz="6" w:space="0" w:color="auto"/>
              <w:bottom w:val="outset" w:sz="6" w:space="0" w:color="auto"/>
              <w:right w:val="outset" w:sz="6" w:space="0" w:color="auto"/>
            </w:tcBorders>
          </w:tcPr>
          <w:p w:rsidR="00F174D3" w:rsidRDefault="003031FA">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188" w:type="dxa"/>
            <w:tcBorders>
              <w:top w:val="outset" w:sz="6" w:space="0" w:color="auto"/>
              <w:left w:val="outset" w:sz="6" w:space="0" w:color="auto"/>
              <w:bottom w:val="outset" w:sz="6" w:space="0" w:color="auto"/>
              <w:right w:val="outset" w:sz="6" w:space="0" w:color="auto"/>
            </w:tcBorders>
          </w:tcPr>
          <w:p w:rsidR="00F174D3" w:rsidRDefault="003031FA">
            <w:pPr>
              <w:spacing w:after="0"/>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F174D3" w:rsidRDefault="003031FA">
      <w:pPr>
        <w:rPr>
          <w:rFonts w:ascii="Times New Roman" w:eastAsia="Times New Roman" w:hAnsi="Times New Roman"/>
          <w:sz w:val="24"/>
          <w:szCs w:val="24"/>
        </w:rPr>
      </w:pPr>
      <w:r>
        <w:rPr>
          <w:rFonts w:ascii="Times New Roman" w:eastAsia="Times New Roman" w:hAnsi="Times New Roman"/>
          <w:sz w:val="24"/>
          <w:szCs w:val="24"/>
        </w:rPr>
        <w:t>Anotācijas III, IV, V sadaļa – tiesību akta projekts šo jomu neskar.</w:t>
      </w:r>
    </w:p>
    <w:p w:rsidR="00F174D3" w:rsidRDefault="00F174D3">
      <w:pPr>
        <w:spacing w:after="0"/>
        <w:rPr>
          <w:rFonts w:ascii="Times New Roman" w:hAnsi="Times New Roman"/>
          <w:sz w:val="24"/>
          <w:szCs w:val="24"/>
        </w:rPr>
      </w:pPr>
    </w:p>
    <w:p w:rsidR="00F174D3" w:rsidRDefault="00F174D3">
      <w:pPr>
        <w:spacing w:after="0"/>
        <w:rPr>
          <w:rFonts w:ascii="Times New Roman" w:hAnsi="Times New Roman"/>
          <w:sz w:val="24"/>
          <w:szCs w:val="24"/>
        </w:rPr>
      </w:pPr>
    </w:p>
    <w:p w:rsidR="00F174D3" w:rsidRDefault="003031FA">
      <w:pPr>
        <w:tabs>
          <w:tab w:val="right" w:pos="9071"/>
        </w:tabs>
        <w:spacing w:after="0"/>
        <w:jc w:val="both"/>
        <w:rPr>
          <w:rFonts w:ascii="Times New Roman" w:hAnsi="Times New Roman"/>
          <w:sz w:val="24"/>
          <w:szCs w:val="24"/>
        </w:rPr>
      </w:pPr>
      <w:r>
        <w:rPr>
          <w:rFonts w:ascii="Times New Roman" w:hAnsi="Times New Roman"/>
          <w:sz w:val="24"/>
          <w:szCs w:val="24"/>
        </w:rPr>
        <w:t xml:space="preserve">Iekšlietu ministrs </w:t>
      </w:r>
      <w:r>
        <w:rPr>
          <w:rFonts w:ascii="Times New Roman" w:hAnsi="Times New Roman"/>
          <w:sz w:val="24"/>
          <w:szCs w:val="24"/>
        </w:rPr>
        <w:tab/>
        <w:t>R. Kozlovskis</w:t>
      </w:r>
    </w:p>
    <w:p w:rsidR="00F174D3" w:rsidRDefault="00F174D3">
      <w:pPr>
        <w:keepLines/>
        <w:widowControl w:val="0"/>
        <w:tabs>
          <w:tab w:val="right" w:pos="9071"/>
        </w:tabs>
        <w:spacing w:after="0"/>
        <w:rPr>
          <w:rFonts w:ascii="Times New Roman" w:eastAsia="Times New Roman" w:hAnsi="Times New Roman"/>
          <w:sz w:val="24"/>
          <w:szCs w:val="24"/>
          <w:lang w:eastAsia="lv-LV"/>
        </w:rPr>
      </w:pPr>
    </w:p>
    <w:p w:rsidR="00F174D3" w:rsidRDefault="00F174D3">
      <w:pPr>
        <w:keepLines/>
        <w:widowControl w:val="0"/>
        <w:tabs>
          <w:tab w:val="right" w:pos="9071"/>
        </w:tabs>
        <w:spacing w:after="0"/>
        <w:rPr>
          <w:rFonts w:ascii="Times New Roman" w:eastAsia="Times New Roman" w:hAnsi="Times New Roman"/>
          <w:sz w:val="24"/>
          <w:szCs w:val="24"/>
          <w:lang w:eastAsia="lv-LV"/>
        </w:rPr>
      </w:pPr>
    </w:p>
    <w:p w:rsidR="00F174D3" w:rsidRDefault="003031FA">
      <w:pPr>
        <w:tabs>
          <w:tab w:val="right" w:pos="9071"/>
        </w:tabs>
        <w:spacing w:after="0"/>
        <w:jc w:val="both"/>
        <w:rPr>
          <w:rFonts w:ascii="Times New Roman" w:hAnsi="Times New Roman"/>
          <w:sz w:val="24"/>
          <w:szCs w:val="24"/>
        </w:rPr>
      </w:pPr>
      <w:r>
        <w:rPr>
          <w:rFonts w:ascii="Times New Roman" w:hAnsi="Times New Roman"/>
          <w:sz w:val="24"/>
          <w:szCs w:val="24"/>
        </w:rPr>
        <w:t xml:space="preserve">Vīza: </w:t>
      </w:r>
    </w:p>
    <w:p w:rsidR="00F174D3" w:rsidRDefault="003031FA">
      <w:pPr>
        <w:tabs>
          <w:tab w:val="right" w:pos="9071"/>
        </w:tabs>
        <w:spacing w:after="0"/>
        <w:jc w:val="both"/>
        <w:rPr>
          <w:rFonts w:ascii="Times New Roman" w:hAnsi="Times New Roman"/>
          <w:sz w:val="24"/>
          <w:szCs w:val="24"/>
        </w:rPr>
      </w:pPr>
      <w:r>
        <w:rPr>
          <w:rFonts w:ascii="Times New Roman" w:hAnsi="Times New Roman"/>
          <w:sz w:val="24"/>
          <w:szCs w:val="24"/>
        </w:rPr>
        <w:t>Valsts sekretāre</w:t>
      </w:r>
      <w:proofErr w:type="gramStart"/>
      <w:r>
        <w:rPr>
          <w:rFonts w:ascii="Times New Roman" w:hAnsi="Times New Roman"/>
          <w:sz w:val="24"/>
          <w:szCs w:val="24"/>
        </w:rPr>
        <w:t xml:space="preserve">                                                                    </w:t>
      </w:r>
      <w:proofErr w:type="gramEnd"/>
      <w:r>
        <w:rPr>
          <w:rFonts w:ascii="Times New Roman" w:hAnsi="Times New Roman"/>
          <w:sz w:val="24"/>
          <w:szCs w:val="24"/>
        </w:rPr>
        <w:tab/>
        <w:t xml:space="preserve"> I. Pētersone-Godmane</w:t>
      </w:r>
    </w:p>
    <w:p w:rsidR="00F174D3" w:rsidRDefault="00F174D3">
      <w:pPr>
        <w:spacing w:after="0"/>
        <w:rPr>
          <w:rFonts w:ascii="Times New Roman" w:hAnsi="Times New Roman"/>
          <w:sz w:val="24"/>
          <w:szCs w:val="24"/>
        </w:rPr>
      </w:pPr>
    </w:p>
    <w:p w:rsidR="00F174D3" w:rsidRDefault="00F174D3">
      <w:pPr>
        <w:spacing w:after="0"/>
        <w:rPr>
          <w:rFonts w:ascii="Times New Roman" w:hAnsi="Times New Roman"/>
          <w:sz w:val="24"/>
          <w:szCs w:val="24"/>
        </w:rPr>
      </w:pPr>
    </w:p>
    <w:p w:rsidR="00F174D3" w:rsidRDefault="00F174D3">
      <w:pPr>
        <w:spacing w:after="0"/>
        <w:rPr>
          <w:rFonts w:ascii="Times New Roman" w:hAnsi="Times New Roman"/>
          <w:sz w:val="24"/>
          <w:szCs w:val="24"/>
        </w:rPr>
      </w:pPr>
    </w:p>
    <w:p w:rsidR="00F174D3" w:rsidRDefault="003031FA">
      <w:pPr>
        <w:spacing w:after="0"/>
        <w:ind w:right="-329"/>
        <w:jc w:val="both"/>
        <w:rPr>
          <w:rFonts w:ascii="Times New Roman" w:hAnsi="Times New Roman"/>
          <w:sz w:val="20"/>
          <w:szCs w:val="20"/>
        </w:rPr>
      </w:pPr>
      <w:r>
        <w:rPr>
          <w:rFonts w:ascii="Times New Roman" w:hAnsi="Times New Roman"/>
          <w:sz w:val="20"/>
          <w:szCs w:val="20"/>
        </w:rPr>
        <w:t>1</w:t>
      </w:r>
      <w:r w:rsidR="008E2E1D">
        <w:rPr>
          <w:rFonts w:ascii="Times New Roman" w:hAnsi="Times New Roman"/>
          <w:sz w:val="20"/>
          <w:szCs w:val="20"/>
        </w:rPr>
        <w:t>3</w:t>
      </w:r>
      <w:r>
        <w:rPr>
          <w:rFonts w:ascii="Times New Roman" w:hAnsi="Times New Roman"/>
          <w:sz w:val="20"/>
          <w:szCs w:val="20"/>
        </w:rPr>
        <w:t xml:space="preserve">.01.2015. </w:t>
      </w:r>
    </w:p>
    <w:p w:rsidR="00F174D3" w:rsidRDefault="003031FA">
      <w:pPr>
        <w:spacing w:after="0"/>
        <w:ind w:right="-329"/>
        <w:rPr>
          <w:rFonts w:ascii="Times New Roman" w:hAnsi="Times New Roman"/>
          <w:sz w:val="20"/>
          <w:szCs w:val="20"/>
        </w:rPr>
      </w:pPr>
      <w:r>
        <w:rPr>
          <w:rFonts w:ascii="Times New Roman" w:hAnsi="Times New Roman"/>
          <w:sz w:val="20"/>
          <w:szCs w:val="20"/>
        </w:rPr>
        <w:t>12</w:t>
      </w:r>
      <w:r w:rsidR="008E2E1D">
        <w:rPr>
          <w:rFonts w:ascii="Times New Roman" w:hAnsi="Times New Roman"/>
          <w:sz w:val="20"/>
          <w:szCs w:val="20"/>
        </w:rPr>
        <w:t>35</w:t>
      </w:r>
    </w:p>
    <w:p w:rsidR="00F174D3" w:rsidRDefault="003031FA">
      <w:pPr>
        <w:spacing w:after="0"/>
        <w:ind w:right="-329"/>
      </w:pPr>
      <w:proofErr w:type="spellStart"/>
      <w:r>
        <w:rPr>
          <w:rFonts w:ascii="Times New Roman" w:hAnsi="Times New Roman"/>
          <w:sz w:val="20"/>
          <w:szCs w:val="20"/>
        </w:rPr>
        <w:t>Dz.Peneze</w:t>
      </w:r>
      <w:proofErr w:type="spellEnd"/>
      <w:r>
        <w:rPr>
          <w:rFonts w:ascii="Times New Roman" w:hAnsi="Times New Roman"/>
          <w:sz w:val="20"/>
          <w:szCs w:val="20"/>
        </w:rPr>
        <w:t xml:space="preserve">, 67219521, </w:t>
      </w:r>
      <w:hyperlink r:id="rId7" w:history="1">
        <w:r>
          <w:rPr>
            <w:rStyle w:val="Hyperlink"/>
            <w:rFonts w:ascii="Times New Roman" w:hAnsi="Times New Roman"/>
            <w:sz w:val="20"/>
            <w:szCs w:val="20"/>
          </w:rPr>
          <w:t>dzintra.peneze@pmlp.gov.lv</w:t>
        </w:r>
      </w:hyperlink>
    </w:p>
    <w:sectPr w:rsidR="00F174D3" w:rsidSect="00F174D3">
      <w:headerReference w:type="default" r:id="rId8"/>
      <w:footerReference w:type="default" r:id="rId9"/>
      <w:footerReference w:type="first" r:id="rId10"/>
      <w:pgSz w:w="11906" w:h="16838"/>
      <w:pgMar w:top="1134"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D3" w:rsidRDefault="003031FA" w:rsidP="007A4866">
      <w:pPr>
        <w:spacing w:after="0"/>
      </w:pPr>
      <w:r>
        <w:separator/>
      </w:r>
    </w:p>
  </w:endnote>
  <w:endnote w:type="continuationSeparator" w:id="0">
    <w:p w:rsidR="00F174D3" w:rsidRDefault="003031FA" w:rsidP="007A48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D3" w:rsidRDefault="003031FA">
    <w:pPr>
      <w:jc w:val="both"/>
      <w:rPr>
        <w:rFonts w:ascii="Times New Roman" w:hAnsi="Times New Roman"/>
      </w:rPr>
    </w:pPr>
    <w:r>
      <w:rPr>
        <w:rFonts w:ascii="Times New Roman" w:hAnsi="Times New Roman"/>
        <w:sz w:val="20"/>
        <w:szCs w:val="20"/>
      </w:rPr>
      <w:t>IEMAnot_</w:t>
    </w:r>
    <w:r w:rsidR="008E2E1D">
      <w:rPr>
        <w:rFonts w:ascii="Times New Roman" w:hAnsi="Times New Roman"/>
        <w:sz w:val="20"/>
        <w:szCs w:val="20"/>
      </w:rPr>
      <w:t>13</w:t>
    </w:r>
    <w:r>
      <w:rPr>
        <w:rFonts w:ascii="Times New Roman" w:hAnsi="Times New Roman"/>
        <w:sz w:val="20"/>
        <w:szCs w:val="20"/>
      </w:rPr>
      <w:t>0115_PAD; Ministru kabineta noteikumu projekt</w:t>
    </w:r>
    <w:r w:rsidR="0030437D">
      <w:rPr>
        <w:rFonts w:ascii="Times New Roman" w:hAnsi="Times New Roman"/>
        <w:sz w:val="20"/>
        <w:szCs w:val="20"/>
      </w:rPr>
      <w:t>a</w:t>
    </w:r>
    <w:r>
      <w:rPr>
        <w:rFonts w:ascii="Times New Roman" w:hAnsi="Times New Roman"/>
        <w:sz w:val="20"/>
        <w:szCs w:val="20"/>
      </w:rPr>
      <w:t xml:space="preserve"> „Grozījum</w:t>
    </w:r>
    <w:r w:rsidR="0030437D">
      <w:rPr>
        <w:rFonts w:ascii="Times New Roman" w:hAnsi="Times New Roman"/>
        <w:sz w:val="20"/>
        <w:szCs w:val="20"/>
      </w:rPr>
      <w:t>i</w:t>
    </w:r>
    <w:r>
      <w:rPr>
        <w:rFonts w:ascii="Times New Roman" w:hAnsi="Times New Roman"/>
        <w:sz w:val="20"/>
        <w:szCs w:val="20"/>
      </w:rPr>
      <w:t xml:space="preserve"> </w:t>
    </w:r>
    <w:r>
      <w:rPr>
        <w:rFonts w:ascii="Times New Roman" w:eastAsia="Times New Roman" w:hAnsi="Times New Roman"/>
        <w:bCs/>
        <w:color w:val="000000"/>
        <w:sz w:val="20"/>
        <w:szCs w:val="20"/>
        <w:lang w:eastAsia="lv-LV"/>
      </w:rPr>
      <w:t>Ministru kabineta 2012. gada 21.februāra noteikumos Nr. 134 „</w:t>
    </w:r>
    <w:r>
      <w:rPr>
        <w:rFonts w:ascii="Times New Roman" w:hAnsi="Times New Roman"/>
        <w:sz w:val="20"/>
        <w:szCs w:val="20"/>
      </w:rPr>
      <w:t>Personu apliecinošu dokumentu noteikumi</w:t>
    </w:r>
    <w:r>
      <w:rPr>
        <w:rFonts w:ascii="Times New Roman" w:eastAsia="Times New Roman" w:hAnsi="Times New Roman"/>
        <w:bCs/>
        <w:color w:val="000000"/>
        <w:sz w:val="20"/>
        <w:szCs w:val="20"/>
        <w:lang w:eastAsia="lv-LV"/>
      </w:rPr>
      <w:t xml:space="preserve">” </w:t>
    </w:r>
    <w:r>
      <w:rPr>
        <w:rFonts w:ascii="Times New Roman" w:hAnsi="Times New Roman"/>
        <w:sz w:val="20"/>
        <w:szCs w:val="20"/>
      </w:rPr>
      <w:t>sākotnējās ietekmes novērtējuma ziņojums (anotācija)</w:t>
    </w:r>
  </w:p>
  <w:p w:rsidR="00F174D3" w:rsidRDefault="00F17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D3" w:rsidRDefault="003031FA">
    <w:pPr>
      <w:jc w:val="both"/>
      <w:rPr>
        <w:rFonts w:ascii="Times New Roman" w:hAnsi="Times New Roman"/>
      </w:rPr>
    </w:pPr>
    <w:r>
      <w:rPr>
        <w:rFonts w:ascii="Times New Roman" w:hAnsi="Times New Roman"/>
        <w:sz w:val="20"/>
        <w:szCs w:val="20"/>
      </w:rPr>
      <w:t>IEMAnot_1</w:t>
    </w:r>
    <w:r w:rsidR="008E2E1D">
      <w:rPr>
        <w:rFonts w:ascii="Times New Roman" w:hAnsi="Times New Roman"/>
        <w:sz w:val="20"/>
        <w:szCs w:val="20"/>
      </w:rPr>
      <w:t>3</w:t>
    </w:r>
    <w:r>
      <w:rPr>
        <w:rFonts w:ascii="Times New Roman" w:hAnsi="Times New Roman"/>
        <w:sz w:val="20"/>
        <w:szCs w:val="20"/>
      </w:rPr>
      <w:t>0115_PAD; Mini</w:t>
    </w:r>
    <w:r w:rsidR="0030437D">
      <w:rPr>
        <w:rFonts w:ascii="Times New Roman" w:hAnsi="Times New Roman"/>
        <w:sz w:val="20"/>
        <w:szCs w:val="20"/>
      </w:rPr>
      <w:t>stru kabineta noteikumu projekta</w:t>
    </w:r>
    <w:r>
      <w:rPr>
        <w:rFonts w:ascii="Times New Roman" w:hAnsi="Times New Roman"/>
        <w:sz w:val="20"/>
        <w:szCs w:val="20"/>
      </w:rPr>
      <w:t xml:space="preserve"> „Grozījum</w:t>
    </w:r>
    <w:r w:rsidR="0030437D">
      <w:rPr>
        <w:rFonts w:ascii="Times New Roman" w:hAnsi="Times New Roman"/>
        <w:sz w:val="20"/>
        <w:szCs w:val="20"/>
      </w:rPr>
      <w:t>i</w:t>
    </w:r>
    <w:r>
      <w:rPr>
        <w:rFonts w:ascii="Times New Roman" w:hAnsi="Times New Roman"/>
        <w:sz w:val="20"/>
        <w:szCs w:val="20"/>
      </w:rPr>
      <w:t xml:space="preserve"> </w:t>
    </w:r>
    <w:r>
      <w:rPr>
        <w:rFonts w:ascii="Times New Roman" w:eastAsia="Times New Roman" w:hAnsi="Times New Roman"/>
        <w:bCs/>
        <w:color w:val="000000"/>
        <w:sz w:val="20"/>
        <w:szCs w:val="20"/>
        <w:lang w:eastAsia="lv-LV"/>
      </w:rPr>
      <w:t xml:space="preserve">Ministru kabineta 2012. gada </w:t>
    </w:r>
    <w:r w:rsidR="008E2E1D">
      <w:rPr>
        <w:rFonts w:ascii="Times New Roman" w:eastAsia="Times New Roman" w:hAnsi="Times New Roman"/>
        <w:bCs/>
        <w:color w:val="000000"/>
        <w:sz w:val="20"/>
        <w:szCs w:val="20"/>
        <w:lang w:eastAsia="lv-LV"/>
      </w:rPr>
      <w:t>2</w:t>
    </w:r>
    <w:r>
      <w:rPr>
        <w:rFonts w:ascii="Times New Roman" w:eastAsia="Times New Roman" w:hAnsi="Times New Roman"/>
        <w:bCs/>
        <w:color w:val="000000"/>
        <w:sz w:val="20"/>
        <w:szCs w:val="20"/>
        <w:lang w:eastAsia="lv-LV"/>
      </w:rPr>
      <w:t>1.februāra noteikumos Nr. 134 „</w:t>
    </w:r>
    <w:r>
      <w:rPr>
        <w:rFonts w:ascii="Times New Roman" w:hAnsi="Times New Roman"/>
        <w:sz w:val="20"/>
        <w:szCs w:val="20"/>
      </w:rPr>
      <w:t>Personu apliecinošu dokumentu noteikumi</w:t>
    </w:r>
    <w:r>
      <w:rPr>
        <w:rFonts w:ascii="Times New Roman" w:eastAsia="Times New Roman" w:hAnsi="Times New Roman"/>
        <w:bCs/>
        <w:color w:val="000000"/>
        <w:sz w:val="20"/>
        <w:szCs w:val="20"/>
        <w:lang w:eastAsia="lv-LV"/>
      </w:rPr>
      <w:t xml:space="preserve">” </w:t>
    </w:r>
    <w:r>
      <w:rPr>
        <w:rFonts w:ascii="Times New Roman" w:hAnsi="Times New Roman"/>
        <w:sz w:val="20"/>
        <w:szCs w:val="20"/>
      </w:rPr>
      <w:t>sākotnējās ietekmes novērtējuma ziņojums (anotācija)</w:t>
    </w:r>
  </w:p>
  <w:p w:rsidR="00F174D3" w:rsidRDefault="00F174D3">
    <w:pPr>
      <w:ind w:right="-81"/>
      <w:jc w:val="both"/>
      <w:rPr>
        <w:rFonts w:ascii="Times New Roman" w:hAnsi="Times New Roman"/>
        <w:sz w:val="20"/>
        <w:szCs w:val="20"/>
      </w:rPr>
    </w:pPr>
  </w:p>
  <w:p w:rsidR="00F174D3" w:rsidRDefault="00F174D3">
    <w:pPr>
      <w:pStyle w:val="Footer"/>
    </w:pPr>
  </w:p>
  <w:p w:rsidR="00F174D3" w:rsidRDefault="00F17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D3" w:rsidRDefault="003031FA" w:rsidP="007A4866">
      <w:pPr>
        <w:spacing w:after="0"/>
      </w:pPr>
      <w:r>
        <w:separator/>
      </w:r>
    </w:p>
  </w:footnote>
  <w:footnote w:type="continuationSeparator" w:id="0">
    <w:p w:rsidR="00F174D3" w:rsidRDefault="003031FA" w:rsidP="007A48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4D3" w:rsidRDefault="002912F8">
    <w:pPr>
      <w:pStyle w:val="Header"/>
      <w:jc w:val="center"/>
    </w:pPr>
    <w:r>
      <w:rPr>
        <w:rFonts w:ascii="Times New Roman" w:hAnsi="Times New Roman"/>
        <w:sz w:val="20"/>
        <w:szCs w:val="20"/>
      </w:rPr>
      <w:fldChar w:fldCharType="begin"/>
    </w:r>
    <w:r w:rsidR="003031FA">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30437D">
      <w:rPr>
        <w:rFonts w:ascii="Times New Roman" w:hAnsi="Times New Roman"/>
        <w:noProof/>
        <w:sz w:val="20"/>
        <w:szCs w:val="20"/>
      </w:rPr>
      <w:t>3</w:t>
    </w:r>
    <w:r>
      <w:rPr>
        <w:rFonts w:ascii="Times New Roman" w:hAnsi="Times New Roman"/>
        <w:sz w:val="20"/>
        <w:szCs w:val="20"/>
      </w:rPr>
      <w:fldChar w:fldCharType="end"/>
    </w:r>
  </w:p>
  <w:p w:rsidR="00F174D3" w:rsidRDefault="00F17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ind w:left="501" w:hanging="360"/>
      </w:pPr>
      <w:rPr>
        <w:rFonts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10"/>
  <w:drawingGridVerticalSpacing w:val="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
  <w:rsids>
    <w:rsidRoot w:val="00172A27"/>
    <w:rsid w:val="000A2ED7"/>
    <w:rsid w:val="00172A27"/>
    <w:rsid w:val="00270337"/>
    <w:rsid w:val="002912F8"/>
    <w:rsid w:val="003031FA"/>
    <w:rsid w:val="0030437D"/>
    <w:rsid w:val="008E2E1D"/>
    <w:rsid w:val="00CA62BD"/>
    <w:rsid w:val="00F174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D3"/>
    <w:pPr>
      <w:spacing w:after="120"/>
    </w:pPr>
    <w:rPr>
      <w:rFonts w:ascii="Calibri" w:eastAsia="Calibri" w:hAnsi="Calibri"/>
      <w:sz w:val="22"/>
      <w:szCs w:val="22"/>
      <w:lang w:eastAsia="en-US"/>
    </w:rPr>
  </w:style>
  <w:style w:type="paragraph" w:styleId="Heading4">
    <w:name w:val="heading 4"/>
    <w:basedOn w:val="Normal"/>
    <w:next w:val="Normal"/>
    <w:link w:val="Heading4Char"/>
    <w:qFormat/>
    <w:rsid w:val="00F174D3"/>
    <w:pPr>
      <w:keepNext/>
      <w:tabs>
        <w:tab w:val="left" w:pos="315"/>
        <w:tab w:val="left" w:pos="864"/>
      </w:tabs>
      <w:suppressAutoHyphens/>
      <w:spacing w:after="0"/>
      <w:jc w:val="both"/>
      <w:outlineLvl w:val="3"/>
    </w:pPr>
    <w:rPr>
      <w:rFonts w:ascii="Times New Roman" w:eastAsia="Times New Roman" w:hAnsi="Times New Roman"/>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74D3"/>
    <w:rPr>
      <w:rFonts w:ascii="Times New Roman" w:eastAsia="Times New Roman" w:hAnsi="Times New Roman" w:cs="Times New Roman"/>
      <w:sz w:val="28"/>
      <w:szCs w:val="24"/>
      <w:lang w:eastAsia="zh-CN"/>
    </w:rPr>
  </w:style>
  <w:style w:type="character" w:styleId="FootnoteReference">
    <w:name w:val="footnote reference"/>
    <w:basedOn w:val="DefaultParagraphFont"/>
    <w:rsid w:val="00F174D3"/>
    <w:rPr>
      <w:vertAlign w:val="superscript"/>
    </w:rPr>
  </w:style>
  <w:style w:type="character" w:styleId="Hyperlink">
    <w:name w:val="Hyperlink"/>
    <w:rsid w:val="00F174D3"/>
    <w:rPr>
      <w:color w:val="0000FF"/>
      <w:u w:val="single"/>
    </w:rPr>
  </w:style>
  <w:style w:type="character" w:customStyle="1" w:styleId="HeaderChar">
    <w:name w:val="Header Char"/>
    <w:basedOn w:val="DefaultParagraphFont"/>
    <w:link w:val="Header"/>
    <w:rsid w:val="00F174D3"/>
  </w:style>
  <w:style w:type="character" w:customStyle="1" w:styleId="FootnoteTextChar">
    <w:name w:val="Footnote Text Char"/>
    <w:basedOn w:val="DefaultParagraphFont"/>
    <w:link w:val="FootnoteText"/>
    <w:rsid w:val="00F174D3"/>
    <w:rPr>
      <w:sz w:val="20"/>
      <w:szCs w:val="20"/>
    </w:rPr>
  </w:style>
  <w:style w:type="character" w:customStyle="1" w:styleId="FooterChar">
    <w:name w:val="Footer Char"/>
    <w:basedOn w:val="DefaultParagraphFont"/>
    <w:link w:val="Footer"/>
    <w:rsid w:val="00F174D3"/>
  </w:style>
  <w:style w:type="character" w:customStyle="1" w:styleId="CommentSubjectChar">
    <w:name w:val="Comment Subject Char"/>
    <w:basedOn w:val="CommentTextChar"/>
    <w:link w:val="CommentSubject1"/>
    <w:rsid w:val="00F174D3"/>
    <w:rPr>
      <w:b/>
      <w:bCs/>
      <w:sz w:val="20"/>
      <w:szCs w:val="20"/>
    </w:rPr>
  </w:style>
  <w:style w:type="character" w:customStyle="1" w:styleId="CommentTextChar">
    <w:name w:val="Comment Text Char"/>
    <w:basedOn w:val="DefaultParagraphFont"/>
    <w:link w:val="CommentText"/>
    <w:rsid w:val="00F174D3"/>
    <w:rPr>
      <w:sz w:val="20"/>
      <w:szCs w:val="20"/>
    </w:rPr>
  </w:style>
  <w:style w:type="character" w:customStyle="1" w:styleId="spelle">
    <w:name w:val="spelle"/>
    <w:rsid w:val="00F174D3"/>
  </w:style>
  <w:style w:type="character" w:customStyle="1" w:styleId="BalloonTextChar">
    <w:name w:val="Balloon Text Char"/>
    <w:basedOn w:val="DefaultParagraphFont"/>
    <w:link w:val="BalloonText"/>
    <w:rsid w:val="00F174D3"/>
    <w:rPr>
      <w:rFonts w:ascii="Tahoma" w:hAnsi="Tahoma" w:cs="Tahoma"/>
      <w:sz w:val="16"/>
      <w:szCs w:val="16"/>
    </w:rPr>
  </w:style>
  <w:style w:type="character" w:customStyle="1" w:styleId="highlight">
    <w:name w:val="highlight"/>
    <w:basedOn w:val="DefaultParagraphFont"/>
    <w:rsid w:val="00F174D3"/>
  </w:style>
  <w:style w:type="character" w:customStyle="1" w:styleId="CommentReference1">
    <w:name w:val="Comment Reference1"/>
    <w:basedOn w:val="DefaultParagraphFont"/>
    <w:rsid w:val="00F174D3"/>
    <w:rPr>
      <w:sz w:val="16"/>
      <w:szCs w:val="16"/>
    </w:rPr>
  </w:style>
  <w:style w:type="paragraph" w:styleId="BalloonText">
    <w:name w:val="Balloon Text"/>
    <w:basedOn w:val="Normal"/>
    <w:link w:val="BalloonTextChar"/>
    <w:rsid w:val="00F174D3"/>
    <w:pPr>
      <w:spacing w:after="0"/>
    </w:pPr>
    <w:rPr>
      <w:rFonts w:ascii="Tahoma" w:hAnsi="Tahoma" w:cs="Tahoma"/>
      <w:sz w:val="16"/>
      <w:szCs w:val="16"/>
    </w:rPr>
  </w:style>
  <w:style w:type="paragraph" w:styleId="Header">
    <w:name w:val="header"/>
    <w:basedOn w:val="Normal"/>
    <w:link w:val="HeaderChar"/>
    <w:rsid w:val="00F174D3"/>
    <w:pPr>
      <w:tabs>
        <w:tab w:val="center" w:pos="4153"/>
        <w:tab w:val="right" w:pos="8306"/>
      </w:tabs>
      <w:spacing w:after="0"/>
    </w:pPr>
  </w:style>
  <w:style w:type="paragraph" w:styleId="FootnoteText">
    <w:name w:val="footnote text"/>
    <w:basedOn w:val="Normal"/>
    <w:link w:val="FootnoteTextChar"/>
    <w:rsid w:val="00F174D3"/>
    <w:pPr>
      <w:spacing w:after="0"/>
    </w:pPr>
    <w:rPr>
      <w:sz w:val="20"/>
      <w:szCs w:val="20"/>
    </w:rPr>
  </w:style>
  <w:style w:type="paragraph" w:styleId="Footer">
    <w:name w:val="footer"/>
    <w:basedOn w:val="Normal"/>
    <w:link w:val="FooterChar"/>
    <w:rsid w:val="00F174D3"/>
    <w:pPr>
      <w:tabs>
        <w:tab w:val="center" w:pos="4153"/>
        <w:tab w:val="right" w:pos="8306"/>
      </w:tabs>
      <w:spacing w:after="0"/>
    </w:pPr>
  </w:style>
  <w:style w:type="paragraph" w:styleId="CommentText">
    <w:name w:val="annotation text"/>
    <w:basedOn w:val="Normal"/>
    <w:link w:val="CommentTextChar"/>
    <w:rsid w:val="00F174D3"/>
    <w:rPr>
      <w:sz w:val="20"/>
      <w:szCs w:val="20"/>
    </w:rPr>
  </w:style>
  <w:style w:type="paragraph" w:styleId="ListParagraph">
    <w:name w:val="List Paragraph"/>
    <w:basedOn w:val="Normal"/>
    <w:qFormat/>
    <w:rsid w:val="00F174D3"/>
    <w:pPr>
      <w:ind w:left="720"/>
      <w:contextualSpacing/>
    </w:pPr>
  </w:style>
  <w:style w:type="paragraph" w:customStyle="1" w:styleId="labojumupamats1">
    <w:name w:val="labojumu_pamats1"/>
    <w:basedOn w:val="Normal"/>
    <w:rsid w:val="00F174D3"/>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174D3"/>
    <w:pPr>
      <w:spacing w:before="75" w:after="75"/>
    </w:pPr>
    <w:rPr>
      <w:rFonts w:ascii="Times New Roman" w:eastAsia="Times New Roman" w:hAnsi="Times New Roman"/>
      <w:sz w:val="24"/>
      <w:szCs w:val="24"/>
      <w:lang w:eastAsia="lv-LV"/>
    </w:rPr>
  </w:style>
  <w:style w:type="paragraph" w:customStyle="1" w:styleId="naisf">
    <w:name w:val="naisf"/>
    <w:basedOn w:val="Normal"/>
    <w:rsid w:val="00F174D3"/>
    <w:pPr>
      <w:spacing w:before="75" w:after="75"/>
      <w:ind w:firstLine="375"/>
      <w:jc w:val="both"/>
    </w:pPr>
    <w:rPr>
      <w:rFonts w:ascii="Times New Roman" w:eastAsia="Times New Roman" w:hAnsi="Times New Roman"/>
      <w:sz w:val="24"/>
      <w:szCs w:val="24"/>
      <w:lang w:eastAsia="lv-LV"/>
    </w:rPr>
  </w:style>
  <w:style w:type="paragraph" w:customStyle="1" w:styleId="tv2131">
    <w:name w:val="tv2131"/>
    <w:basedOn w:val="Normal"/>
    <w:rsid w:val="00F174D3"/>
    <w:pPr>
      <w:spacing w:after="0" w:line="360" w:lineRule="auto"/>
      <w:ind w:firstLine="272"/>
    </w:pPr>
    <w:rPr>
      <w:rFonts w:ascii="Times New Roman" w:eastAsia="Times New Roman" w:hAnsi="Times New Roman"/>
      <w:color w:val="414142"/>
      <w:sz w:val="18"/>
      <w:szCs w:val="18"/>
      <w:lang w:eastAsia="lv-LV"/>
    </w:rPr>
  </w:style>
  <w:style w:type="paragraph" w:customStyle="1" w:styleId="CommentSubject1">
    <w:name w:val="Comment Subject1"/>
    <w:basedOn w:val="CommentText"/>
    <w:next w:val="CommentText"/>
    <w:link w:val="CommentSubjectChar"/>
    <w:rsid w:val="00F174D3"/>
    <w:rPr>
      <w:b/>
      <w:bCs/>
    </w:rPr>
  </w:style>
  <w:style w:type="paragraph" w:styleId="NoSpacing">
    <w:name w:val="No Spacing"/>
    <w:qFormat/>
    <w:rsid w:val="00F174D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zintra.peneze@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1235</Words>
  <Characters>9264</Characters>
  <Application>Microsoft Office Word</Application>
  <DocSecurity>0</DocSecurity>
  <PresentationFormat/>
  <Lines>77</Lines>
  <Paragraphs>20</Paragraphs>
  <Slides>0</Slides>
  <Notes>0</Notes>
  <HiddenSlides>0</HiddenSlides>
  <MMClips>0</MMClips>
  <ScaleCrop>false</ScaleCrop>
  <Manager/>
  <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Dzintra Peneze</dc:title>
  <dc:subject/>
  <dc:creator>AstraV</dc:creator>
  <cp:keywords/>
  <dc:description/>
  <cp:lastModifiedBy>Dzintra Peneze</cp:lastModifiedBy>
  <cp:revision>5</cp:revision>
  <cp:lastPrinted>2015-01-13T08:00:00Z</cp:lastPrinted>
  <dcterms:created xsi:type="dcterms:W3CDTF">2015-01-13T07:59:00Z</dcterms:created>
  <dcterms:modified xsi:type="dcterms:W3CDTF">2015-01-13T10:54:00Z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