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9E" w:rsidRPr="00064053" w:rsidRDefault="002A699E" w:rsidP="00C67116">
      <w:pPr>
        <w:pStyle w:val="naisf"/>
        <w:spacing w:before="0" w:beforeAutospacing="0" w:after="0" w:afterAutospacing="0"/>
        <w:jc w:val="center"/>
        <w:rPr>
          <w:b/>
          <w:bCs/>
          <w:sz w:val="28"/>
          <w:szCs w:val="28"/>
        </w:rPr>
      </w:pPr>
      <w:r w:rsidRPr="00064053">
        <w:rPr>
          <w:b/>
          <w:bCs/>
          <w:sz w:val="28"/>
          <w:szCs w:val="28"/>
        </w:rPr>
        <w:t xml:space="preserve">Ministru kabineta noteikumu projekta </w:t>
      </w:r>
    </w:p>
    <w:p w:rsidR="007F6B1C" w:rsidRPr="00064053" w:rsidRDefault="002A699E" w:rsidP="00C67116">
      <w:pPr>
        <w:pStyle w:val="naisf"/>
        <w:spacing w:before="0" w:beforeAutospacing="0" w:after="0" w:afterAutospacing="0"/>
        <w:jc w:val="center"/>
        <w:rPr>
          <w:b/>
          <w:bCs/>
          <w:sz w:val="28"/>
          <w:szCs w:val="28"/>
        </w:rPr>
      </w:pPr>
      <w:r w:rsidRPr="00064053">
        <w:rPr>
          <w:b/>
          <w:bCs/>
          <w:sz w:val="28"/>
          <w:szCs w:val="28"/>
        </w:rPr>
        <w:t>„Grozījums Ministru kabineta 2013.gada 10.septembra noteikumos Nr.791 „Profesionālās izglītības iestāžu un eksaminācijas centru maksas pakalpojumu cenrādis” sākotnējās ietekmes novērtējuma ziņojums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282"/>
        <w:gridCol w:w="6515"/>
      </w:tblGrid>
      <w:tr w:rsidR="007F6B1C" w:rsidRPr="00064053" w:rsidTr="000D2380">
        <w:trPr>
          <w:trHeight w:val="419"/>
        </w:trPr>
        <w:tc>
          <w:tcPr>
            <w:tcW w:w="5000" w:type="pct"/>
            <w:gridSpan w:val="3"/>
            <w:vAlign w:val="center"/>
          </w:tcPr>
          <w:p w:rsidR="007F6B1C" w:rsidRPr="00064053" w:rsidRDefault="007F6B1C" w:rsidP="00C67116">
            <w:pPr>
              <w:pStyle w:val="naisnod"/>
              <w:spacing w:before="0" w:beforeAutospacing="0" w:after="0" w:afterAutospacing="0"/>
              <w:ind w:left="57" w:right="57"/>
              <w:jc w:val="center"/>
              <w:rPr>
                <w:b/>
              </w:rPr>
            </w:pPr>
            <w:r w:rsidRPr="00064053">
              <w:rPr>
                <w:b/>
              </w:rPr>
              <w:t>I. Tiesību akta projekta izstrādes nepieciešamība</w:t>
            </w:r>
          </w:p>
        </w:tc>
      </w:tr>
      <w:tr w:rsidR="007F6B1C" w:rsidRPr="00064053" w:rsidTr="003E06A3">
        <w:trPr>
          <w:trHeight w:val="415"/>
        </w:trPr>
        <w:tc>
          <w:tcPr>
            <w:tcW w:w="227" w:type="pct"/>
          </w:tcPr>
          <w:p w:rsidR="007F6B1C" w:rsidRPr="00064053" w:rsidRDefault="007F6B1C" w:rsidP="00C67116">
            <w:pPr>
              <w:pStyle w:val="naiskr"/>
              <w:spacing w:before="0" w:beforeAutospacing="0" w:after="0" w:afterAutospacing="0"/>
              <w:ind w:left="57" w:right="57"/>
              <w:jc w:val="center"/>
            </w:pPr>
            <w:r w:rsidRPr="00064053">
              <w:t>1.</w:t>
            </w:r>
          </w:p>
        </w:tc>
        <w:tc>
          <w:tcPr>
            <w:tcW w:w="1238" w:type="pct"/>
          </w:tcPr>
          <w:p w:rsidR="009F60E1" w:rsidRPr="00064053" w:rsidRDefault="007F6B1C" w:rsidP="00C67116">
            <w:pPr>
              <w:pStyle w:val="naiskr"/>
              <w:spacing w:before="0" w:beforeAutospacing="0" w:after="0" w:afterAutospacing="0"/>
              <w:ind w:left="57" w:right="57"/>
            </w:pPr>
            <w:r w:rsidRPr="00064053">
              <w:t>Pamatojums</w:t>
            </w:r>
          </w:p>
          <w:p w:rsidR="009F60E1" w:rsidRPr="00064053" w:rsidRDefault="009F60E1" w:rsidP="00C67116">
            <w:pPr>
              <w:spacing w:after="0" w:line="240" w:lineRule="auto"/>
              <w:rPr>
                <w:rFonts w:ascii="Times New Roman" w:hAnsi="Times New Roman" w:cs="Times New Roman"/>
                <w:lang w:eastAsia="lv-LV"/>
              </w:rPr>
            </w:pPr>
          </w:p>
          <w:p w:rsidR="009F60E1" w:rsidRPr="00064053" w:rsidRDefault="009F60E1" w:rsidP="00C67116">
            <w:pPr>
              <w:spacing w:after="0" w:line="240" w:lineRule="auto"/>
              <w:rPr>
                <w:rFonts w:ascii="Times New Roman" w:hAnsi="Times New Roman" w:cs="Times New Roman"/>
                <w:lang w:eastAsia="lv-LV"/>
              </w:rPr>
            </w:pPr>
          </w:p>
          <w:p w:rsidR="009F60E1" w:rsidRPr="00064053" w:rsidRDefault="009F60E1" w:rsidP="00C67116">
            <w:pPr>
              <w:spacing w:after="0" w:line="240" w:lineRule="auto"/>
              <w:rPr>
                <w:rFonts w:ascii="Times New Roman" w:hAnsi="Times New Roman" w:cs="Times New Roman"/>
                <w:lang w:eastAsia="lv-LV"/>
              </w:rPr>
            </w:pPr>
          </w:p>
          <w:p w:rsidR="007F6B1C" w:rsidRPr="00064053" w:rsidRDefault="007F6B1C" w:rsidP="00C67116">
            <w:pPr>
              <w:spacing w:after="0" w:line="240" w:lineRule="auto"/>
              <w:rPr>
                <w:rFonts w:ascii="Times New Roman" w:hAnsi="Times New Roman" w:cs="Times New Roman"/>
                <w:lang w:eastAsia="lv-LV"/>
              </w:rPr>
            </w:pPr>
          </w:p>
        </w:tc>
        <w:tc>
          <w:tcPr>
            <w:tcW w:w="3536" w:type="pct"/>
          </w:tcPr>
          <w:p w:rsidR="002A699E" w:rsidRPr="00064053" w:rsidRDefault="002A699E" w:rsidP="00C67116">
            <w:pPr>
              <w:snapToGrid w:val="0"/>
              <w:spacing w:after="0" w:line="240" w:lineRule="auto"/>
              <w:ind w:firstLine="530"/>
              <w:jc w:val="both"/>
              <w:rPr>
                <w:rFonts w:ascii="Times New Roman" w:hAnsi="Times New Roman" w:cs="Times New Roman"/>
                <w:sz w:val="24"/>
                <w:szCs w:val="24"/>
              </w:rPr>
            </w:pPr>
            <w:r w:rsidRPr="00064053">
              <w:rPr>
                <w:rFonts w:ascii="Times New Roman" w:hAnsi="Times New Roman" w:cs="Times New Roman"/>
                <w:sz w:val="24"/>
                <w:szCs w:val="24"/>
              </w:rPr>
              <w:t xml:space="preserve">Ministru kabineta noteikumu projekts „Grozījums Ministru kabineta 2013.gada 10.septemba noteikumos Nr.791 </w:t>
            </w:r>
            <w:r w:rsidRPr="00064053">
              <w:rPr>
                <w:rFonts w:ascii="Times New Roman" w:hAnsi="Times New Roman" w:cs="Times New Roman"/>
                <w:bCs/>
                <w:sz w:val="24"/>
                <w:szCs w:val="24"/>
              </w:rPr>
              <w:t>„Profesionālās izglītības iestāžu un eksaminācijas centru maksas pakalpojumu cenrādis””</w:t>
            </w:r>
            <w:r w:rsidRPr="00064053">
              <w:rPr>
                <w:rFonts w:ascii="Times New Roman" w:hAnsi="Times New Roman" w:cs="Times New Roman"/>
                <w:sz w:val="24"/>
                <w:szCs w:val="24"/>
              </w:rPr>
              <w:t xml:space="preserve"> (turpmāk – noteikumu projekts) izstrādāts saskaņā ar Likuma par budžetu un finanšu vadību 5.panta devīto daļu, kas nosaka, ka Ministru kabinets izdod noteikumus par valsts tiešās pārvaldes iestāžu sniegto maksas pakalpojumu cenrāžu apstiprināšanu. </w:t>
            </w:r>
          </w:p>
          <w:p w:rsidR="007F6B1C" w:rsidRPr="00064053" w:rsidRDefault="002A699E" w:rsidP="00C67116">
            <w:pPr>
              <w:spacing w:after="0" w:line="240" w:lineRule="auto"/>
              <w:ind w:left="57" w:right="57" w:firstLine="530"/>
              <w:jc w:val="both"/>
              <w:rPr>
                <w:rFonts w:ascii="Times New Roman" w:hAnsi="Times New Roman" w:cs="Times New Roman"/>
                <w:sz w:val="24"/>
                <w:szCs w:val="24"/>
                <w:shd w:val="clear" w:color="auto" w:fill="FFFFFF"/>
              </w:rPr>
            </w:pPr>
            <w:r w:rsidRPr="00064053">
              <w:rPr>
                <w:rFonts w:ascii="Times New Roman" w:hAnsi="Times New Roman" w:cs="Times New Roman"/>
                <w:sz w:val="24"/>
                <w:szCs w:val="24"/>
              </w:rPr>
              <w:t>Noteikumu projekta izstrādes nepieciešamība izriet arī no Profesionālās izglītības likuma 7.panta 13.punktā noteiktā, ka Ministru kabinets nosaka profesionālās izglītības iestāžu un eksaminācijas centru valsts pārvaldes uzdevuma – ārpus formālās izglītības sistēmas apgūtās profesionālās kompetences novērtēšana – ietvaros sniegto maksas pakalpojumu cenrādi.</w:t>
            </w:r>
          </w:p>
        </w:tc>
      </w:tr>
      <w:tr w:rsidR="007F6B1C" w:rsidRPr="00064053" w:rsidTr="003E06A3">
        <w:trPr>
          <w:trHeight w:val="472"/>
        </w:trPr>
        <w:tc>
          <w:tcPr>
            <w:tcW w:w="227" w:type="pct"/>
          </w:tcPr>
          <w:p w:rsidR="007F6B1C" w:rsidRPr="00064053" w:rsidRDefault="007F6B1C" w:rsidP="00C67116">
            <w:pPr>
              <w:pStyle w:val="naiskr"/>
              <w:spacing w:before="0" w:beforeAutospacing="0" w:after="0" w:afterAutospacing="0"/>
              <w:ind w:left="57" w:right="57"/>
              <w:jc w:val="center"/>
            </w:pPr>
            <w:r w:rsidRPr="00064053">
              <w:t>2.</w:t>
            </w:r>
          </w:p>
        </w:tc>
        <w:tc>
          <w:tcPr>
            <w:tcW w:w="1238" w:type="pct"/>
          </w:tcPr>
          <w:p w:rsidR="00404443" w:rsidRDefault="007F6B1C" w:rsidP="00C67116">
            <w:pPr>
              <w:pStyle w:val="naiskr"/>
              <w:tabs>
                <w:tab w:val="left" w:pos="170"/>
              </w:tabs>
              <w:spacing w:before="0" w:beforeAutospacing="0" w:after="0" w:afterAutospacing="0"/>
              <w:ind w:left="57" w:right="57"/>
            </w:pPr>
            <w:r w:rsidRPr="00064053">
              <w:t>Pašreizējā situācija un problēmas, kuru risināšanai tiesību akta projekts izstrādāts, tiesiskā regulējuma mērķis un būtība</w:t>
            </w:r>
          </w:p>
          <w:p w:rsidR="00404443" w:rsidRDefault="00404443" w:rsidP="00404443">
            <w:pPr>
              <w:rPr>
                <w:lang w:eastAsia="lv-LV"/>
              </w:rPr>
            </w:pPr>
          </w:p>
          <w:p w:rsidR="007F6B1C" w:rsidRPr="00404443" w:rsidRDefault="007F6B1C" w:rsidP="00404443">
            <w:pPr>
              <w:ind w:firstLine="720"/>
              <w:rPr>
                <w:lang w:eastAsia="lv-LV"/>
              </w:rPr>
            </w:pPr>
          </w:p>
        </w:tc>
        <w:tc>
          <w:tcPr>
            <w:tcW w:w="3536" w:type="pct"/>
          </w:tcPr>
          <w:p w:rsidR="002A699E" w:rsidRPr="00064053" w:rsidRDefault="002A699E" w:rsidP="00C67116">
            <w:pPr>
              <w:pStyle w:val="CommentText"/>
              <w:ind w:left="56" w:firstLine="530"/>
              <w:jc w:val="both"/>
              <w:rPr>
                <w:sz w:val="24"/>
                <w:szCs w:val="24"/>
              </w:rPr>
            </w:pPr>
            <w:r w:rsidRPr="00064053">
              <w:rPr>
                <w:sz w:val="24"/>
                <w:szCs w:val="24"/>
              </w:rPr>
              <w:t>Pašreiz saskaņā ar Profesionālās izglītības likuma 29.</w:t>
            </w:r>
            <w:r w:rsidRPr="00064053">
              <w:rPr>
                <w:sz w:val="24"/>
                <w:szCs w:val="24"/>
                <w:vertAlign w:val="superscript"/>
              </w:rPr>
              <w:t>1 </w:t>
            </w:r>
            <w:r w:rsidR="008C3FE8">
              <w:rPr>
                <w:sz w:val="24"/>
                <w:szCs w:val="24"/>
              </w:rPr>
              <w:t xml:space="preserve">panta </w:t>
            </w:r>
            <w:r w:rsidRPr="00064053">
              <w:rPr>
                <w:sz w:val="24"/>
                <w:szCs w:val="24"/>
              </w:rPr>
              <w:t>otrajā daļā un Ministru kabineta 2011.gada 22.februāra noteikumu Nr.146 „Kārtība, kādā novērtē ārpus formālās izglītības sistēmas apgūto profesionālo kompetenci” 3.punktā noteikto ārpus formālās izglītības sistēmas apgūtās profesionālās kompetences (turpmāk – profesionālā kompetence) novērtēšanu veic akreditēta izglītības iestāde vai akreditēts eksaminācijas centrs, kam Izglītības kvalitātes valsts dienests šo uzdevumu ir deleģējis.</w:t>
            </w:r>
          </w:p>
          <w:p w:rsidR="002A699E" w:rsidRPr="00064053" w:rsidRDefault="002A699E" w:rsidP="00C67116">
            <w:pPr>
              <w:pStyle w:val="CommentText"/>
              <w:ind w:left="56" w:firstLine="530"/>
              <w:jc w:val="both"/>
              <w:rPr>
                <w:sz w:val="24"/>
                <w:szCs w:val="24"/>
              </w:rPr>
            </w:pPr>
            <w:r w:rsidRPr="00064053">
              <w:rPr>
                <w:sz w:val="24"/>
                <w:szCs w:val="24"/>
              </w:rPr>
              <w:t>Profesionālās izglītības iestādes un eksaminācijas centru sniegto</w:t>
            </w:r>
            <w:r w:rsidR="00E0702B">
              <w:rPr>
                <w:sz w:val="24"/>
                <w:szCs w:val="24"/>
              </w:rPr>
              <w:t>s</w:t>
            </w:r>
            <w:r w:rsidRPr="00064053">
              <w:rPr>
                <w:sz w:val="24"/>
                <w:szCs w:val="24"/>
              </w:rPr>
              <w:t xml:space="preserve"> maksas pakalpojumus un </w:t>
            </w:r>
            <w:r w:rsidR="00E0702B">
              <w:rPr>
                <w:sz w:val="24"/>
                <w:szCs w:val="24"/>
              </w:rPr>
              <w:t xml:space="preserve">maksas </w:t>
            </w:r>
            <w:r w:rsidRPr="00064053">
              <w:rPr>
                <w:sz w:val="24"/>
                <w:szCs w:val="24"/>
              </w:rPr>
              <w:t>pakalpojumu cenas nosaka Ministru kabineta 2013.gada 10.septembra noteikumi Nr.791 „Profesionālās izglītības iestāžu un eksaminācijas centru maksas pakalpojumu cenrādis”</w:t>
            </w:r>
            <w:r w:rsidRPr="00064053">
              <w:rPr>
                <w:bCs/>
                <w:sz w:val="24"/>
                <w:szCs w:val="24"/>
              </w:rPr>
              <w:t xml:space="preserve"> (turpmāk – noteikumi Nr.791)</w:t>
            </w:r>
            <w:r w:rsidRPr="00064053">
              <w:rPr>
                <w:sz w:val="24"/>
                <w:szCs w:val="24"/>
              </w:rPr>
              <w:t>, kur cita starpā ir noteiktas tās izglītības tematiskās jomas</w:t>
            </w:r>
            <w:r w:rsidR="00C92723">
              <w:rPr>
                <w:sz w:val="24"/>
                <w:szCs w:val="24"/>
              </w:rPr>
              <w:t>, izglītības</w:t>
            </w:r>
            <w:r w:rsidRPr="00064053">
              <w:rPr>
                <w:sz w:val="24"/>
                <w:szCs w:val="24"/>
              </w:rPr>
              <w:t xml:space="preserve"> programmu grupas, kurās novērtē ārpus formālās izglītības sistēmas apgūto profesionālo kompetenci.</w:t>
            </w:r>
          </w:p>
          <w:p w:rsidR="002A699E" w:rsidRPr="00064053" w:rsidRDefault="002A699E" w:rsidP="00C67116">
            <w:pPr>
              <w:pStyle w:val="CommentText"/>
              <w:ind w:left="56" w:firstLine="530"/>
              <w:jc w:val="both"/>
              <w:rPr>
                <w:sz w:val="24"/>
                <w:szCs w:val="24"/>
              </w:rPr>
            </w:pPr>
            <w:r w:rsidRPr="00064053">
              <w:rPr>
                <w:sz w:val="24"/>
                <w:szCs w:val="24"/>
              </w:rPr>
              <w:t>Šobrīd Valsts policijā un Valsts ugunsdzēsības un glābšanas dienestā dien amatpersonas ar speciālajām dienesta pakāpēm, kurām nav amatam atbilstošas profesionālās izglītības,</w:t>
            </w:r>
            <w:r w:rsidRPr="00064053">
              <w:rPr>
                <w:color w:val="333399"/>
                <w:sz w:val="24"/>
                <w:szCs w:val="24"/>
              </w:rPr>
              <w:t xml:space="preserve"> </w:t>
            </w:r>
            <w:r w:rsidRPr="00064053">
              <w:rPr>
                <w:sz w:val="24"/>
                <w:szCs w:val="24"/>
              </w:rPr>
              <w:t xml:space="preserve">bet kurām ir iegūta profesionālā pieredze un ārpus formālās izglītības sistēmas, t.sk. neformālās izglītības programmās, iegūtas zināšanas un prasmes. </w:t>
            </w:r>
          </w:p>
          <w:p w:rsidR="002A699E" w:rsidRPr="00064053" w:rsidRDefault="002A699E" w:rsidP="00C67116">
            <w:pPr>
              <w:pStyle w:val="CommentText"/>
              <w:ind w:left="56" w:firstLine="530"/>
              <w:jc w:val="both"/>
              <w:rPr>
                <w:sz w:val="24"/>
                <w:szCs w:val="24"/>
              </w:rPr>
            </w:pPr>
            <w:r w:rsidRPr="00064053">
              <w:rPr>
                <w:sz w:val="24"/>
                <w:szCs w:val="24"/>
              </w:rPr>
              <w:t xml:space="preserve">Saskaņā ar noteikumiem Nr.791 profesionālās kompetences </w:t>
            </w:r>
            <w:r w:rsidR="00C92723">
              <w:rPr>
                <w:sz w:val="24"/>
                <w:szCs w:val="24"/>
              </w:rPr>
              <w:t>novērtēšana</w:t>
            </w:r>
            <w:r w:rsidR="00E0702B">
              <w:rPr>
                <w:sz w:val="24"/>
                <w:szCs w:val="24"/>
              </w:rPr>
              <w:t xml:space="preserve"> ir maksas pakalpojums. </w:t>
            </w:r>
            <w:r w:rsidR="00E0702B" w:rsidRPr="00E0702B">
              <w:rPr>
                <w:sz w:val="24"/>
                <w:szCs w:val="24"/>
              </w:rPr>
              <w:t>Taču noteikumos Nr.791 nav iekļautas izglītības tematiskās jomas “Civilā un militārā aizsardzība” izglītības programmu grupas „Personu un īpašuma aizsardzība” izglītības programmu kopa „Policijas</w:t>
            </w:r>
            <w:r w:rsidR="00711410">
              <w:rPr>
                <w:sz w:val="24"/>
                <w:szCs w:val="24"/>
              </w:rPr>
              <w:t xml:space="preserve"> darbs” un izglītības programmu</w:t>
            </w:r>
            <w:r w:rsidR="00E0702B" w:rsidRPr="00E0702B">
              <w:rPr>
                <w:sz w:val="24"/>
                <w:szCs w:val="24"/>
              </w:rPr>
              <w:t xml:space="preserve"> kopa „Ugunsdrošība un ugunsdzēsība”.</w:t>
            </w:r>
          </w:p>
          <w:p w:rsidR="002A699E" w:rsidRPr="00064053" w:rsidRDefault="002A699E" w:rsidP="00C67116">
            <w:pPr>
              <w:spacing w:after="0" w:line="240" w:lineRule="auto"/>
              <w:ind w:left="56" w:firstLine="530"/>
              <w:jc w:val="both"/>
              <w:rPr>
                <w:rFonts w:ascii="Times New Roman" w:eastAsia="Calibri" w:hAnsi="Times New Roman" w:cs="Times New Roman"/>
                <w:color w:val="000000"/>
                <w:sz w:val="24"/>
                <w:szCs w:val="24"/>
              </w:rPr>
            </w:pPr>
            <w:r w:rsidRPr="00064053">
              <w:rPr>
                <w:rFonts w:ascii="Times New Roman" w:hAnsi="Times New Roman" w:cs="Times New Roman"/>
                <w:sz w:val="24"/>
                <w:szCs w:val="24"/>
              </w:rPr>
              <w:t xml:space="preserve">Noteikumu projekts paredz </w:t>
            </w:r>
            <w:r w:rsidRPr="00064053">
              <w:rPr>
                <w:rFonts w:ascii="Times New Roman" w:hAnsi="Times New Roman" w:cs="Times New Roman"/>
                <w:color w:val="000000"/>
                <w:sz w:val="24"/>
                <w:szCs w:val="24"/>
              </w:rPr>
              <w:t xml:space="preserve">papildināt noteikumu Nr.791 </w:t>
            </w:r>
            <w:r w:rsidRPr="00064053">
              <w:rPr>
                <w:rFonts w:ascii="Times New Roman" w:hAnsi="Times New Roman" w:cs="Times New Roman"/>
                <w:color w:val="000000"/>
                <w:sz w:val="24"/>
                <w:szCs w:val="24"/>
              </w:rPr>
              <w:lastRenderedPageBreak/>
              <w:t xml:space="preserve">pielikumu ar šādām jaunām </w:t>
            </w:r>
            <w:r w:rsidR="00E0702B">
              <w:rPr>
                <w:rFonts w:ascii="Times New Roman" w:eastAsia="Calibri" w:hAnsi="Times New Roman" w:cs="Times New Roman"/>
                <w:color w:val="000000"/>
                <w:sz w:val="24"/>
                <w:szCs w:val="24"/>
              </w:rPr>
              <w:t>izglītības tematiskās jomas programmu grupām, kurās novērtē profesionālo kompetenci</w:t>
            </w:r>
            <w:r w:rsidRPr="00064053">
              <w:rPr>
                <w:rFonts w:ascii="Times New Roman" w:eastAsia="Calibri" w:hAnsi="Times New Roman" w:cs="Times New Roman"/>
                <w:color w:val="000000"/>
                <w:sz w:val="24"/>
                <w:szCs w:val="24"/>
              </w:rPr>
              <w:t>:</w:t>
            </w:r>
          </w:p>
          <w:p w:rsidR="002A699E" w:rsidRPr="00064053" w:rsidRDefault="00E0702B" w:rsidP="00C67116">
            <w:pPr>
              <w:pStyle w:val="ListParagraph"/>
              <w:numPr>
                <w:ilvl w:val="0"/>
                <w:numId w:val="1"/>
              </w:numPr>
              <w:ind w:firstLine="530"/>
              <w:jc w:val="both"/>
              <w:rPr>
                <w:rStyle w:val="tvhtmlmktable"/>
              </w:rPr>
            </w:pPr>
            <w:r>
              <w:rPr>
                <w:color w:val="000000"/>
              </w:rPr>
              <w:t xml:space="preserve">Izglītības tematiskās jomas </w:t>
            </w:r>
            <w:r w:rsidR="002A699E" w:rsidRPr="00064053">
              <w:rPr>
                <w:color w:val="000000"/>
              </w:rPr>
              <w:t xml:space="preserve">„Civilā un militārā aizsardzība”, </w:t>
            </w:r>
            <w:r w:rsidR="002A699E" w:rsidRPr="00064053">
              <w:t xml:space="preserve">izglītības programmu grupa </w:t>
            </w:r>
            <w:r w:rsidR="002A699E" w:rsidRPr="00064053">
              <w:rPr>
                <w:color w:val="000000"/>
              </w:rPr>
              <w:t>„</w:t>
            </w:r>
            <w:r w:rsidR="002A699E" w:rsidRPr="00064053">
              <w:t>Personu un īpašuma aizsardzība” (izglītības programmu kopa „Policijas darbs”)</w:t>
            </w:r>
            <w:r w:rsidR="002A699E" w:rsidRPr="00064053">
              <w:rPr>
                <w:color w:val="000000"/>
              </w:rPr>
              <w:t>;</w:t>
            </w:r>
          </w:p>
          <w:p w:rsidR="002A699E" w:rsidRPr="00064053" w:rsidRDefault="00E0702B" w:rsidP="00C67116">
            <w:pPr>
              <w:pStyle w:val="ListParagraph"/>
              <w:numPr>
                <w:ilvl w:val="0"/>
                <w:numId w:val="1"/>
              </w:numPr>
              <w:ind w:firstLine="530"/>
              <w:jc w:val="both"/>
              <w:rPr>
                <w:rStyle w:val="tvhtmlmktable"/>
              </w:rPr>
            </w:pPr>
            <w:r>
              <w:rPr>
                <w:color w:val="000000"/>
              </w:rPr>
              <w:t xml:space="preserve">Izglītības tematiskās jomas </w:t>
            </w:r>
            <w:r w:rsidR="002A699E" w:rsidRPr="00064053">
              <w:rPr>
                <w:rStyle w:val="tvhtmlmktable"/>
              </w:rPr>
              <w:t>„Civilā un militārā aizsardzība” izglītības programmu grupa „Personu un īpašuma aiz</w:t>
            </w:r>
            <w:r w:rsidR="00711410">
              <w:rPr>
                <w:rStyle w:val="tvhtmlmktable"/>
              </w:rPr>
              <w:t>sardzība” (izglītības programmu</w:t>
            </w:r>
            <w:r w:rsidR="002A699E" w:rsidRPr="00064053">
              <w:rPr>
                <w:rStyle w:val="tvhtmlmktable"/>
              </w:rPr>
              <w:t xml:space="preserve"> kopa „Ugunsdrošība un ugunsdzēsība”).</w:t>
            </w:r>
          </w:p>
          <w:p w:rsidR="00C92723" w:rsidRPr="00064053" w:rsidRDefault="00C92723" w:rsidP="00C67116">
            <w:pPr>
              <w:pStyle w:val="CommentText"/>
              <w:ind w:left="56" w:firstLine="530"/>
              <w:jc w:val="both"/>
              <w:rPr>
                <w:sz w:val="24"/>
                <w:szCs w:val="24"/>
              </w:rPr>
            </w:pPr>
            <w:r w:rsidRPr="00064053">
              <w:rPr>
                <w:sz w:val="24"/>
                <w:szCs w:val="24"/>
              </w:rPr>
              <w:t>Atbilstoši Profesionālās izglītības likuma 29.</w:t>
            </w:r>
            <w:r w:rsidR="00A2589D" w:rsidRPr="00A2589D">
              <w:rPr>
                <w:sz w:val="24"/>
                <w:szCs w:val="24"/>
                <w:vertAlign w:val="superscript"/>
              </w:rPr>
              <w:t>1</w:t>
            </w:r>
            <w:r w:rsidRPr="00064053">
              <w:rPr>
                <w:sz w:val="24"/>
                <w:szCs w:val="24"/>
              </w:rPr>
              <w:t xml:space="preserve">pantā noteiktajam regulējumam attiecībā uz </w:t>
            </w:r>
            <w:r w:rsidRPr="00064053">
              <w:rPr>
                <w:bCs/>
                <w:sz w:val="24"/>
                <w:szCs w:val="24"/>
              </w:rPr>
              <w:t xml:space="preserve">profesionālās izglītības programmas apguves noslēguma pārbaudījumiem </w:t>
            </w:r>
            <w:r w:rsidRPr="00064053">
              <w:rPr>
                <w:sz w:val="24"/>
                <w:szCs w:val="24"/>
              </w:rPr>
              <w:t>un Ministru kabineta 2011.gada 22.februāra noteikumu Nr.146 „Kārtība, kādā novērtē ārpus formālās izglītības sistēmas apgūto profesionālo kompetenci” 3.punktam Valsts policijas koledža</w:t>
            </w:r>
            <w:r>
              <w:rPr>
                <w:sz w:val="24"/>
                <w:szCs w:val="24"/>
              </w:rPr>
              <w:t xml:space="preserve"> un Ugunsdrošības un civilās aizsardzības koledža</w:t>
            </w:r>
            <w:r w:rsidR="00711410">
              <w:rPr>
                <w:sz w:val="24"/>
                <w:szCs w:val="24"/>
              </w:rPr>
              <w:t xml:space="preserve"> veiks amatpersonu ar speciālajām</w:t>
            </w:r>
            <w:r w:rsidRPr="00064053">
              <w:rPr>
                <w:sz w:val="24"/>
                <w:szCs w:val="24"/>
              </w:rPr>
              <w:t xml:space="preserve"> dienesta pakāp</w:t>
            </w:r>
            <w:r w:rsidR="00711410">
              <w:rPr>
                <w:sz w:val="24"/>
                <w:szCs w:val="24"/>
              </w:rPr>
              <w:t>ēm</w:t>
            </w:r>
            <w:r w:rsidRPr="00064053">
              <w:rPr>
                <w:sz w:val="24"/>
                <w:szCs w:val="24"/>
              </w:rPr>
              <w:t xml:space="preserve"> profesionālās kompetences novērtēšanu.</w:t>
            </w:r>
          </w:p>
          <w:p w:rsidR="002A699E" w:rsidRDefault="002A699E" w:rsidP="00C67116">
            <w:pPr>
              <w:spacing w:after="0" w:line="240" w:lineRule="auto"/>
              <w:ind w:left="56" w:firstLine="530"/>
              <w:jc w:val="both"/>
              <w:rPr>
                <w:rFonts w:ascii="Times New Roman" w:hAnsi="Times New Roman" w:cs="Times New Roman"/>
                <w:sz w:val="24"/>
                <w:szCs w:val="24"/>
              </w:rPr>
            </w:pPr>
            <w:r w:rsidRPr="00064053">
              <w:rPr>
                <w:rFonts w:ascii="Times New Roman" w:hAnsi="Times New Roman" w:cs="Times New Roman"/>
                <w:sz w:val="24"/>
                <w:szCs w:val="24"/>
              </w:rPr>
              <w:t>Līdz ar to Valsts policijas un Valsts ugunsdzēsības un glābšanas dienesta amatpersonām ar speciālajām dienesta pakāpēm būs iespēja kārtot profesionālās kompetences kvalifikācijas eksāmenu un iegūt attiecīgu profesionālo kvalifikāciju „Ierindas sastāva policists” vai „Ugunsdzēsības un glābšanas dienesta ugunsdzēsējs - glābējs”.</w:t>
            </w:r>
          </w:p>
          <w:p w:rsidR="00B96904" w:rsidRDefault="00B96904" w:rsidP="00C67116">
            <w:pPr>
              <w:spacing w:after="0" w:line="240" w:lineRule="auto"/>
              <w:ind w:left="56" w:firstLine="530"/>
              <w:jc w:val="both"/>
              <w:rPr>
                <w:rFonts w:ascii="Times New Roman" w:hAnsi="Times New Roman" w:cs="Times New Roman"/>
                <w:sz w:val="24"/>
                <w:szCs w:val="24"/>
              </w:rPr>
            </w:pPr>
            <w:r>
              <w:rPr>
                <w:rFonts w:ascii="Times New Roman" w:hAnsi="Times New Roman" w:cs="Times New Roman"/>
                <w:sz w:val="24"/>
                <w:szCs w:val="24"/>
              </w:rPr>
              <w:t>P</w:t>
            </w:r>
            <w:r w:rsidRPr="00B96904">
              <w:rPr>
                <w:rFonts w:ascii="Times New Roman" w:hAnsi="Times New Roman" w:cs="Times New Roman"/>
                <w:sz w:val="24"/>
                <w:szCs w:val="24"/>
              </w:rPr>
              <w:t>rofesionālās kompetences novērtēšanu, kuru veiks Valsts policijas koledža un Ugunsdzēsības un civilās aizsardzības koledža, apmaksās amatpersonas ar speciālajām dienesta pakāpēm, kuras ieņem amatus Valsts policijā un Valsts ugunsdzēsības un glābšanas dienestā un kurām nav amatam atbilstošas profesionālās izglītības, bet kuras ir ieguvušas profesionālo pieredzi un ārpus formālās izglītības sistēmas, t.sk. neformālās izglītības programmās, ir ieguvušas zināšanas un prasmes.</w:t>
            </w:r>
          </w:p>
          <w:p w:rsidR="007F6B1C" w:rsidRPr="00A2589D" w:rsidRDefault="00A2589D" w:rsidP="00C67116">
            <w:pPr>
              <w:spacing w:after="0" w:line="240" w:lineRule="auto"/>
              <w:ind w:left="56" w:firstLine="530"/>
              <w:jc w:val="both"/>
              <w:rPr>
                <w:rFonts w:ascii="Times New Roman" w:hAnsi="Times New Roman" w:cs="Times New Roman"/>
                <w:sz w:val="24"/>
                <w:szCs w:val="24"/>
              </w:rPr>
            </w:pPr>
            <w:r w:rsidRPr="00A2589D">
              <w:rPr>
                <w:rFonts w:ascii="Times New Roman" w:hAnsi="Times New Roman" w:cs="Times New Roman"/>
                <w:sz w:val="24"/>
                <w:szCs w:val="24"/>
              </w:rPr>
              <w:t>Iekšlietu ministrijas sistēmas iestāžu amatpersonas ar speciālajām dienesta pakāpēm, kuras ieņem amatus Valsts policijā un Valsts ugunsdzēsības un glābšanas dienestā un kurām nav amatam atbilstošas profesionālās izglītības</w:t>
            </w:r>
            <w:r>
              <w:rPr>
                <w:rFonts w:ascii="Times New Roman" w:hAnsi="Times New Roman" w:cs="Times New Roman"/>
                <w:sz w:val="24"/>
                <w:szCs w:val="24"/>
              </w:rPr>
              <w:t xml:space="preserve">, </w:t>
            </w:r>
            <w:r w:rsidRPr="00A2589D">
              <w:rPr>
                <w:rFonts w:ascii="Times New Roman" w:hAnsi="Times New Roman" w:cs="Times New Roman"/>
                <w:sz w:val="24"/>
                <w:szCs w:val="24"/>
              </w:rPr>
              <w:t>ir tiesīgas ieņemt amatus Iekšlietu ministrijas sistēmā bez atbilstošas profesionālās izglītības līdz 2016.gada 1.jūlijam atbilstoši Iekšlietu ministrijas sistēmas iestāžu un Ieslodzījuma vietu pārvaldes amatpersonu ar speciālajām dienesta pakāpēm dienesta gaitas likuma Pārejas noteikumu 8.punktam.</w:t>
            </w:r>
          </w:p>
        </w:tc>
      </w:tr>
      <w:tr w:rsidR="007F6B1C" w:rsidRPr="00064053" w:rsidTr="003E06A3">
        <w:trPr>
          <w:trHeight w:val="476"/>
        </w:trPr>
        <w:tc>
          <w:tcPr>
            <w:tcW w:w="227" w:type="pct"/>
          </w:tcPr>
          <w:p w:rsidR="007F6B1C" w:rsidRPr="00064053" w:rsidRDefault="007F6B1C" w:rsidP="00C67116">
            <w:pPr>
              <w:pStyle w:val="naiskr"/>
              <w:spacing w:before="0" w:beforeAutospacing="0" w:after="0" w:afterAutospacing="0"/>
              <w:ind w:left="57" w:right="57"/>
              <w:jc w:val="center"/>
            </w:pPr>
            <w:r w:rsidRPr="00064053">
              <w:lastRenderedPageBreak/>
              <w:t>3.</w:t>
            </w:r>
          </w:p>
        </w:tc>
        <w:tc>
          <w:tcPr>
            <w:tcW w:w="1238" w:type="pct"/>
          </w:tcPr>
          <w:p w:rsidR="007F6B1C" w:rsidRPr="00064053" w:rsidRDefault="007F6B1C" w:rsidP="00C67116">
            <w:pPr>
              <w:pStyle w:val="naiskr"/>
              <w:spacing w:before="0" w:beforeAutospacing="0" w:after="0" w:afterAutospacing="0"/>
              <w:ind w:left="57" w:right="57"/>
            </w:pPr>
            <w:r w:rsidRPr="00064053">
              <w:t>Projekta izstrādē iesaistītās institūcijas</w:t>
            </w:r>
          </w:p>
        </w:tc>
        <w:tc>
          <w:tcPr>
            <w:tcW w:w="3536" w:type="pct"/>
          </w:tcPr>
          <w:p w:rsidR="007F6B1C" w:rsidRPr="00064053" w:rsidRDefault="00C92723" w:rsidP="00C67116">
            <w:pPr>
              <w:spacing w:after="0" w:line="240" w:lineRule="auto"/>
              <w:ind w:left="57" w:right="57" w:firstLine="530"/>
              <w:jc w:val="both"/>
              <w:rPr>
                <w:rFonts w:ascii="Times New Roman" w:hAnsi="Times New Roman" w:cs="Times New Roman"/>
                <w:b/>
                <w:sz w:val="24"/>
                <w:szCs w:val="24"/>
              </w:rPr>
            </w:pPr>
            <w:r>
              <w:rPr>
                <w:rFonts w:ascii="Times New Roman" w:eastAsia="EUAlbertina_Bold" w:hAnsi="Times New Roman" w:cs="Times New Roman"/>
                <w:sz w:val="24"/>
                <w:szCs w:val="24"/>
              </w:rPr>
              <w:t>Valsts policijas koledža,</w:t>
            </w:r>
            <w:r w:rsidR="002A699E" w:rsidRPr="00064053">
              <w:rPr>
                <w:rFonts w:ascii="Times New Roman" w:hAnsi="Times New Roman" w:cs="Times New Roman"/>
                <w:sz w:val="24"/>
                <w:szCs w:val="24"/>
              </w:rPr>
              <w:t xml:space="preserve"> </w:t>
            </w:r>
            <w:r w:rsidR="002A699E" w:rsidRPr="00064053">
              <w:rPr>
                <w:rFonts w:ascii="Times New Roman" w:eastAsia="EUAlbertina_Bold" w:hAnsi="Times New Roman" w:cs="Times New Roman"/>
                <w:sz w:val="24"/>
                <w:szCs w:val="24"/>
              </w:rPr>
              <w:t>Ugunsdrošības un civilās aizsardzības koledža.</w:t>
            </w:r>
          </w:p>
        </w:tc>
      </w:tr>
      <w:tr w:rsidR="007F6B1C" w:rsidRPr="00064053" w:rsidTr="003E06A3">
        <w:tc>
          <w:tcPr>
            <w:tcW w:w="227" w:type="pct"/>
          </w:tcPr>
          <w:p w:rsidR="007F6B1C" w:rsidRPr="00064053" w:rsidRDefault="007F6B1C" w:rsidP="00C67116">
            <w:pPr>
              <w:pStyle w:val="naiskr"/>
              <w:spacing w:before="0" w:beforeAutospacing="0" w:after="0" w:afterAutospacing="0"/>
              <w:ind w:left="57" w:right="57"/>
              <w:jc w:val="center"/>
            </w:pPr>
            <w:r w:rsidRPr="00064053">
              <w:t>4.</w:t>
            </w:r>
          </w:p>
        </w:tc>
        <w:tc>
          <w:tcPr>
            <w:tcW w:w="1238" w:type="pct"/>
          </w:tcPr>
          <w:p w:rsidR="007F6B1C" w:rsidRPr="00064053" w:rsidRDefault="007F6B1C" w:rsidP="00C67116">
            <w:pPr>
              <w:pStyle w:val="naiskr"/>
              <w:spacing w:before="0" w:beforeAutospacing="0" w:after="0" w:afterAutospacing="0"/>
              <w:ind w:left="57" w:right="57"/>
            </w:pPr>
            <w:r w:rsidRPr="00064053">
              <w:t>Cita informācija</w:t>
            </w:r>
          </w:p>
        </w:tc>
        <w:tc>
          <w:tcPr>
            <w:tcW w:w="3536" w:type="pct"/>
          </w:tcPr>
          <w:p w:rsidR="007F6B1C" w:rsidRPr="00064053" w:rsidRDefault="002A699E" w:rsidP="00C67116">
            <w:pPr>
              <w:pStyle w:val="naiskr"/>
              <w:spacing w:before="0" w:beforeAutospacing="0" w:after="0" w:afterAutospacing="0"/>
              <w:ind w:left="57" w:right="57" w:firstLine="530"/>
              <w:jc w:val="both"/>
            </w:pPr>
            <w:r w:rsidRPr="00064053">
              <w:t>Nav.</w:t>
            </w:r>
          </w:p>
        </w:tc>
      </w:tr>
    </w:tbl>
    <w:p w:rsidR="007F6B1C" w:rsidRPr="00064053" w:rsidRDefault="007F6B1C" w:rsidP="00C6711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812"/>
      </w:tblGrid>
      <w:tr w:rsidR="007F6B1C" w:rsidRPr="00064053" w:rsidTr="005128C9">
        <w:trPr>
          <w:trHeight w:val="556"/>
        </w:trPr>
        <w:tc>
          <w:tcPr>
            <w:tcW w:w="9219" w:type="dxa"/>
            <w:gridSpan w:val="3"/>
            <w:vAlign w:val="center"/>
          </w:tcPr>
          <w:p w:rsidR="007F6B1C" w:rsidRPr="00064053" w:rsidRDefault="007F6B1C" w:rsidP="00C67116">
            <w:pPr>
              <w:pStyle w:val="naisnod"/>
              <w:spacing w:before="0" w:beforeAutospacing="0" w:after="0" w:afterAutospacing="0"/>
              <w:ind w:left="57" w:right="57"/>
              <w:jc w:val="center"/>
              <w:rPr>
                <w:b/>
              </w:rPr>
            </w:pPr>
            <w:r w:rsidRPr="00064053">
              <w:rPr>
                <w:b/>
              </w:rPr>
              <w:t>II. Tiesību akta projekta ietekme uz sabiedrību, tautsaimniecības attīstību</w:t>
            </w:r>
          </w:p>
          <w:p w:rsidR="007F6B1C" w:rsidRPr="00064053" w:rsidRDefault="007F6B1C" w:rsidP="00C67116">
            <w:pPr>
              <w:pStyle w:val="naisnod"/>
              <w:spacing w:before="0" w:beforeAutospacing="0" w:after="0" w:afterAutospacing="0"/>
              <w:ind w:left="57" w:right="57"/>
              <w:jc w:val="center"/>
              <w:rPr>
                <w:b/>
              </w:rPr>
            </w:pPr>
            <w:r w:rsidRPr="00064053">
              <w:rPr>
                <w:b/>
              </w:rPr>
              <w:t>un administratīvo slogu</w:t>
            </w:r>
          </w:p>
        </w:tc>
      </w:tr>
      <w:tr w:rsidR="007F6B1C" w:rsidRPr="00064053" w:rsidTr="005128C9">
        <w:trPr>
          <w:trHeight w:val="467"/>
        </w:trPr>
        <w:tc>
          <w:tcPr>
            <w:tcW w:w="431" w:type="dxa"/>
          </w:tcPr>
          <w:p w:rsidR="007F6B1C" w:rsidRPr="00064053" w:rsidRDefault="007F6B1C" w:rsidP="00C67116">
            <w:pPr>
              <w:pStyle w:val="naiskr"/>
              <w:spacing w:before="0" w:beforeAutospacing="0" w:after="0" w:afterAutospacing="0"/>
              <w:ind w:left="57" w:right="57"/>
              <w:jc w:val="both"/>
            </w:pPr>
            <w:r w:rsidRPr="00064053">
              <w:t>1.</w:t>
            </w:r>
          </w:p>
        </w:tc>
        <w:tc>
          <w:tcPr>
            <w:tcW w:w="2976" w:type="dxa"/>
          </w:tcPr>
          <w:p w:rsidR="007F6B1C" w:rsidRPr="00064053" w:rsidRDefault="007F6B1C" w:rsidP="00C67116">
            <w:pPr>
              <w:pStyle w:val="naiskr"/>
              <w:spacing w:before="0" w:beforeAutospacing="0" w:after="0" w:afterAutospacing="0"/>
              <w:ind w:left="57" w:right="57"/>
            </w:pPr>
            <w:r w:rsidRPr="00064053">
              <w:t>Sabiedrības mērķgrupas, kuras tiesiskais regulējums ietekmē vai varētu ietekmēt</w:t>
            </w:r>
          </w:p>
        </w:tc>
        <w:tc>
          <w:tcPr>
            <w:tcW w:w="5812" w:type="dxa"/>
          </w:tcPr>
          <w:p w:rsidR="007F6B1C" w:rsidRDefault="002A699E" w:rsidP="00C67116">
            <w:pPr>
              <w:shd w:val="clear" w:color="auto" w:fill="FFFFFF"/>
              <w:spacing w:after="0" w:line="240" w:lineRule="auto"/>
              <w:ind w:left="57" w:right="57" w:firstLine="369"/>
              <w:jc w:val="both"/>
              <w:rPr>
                <w:rFonts w:ascii="Times New Roman" w:hAnsi="Times New Roman" w:cs="Times New Roman"/>
                <w:sz w:val="24"/>
                <w:szCs w:val="24"/>
              </w:rPr>
            </w:pPr>
            <w:bookmarkStart w:id="0" w:name="p21"/>
            <w:bookmarkEnd w:id="0"/>
            <w:r w:rsidRPr="00064053">
              <w:rPr>
                <w:rFonts w:ascii="Times New Roman" w:hAnsi="Times New Roman" w:cs="Times New Roman"/>
                <w:sz w:val="24"/>
                <w:szCs w:val="24"/>
              </w:rPr>
              <w:t xml:space="preserve">Iekšlietu ministrijas sistēmas </w:t>
            </w:r>
            <w:r w:rsidR="00711410">
              <w:rPr>
                <w:rFonts w:ascii="Times New Roman" w:hAnsi="Times New Roman" w:cs="Times New Roman"/>
                <w:sz w:val="24"/>
                <w:szCs w:val="24"/>
              </w:rPr>
              <w:t>iestāžu amatpersonas ar speciālajām</w:t>
            </w:r>
            <w:r w:rsidRPr="00064053">
              <w:rPr>
                <w:rFonts w:ascii="Times New Roman" w:hAnsi="Times New Roman" w:cs="Times New Roman"/>
                <w:sz w:val="24"/>
                <w:szCs w:val="24"/>
              </w:rPr>
              <w:t xml:space="preserve"> dienesta pakāp</w:t>
            </w:r>
            <w:r w:rsidR="00711410">
              <w:rPr>
                <w:rFonts w:ascii="Times New Roman" w:hAnsi="Times New Roman" w:cs="Times New Roman"/>
                <w:sz w:val="24"/>
                <w:szCs w:val="24"/>
              </w:rPr>
              <w:t>ēm</w:t>
            </w:r>
            <w:r w:rsidRPr="00064053">
              <w:rPr>
                <w:rFonts w:ascii="Times New Roman" w:hAnsi="Times New Roman" w:cs="Times New Roman"/>
                <w:sz w:val="24"/>
                <w:szCs w:val="24"/>
              </w:rPr>
              <w:t>, kuras ieņem amatus</w:t>
            </w:r>
            <w:r w:rsidRPr="00064053">
              <w:rPr>
                <w:rFonts w:ascii="Times New Roman" w:hAnsi="Times New Roman" w:cs="Times New Roman"/>
                <w:iCs/>
                <w:sz w:val="24"/>
                <w:szCs w:val="24"/>
              </w:rPr>
              <w:t xml:space="preserve"> Valsts policijā un Valsts ugunsdzēsības un glābšanas dienestā un kurām nav amatam atbilstošas profesionālās izglītības,</w:t>
            </w:r>
            <w:r w:rsidR="00711410">
              <w:rPr>
                <w:rFonts w:ascii="Times New Roman" w:hAnsi="Times New Roman" w:cs="Times New Roman"/>
                <w:sz w:val="24"/>
                <w:szCs w:val="24"/>
              </w:rPr>
              <w:t xml:space="preserve"> bet</w:t>
            </w:r>
            <w:r w:rsidR="00617D91">
              <w:rPr>
                <w:rFonts w:ascii="Times New Roman" w:hAnsi="Times New Roman" w:cs="Times New Roman"/>
                <w:sz w:val="24"/>
                <w:szCs w:val="24"/>
              </w:rPr>
              <w:t xml:space="preserve"> </w:t>
            </w:r>
            <w:r w:rsidR="00617D91">
              <w:rPr>
                <w:rFonts w:ascii="Times New Roman" w:hAnsi="Times New Roman" w:cs="Times New Roman"/>
                <w:sz w:val="24"/>
                <w:szCs w:val="24"/>
              </w:rPr>
              <w:lastRenderedPageBreak/>
              <w:t>kuras</w:t>
            </w:r>
            <w:r w:rsidRPr="00064053">
              <w:rPr>
                <w:rFonts w:ascii="Times New Roman" w:hAnsi="Times New Roman" w:cs="Times New Roman"/>
                <w:sz w:val="24"/>
                <w:szCs w:val="24"/>
              </w:rPr>
              <w:t xml:space="preserve"> ir ieg</w:t>
            </w:r>
            <w:r w:rsidR="00617D91">
              <w:rPr>
                <w:rFonts w:ascii="Times New Roman" w:hAnsi="Times New Roman" w:cs="Times New Roman"/>
                <w:sz w:val="24"/>
                <w:szCs w:val="24"/>
              </w:rPr>
              <w:t>uvušas profesionālo pieredzi</w:t>
            </w:r>
            <w:r w:rsidRPr="00064053">
              <w:rPr>
                <w:rFonts w:ascii="Times New Roman" w:hAnsi="Times New Roman" w:cs="Times New Roman"/>
                <w:sz w:val="24"/>
                <w:szCs w:val="24"/>
              </w:rPr>
              <w:t xml:space="preserve"> un ārpus formālās izglītības sistēmas, t.sk. neformālās izglītības programmās, </w:t>
            </w:r>
            <w:r w:rsidR="00617D91">
              <w:rPr>
                <w:rFonts w:ascii="Times New Roman" w:hAnsi="Times New Roman" w:cs="Times New Roman"/>
                <w:sz w:val="24"/>
                <w:szCs w:val="24"/>
              </w:rPr>
              <w:t>ir ieguvušas</w:t>
            </w:r>
            <w:r w:rsidRPr="00064053">
              <w:rPr>
                <w:rFonts w:ascii="Times New Roman" w:hAnsi="Times New Roman" w:cs="Times New Roman"/>
                <w:sz w:val="24"/>
                <w:szCs w:val="24"/>
              </w:rPr>
              <w:t xml:space="preserve"> zināšanas un prasmes.</w:t>
            </w:r>
          </w:p>
          <w:p w:rsidR="0090424A" w:rsidRPr="00064053" w:rsidRDefault="0044434C" w:rsidP="00C67116">
            <w:pPr>
              <w:shd w:val="clear" w:color="auto" w:fill="FFFFFF"/>
              <w:spacing w:after="0" w:line="240" w:lineRule="auto"/>
              <w:ind w:left="57" w:right="57" w:firstLine="369"/>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0090424A" w:rsidRPr="0090424A">
              <w:rPr>
                <w:rFonts w:ascii="Times New Roman" w:hAnsi="Times New Roman" w:cs="Times New Roman"/>
                <w:sz w:val="24"/>
                <w:szCs w:val="24"/>
                <w:lang w:eastAsia="lv-LV"/>
              </w:rPr>
              <w:t xml:space="preserve">z 2014.gada 30.jūniju </w:t>
            </w:r>
            <w:r>
              <w:rPr>
                <w:rFonts w:ascii="Times New Roman" w:hAnsi="Times New Roman" w:cs="Times New Roman"/>
                <w:sz w:val="24"/>
                <w:szCs w:val="24"/>
                <w:lang w:eastAsia="lv-LV"/>
              </w:rPr>
              <w:t>dienestā</w:t>
            </w:r>
            <w:r>
              <w:t xml:space="preserve"> (</w:t>
            </w:r>
            <w:r w:rsidRPr="0044434C">
              <w:rPr>
                <w:rFonts w:ascii="Times New Roman" w:hAnsi="Times New Roman" w:cs="Times New Roman"/>
                <w:sz w:val="24"/>
                <w:szCs w:val="24"/>
                <w:lang w:eastAsia="lv-LV"/>
              </w:rPr>
              <w:t>Valsts policijā un Valsts ugunsdzēsības un glābšanas dienestā</w:t>
            </w:r>
            <w:r>
              <w:rPr>
                <w:rFonts w:ascii="Times New Roman" w:hAnsi="Times New Roman" w:cs="Times New Roman"/>
                <w:sz w:val="24"/>
                <w:szCs w:val="24"/>
                <w:lang w:eastAsia="lv-LV"/>
              </w:rPr>
              <w:t>)</w:t>
            </w:r>
            <w:r w:rsidRPr="0044434C">
              <w:rPr>
                <w:rFonts w:ascii="Times New Roman" w:hAnsi="Times New Roman" w:cs="Times New Roman"/>
                <w:sz w:val="24"/>
                <w:szCs w:val="24"/>
                <w:lang w:eastAsia="lv-LV"/>
              </w:rPr>
              <w:t xml:space="preserve"> </w:t>
            </w:r>
            <w:r w:rsidR="0090424A" w:rsidRPr="0090424A">
              <w:rPr>
                <w:rFonts w:ascii="Times New Roman" w:hAnsi="Times New Roman" w:cs="Times New Roman"/>
                <w:sz w:val="24"/>
                <w:szCs w:val="24"/>
                <w:lang w:eastAsia="lv-LV"/>
              </w:rPr>
              <w:t xml:space="preserve"> </w:t>
            </w:r>
            <w:r w:rsidR="0090424A">
              <w:rPr>
                <w:rFonts w:ascii="Times New Roman" w:hAnsi="Times New Roman" w:cs="Times New Roman"/>
                <w:sz w:val="24"/>
                <w:szCs w:val="24"/>
                <w:lang w:eastAsia="lv-LV"/>
              </w:rPr>
              <w:t>ir</w:t>
            </w:r>
            <w:r w:rsidR="0090424A" w:rsidRPr="0090424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aptuveni </w:t>
            </w:r>
            <w:r w:rsidR="00DF5910">
              <w:rPr>
                <w:rFonts w:ascii="Times New Roman" w:hAnsi="Times New Roman" w:cs="Times New Roman"/>
                <w:sz w:val="24"/>
                <w:szCs w:val="24"/>
                <w:lang w:eastAsia="lv-LV"/>
              </w:rPr>
              <w:t>2197</w:t>
            </w:r>
            <w:r w:rsidR="0090424A" w:rsidRPr="0090424A">
              <w:rPr>
                <w:rFonts w:ascii="Times New Roman" w:hAnsi="Times New Roman" w:cs="Times New Roman"/>
                <w:sz w:val="24"/>
                <w:szCs w:val="24"/>
                <w:lang w:eastAsia="lv-LV"/>
              </w:rPr>
              <w:t xml:space="preserve"> amatpersonas ar speciālo dienesta pakāpi, kuras nav ieguvušas amatam atbilstošu profesionālo izglītību (arodizglītību), bet kuras ir ieguvušas profesionālo kompetenci ārpus formālās izglītības sistēmas.</w:t>
            </w:r>
          </w:p>
        </w:tc>
      </w:tr>
      <w:tr w:rsidR="002A699E" w:rsidRPr="00064053" w:rsidTr="005128C9">
        <w:trPr>
          <w:trHeight w:val="523"/>
        </w:trPr>
        <w:tc>
          <w:tcPr>
            <w:tcW w:w="431" w:type="dxa"/>
          </w:tcPr>
          <w:p w:rsidR="002A699E" w:rsidRPr="00064053" w:rsidRDefault="002A699E" w:rsidP="00C67116">
            <w:pPr>
              <w:pStyle w:val="naiskr"/>
              <w:spacing w:before="0" w:beforeAutospacing="0" w:after="0" w:afterAutospacing="0"/>
              <w:ind w:left="57" w:right="57"/>
              <w:jc w:val="both"/>
            </w:pPr>
            <w:r w:rsidRPr="00064053">
              <w:lastRenderedPageBreak/>
              <w:t>2.</w:t>
            </w:r>
          </w:p>
        </w:tc>
        <w:tc>
          <w:tcPr>
            <w:tcW w:w="2976" w:type="dxa"/>
          </w:tcPr>
          <w:p w:rsidR="002A699E" w:rsidRPr="00064053" w:rsidRDefault="002A699E" w:rsidP="00C67116">
            <w:pPr>
              <w:pStyle w:val="naiskr"/>
              <w:spacing w:before="0" w:beforeAutospacing="0" w:after="0" w:afterAutospacing="0"/>
              <w:ind w:left="57" w:right="57"/>
            </w:pPr>
            <w:r w:rsidRPr="00064053">
              <w:t>Tiesiskā regulējuma ietekme uz tautsaimniecību un administratīvo slogu</w:t>
            </w:r>
          </w:p>
        </w:tc>
        <w:tc>
          <w:tcPr>
            <w:tcW w:w="5812" w:type="dxa"/>
          </w:tcPr>
          <w:p w:rsidR="002A699E" w:rsidRPr="00064053" w:rsidRDefault="002A699E" w:rsidP="00C67116">
            <w:pPr>
              <w:snapToGrid w:val="0"/>
              <w:spacing w:after="0" w:line="240" w:lineRule="auto"/>
              <w:ind w:firstLine="369"/>
              <w:jc w:val="both"/>
              <w:rPr>
                <w:rFonts w:ascii="Times New Roman" w:eastAsia="EUAlbertina_Bold" w:hAnsi="Times New Roman" w:cs="Times New Roman"/>
                <w:sz w:val="24"/>
                <w:szCs w:val="24"/>
              </w:rPr>
            </w:pPr>
            <w:r w:rsidRPr="00064053">
              <w:rPr>
                <w:rFonts w:ascii="Times New Roman" w:eastAsia="EUAlbertina_Bold" w:hAnsi="Times New Roman" w:cs="Times New Roman"/>
                <w:sz w:val="24"/>
                <w:szCs w:val="24"/>
              </w:rPr>
              <w:t>Projekts šo jomu neskar.</w:t>
            </w:r>
          </w:p>
        </w:tc>
      </w:tr>
      <w:tr w:rsidR="002A699E" w:rsidRPr="00064053" w:rsidTr="005128C9">
        <w:trPr>
          <w:trHeight w:val="523"/>
        </w:trPr>
        <w:tc>
          <w:tcPr>
            <w:tcW w:w="431" w:type="dxa"/>
          </w:tcPr>
          <w:p w:rsidR="002A699E" w:rsidRPr="00064053" w:rsidRDefault="002A699E" w:rsidP="00C67116">
            <w:pPr>
              <w:pStyle w:val="naiskr"/>
              <w:spacing w:before="0" w:beforeAutospacing="0" w:after="0" w:afterAutospacing="0"/>
              <w:ind w:left="57" w:right="57"/>
              <w:jc w:val="both"/>
            </w:pPr>
            <w:r w:rsidRPr="00064053">
              <w:t>3.</w:t>
            </w:r>
          </w:p>
        </w:tc>
        <w:tc>
          <w:tcPr>
            <w:tcW w:w="2976" w:type="dxa"/>
          </w:tcPr>
          <w:p w:rsidR="002A699E" w:rsidRPr="00064053" w:rsidRDefault="002A699E" w:rsidP="00C67116">
            <w:pPr>
              <w:pStyle w:val="naiskr"/>
              <w:spacing w:before="0" w:beforeAutospacing="0" w:after="0" w:afterAutospacing="0"/>
              <w:ind w:left="57" w:right="57"/>
            </w:pPr>
            <w:r w:rsidRPr="00064053">
              <w:t>Administratīvo izmaksu monetārs novērtējums</w:t>
            </w:r>
          </w:p>
        </w:tc>
        <w:tc>
          <w:tcPr>
            <w:tcW w:w="5812" w:type="dxa"/>
          </w:tcPr>
          <w:p w:rsidR="002A699E" w:rsidRPr="00064053" w:rsidRDefault="002A699E" w:rsidP="00C67116">
            <w:pPr>
              <w:snapToGrid w:val="0"/>
              <w:spacing w:after="0" w:line="240" w:lineRule="auto"/>
              <w:ind w:firstLine="369"/>
              <w:jc w:val="both"/>
              <w:rPr>
                <w:rFonts w:ascii="Times New Roman" w:eastAsia="EUAlbertina_Bold" w:hAnsi="Times New Roman" w:cs="Times New Roman"/>
                <w:sz w:val="24"/>
                <w:szCs w:val="24"/>
                <w:u w:val="single"/>
              </w:rPr>
            </w:pPr>
            <w:r w:rsidRPr="00064053">
              <w:rPr>
                <w:rFonts w:ascii="Times New Roman" w:eastAsia="EUAlbertina_Bold" w:hAnsi="Times New Roman" w:cs="Times New Roman"/>
                <w:sz w:val="24"/>
                <w:szCs w:val="24"/>
              </w:rPr>
              <w:t>Projekts šo jomu neskar.</w:t>
            </w:r>
          </w:p>
        </w:tc>
      </w:tr>
      <w:tr w:rsidR="002A699E" w:rsidRPr="00064053" w:rsidTr="005128C9">
        <w:trPr>
          <w:trHeight w:val="357"/>
        </w:trPr>
        <w:tc>
          <w:tcPr>
            <w:tcW w:w="431" w:type="dxa"/>
          </w:tcPr>
          <w:p w:rsidR="002A699E" w:rsidRPr="00064053" w:rsidRDefault="002A699E" w:rsidP="00C67116">
            <w:pPr>
              <w:pStyle w:val="naiskr"/>
              <w:spacing w:before="0" w:beforeAutospacing="0" w:after="0" w:afterAutospacing="0"/>
              <w:ind w:left="57" w:right="57"/>
              <w:jc w:val="both"/>
            </w:pPr>
            <w:r w:rsidRPr="00064053">
              <w:t>4.</w:t>
            </w:r>
          </w:p>
        </w:tc>
        <w:tc>
          <w:tcPr>
            <w:tcW w:w="2976" w:type="dxa"/>
          </w:tcPr>
          <w:p w:rsidR="002A699E" w:rsidRPr="00064053" w:rsidRDefault="002A699E" w:rsidP="00C67116">
            <w:pPr>
              <w:pStyle w:val="naiskr"/>
              <w:spacing w:before="0" w:beforeAutospacing="0" w:after="0" w:afterAutospacing="0"/>
              <w:ind w:left="57" w:right="57"/>
            </w:pPr>
            <w:r w:rsidRPr="00064053">
              <w:t>Cita informācija</w:t>
            </w:r>
          </w:p>
        </w:tc>
        <w:tc>
          <w:tcPr>
            <w:tcW w:w="5812" w:type="dxa"/>
          </w:tcPr>
          <w:p w:rsidR="002A699E" w:rsidRPr="00064053" w:rsidRDefault="002A699E" w:rsidP="00C67116">
            <w:pPr>
              <w:spacing w:after="0" w:line="240" w:lineRule="auto"/>
              <w:ind w:firstLine="369"/>
              <w:jc w:val="both"/>
              <w:rPr>
                <w:rFonts w:ascii="Times New Roman" w:hAnsi="Times New Roman" w:cs="Times New Roman"/>
                <w:sz w:val="24"/>
                <w:szCs w:val="24"/>
              </w:rPr>
            </w:pPr>
            <w:r w:rsidRPr="00064053">
              <w:rPr>
                <w:rFonts w:ascii="Times New Roman" w:hAnsi="Times New Roman" w:cs="Times New Roman"/>
                <w:sz w:val="24"/>
                <w:szCs w:val="24"/>
              </w:rPr>
              <w:t>Nav.</w:t>
            </w:r>
          </w:p>
        </w:tc>
      </w:tr>
    </w:tbl>
    <w:p w:rsidR="007F6B1C" w:rsidRPr="00064053" w:rsidRDefault="007F6B1C" w:rsidP="00C67116">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255"/>
        <w:gridCol w:w="1274"/>
        <w:gridCol w:w="1223"/>
        <w:gridCol w:w="1223"/>
        <w:gridCol w:w="1223"/>
      </w:tblGrid>
      <w:tr w:rsidR="007F6B1C" w:rsidRPr="00064053" w:rsidTr="005128C9">
        <w:trPr>
          <w:trHeight w:val="361"/>
          <w:jc w:val="center"/>
        </w:trPr>
        <w:tc>
          <w:tcPr>
            <w:tcW w:w="9257" w:type="dxa"/>
            <w:gridSpan w:val="6"/>
            <w:vAlign w:val="center"/>
          </w:tcPr>
          <w:p w:rsidR="007F6B1C" w:rsidRPr="00064053" w:rsidRDefault="007F6B1C" w:rsidP="00C67116">
            <w:pPr>
              <w:pStyle w:val="naisnod"/>
              <w:spacing w:before="0" w:beforeAutospacing="0" w:after="0" w:afterAutospacing="0"/>
              <w:jc w:val="center"/>
              <w:rPr>
                <w:b/>
                <w:i/>
              </w:rPr>
            </w:pPr>
            <w:r w:rsidRPr="00064053">
              <w:br w:type="page"/>
            </w:r>
            <w:r w:rsidRPr="00064053">
              <w:rPr>
                <w:b/>
              </w:rPr>
              <w:t>III. Tiesību akta projekta ietekme uz valsts budžetu un pašvaldību budžetiem</w:t>
            </w:r>
          </w:p>
        </w:tc>
      </w:tr>
      <w:tr w:rsidR="007F6B1C" w:rsidRPr="00064053" w:rsidTr="002A699E">
        <w:trPr>
          <w:jc w:val="center"/>
        </w:trPr>
        <w:tc>
          <w:tcPr>
            <w:tcW w:w="3059" w:type="dxa"/>
            <w:vMerge w:val="restart"/>
            <w:vAlign w:val="center"/>
          </w:tcPr>
          <w:p w:rsidR="007F6B1C" w:rsidRPr="00064053" w:rsidRDefault="007F6B1C" w:rsidP="00C67116">
            <w:pPr>
              <w:pStyle w:val="naisf"/>
              <w:spacing w:before="0" w:beforeAutospacing="0" w:after="0" w:afterAutospacing="0"/>
              <w:jc w:val="center"/>
              <w:rPr>
                <w:b/>
              </w:rPr>
            </w:pPr>
            <w:r w:rsidRPr="00064053">
              <w:rPr>
                <w:b/>
              </w:rPr>
              <w:t>Rādītāji</w:t>
            </w:r>
          </w:p>
        </w:tc>
        <w:tc>
          <w:tcPr>
            <w:tcW w:w="2529" w:type="dxa"/>
            <w:gridSpan w:val="2"/>
            <w:vMerge w:val="restart"/>
            <w:vAlign w:val="center"/>
          </w:tcPr>
          <w:p w:rsidR="007F6B1C" w:rsidRPr="00064053" w:rsidRDefault="00974374" w:rsidP="00C67116">
            <w:pPr>
              <w:pStyle w:val="naisf"/>
              <w:spacing w:before="0" w:beforeAutospacing="0" w:after="0" w:afterAutospacing="0"/>
              <w:jc w:val="center"/>
              <w:rPr>
                <w:b/>
              </w:rPr>
            </w:pPr>
            <w:r w:rsidRPr="00064053">
              <w:rPr>
                <w:b/>
              </w:rPr>
              <w:t>2014</w:t>
            </w:r>
          </w:p>
        </w:tc>
        <w:tc>
          <w:tcPr>
            <w:tcW w:w="3669" w:type="dxa"/>
            <w:gridSpan w:val="3"/>
            <w:vAlign w:val="center"/>
          </w:tcPr>
          <w:p w:rsidR="007F6B1C" w:rsidRPr="00064053" w:rsidRDefault="00E7737A" w:rsidP="00C67116">
            <w:pPr>
              <w:pStyle w:val="naisf"/>
              <w:spacing w:before="0" w:beforeAutospacing="0" w:after="0" w:afterAutospacing="0"/>
              <w:jc w:val="center"/>
              <w:rPr>
                <w:b/>
                <w:i/>
              </w:rPr>
            </w:pPr>
            <w:r w:rsidRPr="00064053">
              <w:t>Turpmākie trīs gadi (</w:t>
            </w:r>
            <w:r w:rsidRPr="00064053">
              <w:rPr>
                <w:i/>
              </w:rPr>
              <w:t>euro</w:t>
            </w:r>
            <w:r w:rsidR="007F6B1C" w:rsidRPr="00064053">
              <w:t>)</w:t>
            </w:r>
          </w:p>
        </w:tc>
      </w:tr>
      <w:tr w:rsidR="007F6B1C" w:rsidRPr="00064053" w:rsidTr="002A699E">
        <w:trPr>
          <w:jc w:val="center"/>
        </w:trPr>
        <w:tc>
          <w:tcPr>
            <w:tcW w:w="3059" w:type="dxa"/>
            <w:vMerge/>
            <w:vAlign w:val="center"/>
          </w:tcPr>
          <w:p w:rsidR="007F6B1C" w:rsidRPr="00064053" w:rsidRDefault="007F6B1C" w:rsidP="00C67116">
            <w:pPr>
              <w:pStyle w:val="naisf"/>
              <w:spacing w:before="0" w:beforeAutospacing="0" w:after="0" w:afterAutospacing="0"/>
              <w:jc w:val="center"/>
              <w:rPr>
                <w:b/>
                <w:i/>
              </w:rPr>
            </w:pPr>
          </w:p>
        </w:tc>
        <w:tc>
          <w:tcPr>
            <w:tcW w:w="2529" w:type="dxa"/>
            <w:gridSpan w:val="2"/>
            <w:vMerge/>
            <w:vAlign w:val="center"/>
          </w:tcPr>
          <w:p w:rsidR="007F6B1C" w:rsidRPr="00064053" w:rsidRDefault="007F6B1C" w:rsidP="00C67116">
            <w:pPr>
              <w:pStyle w:val="naisf"/>
              <w:spacing w:before="0" w:beforeAutospacing="0" w:after="0" w:afterAutospacing="0"/>
              <w:jc w:val="center"/>
              <w:rPr>
                <w:b/>
                <w:i/>
              </w:rPr>
            </w:pPr>
          </w:p>
        </w:tc>
        <w:tc>
          <w:tcPr>
            <w:tcW w:w="1223" w:type="dxa"/>
            <w:vAlign w:val="center"/>
          </w:tcPr>
          <w:p w:rsidR="007F6B1C" w:rsidRPr="00064053" w:rsidRDefault="00974374" w:rsidP="00C67116">
            <w:pPr>
              <w:pStyle w:val="naisf"/>
              <w:spacing w:before="0" w:beforeAutospacing="0" w:after="0" w:afterAutospacing="0"/>
              <w:jc w:val="center"/>
              <w:rPr>
                <w:b/>
                <w:i/>
              </w:rPr>
            </w:pPr>
            <w:r w:rsidRPr="00064053">
              <w:rPr>
                <w:b/>
                <w:bCs/>
              </w:rPr>
              <w:t>2015</w:t>
            </w:r>
          </w:p>
        </w:tc>
        <w:tc>
          <w:tcPr>
            <w:tcW w:w="1223" w:type="dxa"/>
            <w:vAlign w:val="center"/>
          </w:tcPr>
          <w:p w:rsidR="007F6B1C" w:rsidRPr="00064053" w:rsidRDefault="00974374" w:rsidP="00C67116">
            <w:pPr>
              <w:pStyle w:val="naisf"/>
              <w:spacing w:before="0" w:beforeAutospacing="0" w:after="0" w:afterAutospacing="0"/>
              <w:jc w:val="center"/>
              <w:rPr>
                <w:b/>
                <w:i/>
              </w:rPr>
            </w:pPr>
            <w:r w:rsidRPr="00064053">
              <w:rPr>
                <w:b/>
                <w:bCs/>
              </w:rPr>
              <w:t>2016</w:t>
            </w:r>
          </w:p>
        </w:tc>
        <w:tc>
          <w:tcPr>
            <w:tcW w:w="1223" w:type="dxa"/>
            <w:vAlign w:val="center"/>
          </w:tcPr>
          <w:p w:rsidR="007F6B1C" w:rsidRPr="00064053" w:rsidRDefault="00974374" w:rsidP="00C67116">
            <w:pPr>
              <w:pStyle w:val="naisf"/>
              <w:spacing w:before="0" w:beforeAutospacing="0" w:after="0" w:afterAutospacing="0"/>
              <w:jc w:val="center"/>
              <w:rPr>
                <w:b/>
                <w:i/>
              </w:rPr>
            </w:pPr>
            <w:r w:rsidRPr="00064053">
              <w:rPr>
                <w:b/>
                <w:bCs/>
              </w:rPr>
              <w:t>2017</w:t>
            </w:r>
          </w:p>
        </w:tc>
      </w:tr>
      <w:tr w:rsidR="007F6B1C" w:rsidRPr="00064053" w:rsidTr="002A699E">
        <w:trPr>
          <w:jc w:val="center"/>
        </w:trPr>
        <w:tc>
          <w:tcPr>
            <w:tcW w:w="3059" w:type="dxa"/>
            <w:vMerge/>
            <w:vAlign w:val="center"/>
          </w:tcPr>
          <w:p w:rsidR="007F6B1C" w:rsidRPr="00064053" w:rsidRDefault="007F6B1C" w:rsidP="00C67116">
            <w:pPr>
              <w:pStyle w:val="naisf"/>
              <w:spacing w:before="0" w:beforeAutospacing="0" w:after="0" w:afterAutospacing="0"/>
              <w:jc w:val="center"/>
              <w:rPr>
                <w:b/>
                <w:i/>
              </w:rPr>
            </w:pPr>
          </w:p>
        </w:tc>
        <w:tc>
          <w:tcPr>
            <w:tcW w:w="1255" w:type="dxa"/>
            <w:vAlign w:val="center"/>
          </w:tcPr>
          <w:p w:rsidR="007F6B1C" w:rsidRPr="00064053" w:rsidRDefault="007F6B1C" w:rsidP="00C67116">
            <w:pPr>
              <w:pStyle w:val="naisf"/>
              <w:spacing w:before="0" w:beforeAutospacing="0" w:after="0" w:afterAutospacing="0"/>
              <w:jc w:val="center"/>
              <w:rPr>
                <w:b/>
                <w:i/>
                <w:sz w:val="20"/>
                <w:szCs w:val="20"/>
              </w:rPr>
            </w:pPr>
            <w:r w:rsidRPr="00064053">
              <w:rPr>
                <w:sz w:val="20"/>
                <w:szCs w:val="20"/>
              </w:rPr>
              <w:t>saskaņā ar valsts budžetu kārtējam gadam</w:t>
            </w:r>
          </w:p>
        </w:tc>
        <w:tc>
          <w:tcPr>
            <w:tcW w:w="1274" w:type="dxa"/>
            <w:vAlign w:val="center"/>
          </w:tcPr>
          <w:p w:rsidR="007F6B1C" w:rsidRPr="00064053" w:rsidRDefault="007F6B1C" w:rsidP="00C67116">
            <w:pPr>
              <w:pStyle w:val="naisf"/>
              <w:spacing w:before="0" w:beforeAutospacing="0" w:after="0" w:afterAutospacing="0"/>
              <w:jc w:val="center"/>
              <w:rPr>
                <w:b/>
                <w:i/>
                <w:sz w:val="20"/>
                <w:szCs w:val="20"/>
              </w:rPr>
            </w:pPr>
            <w:r w:rsidRPr="00064053">
              <w:rPr>
                <w:sz w:val="20"/>
                <w:szCs w:val="20"/>
              </w:rPr>
              <w:t>izmaiņas kārtējā gadā, salīdzinot ar budžetu kārtējam gadam</w:t>
            </w:r>
          </w:p>
        </w:tc>
        <w:tc>
          <w:tcPr>
            <w:tcW w:w="1223" w:type="dxa"/>
            <w:vAlign w:val="center"/>
          </w:tcPr>
          <w:p w:rsidR="007F6B1C" w:rsidRPr="00064053" w:rsidRDefault="007F6B1C" w:rsidP="00C67116">
            <w:pPr>
              <w:pStyle w:val="naisf"/>
              <w:spacing w:before="0" w:beforeAutospacing="0" w:after="0" w:afterAutospacing="0"/>
              <w:jc w:val="center"/>
              <w:rPr>
                <w:b/>
                <w:i/>
                <w:sz w:val="20"/>
                <w:szCs w:val="20"/>
              </w:rPr>
            </w:pPr>
            <w:r w:rsidRPr="00064053">
              <w:rPr>
                <w:sz w:val="20"/>
                <w:szCs w:val="20"/>
              </w:rPr>
              <w:t xml:space="preserve">izmaiņas, salīdzinot ar </w:t>
            </w:r>
            <w:r w:rsidR="002A699E" w:rsidRPr="00064053">
              <w:rPr>
                <w:sz w:val="20"/>
                <w:szCs w:val="20"/>
              </w:rPr>
              <w:t>2014.</w:t>
            </w:r>
            <w:r w:rsidRPr="00064053">
              <w:rPr>
                <w:sz w:val="20"/>
                <w:szCs w:val="20"/>
              </w:rPr>
              <w:t>gadu</w:t>
            </w:r>
          </w:p>
        </w:tc>
        <w:tc>
          <w:tcPr>
            <w:tcW w:w="1223" w:type="dxa"/>
            <w:vAlign w:val="center"/>
          </w:tcPr>
          <w:p w:rsidR="007F6B1C" w:rsidRPr="00064053" w:rsidRDefault="002A699E" w:rsidP="00C67116">
            <w:pPr>
              <w:pStyle w:val="naisf"/>
              <w:spacing w:before="0" w:beforeAutospacing="0" w:after="0" w:afterAutospacing="0"/>
              <w:jc w:val="center"/>
              <w:rPr>
                <w:b/>
                <w:i/>
                <w:sz w:val="20"/>
                <w:szCs w:val="20"/>
              </w:rPr>
            </w:pPr>
            <w:r w:rsidRPr="00064053">
              <w:rPr>
                <w:sz w:val="20"/>
                <w:szCs w:val="20"/>
              </w:rPr>
              <w:t>izmaiņas, salīdzinot ar 2014.gadu</w:t>
            </w:r>
          </w:p>
        </w:tc>
        <w:tc>
          <w:tcPr>
            <w:tcW w:w="1223" w:type="dxa"/>
            <w:vAlign w:val="center"/>
          </w:tcPr>
          <w:p w:rsidR="007F6B1C" w:rsidRPr="00064053" w:rsidRDefault="002A699E" w:rsidP="00C67116">
            <w:pPr>
              <w:pStyle w:val="naisf"/>
              <w:spacing w:before="0" w:beforeAutospacing="0" w:after="0" w:afterAutospacing="0"/>
              <w:jc w:val="center"/>
              <w:rPr>
                <w:b/>
                <w:i/>
                <w:sz w:val="20"/>
                <w:szCs w:val="20"/>
              </w:rPr>
            </w:pPr>
            <w:r w:rsidRPr="00064053">
              <w:rPr>
                <w:sz w:val="20"/>
                <w:szCs w:val="20"/>
              </w:rPr>
              <w:t>izmaiņas, salīdzinot ar 2014.gadu</w:t>
            </w:r>
          </w:p>
        </w:tc>
      </w:tr>
      <w:tr w:rsidR="007F6B1C" w:rsidRPr="00064053" w:rsidTr="002A699E">
        <w:trPr>
          <w:jc w:val="center"/>
        </w:trPr>
        <w:tc>
          <w:tcPr>
            <w:tcW w:w="3059" w:type="dxa"/>
            <w:vAlign w:val="center"/>
          </w:tcPr>
          <w:p w:rsidR="007F6B1C" w:rsidRPr="00064053" w:rsidRDefault="007F6B1C" w:rsidP="00C67116">
            <w:pPr>
              <w:pStyle w:val="naisf"/>
              <w:spacing w:before="0" w:beforeAutospacing="0" w:after="0" w:afterAutospacing="0"/>
              <w:jc w:val="center"/>
              <w:rPr>
                <w:bCs/>
              </w:rPr>
            </w:pPr>
            <w:r w:rsidRPr="00064053">
              <w:rPr>
                <w:bCs/>
              </w:rPr>
              <w:t>1</w:t>
            </w:r>
          </w:p>
        </w:tc>
        <w:tc>
          <w:tcPr>
            <w:tcW w:w="1255" w:type="dxa"/>
            <w:vAlign w:val="center"/>
          </w:tcPr>
          <w:p w:rsidR="007F6B1C" w:rsidRPr="00064053" w:rsidRDefault="007F6B1C" w:rsidP="00C67116">
            <w:pPr>
              <w:pStyle w:val="naisf"/>
              <w:spacing w:before="0" w:beforeAutospacing="0" w:after="0" w:afterAutospacing="0"/>
              <w:jc w:val="center"/>
              <w:rPr>
                <w:bCs/>
              </w:rPr>
            </w:pPr>
            <w:r w:rsidRPr="00064053">
              <w:rPr>
                <w:bCs/>
              </w:rPr>
              <w:t>2</w:t>
            </w:r>
          </w:p>
        </w:tc>
        <w:tc>
          <w:tcPr>
            <w:tcW w:w="1274" w:type="dxa"/>
            <w:vAlign w:val="center"/>
          </w:tcPr>
          <w:p w:rsidR="007F6B1C" w:rsidRPr="00064053" w:rsidRDefault="007F6B1C" w:rsidP="00C67116">
            <w:pPr>
              <w:pStyle w:val="naisf"/>
              <w:spacing w:before="0" w:beforeAutospacing="0" w:after="0" w:afterAutospacing="0"/>
              <w:jc w:val="center"/>
              <w:rPr>
                <w:bCs/>
              </w:rPr>
            </w:pPr>
            <w:r w:rsidRPr="00064053">
              <w:rPr>
                <w:bCs/>
              </w:rPr>
              <w:t>3</w:t>
            </w:r>
          </w:p>
        </w:tc>
        <w:tc>
          <w:tcPr>
            <w:tcW w:w="1223" w:type="dxa"/>
            <w:vAlign w:val="center"/>
          </w:tcPr>
          <w:p w:rsidR="007F6B1C" w:rsidRPr="00064053" w:rsidRDefault="007F6B1C" w:rsidP="00C67116">
            <w:pPr>
              <w:pStyle w:val="naisf"/>
              <w:spacing w:before="0" w:beforeAutospacing="0" w:after="0" w:afterAutospacing="0"/>
              <w:jc w:val="center"/>
              <w:rPr>
                <w:bCs/>
              </w:rPr>
            </w:pPr>
            <w:r w:rsidRPr="00064053">
              <w:rPr>
                <w:bCs/>
              </w:rPr>
              <w:t>4</w:t>
            </w:r>
          </w:p>
        </w:tc>
        <w:tc>
          <w:tcPr>
            <w:tcW w:w="1223" w:type="dxa"/>
            <w:vAlign w:val="center"/>
          </w:tcPr>
          <w:p w:rsidR="007F6B1C" w:rsidRPr="00064053" w:rsidRDefault="007F6B1C" w:rsidP="00C67116">
            <w:pPr>
              <w:pStyle w:val="naisf"/>
              <w:spacing w:before="0" w:beforeAutospacing="0" w:after="0" w:afterAutospacing="0"/>
              <w:jc w:val="center"/>
              <w:rPr>
                <w:bCs/>
              </w:rPr>
            </w:pPr>
            <w:r w:rsidRPr="00064053">
              <w:rPr>
                <w:bCs/>
              </w:rPr>
              <w:t>5</w:t>
            </w:r>
          </w:p>
        </w:tc>
        <w:tc>
          <w:tcPr>
            <w:tcW w:w="1223" w:type="dxa"/>
            <w:vAlign w:val="center"/>
          </w:tcPr>
          <w:p w:rsidR="007F6B1C" w:rsidRPr="00064053" w:rsidRDefault="007F6B1C" w:rsidP="00C67116">
            <w:pPr>
              <w:pStyle w:val="naisf"/>
              <w:spacing w:before="0" w:beforeAutospacing="0" w:after="0" w:afterAutospacing="0"/>
              <w:jc w:val="center"/>
              <w:rPr>
                <w:bCs/>
              </w:rPr>
            </w:pPr>
            <w:r w:rsidRPr="00064053">
              <w:rPr>
                <w:bCs/>
              </w:rPr>
              <w:t>6</w:t>
            </w:r>
          </w:p>
        </w:tc>
      </w:tr>
      <w:tr w:rsidR="007F6B1C" w:rsidRPr="00064053" w:rsidTr="002A699E">
        <w:trPr>
          <w:jc w:val="center"/>
        </w:trPr>
        <w:tc>
          <w:tcPr>
            <w:tcW w:w="3059" w:type="dxa"/>
          </w:tcPr>
          <w:p w:rsidR="007F6B1C" w:rsidRPr="00064053" w:rsidRDefault="007F6B1C" w:rsidP="00C67116">
            <w:pPr>
              <w:pStyle w:val="naisf"/>
              <w:spacing w:before="0" w:beforeAutospacing="0" w:after="0" w:afterAutospacing="0"/>
            </w:pPr>
            <w:r w:rsidRPr="00064053">
              <w:t>1. Budžeta ieņēmumi:</w:t>
            </w:r>
          </w:p>
          <w:p w:rsidR="002A699E" w:rsidRPr="00064053" w:rsidRDefault="002A699E" w:rsidP="00C67116">
            <w:pPr>
              <w:snapToGrid w:val="0"/>
              <w:spacing w:after="0" w:line="240" w:lineRule="auto"/>
              <w:rPr>
                <w:rFonts w:ascii="Times New Roman" w:hAnsi="Times New Roman" w:cs="Times New Roman"/>
                <w:sz w:val="24"/>
                <w:szCs w:val="24"/>
              </w:rPr>
            </w:pPr>
            <w:r w:rsidRPr="00064053">
              <w:rPr>
                <w:rFonts w:ascii="Times New Roman" w:hAnsi="Times New Roman" w:cs="Times New Roman"/>
                <w:sz w:val="24"/>
                <w:szCs w:val="24"/>
              </w:rPr>
              <w:t>- Valsts policija</w:t>
            </w:r>
            <w:r w:rsidR="00617D91">
              <w:rPr>
                <w:rFonts w:ascii="Times New Roman" w:hAnsi="Times New Roman" w:cs="Times New Roman"/>
                <w:sz w:val="24"/>
                <w:szCs w:val="24"/>
              </w:rPr>
              <w:t>s koledža</w:t>
            </w:r>
          </w:p>
          <w:p w:rsidR="002A699E" w:rsidRPr="00064053" w:rsidRDefault="002A699E" w:rsidP="00C67116">
            <w:pPr>
              <w:pStyle w:val="naisf"/>
              <w:spacing w:before="0" w:beforeAutospacing="0" w:after="0" w:afterAutospacing="0"/>
            </w:pPr>
            <w:r w:rsidRPr="00064053">
              <w:t xml:space="preserve">- </w:t>
            </w:r>
            <w:r w:rsidR="00617D91" w:rsidRPr="00617D91">
              <w:t>Ugunsdrošības un civilās aizsardzības koledža</w:t>
            </w:r>
          </w:p>
        </w:tc>
        <w:tc>
          <w:tcPr>
            <w:tcW w:w="1255"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17 340</w:t>
            </w:r>
          </w:p>
          <w:p w:rsidR="007F6B1C" w:rsidRPr="00064053" w:rsidRDefault="002A699E" w:rsidP="00C67116">
            <w:pPr>
              <w:pStyle w:val="naisf"/>
              <w:spacing w:before="0" w:beforeAutospacing="0" w:after="0" w:afterAutospacing="0"/>
              <w:jc w:val="center"/>
            </w:pPr>
            <w:r w:rsidRPr="00064053">
              <w:t>12 554</w:t>
            </w:r>
          </w:p>
        </w:tc>
        <w:tc>
          <w:tcPr>
            <w:tcW w:w="1274"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2A699E" w:rsidRPr="00064053">
              <w:rPr>
                <w:rFonts w:ascii="Times New Roman" w:hAnsi="Times New Roman" w:cs="Times New Roman"/>
                <w:sz w:val="24"/>
                <w:szCs w:val="24"/>
              </w:rPr>
              <w:t>7</w:t>
            </w:r>
            <w:r>
              <w:rPr>
                <w:rFonts w:ascii="Times New Roman" w:hAnsi="Times New Roman" w:cs="Times New Roman"/>
                <w:sz w:val="24"/>
                <w:szCs w:val="24"/>
              </w:rPr>
              <w:t>00</w:t>
            </w:r>
          </w:p>
          <w:p w:rsidR="007F6B1C"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7F6B1C"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7F6B1C"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7F6B1C" w:rsidRPr="00064053" w:rsidRDefault="002A699E" w:rsidP="00C67116">
            <w:pPr>
              <w:pStyle w:val="naisf"/>
              <w:spacing w:before="0" w:beforeAutospacing="0" w:after="0" w:afterAutospacing="0"/>
              <w:jc w:val="center"/>
            </w:pPr>
            <w:r w:rsidRPr="00064053">
              <w:t>5 061</w:t>
            </w:r>
          </w:p>
        </w:tc>
      </w:tr>
      <w:tr w:rsidR="002A699E" w:rsidRPr="00064053" w:rsidTr="002A699E">
        <w:trPr>
          <w:jc w:val="center"/>
        </w:trPr>
        <w:tc>
          <w:tcPr>
            <w:tcW w:w="3059" w:type="dxa"/>
          </w:tcPr>
          <w:p w:rsidR="002A699E" w:rsidRPr="00064053" w:rsidRDefault="002A699E" w:rsidP="00C67116">
            <w:pPr>
              <w:pStyle w:val="naisf"/>
              <w:spacing w:before="0" w:beforeAutospacing="0" w:after="0" w:afterAutospacing="0"/>
            </w:pPr>
            <w:r w:rsidRPr="00064053">
              <w:t>1.1. valsts pamatbudžets, tai skaitā ieņēmumi no maksas pakalpojumiem un citi pašu ieņēmumi</w:t>
            </w:r>
          </w:p>
          <w:p w:rsidR="002A699E" w:rsidRPr="00064053" w:rsidRDefault="002A699E" w:rsidP="00C67116">
            <w:pPr>
              <w:snapToGrid w:val="0"/>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 </w:t>
            </w:r>
            <w:r w:rsidR="00617D91" w:rsidRPr="00064053">
              <w:rPr>
                <w:rFonts w:ascii="Times New Roman" w:hAnsi="Times New Roman" w:cs="Times New Roman"/>
                <w:sz w:val="24"/>
                <w:szCs w:val="24"/>
              </w:rPr>
              <w:t>Valsts policija</w:t>
            </w:r>
            <w:r w:rsidR="00617D91">
              <w:rPr>
                <w:rFonts w:ascii="Times New Roman" w:hAnsi="Times New Roman" w:cs="Times New Roman"/>
                <w:sz w:val="24"/>
                <w:szCs w:val="24"/>
              </w:rPr>
              <w:t>s koledža</w:t>
            </w:r>
          </w:p>
          <w:p w:rsidR="002A699E" w:rsidRPr="00064053" w:rsidRDefault="002A699E" w:rsidP="00C67116">
            <w:pPr>
              <w:pStyle w:val="naisf"/>
              <w:spacing w:before="0" w:beforeAutospacing="0" w:after="0" w:afterAutospacing="0"/>
              <w:rPr>
                <w:i/>
              </w:rPr>
            </w:pPr>
            <w:r w:rsidRPr="00064053">
              <w:t xml:space="preserve">- </w:t>
            </w:r>
            <w:r w:rsidR="00617D91" w:rsidRPr="00617D91">
              <w:t>Ugunsdrošības un civilās aizsardzības koledža</w:t>
            </w:r>
          </w:p>
        </w:tc>
        <w:tc>
          <w:tcPr>
            <w:tcW w:w="1255"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r w:rsidR="002A699E" w:rsidRPr="00064053">
              <w:rPr>
                <w:rFonts w:ascii="Times New Roman" w:hAnsi="Times New Roman" w:cs="Times New Roman"/>
                <w:sz w:val="24"/>
                <w:szCs w:val="24"/>
              </w:rPr>
              <w:t>3</w:t>
            </w:r>
            <w:r>
              <w:rPr>
                <w:rFonts w:ascii="Times New Roman" w:hAnsi="Times New Roman" w:cs="Times New Roman"/>
                <w:sz w:val="24"/>
                <w:szCs w:val="24"/>
              </w:rPr>
              <w:t>40</w:t>
            </w:r>
          </w:p>
          <w:p w:rsidR="002A699E" w:rsidRPr="00064053" w:rsidRDefault="002A699E" w:rsidP="00C67116">
            <w:pPr>
              <w:pStyle w:val="naisf"/>
              <w:spacing w:before="0" w:beforeAutospacing="0" w:after="0" w:afterAutospacing="0"/>
              <w:jc w:val="center"/>
            </w:pPr>
            <w:r w:rsidRPr="00064053">
              <w:t>12 554</w:t>
            </w:r>
          </w:p>
        </w:tc>
        <w:tc>
          <w:tcPr>
            <w:tcW w:w="1274"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r>
      <w:tr w:rsidR="007F6B1C" w:rsidRPr="00064053" w:rsidTr="002A699E">
        <w:trPr>
          <w:jc w:val="center"/>
        </w:trPr>
        <w:tc>
          <w:tcPr>
            <w:tcW w:w="3059" w:type="dxa"/>
          </w:tcPr>
          <w:p w:rsidR="007F6B1C" w:rsidRPr="00064053" w:rsidRDefault="007F6B1C" w:rsidP="00C67116">
            <w:pPr>
              <w:pStyle w:val="naisf"/>
              <w:spacing w:before="0" w:beforeAutospacing="0" w:after="0" w:afterAutospacing="0"/>
              <w:rPr>
                <w:i/>
              </w:rPr>
            </w:pPr>
            <w:r w:rsidRPr="00064053">
              <w:t>1.2. valsts speciālais budžets</w:t>
            </w:r>
          </w:p>
        </w:tc>
        <w:tc>
          <w:tcPr>
            <w:tcW w:w="1255" w:type="dxa"/>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pStyle w:val="naisf"/>
              <w:spacing w:before="0" w:beforeAutospacing="0" w:after="0" w:afterAutospacing="0"/>
              <w:rPr>
                <w:i/>
              </w:rPr>
            </w:pPr>
            <w:r w:rsidRPr="00064053">
              <w:t>1.3. pašvaldību budžets</w:t>
            </w:r>
          </w:p>
        </w:tc>
        <w:tc>
          <w:tcPr>
            <w:tcW w:w="1255" w:type="dxa"/>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2A699E" w:rsidRPr="00064053" w:rsidTr="002A699E">
        <w:trPr>
          <w:jc w:val="center"/>
        </w:trPr>
        <w:tc>
          <w:tcPr>
            <w:tcW w:w="3059" w:type="dxa"/>
          </w:tcPr>
          <w:p w:rsidR="002A699E" w:rsidRPr="00064053" w:rsidRDefault="002A699E"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 Budžeta izdevumi:</w:t>
            </w:r>
          </w:p>
          <w:p w:rsidR="002A699E" w:rsidRPr="00064053" w:rsidRDefault="002A699E" w:rsidP="00C67116">
            <w:pPr>
              <w:snapToGrid w:val="0"/>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 </w:t>
            </w:r>
            <w:r w:rsidR="00617D91" w:rsidRPr="00064053">
              <w:rPr>
                <w:rFonts w:ascii="Times New Roman" w:hAnsi="Times New Roman" w:cs="Times New Roman"/>
                <w:sz w:val="24"/>
                <w:szCs w:val="24"/>
              </w:rPr>
              <w:t>Valsts policija</w:t>
            </w:r>
            <w:r w:rsidR="00617D91">
              <w:rPr>
                <w:rFonts w:ascii="Times New Roman" w:hAnsi="Times New Roman" w:cs="Times New Roman"/>
                <w:sz w:val="24"/>
                <w:szCs w:val="24"/>
              </w:rPr>
              <w:t>s koledža</w:t>
            </w:r>
          </w:p>
          <w:p w:rsidR="002A699E" w:rsidRPr="00064053" w:rsidRDefault="002A699E"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 </w:t>
            </w:r>
            <w:r w:rsidR="00617D91" w:rsidRPr="00617D91">
              <w:rPr>
                <w:rFonts w:ascii="Times New Roman" w:hAnsi="Times New Roman" w:cs="Times New Roman"/>
                <w:sz w:val="24"/>
                <w:szCs w:val="24"/>
              </w:rPr>
              <w:t>Ugunsdrošības un civilās aizsardzības koledža</w:t>
            </w:r>
          </w:p>
        </w:tc>
        <w:tc>
          <w:tcPr>
            <w:tcW w:w="1255"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r w:rsidR="002A699E" w:rsidRPr="00064053">
              <w:rPr>
                <w:rFonts w:ascii="Times New Roman" w:hAnsi="Times New Roman" w:cs="Times New Roman"/>
                <w:sz w:val="24"/>
                <w:szCs w:val="24"/>
              </w:rPr>
              <w:t>3</w:t>
            </w:r>
            <w:r>
              <w:rPr>
                <w:rFonts w:ascii="Times New Roman" w:hAnsi="Times New Roman" w:cs="Times New Roman"/>
                <w:sz w:val="24"/>
                <w:szCs w:val="24"/>
              </w:rPr>
              <w:t>40</w:t>
            </w:r>
          </w:p>
          <w:p w:rsidR="002A699E" w:rsidRPr="00064053" w:rsidRDefault="002A699E" w:rsidP="00C67116">
            <w:pPr>
              <w:pStyle w:val="naisf"/>
              <w:spacing w:before="0" w:beforeAutospacing="0" w:after="0" w:afterAutospacing="0"/>
              <w:jc w:val="center"/>
            </w:pPr>
            <w:r w:rsidRPr="00064053">
              <w:t>12 554</w:t>
            </w:r>
          </w:p>
        </w:tc>
        <w:tc>
          <w:tcPr>
            <w:tcW w:w="1274"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r>
      <w:tr w:rsidR="002A699E" w:rsidRPr="00064053" w:rsidTr="002A699E">
        <w:trPr>
          <w:jc w:val="center"/>
        </w:trPr>
        <w:tc>
          <w:tcPr>
            <w:tcW w:w="3059" w:type="dxa"/>
          </w:tcPr>
          <w:p w:rsidR="002A699E" w:rsidRPr="00064053" w:rsidRDefault="002A699E"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2.1. valsts pamatbudžets</w:t>
            </w:r>
          </w:p>
          <w:p w:rsidR="002A699E" w:rsidRPr="00064053" w:rsidRDefault="002A699E" w:rsidP="00C67116">
            <w:pPr>
              <w:snapToGrid w:val="0"/>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 </w:t>
            </w:r>
            <w:r w:rsidR="00617D91" w:rsidRPr="00064053">
              <w:rPr>
                <w:rFonts w:ascii="Times New Roman" w:hAnsi="Times New Roman" w:cs="Times New Roman"/>
                <w:sz w:val="24"/>
                <w:szCs w:val="24"/>
              </w:rPr>
              <w:t>Valsts policija</w:t>
            </w:r>
            <w:r w:rsidR="00617D91">
              <w:rPr>
                <w:rFonts w:ascii="Times New Roman" w:hAnsi="Times New Roman" w:cs="Times New Roman"/>
                <w:sz w:val="24"/>
                <w:szCs w:val="24"/>
              </w:rPr>
              <w:t>s koledža</w:t>
            </w:r>
          </w:p>
          <w:p w:rsidR="002A699E" w:rsidRPr="00064053" w:rsidRDefault="002A699E"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 </w:t>
            </w:r>
            <w:r w:rsidR="00617D91" w:rsidRPr="00617D91">
              <w:rPr>
                <w:rFonts w:ascii="Times New Roman" w:hAnsi="Times New Roman" w:cs="Times New Roman"/>
                <w:sz w:val="24"/>
                <w:szCs w:val="24"/>
              </w:rPr>
              <w:t>Ugunsdrošības un civilās aizsardzības koledža</w:t>
            </w:r>
          </w:p>
        </w:tc>
        <w:tc>
          <w:tcPr>
            <w:tcW w:w="1255"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2A699E"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r w:rsidR="002A699E" w:rsidRPr="00064053">
              <w:rPr>
                <w:rFonts w:ascii="Times New Roman" w:hAnsi="Times New Roman" w:cs="Times New Roman"/>
                <w:sz w:val="24"/>
                <w:szCs w:val="24"/>
              </w:rPr>
              <w:t>3</w:t>
            </w:r>
            <w:r>
              <w:rPr>
                <w:rFonts w:ascii="Times New Roman" w:hAnsi="Times New Roman" w:cs="Times New Roman"/>
                <w:sz w:val="24"/>
                <w:szCs w:val="24"/>
              </w:rPr>
              <w:t>40</w:t>
            </w:r>
          </w:p>
          <w:p w:rsidR="002A699E" w:rsidRPr="00064053" w:rsidRDefault="002A699E" w:rsidP="00C67116">
            <w:pPr>
              <w:pStyle w:val="naisf"/>
              <w:spacing w:before="0" w:beforeAutospacing="0" w:after="0" w:afterAutospacing="0"/>
              <w:jc w:val="center"/>
            </w:pPr>
            <w:r w:rsidRPr="00064053">
              <w:t>12 554</w:t>
            </w:r>
          </w:p>
        </w:tc>
        <w:tc>
          <w:tcPr>
            <w:tcW w:w="1274"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c>
          <w:tcPr>
            <w:tcW w:w="1223" w:type="dxa"/>
          </w:tcPr>
          <w:p w:rsidR="002A699E" w:rsidRPr="00064053" w:rsidRDefault="002A699E" w:rsidP="00C67116">
            <w:pPr>
              <w:snapToGrid w:val="0"/>
              <w:spacing w:after="0" w:line="240" w:lineRule="auto"/>
              <w:jc w:val="center"/>
              <w:rPr>
                <w:rFonts w:ascii="Times New Roman" w:hAnsi="Times New Roman" w:cs="Times New Roman"/>
                <w:sz w:val="24"/>
                <w:szCs w:val="24"/>
              </w:rPr>
            </w:pPr>
          </w:p>
          <w:p w:rsidR="00794726" w:rsidRPr="00064053" w:rsidRDefault="00794726" w:rsidP="00C6711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w:t>
            </w:r>
            <w:r w:rsidRPr="00064053">
              <w:rPr>
                <w:rFonts w:ascii="Times New Roman" w:hAnsi="Times New Roman" w:cs="Times New Roman"/>
                <w:sz w:val="24"/>
                <w:szCs w:val="24"/>
              </w:rPr>
              <w:t>7</w:t>
            </w:r>
            <w:r>
              <w:rPr>
                <w:rFonts w:ascii="Times New Roman" w:hAnsi="Times New Roman" w:cs="Times New Roman"/>
                <w:sz w:val="24"/>
                <w:szCs w:val="24"/>
              </w:rPr>
              <w:t>00</w:t>
            </w:r>
          </w:p>
          <w:p w:rsidR="002A699E" w:rsidRPr="00064053" w:rsidRDefault="002A699E" w:rsidP="00C67116">
            <w:pPr>
              <w:pStyle w:val="naisf"/>
              <w:spacing w:before="0" w:beforeAutospacing="0" w:after="0" w:afterAutospacing="0"/>
              <w:jc w:val="center"/>
            </w:pPr>
            <w:r w:rsidRPr="00064053">
              <w:t>5 061</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2.2. valsts speciālais budžets</w:t>
            </w:r>
          </w:p>
        </w:tc>
        <w:tc>
          <w:tcPr>
            <w:tcW w:w="1255" w:type="dxa"/>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2.3. pašvaldību budžets </w:t>
            </w:r>
          </w:p>
        </w:tc>
        <w:tc>
          <w:tcPr>
            <w:tcW w:w="1255" w:type="dxa"/>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 Finansiālā ietekme:</w:t>
            </w:r>
          </w:p>
        </w:tc>
        <w:tc>
          <w:tcPr>
            <w:tcW w:w="1255" w:type="dxa"/>
            <w:shd w:val="clear" w:color="auto" w:fill="auto"/>
            <w:vAlign w:val="center"/>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3.1. valsts pamatbudžets</w:t>
            </w:r>
          </w:p>
        </w:tc>
        <w:tc>
          <w:tcPr>
            <w:tcW w:w="1255" w:type="dxa"/>
            <w:shd w:val="clear" w:color="auto" w:fill="auto"/>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lastRenderedPageBreak/>
              <w:t>3.2. speciālais budžets</w:t>
            </w:r>
          </w:p>
        </w:tc>
        <w:tc>
          <w:tcPr>
            <w:tcW w:w="1255" w:type="dxa"/>
            <w:shd w:val="clear" w:color="auto" w:fill="auto"/>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3.3. pašvaldību budžets </w:t>
            </w:r>
          </w:p>
        </w:tc>
        <w:tc>
          <w:tcPr>
            <w:tcW w:w="1255" w:type="dxa"/>
            <w:shd w:val="clear" w:color="auto" w:fill="auto"/>
          </w:tcPr>
          <w:p w:rsidR="007F6B1C" w:rsidRPr="00064053" w:rsidRDefault="00E7737A" w:rsidP="00C67116">
            <w:pPr>
              <w:pStyle w:val="naisf"/>
              <w:spacing w:before="0" w:beforeAutospacing="0" w:after="0" w:afterAutospacing="0"/>
              <w:jc w:val="center"/>
            </w:pPr>
            <w:r w:rsidRPr="00064053">
              <w:t>0</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vMerge w:val="restart"/>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4. Finanšu līdzekļi papildu izdevumu finansēšanai (kompensējošu izdevumu samazinājumu norāda ar "+" zīmi)</w:t>
            </w:r>
          </w:p>
        </w:tc>
        <w:tc>
          <w:tcPr>
            <w:tcW w:w="1255" w:type="dxa"/>
            <w:vMerge w:val="restart"/>
          </w:tcPr>
          <w:p w:rsidR="007F6B1C" w:rsidRPr="00064053" w:rsidRDefault="007F6B1C" w:rsidP="00C67116">
            <w:pPr>
              <w:pStyle w:val="naisf"/>
              <w:spacing w:before="0" w:beforeAutospacing="0" w:after="0" w:afterAutospacing="0"/>
              <w:jc w:val="center"/>
              <w:rPr>
                <w:i/>
              </w:rPr>
            </w:pPr>
            <w:r w:rsidRPr="00064053">
              <w:t>X</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vMerge/>
          </w:tcPr>
          <w:p w:rsidR="007F6B1C" w:rsidRPr="00064053" w:rsidRDefault="007F6B1C" w:rsidP="00C67116">
            <w:pPr>
              <w:spacing w:after="0" w:line="240" w:lineRule="auto"/>
              <w:rPr>
                <w:rFonts w:ascii="Times New Roman" w:hAnsi="Times New Roman" w:cs="Times New Roman"/>
                <w:sz w:val="24"/>
                <w:szCs w:val="24"/>
              </w:rPr>
            </w:pPr>
          </w:p>
        </w:tc>
        <w:tc>
          <w:tcPr>
            <w:tcW w:w="1255" w:type="dxa"/>
            <w:vMerge/>
          </w:tcPr>
          <w:p w:rsidR="007F6B1C" w:rsidRPr="00064053" w:rsidRDefault="007F6B1C" w:rsidP="00C67116">
            <w:pPr>
              <w:pStyle w:val="naisf"/>
              <w:spacing w:before="0" w:beforeAutospacing="0" w:after="0" w:afterAutospacing="0"/>
              <w:jc w:val="center"/>
              <w:rPr>
                <w:i/>
              </w:rPr>
            </w:pP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vMerge/>
          </w:tcPr>
          <w:p w:rsidR="007F6B1C" w:rsidRPr="00064053" w:rsidRDefault="007F6B1C" w:rsidP="00C67116">
            <w:pPr>
              <w:spacing w:after="0" w:line="240" w:lineRule="auto"/>
              <w:rPr>
                <w:rFonts w:ascii="Times New Roman" w:hAnsi="Times New Roman" w:cs="Times New Roman"/>
                <w:sz w:val="24"/>
                <w:szCs w:val="24"/>
              </w:rPr>
            </w:pPr>
          </w:p>
        </w:tc>
        <w:tc>
          <w:tcPr>
            <w:tcW w:w="1255" w:type="dxa"/>
            <w:vMerge/>
          </w:tcPr>
          <w:p w:rsidR="007F6B1C" w:rsidRPr="00064053" w:rsidRDefault="007F6B1C" w:rsidP="00C67116">
            <w:pPr>
              <w:pStyle w:val="naisf"/>
              <w:spacing w:before="0" w:beforeAutospacing="0" w:after="0" w:afterAutospacing="0"/>
              <w:jc w:val="center"/>
              <w:rPr>
                <w:i/>
              </w:rPr>
            </w:pP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 Precizēta finansiālā ietekme:</w:t>
            </w:r>
          </w:p>
        </w:tc>
        <w:tc>
          <w:tcPr>
            <w:tcW w:w="1255" w:type="dxa"/>
            <w:vMerge w:val="restart"/>
          </w:tcPr>
          <w:p w:rsidR="007F6B1C" w:rsidRPr="00064053" w:rsidRDefault="007F6B1C" w:rsidP="00C67116">
            <w:pPr>
              <w:pStyle w:val="naisf"/>
              <w:spacing w:before="0" w:beforeAutospacing="0" w:after="0" w:afterAutospacing="0"/>
              <w:jc w:val="center"/>
              <w:rPr>
                <w:i/>
              </w:rPr>
            </w:pPr>
            <w:r w:rsidRPr="00064053">
              <w:t>X</w:t>
            </w: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5.1. valsts pamatbudžets</w:t>
            </w:r>
          </w:p>
        </w:tc>
        <w:tc>
          <w:tcPr>
            <w:tcW w:w="1255" w:type="dxa"/>
            <w:vMerge/>
            <w:vAlign w:val="center"/>
          </w:tcPr>
          <w:p w:rsidR="007F6B1C" w:rsidRPr="00064053" w:rsidRDefault="007F6B1C" w:rsidP="00C67116">
            <w:pPr>
              <w:pStyle w:val="naisf"/>
              <w:spacing w:before="0" w:beforeAutospacing="0" w:after="0" w:afterAutospacing="0"/>
              <w:jc w:val="center"/>
              <w:rPr>
                <w:i/>
              </w:rPr>
            </w:pP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5.2. speciālais budžets</w:t>
            </w:r>
          </w:p>
        </w:tc>
        <w:tc>
          <w:tcPr>
            <w:tcW w:w="1255" w:type="dxa"/>
            <w:vMerge/>
            <w:vAlign w:val="center"/>
          </w:tcPr>
          <w:p w:rsidR="007F6B1C" w:rsidRPr="00064053" w:rsidRDefault="007F6B1C" w:rsidP="00C67116">
            <w:pPr>
              <w:pStyle w:val="naisf"/>
              <w:spacing w:before="0" w:beforeAutospacing="0" w:after="0" w:afterAutospacing="0"/>
              <w:jc w:val="center"/>
              <w:rPr>
                <w:i/>
              </w:rPr>
            </w:pP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5.3. pašvaldību budžets </w:t>
            </w:r>
          </w:p>
        </w:tc>
        <w:tc>
          <w:tcPr>
            <w:tcW w:w="1255" w:type="dxa"/>
            <w:vMerge/>
            <w:vAlign w:val="center"/>
          </w:tcPr>
          <w:p w:rsidR="007F6B1C" w:rsidRPr="00064053" w:rsidRDefault="007F6B1C" w:rsidP="00C67116">
            <w:pPr>
              <w:pStyle w:val="naisf"/>
              <w:spacing w:before="0" w:beforeAutospacing="0" w:after="0" w:afterAutospacing="0"/>
              <w:jc w:val="center"/>
              <w:rPr>
                <w:i/>
              </w:rPr>
            </w:pPr>
          </w:p>
        </w:tc>
        <w:tc>
          <w:tcPr>
            <w:tcW w:w="1274"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c>
          <w:tcPr>
            <w:tcW w:w="1223" w:type="dxa"/>
          </w:tcPr>
          <w:p w:rsidR="007F6B1C" w:rsidRPr="00064053" w:rsidRDefault="00E7737A" w:rsidP="00C67116">
            <w:pPr>
              <w:pStyle w:val="naisf"/>
              <w:spacing w:before="0" w:beforeAutospacing="0" w:after="0" w:afterAutospacing="0"/>
              <w:jc w:val="center"/>
            </w:pPr>
            <w:r w:rsidRPr="00064053">
              <w:t>0</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6. Detalizēts ieņēmumu un izdevumu aprēķins (ja nepie</w:t>
            </w:r>
            <w:r w:rsidRPr="00064053">
              <w:rPr>
                <w:rFonts w:ascii="Times New Roman" w:hAnsi="Times New Roman" w:cs="Times New Roman"/>
                <w:sz w:val="24"/>
                <w:szCs w:val="24"/>
              </w:rPr>
              <w:softHyphen/>
              <w:t>ciešams, detalizētu ieņēmumu un izdevumu aprēķinu var pie</w:t>
            </w:r>
            <w:r w:rsidRPr="00064053">
              <w:rPr>
                <w:rFonts w:ascii="Times New Roman" w:hAnsi="Times New Roman" w:cs="Times New Roman"/>
                <w:sz w:val="24"/>
                <w:szCs w:val="24"/>
              </w:rPr>
              <w:softHyphen/>
              <w:t>vienot anotācijas pielikumā):</w:t>
            </w:r>
          </w:p>
        </w:tc>
        <w:tc>
          <w:tcPr>
            <w:tcW w:w="6198" w:type="dxa"/>
            <w:gridSpan w:val="5"/>
            <w:vMerge w:val="restart"/>
            <w:vAlign w:val="center"/>
          </w:tcPr>
          <w:p w:rsidR="002A699E" w:rsidRPr="00064053" w:rsidRDefault="002A699E" w:rsidP="00C67116">
            <w:pPr>
              <w:pStyle w:val="naiskr"/>
              <w:tabs>
                <w:tab w:val="left" w:pos="284"/>
              </w:tabs>
              <w:spacing w:before="0" w:beforeAutospacing="0" w:after="0" w:afterAutospacing="0"/>
              <w:ind w:right="113" w:firstLine="413"/>
              <w:jc w:val="both"/>
            </w:pPr>
            <w:r w:rsidRPr="00064053">
              <w:t>Noteikumu projekts paredz ieviest jaunus maksas pakalpojumus.</w:t>
            </w:r>
          </w:p>
          <w:p w:rsidR="002A699E" w:rsidRPr="00064053" w:rsidRDefault="002A699E" w:rsidP="00C67116">
            <w:pPr>
              <w:pStyle w:val="naiskr"/>
              <w:tabs>
                <w:tab w:val="left" w:pos="284"/>
              </w:tabs>
              <w:spacing w:before="0" w:beforeAutospacing="0" w:after="0" w:afterAutospacing="0"/>
              <w:ind w:left="99" w:right="113" w:firstLine="413"/>
              <w:jc w:val="both"/>
            </w:pPr>
          </w:p>
          <w:p w:rsidR="002A699E" w:rsidRPr="00064053" w:rsidRDefault="002A699E" w:rsidP="00C67116">
            <w:pPr>
              <w:pStyle w:val="naiskr"/>
              <w:tabs>
                <w:tab w:val="left" w:pos="284"/>
              </w:tabs>
              <w:spacing w:before="0" w:beforeAutospacing="0" w:after="0" w:afterAutospacing="0"/>
              <w:ind w:right="113"/>
              <w:jc w:val="both"/>
              <w:rPr>
                <w:b/>
                <w:u w:val="single"/>
              </w:rPr>
            </w:pPr>
            <w:r w:rsidRPr="00064053">
              <w:rPr>
                <w:b/>
                <w:u w:val="single"/>
              </w:rPr>
              <w:t>I. Valsts policija</w:t>
            </w:r>
            <w:r w:rsidR="00617D91">
              <w:rPr>
                <w:b/>
                <w:u w:val="single"/>
              </w:rPr>
              <w:t>s koledža</w:t>
            </w:r>
          </w:p>
          <w:p w:rsidR="002A699E" w:rsidRPr="00064053" w:rsidRDefault="002A699E" w:rsidP="00C67116">
            <w:pPr>
              <w:spacing w:after="0" w:line="240" w:lineRule="auto"/>
              <w:ind w:right="113" w:firstLine="395"/>
              <w:jc w:val="both"/>
              <w:rPr>
                <w:rFonts w:ascii="Times New Roman" w:hAnsi="Times New Roman" w:cs="Times New Roman"/>
                <w:sz w:val="24"/>
                <w:szCs w:val="24"/>
              </w:rPr>
            </w:pPr>
            <w:r w:rsidRPr="00064053">
              <w:rPr>
                <w:rFonts w:ascii="Times New Roman" w:hAnsi="Times New Roman" w:cs="Times New Roman"/>
                <w:sz w:val="24"/>
                <w:szCs w:val="24"/>
              </w:rPr>
              <w:t>Ieņēmumi no sniegtajiem pakalpojumiem un ar to sniegšanu saistītie izdevumi tiek plānoti budžeta apakšprogrammā 06.01.00 „Valsts policija” un tiks izlietoti izdevumu, kas saistīti ar maksas pakalpojumu sniegšanu, segšanai.</w:t>
            </w:r>
          </w:p>
          <w:p w:rsidR="002A699E" w:rsidRPr="00064053" w:rsidRDefault="002A699E" w:rsidP="00C67116">
            <w:pPr>
              <w:spacing w:after="0" w:line="240" w:lineRule="auto"/>
              <w:ind w:right="113" w:firstLine="332"/>
              <w:jc w:val="both"/>
              <w:rPr>
                <w:rFonts w:ascii="Times New Roman" w:hAnsi="Times New Roman" w:cs="Times New Roman"/>
                <w:sz w:val="24"/>
                <w:szCs w:val="24"/>
              </w:rPr>
            </w:pPr>
            <w:r w:rsidRPr="00064053">
              <w:rPr>
                <w:rFonts w:ascii="Times New Roman" w:hAnsi="Times New Roman" w:cs="Times New Roman"/>
                <w:sz w:val="24"/>
                <w:szCs w:val="24"/>
                <w:u w:val="single"/>
              </w:rPr>
              <w:t>6.1. Ieņēmumu aprēķins.</w:t>
            </w:r>
          </w:p>
          <w:p w:rsidR="002A699E" w:rsidRPr="00064053" w:rsidRDefault="002A699E" w:rsidP="00C67116">
            <w:pPr>
              <w:spacing w:after="0" w:line="240" w:lineRule="auto"/>
              <w:ind w:right="113" w:firstLine="332"/>
              <w:jc w:val="both"/>
              <w:rPr>
                <w:rFonts w:ascii="Times New Roman" w:hAnsi="Times New Roman" w:cs="Times New Roman"/>
                <w:sz w:val="24"/>
                <w:szCs w:val="24"/>
              </w:rPr>
            </w:pPr>
            <w:r w:rsidRPr="00064053">
              <w:rPr>
                <w:rFonts w:ascii="Times New Roman" w:hAnsi="Times New Roman" w:cs="Times New Roman"/>
                <w:sz w:val="24"/>
                <w:szCs w:val="24"/>
              </w:rPr>
              <w:t>Ieņēmumi uz vienu vienību un prognozētais veikto maksas pakalpojumu skaits gadā (turpmāk – skaits) Izglītības tematiskās jomas programmu grupā „Civilā un militārā aizsardzība”, izglītības programmu grupa „Personu un īpašuma aizsardzība” (izglītības programmu kopa „Policijas darbs”):</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novērtēšan</w:t>
            </w:r>
            <w:r w:rsidR="00C92723">
              <w:rPr>
                <w:rFonts w:ascii="Times New Roman" w:hAnsi="Times New Roman" w:cs="Times New Roman"/>
                <w:sz w:val="24"/>
                <w:szCs w:val="24"/>
              </w:rPr>
              <w:t>a / 1 personas grupa” – EUR 192,</w:t>
            </w:r>
            <w:r w:rsidRPr="00064053">
              <w:rPr>
                <w:rFonts w:ascii="Times New Roman" w:hAnsi="Times New Roman" w:cs="Times New Roman"/>
                <w:sz w:val="24"/>
                <w:szCs w:val="24"/>
              </w:rPr>
              <w:t>75. Skaits - 1;</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w:t>
            </w:r>
            <w:r w:rsidR="00C92723">
              <w:rPr>
                <w:rFonts w:ascii="Times New Roman" w:hAnsi="Times New Roman" w:cs="Times New Roman"/>
                <w:sz w:val="24"/>
                <w:szCs w:val="24"/>
              </w:rPr>
              <w:t>na / 2 personu grupa” – EUR 114,</w:t>
            </w:r>
            <w:r w:rsidRPr="00064053">
              <w:rPr>
                <w:rFonts w:ascii="Times New Roman" w:hAnsi="Times New Roman" w:cs="Times New Roman"/>
                <w:sz w:val="24"/>
                <w:szCs w:val="24"/>
              </w:rPr>
              <w:t>46. Skaits - 2;</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novērtēšana / 3 personu grupa” – EUR 88</w:t>
            </w:r>
            <w:r w:rsidR="00C92723">
              <w:rPr>
                <w:rFonts w:ascii="Times New Roman" w:hAnsi="Times New Roman" w:cs="Times New Roman"/>
                <w:sz w:val="24"/>
                <w:szCs w:val="24"/>
              </w:rPr>
              <w:t>,</w:t>
            </w:r>
            <w:r w:rsidRPr="00064053">
              <w:rPr>
                <w:rFonts w:ascii="Times New Roman" w:hAnsi="Times New Roman" w:cs="Times New Roman"/>
                <w:sz w:val="24"/>
                <w:szCs w:val="24"/>
              </w:rPr>
              <w:t>36. Skaits - 3;</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w:t>
            </w:r>
            <w:r w:rsidR="00C92723">
              <w:rPr>
                <w:rFonts w:ascii="Times New Roman" w:hAnsi="Times New Roman" w:cs="Times New Roman"/>
                <w:sz w:val="24"/>
                <w:szCs w:val="24"/>
              </w:rPr>
              <w:t>ana / 4 personu grupa” – EUR 75,</w:t>
            </w:r>
            <w:r w:rsidRPr="00064053">
              <w:rPr>
                <w:rFonts w:ascii="Times New Roman" w:hAnsi="Times New Roman" w:cs="Times New Roman"/>
                <w:sz w:val="24"/>
                <w:szCs w:val="24"/>
              </w:rPr>
              <w:t>32. Skaits - 4;</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novērtēšana / 5 personu grupa” – EUR 67</w:t>
            </w:r>
            <w:r w:rsidR="00C92723">
              <w:rPr>
                <w:rFonts w:ascii="Times New Roman" w:hAnsi="Times New Roman" w:cs="Times New Roman"/>
                <w:sz w:val="24"/>
                <w:szCs w:val="24"/>
              </w:rPr>
              <w:t>,</w:t>
            </w:r>
            <w:r w:rsidRPr="00064053">
              <w:rPr>
                <w:rFonts w:ascii="Times New Roman" w:hAnsi="Times New Roman" w:cs="Times New Roman"/>
                <w:sz w:val="24"/>
                <w:szCs w:val="24"/>
              </w:rPr>
              <w:t>49. Skaits - 5;</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w:t>
            </w:r>
            <w:r w:rsidR="00C92723">
              <w:rPr>
                <w:rFonts w:ascii="Times New Roman" w:hAnsi="Times New Roman" w:cs="Times New Roman"/>
                <w:sz w:val="24"/>
                <w:szCs w:val="24"/>
              </w:rPr>
              <w:t>ana / 6 personu grupa” – EUR 62,</w:t>
            </w:r>
            <w:r w:rsidRPr="00064053">
              <w:rPr>
                <w:rFonts w:ascii="Times New Roman" w:hAnsi="Times New Roman" w:cs="Times New Roman"/>
                <w:sz w:val="24"/>
                <w:szCs w:val="24"/>
              </w:rPr>
              <w:t>27. Skaits - 6;</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novērtēšana / 7 personu grupa” – EU</w:t>
            </w:r>
            <w:r w:rsidR="00C92723">
              <w:rPr>
                <w:rFonts w:ascii="Times New Roman" w:hAnsi="Times New Roman" w:cs="Times New Roman"/>
                <w:sz w:val="24"/>
                <w:szCs w:val="24"/>
              </w:rPr>
              <w:t>R 58,</w:t>
            </w:r>
            <w:r w:rsidRPr="00064053">
              <w:rPr>
                <w:rFonts w:ascii="Times New Roman" w:hAnsi="Times New Roman" w:cs="Times New Roman"/>
                <w:sz w:val="24"/>
                <w:szCs w:val="24"/>
              </w:rPr>
              <w:t>54. Skaits - 7;</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w:t>
            </w:r>
            <w:r w:rsidR="00C92723">
              <w:rPr>
                <w:rFonts w:ascii="Times New Roman" w:hAnsi="Times New Roman" w:cs="Times New Roman"/>
                <w:sz w:val="24"/>
                <w:szCs w:val="24"/>
              </w:rPr>
              <w:t>ana / 8 personu grupa” – EUR 55,</w:t>
            </w:r>
            <w:r w:rsidRPr="00064053">
              <w:rPr>
                <w:rFonts w:ascii="Times New Roman" w:hAnsi="Times New Roman" w:cs="Times New Roman"/>
                <w:sz w:val="24"/>
                <w:szCs w:val="24"/>
              </w:rPr>
              <w:t>75. Skaits - 8;</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w:t>
            </w:r>
            <w:r w:rsidR="00C92723">
              <w:rPr>
                <w:rFonts w:ascii="Times New Roman" w:hAnsi="Times New Roman" w:cs="Times New Roman"/>
                <w:sz w:val="24"/>
                <w:szCs w:val="24"/>
              </w:rPr>
              <w:t>ana / 9 personu grupa” – EUR 53,</w:t>
            </w:r>
            <w:r w:rsidRPr="00064053">
              <w:rPr>
                <w:rFonts w:ascii="Times New Roman" w:hAnsi="Times New Roman" w:cs="Times New Roman"/>
                <w:sz w:val="24"/>
                <w:szCs w:val="24"/>
              </w:rPr>
              <w:t>57. Skaits - 9;</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„Personas novērtēšana / 10 personu grupa” – EUR 51</w:t>
            </w:r>
            <w:r w:rsidR="00C92723">
              <w:rPr>
                <w:rFonts w:ascii="Times New Roman" w:hAnsi="Times New Roman" w:cs="Times New Roman"/>
                <w:sz w:val="24"/>
                <w:szCs w:val="24"/>
              </w:rPr>
              <w:t>,</w:t>
            </w:r>
            <w:r w:rsidRPr="00064053">
              <w:rPr>
                <w:rFonts w:ascii="Times New Roman" w:hAnsi="Times New Roman" w:cs="Times New Roman"/>
                <w:sz w:val="24"/>
                <w:szCs w:val="24"/>
              </w:rPr>
              <w:t>83. Skaits - 10;</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t xml:space="preserve">„Personas novērtēšana / 11 personu </w:t>
            </w:r>
            <w:r w:rsidR="00C92723">
              <w:rPr>
                <w:rFonts w:ascii="Times New Roman" w:hAnsi="Times New Roman" w:cs="Times New Roman"/>
                <w:sz w:val="24"/>
                <w:szCs w:val="24"/>
              </w:rPr>
              <w:t>grupa” – EUR 50,</w:t>
            </w:r>
            <w:r w:rsidRPr="00064053">
              <w:rPr>
                <w:rFonts w:ascii="Times New Roman" w:hAnsi="Times New Roman" w:cs="Times New Roman"/>
                <w:sz w:val="24"/>
                <w:szCs w:val="24"/>
              </w:rPr>
              <w:t>41. Skaits - 11;</w:t>
            </w:r>
          </w:p>
          <w:p w:rsidR="002A699E" w:rsidRPr="00064053" w:rsidRDefault="002A699E" w:rsidP="00C67116">
            <w:pPr>
              <w:numPr>
                <w:ilvl w:val="0"/>
                <w:numId w:val="2"/>
              </w:numPr>
              <w:suppressAutoHyphens/>
              <w:spacing w:after="0" w:line="240" w:lineRule="auto"/>
              <w:ind w:left="395" w:right="113" w:hanging="284"/>
              <w:jc w:val="both"/>
              <w:rPr>
                <w:rFonts w:ascii="Times New Roman" w:hAnsi="Times New Roman" w:cs="Times New Roman"/>
                <w:sz w:val="24"/>
                <w:szCs w:val="24"/>
              </w:rPr>
            </w:pPr>
            <w:r w:rsidRPr="00064053">
              <w:rPr>
                <w:rFonts w:ascii="Times New Roman" w:hAnsi="Times New Roman" w:cs="Times New Roman"/>
                <w:sz w:val="24"/>
                <w:szCs w:val="24"/>
              </w:rPr>
              <w:lastRenderedPageBreak/>
              <w:t>„Personas novērtēša</w:t>
            </w:r>
            <w:r w:rsidR="00C92723">
              <w:rPr>
                <w:rFonts w:ascii="Times New Roman" w:hAnsi="Times New Roman" w:cs="Times New Roman"/>
                <w:sz w:val="24"/>
                <w:szCs w:val="24"/>
              </w:rPr>
              <w:t>na / 12 personu grupa” – EUR 49,</w:t>
            </w:r>
            <w:r w:rsidRPr="00064053">
              <w:rPr>
                <w:rFonts w:ascii="Times New Roman" w:hAnsi="Times New Roman" w:cs="Times New Roman"/>
                <w:sz w:val="24"/>
                <w:szCs w:val="24"/>
              </w:rPr>
              <w:t>22. Skaits - 12;</w:t>
            </w:r>
          </w:p>
          <w:p w:rsidR="002A699E" w:rsidRPr="00064053" w:rsidRDefault="002A699E" w:rsidP="00C67116">
            <w:pPr>
              <w:spacing w:after="0" w:line="240" w:lineRule="auto"/>
              <w:ind w:left="319" w:right="112"/>
              <w:jc w:val="both"/>
              <w:rPr>
                <w:rFonts w:ascii="Times New Roman" w:hAnsi="Times New Roman" w:cs="Times New Roman"/>
                <w:sz w:val="24"/>
                <w:szCs w:val="24"/>
              </w:rPr>
            </w:pPr>
            <w:r w:rsidRPr="00064053">
              <w:rPr>
                <w:rFonts w:ascii="Times New Roman" w:hAnsi="Times New Roman" w:cs="Times New Roman"/>
                <w:sz w:val="24"/>
                <w:szCs w:val="24"/>
              </w:rPr>
              <w:t>Plānotie ieņēmumi no maksas pakalpojumiem gadā:</w:t>
            </w:r>
          </w:p>
          <w:p w:rsidR="002A699E" w:rsidRPr="00064053" w:rsidRDefault="00C92723" w:rsidP="00C67116">
            <w:pPr>
              <w:suppressAutoHyphens/>
              <w:spacing w:after="0" w:line="240" w:lineRule="auto"/>
              <w:ind w:right="112" w:firstLine="328"/>
              <w:jc w:val="both"/>
              <w:rPr>
                <w:rFonts w:ascii="Times New Roman" w:hAnsi="Times New Roman" w:cs="Times New Roman"/>
                <w:sz w:val="24"/>
                <w:szCs w:val="24"/>
              </w:rPr>
            </w:pPr>
            <w:r>
              <w:rPr>
                <w:rFonts w:ascii="Times New Roman" w:hAnsi="Times New Roman" w:cs="Times New Roman"/>
                <w:sz w:val="24"/>
                <w:szCs w:val="24"/>
              </w:rPr>
              <w:t>EUR 192,75 x 1 + EUR 114,46 x 2 + EUR 88,36 x 3 + EUR 75,32 x 4 + EUR 67,49 x 5 + EUR 62,27 x 6 + EUR 58,</w:t>
            </w:r>
            <w:r w:rsidR="002A699E" w:rsidRPr="00064053">
              <w:rPr>
                <w:rFonts w:ascii="Times New Roman" w:hAnsi="Times New Roman" w:cs="Times New Roman"/>
                <w:sz w:val="24"/>
                <w:szCs w:val="24"/>
              </w:rPr>
              <w:t>54 x 7 + EUR 55</w:t>
            </w:r>
            <w:r>
              <w:rPr>
                <w:rFonts w:ascii="Times New Roman" w:hAnsi="Times New Roman" w:cs="Times New Roman"/>
                <w:sz w:val="24"/>
                <w:szCs w:val="24"/>
              </w:rPr>
              <w:t>,</w:t>
            </w:r>
            <w:r w:rsidR="002A699E" w:rsidRPr="00064053">
              <w:rPr>
                <w:rFonts w:ascii="Times New Roman" w:hAnsi="Times New Roman" w:cs="Times New Roman"/>
                <w:sz w:val="24"/>
                <w:szCs w:val="24"/>
              </w:rPr>
              <w:t>75 x 8 + EUR 53</w:t>
            </w:r>
            <w:r>
              <w:rPr>
                <w:rFonts w:ascii="Times New Roman" w:hAnsi="Times New Roman" w:cs="Times New Roman"/>
                <w:sz w:val="24"/>
                <w:szCs w:val="24"/>
              </w:rPr>
              <w:t>,</w:t>
            </w:r>
            <w:r w:rsidR="002A699E" w:rsidRPr="00064053">
              <w:rPr>
                <w:rFonts w:ascii="Times New Roman" w:hAnsi="Times New Roman" w:cs="Times New Roman"/>
                <w:sz w:val="24"/>
                <w:szCs w:val="24"/>
              </w:rPr>
              <w:t>57 x 9 + EUR 51</w:t>
            </w:r>
            <w:r>
              <w:rPr>
                <w:rFonts w:ascii="Times New Roman" w:hAnsi="Times New Roman" w:cs="Times New Roman"/>
                <w:sz w:val="24"/>
                <w:szCs w:val="24"/>
              </w:rPr>
              <w:t>,</w:t>
            </w:r>
            <w:r w:rsidR="002A699E" w:rsidRPr="00064053">
              <w:rPr>
                <w:rFonts w:ascii="Times New Roman" w:hAnsi="Times New Roman" w:cs="Times New Roman"/>
                <w:sz w:val="24"/>
                <w:szCs w:val="24"/>
              </w:rPr>
              <w:t>83 x 10 + EUR 50</w:t>
            </w:r>
            <w:r>
              <w:rPr>
                <w:rFonts w:ascii="Times New Roman" w:hAnsi="Times New Roman" w:cs="Times New Roman"/>
                <w:sz w:val="24"/>
                <w:szCs w:val="24"/>
              </w:rPr>
              <w:t>,41 x 11 + EUR 49,22 x 12 = EUR 4 700</w:t>
            </w:r>
            <w:r w:rsidR="002A699E" w:rsidRPr="00064053">
              <w:rPr>
                <w:rFonts w:ascii="Times New Roman" w:hAnsi="Times New Roman" w:cs="Times New Roman"/>
                <w:sz w:val="24"/>
                <w:szCs w:val="24"/>
              </w:rPr>
              <w:t>.</w:t>
            </w:r>
          </w:p>
          <w:p w:rsidR="008C3FE8" w:rsidRDefault="002A699E" w:rsidP="00C67116">
            <w:pPr>
              <w:spacing w:after="0" w:line="240" w:lineRule="auto"/>
              <w:ind w:left="319" w:right="112"/>
              <w:jc w:val="both"/>
              <w:rPr>
                <w:rFonts w:ascii="Times New Roman" w:hAnsi="Times New Roman" w:cs="Times New Roman"/>
                <w:sz w:val="24"/>
                <w:szCs w:val="24"/>
                <w:u w:val="single"/>
              </w:rPr>
            </w:pPr>
            <w:r w:rsidRPr="00064053">
              <w:rPr>
                <w:rFonts w:ascii="Times New Roman" w:hAnsi="Times New Roman" w:cs="Times New Roman"/>
                <w:sz w:val="24"/>
                <w:szCs w:val="24"/>
                <w:u w:val="single"/>
              </w:rPr>
              <w:t>6.2. Izdevumu aprēķins.</w:t>
            </w:r>
          </w:p>
          <w:p w:rsidR="002A699E" w:rsidRPr="008C3FE8" w:rsidRDefault="002A699E" w:rsidP="00C67116">
            <w:pPr>
              <w:spacing w:after="0" w:line="240" w:lineRule="auto"/>
              <w:ind w:right="112" w:firstLine="328"/>
              <w:jc w:val="both"/>
              <w:rPr>
                <w:rFonts w:ascii="Times New Roman" w:hAnsi="Times New Roman" w:cs="Times New Roman"/>
                <w:sz w:val="24"/>
                <w:szCs w:val="24"/>
                <w:u w:val="single"/>
              </w:rPr>
            </w:pPr>
            <w:r w:rsidRPr="00064053">
              <w:rPr>
                <w:rFonts w:ascii="Times New Roman" w:hAnsi="Times New Roman" w:cs="Times New Roman"/>
                <w:sz w:val="24"/>
                <w:szCs w:val="24"/>
              </w:rPr>
              <w:t>Detalizēts aprēķins pievienots noteikumu projekta sākotnējās ietekmes novērtējuma ziņojuma (anotācijas) 1.pielikumā.</w:t>
            </w:r>
          </w:p>
          <w:p w:rsidR="002A699E" w:rsidRPr="00064053" w:rsidRDefault="002A699E" w:rsidP="00C67116">
            <w:pPr>
              <w:spacing w:after="0" w:line="240" w:lineRule="auto"/>
              <w:ind w:right="112" w:firstLine="395"/>
              <w:jc w:val="both"/>
              <w:rPr>
                <w:rFonts w:ascii="Times New Roman" w:hAnsi="Times New Roman" w:cs="Times New Roman"/>
                <w:sz w:val="24"/>
                <w:szCs w:val="24"/>
              </w:rPr>
            </w:pPr>
          </w:p>
          <w:p w:rsidR="002A699E" w:rsidRPr="00064053" w:rsidRDefault="002A699E" w:rsidP="00C67116">
            <w:pPr>
              <w:spacing w:after="0" w:line="240" w:lineRule="auto"/>
              <w:ind w:right="112"/>
              <w:jc w:val="both"/>
              <w:rPr>
                <w:rFonts w:ascii="Times New Roman" w:hAnsi="Times New Roman" w:cs="Times New Roman"/>
                <w:b/>
                <w:sz w:val="24"/>
                <w:szCs w:val="24"/>
                <w:u w:val="single"/>
              </w:rPr>
            </w:pPr>
            <w:r w:rsidRPr="00064053">
              <w:rPr>
                <w:rFonts w:ascii="Times New Roman" w:hAnsi="Times New Roman" w:cs="Times New Roman"/>
                <w:b/>
                <w:sz w:val="24"/>
                <w:szCs w:val="24"/>
                <w:u w:val="single"/>
              </w:rPr>
              <w:t xml:space="preserve">II. </w:t>
            </w:r>
            <w:r w:rsidR="00617D91" w:rsidRPr="00617D91">
              <w:rPr>
                <w:rFonts w:ascii="Times New Roman" w:hAnsi="Times New Roman" w:cs="Times New Roman"/>
                <w:b/>
                <w:sz w:val="24"/>
                <w:szCs w:val="24"/>
                <w:u w:val="single"/>
              </w:rPr>
              <w:t>Ugunsdrošības un civilās aizsardzības koledža</w:t>
            </w:r>
          </w:p>
          <w:p w:rsidR="002A699E" w:rsidRPr="00064053" w:rsidRDefault="002A699E" w:rsidP="00C67116">
            <w:pPr>
              <w:pStyle w:val="naiskr"/>
              <w:spacing w:before="0" w:beforeAutospacing="0" w:after="0" w:afterAutospacing="0"/>
              <w:ind w:firstLine="328"/>
              <w:jc w:val="both"/>
            </w:pPr>
            <w:r w:rsidRPr="00064053">
              <w:t>Ieņēmumi no sniegtajiem pakalpojumiem un ar to sniegšanu saistītie izdevumi tiek plānoti budžeta programmā 07.00.00 „Ugunsdrošība, glābšana un civilā aizsardzība” un tiks izlietoti izdevumu, kas saistīti ar maksas pakalpojumu sniegšanu, segšanai.</w:t>
            </w:r>
          </w:p>
          <w:p w:rsidR="002A699E" w:rsidRPr="008C3FE8" w:rsidRDefault="002A699E" w:rsidP="00C67116">
            <w:pPr>
              <w:pStyle w:val="naiskr"/>
              <w:tabs>
                <w:tab w:val="left" w:pos="284"/>
              </w:tabs>
              <w:spacing w:before="0" w:beforeAutospacing="0" w:after="0" w:afterAutospacing="0"/>
              <w:ind w:firstLine="328"/>
              <w:jc w:val="both"/>
              <w:rPr>
                <w:u w:val="single"/>
              </w:rPr>
            </w:pPr>
            <w:r w:rsidRPr="008C3FE8">
              <w:rPr>
                <w:u w:val="single"/>
              </w:rPr>
              <w:t>6.1.Ieņēmumu aprēķins:</w:t>
            </w:r>
          </w:p>
          <w:p w:rsidR="002A699E" w:rsidRPr="00064053" w:rsidRDefault="002A699E" w:rsidP="00C67116">
            <w:pPr>
              <w:pStyle w:val="naiskr"/>
              <w:tabs>
                <w:tab w:val="left" w:pos="284"/>
              </w:tabs>
              <w:spacing w:before="0" w:beforeAutospacing="0" w:after="0" w:afterAutospacing="0"/>
              <w:ind w:firstLine="328"/>
              <w:jc w:val="both"/>
            </w:pPr>
            <w:r w:rsidRPr="00064053">
              <w:t>Ieņēmumi uz vienu vienību un prognozētais veikto maksas pakalpojumu skaits gadā Izglītības tematiskās jomas programmu grupā “Civilā un militārā aizsardzība”, izglītības programmu grupa “Personu un īpašuma aizsardzība” (izglītības programmu kopa “Ugunsdrošība un ugunsdzēsība”):</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1personas grupa”- EUR 404,37. Skaits – 1;</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/2personu grupa”- EUR 203,77. Skaits-2;</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3personu grupa”- EUR 136,90. Skaits</w:t>
            </w:r>
            <w:r w:rsidRPr="00064053">
              <w:rPr>
                <w:color w:val="339966"/>
              </w:rPr>
              <w:t xml:space="preserve"> </w:t>
            </w:r>
            <w:r w:rsidRPr="00064053">
              <w:t>– 3;</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4personu grupa”- EUR 103,46. Skaits – 4;</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5personu grupa”- EUR 83,40. Skaits – 5;</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6personu grupa”- EUR 70,03. Skaits – 6;</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7personu grupa”- EUR 60,48. Skaits – 7;</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8personu grupa”- EUR 53,31. Skaits – 8;</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 9personu grupa”- EUR 47,74. Skaits – 9;</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 novērtēšana / 10personu grupa”- EUR 43,28. Skaits - 10.</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/11personu grupa”- EUR 39,63. Skaits – 11,</w:t>
            </w:r>
          </w:p>
          <w:p w:rsidR="002A699E" w:rsidRPr="00064053" w:rsidRDefault="002A699E" w:rsidP="00C67116">
            <w:pPr>
              <w:pStyle w:val="naiskr"/>
              <w:numPr>
                <w:ilvl w:val="0"/>
                <w:numId w:val="3"/>
              </w:numPr>
              <w:tabs>
                <w:tab w:val="left" w:pos="470"/>
              </w:tabs>
              <w:suppressAutoHyphens/>
              <w:spacing w:before="0" w:beforeAutospacing="0" w:after="0" w:afterAutospacing="0"/>
              <w:ind w:left="470" w:hanging="283"/>
              <w:jc w:val="both"/>
            </w:pPr>
            <w:r w:rsidRPr="00064053">
              <w:t>“personas novērtēšana /12personu grupa”- EUR 36,59. Skaits - 12.</w:t>
            </w:r>
          </w:p>
          <w:p w:rsidR="008C3FE8" w:rsidRPr="008C3FE8" w:rsidRDefault="008C3FE8" w:rsidP="00C67116">
            <w:pPr>
              <w:spacing w:after="0" w:line="240" w:lineRule="auto"/>
              <w:ind w:left="319" w:right="112"/>
              <w:jc w:val="both"/>
              <w:rPr>
                <w:rFonts w:ascii="Times New Roman" w:hAnsi="Times New Roman" w:cs="Times New Roman"/>
                <w:sz w:val="24"/>
                <w:szCs w:val="24"/>
              </w:rPr>
            </w:pPr>
            <w:r w:rsidRPr="008C3FE8">
              <w:rPr>
                <w:rFonts w:ascii="Times New Roman" w:hAnsi="Times New Roman" w:cs="Times New Roman"/>
                <w:sz w:val="24"/>
                <w:szCs w:val="24"/>
              </w:rPr>
              <w:t>Plānotie ieņēmumi no maksas pakalpojumiem gadā:</w:t>
            </w:r>
          </w:p>
          <w:p w:rsidR="002A699E" w:rsidRPr="008C3FE8" w:rsidRDefault="00C92723" w:rsidP="00C67116">
            <w:pPr>
              <w:spacing w:after="0" w:line="240" w:lineRule="auto"/>
              <w:ind w:right="112" w:firstLine="328"/>
              <w:jc w:val="both"/>
              <w:rPr>
                <w:rFonts w:ascii="Times New Roman" w:hAnsi="Times New Roman" w:cs="Times New Roman"/>
                <w:sz w:val="24"/>
                <w:szCs w:val="24"/>
              </w:rPr>
            </w:pPr>
            <w:r>
              <w:rPr>
                <w:rFonts w:ascii="Times New Roman" w:hAnsi="Times New Roman" w:cs="Times New Roman"/>
                <w:sz w:val="24"/>
                <w:szCs w:val="24"/>
              </w:rPr>
              <w:lastRenderedPageBreak/>
              <w:t xml:space="preserve">EUR 404,37 x 1 </w:t>
            </w:r>
            <w:r w:rsidR="002A699E" w:rsidRPr="008C3FE8">
              <w:rPr>
                <w:rFonts w:ascii="Times New Roman" w:hAnsi="Times New Roman" w:cs="Times New Roman"/>
                <w:sz w:val="24"/>
                <w:szCs w:val="24"/>
              </w:rPr>
              <w:t xml:space="preserve">+ EUR 203,77 x 2 + EUR 136,90 x 3 </w:t>
            </w:r>
            <w:r>
              <w:rPr>
                <w:rFonts w:ascii="Times New Roman" w:hAnsi="Times New Roman" w:cs="Times New Roman"/>
                <w:sz w:val="24"/>
                <w:szCs w:val="24"/>
              </w:rPr>
              <w:t>+103,46 x 4 + EUR 83,40 x 5 + EUR 70,03 x 6 + EUR 60,48 x 7 + EUR 53,31 x 8 + EUR 47,74 x 9 + EUR 43,28 x 10</w:t>
            </w:r>
            <w:r w:rsidR="002A699E" w:rsidRPr="008C3FE8">
              <w:rPr>
                <w:rFonts w:ascii="Times New Roman" w:hAnsi="Times New Roman" w:cs="Times New Roman"/>
                <w:sz w:val="24"/>
                <w:szCs w:val="24"/>
              </w:rPr>
              <w:t xml:space="preserve"> + EUR 39,63 x </w:t>
            </w:r>
            <w:r>
              <w:rPr>
                <w:rFonts w:ascii="Times New Roman" w:hAnsi="Times New Roman" w:cs="Times New Roman"/>
                <w:sz w:val="24"/>
                <w:szCs w:val="24"/>
              </w:rPr>
              <w:t>11 + EUR 36,59 x 12</w:t>
            </w:r>
            <w:r w:rsidR="002A699E" w:rsidRPr="008C3FE8">
              <w:rPr>
                <w:rFonts w:ascii="Times New Roman" w:hAnsi="Times New Roman" w:cs="Times New Roman"/>
                <w:sz w:val="24"/>
                <w:szCs w:val="24"/>
              </w:rPr>
              <w:t xml:space="preserve"> = EUR 5061.</w:t>
            </w:r>
          </w:p>
          <w:p w:rsidR="002A699E" w:rsidRPr="008C3FE8" w:rsidRDefault="002A699E" w:rsidP="00C67116">
            <w:pPr>
              <w:pStyle w:val="naiskr"/>
              <w:tabs>
                <w:tab w:val="left" w:pos="284"/>
              </w:tabs>
              <w:spacing w:before="0" w:beforeAutospacing="0" w:after="0" w:afterAutospacing="0"/>
              <w:ind w:firstLine="328"/>
              <w:jc w:val="both"/>
              <w:rPr>
                <w:u w:val="single"/>
              </w:rPr>
            </w:pPr>
            <w:r w:rsidRPr="008C3FE8">
              <w:rPr>
                <w:u w:val="single"/>
              </w:rPr>
              <w:t>6.2.Izdevumu aprēķins.</w:t>
            </w:r>
          </w:p>
          <w:p w:rsidR="002A699E" w:rsidRPr="00064053" w:rsidRDefault="002A699E" w:rsidP="00C67116">
            <w:pPr>
              <w:pStyle w:val="naiskr"/>
              <w:tabs>
                <w:tab w:val="left" w:pos="284"/>
              </w:tabs>
              <w:spacing w:before="0" w:beforeAutospacing="0" w:after="0" w:afterAutospacing="0"/>
              <w:ind w:firstLine="328"/>
              <w:jc w:val="both"/>
            </w:pPr>
            <w:r w:rsidRPr="00064053">
              <w:t xml:space="preserve">Detalizēts aprēķins pievienots noteikumu projekta sākotnējās ietekmes novērtējuma ziņojuma (anotācijas) </w:t>
            </w:r>
            <w:r w:rsidR="008C3FE8">
              <w:t>2.</w:t>
            </w:r>
            <w:r w:rsidRPr="00064053">
              <w:t>pielikumā.</w:t>
            </w:r>
          </w:p>
          <w:p w:rsidR="002A699E" w:rsidRPr="00064053" w:rsidRDefault="002A699E" w:rsidP="00C67116">
            <w:pPr>
              <w:spacing w:after="0" w:line="240" w:lineRule="auto"/>
              <w:ind w:left="395" w:right="113" w:firstLine="328"/>
              <w:jc w:val="both"/>
              <w:rPr>
                <w:rFonts w:ascii="Times New Roman" w:hAnsi="Times New Roman" w:cs="Times New Roman"/>
                <w:sz w:val="24"/>
                <w:szCs w:val="24"/>
              </w:rPr>
            </w:pPr>
          </w:p>
          <w:p w:rsidR="007F6B1C" w:rsidRPr="00C67116" w:rsidRDefault="002A699E" w:rsidP="00C67116">
            <w:pPr>
              <w:spacing w:after="0" w:line="240" w:lineRule="auto"/>
              <w:ind w:right="113" w:firstLine="328"/>
              <w:jc w:val="both"/>
              <w:rPr>
                <w:rFonts w:ascii="Times New Roman" w:hAnsi="Times New Roman" w:cs="Times New Roman"/>
                <w:sz w:val="24"/>
                <w:szCs w:val="24"/>
              </w:rPr>
            </w:pPr>
            <w:r w:rsidRPr="00064053">
              <w:rPr>
                <w:rFonts w:ascii="Times New Roman" w:hAnsi="Times New Roman" w:cs="Times New Roman"/>
                <w:sz w:val="24"/>
                <w:szCs w:val="24"/>
              </w:rPr>
              <w:t xml:space="preserve">Aprēķinā iekļautas arī uz katra </w:t>
            </w:r>
            <w:r w:rsidR="00C92723">
              <w:rPr>
                <w:rFonts w:ascii="Times New Roman" w:hAnsi="Times New Roman" w:cs="Times New Roman"/>
                <w:sz w:val="24"/>
                <w:szCs w:val="24"/>
              </w:rPr>
              <w:t xml:space="preserve">maksas </w:t>
            </w:r>
            <w:r w:rsidRPr="00064053">
              <w:rPr>
                <w:rFonts w:ascii="Times New Roman" w:hAnsi="Times New Roman" w:cs="Times New Roman"/>
                <w:sz w:val="24"/>
                <w:szCs w:val="24"/>
              </w:rPr>
              <w:t>pakalpojuma sniegšanu attiecināmās netiešās izmaksas.</w:t>
            </w: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6.1. detalizēts ieņēmumu aprēķins</w:t>
            </w:r>
          </w:p>
        </w:tc>
        <w:tc>
          <w:tcPr>
            <w:tcW w:w="6198" w:type="dxa"/>
            <w:gridSpan w:val="5"/>
            <w:vMerge/>
          </w:tcPr>
          <w:p w:rsidR="007F6B1C" w:rsidRPr="00064053" w:rsidRDefault="007F6B1C" w:rsidP="00C67116">
            <w:pPr>
              <w:pStyle w:val="naisf"/>
              <w:spacing w:before="0" w:beforeAutospacing="0" w:after="0" w:afterAutospacing="0"/>
              <w:rPr>
                <w:b/>
                <w:i/>
              </w:rPr>
            </w:pPr>
          </w:p>
        </w:tc>
      </w:tr>
      <w:tr w:rsidR="007F6B1C" w:rsidRPr="00064053" w:rsidTr="002A699E">
        <w:trPr>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6.2. detalizēts izdevumu aprēķins</w:t>
            </w:r>
          </w:p>
        </w:tc>
        <w:tc>
          <w:tcPr>
            <w:tcW w:w="6198" w:type="dxa"/>
            <w:gridSpan w:val="5"/>
            <w:vMerge/>
          </w:tcPr>
          <w:p w:rsidR="007F6B1C" w:rsidRPr="00064053" w:rsidRDefault="007F6B1C" w:rsidP="00C67116">
            <w:pPr>
              <w:pStyle w:val="naisf"/>
              <w:spacing w:before="0" w:beforeAutospacing="0" w:after="0" w:afterAutospacing="0"/>
              <w:rPr>
                <w:b/>
                <w:i/>
              </w:rPr>
            </w:pPr>
          </w:p>
        </w:tc>
      </w:tr>
      <w:tr w:rsidR="007F6B1C" w:rsidRPr="00064053" w:rsidTr="002A699E">
        <w:trPr>
          <w:trHeight w:val="556"/>
          <w:jc w:val="center"/>
        </w:trPr>
        <w:tc>
          <w:tcPr>
            <w:tcW w:w="3059" w:type="dxa"/>
          </w:tcPr>
          <w:p w:rsidR="007F6B1C" w:rsidRPr="00064053" w:rsidRDefault="007F6B1C" w:rsidP="00C6711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lastRenderedPageBreak/>
              <w:t>7. Cita informācija</w:t>
            </w:r>
          </w:p>
        </w:tc>
        <w:tc>
          <w:tcPr>
            <w:tcW w:w="6198" w:type="dxa"/>
            <w:gridSpan w:val="5"/>
          </w:tcPr>
          <w:p w:rsidR="007F6B1C" w:rsidRPr="00064053" w:rsidRDefault="002A699E" w:rsidP="00C67116">
            <w:pPr>
              <w:pStyle w:val="naisf"/>
              <w:tabs>
                <w:tab w:val="left" w:pos="4644"/>
              </w:tabs>
              <w:spacing w:before="0" w:beforeAutospacing="0" w:after="0" w:afterAutospacing="0"/>
              <w:rPr>
                <w:b/>
                <w:i/>
              </w:rPr>
            </w:pPr>
            <w:r w:rsidRPr="00064053">
              <w:t>Nav.</w:t>
            </w:r>
          </w:p>
        </w:tc>
      </w:tr>
    </w:tbl>
    <w:p w:rsidR="007F6B1C" w:rsidRPr="00064053" w:rsidRDefault="007F6B1C" w:rsidP="00C67116">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064053" w:rsidTr="005128C9">
        <w:trPr>
          <w:trHeight w:val="381"/>
          <w:jc w:val="center"/>
        </w:trPr>
        <w:tc>
          <w:tcPr>
            <w:tcW w:w="9296" w:type="dxa"/>
            <w:gridSpan w:val="3"/>
            <w:vAlign w:val="center"/>
          </w:tcPr>
          <w:p w:rsidR="007F6B1C" w:rsidRPr="00064053" w:rsidRDefault="007F6B1C" w:rsidP="00C67116">
            <w:pPr>
              <w:pStyle w:val="naisnod"/>
              <w:spacing w:before="0" w:beforeAutospacing="0" w:after="0" w:afterAutospacing="0"/>
              <w:ind w:left="57" w:right="57"/>
              <w:jc w:val="center"/>
            </w:pPr>
            <w:r w:rsidRPr="00064053">
              <w:rPr>
                <w:b/>
              </w:rPr>
              <w:t>VII. Tiesību akta projekta izpildes nodrošināšana un tās ietekme uz institūcijām</w:t>
            </w:r>
          </w:p>
        </w:tc>
      </w:tr>
      <w:tr w:rsidR="002A699E" w:rsidRPr="00064053" w:rsidTr="005128C9">
        <w:trPr>
          <w:trHeight w:val="427"/>
          <w:jc w:val="center"/>
        </w:trPr>
        <w:tc>
          <w:tcPr>
            <w:tcW w:w="437" w:type="dxa"/>
          </w:tcPr>
          <w:p w:rsidR="002A699E" w:rsidRPr="00064053" w:rsidRDefault="002A699E" w:rsidP="00C67116">
            <w:pPr>
              <w:pStyle w:val="naisnod"/>
              <w:spacing w:before="0" w:beforeAutospacing="0" w:after="0" w:afterAutospacing="0"/>
              <w:ind w:left="57" w:right="57"/>
              <w:jc w:val="both"/>
            </w:pPr>
            <w:r w:rsidRPr="00064053">
              <w:t>1.</w:t>
            </w:r>
          </w:p>
        </w:tc>
        <w:tc>
          <w:tcPr>
            <w:tcW w:w="3615" w:type="dxa"/>
          </w:tcPr>
          <w:p w:rsidR="002A699E" w:rsidRPr="00064053" w:rsidRDefault="002A699E" w:rsidP="00C67116">
            <w:pPr>
              <w:pStyle w:val="naisf"/>
              <w:spacing w:before="0" w:beforeAutospacing="0" w:after="0" w:afterAutospacing="0"/>
              <w:ind w:left="57" w:right="57"/>
            </w:pPr>
            <w:r w:rsidRPr="00064053">
              <w:t>Projekta izpildē iesaistītās institūcijas</w:t>
            </w:r>
          </w:p>
        </w:tc>
        <w:tc>
          <w:tcPr>
            <w:tcW w:w="5244" w:type="dxa"/>
          </w:tcPr>
          <w:p w:rsidR="002A699E" w:rsidRPr="00064053" w:rsidRDefault="009F60E1" w:rsidP="00C67116">
            <w:pPr>
              <w:spacing w:after="0" w:line="240" w:lineRule="auto"/>
              <w:ind w:firstLine="428"/>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064053">
              <w:rPr>
                <w:rFonts w:ascii="Times New Roman" w:hAnsi="Times New Roman" w:cs="Times New Roman"/>
                <w:sz w:val="24"/>
                <w:szCs w:val="24"/>
              </w:rPr>
              <w:t xml:space="preserve">Valsts policijas koledža, </w:t>
            </w:r>
            <w:r w:rsidR="002A699E" w:rsidRPr="00064053">
              <w:rPr>
                <w:rFonts w:ascii="Times New Roman" w:hAnsi="Times New Roman" w:cs="Times New Roman"/>
                <w:sz w:val="24"/>
                <w:szCs w:val="24"/>
              </w:rPr>
              <w:t>Ugunsdrošības un civilās aizsardzības koledža</w:t>
            </w:r>
            <w:r w:rsidRPr="00064053">
              <w:rPr>
                <w:rFonts w:ascii="Times New Roman" w:hAnsi="Times New Roman" w:cs="Times New Roman"/>
                <w:sz w:val="24"/>
                <w:szCs w:val="24"/>
              </w:rPr>
              <w:t>.</w:t>
            </w:r>
          </w:p>
        </w:tc>
      </w:tr>
      <w:tr w:rsidR="002A699E" w:rsidRPr="00064053" w:rsidTr="005128C9">
        <w:trPr>
          <w:trHeight w:val="463"/>
          <w:jc w:val="center"/>
        </w:trPr>
        <w:tc>
          <w:tcPr>
            <w:tcW w:w="437" w:type="dxa"/>
          </w:tcPr>
          <w:p w:rsidR="002A699E" w:rsidRPr="00064053" w:rsidRDefault="002A699E" w:rsidP="00C67116">
            <w:pPr>
              <w:pStyle w:val="naisnod"/>
              <w:spacing w:before="0" w:beforeAutospacing="0" w:after="0" w:afterAutospacing="0"/>
              <w:ind w:left="57" w:right="57"/>
              <w:jc w:val="both"/>
            </w:pPr>
            <w:r w:rsidRPr="00064053">
              <w:t>2.</w:t>
            </w:r>
          </w:p>
        </w:tc>
        <w:tc>
          <w:tcPr>
            <w:tcW w:w="3615" w:type="dxa"/>
          </w:tcPr>
          <w:p w:rsidR="002A699E" w:rsidRPr="00064053" w:rsidRDefault="002A699E" w:rsidP="00C67116">
            <w:pPr>
              <w:pStyle w:val="naisf"/>
              <w:spacing w:before="0" w:beforeAutospacing="0" w:after="0" w:afterAutospacing="0"/>
              <w:ind w:left="57" w:right="57"/>
            </w:pPr>
            <w:r w:rsidRPr="00064053">
              <w:t>Projekta izpildes ietekme uz pār</w:t>
            </w:r>
            <w:r w:rsidRPr="00064053">
              <w:softHyphen/>
              <w:t>valdes funkcijām un institucionālo struktūru.</w:t>
            </w:r>
          </w:p>
          <w:p w:rsidR="002A699E" w:rsidRPr="00064053" w:rsidRDefault="002A699E" w:rsidP="00C67116">
            <w:pPr>
              <w:pStyle w:val="naisf"/>
              <w:spacing w:before="0" w:beforeAutospacing="0" w:after="0" w:afterAutospacing="0"/>
              <w:ind w:left="57" w:right="57"/>
            </w:pPr>
            <w:r w:rsidRPr="00064053">
              <w:t>Jaunu institūciju izveide, esošu institūciju likvidācija vai reorga</w:t>
            </w:r>
            <w:r w:rsidRPr="00064053">
              <w:softHyphen/>
              <w:t>nizācija, to ietekme uz institūcijas cilvēkresursiem.</w:t>
            </w:r>
          </w:p>
        </w:tc>
        <w:tc>
          <w:tcPr>
            <w:tcW w:w="5244" w:type="dxa"/>
          </w:tcPr>
          <w:p w:rsidR="009F60E1" w:rsidRPr="00064053" w:rsidRDefault="002A699E" w:rsidP="00C67116">
            <w:pPr>
              <w:spacing w:after="0" w:line="240" w:lineRule="auto"/>
              <w:ind w:firstLine="428"/>
              <w:jc w:val="both"/>
              <w:rPr>
                <w:rFonts w:ascii="Times New Roman" w:hAnsi="Times New Roman" w:cs="Times New Roman"/>
                <w:sz w:val="24"/>
                <w:szCs w:val="24"/>
              </w:rPr>
            </w:pPr>
            <w:r w:rsidRPr="00064053">
              <w:rPr>
                <w:rFonts w:ascii="Times New Roman" w:hAnsi="Times New Roman" w:cs="Times New Roman"/>
                <w:sz w:val="24"/>
                <w:szCs w:val="24"/>
              </w:rPr>
              <w:t xml:space="preserve">Projekta izpilde neietekmēs pārvaldes funkcijas vai institucionālo struktūru. </w:t>
            </w:r>
          </w:p>
          <w:p w:rsidR="002A699E" w:rsidRPr="00064053" w:rsidRDefault="009F60E1" w:rsidP="00C67116">
            <w:pPr>
              <w:spacing w:after="0" w:line="240" w:lineRule="auto"/>
              <w:ind w:firstLine="428"/>
              <w:jc w:val="both"/>
              <w:rPr>
                <w:rFonts w:ascii="Times New Roman" w:hAnsi="Times New Roman" w:cs="Times New Roman"/>
                <w:sz w:val="24"/>
                <w:szCs w:val="24"/>
              </w:rPr>
            </w:pPr>
            <w:r w:rsidRPr="00064053">
              <w:rPr>
                <w:rFonts w:ascii="Times New Roman" w:hAnsi="Times New Roman" w:cs="Times New Roman"/>
                <w:sz w:val="24"/>
                <w:szCs w:val="24"/>
              </w:rPr>
              <w:t>Netiks izveidotas jaunas institūcijas un netiks likvidētas vai reorganizētas esošās institūcijas.</w:t>
            </w:r>
          </w:p>
        </w:tc>
      </w:tr>
      <w:tr w:rsidR="002A699E" w:rsidRPr="00064053"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2A699E" w:rsidRPr="00064053" w:rsidRDefault="002A699E" w:rsidP="00C67116">
            <w:pPr>
              <w:pStyle w:val="naisnod"/>
              <w:spacing w:before="0" w:beforeAutospacing="0" w:after="0" w:afterAutospacing="0"/>
              <w:ind w:left="57" w:right="57"/>
              <w:jc w:val="both"/>
            </w:pPr>
            <w:r w:rsidRPr="00064053">
              <w:t>3.</w:t>
            </w:r>
          </w:p>
        </w:tc>
        <w:tc>
          <w:tcPr>
            <w:tcW w:w="3615" w:type="dxa"/>
            <w:tcBorders>
              <w:top w:val="single" w:sz="4" w:space="0" w:color="auto"/>
              <w:left w:val="single" w:sz="4" w:space="0" w:color="auto"/>
              <w:bottom w:val="single" w:sz="4" w:space="0" w:color="auto"/>
              <w:right w:val="single" w:sz="4" w:space="0" w:color="auto"/>
            </w:tcBorders>
          </w:tcPr>
          <w:p w:rsidR="002A699E" w:rsidRPr="00064053" w:rsidRDefault="002A699E" w:rsidP="00C67116">
            <w:pPr>
              <w:pStyle w:val="naisf"/>
              <w:spacing w:before="0" w:beforeAutospacing="0" w:after="0" w:afterAutospacing="0"/>
              <w:ind w:left="57" w:right="57"/>
            </w:pPr>
            <w:r w:rsidRPr="00064053">
              <w:t>Cita informācija</w:t>
            </w:r>
          </w:p>
        </w:tc>
        <w:tc>
          <w:tcPr>
            <w:tcW w:w="5244" w:type="dxa"/>
            <w:tcBorders>
              <w:top w:val="single" w:sz="4" w:space="0" w:color="auto"/>
              <w:left w:val="single" w:sz="4" w:space="0" w:color="auto"/>
              <w:bottom w:val="single" w:sz="4" w:space="0" w:color="auto"/>
              <w:right w:val="single" w:sz="4" w:space="0" w:color="auto"/>
            </w:tcBorders>
          </w:tcPr>
          <w:p w:rsidR="002A699E" w:rsidRPr="00064053" w:rsidRDefault="009F60E1" w:rsidP="00C67116">
            <w:pPr>
              <w:spacing w:after="0" w:line="240" w:lineRule="auto"/>
              <w:ind w:firstLine="428"/>
              <w:rPr>
                <w:rFonts w:ascii="Times New Roman" w:hAnsi="Times New Roman" w:cs="Times New Roman"/>
                <w:sz w:val="24"/>
                <w:szCs w:val="24"/>
              </w:rPr>
            </w:pPr>
            <w:r w:rsidRPr="00064053">
              <w:rPr>
                <w:rFonts w:ascii="Times New Roman" w:hAnsi="Times New Roman" w:cs="Times New Roman"/>
                <w:sz w:val="24"/>
                <w:szCs w:val="24"/>
              </w:rPr>
              <w:t>Nav.</w:t>
            </w:r>
          </w:p>
        </w:tc>
      </w:tr>
    </w:tbl>
    <w:p w:rsidR="00A85A6B" w:rsidRPr="00064053" w:rsidRDefault="00A85A6B" w:rsidP="00C67116">
      <w:pPr>
        <w:pStyle w:val="naisf"/>
        <w:spacing w:before="0" w:beforeAutospacing="0" w:after="0" w:afterAutospacing="0"/>
      </w:pPr>
    </w:p>
    <w:p w:rsidR="005128C9" w:rsidRPr="00064053" w:rsidRDefault="005128C9" w:rsidP="00C67116">
      <w:pPr>
        <w:pStyle w:val="naisf"/>
        <w:spacing w:before="0" w:beforeAutospacing="0" w:after="0" w:afterAutospacing="0"/>
      </w:pPr>
      <w:r w:rsidRPr="00064053">
        <w:t>A</w:t>
      </w:r>
      <w:r w:rsidR="002A699E" w:rsidRPr="00064053">
        <w:t>notācijas</w:t>
      </w:r>
      <w:r w:rsidRPr="00064053">
        <w:t xml:space="preserve"> IV, V, </w:t>
      </w:r>
      <w:r w:rsidRPr="00064053">
        <w:rPr>
          <w:bCs/>
        </w:rPr>
        <w:t xml:space="preserve">VI </w:t>
      </w:r>
      <w:r w:rsidRPr="00064053">
        <w:t>sadaļa – projekts šīs jomas neskar.</w:t>
      </w:r>
    </w:p>
    <w:p w:rsidR="005128C9" w:rsidRPr="00064053" w:rsidRDefault="005128C9" w:rsidP="00C67116">
      <w:pPr>
        <w:spacing w:after="0" w:line="240" w:lineRule="auto"/>
        <w:ind w:left="283" w:firstLine="437"/>
        <w:rPr>
          <w:rFonts w:ascii="Times New Roman" w:hAnsi="Times New Roman" w:cs="Times New Roman"/>
          <w:sz w:val="28"/>
          <w:szCs w:val="28"/>
        </w:rPr>
      </w:pPr>
    </w:p>
    <w:p w:rsidR="005128C9" w:rsidRPr="00064053" w:rsidRDefault="005128C9" w:rsidP="00C67116">
      <w:pPr>
        <w:spacing w:after="0" w:line="240" w:lineRule="auto"/>
        <w:ind w:left="283" w:firstLine="437"/>
        <w:rPr>
          <w:rFonts w:ascii="Times New Roman" w:hAnsi="Times New Roman" w:cs="Times New Roman"/>
          <w:sz w:val="28"/>
          <w:szCs w:val="28"/>
        </w:rPr>
      </w:pPr>
      <w:r w:rsidRPr="00064053">
        <w:rPr>
          <w:rFonts w:ascii="Times New Roman" w:hAnsi="Times New Roman" w:cs="Times New Roman"/>
          <w:sz w:val="28"/>
          <w:szCs w:val="28"/>
        </w:rPr>
        <w:t>Iekšlietu ministrs</w:t>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t>R.Kozlovskis</w:t>
      </w:r>
    </w:p>
    <w:p w:rsidR="005128C9" w:rsidRPr="00064053" w:rsidRDefault="005128C9" w:rsidP="00C67116">
      <w:pPr>
        <w:spacing w:after="0" w:line="240" w:lineRule="auto"/>
        <w:rPr>
          <w:rFonts w:ascii="Times New Roman" w:hAnsi="Times New Roman" w:cs="Times New Roman"/>
          <w:sz w:val="28"/>
          <w:szCs w:val="28"/>
        </w:rPr>
      </w:pP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p>
    <w:p w:rsidR="005128C9" w:rsidRPr="00064053" w:rsidRDefault="005128C9" w:rsidP="00C67116">
      <w:pPr>
        <w:pStyle w:val="naisf"/>
        <w:spacing w:before="0" w:beforeAutospacing="0" w:after="0" w:afterAutospacing="0"/>
        <w:ind w:firstLine="720"/>
        <w:rPr>
          <w:sz w:val="28"/>
          <w:szCs w:val="28"/>
        </w:rPr>
      </w:pPr>
      <w:r w:rsidRPr="00064053">
        <w:rPr>
          <w:sz w:val="28"/>
          <w:szCs w:val="28"/>
        </w:rPr>
        <w:t>Vīza: valsts sekretāre  _______</w:t>
      </w:r>
      <w:r w:rsidRPr="00064053">
        <w:rPr>
          <w:sz w:val="28"/>
          <w:szCs w:val="28"/>
        </w:rPr>
        <w:softHyphen/>
        <w:t>_____________ I.Pētersone–Godmane</w:t>
      </w:r>
    </w:p>
    <w:p w:rsidR="005128C9" w:rsidRDefault="005128C9"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Default="003E06A3" w:rsidP="00C67116">
      <w:pPr>
        <w:pStyle w:val="naisf"/>
        <w:spacing w:before="0" w:beforeAutospacing="0" w:after="0" w:afterAutospacing="0"/>
        <w:rPr>
          <w:sz w:val="28"/>
          <w:szCs w:val="28"/>
        </w:rPr>
      </w:pPr>
    </w:p>
    <w:p w:rsidR="003E06A3" w:rsidRPr="00064053" w:rsidRDefault="003E06A3" w:rsidP="00C67116">
      <w:pPr>
        <w:pStyle w:val="naisf"/>
        <w:spacing w:before="0" w:beforeAutospacing="0" w:after="0" w:afterAutospacing="0"/>
        <w:rPr>
          <w:sz w:val="28"/>
          <w:szCs w:val="28"/>
        </w:rPr>
      </w:pPr>
    </w:p>
    <w:p w:rsidR="005128C9" w:rsidRPr="00064053" w:rsidRDefault="005128C9" w:rsidP="00C67116">
      <w:pPr>
        <w:pStyle w:val="naisf"/>
        <w:spacing w:before="0" w:beforeAutospacing="0" w:after="0" w:afterAutospacing="0"/>
        <w:rPr>
          <w:sz w:val="20"/>
          <w:szCs w:val="20"/>
        </w:rPr>
      </w:pPr>
      <w:r w:rsidRPr="00064053">
        <w:rPr>
          <w:sz w:val="20"/>
          <w:szCs w:val="20"/>
        </w:rPr>
        <w:fldChar w:fldCharType="begin"/>
      </w:r>
      <w:r w:rsidRPr="00064053">
        <w:rPr>
          <w:sz w:val="20"/>
          <w:szCs w:val="20"/>
          <w:lang w:val="ru-RU"/>
        </w:rPr>
        <w:instrText xml:space="preserve"> TIME \@ "dd.MM.yyyy H:mm" </w:instrText>
      </w:r>
      <w:r w:rsidRPr="00064053">
        <w:rPr>
          <w:sz w:val="20"/>
          <w:szCs w:val="20"/>
        </w:rPr>
        <w:fldChar w:fldCharType="separate"/>
      </w:r>
      <w:r w:rsidR="009F0227">
        <w:rPr>
          <w:noProof/>
          <w:sz w:val="20"/>
          <w:szCs w:val="20"/>
          <w:lang w:val="ru-RU"/>
        </w:rPr>
        <w:t>27.11.2014 10:54</w:t>
      </w:r>
      <w:r w:rsidRPr="00064053">
        <w:rPr>
          <w:sz w:val="20"/>
          <w:szCs w:val="20"/>
        </w:rPr>
        <w:fldChar w:fldCharType="end"/>
      </w:r>
    </w:p>
    <w:p w:rsidR="005128C9" w:rsidRPr="00064053" w:rsidRDefault="005128C9" w:rsidP="00C67116">
      <w:pPr>
        <w:spacing w:after="0" w:line="240" w:lineRule="auto"/>
        <w:rPr>
          <w:rFonts w:ascii="Times New Roman" w:hAnsi="Times New Roman" w:cs="Times New Roman"/>
          <w:sz w:val="20"/>
          <w:szCs w:val="20"/>
        </w:rPr>
      </w:pPr>
      <w:r w:rsidRPr="00064053">
        <w:rPr>
          <w:rFonts w:ascii="Times New Roman" w:hAnsi="Times New Roman" w:cs="Times New Roman"/>
          <w:sz w:val="20"/>
          <w:szCs w:val="20"/>
        </w:rPr>
        <w:fldChar w:fldCharType="begin"/>
      </w:r>
      <w:r w:rsidRPr="00064053">
        <w:rPr>
          <w:rFonts w:ascii="Times New Roman" w:hAnsi="Times New Roman" w:cs="Times New Roman"/>
          <w:sz w:val="20"/>
          <w:szCs w:val="20"/>
        </w:rPr>
        <w:instrText xml:space="preserve"> NUMWORDS   \* MERGEFORMAT </w:instrText>
      </w:r>
      <w:r w:rsidRPr="00064053">
        <w:rPr>
          <w:rFonts w:ascii="Times New Roman" w:hAnsi="Times New Roman" w:cs="Times New Roman"/>
          <w:sz w:val="20"/>
          <w:szCs w:val="20"/>
        </w:rPr>
        <w:fldChar w:fldCharType="separate"/>
      </w:r>
      <w:r w:rsidR="009F0227">
        <w:rPr>
          <w:rFonts w:ascii="Times New Roman" w:hAnsi="Times New Roman" w:cs="Times New Roman"/>
          <w:noProof/>
          <w:sz w:val="20"/>
          <w:szCs w:val="20"/>
        </w:rPr>
        <w:t>1757</w:t>
      </w:r>
      <w:r w:rsidRPr="00064053">
        <w:rPr>
          <w:rFonts w:ascii="Times New Roman" w:hAnsi="Times New Roman" w:cs="Times New Roman"/>
          <w:sz w:val="20"/>
          <w:szCs w:val="20"/>
        </w:rPr>
        <w:fldChar w:fldCharType="end"/>
      </w:r>
      <w:bookmarkStart w:id="5" w:name="_GoBack"/>
      <w:bookmarkEnd w:id="5"/>
    </w:p>
    <w:p w:rsidR="009F60E1" w:rsidRPr="00064053" w:rsidRDefault="009F60E1" w:rsidP="00C67116">
      <w:pPr>
        <w:spacing w:after="0" w:line="240" w:lineRule="auto"/>
        <w:jc w:val="both"/>
        <w:rPr>
          <w:rFonts w:ascii="Times New Roman" w:hAnsi="Times New Roman" w:cs="Times New Roman"/>
          <w:sz w:val="20"/>
          <w:szCs w:val="20"/>
        </w:rPr>
      </w:pPr>
      <w:r w:rsidRPr="00064053">
        <w:rPr>
          <w:rFonts w:ascii="Times New Roman" w:hAnsi="Times New Roman" w:cs="Times New Roman"/>
          <w:sz w:val="20"/>
          <w:szCs w:val="20"/>
        </w:rPr>
        <w:t>S.Frolova, 67219607,</w:t>
      </w:r>
    </w:p>
    <w:p w:rsidR="009F60E1" w:rsidRPr="00064053" w:rsidRDefault="009742C9" w:rsidP="00C67116">
      <w:pPr>
        <w:spacing w:after="0" w:line="240" w:lineRule="auto"/>
        <w:rPr>
          <w:rFonts w:ascii="Times New Roman" w:hAnsi="Times New Roman" w:cs="Times New Roman"/>
          <w:sz w:val="20"/>
          <w:szCs w:val="20"/>
        </w:rPr>
      </w:pPr>
      <w:hyperlink r:id="rId7" w:history="1">
        <w:r w:rsidR="009F60E1" w:rsidRPr="00064053">
          <w:rPr>
            <w:rStyle w:val="Hyperlink"/>
            <w:rFonts w:ascii="Times New Roman" w:hAnsi="Times New Roman"/>
            <w:sz w:val="20"/>
            <w:szCs w:val="20"/>
          </w:rPr>
          <w:t>santa.frolova@iem.gov.lv</w:t>
        </w:r>
      </w:hyperlink>
    </w:p>
    <w:p w:rsidR="009F60E1" w:rsidRPr="00064053" w:rsidRDefault="009F60E1" w:rsidP="00C67116">
      <w:pPr>
        <w:spacing w:after="0" w:line="240" w:lineRule="auto"/>
        <w:ind w:right="-7"/>
        <w:rPr>
          <w:rFonts w:ascii="Times New Roman" w:hAnsi="Times New Roman" w:cs="Times New Roman"/>
          <w:sz w:val="20"/>
          <w:szCs w:val="20"/>
        </w:rPr>
      </w:pPr>
      <w:r w:rsidRPr="00064053">
        <w:rPr>
          <w:rFonts w:ascii="Times New Roman" w:hAnsi="Times New Roman" w:cs="Times New Roman"/>
          <w:sz w:val="20"/>
          <w:szCs w:val="20"/>
        </w:rPr>
        <w:t>I.Dzelme</w:t>
      </w:r>
      <w:r w:rsidR="00064053">
        <w:rPr>
          <w:rFonts w:ascii="Times New Roman" w:hAnsi="Times New Roman" w:cs="Times New Roman"/>
          <w:sz w:val="20"/>
          <w:szCs w:val="20"/>
        </w:rPr>
        <w:t>,</w:t>
      </w:r>
      <w:r w:rsidRPr="00064053">
        <w:rPr>
          <w:rFonts w:ascii="Times New Roman" w:hAnsi="Times New Roman" w:cs="Times New Roman"/>
          <w:sz w:val="20"/>
          <w:szCs w:val="20"/>
        </w:rPr>
        <w:t xml:space="preserve"> 67219634</w:t>
      </w:r>
      <w:r w:rsidR="00064053">
        <w:rPr>
          <w:rFonts w:ascii="Times New Roman" w:hAnsi="Times New Roman" w:cs="Times New Roman"/>
          <w:sz w:val="20"/>
          <w:szCs w:val="20"/>
        </w:rPr>
        <w:t>,</w:t>
      </w:r>
    </w:p>
    <w:p w:rsidR="009F60E1" w:rsidRPr="00064053" w:rsidRDefault="009742C9" w:rsidP="00C67116">
      <w:pPr>
        <w:tabs>
          <w:tab w:val="right" w:pos="9354"/>
        </w:tabs>
        <w:spacing w:after="0" w:line="240" w:lineRule="auto"/>
        <w:rPr>
          <w:rFonts w:ascii="Times New Roman" w:hAnsi="Times New Roman" w:cs="Times New Roman"/>
          <w:color w:val="0000FF"/>
          <w:sz w:val="20"/>
          <w:szCs w:val="20"/>
          <w:u w:val="single"/>
        </w:rPr>
      </w:pPr>
      <w:hyperlink r:id="rId8" w:history="1">
        <w:r w:rsidR="009F60E1" w:rsidRPr="00064053">
          <w:rPr>
            <w:rFonts w:ascii="Times New Roman" w:hAnsi="Times New Roman" w:cs="Times New Roman"/>
            <w:color w:val="0000FF"/>
            <w:sz w:val="20"/>
            <w:szCs w:val="20"/>
            <w:u w:val="single"/>
          </w:rPr>
          <w:t>inita.dzelme@vp.gov.lv</w:t>
        </w:r>
      </w:hyperlink>
    </w:p>
    <w:p w:rsidR="009F60E1" w:rsidRPr="00064053" w:rsidRDefault="009F60E1" w:rsidP="00C67116">
      <w:pPr>
        <w:spacing w:after="0" w:line="240" w:lineRule="auto"/>
        <w:rPr>
          <w:rFonts w:ascii="Times New Roman" w:hAnsi="Times New Roman" w:cs="Times New Roman"/>
          <w:sz w:val="20"/>
          <w:szCs w:val="20"/>
          <w:lang w:eastAsia="lv-LV"/>
        </w:rPr>
      </w:pPr>
      <w:r w:rsidRPr="00064053">
        <w:rPr>
          <w:rFonts w:ascii="Times New Roman" w:hAnsi="Times New Roman" w:cs="Times New Roman"/>
          <w:sz w:val="20"/>
          <w:szCs w:val="20"/>
          <w:lang w:eastAsia="lv-LV"/>
        </w:rPr>
        <w:t>I.Pētersons</w:t>
      </w:r>
      <w:r w:rsidR="00064053">
        <w:rPr>
          <w:rFonts w:ascii="Times New Roman" w:hAnsi="Times New Roman" w:cs="Times New Roman"/>
          <w:sz w:val="20"/>
          <w:szCs w:val="20"/>
          <w:lang w:eastAsia="lv-LV"/>
        </w:rPr>
        <w:t>,</w:t>
      </w:r>
      <w:r w:rsidRPr="00064053">
        <w:rPr>
          <w:rFonts w:ascii="Times New Roman" w:hAnsi="Times New Roman" w:cs="Times New Roman"/>
          <w:sz w:val="20"/>
          <w:szCs w:val="20"/>
          <w:lang w:eastAsia="lv-LV"/>
        </w:rPr>
        <w:t xml:space="preserve"> 67219641</w:t>
      </w:r>
      <w:r w:rsidR="00064053">
        <w:rPr>
          <w:rFonts w:ascii="Times New Roman" w:hAnsi="Times New Roman" w:cs="Times New Roman"/>
          <w:sz w:val="20"/>
          <w:szCs w:val="20"/>
          <w:lang w:eastAsia="lv-LV"/>
        </w:rPr>
        <w:t>,</w:t>
      </w:r>
    </w:p>
    <w:p w:rsidR="009F60E1" w:rsidRPr="00064053" w:rsidRDefault="009742C9" w:rsidP="00C67116">
      <w:pPr>
        <w:spacing w:after="0" w:line="240" w:lineRule="auto"/>
        <w:rPr>
          <w:rFonts w:ascii="Times New Roman" w:hAnsi="Times New Roman" w:cs="Times New Roman"/>
          <w:sz w:val="20"/>
          <w:szCs w:val="20"/>
        </w:rPr>
      </w:pPr>
      <w:hyperlink r:id="rId9" w:history="1">
        <w:r w:rsidR="00064053" w:rsidRPr="008760CA">
          <w:rPr>
            <w:rStyle w:val="Hyperlink"/>
            <w:rFonts w:ascii="Times New Roman" w:hAnsi="Times New Roman"/>
            <w:sz w:val="20"/>
            <w:szCs w:val="20"/>
            <w:lang w:eastAsia="lv-LV"/>
          </w:rPr>
          <w:t>ivars.petersons@koledza.vp.gov.lv</w:t>
        </w:r>
      </w:hyperlink>
      <w:r w:rsidR="00064053">
        <w:rPr>
          <w:rFonts w:ascii="Times New Roman" w:hAnsi="Times New Roman" w:cs="Times New Roman"/>
          <w:sz w:val="20"/>
          <w:szCs w:val="20"/>
          <w:u w:val="single"/>
          <w:lang w:eastAsia="lv-LV"/>
        </w:rPr>
        <w:t xml:space="preserve"> </w:t>
      </w:r>
    </w:p>
    <w:p w:rsidR="00064053" w:rsidRPr="00064053" w:rsidRDefault="00064053" w:rsidP="00C67116">
      <w:pPr>
        <w:spacing w:after="0" w:line="240" w:lineRule="auto"/>
        <w:jc w:val="both"/>
        <w:rPr>
          <w:rFonts w:ascii="Times New Roman" w:hAnsi="Times New Roman" w:cs="Times New Roman"/>
          <w:sz w:val="20"/>
          <w:szCs w:val="20"/>
        </w:rPr>
      </w:pPr>
      <w:r w:rsidRPr="00064053">
        <w:rPr>
          <w:rFonts w:ascii="Times New Roman" w:hAnsi="Times New Roman" w:cs="Times New Roman"/>
          <w:sz w:val="20"/>
          <w:szCs w:val="20"/>
        </w:rPr>
        <w:t>A.Šļakota</w:t>
      </w:r>
      <w:r>
        <w:rPr>
          <w:rFonts w:ascii="Times New Roman" w:hAnsi="Times New Roman" w:cs="Times New Roman"/>
          <w:sz w:val="20"/>
          <w:szCs w:val="20"/>
        </w:rPr>
        <w:t>,</w:t>
      </w:r>
      <w:r w:rsidRPr="00064053">
        <w:rPr>
          <w:rFonts w:ascii="Times New Roman" w:hAnsi="Times New Roman" w:cs="Times New Roman"/>
          <w:sz w:val="20"/>
          <w:szCs w:val="20"/>
        </w:rPr>
        <w:t xml:space="preserve"> 28332327</w:t>
      </w:r>
      <w:r>
        <w:rPr>
          <w:rFonts w:ascii="Times New Roman" w:hAnsi="Times New Roman" w:cs="Times New Roman"/>
          <w:sz w:val="20"/>
          <w:szCs w:val="20"/>
        </w:rPr>
        <w:t>,</w:t>
      </w:r>
    </w:p>
    <w:p w:rsidR="007F6B1C" w:rsidRPr="00064053" w:rsidRDefault="009742C9" w:rsidP="00C67116">
      <w:pPr>
        <w:spacing w:after="0" w:line="240" w:lineRule="auto"/>
        <w:jc w:val="both"/>
        <w:rPr>
          <w:rFonts w:ascii="Times New Roman" w:hAnsi="Times New Roman" w:cs="Times New Roman"/>
        </w:rPr>
      </w:pPr>
      <w:hyperlink r:id="rId10" w:history="1">
        <w:r w:rsidR="00064053" w:rsidRPr="00064053">
          <w:rPr>
            <w:rStyle w:val="Hyperlink"/>
            <w:rFonts w:ascii="Times New Roman" w:hAnsi="Times New Roman"/>
            <w:sz w:val="20"/>
            <w:szCs w:val="20"/>
          </w:rPr>
          <w:t>agita.slakota@ucak.vugd.gov.lv</w:t>
        </w:r>
      </w:hyperlink>
    </w:p>
    <w:sectPr w:rsidR="007F6B1C" w:rsidRPr="00064053" w:rsidSect="00F37CF9">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C9" w:rsidRDefault="009742C9" w:rsidP="00A61504">
      <w:pPr>
        <w:spacing w:after="0" w:line="240" w:lineRule="auto"/>
      </w:pPr>
      <w:r>
        <w:separator/>
      </w:r>
    </w:p>
  </w:endnote>
  <w:endnote w:type="continuationSeparator" w:id="0">
    <w:p w:rsidR="009742C9" w:rsidRDefault="009742C9"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C92723" w:rsidRDefault="00A61504" w:rsidP="00A61504">
    <w:pPr>
      <w:pStyle w:val="NormalWeb"/>
      <w:spacing w:before="0" w:beforeAutospacing="0" w:after="0" w:afterAutospacing="0"/>
      <w:jc w:val="both"/>
      <w:rPr>
        <w:bCs/>
        <w:sz w:val="20"/>
        <w:szCs w:val="20"/>
      </w:rPr>
    </w:pPr>
    <w:r w:rsidRPr="00C92723">
      <w:rPr>
        <w:sz w:val="20"/>
        <w:szCs w:val="20"/>
      </w:rPr>
      <w:fldChar w:fldCharType="begin"/>
    </w:r>
    <w:r w:rsidRPr="00C92723">
      <w:rPr>
        <w:sz w:val="20"/>
        <w:szCs w:val="20"/>
      </w:rPr>
      <w:instrText xml:space="preserve"> FILENAME </w:instrText>
    </w:r>
    <w:r w:rsidRPr="00C92723">
      <w:rPr>
        <w:sz w:val="20"/>
        <w:szCs w:val="20"/>
      </w:rPr>
      <w:fldChar w:fldCharType="separate"/>
    </w:r>
    <w:r w:rsidR="009F0227">
      <w:rPr>
        <w:noProof/>
        <w:sz w:val="20"/>
        <w:szCs w:val="20"/>
      </w:rPr>
      <w:t>IeMAnot_271114_groz.MK791</w:t>
    </w:r>
    <w:r w:rsidRPr="00C92723">
      <w:rPr>
        <w:sz w:val="20"/>
        <w:szCs w:val="20"/>
      </w:rPr>
      <w:fldChar w:fldCharType="end"/>
    </w:r>
    <w:r w:rsidRPr="00C92723">
      <w:rPr>
        <w:sz w:val="20"/>
        <w:szCs w:val="20"/>
      </w:rPr>
      <w:t xml:space="preserve">; </w:t>
    </w:r>
    <w:r w:rsidR="002A699E" w:rsidRPr="00C92723">
      <w:rPr>
        <w:sz w:val="20"/>
        <w:szCs w:val="20"/>
      </w:rPr>
      <w:t xml:space="preserve">Ministru kabineta noteikumu projekta „Grozījums Ministru kabineta 2013.gada 10.septembra noteikumos Nr.791 </w:t>
    </w:r>
    <w:r w:rsidR="002A699E" w:rsidRPr="00C92723">
      <w:rPr>
        <w:bCs/>
        <w:sz w:val="20"/>
        <w:szCs w:val="20"/>
      </w:rPr>
      <w:t>„Profesionālās izglītības iestāžu un eksaminācijas centru maksas pakalpojumu cenrādis”</w:t>
    </w:r>
    <w:r w:rsidR="002A699E" w:rsidRPr="00C92723">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9" w:rsidRPr="00F37CF9" w:rsidRDefault="00F37CF9" w:rsidP="00F37CF9">
    <w:pPr>
      <w:pStyle w:val="NormalWeb"/>
      <w:spacing w:before="0" w:beforeAutospacing="0" w:after="0" w:afterAutospacing="0"/>
      <w:jc w:val="both"/>
      <w:rPr>
        <w:bCs/>
        <w:sz w:val="20"/>
        <w:szCs w:val="20"/>
      </w:rPr>
    </w:pPr>
    <w:r w:rsidRPr="00C92723">
      <w:rPr>
        <w:sz w:val="20"/>
        <w:szCs w:val="20"/>
      </w:rPr>
      <w:fldChar w:fldCharType="begin"/>
    </w:r>
    <w:r w:rsidRPr="00C92723">
      <w:rPr>
        <w:sz w:val="20"/>
        <w:szCs w:val="20"/>
      </w:rPr>
      <w:instrText xml:space="preserve"> FILENAME </w:instrText>
    </w:r>
    <w:r w:rsidRPr="00C92723">
      <w:rPr>
        <w:sz w:val="20"/>
        <w:szCs w:val="20"/>
      </w:rPr>
      <w:fldChar w:fldCharType="separate"/>
    </w:r>
    <w:r w:rsidR="009F0227">
      <w:rPr>
        <w:noProof/>
        <w:sz w:val="20"/>
        <w:szCs w:val="20"/>
      </w:rPr>
      <w:t>IeMAnot_271114_groz.MK791</w:t>
    </w:r>
    <w:r w:rsidRPr="00C92723">
      <w:rPr>
        <w:sz w:val="20"/>
        <w:szCs w:val="20"/>
      </w:rPr>
      <w:fldChar w:fldCharType="end"/>
    </w:r>
    <w:r w:rsidRPr="00C92723">
      <w:rPr>
        <w:sz w:val="20"/>
        <w:szCs w:val="20"/>
      </w:rPr>
      <w:t xml:space="preserve">; Ministru kabineta noteikumu projekta „Grozījums Ministru kabineta 2013.gada 10.septembra noteikumos Nr.791 </w:t>
    </w:r>
    <w:r w:rsidRPr="00C92723">
      <w:rPr>
        <w:bCs/>
        <w:sz w:val="20"/>
        <w:szCs w:val="20"/>
      </w:rPr>
      <w:t>„Profesionālās izglītības iestāžu un eksaminācijas centru maksas pakalpojumu cenrādis”</w:t>
    </w:r>
    <w:r w:rsidRPr="00C92723">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C9" w:rsidRDefault="009742C9" w:rsidP="00A61504">
      <w:pPr>
        <w:spacing w:after="0" w:line="240" w:lineRule="auto"/>
      </w:pPr>
      <w:r>
        <w:separator/>
      </w:r>
    </w:p>
  </w:footnote>
  <w:footnote w:type="continuationSeparator" w:id="0">
    <w:p w:rsidR="009742C9" w:rsidRDefault="009742C9"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36481"/>
      <w:docPartObj>
        <w:docPartGallery w:val="Page Numbers (Top of Page)"/>
        <w:docPartUnique/>
      </w:docPartObj>
    </w:sdtPr>
    <w:sdtEndPr>
      <w:rPr>
        <w:rFonts w:ascii="Times New Roman" w:hAnsi="Times New Roman" w:cs="Times New Roman"/>
        <w:noProof/>
        <w:sz w:val="24"/>
        <w:szCs w:val="24"/>
      </w:rPr>
    </w:sdtEndPr>
    <w:sdtContent>
      <w:p w:rsidR="00F37CF9" w:rsidRPr="00F37CF9" w:rsidRDefault="00F37CF9">
        <w:pPr>
          <w:pStyle w:val="Header"/>
          <w:jc w:val="center"/>
          <w:rPr>
            <w:rFonts w:ascii="Times New Roman" w:hAnsi="Times New Roman" w:cs="Times New Roman"/>
            <w:sz w:val="24"/>
            <w:szCs w:val="24"/>
          </w:rPr>
        </w:pPr>
        <w:r w:rsidRPr="00F37CF9">
          <w:rPr>
            <w:rFonts w:ascii="Times New Roman" w:hAnsi="Times New Roman" w:cs="Times New Roman"/>
            <w:sz w:val="24"/>
            <w:szCs w:val="24"/>
          </w:rPr>
          <w:fldChar w:fldCharType="begin"/>
        </w:r>
        <w:r w:rsidRPr="00F37CF9">
          <w:rPr>
            <w:rFonts w:ascii="Times New Roman" w:hAnsi="Times New Roman" w:cs="Times New Roman"/>
            <w:sz w:val="24"/>
            <w:szCs w:val="24"/>
          </w:rPr>
          <w:instrText xml:space="preserve"> PAGE   \* MERGEFORMAT </w:instrText>
        </w:r>
        <w:r w:rsidRPr="00F37CF9">
          <w:rPr>
            <w:rFonts w:ascii="Times New Roman" w:hAnsi="Times New Roman" w:cs="Times New Roman"/>
            <w:sz w:val="24"/>
            <w:szCs w:val="24"/>
          </w:rPr>
          <w:fldChar w:fldCharType="separate"/>
        </w:r>
        <w:r w:rsidR="009F0227">
          <w:rPr>
            <w:rFonts w:ascii="Times New Roman" w:hAnsi="Times New Roman" w:cs="Times New Roman"/>
            <w:noProof/>
            <w:sz w:val="24"/>
            <w:szCs w:val="24"/>
          </w:rPr>
          <w:t>2</w:t>
        </w:r>
        <w:r w:rsidRPr="00F37CF9">
          <w:rPr>
            <w:rFonts w:ascii="Times New Roman" w:hAnsi="Times New Roman" w:cs="Times New Roman"/>
            <w:noProof/>
            <w:sz w:val="24"/>
            <w:szCs w:val="24"/>
          </w:rPr>
          <w:fldChar w:fldCharType="end"/>
        </w:r>
      </w:p>
    </w:sdtContent>
  </w:sdt>
  <w:p w:rsidR="00F37CF9" w:rsidRDefault="00F3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1">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2">
    <w:nsid w:val="55BF490C"/>
    <w:multiLevelType w:val="hybridMultilevel"/>
    <w:tmpl w:val="510CBE54"/>
    <w:lvl w:ilvl="0" w:tplc="1376F6B0">
      <w:start w:val="1"/>
      <w:numFmt w:val="decimal"/>
      <w:lvlText w:val="%1)"/>
      <w:lvlJc w:val="left"/>
      <w:pPr>
        <w:ind w:left="416" w:hanging="360"/>
      </w:pPr>
      <w:rPr>
        <w:rFonts w:eastAsia="Calibri" w:hint="default"/>
        <w:color w:val="000000"/>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06DE"/>
    <w:rsid w:val="000321B3"/>
    <w:rsid w:val="00064053"/>
    <w:rsid w:val="000A0997"/>
    <w:rsid w:val="000A3B86"/>
    <w:rsid w:val="0014441A"/>
    <w:rsid w:val="00150EC3"/>
    <w:rsid w:val="00153CFD"/>
    <w:rsid w:val="00161EF6"/>
    <w:rsid w:val="002228E8"/>
    <w:rsid w:val="00270810"/>
    <w:rsid w:val="002A699E"/>
    <w:rsid w:val="002D43F5"/>
    <w:rsid w:val="002E56C0"/>
    <w:rsid w:val="003A3C2B"/>
    <w:rsid w:val="003C337A"/>
    <w:rsid w:val="003E06A3"/>
    <w:rsid w:val="00404443"/>
    <w:rsid w:val="0044434C"/>
    <w:rsid w:val="00485677"/>
    <w:rsid w:val="005128C9"/>
    <w:rsid w:val="00551D02"/>
    <w:rsid w:val="005620EC"/>
    <w:rsid w:val="00583680"/>
    <w:rsid w:val="005B740E"/>
    <w:rsid w:val="00617D91"/>
    <w:rsid w:val="00691FD9"/>
    <w:rsid w:val="00711410"/>
    <w:rsid w:val="007208E9"/>
    <w:rsid w:val="00775ABA"/>
    <w:rsid w:val="0078619B"/>
    <w:rsid w:val="00794726"/>
    <w:rsid w:val="007F6B1C"/>
    <w:rsid w:val="008B5CD5"/>
    <w:rsid w:val="008C3FE8"/>
    <w:rsid w:val="0090424A"/>
    <w:rsid w:val="009275E4"/>
    <w:rsid w:val="009742C9"/>
    <w:rsid w:val="00974374"/>
    <w:rsid w:val="009B71EF"/>
    <w:rsid w:val="009F0227"/>
    <w:rsid w:val="009F60E1"/>
    <w:rsid w:val="00A00A12"/>
    <w:rsid w:val="00A2589D"/>
    <w:rsid w:val="00A5227C"/>
    <w:rsid w:val="00A61504"/>
    <w:rsid w:val="00A85A6B"/>
    <w:rsid w:val="00AC1F40"/>
    <w:rsid w:val="00B15B5A"/>
    <w:rsid w:val="00B56269"/>
    <w:rsid w:val="00B96904"/>
    <w:rsid w:val="00BA7D6B"/>
    <w:rsid w:val="00C2582D"/>
    <w:rsid w:val="00C3204C"/>
    <w:rsid w:val="00C67116"/>
    <w:rsid w:val="00C92723"/>
    <w:rsid w:val="00CF6368"/>
    <w:rsid w:val="00D158F4"/>
    <w:rsid w:val="00D92602"/>
    <w:rsid w:val="00DE1212"/>
    <w:rsid w:val="00DF5910"/>
    <w:rsid w:val="00E0702B"/>
    <w:rsid w:val="00E35508"/>
    <w:rsid w:val="00E7737A"/>
    <w:rsid w:val="00F24898"/>
    <w:rsid w:val="00F37CF9"/>
    <w:rsid w:val="00F753AE"/>
    <w:rsid w:val="00F91FB2"/>
    <w:rsid w:val="00F96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254C-23DC-4C7B-944A-EAAE0AA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CommentText">
    <w:name w:val="annotation text"/>
    <w:basedOn w:val="Normal"/>
    <w:link w:val="CommentTextChar"/>
    <w:semiHidden/>
    <w:rsid w:val="002A69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2A699E"/>
    <w:rPr>
      <w:rFonts w:ascii="Times New Roman" w:eastAsia="Times New Roman" w:hAnsi="Times New Roman" w:cs="Times New Roman"/>
      <w:sz w:val="20"/>
      <w:szCs w:val="20"/>
      <w:lang w:eastAsia="lv-LV"/>
    </w:rPr>
  </w:style>
  <w:style w:type="character" w:customStyle="1" w:styleId="tvhtmlmktable">
    <w:name w:val="tv_html mk_table"/>
    <w:basedOn w:val="DefaultParagraphFont"/>
    <w:rsid w:val="002A699E"/>
  </w:style>
  <w:style w:type="paragraph" w:styleId="ListParagraph">
    <w:name w:val="List Paragraph"/>
    <w:basedOn w:val="Normal"/>
    <w:uiPriority w:val="34"/>
    <w:qFormat/>
    <w:rsid w:val="002A699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PageNumber">
    <w:name w:val="page number"/>
    <w:basedOn w:val="DefaultParagraphFont"/>
    <w:rsid w:val="002A699E"/>
  </w:style>
  <w:style w:type="character" w:styleId="Hyperlink">
    <w:name w:val="Hyperlink"/>
    <w:basedOn w:val="DefaultParagraphFont"/>
    <w:uiPriority w:val="99"/>
    <w:rsid w:val="009F60E1"/>
    <w:rPr>
      <w:rFonts w:cs="Times New Roman"/>
      <w:color w:val="0000FF"/>
      <w:u w:val="single"/>
    </w:rPr>
  </w:style>
  <w:style w:type="paragraph" w:styleId="BalloonText">
    <w:name w:val="Balloon Text"/>
    <w:basedOn w:val="Normal"/>
    <w:link w:val="BalloonTextChar"/>
    <w:uiPriority w:val="99"/>
    <w:semiHidden/>
    <w:unhideWhenUsed/>
    <w:rsid w:val="00F2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nta.frolova@i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gita.slakota@ucak.vugd.gov.lv" TargetMode="External"/><Relationship Id="rId4" Type="http://schemas.openxmlformats.org/officeDocument/2006/relationships/webSettings" Target="webSettings.xml"/><Relationship Id="rId9" Type="http://schemas.openxmlformats.org/officeDocument/2006/relationships/hyperlink" Target="mailto:ivars.petersons@koledz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1900</Words>
  <Characters>11445</Characters>
  <Application>Microsoft Office Word</Application>
  <DocSecurity>0</DocSecurity>
  <Lines>476</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54</cp:revision>
  <cp:lastPrinted>2014-11-27T08:54:00Z</cp:lastPrinted>
  <dcterms:created xsi:type="dcterms:W3CDTF">2014-01-06T07:40:00Z</dcterms:created>
  <dcterms:modified xsi:type="dcterms:W3CDTF">2014-11-27T08:59:00Z</dcterms:modified>
</cp:coreProperties>
</file>