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2D7" w:rsidRDefault="00EE32D7" w:rsidP="00EE32D7">
      <w:pPr>
        <w:jc w:val="center"/>
        <w:rPr>
          <w:b/>
        </w:rPr>
      </w:pPr>
      <w:bookmarkStart w:id="0" w:name="OLE_LINK4"/>
      <w:bookmarkStart w:id="1" w:name="OLE_LINK3"/>
      <w:r>
        <w:rPr>
          <w:b/>
        </w:rPr>
        <w:t xml:space="preserve">Ministru kabineta noteikumu projekta „Grozījumi Ministru kabineta </w:t>
      </w:r>
      <w:proofErr w:type="gramStart"/>
      <w:r>
        <w:rPr>
          <w:b/>
        </w:rPr>
        <w:t>2011.gada</w:t>
      </w:r>
      <w:proofErr w:type="gramEnd"/>
      <w:r>
        <w:rPr>
          <w:b/>
        </w:rPr>
        <w:t xml:space="preserve"> 13.decembra noteikumos Nr.951 „Noteikumi par tiesu un tiesu namu darbības teritoriju”” sākotnējās ietekmes novērtējuma ziņojums (anotācija)</w:t>
      </w:r>
    </w:p>
    <w:bookmarkEnd w:id="0"/>
    <w:bookmarkEnd w:id="1"/>
    <w:p w:rsidR="00EE32D7" w:rsidRDefault="00EE32D7" w:rsidP="00EE32D7">
      <w:pPr>
        <w:jc w:val="center"/>
      </w:pPr>
    </w:p>
    <w:p w:rsidR="00EE32D7" w:rsidRDefault="00EE32D7" w:rsidP="00EE32D7">
      <w:pPr>
        <w:jc w:val="cente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689"/>
        <w:gridCol w:w="5957"/>
      </w:tblGrid>
      <w:tr w:rsidR="00EE32D7" w:rsidTr="00151A28">
        <w:trPr>
          <w:trHeight w:val="302"/>
        </w:trPr>
        <w:tc>
          <w:tcPr>
            <w:tcW w:w="9089" w:type="dxa"/>
            <w:gridSpan w:val="3"/>
            <w:tcBorders>
              <w:top w:val="single" w:sz="4" w:space="0" w:color="auto"/>
              <w:left w:val="single" w:sz="4" w:space="0" w:color="auto"/>
              <w:bottom w:val="single" w:sz="4" w:space="0" w:color="auto"/>
              <w:right w:val="single" w:sz="4" w:space="0" w:color="auto"/>
            </w:tcBorders>
            <w:hideMark/>
          </w:tcPr>
          <w:p w:rsidR="00EE32D7" w:rsidRDefault="00EE32D7">
            <w:pPr>
              <w:jc w:val="center"/>
            </w:pPr>
            <w:r>
              <w:rPr>
                <w:b/>
              </w:rPr>
              <w:t>I. Tiesību akta projekta izstrādes nepieciešamība</w:t>
            </w:r>
          </w:p>
        </w:tc>
      </w:tr>
      <w:tr w:rsidR="00EE32D7" w:rsidTr="00151A28">
        <w:trPr>
          <w:trHeight w:val="1087"/>
        </w:trPr>
        <w:tc>
          <w:tcPr>
            <w:tcW w:w="426" w:type="dxa"/>
            <w:tcBorders>
              <w:top w:val="single" w:sz="4" w:space="0" w:color="auto"/>
              <w:left w:val="single" w:sz="4" w:space="0" w:color="auto"/>
              <w:bottom w:val="single" w:sz="4" w:space="0" w:color="auto"/>
              <w:right w:val="single" w:sz="4" w:space="0" w:color="auto"/>
            </w:tcBorders>
            <w:hideMark/>
          </w:tcPr>
          <w:p w:rsidR="00EE32D7" w:rsidRDefault="00EE32D7">
            <w:pPr>
              <w:jc w:val="center"/>
            </w:pPr>
            <w:r>
              <w:t>1.</w:t>
            </w:r>
          </w:p>
        </w:tc>
        <w:tc>
          <w:tcPr>
            <w:tcW w:w="2693" w:type="dxa"/>
            <w:tcBorders>
              <w:top w:val="single" w:sz="4" w:space="0" w:color="auto"/>
              <w:left w:val="single" w:sz="4" w:space="0" w:color="auto"/>
              <w:bottom w:val="single" w:sz="4" w:space="0" w:color="auto"/>
              <w:right w:val="single" w:sz="4" w:space="0" w:color="auto"/>
            </w:tcBorders>
            <w:hideMark/>
          </w:tcPr>
          <w:p w:rsidR="00EE32D7" w:rsidRDefault="00EE32D7">
            <w:r>
              <w:t>Pamatojums</w:t>
            </w:r>
          </w:p>
        </w:tc>
        <w:tc>
          <w:tcPr>
            <w:tcW w:w="5970" w:type="dxa"/>
            <w:tcBorders>
              <w:top w:val="single" w:sz="4" w:space="0" w:color="auto"/>
              <w:left w:val="single" w:sz="4" w:space="0" w:color="auto"/>
              <w:bottom w:val="single" w:sz="4" w:space="0" w:color="auto"/>
              <w:right w:val="single" w:sz="4" w:space="0" w:color="auto"/>
            </w:tcBorders>
          </w:tcPr>
          <w:p w:rsidR="00EE32D7" w:rsidRDefault="00EE32D7">
            <w:pPr>
              <w:jc w:val="both"/>
            </w:pPr>
            <w:r>
              <w:t xml:space="preserve">Ar Tieslietu padomes </w:t>
            </w:r>
            <w:proofErr w:type="gramStart"/>
            <w:r>
              <w:t>2014.gada</w:t>
            </w:r>
            <w:proofErr w:type="gramEnd"/>
            <w:r>
              <w:t xml:space="preserve"> 29.septembra lēmumu Nr.59 nolemts atbalstīt Tieslietu ministrijas priekšlikumu par Siguldas tiesas un Rīgas pilsētas Centra rajona tiesas darbības izbeigšanu.</w:t>
            </w:r>
          </w:p>
          <w:p w:rsidR="00EE32D7" w:rsidRDefault="00EE32D7">
            <w:pPr>
              <w:jc w:val="both"/>
            </w:pPr>
          </w:p>
          <w:p w:rsidR="00EE32D7" w:rsidRDefault="00EE32D7">
            <w:pPr>
              <w:jc w:val="both"/>
            </w:pPr>
            <w:r w:rsidRPr="004E35AD">
              <w:t xml:space="preserve">Šī </w:t>
            </w:r>
            <w:r w:rsidRPr="00A404A9">
              <w:t xml:space="preserve">gada </w:t>
            </w:r>
            <w:proofErr w:type="gramStart"/>
            <w:r w:rsidR="004E35AD" w:rsidRPr="00A404A9">
              <w:t>2014.gada</w:t>
            </w:r>
            <w:proofErr w:type="gramEnd"/>
            <w:r w:rsidR="004E35AD" w:rsidRPr="00A404A9">
              <w:t xml:space="preserve"> 30.oktobrī Saeimā galīgajā lasījumā pieņemti </w:t>
            </w:r>
            <w:r w:rsidRPr="00A404A9">
              <w:t xml:space="preserve">grozījumi likumā „Par tiesu varu” (reģ. Nr.1255/Lp11), </w:t>
            </w:r>
            <w:r w:rsidR="00A404A9" w:rsidRPr="00A404A9">
              <w:t>kas paredz Siguldas tiesas un Rīgas pilsētas Centra rajona tiesas reorganizāciju.</w:t>
            </w:r>
          </w:p>
          <w:p w:rsidR="00EE32D7" w:rsidRDefault="00EE32D7">
            <w:pPr>
              <w:jc w:val="both"/>
            </w:pPr>
          </w:p>
          <w:p w:rsidR="00EE32D7" w:rsidRDefault="00EE32D7">
            <w:pPr>
              <w:jc w:val="both"/>
            </w:pPr>
            <w:r>
              <w:t>Lai īstenotu likum</w:t>
            </w:r>
            <w:r w:rsidR="00C952A9">
              <w:t>ā</w:t>
            </w:r>
            <w:r>
              <w:t xml:space="preserve"> paredzēto Siguldas tiesas un Rīgas pilsētas Centra rajona tiesas darbības izbeigšanu, nepieciešams grozīt Ministru kabineta </w:t>
            </w:r>
            <w:proofErr w:type="gramStart"/>
            <w:r>
              <w:t>2011.gada</w:t>
            </w:r>
            <w:proofErr w:type="gramEnd"/>
            <w:r>
              <w:t xml:space="preserve"> 13.decembra noteikumus Nr.951 „Noteikumi par tiesu un tiesu namu darbības teritoriju”. </w:t>
            </w:r>
          </w:p>
        </w:tc>
      </w:tr>
      <w:tr w:rsidR="00EE32D7" w:rsidTr="00151A28">
        <w:trPr>
          <w:trHeight w:val="416"/>
        </w:trPr>
        <w:tc>
          <w:tcPr>
            <w:tcW w:w="426" w:type="dxa"/>
            <w:tcBorders>
              <w:top w:val="single" w:sz="4" w:space="0" w:color="auto"/>
              <w:left w:val="single" w:sz="4" w:space="0" w:color="auto"/>
              <w:bottom w:val="single" w:sz="4" w:space="0" w:color="auto"/>
              <w:right w:val="single" w:sz="4" w:space="0" w:color="auto"/>
            </w:tcBorders>
            <w:hideMark/>
          </w:tcPr>
          <w:p w:rsidR="00EE32D7" w:rsidRDefault="00EE32D7">
            <w:pPr>
              <w:jc w:val="center"/>
            </w:pPr>
            <w:r>
              <w:t>2.</w:t>
            </w:r>
          </w:p>
        </w:tc>
        <w:tc>
          <w:tcPr>
            <w:tcW w:w="2693" w:type="dxa"/>
            <w:tcBorders>
              <w:top w:val="single" w:sz="4" w:space="0" w:color="auto"/>
              <w:left w:val="single" w:sz="4" w:space="0" w:color="auto"/>
              <w:bottom w:val="single" w:sz="4" w:space="0" w:color="auto"/>
              <w:right w:val="single" w:sz="4" w:space="0" w:color="auto"/>
            </w:tcBorders>
            <w:hideMark/>
          </w:tcPr>
          <w:p w:rsidR="00EE32D7" w:rsidRDefault="00EE32D7">
            <w:r>
              <w:t>Pašreizējā situācija un problēmas, kuru risināšanai tiesību akta projekts izstrādāts, tiesiskā regulējuma mērķis un būtība</w:t>
            </w:r>
          </w:p>
        </w:tc>
        <w:tc>
          <w:tcPr>
            <w:tcW w:w="5970" w:type="dxa"/>
            <w:tcBorders>
              <w:top w:val="single" w:sz="4" w:space="0" w:color="auto"/>
              <w:left w:val="single" w:sz="4" w:space="0" w:color="auto"/>
              <w:bottom w:val="single" w:sz="4" w:space="0" w:color="auto"/>
              <w:right w:val="single" w:sz="4" w:space="0" w:color="auto"/>
            </w:tcBorders>
          </w:tcPr>
          <w:p w:rsidR="00EE32D7" w:rsidRDefault="00EE32D7">
            <w:pPr>
              <w:jc w:val="both"/>
            </w:pPr>
            <w:r>
              <w:t>Tiesu iekārtas attīstības pamatnostādnēs 2009.–</w:t>
            </w:r>
            <w:proofErr w:type="gramStart"/>
            <w:r>
              <w:t>2015.gadam</w:t>
            </w:r>
            <w:proofErr w:type="gramEnd"/>
            <w:r>
              <w:t xml:space="preserve"> (apstiprinātas ar Ministru kabineta 2009.gada 7.oktobra rīkojumu Nr.685) ir noteikts tiesu iekārtas politikas mērķis – nodrošināt tiesisku, efektīvu, kvalitatīvu un sabiedrības vajadzībām atbilstošu tiesu iekārtas darbību, sekmējot no taisnīgas tiesas jēdziena izrietošu tiesu varas pamatvērtību īstenošanu – neatkarīga, pieejama tiesa un efektīva tiesas procesa norise iespējami īsākā termiņā.</w:t>
            </w:r>
          </w:p>
          <w:p w:rsidR="00EE32D7" w:rsidRDefault="00EE32D7">
            <w:pPr>
              <w:jc w:val="both"/>
            </w:pPr>
          </w:p>
          <w:p w:rsidR="00EE32D7" w:rsidRDefault="00EE32D7">
            <w:pPr>
              <w:jc w:val="both"/>
            </w:pPr>
            <w:r>
              <w:t xml:space="preserve">Lai risinātu tādus ar tiesu efektivitātes paaugstināšanu saistītos problēmjautājumus kā nevienmērīga tiesu noslodze un atšķirīgi tiesvedības ilgumi viena veida lietās, tai skaitā pārāk gari tiesvedības termiņi, mazā tiesnešu skaita tiesā dēļ apgrūtināta vai neiespējama specializāciju izveide un lietu sadales nejaušības nodrošināšana, tika izstrādāts informatīvais ziņojums „Par tiesu darbības teritoriju izmaiņām”, kas atbalstīts gan Tieslietu padomes sēdē, gan Ministru kabinetā ar </w:t>
            </w:r>
            <w:proofErr w:type="gramStart"/>
            <w:r>
              <w:t>2014.gada</w:t>
            </w:r>
            <w:proofErr w:type="gramEnd"/>
            <w:r>
              <w:t xml:space="preserve"> 5.augusta sēdes protokola Nr.42 35.§. Kā izriet no pieņemtajiem lēmumiem, gan Tieslietu padome, gan arī Ministru kabinets atbalstījis tādu tiesu politikas rīcības virzienu, kas paredz, ka apgabaltiesu darbības teritorijā esošo rajonu (pilsētu) tiesu apvienošana paredzama pakāpeniski, sākotnēji reformu ieviešot Rīgas tiesu apgabalā.</w:t>
            </w:r>
          </w:p>
          <w:p w:rsidR="00EE32D7" w:rsidRDefault="00EE32D7">
            <w:pPr>
              <w:jc w:val="both"/>
            </w:pPr>
          </w:p>
          <w:p w:rsidR="00EE32D7" w:rsidRDefault="00C952A9">
            <w:pPr>
              <w:jc w:val="both"/>
            </w:pPr>
            <w:r>
              <w:t xml:space="preserve">Likums </w:t>
            </w:r>
            <w:r w:rsidR="00EE32D7">
              <w:t xml:space="preserve">„Grozījumi likumā „Par tiesu varu”” paredz, ka Siguldas tiesu reorganizē, to pievienojot Rīgas rajona tiesai, savukārt Rīgas pilsētas Centra rajona tiesu reorganizē, pārceļot Rīgas pilsētas Centra rajona tiesas </w:t>
            </w:r>
            <w:r w:rsidR="00EE32D7">
              <w:lastRenderedPageBreak/>
              <w:t xml:space="preserve">tiesnešus darbā Rīgas </w:t>
            </w:r>
            <w:r w:rsidR="00EE32D7">
              <w:rPr>
                <w:color w:val="000000"/>
              </w:rPr>
              <w:t xml:space="preserve">pilsētas Vidzemes priekšpilsētas tiesā un citās noslogotākajās Rīgas pilsētas tiesās, izvērtējot šo tiesu kapacitāti. </w:t>
            </w:r>
            <w:r w:rsidR="00EE32D7">
              <w:t xml:space="preserve">Ievērojot minēto, tiek pārskatītas gan Rīgas rajona tiesas, gan Rīgas pilsētas Vidzemes priekšpilsētas tiesas darbības teritorijas. </w:t>
            </w:r>
            <w:r w:rsidR="00EE32D7">
              <w:rPr>
                <w:shd w:val="clear" w:color="auto" w:fill="FFFFFF"/>
              </w:rPr>
              <w:t xml:space="preserve">Plānots, ka </w:t>
            </w:r>
            <w:r w:rsidR="00EE32D7">
              <w:rPr>
                <w:bCs/>
                <w:shd w:val="clear" w:color="auto" w:fill="FFFFFF"/>
              </w:rPr>
              <w:t xml:space="preserve">Rīgas rajona tiesas darbības teritorija atbildīs </w:t>
            </w:r>
            <w:r w:rsidR="00EE32D7">
              <w:rPr>
                <w:shd w:val="clear" w:color="auto" w:fill="FFFFFF"/>
              </w:rPr>
              <w:t xml:space="preserve">esošai Rīgas rajona tiesas darbības teritorijai un Siguldas tiesas darbības teritorijai.  Savukārt </w:t>
            </w:r>
            <w:r w:rsidR="00EE32D7">
              <w:rPr>
                <w:bCs/>
                <w:shd w:val="clear" w:color="auto" w:fill="FFFFFF"/>
              </w:rPr>
              <w:t>Rīgas pilsētas Vidzemes priekšpilsētas tiesas darbības teritorija atbildīs</w:t>
            </w:r>
            <w:r w:rsidR="00EE32D7">
              <w:rPr>
                <w:shd w:val="clear" w:color="auto" w:fill="FFFFFF"/>
              </w:rPr>
              <w:t xml:space="preserve"> Rīgas Centra rajonam un Rīgas pilsētas Vidzemes priekšpilsētai.</w:t>
            </w:r>
          </w:p>
          <w:p w:rsidR="00EE32D7" w:rsidRDefault="00EE32D7">
            <w:pPr>
              <w:jc w:val="both"/>
            </w:pPr>
          </w:p>
          <w:p w:rsidR="00EE32D7" w:rsidRDefault="00EE32D7">
            <w:pPr>
              <w:jc w:val="both"/>
            </w:pPr>
            <w:r>
              <w:t xml:space="preserve">Attiecībā uz Siguldas tiesas un Rīgas rajona tiesas darbības teritoriju norādāms, ka šobrīd saskaņā ar Ministru kabineta </w:t>
            </w:r>
            <w:proofErr w:type="gramStart"/>
            <w:r>
              <w:t>2011.gada</w:t>
            </w:r>
            <w:proofErr w:type="gramEnd"/>
            <w:r>
              <w:t xml:space="preserve"> 13.decembra noteikumu Nr.951 „Noteikumi par tiesu un tiesu namu darbības teritoriju” 2.punktu Rīgas rajona tiesai piekritīgs ir Ādažu, Babītes, Baldones, Carnikavas, Garkalnes, Ķekavas, Mārupes, Olaines, Ropažu, Salaspils, Saulkrastu un Stopiņu novads. Savukārt Siguldas tiesai piekritīgs ir Inčukalna, Krimuldas, Mālpils, Sējas un Siguldas novads. No minētā secināms, ka Siguldas tiesas un Rīgas rajona tiesas darbības teritorijas šobrīd atrodas viena otrai blakus un aptver Rīgas rajonu. Savukārt attiecībā uz zemesgrāmatu nodaļām jau šobrīd saskaņā ar Ministru kabineta </w:t>
            </w:r>
            <w:proofErr w:type="gramStart"/>
            <w:r>
              <w:t>2011.gada</w:t>
            </w:r>
            <w:proofErr w:type="gramEnd"/>
            <w:r>
              <w:t xml:space="preserve"> 13.decembra noteikumu Nr.951 „Noteikumi par tiesu un tiesu namu darbības teritoriju” 5.punktu Rīgas rajona tiesas sastāvā ir zemesgrāmatu nodaļa, kuras darbības teritorija atbilst Rīgas rajona tiesas un Siguldas tiesas darbības teritorijai. Līdz ar to nepastāv šķēršļi, lai veiksmīgi apvienotu Siguldas tiesas un Rīgas rajona tiesas darbības teritorijas.</w:t>
            </w:r>
          </w:p>
          <w:p w:rsidR="00EE32D7" w:rsidRDefault="00EE32D7">
            <w:pPr>
              <w:jc w:val="both"/>
            </w:pPr>
          </w:p>
          <w:p w:rsidR="00EE32D7" w:rsidRDefault="00EE32D7">
            <w:pPr>
              <w:jc w:val="both"/>
            </w:pPr>
            <w:r>
              <w:t xml:space="preserve">Līdzīgi ir ar Rīgas pilsētas Centra rajona tiesas un Rīgas pilsētas Vidzemes priekšpilsētas tiesas darbības teritorijām. Saskaņā ar Ministru kabineta </w:t>
            </w:r>
            <w:proofErr w:type="gramStart"/>
            <w:r>
              <w:t>2011.gada</w:t>
            </w:r>
            <w:proofErr w:type="gramEnd"/>
            <w:r>
              <w:t xml:space="preserve"> 13.decembra noteikumu Nr.951 „Noteikumi par tiesu un tiesu namu darbības teritoriju” 2.punktu Rīgas pilsētas tiesu darbības teritorija atbilst Rīgas pilsētas teritoriālajam iedalījumam. Ievērojot, ka Rīgas pilsētas Centra rajona tiesai piekritīgs ir Rīgas centra rajons un Rīgas pilsētas Vidzemes priekšpilsētas tiesai piekritīga ir Rīgas pilsētas Vidzemes priekšpilsēta, šobrīd abas teritorijas atrodas viena otrai blakus un aptver daļu Rīgas pilsētas teritorijas. Tāpat šobrīd Rīgas pilsētas Centra rajona tiesa un Rīgas pilsētas Vidzemes priekšpilsētas tiesa fiziski ir izvietotas vienā ēkā Abrenes ielā 3.</w:t>
            </w:r>
          </w:p>
          <w:p w:rsidR="00151A28" w:rsidRDefault="00151A28">
            <w:pPr>
              <w:jc w:val="both"/>
            </w:pPr>
          </w:p>
          <w:p w:rsidR="00EE32D7" w:rsidRDefault="00151A28" w:rsidP="00106FC1">
            <w:pPr>
              <w:jc w:val="both"/>
            </w:pPr>
            <w:r>
              <w:t xml:space="preserve">Projektā ietvertās tiesiskā regulējuma izmaiņas minētās problēmas atrisinās pilnībā. </w:t>
            </w:r>
            <w:r w:rsidR="001E7E75">
              <w:t xml:space="preserve">Projekta spēkā stāšanās datums </w:t>
            </w:r>
            <w:r w:rsidR="0073629B">
              <w:t xml:space="preserve">– </w:t>
            </w:r>
            <w:proofErr w:type="gramStart"/>
            <w:r w:rsidR="001E7E75">
              <w:t>2015.gada</w:t>
            </w:r>
            <w:proofErr w:type="gramEnd"/>
            <w:r w:rsidR="001E7E75">
              <w:t xml:space="preserve"> 1.marts </w:t>
            </w:r>
            <w:r w:rsidR="0073629B">
              <w:t xml:space="preserve">– ir saskaņots ar </w:t>
            </w:r>
            <w:r w:rsidR="00C952A9">
              <w:t>likum</w:t>
            </w:r>
            <w:r w:rsidR="00106FC1">
              <w:t>ā</w:t>
            </w:r>
            <w:r w:rsidR="00C952A9">
              <w:t xml:space="preserve"> </w:t>
            </w:r>
            <w:r w:rsidR="001E7E75">
              <w:t>„Groz</w:t>
            </w:r>
            <w:r w:rsidR="00AF0D21">
              <w:t>ījumi likumā „Par tiesu varu””</w:t>
            </w:r>
            <w:r w:rsidR="00106FC1">
              <w:t xml:space="preserve"> noteiktā regulējuma, kas paredz  </w:t>
            </w:r>
            <w:r w:rsidR="00106FC1">
              <w:lastRenderedPageBreak/>
              <w:t>Siguldas tiesas un Rīgas pilsētas Centra rajona tiesas reorganizāciju, spēkā stāšanos.</w:t>
            </w:r>
          </w:p>
        </w:tc>
      </w:tr>
      <w:tr w:rsidR="00EE32D7" w:rsidTr="00151A28">
        <w:trPr>
          <w:trHeight w:val="418"/>
        </w:trPr>
        <w:tc>
          <w:tcPr>
            <w:tcW w:w="426" w:type="dxa"/>
            <w:tcBorders>
              <w:top w:val="single" w:sz="4" w:space="0" w:color="auto"/>
              <w:left w:val="single" w:sz="4" w:space="0" w:color="auto"/>
              <w:bottom w:val="single" w:sz="4" w:space="0" w:color="auto"/>
              <w:right w:val="single" w:sz="4" w:space="0" w:color="auto"/>
            </w:tcBorders>
            <w:hideMark/>
          </w:tcPr>
          <w:p w:rsidR="00EE32D7" w:rsidRDefault="00EE32D7">
            <w:r>
              <w:lastRenderedPageBreak/>
              <w:t>3.</w:t>
            </w:r>
          </w:p>
        </w:tc>
        <w:tc>
          <w:tcPr>
            <w:tcW w:w="2693" w:type="dxa"/>
            <w:tcBorders>
              <w:top w:val="single" w:sz="4" w:space="0" w:color="auto"/>
              <w:left w:val="single" w:sz="4" w:space="0" w:color="auto"/>
              <w:bottom w:val="single" w:sz="4" w:space="0" w:color="auto"/>
              <w:right w:val="single" w:sz="4" w:space="0" w:color="auto"/>
            </w:tcBorders>
            <w:hideMark/>
          </w:tcPr>
          <w:p w:rsidR="00EE32D7" w:rsidRDefault="00EE32D7">
            <w:r>
              <w:t>Projekta izstrādē iesaistītās institūcijas</w:t>
            </w:r>
          </w:p>
        </w:tc>
        <w:tc>
          <w:tcPr>
            <w:tcW w:w="5970" w:type="dxa"/>
            <w:tcBorders>
              <w:top w:val="single" w:sz="4" w:space="0" w:color="auto"/>
              <w:left w:val="single" w:sz="4" w:space="0" w:color="auto"/>
              <w:bottom w:val="single" w:sz="4" w:space="0" w:color="auto"/>
              <w:right w:val="single" w:sz="4" w:space="0" w:color="auto"/>
            </w:tcBorders>
            <w:hideMark/>
          </w:tcPr>
          <w:p w:rsidR="00EE32D7" w:rsidRDefault="00EE32D7">
            <w:r>
              <w:t>Tieslietu ministrija.</w:t>
            </w:r>
          </w:p>
        </w:tc>
      </w:tr>
      <w:tr w:rsidR="00EE32D7" w:rsidTr="00151A28">
        <w:trPr>
          <w:trHeight w:val="287"/>
        </w:trPr>
        <w:tc>
          <w:tcPr>
            <w:tcW w:w="426" w:type="dxa"/>
            <w:tcBorders>
              <w:top w:val="single" w:sz="4" w:space="0" w:color="auto"/>
              <w:left w:val="single" w:sz="4" w:space="0" w:color="auto"/>
              <w:bottom w:val="single" w:sz="4" w:space="0" w:color="auto"/>
              <w:right w:val="single" w:sz="4" w:space="0" w:color="auto"/>
            </w:tcBorders>
            <w:hideMark/>
          </w:tcPr>
          <w:p w:rsidR="00EE32D7" w:rsidRDefault="00EE32D7">
            <w:r>
              <w:t>4.</w:t>
            </w:r>
          </w:p>
        </w:tc>
        <w:tc>
          <w:tcPr>
            <w:tcW w:w="2693" w:type="dxa"/>
            <w:tcBorders>
              <w:top w:val="single" w:sz="4" w:space="0" w:color="auto"/>
              <w:left w:val="single" w:sz="4" w:space="0" w:color="auto"/>
              <w:bottom w:val="single" w:sz="4" w:space="0" w:color="auto"/>
              <w:right w:val="single" w:sz="4" w:space="0" w:color="auto"/>
            </w:tcBorders>
            <w:hideMark/>
          </w:tcPr>
          <w:p w:rsidR="00EE32D7" w:rsidRDefault="00EE32D7">
            <w:r>
              <w:t>Cita informācija</w:t>
            </w:r>
          </w:p>
        </w:tc>
        <w:tc>
          <w:tcPr>
            <w:tcW w:w="5970" w:type="dxa"/>
            <w:tcBorders>
              <w:top w:val="single" w:sz="4" w:space="0" w:color="auto"/>
              <w:left w:val="single" w:sz="4" w:space="0" w:color="auto"/>
              <w:bottom w:val="single" w:sz="4" w:space="0" w:color="auto"/>
              <w:right w:val="single" w:sz="4" w:space="0" w:color="auto"/>
            </w:tcBorders>
            <w:hideMark/>
          </w:tcPr>
          <w:p w:rsidR="00EE32D7" w:rsidRDefault="00EE32D7">
            <w:pPr>
              <w:ind w:firstLine="13"/>
              <w:jc w:val="both"/>
            </w:pPr>
            <w:r>
              <w:t>Nav.</w:t>
            </w:r>
          </w:p>
        </w:tc>
      </w:tr>
    </w:tbl>
    <w:p w:rsidR="00A37879" w:rsidRDefault="00A37879" w:rsidP="00151A28">
      <w:pPr>
        <w:jc w:val="center"/>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693"/>
        <w:gridCol w:w="5953"/>
      </w:tblGrid>
      <w:tr w:rsidR="00151A28" w:rsidTr="00151A28">
        <w:trPr>
          <w:trHeight w:val="291"/>
        </w:trPr>
        <w:tc>
          <w:tcPr>
            <w:tcW w:w="9072" w:type="dxa"/>
            <w:gridSpan w:val="3"/>
            <w:tcBorders>
              <w:top w:val="single" w:sz="4" w:space="0" w:color="auto"/>
              <w:left w:val="single" w:sz="4" w:space="0" w:color="auto"/>
              <w:bottom w:val="single" w:sz="4" w:space="0" w:color="auto"/>
              <w:right w:val="single" w:sz="4" w:space="0" w:color="auto"/>
            </w:tcBorders>
          </w:tcPr>
          <w:p w:rsidR="00151A28" w:rsidRDefault="00151A28" w:rsidP="00151A28">
            <w:pPr>
              <w:jc w:val="center"/>
            </w:pPr>
            <w:r>
              <w:rPr>
                <w:b/>
              </w:rPr>
              <w:t>II. Tiesību akta projekta ietekme uz sabiedrību, tautsaimniecības attīstību un administratīvo slogu</w:t>
            </w:r>
          </w:p>
        </w:tc>
      </w:tr>
      <w:tr w:rsidR="00EE32D7" w:rsidTr="00151A28">
        <w:trPr>
          <w:trHeight w:val="1119"/>
        </w:trPr>
        <w:tc>
          <w:tcPr>
            <w:tcW w:w="426" w:type="dxa"/>
            <w:tcBorders>
              <w:top w:val="single" w:sz="4" w:space="0" w:color="auto"/>
              <w:left w:val="single" w:sz="4" w:space="0" w:color="auto"/>
              <w:bottom w:val="single" w:sz="4" w:space="0" w:color="auto"/>
              <w:right w:val="single" w:sz="4" w:space="0" w:color="auto"/>
            </w:tcBorders>
            <w:hideMark/>
          </w:tcPr>
          <w:p w:rsidR="00EE32D7" w:rsidRDefault="00EE32D7">
            <w:pPr>
              <w:jc w:val="center"/>
            </w:pPr>
            <w:r>
              <w:t>1.</w:t>
            </w:r>
          </w:p>
        </w:tc>
        <w:tc>
          <w:tcPr>
            <w:tcW w:w="2693" w:type="dxa"/>
            <w:tcBorders>
              <w:top w:val="single" w:sz="4" w:space="0" w:color="auto"/>
              <w:left w:val="single" w:sz="4" w:space="0" w:color="auto"/>
              <w:bottom w:val="single" w:sz="4" w:space="0" w:color="auto"/>
              <w:right w:val="single" w:sz="4" w:space="0" w:color="auto"/>
            </w:tcBorders>
            <w:hideMark/>
          </w:tcPr>
          <w:p w:rsidR="00EE32D7" w:rsidRDefault="00EE32D7">
            <w:r>
              <w:t>Sabiedrības mērķgrupas, kuras tiesiskais regulējums ietekmē vai varētu ietekmēt</w:t>
            </w:r>
          </w:p>
        </w:tc>
        <w:tc>
          <w:tcPr>
            <w:tcW w:w="5953" w:type="dxa"/>
            <w:tcBorders>
              <w:top w:val="single" w:sz="4" w:space="0" w:color="auto"/>
              <w:left w:val="single" w:sz="4" w:space="0" w:color="auto"/>
              <w:bottom w:val="single" w:sz="4" w:space="0" w:color="auto"/>
              <w:right w:val="single" w:sz="4" w:space="0" w:color="auto"/>
            </w:tcBorders>
            <w:hideMark/>
          </w:tcPr>
          <w:p w:rsidR="00EE32D7" w:rsidRDefault="00EE32D7">
            <w:pPr>
              <w:jc w:val="both"/>
            </w:pPr>
            <w:r>
              <w:t>Projekts attiecas uz personām, kas vēršas tiesā, jo grozījumu projekts precizē tiesu darbības teritorijas, no kā ir atkarīga lietu piekritība.</w:t>
            </w:r>
          </w:p>
        </w:tc>
      </w:tr>
      <w:tr w:rsidR="00EE32D7" w:rsidTr="00151A28">
        <w:trPr>
          <w:trHeight w:val="1130"/>
        </w:trPr>
        <w:tc>
          <w:tcPr>
            <w:tcW w:w="426" w:type="dxa"/>
            <w:tcBorders>
              <w:top w:val="single" w:sz="4" w:space="0" w:color="auto"/>
              <w:left w:val="single" w:sz="4" w:space="0" w:color="auto"/>
              <w:bottom w:val="single" w:sz="4" w:space="0" w:color="auto"/>
              <w:right w:val="single" w:sz="4" w:space="0" w:color="auto"/>
            </w:tcBorders>
            <w:hideMark/>
          </w:tcPr>
          <w:p w:rsidR="00EE32D7" w:rsidRDefault="00EE32D7">
            <w:r>
              <w:t>2.</w:t>
            </w:r>
          </w:p>
        </w:tc>
        <w:tc>
          <w:tcPr>
            <w:tcW w:w="2693" w:type="dxa"/>
            <w:tcBorders>
              <w:top w:val="single" w:sz="4" w:space="0" w:color="auto"/>
              <w:left w:val="single" w:sz="4" w:space="0" w:color="auto"/>
              <w:bottom w:val="single" w:sz="4" w:space="0" w:color="auto"/>
              <w:right w:val="single" w:sz="4" w:space="0" w:color="auto"/>
            </w:tcBorders>
            <w:hideMark/>
          </w:tcPr>
          <w:p w:rsidR="00EE32D7" w:rsidRDefault="00EE32D7">
            <w:r>
              <w:t>Tiesiskā regulējuma ietekme uz tautsaimniecību un administratīvo slogu</w:t>
            </w:r>
          </w:p>
        </w:tc>
        <w:tc>
          <w:tcPr>
            <w:tcW w:w="5953" w:type="dxa"/>
            <w:tcBorders>
              <w:top w:val="single" w:sz="4" w:space="0" w:color="auto"/>
              <w:left w:val="single" w:sz="4" w:space="0" w:color="auto"/>
              <w:bottom w:val="single" w:sz="4" w:space="0" w:color="auto"/>
              <w:right w:val="single" w:sz="4" w:space="0" w:color="auto"/>
            </w:tcBorders>
            <w:hideMark/>
          </w:tcPr>
          <w:p w:rsidR="00EE32D7" w:rsidRDefault="00EE32D7">
            <w:r>
              <w:t>Projekts šo jomu neskar.</w:t>
            </w:r>
          </w:p>
        </w:tc>
      </w:tr>
      <w:tr w:rsidR="00EE32D7" w:rsidTr="00151A28">
        <w:trPr>
          <w:trHeight w:val="439"/>
        </w:trPr>
        <w:tc>
          <w:tcPr>
            <w:tcW w:w="426" w:type="dxa"/>
            <w:tcBorders>
              <w:top w:val="single" w:sz="4" w:space="0" w:color="auto"/>
              <w:left w:val="single" w:sz="4" w:space="0" w:color="auto"/>
              <w:bottom w:val="single" w:sz="4" w:space="0" w:color="auto"/>
              <w:right w:val="single" w:sz="4" w:space="0" w:color="auto"/>
            </w:tcBorders>
            <w:hideMark/>
          </w:tcPr>
          <w:p w:rsidR="00EE32D7" w:rsidRDefault="00EE32D7">
            <w:r>
              <w:t>3.</w:t>
            </w:r>
          </w:p>
        </w:tc>
        <w:tc>
          <w:tcPr>
            <w:tcW w:w="2693" w:type="dxa"/>
            <w:tcBorders>
              <w:top w:val="single" w:sz="4" w:space="0" w:color="auto"/>
              <w:left w:val="single" w:sz="4" w:space="0" w:color="auto"/>
              <w:bottom w:val="single" w:sz="4" w:space="0" w:color="auto"/>
              <w:right w:val="single" w:sz="4" w:space="0" w:color="auto"/>
            </w:tcBorders>
            <w:hideMark/>
          </w:tcPr>
          <w:p w:rsidR="00EE32D7" w:rsidRDefault="00EE32D7">
            <w:r>
              <w:t>Administratīvo izmaksu monetārs novērtējums</w:t>
            </w:r>
          </w:p>
        </w:tc>
        <w:tc>
          <w:tcPr>
            <w:tcW w:w="5953" w:type="dxa"/>
            <w:tcBorders>
              <w:top w:val="single" w:sz="4" w:space="0" w:color="auto"/>
              <w:left w:val="single" w:sz="4" w:space="0" w:color="auto"/>
              <w:bottom w:val="single" w:sz="4" w:space="0" w:color="auto"/>
              <w:right w:val="single" w:sz="4" w:space="0" w:color="auto"/>
            </w:tcBorders>
            <w:hideMark/>
          </w:tcPr>
          <w:p w:rsidR="00EE32D7" w:rsidRDefault="00EE32D7">
            <w:r>
              <w:t>Projekts šo jomu neskar.</w:t>
            </w:r>
          </w:p>
        </w:tc>
      </w:tr>
      <w:tr w:rsidR="00EE32D7" w:rsidTr="00151A28">
        <w:trPr>
          <w:trHeight w:val="498"/>
        </w:trPr>
        <w:tc>
          <w:tcPr>
            <w:tcW w:w="426" w:type="dxa"/>
            <w:tcBorders>
              <w:top w:val="single" w:sz="4" w:space="0" w:color="auto"/>
              <w:left w:val="single" w:sz="4" w:space="0" w:color="auto"/>
              <w:bottom w:val="single" w:sz="4" w:space="0" w:color="auto"/>
              <w:right w:val="single" w:sz="4" w:space="0" w:color="auto"/>
            </w:tcBorders>
            <w:hideMark/>
          </w:tcPr>
          <w:p w:rsidR="00EE32D7" w:rsidRDefault="00EE32D7">
            <w:r>
              <w:t>4.</w:t>
            </w:r>
          </w:p>
        </w:tc>
        <w:tc>
          <w:tcPr>
            <w:tcW w:w="2693" w:type="dxa"/>
            <w:tcBorders>
              <w:top w:val="single" w:sz="4" w:space="0" w:color="auto"/>
              <w:left w:val="single" w:sz="4" w:space="0" w:color="auto"/>
              <w:bottom w:val="single" w:sz="4" w:space="0" w:color="auto"/>
              <w:right w:val="single" w:sz="4" w:space="0" w:color="auto"/>
            </w:tcBorders>
            <w:hideMark/>
          </w:tcPr>
          <w:p w:rsidR="00EE32D7" w:rsidRDefault="00EE32D7">
            <w:r>
              <w:t>Cita informācija</w:t>
            </w:r>
          </w:p>
        </w:tc>
        <w:tc>
          <w:tcPr>
            <w:tcW w:w="5953" w:type="dxa"/>
            <w:tcBorders>
              <w:top w:val="single" w:sz="4" w:space="0" w:color="auto"/>
              <w:left w:val="single" w:sz="4" w:space="0" w:color="auto"/>
              <w:bottom w:val="single" w:sz="4" w:space="0" w:color="auto"/>
              <w:right w:val="single" w:sz="4" w:space="0" w:color="auto"/>
            </w:tcBorders>
            <w:hideMark/>
          </w:tcPr>
          <w:p w:rsidR="00EE32D7" w:rsidRDefault="009770A7" w:rsidP="00673C2C">
            <w:pPr>
              <w:jc w:val="both"/>
            </w:pPr>
            <w:r>
              <w:t xml:space="preserve">Projekts būtiski neietekmēs Siguldas tiesas </w:t>
            </w:r>
            <w:r w:rsidR="00106FC1">
              <w:t xml:space="preserve">tiesnešus un </w:t>
            </w:r>
            <w:r>
              <w:t>darbiniekus, jo minētā</w:t>
            </w:r>
            <w:r w:rsidR="00997C04">
              <w:t>s</w:t>
            </w:r>
            <w:r>
              <w:t xml:space="preserve"> reformas ietvaros nav paredzēts tiesu cilvēkresursus fiziski pārcelt darbā citā tiesā. </w:t>
            </w:r>
            <w:r w:rsidR="00673C2C">
              <w:t>Savukārt Rīgas pilsētas Centra rajona tiesas tiesneši tiks pārcelti darbā citā tiesā, atbilstoši Tieslietu padomes noteiktajai kārtībai, kādā tiek sagatavots un izskatīts Tieslietu ministra sagatavotais priekšlikums par tiesneša pārcelšanu darbā citā tiesā sakarā ar tiesas darbības izbeigšanu. Lemjot jautājumu par tiesnešu pārcelšanu darbā citā tiesā, tiks ņemta vērā tiesnešu skaita palielināšanas nepieciešamība Rīgas tiesu apgabalā esošajās rajona (pilsētas) tiesās, kā arī tiesneša viedoklis un intereses, kas saistītas, piemēram, ar tiesneša dzīvesvietu. Centra rajona tiesas darbinieki tiks pārcelti, ievērojot vispārējos nosacījumus darbinieku pārcelšanai.</w:t>
            </w:r>
          </w:p>
        </w:tc>
      </w:tr>
    </w:tbl>
    <w:p w:rsidR="00EE32D7" w:rsidRDefault="00EE32D7" w:rsidP="00EE32D7">
      <w:pPr>
        <w:jc w:val="center"/>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2699"/>
        <w:gridCol w:w="5967"/>
      </w:tblGrid>
      <w:tr w:rsidR="00151A28" w:rsidTr="00151A28">
        <w:tc>
          <w:tcPr>
            <w:tcW w:w="9072" w:type="dxa"/>
            <w:gridSpan w:val="3"/>
            <w:tcBorders>
              <w:top w:val="single" w:sz="4" w:space="0" w:color="auto"/>
              <w:left w:val="single" w:sz="4" w:space="0" w:color="auto"/>
              <w:bottom w:val="single" w:sz="4" w:space="0" w:color="auto"/>
              <w:right w:val="single" w:sz="4" w:space="0" w:color="auto"/>
            </w:tcBorders>
          </w:tcPr>
          <w:p w:rsidR="00151A28" w:rsidRPr="00151A28" w:rsidRDefault="00151A28" w:rsidP="00151A28">
            <w:pPr>
              <w:jc w:val="center"/>
              <w:rPr>
                <w:b/>
              </w:rPr>
            </w:pPr>
            <w:r w:rsidRPr="002E651D">
              <w:rPr>
                <w:b/>
              </w:rPr>
              <w:t>IV. Tiesību akta projekta ietekme uz spēkā esošo tiesību normu sistēmu</w:t>
            </w:r>
          </w:p>
        </w:tc>
      </w:tr>
      <w:tr w:rsidR="002E651D" w:rsidTr="00151A28">
        <w:tc>
          <w:tcPr>
            <w:tcW w:w="406" w:type="dxa"/>
            <w:tcBorders>
              <w:top w:val="single" w:sz="4" w:space="0" w:color="auto"/>
              <w:left w:val="single" w:sz="4" w:space="0" w:color="auto"/>
              <w:bottom w:val="single" w:sz="4" w:space="0" w:color="auto"/>
              <w:right w:val="single" w:sz="4" w:space="0" w:color="auto"/>
            </w:tcBorders>
            <w:hideMark/>
          </w:tcPr>
          <w:p w:rsidR="002E651D" w:rsidRDefault="002E651D" w:rsidP="006B1523">
            <w:pPr>
              <w:pStyle w:val="naiskr"/>
              <w:tabs>
                <w:tab w:val="left" w:pos="2628"/>
              </w:tabs>
              <w:spacing w:before="0" w:after="120"/>
              <w:jc w:val="both"/>
              <w:rPr>
                <w:iCs/>
              </w:rPr>
            </w:pPr>
            <w:r>
              <w:rPr>
                <w:iCs/>
              </w:rPr>
              <w:t>1.</w:t>
            </w:r>
          </w:p>
        </w:tc>
        <w:tc>
          <w:tcPr>
            <w:tcW w:w="2699" w:type="dxa"/>
            <w:tcBorders>
              <w:top w:val="single" w:sz="4" w:space="0" w:color="auto"/>
              <w:left w:val="single" w:sz="4" w:space="0" w:color="auto"/>
              <w:bottom w:val="single" w:sz="4" w:space="0" w:color="auto"/>
              <w:right w:val="single" w:sz="4" w:space="0" w:color="auto"/>
            </w:tcBorders>
          </w:tcPr>
          <w:p w:rsidR="002E651D" w:rsidRPr="00A61370" w:rsidRDefault="002E651D" w:rsidP="006B1523">
            <w:pPr>
              <w:rPr>
                <w:lang w:eastAsia="lv-LV"/>
              </w:rPr>
            </w:pPr>
            <w:r w:rsidRPr="00A61370">
              <w:rPr>
                <w:lang w:eastAsia="lv-LV"/>
              </w:rPr>
              <w:t>Nepieciešamie saistītie tiesību aktu projekti</w:t>
            </w:r>
          </w:p>
        </w:tc>
        <w:tc>
          <w:tcPr>
            <w:tcW w:w="5967" w:type="dxa"/>
            <w:tcBorders>
              <w:top w:val="single" w:sz="4" w:space="0" w:color="auto"/>
              <w:left w:val="single" w:sz="4" w:space="0" w:color="auto"/>
              <w:bottom w:val="single" w:sz="4" w:space="0" w:color="auto"/>
              <w:right w:val="single" w:sz="4" w:space="0" w:color="auto"/>
            </w:tcBorders>
          </w:tcPr>
          <w:p w:rsidR="002E651D" w:rsidRPr="002E651D" w:rsidRDefault="00657231" w:rsidP="00657231">
            <w:pPr>
              <w:jc w:val="both"/>
              <w:rPr>
                <w:iCs/>
              </w:rPr>
            </w:pPr>
            <w:r>
              <w:t>Lai novērstu iespēju, ka tiesu apvienošanas rezultātā tiktu apdraudēta Rīgas pilsētas Centra rajona prokuratūras turpmāka darbība, nepieciešams veikt grozījumus Prokuratūras likumā, nosakot, ka rajonu (pilsētu) prokuratūras nodibina un to darbības teritorijas nosaka ģenerālprokurors. Deleģējuma precizēšana ļaus saglabāt Rīgas pilsētas Centra rajona prokuratūru, kā arī gadījumā, ja tiesu reorganizācija turpināsies, nebūs nepieciešams reorganizēt arī citu administratīvo teritoriju prokuratūras struktūrvienības</w:t>
            </w:r>
            <w:r w:rsidR="00AF0D21">
              <w:rPr>
                <w:iCs/>
              </w:rPr>
              <w:t>.</w:t>
            </w:r>
          </w:p>
        </w:tc>
      </w:tr>
      <w:tr w:rsidR="002E651D" w:rsidTr="00151A28">
        <w:tc>
          <w:tcPr>
            <w:tcW w:w="406" w:type="dxa"/>
            <w:tcBorders>
              <w:top w:val="single" w:sz="4" w:space="0" w:color="auto"/>
              <w:left w:val="single" w:sz="4" w:space="0" w:color="auto"/>
              <w:bottom w:val="single" w:sz="4" w:space="0" w:color="auto"/>
              <w:right w:val="single" w:sz="4" w:space="0" w:color="auto"/>
            </w:tcBorders>
            <w:hideMark/>
          </w:tcPr>
          <w:p w:rsidR="002E651D" w:rsidRDefault="002E651D" w:rsidP="00D340E0">
            <w:pPr>
              <w:pStyle w:val="naiskr"/>
              <w:tabs>
                <w:tab w:val="left" w:pos="2628"/>
              </w:tabs>
              <w:spacing w:before="0" w:after="0"/>
              <w:jc w:val="both"/>
              <w:rPr>
                <w:iCs/>
              </w:rPr>
            </w:pPr>
            <w:r>
              <w:rPr>
                <w:iCs/>
              </w:rPr>
              <w:t>2.</w:t>
            </w:r>
          </w:p>
        </w:tc>
        <w:tc>
          <w:tcPr>
            <w:tcW w:w="2699" w:type="dxa"/>
            <w:tcBorders>
              <w:top w:val="single" w:sz="4" w:space="0" w:color="auto"/>
              <w:left w:val="single" w:sz="4" w:space="0" w:color="auto"/>
              <w:bottom w:val="single" w:sz="4" w:space="0" w:color="auto"/>
              <w:right w:val="single" w:sz="4" w:space="0" w:color="auto"/>
            </w:tcBorders>
          </w:tcPr>
          <w:p w:rsidR="002E651D" w:rsidRPr="00A61370" w:rsidRDefault="002E651D" w:rsidP="006B1523">
            <w:pPr>
              <w:rPr>
                <w:lang w:eastAsia="lv-LV"/>
              </w:rPr>
            </w:pPr>
            <w:r w:rsidRPr="00A61370">
              <w:rPr>
                <w:lang w:eastAsia="lv-LV"/>
              </w:rPr>
              <w:t>Atbildīgā institūcija</w:t>
            </w:r>
          </w:p>
        </w:tc>
        <w:tc>
          <w:tcPr>
            <w:tcW w:w="5967" w:type="dxa"/>
            <w:tcBorders>
              <w:top w:val="single" w:sz="4" w:space="0" w:color="auto"/>
              <w:left w:val="single" w:sz="4" w:space="0" w:color="auto"/>
              <w:bottom w:val="single" w:sz="4" w:space="0" w:color="auto"/>
              <w:right w:val="single" w:sz="4" w:space="0" w:color="auto"/>
            </w:tcBorders>
          </w:tcPr>
          <w:p w:rsidR="002E651D" w:rsidRDefault="00AF0D21" w:rsidP="00151A28">
            <w:pPr>
              <w:pStyle w:val="naiskr"/>
              <w:tabs>
                <w:tab w:val="left" w:pos="2628"/>
              </w:tabs>
              <w:spacing w:before="0" w:after="0"/>
              <w:ind w:right="113"/>
              <w:jc w:val="both"/>
            </w:pPr>
            <w:r>
              <w:t>Ģenerālprokuratūra.</w:t>
            </w:r>
          </w:p>
        </w:tc>
      </w:tr>
      <w:tr w:rsidR="002E651D" w:rsidTr="00151A28">
        <w:tc>
          <w:tcPr>
            <w:tcW w:w="406" w:type="dxa"/>
            <w:tcBorders>
              <w:top w:val="single" w:sz="4" w:space="0" w:color="auto"/>
              <w:left w:val="single" w:sz="4" w:space="0" w:color="auto"/>
              <w:bottom w:val="single" w:sz="4" w:space="0" w:color="auto"/>
              <w:right w:val="single" w:sz="4" w:space="0" w:color="auto"/>
            </w:tcBorders>
            <w:hideMark/>
          </w:tcPr>
          <w:p w:rsidR="002E651D" w:rsidRDefault="002E651D" w:rsidP="006B1523">
            <w:pPr>
              <w:pStyle w:val="naiskr"/>
              <w:tabs>
                <w:tab w:val="left" w:pos="2628"/>
              </w:tabs>
              <w:spacing w:before="0" w:after="120"/>
              <w:jc w:val="both"/>
              <w:rPr>
                <w:iCs/>
              </w:rPr>
            </w:pPr>
            <w:r>
              <w:rPr>
                <w:iCs/>
              </w:rPr>
              <w:t>3.</w:t>
            </w:r>
          </w:p>
        </w:tc>
        <w:tc>
          <w:tcPr>
            <w:tcW w:w="2699" w:type="dxa"/>
            <w:tcBorders>
              <w:top w:val="single" w:sz="4" w:space="0" w:color="auto"/>
              <w:left w:val="single" w:sz="4" w:space="0" w:color="auto"/>
              <w:bottom w:val="single" w:sz="4" w:space="0" w:color="auto"/>
              <w:right w:val="single" w:sz="4" w:space="0" w:color="auto"/>
            </w:tcBorders>
          </w:tcPr>
          <w:p w:rsidR="002E651D" w:rsidRPr="00A61370" w:rsidRDefault="002E651D" w:rsidP="006B1523">
            <w:pPr>
              <w:rPr>
                <w:lang w:eastAsia="lv-LV"/>
              </w:rPr>
            </w:pPr>
            <w:r w:rsidRPr="00A61370">
              <w:rPr>
                <w:lang w:eastAsia="lv-LV"/>
              </w:rPr>
              <w:t>Cita informācija</w:t>
            </w:r>
          </w:p>
        </w:tc>
        <w:tc>
          <w:tcPr>
            <w:tcW w:w="5967" w:type="dxa"/>
            <w:tcBorders>
              <w:top w:val="single" w:sz="4" w:space="0" w:color="auto"/>
              <w:left w:val="single" w:sz="4" w:space="0" w:color="auto"/>
              <w:bottom w:val="single" w:sz="4" w:space="0" w:color="auto"/>
              <w:right w:val="single" w:sz="4" w:space="0" w:color="auto"/>
            </w:tcBorders>
          </w:tcPr>
          <w:p w:rsidR="002E651D" w:rsidRPr="00692568" w:rsidRDefault="000605B0" w:rsidP="000605B0">
            <w:pPr>
              <w:spacing w:before="100" w:beforeAutospacing="1" w:after="100" w:afterAutospacing="1"/>
              <w:rPr>
                <w:iCs/>
              </w:rPr>
            </w:pPr>
            <w:r w:rsidRPr="000605B0">
              <w:rPr>
                <w:iCs/>
              </w:rPr>
              <w:t xml:space="preserve">Likumprojekts </w:t>
            </w:r>
            <w:r>
              <w:rPr>
                <w:iCs/>
              </w:rPr>
              <w:t>„</w:t>
            </w:r>
            <w:r w:rsidRPr="000605B0">
              <w:rPr>
                <w:iCs/>
              </w:rPr>
              <w:t>Grozījumi Prokuratūras likumā</w:t>
            </w:r>
            <w:r>
              <w:rPr>
                <w:iCs/>
              </w:rPr>
              <w:t>” 11. decembrī Saeimā pieņemts pirmajā lasījumā</w:t>
            </w:r>
            <w:r w:rsidRPr="000605B0">
              <w:rPr>
                <w:iCs/>
              </w:rPr>
              <w:t xml:space="preserve"> (75/Lp12)</w:t>
            </w:r>
            <w:r w:rsidR="00692568">
              <w:rPr>
                <w:iCs/>
              </w:rPr>
              <w:t>.</w:t>
            </w:r>
          </w:p>
        </w:tc>
      </w:tr>
    </w:tbl>
    <w:p w:rsidR="00A37879" w:rsidRDefault="00A37879" w:rsidP="00EE32D7">
      <w:pPr>
        <w:pStyle w:val="naisnod"/>
        <w:spacing w:before="0" w:after="12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
        <w:gridCol w:w="2706"/>
        <w:gridCol w:w="5959"/>
      </w:tblGrid>
      <w:tr w:rsidR="00151A28" w:rsidTr="00D340E0">
        <w:trPr>
          <w:trHeight w:val="167"/>
        </w:trPr>
        <w:tc>
          <w:tcPr>
            <w:tcW w:w="9029" w:type="dxa"/>
            <w:gridSpan w:val="3"/>
            <w:tcBorders>
              <w:top w:val="single" w:sz="4" w:space="0" w:color="auto"/>
              <w:left w:val="single" w:sz="4" w:space="0" w:color="auto"/>
              <w:bottom w:val="single" w:sz="4" w:space="0" w:color="auto"/>
              <w:right w:val="single" w:sz="4" w:space="0" w:color="auto"/>
            </w:tcBorders>
          </w:tcPr>
          <w:p w:rsidR="00151A28" w:rsidRPr="00151A28" w:rsidRDefault="00151A28" w:rsidP="00151A28">
            <w:pPr>
              <w:pStyle w:val="naiskr"/>
              <w:tabs>
                <w:tab w:val="left" w:pos="2628"/>
              </w:tabs>
              <w:spacing w:before="0" w:after="0"/>
              <w:jc w:val="center"/>
              <w:rPr>
                <w:b/>
              </w:rPr>
            </w:pPr>
            <w:r w:rsidRPr="00151A28">
              <w:rPr>
                <w:b/>
              </w:rPr>
              <w:t>VI. Sabiedrības līdzdalība un komunikācijas aktivitātes</w:t>
            </w:r>
          </w:p>
        </w:tc>
      </w:tr>
      <w:tr w:rsidR="00EE32D7" w:rsidTr="00D340E0">
        <w:trPr>
          <w:trHeight w:val="1916"/>
        </w:trPr>
        <w:tc>
          <w:tcPr>
            <w:tcW w:w="405" w:type="dxa"/>
            <w:tcBorders>
              <w:top w:val="single" w:sz="4" w:space="0" w:color="auto"/>
              <w:left w:val="single" w:sz="4" w:space="0" w:color="auto"/>
              <w:bottom w:val="single" w:sz="4" w:space="0" w:color="auto"/>
              <w:right w:val="single" w:sz="4" w:space="0" w:color="auto"/>
            </w:tcBorders>
            <w:hideMark/>
          </w:tcPr>
          <w:p w:rsidR="00EE32D7" w:rsidRDefault="00EE32D7">
            <w:pPr>
              <w:pStyle w:val="naiskr"/>
              <w:tabs>
                <w:tab w:val="left" w:pos="2628"/>
              </w:tabs>
              <w:spacing w:before="0" w:after="120"/>
              <w:jc w:val="both"/>
              <w:rPr>
                <w:iCs/>
              </w:rPr>
            </w:pPr>
            <w:r>
              <w:rPr>
                <w:iCs/>
              </w:rPr>
              <w:t>1.</w:t>
            </w:r>
          </w:p>
        </w:tc>
        <w:tc>
          <w:tcPr>
            <w:tcW w:w="2693" w:type="dxa"/>
            <w:tcBorders>
              <w:top w:val="single" w:sz="4" w:space="0" w:color="auto"/>
              <w:left w:val="single" w:sz="4" w:space="0" w:color="auto"/>
              <w:bottom w:val="single" w:sz="4" w:space="0" w:color="auto"/>
              <w:right w:val="single" w:sz="4" w:space="0" w:color="auto"/>
            </w:tcBorders>
            <w:hideMark/>
          </w:tcPr>
          <w:p w:rsidR="00EE32D7" w:rsidRDefault="00EE32D7">
            <w:pPr>
              <w:pStyle w:val="naiskr"/>
              <w:tabs>
                <w:tab w:val="left" w:pos="2628"/>
              </w:tabs>
              <w:spacing w:before="0" w:after="120"/>
              <w:jc w:val="both"/>
              <w:rPr>
                <w:iCs/>
              </w:rPr>
            </w:pPr>
            <w:r>
              <w:t>Plānotās sabiedrības līdzdalības un komunikācijas aktivitātes saistībā ar projektu</w:t>
            </w:r>
          </w:p>
        </w:tc>
        <w:tc>
          <w:tcPr>
            <w:tcW w:w="5931" w:type="dxa"/>
            <w:tcBorders>
              <w:top w:val="single" w:sz="4" w:space="0" w:color="auto"/>
              <w:left w:val="single" w:sz="4" w:space="0" w:color="auto"/>
              <w:bottom w:val="single" w:sz="4" w:space="0" w:color="auto"/>
              <w:right w:val="single" w:sz="4" w:space="0" w:color="auto"/>
            </w:tcBorders>
            <w:hideMark/>
          </w:tcPr>
          <w:p w:rsidR="00EE32D7" w:rsidRDefault="00EE32D7" w:rsidP="00657231">
            <w:pPr>
              <w:pStyle w:val="naiskr"/>
              <w:tabs>
                <w:tab w:val="left" w:pos="2628"/>
              </w:tabs>
              <w:spacing w:before="0" w:after="0"/>
              <w:jc w:val="both"/>
            </w:pPr>
            <w:r>
              <w:t xml:space="preserve">Par Projektu sabiedrība </w:t>
            </w:r>
            <w:r w:rsidR="007B4020">
              <w:t xml:space="preserve">vairākkārt </w:t>
            </w:r>
            <w:r>
              <w:t>tika informēta ar mediju starpniecību</w:t>
            </w:r>
            <w:r w:rsidR="00A404A9">
              <w:rPr>
                <w:rStyle w:val="Vresatsauce"/>
              </w:rPr>
              <w:footnoteReference w:id="1"/>
            </w:r>
            <w:r>
              <w:t>. Tāpat par Projektu sabiedrība tika informēta, kad Saeimā</w:t>
            </w:r>
            <w:r w:rsidR="0020441A">
              <w:t xml:space="preserve"> </w:t>
            </w:r>
            <w:r>
              <w:t>tika atbalstīti grozījumi likumā „Par tiesu varu”, kas paredzēja, ka tiks reorganizēta Siguldas un Rīgas pilsētas Centra rajona tiesa</w:t>
            </w:r>
            <w:r w:rsidR="00657231">
              <w:t>,</w:t>
            </w:r>
            <w:r>
              <w:t xml:space="preserve"> attiecīgi tās pievienojot Rīgas rajona tiesai un Rīgas pilsētas Vidzemes priekšpilsētas tiesai.  </w:t>
            </w:r>
          </w:p>
        </w:tc>
      </w:tr>
      <w:tr w:rsidR="00EE32D7" w:rsidTr="00D340E0">
        <w:trPr>
          <w:trHeight w:val="464"/>
        </w:trPr>
        <w:tc>
          <w:tcPr>
            <w:tcW w:w="405" w:type="dxa"/>
            <w:tcBorders>
              <w:top w:val="single" w:sz="4" w:space="0" w:color="auto"/>
              <w:left w:val="single" w:sz="4" w:space="0" w:color="auto"/>
              <w:bottom w:val="single" w:sz="4" w:space="0" w:color="auto"/>
              <w:right w:val="single" w:sz="4" w:space="0" w:color="auto"/>
            </w:tcBorders>
            <w:hideMark/>
          </w:tcPr>
          <w:p w:rsidR="00EE32D7" w:rsidRDefault="00EE32D7">
            <w:pPr>
              <w:pStyle w:val="naiskr"/>
              <w:tabs>
                <w:tab w:val="left" w:pos="2628"/>
              </w:tabs>
              <w:spacing w:before="0" w:after="120"/>
              <w:jc w:val="both"/>
              <w:rPr>
                <w:iCs/>
              </w:rPr>
            </w:pPr>
            <w:r>
              <w:rPr>
                <w:iCs/>
              </w:rPr>
              <w:t>2.</w:t>
            </w:r>
          </w:p>
        </w:tc>
        <w:tc>
          <w:tcPr>
            <w:tcW w:w="2693" w:type="dxa"/>
            <w:tcBorders>
              <w:top w:val="single" w:sz="4" w:space="0" w:color="auto"/>
              <w:left w:val="single" w:sz="4" w:space="0" w:color="auto"/>
              <w:bottom w:val="single" w:sz="4" w:space="0" w:color="auto"/>
              <w:right w:val="single" w:sz="4" w:space="0" w:color="auto"/>
            </w:tcBorders>
            <w:hideMark/>
          </w:tcPr>
          <w:p w:rsidR="00EE32D7" w:rsidRDefault="00EE32D7" w:rsidP="00151A28">
            <w:pPr>
              <w:pStyle w:val="naiskr"/>
              <w:tabs>
                <w:tab w:val="left" w:pos="2628"/>
              </w:tabs>
              <w:spacing w:before="0" w:after="0"/>
              <w:jc w:val="both"/>
            </w:pPr>
            <w:r>
              <w:t>Sabiedrības līdzdalība projekta izstrādē</w:t>
            </w:r>
          </w:p>
        </w:tc>
        <w:tc>
          <w:tcPr>
            <w:tcW w:w="5931" w:type="dxa"/>
            <w:tcBorders>
              <w:top w:val="single" w:sz="4" w:space="0" w:color="auto"/>
              <w:left w:val="single" w:sz="4" w:space="0" w:color="auto"/>
              <w:bottom w:val="single" w:sz="4" w:space="0" w:color="auto"/>
              <w:right w:val="single" w:sz="4" w:space="0" w:color="auto"/>
            </w:tcBorders>
            <w:hideMark/>
          </w:tcPr>
          <w:p w:rsidR="00EE32D7" w:rsidRDefault="00EE32D7">
            <w:pPr>
              <w:pStyle w:val="naiskr"/>
              <w:tabs>
                <w:tab w:val="left" w:pos="2628"/>
              </w:tabs>
              <w:spacing w:before="0" w:after="120"/>
              <w:ind w:right="113"/>
              <w:jc w:val="both"/>
            </w:pPr>
            <w:r>
              <w:t>Projekts šo jomu neskar.</w:t>
            </w:r>
          </w:p>
        </w:tc>
      </w:tr>
      <w:tr w:rsidR="00EE32D7" w:rsidTr="00D340E0">
        <w:tc>
          <w:tcPr>
            <w:tcW w:w="405" w:type="dxa"/>
            <w:tcBorders>
              <w:top w:val="single" w:sz="4" w:space="0" w:color="auto"/>
              <w:left w:val="single" w:sz="4" w:space="0" w:color="auto"/>
              <w:bottom w:val="single" w:sz="4" w:space="0" w:color="auto"/>
              <w:right w:val="single" w:sz="4" w:space="0" w:color="auto"/>
            </w:tcBorders>
            <w:hideMark/>
          </w:tcPr>
          <w:p w:rsidR="00EE32D7" w:rsidRDefault="00EE32D7">
            <w:pPr>
              <w:pStyle w:val="naiskr"/>
              <w:tabs>
                <w:tab w:val="left" w:pos="2628"/>
              </w:tabs>
              <w:spacing w:before="0" w:after="120"/>
              <w:jc w:val="both"/>
              <w:rPr>
                <w:iCs/>
              </w:rPr>
            </w:pPr>
            <w:r>
              <w:rPr>
                <w:iCs/>
              </w:rPr>
              <w:t>3.</w:t>
            </w:r>
          </w:p>
        </w:tc>
        <w:tc>
          <w:tcPr>
            <w:tcW w:w="2693" w:type="dxa"/>
            <w:tcBorders>
              <w:top w:val="single" w:sz="4" w:space="0" w:color="auto"/>
              <w:left w:val="single" w:sz="4" w:space="0" w:color="auto"/>
              <w:bottom w:val="single" w:sz="4" w:space="0" w:color="auto"/>
              <w:right w:val="single" w:sz="4" w:space="0" w:color="auto"/>
            </w:tcBorders>
            <w:hideMark/>
          </w:tcPr>
          <w:p w:rsidR="00EE32D7" w:rsidRDefault="00EE32D7" w:rsidP="00151A28">
            <w:pPr>
              <w:pStyle w:val="naiskr"/>
              <w:tabs>
                <w:tab w:val="left" w:pos="2628"/>
              </w:tabs>
              <w:spacing w:before="0" w:after="0"/>
              <w:jc w:val="both"/>
            </w:pPr>
            <w:r>
              <w:t>Sabiedrības līdzdalības rezultāti</w:t>
            </w:r>
          </w:p>
        </w:tc>
        <w:tc>
          <w:tcPr>
            <w:tcW w:w="5931" w:type="dxa"/>
            <w:tcBorders>
              <w:top w:val="single" w:sz="4" w:space="0" w:color="auto"/>
              <w:left w:val="single" w:sz="4" w:space="0" w:color="auto"/>
              <w:bottom w:val="single" w:sz="4" w:space="0" w:color="auto"/>
              <w:right w:val="single" w:sz="4" w:space="0" w:color="auto"/>
            </w:tcBorders>
            <w:hideMark/>
          </w:tcPr>
          <w:p w:rsidR="00EE32D7" w:rsidRDefault="00EE32D7">
            <w:pPr>
              <w:pStyle w:val="naiskr"/>
              <w:tabs>
                <w:tab w:val="left" w:pos="2628"/>
              </w:tabs>
              <w:spacing w:before="0" w:after="120"/>
              <w:ind w:right="113"/>
              <w:jc w:val="both"/>
            </w:pPr>
            <w:r>
              <w:t>Projekts šo jomu neskar.</w:t>
            </w:r>
          </w:p>
        </w:tc>
      </w:tr>
      <w:tr w:rsidR="00EE32D7" w:rsidTr="00D340E0">
        <w:trPr>
          <w:trHeight w:val="183"/>
        </w:trPr>
        <w:tc>
          <w:tcPr>
            <w:tcW w:w="405" w:type="dxa"/>
            <w:tcBorders>
              <w:top w:val="single" w:sz="4" w:space="0" w:color="auto"/>
              <w:left w:val="single" w:sz="4" w:space="0" w:color="auto"/>
              <w:bottom w:val="single" w:sz="4" w:space="0" w:color="auto"/>
              <w:right w:val="single" w:sz="4" w:space="0" w:color="auto"/>
            </w:tcBorders>
            <w:hideMark/>
          </w:tcPr>
          <w:p w:rsidR="00EE32D7" w:rsidRDefault="00EE32D7" w:rsidP="00151A28">
            <w:pPr>
              <w:pStyle w:val="naiskr"/>
              <w:tabs>
                <w:tab w:val="left" w:pos="2628"/>
              </w:tabs>
              <w:spacing w:before="0" w:after="0"/>
              <w:jc w:val="both"/>
              <w:rPr>
                <w:iCs/>
              </w:rPr>
            </w:pPr>
            <w:r>
              <w:rPr>
                <w:iCs/>
              </w:rPr>
              <w:t>4.</w:t>
            </w:r>
          </w:p>
        </w:tc>
        <w:tc>
          <w:tcPr>
            <w:tcW w:w="2693" w:type="dxa"/>
            <w:tcBorders>
              <w:top w:val="single" w:sz="4" w:space="0" w:color="auto"/>
              <w:left w:val="single" w:sz="4" w:space="0" w:color="auto"/>
              <w:bottom w:val="single" w:sz="4" w:space="0" w:color="auto"/>
              <w:right w:val="single" w:sz="4" w:space="0" w:color="auto"/>
            </w:tcBorders>
            <w:hideMark/>
          </w:tcPr>
          <w:p w:rsidR="00EE32D7" w:rsidRDefault="00EE32D7" w:rsidP="00151A28">
            <w:pPr>
              <w:pStyle w:val="naiskr"/>
              <w:tabs>
                <w:tab w:val="left" w:pos="2628"/>
              </w:tabs>
              <w:spacing w:before="0" w:after="0"/>
              <w:jc w:val="both"/>
            </w:pPr>
            <w:r>
              <w:t>Cita informācija</w:t>
            </w:r>
          </w:p>
        </w:tc>
        <w:tc>
          <w:tcPr>
            <w:tcW w:w="5931" w:type="dxa"/>
            <w:tcBorders>
              <w:top w:val="single" w:sz="4" w:space="0" w:color="auto"/>
              <w:left w:val="single" w:sz="4" w:space="0" w:color="auto"/>
              <w:bottom w:val="single" w:sz="4" w:space="0" w:color="auto"/>
              <w:right w:val="single" w:sz="4" w:space="0" w:color="auto"/>
            </w:tcBorders>
            <w:hideMark/>
          </w:tcPr>
          <w:p w:rsidR="00EE32D7" w:rsidRDefault="00EE32D7" w:rsidP="00151A28">
            <w:pPr>
              <w:pStyle w:val="naiskr"/>
              <w:tabs>
                <w:tab w:val="left" w:pos="2628"/>
              </w:tabs>
              <w:spacing w:before="0" w:after="0"/>
              <w:jc w:val="both"/>
            </w:pPr>
            <w:r>
              <w:t>Nav.</w:t>
            </w:r>
          </w:p>
        </w:tc>
      </w:tr>
    </w:tbl>
    <w:p w:rsidR="00EE32D7" w:rsidRDefault="00EE32D7" w:rsidP="00EE32D7">
      <w:pPr>
        <w:jc w:val="center"/>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693"/>
        <w:gridCol w:w="5953"/>
      </w:tblGrid>
      <w:tr w:rsidR="00151A28" w:rsidTr="00D340E0">
        <w:trPr>
          <w:trHeight w:val="299"/>
        </w:trPr>
        <w:tc>
          <w:tcPr>
            <w:tcW w:w="9072" w:type="dxa"/>
            <w:gridSpan w:val="3"/>
            <w:tcBorders>
              <w:top w:val="single" w:sz="4" w:space="0" w:color="auto"/>
              <w:left w:val="single" w:sz="4" w:space="0" w:color="auto"/>
              <w:bottom w:val="single" w:sz="4" w:space="0" w:color="auto"/>
              <w:right w:val="single" w:sz="4" w:space="0" w:color="auto"/>
            </w:tcBorders>
          </w:tcPr>
          <w:p w:rsidR="00151A28" w:rsidRDefault="00151A28" w:rsidP="00151A28">
            <w:pPr>
              <w:spacing w:before="100" w:beforeAutospacing="1" w:after="100" w:afterAutospacing="1"/>
              <w:jc w:val="center"/>
            </w:pPr>
            <w:r>
              <w:rPr>
                <w:b/>
              </w:rPr>
              <w:t>VII. Tiesību akta projekta izpildes nodrošināšana un tās ietekme uz institūcijām</w:t>
            </w:r>
          </w:p>
        </w:tc>
      </w:tr>
      <w:tr w:rsidR="00EE32D7" w:rsidTr="00D340E0">
        <w:trPr>
          <w:trHeight w:val="502"/>
        </w:trPr>
        <w:tc>
          <w:tcPr>
            <w:tcW w:w="426" w:type="dxa"/>
            <w:tcBorders>
              <w:top w:val="single" w:sz="4" w:space="0" w:color="auto"/>
              <w:left w:val="single" w:sz="4" w:space="0" w:color="auto"/>
              <w:bottom w:val="single" w:sz="4" w:space="0" w:color="auto"/>
              <w:right w:val="single" w:sz="4" w:space="0" w:color="auto"/>
            </w:tcBorders>
            <w:hideMark/>
          </w:tcPr>
          <w:p w:rsidR="00EE32D7" w:rsidRDefault="00EE32D7">
            <w:r>
              <w:t>1.</w:t>
            </w:r>
          </w:p>
        </w:tc>
        <w:tc>
          <w:tcPr>
            <w:tcW w:w="2693" w:type="dxa"/>
            <w:tcBorders>
              <w:top w:val="single" w:sz="4" w:space="0" w:color="auto"/>
              <w:left w:val="single" w:sz="4" w:space="0" w:color="auto"/>
              <w:bottom w:val="single" w:sz="4" w:space="0" w:color="auto"/>
              <w:right w:val="single" w:sz="4" w:space="0" w:color="auto"/>
            </w:tcBorders>
            <w:hideMark/>
          </w:tcPr>
          <w:p w:rsidR="00EE32D7" w:rsidRDefault="00EE32D7">
            <w:pPr>
              <w:spacing w:before="100" w:beforeAutospacing="1" w:after="100" w:afterAutospacing="1"/>
            </w:pPr>
            <w:r>
              <w:t>Projekta izpildē iesaistītās institūcijas</w:t>
            </w:r>
          </w:p>
        </w:tc>
        <w:tc>
          <w:tcPr>
            <w:tcW w:w="5953" w:type="dxa"/>
            <w:tcBorders>
              <w:top w:val="single" w:sz="4" w:space="0" w:color="auto"/>
              <w:left w:val="single" w:sz="4" w:space="0" w:color="auto"/>
              <w:bottom w:val="single" w:sz="4" w:space="0" w:color="auto"/>
              <w:right w:val="single" w:sz="4" w:space="0" w:color="auto"/>
            </w:tcBorders>
            <w:hideMark/>
          </w:tcPr>
          <w:p w:rsidR="00EE32D7" w:rsidRDefault="009220F3">
            <w:pPr>
              <w:spacing w:before="100" w:beforeAutospacing="1" w:after="100" w:afterAutospacing="1"/>
            </w:pPr>
            <w:r>
              <w:t xml:space="preserve">Tiesu administrācija, Rīgas pilsētas Vidzemes priekšpilsētas tiesa un Rīgas rajona tiesa. </w:t>
            </w:r>
          </w:p>
        </w:tc>
      </w:tr>
      <w:tr w:rsidR="00EE32D7" w:rsidTr="00D340E0">
        <w:trPr>
          <w:trHeight w:val="557"/>
        </w:trPr>
        <w:tc>
          <w:tcPr>
            <w:tcW w:w="426" w:type="dxa"/>
            <w:tcBorders>
              <w:top w:val="single" w:sz="4" w:space="0" w:color="auto"/>
              <w:left w:val="single" w:sz="4" w:space="0" w:color="auto"/>
              <w:bottom w:val="single" w:sz="4" w:space="0" w:color="auto"/>
              <w:right w:val="single" w:sz="4" w:space="0" w:color="auto"/>
            </w:tcBorders>
            <w:hideMark/>
          </w:tcPr>
          <w:p w:rsidR="00EE32D7" w:rsidRDefault="00EE32D7">
            <w:r>
              <w:t>2.</w:t>
            </w:r>
          </w:p>
        </w:tc>
        <w:tc>
          <w:tcPr>
            <w:tcW w:w="2693" w:type="dxa"/>
            <w:tcBorders>
              <w:top w:val="single" w:sz="4" w:space="0" w:color="auto"/>
              <w:left w:val="single" w:sz="4" w:space="0" w:color="auto"/>
              <w:bottom w:val="single" w:sz="4" w:space="0" w:color="auto"/>
              <w:right w:val="single" w:sz="4" w:space="0" w:color="auto"/>
            </w:tcBorders>
            <w:hideMark/>
          </w:tcPr>
          <w:p w:rsidR="00EE32D7" w:rsidRDefault="00EE32D7">
            <w:pPr>
              <w:spacing w:before="100" w:beforeAutospacing="1" w:after="100" w:afterAutospacing="1"/>
            </w:pPr>
            <w:r>
              <w:t>Projekta izpildes ietekme uz pārvaldes funkcijām un institucionālo struktūru. Jaunu institūciju izveide, esošu institūciju likvidācija vai reorganizācija, to ietekme uz institūcijas cilvēkresursiem</w:t>
            </w:r>
          </w:p>
        </w:tc>
        <w:tc>
          <w:tcPr>
            <w:tcW w:w="5953" w:type="dxa"/>
            <w:tcBorders>
              <w:top w:val="single" w:sz="4" w:space="0" w:color="auto"/>
              <w:left w:val="single" w:sz="4" w:space="0" w:color="auto"/>
              <w:bottom w:val="single" w:sz="4" w:space="0" w:color="auto"/>
              <w:right w:val="single" w:sz="4" w:space="0" w:color="auto"/>
            </w:tcBorders>
            <w:hideMark/>
          </w:tcPr>
          <w:p w:rsidR="00EE32D7" w:rsidRDefault="00657231" w:rsidP="00151A28">
            <w:pPr>
              <w:jc w:val="both"/>
            </w:pPr>
            <w:r>
              <w:t xml:space="preserve">Projekts var ietekmēt Latvijas Republikas </w:t>
            </w:r>
            <w:r w:rsidR="00151A28">
              <w:t>P</w:t>
            </w:r>
            <w:r>
              <w:t>rokuratūras darbību (sk. informāciju IV sadaļā).</w:t>
            </w:r>
          </w:p>
        </w:tc>
      </w:tr>
      <w:tr w:rsidR="00EE32D7" w:rsidTr="00D340E0">
        <w:trPr>
          <w:trHeight w:val="219"/>
        </w:trPr>
        <w:tc>
          <w:tcPr>
            <w:tcW w:w="426" w:type="dxa"/>
            <w:tcBorders>
              <w:top w:val="single" w:sz="4" w:space="0" w:color="auto"/>
              <w:left w:val="single" w:sz="4" w:space="0" w:color="auto"/>
              <w:bottom w:val="single" w:sz="4" w:space="0" w:color="auto"/>
              <w:right w:val="single" w:sz="4" w:space="0" w:color="auto"/>
            </w:tcBorders>
            <w:hideMark/>
          </w:tcPr>
          <w:p w:rsidR="00EE32D7" w:rsidRDefault="00EE32D7">
            <w:r>
              <w:t>3.</w:t>
            </w:r>
          </w:p>
        </w:tc>
        <w:tc>
          <w:tcPr>
            <w:tcW w:w="2693" w:type="dxa"/>
            <w:tcBorders>
              <w:top w:val="single" w:sz="4" w:space="0" w:color="auto"/>
              <w:left w:val="single" w:sz="4" w:space="0" w:color="auto"/>
              <w:bottom w:val="single" w:sz="4" w:space="0" w:color="auto"/>
              <w:right w:val="single" w:sz="4" w:space="0" w:color="auto"/>
            </w:tcBorders>
            <w:hideMark/>
          </w:tcPr>
          <w:p w:rsidR="00EE32D7" w:rsidRDefault="00EE32D7">
            <w:pPr>
              <w:spacing w:before="100" w:beforeAutospacing="1" w:after="100" w:afterAutospacing="1"/>
            </w:pPr>
            <w:r>
              <w:t>Cita informācija</w:t>
            </w:r>
          </w:p>
        </w:tc>
        <w:tc>
          <w:tcPr>
            <w:tcW w:w="5953" w:type="dxa"/>
            <w:tcBorders>
              <w:top w:val="single" w:sz="4" w:space="0" w:color="auto"/>
              <w:left w:val="single" w:sz="4" w:space="0" w:color="auto"/>
              <w:bottom w:val="single" w:sz="4" w:space="0" w:color="auto"/>
              <w:right w:val="single" w:sz="4" w:space="0" w:color="auto"/>
            </w:tcBorders>
            <w:hideMark/>
          </w:tcPr>
          <w:p w:rsidR="00EE32D7" w:rsidRDefault="00EE32D7">
            <w:pPr>
              <w:spacing w:before="100" w:beforeAutospacing="1" w:after="100" w:afterAutospacing="1"/>
            </w:pPr>
            <w:r>
              <w:t>Nav.</w:t>
            </w:r>
          </w:p>
        </w:tc>
      </w:tr>
    </w:tbl>
    <w:p w:rsidR="00EE32D7" w:rsidRDefault="00EE32D7" w:rsidP="00EE32D7">
      <w:pPr>
        <w:jc w:val="center"/>
      </w:pPr>
    </w:p>
    <w:p w:rsidR="00EE32D7" w:rsidRDefault="00EE32D7" w:rsidP="00EE32D7">
      <w:pPr>
        <w:ind w:firstLine="709"/>
      </w:pPr>
      <w:r>
        <w:t>Anotācijas III</w:t>
      </w:r>
      <w:r w:rsidR="0076601C">
        <w:t xml:space="preserve"> un</w:t>
      </w:r>
      <w:r>
        <w:t xml:space="preserve"> V sadaļa – projekts šīs jomas neskar.</w:t>
      </w:r>
    </w:p>
    <w:p w:rsidR="00EE32D7" w:rsidRDefault="00EE32D7" w:rsidP="00EE32D7"/>
    <w:p w:rsidR="00EE32D7" w:rsidRDefault="00EE32D7" w:rsidP="00EE32D7"/>
    <w:p w:rsidR="00EE32D7" w:rsidRDefault="00EE32D7" w:rsidP="00EE32D7">
      <w:pPr>
        <w:tabs>
          <w:tab w:val="left" w:pos="7371"/>
        </w:tabs>
      </w:pPr>
      <w:r>
        <w:t>Tieslietu minist</w:t>
      </w:r>
      <w:r w:rsidR="000605B0">
        <w:t>rs</w:t>
      </w:r>
      <w:r>
        <w:tab/>
      </w:r>
      <w:r w:rsidR="000605B0">
        <w:t>Dz.Rasnačs</w:t>
      </w:r>
    </w:p>
    <w:p w:rsidR="00EE32D7" w:rsidRDefault="00EE32D7" w:rsidP="00EE32D7"/>
    <w:p w:rsidR="00EE32D7" w:rsidRDefault="00EE32D7" w:rsidP="00EE32D7"/>
    <w:p w:rsidR="00EE32D7" w:rsidRPr="001F6DAE" w:rsidRDefault="00A64118" w:rsidP="00EE32D7">
      <w:pPr>
        <w:rPr>
          <w:sz w:val="20"/>
          <w:szCs w:val="20"/>
        </w:rPr>
      </w:pPr>
      <w:r>
        <w:rPr>
          <w:sz w:val="20"/>
          <w:szCs w:val="20"/>
        </w:rPr>
        <w:t>15.12</w:t>
      </w:r>
      <w:r w:rsidR="00EE32D7" w:rsidRPr="001F6DAE">
        <w:rPr>
          <w:sz w:val="20"/>
          <w:szCs w:val="20"/>
        </w:rPr>
        <w:t xml:space="preserve">.2014. </w:t>
      </w:r>
      <w:r>
        <w:rPr>
          <w:sz w:val="20"/>
          <w:szCs w:val="20"/>
        </w:rPr>
        <w:t>11:</w:t>
      </w:r>
      <w:r w:rsidR="002F6FB2">
        <w:rPr>
          <w:sz w:val="20"/>
          <w:szCs w:val="20"/>
        </w:rPr>
        <w:t>22</w:t>
      </w:r>
    </w:p>
    <w:p w:rsidR="00EE32D7" w:rsidRPr="001F6DAE" w:rsidRDefault="00106FC1" w:rsidP="00EE32D7">
      <w:pPr>
        <w:rPr>
          <w:sz w:val="20"/>
          <w:szCs w:val="20"/>
        </w:rPr>
      </w:pPr>
      <w:r>
        <w:rPr>
          <w:sz w:val="20"/>
          <w:szCs w:val="20"/>
        </w:rPr>
        <w:t>110</w:t>
      </w:r>
      <w:r w:rsidR="000605B0">
        <w:rPr>
          <w:sz w:val="20"/>
          <w:szCs w:val="20"/>
        </w:rPr>
        <w:t>7</w:t>
      </w:r>
      <w:bookmarkStart w:id="2" w:name="_GoBack"/>
      <w:bookmarkEnd w:id="2"/>
    </w:p>
    <w:p w:rsidR="00EE32D7" w:rsidRPr="001F6DAE" w:rsidRDefault="00EE32D7" w:rsidP="00EE32D7">
      <w:pPr>
        <w:rPr>
          <w:sz w:val="20"/>
          <w:szCs w:val="20"/>
        </w:rPr>
      </w:pPr>
      <w:r w:rsidRPr="001F6DAE">
        <w:rPr>
          <w:sz w:val="20"/>
          <w:szCs w:val="20"/>
        </w:rPr>
        <w:t>Detlavs 67036827</w:t>
      </w:r>
    </w:p>
    <w:p w:rsidR="00EE32D7" w:rsidRDefault="00EE32D7" w:rsidP="00EE32D7">
      <w:pPr>
        <w:rPr>
          <w:lang w:eastAsia="en-US"/>
        </w:rPr>
      </w:pPr>
      <w:r w:rsidRPr="001F6DAE">
        <w:rPr>
          <w:sz w:val="20"/>
          <w:szCs w:val="20"/>
        </w:rPr>
        <w:t>Arturs.detlavs@tm.gov.lv</w:t>
      </w:r>
    </w:p>
    <w:p w:rsidR="00C77CAD" w:rsidRPr="00EE32D7" w:rsidRDefault="00C77CAD" w:rsidP="00EE32D7"/>
    <w:sectPr w:rsidR="00C77CAD" w:rsidRPr="00EE32D7" w:rsidSect="00EE32D7">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D20" w:rsidRDefault="00B80D20">
      <w:r>
        <w:separator/>
      </w:r>
    </w:p>
  </w:endnote>
  <w:endnote w:type="continuationSeparator" w:id="0">
    <w:p w:rsidR="00B80D20" w:rsidRDefault="00B80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FB2" w:rsidRDefault="002F6FB2">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21C" w:rsidRPr="00D54C82" w:rsidRDefault="00116C46" w:rsidP="00F4021C">
    <w:pPr>
      <w:pStyle w:val="Kjene"/>
      <w:jc w:val="both"/>
      <w:rPr>
        <w:sz w:val="20"/>
        <w:szCs w:val="20"/>
      </w:rPr>
    </w:pPr>
    <w:r w:rsidRPr="00D54C82">
      <w:rPr>
        <w:sz w:val="20"/>
        <w:szCs w:val="20"/>
      </w:rPr>
      <w:t>TMNot_</w:t>
    </w:r>
    <w:r w:rsidR="002F6FB2">
      <w:rPr>
        <w:sz w:val="20"/>
        <w:szCs w:val="20"/>
      </w:rPr>
      <w:t>1512</w:t>
    </w:r>
    <w:r w:rsidRPr="00D54C82">
      <w:rPr>
        <w:sz w:val="20"/>
        <w:szCs w:val="20"/>
      </w:rPr>
      <w:t>14_</w:t>
    </w:r>
    <w:r>
      <w:rPr>
        <w:sz w:val="20"/>
        <w:szCs w:val="20"/>
      </w:rPr>
      <w:t>teritorijas</w:t>
    </w:r>
    <w:r w:rsidRPr="00D54C82">
      <w:rPr>
        <w:sz w:val="20"/>
        <w:szCs w:val="20"/>
      </w:rPr>
      <w:t>; Ministru kabineta noteikumu projekt</w:t>
    </w:r>
    <w:r w:rsidR="00151A28">
      <w:rPr>
        <w:sz w:val="20"/>
        <w:szCs w:val="20"/>
      </w:rPr>
      <w:t>a</w:t>
    </w:r>
    <w:r w:rsidRPr="00D54C82">
      <w:rPr>
        <w:sz w:val="20"/>
        <w:szCs w:val="20"/>
      </w:rPr>
      <w:t xml:space="preserve"> „Grozījumi Ministru kabineta </w:t>
    </w:r>
    <w:proofErr w:type="gramStart"/>
    <w:r w:rsidRPr="00D54C82">
      <w:rPr>
        <w:sz w:val="20"/>
        <w:szCs w:val="20"/>
      </w:rPr>
      <w:t>20</w:t>
    </w:r>
    <w:r>
      <w:rPr>
        <w:sz w:val="20"/>
        <w:szCs w:val="20"/>
      </w:rPr>
      <w:t>11</w:t>
    </w:r>
    <w:r w:rsidRPr="00D54C82">
      <w:rPr>
        <w:sz w:val="20"/>
        <w:szCs w:val="20"/>
      </w:rPr>
      <w:t>.gada</w:t>
    </w:r>
    <w:proofErr w:type="gramEnd"/>
    <w:r w:rsidRPr="00D54C82">
      <w:rPr>
        <w:sz w:val="20"/>
        <w:szCs w:val="20"/>
      </w:rPr>
      <w:t xml:space="preserve"> </w:t>
    </w:r>
    <w:r>
      <w:rPr>
        <w:sz w:val="20"/>
        <w:szCs w:val="20"/>
      </w:rPr>
      <w:t>13.decembra</w:t>
    </w:r>
    <w:r w:rsidRPr="00D54C82">
      <w:rPr>
        <w:sz w:val="20"/>
        <w:szCs w:val="20"/>
      </w:rPr>
      <w:t xml:space="preserve"> noteikumos Nr.</w:t>
    </w:r>
    <w:r>
      <w:rPr>
        <w:sz w:val="20"/>
        <w:szCs w:val="20"/>
      </w:rPr>
      <w:t>951</w:t>
    </w:r>
    <w:r w:rsidRPr="00D54C82">
      <w:rPr>
        <w:sz w:val="20"/>
        <w:szCs w:val="20"/>
      </w:rPr>
      <w:t xml:space="preserve"> “</w:t>
    </w:r>
    <w:r>
      <w:rPr>
        <w:sz w:val="20"/>
        <w:szCs w:val="20"/>
      </w:rPr>
      <w:t>Noteikumi par tiesu un tiesu namu darbības teritoriju</w:t>
    </w:r>
    <w:r w:rsidRPr="00D54C82">
      <w:rPr>
        <w:sz w:val="20"/>
        <w:szCs w:val="20"/>
      </w:rPr>
      <w:t>””</w:t>
    </w:r>
    <w:r w:rsidR="00151A28">
      <w:rPr>
        <w:sz w:val="20"/>
        <w:szCs w:val="20"/>
      </w:rPr>
      <w:t xml:space="preserve">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A28" w:rsidRPr="00151A28" w:rsidRDefault="00151A28" w:rsidP="00151A28">
    <w:pPr>
      <w:pStyle w:val="Kjene"/>
      <w:jc w:val="both"/>
      <w:rPr>
        <w:sz w:val="20"/>
        <w:szCs w:val="20"/>
      </w:rPr>
    </w:pPr>
    <w:r w:rsidRPr="00D54C82">
      <w:rPr>
        <w:sz w:val="20"/>
        <w:szCs w:val="20"/>
      </w:rPr>
      <w:t>TMNot_</w:t>
    </w:r>
    <w:r w:rsidR="002F6FB2">
      <w:rPr>
        <w:sz w:val="20"/>
        <w:szCs w:val="20"/>
      </w:rPr>
      <w:t>1512</w:t>
    </w:r>
    <w:r w:rsidRPr="00D54C82">
      <w:rPr>
        <w:sz w:val="20"/>
        <w:szCs w:val="20"/>
      </w:rPr>
      <w:t>14_</w:t>
    </w:r>
    <w:r>
      <w:rPr>
        <w:sz w:val="20"/>
        <w:szCs w:val="20"/>
      </w:rPr>
      <w:t>teritorijas</w:t>
    </w:r>
    <w:r w:rsidRPr="00D54C82">
      <w:rPr>
        <w:sz w:val="20"/>
        <w:szCs w:val="20"/>
      </w:rPr>
      <w:t>; Ministru kabineta noteikumu projekt</w:t>
    </w:r>
    <w:r>
      <w:rPr>
        <w:sz w:val="20"/>
        <w:szCs w:val="20"/>
      </w:rPr>
      <w:t>a</w:t>
    </w:r>
    <w:r w:rsidRPr="00D54C82">
      <w:rPr>
        <w:sz w:val="20"/>
        <w:szCs w:val="20"/>
      </w:rPr>
      <w:t xml:space="preserve"> „Grozījumi Ministru kabineta </w:t>
    </w:r>
    <w:proofErr w:type="gramStart"/>
    <w:r w:rsidRPr="00D54C82">
      <w:rPr>
        <w:sz w:val="20"/>
        <w:szCs w:val="20"/>
      </w:rPr>
      <w:t>20</w:t>
    </w:r>
    <w:r>
      <w:rPr>
        <w:sz w:val="20"/>
        <w:szCs w:val="20"/>
      </w:rPr>
      <w:t>11</w:t>
    </w:r>
    <w:r w:rsidRPr="00D54C82">
      <w:rPr>
        <w:sz w:val="20"/>
        <w:szCs w:val="20"/>
      </w:rPr>
      <w:t>.gada</w:t>
    </w:r>
    <w:proofErr w:type="gramEnd"/>
    <w:r w:rsidRPr="00D54C82">
      <w:rPr>
        <w:sz w:val="20"/>
        <w:szCs w:val="20"/>
      </w:rPr>
      <w:t xml:space="preserve"> </w:t>
    </w:r>
    <w:r>
      <w:rPr>
        <w:sz w:val="20"/>
        <w:szCs w:val="20"/>
      </w:rPr>
      <w:t>13.decembra</w:t>
    </w:r>
    <w:r w:rsidRPr="00D54C82">
      <w:rPr>
        <w:sz w:val="20"/>
        <w:szCs w:val="20"/>
      </w:rPr>
      <w:t xml:space="preserve"> noteikumos Nr.</w:t>
    </w:r>
    <w:r>
      <w:rPr>
        <w:sz w:val="20"/>
        <w:szCs w:val="20"/>
      </w:rPr>
      <w:t>951</w:t>
    </w:r>
    <w:r w:rsidRPr="00D54C82">
      <w:rPr>
        <w:sz w:val="20"/>
        <w:szCs w:val="20"/>
      </w:rPr>
      <w:t xml:space="preserve"> “</w:t>
    </w:r>
    <w:r>
      <w:rPr>
        <w:sz w:val="20"/>
        <w:szCs w:val="20"/>
      </w:rPr>
      <w:t>Noteikumi par tiesu un tiesu namu darbības teritoriju</w:t>
    </w:r>
    <w:r w:rsidRPr="00D54C82">
      <w:rPr>
        <w:sz w:val="20"/>
        <w:szCs w:val="20"/>
      </w:rPr>
      <w:t>””</w:t>
    </w:r>
    <w:r>
      <w:rPr>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D20" w:rsidRDefault="00B80D20">
      <w:r>
        <w:separator/>
      </w:r>
    </w:p>
  </w:footnote>
  <w:footnote w:type="continuationSeparator" w:id="0">
    <w:p w:rsidR="00B80D20" w:rsidRDefault="00B80D20">
      <w:r>
        <w:continuationSeparator/>
      </w:r>
    </w:p>
  </w:footnote>
  <w:footnote w:id="1">
    <w:p w:rsidR="00A404A9" w:rsidRDefault="00A404A9">
      <w:pPr>
        <w:pStyle w:val="Vresteksts"/>
      </w:pPr>
      <w:r>
        <w:rPr>
          <w:rStyle w:val="Vresatsauce"/>
        </w:rPr>
        <w:footnoteRef/>
      </w:r>
      <w:r>
        <w:t xml:space="preserve"> </w:t>
      </w:r>
      <w:r w:rsidR="0073629B">
        <w:t xml:space="preserve">Piemēram: </w:t>
      </w:r>
      <w:hyperlink r:id="rId1" w:history="1">
        <w:r w:rsidRPr="007A3D22">
          <w:rPr>
            <w:rStyle w:val="Hipersaite"/>
          </w:rPr>
          <w:t>http://www.saeima.lv/lv/aktualitates/saeimas-zinas/22619-saeima-konceptuali-atbalsta-likumprojektu-siguldas-un-rigas-pilsetas-centra-rajona-tiesas-darbibas-i</w:t>
        </w:r>
      </w:hyperlink>
      <w:r>
        <w:t xml:space="preserve">; </w:t>
      </w:r>
      <w:hyperlink r:id="rId2" w:history="1">
        <w:r w:rsidRPr="007A3D22">
          <w:rPr>
            <w:rStyle w:val="Hipersaite"/>
          </w:rPr>
          <w:t>http://www.plz.lv/?p=52691</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FB2" w:rsidRDefault="002F6FB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331522"/>
      <w:docPartObj>
        <w:docPartGallery w:val="Page Numbers (Top of Page)"/>
        <w:docPartUnique/>
      </w:docPartObj>
    </w:sdtPr>
    <w:sdtEndPr/>
    <w:sdtContent>
      <w:p w:rsidR="00520202" w:rsidRDefault="00520202">
        <w:pPr>
          <w:pStyle w:val="Galvene"/>
          <w:jc w:val="center"/>
        </w:pPr>
        <w:r>
          <w:fldChar w:fldCharType="begin"/>
        </w:r>
        <w:r>
          <w:instrText>PAGE   \* MERGEFORMAT</w:instrText>
        </w:r>
        <w:r>
          <w:fldChar w:fldCharType="separate"/>
        </w:r>
        <w:r w:rsidR="000605B0">
          <w:rPr>
            <w:noProof/>
          </w:rPr>
          <w:t>4</w:t>
        </w:r>
        <w:r>
          <w:fldChar w:fldCharType="end"/>
        </w:r>
      </w:p>
    </w:sdtContent>
  </w:sdt>
  <w:p w:rsidR="00520202" w:rsidRDefault="00520202">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FB2" w:rsidRDefault="002F6FB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70208"/>
    <w:multiLevelType w:val="hybridMultilevel"/>
    <w:tmpl w:val="DF30CA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6F4E62AA"/>
    <w:multiLevelType w:val="hybridMultilevel"/>
    <w:tmpl w:val="257460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C46"/>
    <w:rsid w:val="0003033A"/>
    <w:rsid w:val="00050BB3"/>
    <w:rsid w:val="0005251C"/>
    <w:rsid w:val="00056287"/>
    <w:rsid w:val="000605B0"/>
    <w:rsid w:val="00106FC1"/>
    <w:rsid w:val="00116C46"/>
    <w:rsid w:val="00151A28"/>
    <w:rsid w:val="00176867"/>
    <w:rsid w:val="001A5F01"/>
    <w:rsid w:val="001E7E75"/>
    <w:rsid w:val="001F534D"/>
    <w:rsid w:val="001F6DAE"/>
    <w:rsid w:val="0020441A"/>
    <w:rsid w:val="00235314"/>
    <w:rsid w:val="002E651D"/>
    <w:rsid w:val="002F6FB2"/>
    <w:rsid w:val="00302448"/>
    <w:rsid w:val="004450FF"/>
    <w:rsid w:val="00487D6A"/>
    <w:rsid w:val="004E35AD"/>
    <w:rsid w:val="00513099"/>
    <w:rsid w:val="00520202"/>
    <w:rsid w:val="005B3AE4"/>
    <w:rsid w:val="005C3F19"/>
    <w:rsid w:val="00623081"/>
    <w:rsid w:val="00655328"/>
    <w:rsid w:val="00657231"/>
    <w:rsid w:val="00673C2C"/>
    <w:rsid w:val="006920DE"/>
    <w:rsid w:val="00692568"/>
    <w:rsid w:val="006D0080"/>
    <w:rsid w:val="006F06CE"/>
    <w:rsid w:val="0073629B"/>
    <w:rsid w:val="00760B87"/>
    <w:rsid w:val="0076601C"/>
    <w:rsid w:val="00774A03"/>
    <w:rsid w:val="007B4020"/>
    <w:rsid w:val="007C15C5"/>
    <w:rsid w:val="00802630"/>
    <w:rsid w:val="0082053B"/>
    <w:rsid w:val="00882950"/>
    <w:rsid w:val="0089559F"/>
    <w:rsid w:val="008A7A4D"/>
    <w:rsid w:val="008D7B0E"/>
    <w:rsid w:val="009220F3"/>
    <w:rsid w:val="009674DB"/>
    <w:rsid w:val="009770A7"/>
    <w:rsid w:val="009857CF"/>
    <w:rsid w:val="00997C04"/>
    <w:rsid w:val="00A10841"/>
    <w:rsid w:val="00A23091"/>
    <w:rsid w:val="00A37879"/>
    <w:rsid w:val="00A404A9"/>
    <w:rsid w:val="00A47DCC"/>
    <w:rsid w:val="00A64118"/>
    <w:rsid w:val="00A81467"/>
    <w:rsid w:val="00A95F73"/>
    <w:rsid w:val="00AE64E2"/>
    <w:rsid w:val="00AF0D21"/>
    <w:rsid w:val="00B80D20"/>
    <w:rsid w:val="00C22C61"/>
    <w:rsid w:val="00C77CAD"/>
    <w:rsid w:val="00C952A9"/>
    <w:rsid w:val="00CA7675"/>
    <w:rsid w:val="00CE4807"/>
    <w:rsid w:val="00D340E0"/>
    <w:rsid w:val="00D370F7"/>
    <w:rsid w:val="00DD7828"/>
    <w:rsid w:val="00E16B24"/>
    <w:rsid w:val="00E36820"/>
    <w:rsid w:val="00E51A32"/>
    <w:rsid w:val="00E96B48"/>
    <w:rsid w:val="00EC4E7C"/>
    <w:rsid w:val="00ED419C"/>
    <w:rsid w:val="00EE32D7"/>
    <w:rsid w:val="00F1755D"/>
    <w:rsid w:val="00FA2FBE"/>
    <w:rsid w:val="00FF49FF"/>
    <w:rsid w:val="00FF6A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16C46"/>
    <w:pPr>
      <w:suppressAutoHyphens/>
      <w:spacing w:after="0" w:line="240" w:lineRule="auto"/>
    </w:pPr>
    <w:rPr>
      <w:rFonts w:ascii="Times New Roman" w:eastAsia="Times New Roman" w:hAnsi="Times New Roman" w:cs="Times New Roman"/>
      <w:sz w:val="24"/>
      <w:szCs w:val="24"/>
      <w:lang w:eastAsia="zh-C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16C46"/>
    <w:pPr>
      <w:ind w:left="720"/>
      <w:contextualSpacing/>
    </w:pPr>
  </w:style>
  <w:style w:type="paragraph" w:styleId="Paraststmeklis">
    <w:name w:val="Normal (Web)"/>
    <w:basedOn w:val="Parasts"/>
    <w:rsid w:val="00116C46"/>
    <w:pPr>
      <w:suppressAutoHyphens w:val="0"/>
      <w:spacing w:before="100" w:beforeAutospacing="1" w:after="100" w:afterAutospacing="1"/>
    </w:pPr>
    <w:rPr>
      <w:lang w:eastAsia="lv-LV"/>
    </w:rPr>
  </w:style>
  <w:style w:type="paragraph" w:styleId="Kjene">
    <w:name w:val="footer"/>
    <w:basedOn w:val="Parasts"/>
    <w:link w:val="KjeneRakstz"/>
    <w:uiPriority w:val="99"/>
    <w:unhideWhenUsed/>
    <w:rsid w:val="00116C46"/>
    <w:pPr>
      <w:tabs>
        <w:tab w:val="center" w:pos="4153"/>
        <w:tab w:val="right" w:pos="8306"/>
      </w:tabs>
    </w:pPr>
  </w:style>
  <w:style w:type="character" w:customStyle="1" w:styleId="KjeneRakstz">
    <w:name w:val="Kājene Rakstz."/>
    <w:basedOn w:val="Noklusjumarindkopasfonts"/>
    <w:link w:val="Kjene"/>
    <w:uiPriority w:val="99"/>
    <w:rsid w:val="00116C46"/>
    <w:rPr>
      <w:rFonts w:ascii="Times New Roman" w:eastAsia="Times New Roman" w:hAnsi="Times New Roman" w:cs="Times New Roman"/>
      <w:sz w:val="24"/>
      <w:szCs w:val="24"/>
      <w:lang w:eastAsia="zh-CN"/>
    </w:rPr>
  </w:style>
  <w:style w:type="paragraph" w:customStyle="1" w:styleId="naisf">
    <w:name w:val="naisf"/>
    <w:basedOn w:val="Parasts"/>
    <w:rsid w:val="00116C46"/>
    <w:pPr>
      <w:suppressAutoHyphens w:val="0"/>
      <w:spacing w:before="75" w:after="75"/>
      <w:ind w:firstLine="375"/>
      <w:jc w:val="both"/>
    </w:pPr>
    <w:rPr>
      <w:lang w:eastAsia="lv-LV"/>
    </w:rPr>
  </w:style>
  <w:style w:type="paragraph" w:styleId="Komentrateksts">
    <w:name w:val="annotation text"/>
    <w:basedOn w:val="Parasts"/>
    <w:link w:val="KomentratekstsRakstz"/>
    <w:uiPriority w:val="99"/>
    <w:semiHidden/>
    <w:unhideWhenUsed/>
    <w:rsid w:val="00E36820"/>
    <w:pPr>
      <w:suppressAutoHyphens w:val="0"/>
      <w:spacing w:after="200"/>
    </w:pPr>
    <w:rPr>
      <w:rFonts w:asciiTheme="minorHAnsi" w:eastAsiaTheme="minorHAnsi" w:hAnsiTheme="minorHAnsi" w:cstheme="minorBidi"/>
      <w:sz w:val="20"/>
      <w:szCs w:val="20"/>
      <w:lang w:eastAsia="en-US"/>
    </w:rPr>
  </w:style>
  <w:style w:type="character" w:customStyle="1" w:styleId="KomentratekstsRakstz">
    <w:name w:val="Komentāra teksts Rakstz."/>
    <w:basedOn w:val="Noklusjumarindkopasfonts"/>
    <w:link w:val="Komentrateksts"/>
    <w:uiPriority w:val="99"/>
    <w:semiHidden/>
    <w:rsid w:val="00E36820"/>
    <w:rPr>
      <w:sz w:val="20"/>
      <w:szCs w:val="20"/>
    </w:rPr>
  </w:style>
  <w:style w:type="character" w:styleId="Komentraatsauce">
    <w:name w:val="annotation reference"/>
    <w:basedOn w:val="Noklusjumarindkopasfonts"/>
    <w:uiPriority w:val="99"/>
    <w:semiHidden/>
    <w:unhideWhenUsed/>
    <w:rsid w:val="00E36820"/>
    <w:rPr>
      <w:sz w:val="16"/>
      <w:szCs w:val="16"/>
    </w:rPr>
  </w:style>
  <w:style w:type="paragraph" w:styleId="Balonteksts">
    <w:name w:val="Balloon Text"/>
    <w:basedOn w:val="Parasts"/>
    <w:link w:val="BalontekstsRakstz"/>
    <w:uiPriority w:val="99"/>
    <w:semiHidden/>
    <w:unhideWhenUsed/>
    <w:rsid w:val="00E3682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36820"/>
    <w:rPr>
      <w:rFonts w:ascii="Tahoma" w:eastAsia="Times New Roman" w:hAnsi="Tahoma" w:cs="Tahoma"/>
      <w:sz w:val="16"/>
      <w:szCs w:val="16"/>
      <w:lang w:eastAsia="zh-CN"/>
    </w:rPr>
  </w:style>
  <w:style w:type="table" w:styleId="Reatabula">
    <w:name w:val="Table Grid"/>
    <w:basedOn w:val="Parastatabula"/>
    <w:uiPriority w:val="59"/>
    <w:rsid w:val="008D7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520202"/>
    <w:pPr>
      <w:tabs>
        <w:tab w:val="center" w:pos="4153"/>
        <w:tab w:val="right" w:pos="8306"/>
      </w:tabs>
    </w:pPr>
  </w:style>
  <w:style w:type="character" w:customStyle="1" w:styleId="GalveneRakstz">
    <w:name w:val="Galvene Rakstz."/>
    <w:basedOn w:val="Noklusjumarindkopasfonts"/>
    <w:link w:val="Galvene"/>
    <w:uiPriority w:val="99"/>
    <w:rsid w:val="00520202"/>
    <w:rPr>
      <w:rFonts w:ascii="Times New Roman" w:eastAsia="Times New Roman" w:hAnsi="Times New Roman" w:cs="Times New Roman"/>
      <w:sz w:val="24"/>
      <w:szCs w:val="24"/>
      <w:lang w:eastAsia="zh-CN"/>
    </w:rPr>
  </w:style>
  <w:style w:type="paragraph" w:styleId="Komentratma">
    <w:name w:val="annotation subject"/>
    <w:basedOn w:val="Komentrateksts"/>
    <w:next w:val="Komentrateksts"/>
    <w:link w:val="KomentratmaRakstz"/>
    <w:uiPriority w:val="99"/>
    <w:semiHidden/>
    <w:unhideWhenUsed/>
    <w:rsid w:val="00A81467"/>
    <w:pPr>
      <w:suppressAutoHyphens/>
      <w:spacing w:after="0"/>
    </w:pPr>
    <w:rPr>
      <w:rFonts w:ascii="Times New Roman" w:eastAsia="Times New Roman" w:hAnsi="Times New Roman" w:cs="Times New Roman"/>
      <w:b/>
      <w:bCs/>
      <w:lang w:eastAsia="zh-CN"/>
    </w:rPr>
  </w:style>
  <w:style w:type="character" w:customStyle="1" w:styleId="KomentratmaRakstz">
    <w:name w:val="Komentāra tēma Rakstz."/>
    <w:basedOn w:val="KomentratekstsRakstz"/>
    <w:link w:val="Komentratma"/>
    <w:uiPriority w:val="99"/>
    <w:semiHidden/>
    <w:rsid w:val="00A81467"/>
    <w:rPr>
      <w:rFonts w:ascii="Times New Roman" w:eastAsia="Times New Roman" w:hAnsi="Times New Roman" w:cs="Times New Roman"/>
      <w:b/>
      <w:bCs/>
      <w:sz w:val="20"/>
      <w:szCs w:val="20"/>
      <w:lang w:eastAsia="zh-CN"/>
    </w:rPr>
  </w:style>
  <w:style w:type="character" w:styleId="Hipersaite">
    <w:name w:val="Hyperlink"/>
    <w:basedOn w:val="Noklusjumarindkopasfonts"/>
    <w:uiPriority w:val="99"/>
    <w:unhideWhenUsed/>
    <w:rsid w:val="00DD7828"/>
    <w:rPr>
      <w:color w:val="0000FF" w:themeColor="hyperlink"/>
      <w:u w:val="single"/>
    </w:rPr>
  </w:style>
  <w:style w:type="character" w:styleId="Izmantotahipersaite">
    <w:name w:val="FollowedHyperlink"/>
    <w:basedOn w:val="Noklusjumarindkopasfonts"/>
    <w:uiPriority w:val="99"/>
    <w:semiHidden/>
    <w:unhideWhenUsed/>
    <w:rsid w:val="00FA2FBE"/>
    <w:rPr>
      <w:color w:val="800080" w:themeColor="followedHyperlink"/>
      <w:u w:val="single"/>
    </w:rPr>
  </w:style>
  <w:style w:type="paragraph" w:customStyle="1" w:styleId="naisnod">
    <w:name w:val="naisnod"/>
    <w:basedOn w:val="Parasts"/>
    <w:rsid w:val="00EE32D7"/>
    <w:pPr>
      <w:suppressAutoHyphens w:val="0"/>
      <w:spacing w:before="150" w:after="150"/>
      <w:jc w:val="center"/>
    </w:pPr>
    <w:rPr>
      <w:b/>
      <w:bCs/>
      <w:lang w:eastAsia="lv-LV"/>
    </w:rPr>
  </w:style>
  <w:style w:type="paragraph" w:customStyle="1" w:styleId="naiskr">
    <w:name w:val="naiskr"/>
    <w:basedOn w:val="Parasts"/>
    <w:rsid w:val="00EE32D7"/>
    <w:pPr>
      <w:suppressAutoHyphens w:val="0"/>
      <w:spacing w:before="75" w:after="75"/>
    </w:pPr>
    <w:rPr>
      <w:lang w:eastAsia="lv-LV"/>
    </w:rPr>
  </w:style>
  <w:style w:type="paragraph" w:styleId="Vresteksts">
    <w:name w:val="footnote text"/>
    <w:basedOn w:val="Parasts"/>
    <w:link w:val="VrestekstsRakstz"/>
    <w:uiPriority w:val="99"/>
    <w:semiHidden/>
    <w:unhideWhenUsed/>
    <w:rsid w:val="00A404A9"/>
    <w:rPr>
      <w:sz w:val="20"/>
      <w:szCs w:val="20"/>
    </w:rPr>
  </w:style>
  <w:style w:type="character" w:customStyle="1" w:styleId="VrestekstsRakstz">
    <w:name w:val="Vēres teksts Rakstz."/>
    <w:basedOn w:val="Noklusjumarindkopasfonts"/>
    <w:link w:val="Vresteksts"/>
    <w:uiPriority w:val="99"/>
    <w:semiHidden/>
    <w:rsid w:val="00A404A9"/>
    <w:rPr>
      <w:rFonts w:ascii="Times New Roman" w:eastAsia="Times New Roman" w:hAnsi="Times New Roman" w:cs="Times New Roman"/>
      <w:sz w:val="20"/>
      <w:szCs w:val="20"/>
      <w:lang w:eastAsia="zh-CN"/>
    </w:rPr>
  </w:style>
  <w:style w:type="character" w:styleId="Vresatsauce">
    <w:name w:val="footnote reference"/>
    <w:basedOn w:val="Noklusjumarindkopasfonts"/>
    <w:uiPriority w:val="99"/>
    <w:semiHidden/>
    <w:unhideWhenUsed/>
    <w:rsid w:val="00A404A9"/>
    <w:rPr>
      <w:vertAlign w:val="superscript"/>
    </w:rPr>
  </w:style>
  <w:style w:type="paragraph" w:customStyle="1" w:styleId="Default">
    <w:name w:val="Default"/>
    <w:rsid w:val="0073629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16C46"/>
    <w:pPr>
      <w:suppressAutoHyphens/>
      <w:spacing w:after="0" w:line="240" w:lineRule="auto"/>
    </w:pPr>
    <w:rPr>
      <w:rFonts w:ascii="Times New Roman" w:eastAsia="Times New Roman" w:hAnsi="Times New Roman" w:cs="Times New Roman"/>
      <w:sz w:val="24"/>
      <w:szCs w:val="24"/>
      <w:lang w:eastAsia="zh-C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16C46"/>
    <w:pPr>
      <w:ind w:left="720"/>
      <w:contextualSpacing/>
    </w:pPr>
  </w:style>
  <w:style w:type="paragraph" w:styleId="Paraststmeklis">
    <w:name w:val="Normal (Web)"/>
    <w:basedOn w:val="Parasts"/>
    <w:rsid w:val="00116C46"/>
    <w:pPr>
      <w:suppressAutoHyphens w:val="0"/>
      <w:spacing w:before="100" w:beforeAutospacing="1" w:after="100" w:afterAutospacing="1"/>
    </w:pPr>
    <w:rPr>
      <w:lang w:eastAsia="lv-LV"/>
    </w:rPr>
  </w:style>
  <w:style w:type="paragraph" w:styleId="Kjene">
    <w:name w:val="footer"/>
    <w:basedOn w:val="Parasts"/>
    <w:link w:val="KjeneRakstz"/>
    <w:uiPriority w:val="99"/>
    <w:unhideWhenUsed/>
    <w:rsid w:val="00116C46"/>
    <w:pPr>
      <w:tabs>
        <w:tab w:val="center" w:pos="4153"/>
        <w:tab w:val="right" w:pos="8306"/>
      </w:tabs>
    </w:pPr>
  </w:style>
  <w:style w:type="character" w:customStyle="1" w:styleId="KjeneRakstz">
    <w:name w:val="Kājene Rakstz."/>
    <w:basedOn w:val="Noklusjumarindkopasfonts"/>
    <w:link w:val="Kjene"/>
    <w:uiPriority w:val="99"/>
    <w:rsid w:val="00116C46"/>
    <w:rPr>
      <w:rFonts w:ascii="Times New Roman" w:eastAsia="Times New Roman" w:hAnsi="Times New Roman" w:cs="Times New Roman"/>
      <w:sz w:val="24"/>
      <w:szCs w:val="24"/>
      <w:lang w:eastAsia="zh-CN"/>
    </w:rPr>
  </w:style>
  <w:style w:type="paragraph" w:customStyle="1" w:styleId="naisf">
    <w:name w:val="naisf"/>
    <w:basedOn w:val="Parasts"/>
    <w:rsid w:val="00116C46"/>
    <w:pPr>
      <w:suppressAutoHyphens w:val="0"/>
      <w:spacing w:before="75" w:after="75"/>
      <w:ind w:firstLine="375"/>
      <w:jc w:val="both"/>
    </w:pPr>
    <w:rPr>
      <w:lang w:eastAsia="lv-LV"/>
    </w:rPr>
  </w:style>
  <w:style w:type="paragraph" w:styleId="Komentrateksts">
    <w:name w:val="annotation text"/>
    <w:basedOn w:val="Parasts"/>
    <w:link w:val="KomentratekstsRakstz"/>
    <w:uiPriority w:val="99"/>
    <w:semiHidden/>
    <w:unhideWhenUsed/>
    <w:rsid w:val="00E36820"/>
    <w:pPr>
      <w:suppressAutoHyphens w:val="0"/>
      <w:spacing w:after="200"/>
    </w:pPr>
    <w:rPr>
      <w:rFonts w:asciiTheme="minorHAnsi" w:eastAsiaTheme="minorHAnsi" w:hAnsiTheme="minorHAnsi" w:cstheme="minorBidi"/>
      <w:sz w:val="20"/>
      <w:szCs w:val="20"/>
      <w:lang w:eastAsia="en-US"/>
    </w:rPr>
  </w:style>
  <w:style w:type="character" w:customStyle="1" w:styleId="KomentratekstsRakstz">
    <w:name w:val="Komentāra teksts Rakstz."/>
    <w:basedOn w:val="Noklusjumarindkopasfonts"/>
    <w:link w:val="Komentrateksts"/>
    <w:uiPriority w:val="99"/>
    <w:semiHidden/>
    <w:rsid w:val="00E36820"/>
    <w:rPr>
      <w:sz w:val="20"/>
      <w:szCs w:val="20"/>
    </w:rPr>
  </w:style>
  <w:style w:type="character" w:styleId="Komentraatsauce">
    <w:name w:val="annotation reference"/>
    <w:basedOn w:val="Noklusjumarindkopasfonts"/>
    <w:uiPriority w:val="99"/>
    <w:semiHidden/>
    <w:unhideWhenUsed/>
    <w:rsid w:val="00E36820"/>
    <w:rPr>
      <w:sz w:val="16"/>
      <w:szCs w:val="16"/>
    </w:rPr>
  </w:style>
  <w:style w:type="paragraph" w:styleId="Balonteksts">
    <w:name w:val="Balloon Text"/>
    <w:basedOn w:val="Parasts"/>
    <w:link w:val="BalontekstsRakstz"/>
    <w:uiPriority w:val="99"/>
    <w:semiHidden/>
    <w:unhideWhenUsed/>
    <w:rsid w:val="00E3682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36820"/>
    <w:rPr>
      <w:rFonts w:ascii="Tahoma" w:eastAsia="Times New Roman" w:hAnsi="Tahoma" w:cs="Tahoma"/>
      <w:sz w:val="16"/>
      <w:szCs w:val="16"/>
      <w:lang w:eastAsia="zh-CN"/>
    </w:rPr>
  </w:style>
  <w:style w:type="table" w:styleId="Reatabula">
    <w:name w:val="Table Grid"/>
    <w:basedOn w:val="Parastatabula"/>
    <w:uiPriority w:val="59"/>
    <w:rsid w:val="008D7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520202"/>
    <w:pPr>
      <w:tabs>
        <w:tab w:val="center" w:pos="4153"/>
        <w:tab w:val="right" w:pos="8306"/>
      </w:tabs>
    </w:pPr>
  </w:style>
  <w:style w:type="character" w:customStyle="1" w:styleId="GalveneRakstz">
    <w:name w:val="Galvene Rakstz."/>
    <w:basedOn w:val="Noklusjumarindkopasfonts"/>
    <w:link w:val="Galvene"/>
    <w:uiPriority w:val="99"/>
    <w:rsid w:val="00520202"/>
    <w:rPr>
      <w:rFonts w:ascii="Times New Roman" w:eastAsia="Times New Roman" w:hAnsi="Times New Roman" w:cs="Times New Roman"/>
      <w:sz w:val="24"/>
      <w:szCs w:val="24"/>
      <w:lang w:eastAsia="zh-CN"/>
    </w:rPr>
  </w:style>
  <w:style w:type="paragraph" w:styleId="Komentratma">
    <w:name w:val="annotation subject"/>
    <w:basedOn w:val="Komentrateksts"/>
    <w:next w:val="Komentrateksts"/>
    <w:link w:val="KomentratmaRakstz"/>
    <w:uiPriority w:val="99"/>
    <w:semiHidden/>
    <w:unhideWhenUsed/>
    <w:rsid w:val="00A81467"/>
    <w:pPr>
      <w:suppressAutoHyphens/>
      <w:spacing w:after="0"/>
    </w:pPr>
    <w:rPr>
      <w:rFonts w:ascii="Times New Roman" w:eastAsia="Times New Roman" w:hAnsi="Times New Roman" w:cs="Times New Roman"/>
      <w:b/>
      <w:bCs/>
      <w:lang w:eastAsia="zh-CN"/>
    </w:rPr>
  </w:style>
  <w:style w:type="character" w:customStyle="1" w:styleId="KomentratmaRakstz">
    <w:name w:val="Komentāra tēma Rakstz."/>
    <w:basedOn w:val="KomentratekstsRakstz"/>
    <w:link w:val="Komentratma"/>
    <w:uiPriority w:val="99"/>
    <w:semiHidden/>
    <w:rsid w:val="00A81467"/>
    <w:rPr>
      <w:rFonts w:ascii="Times New Roman" w:eastAsia="Times New Roman" w:hAnsi="Times New Roman" w:cs="Times New Roman"/>
      <w:b/>
      <w:bCs/>
      <w:sz w:val="20"/>
      <w:szCs w:val="20"/>
      <w:lang w:eastAsia="zh-CN"/>
    </w:rPr>
  </w:style>
  <w:style w:type="character" w:styleId="Hipersaite">
    <w:name w:val="Hyperlink"/>
    <w:basedOn w:val="Noklusjumarindkopasfonts"/>
    <w:uiPriority w:val="99"/>
    <w:unhideWhenUsed/>
    <w:rsid w:val="00DD7828"/>
    <w:rPr>
      <w:color w:val="0000FF" w:themeColor="hyperlink"/>
      <w:u w:val="single"/>
    </w:rPr>
  </w:style>
  <w:style w:type="character" w:styleId="Izmantotahipersaite">
    <w:name w:val="FollowedHyperlink"/>
    <w:basedOn w:val="Noklusjumarindkopasfonts"/>
    <w:uiPriority w:val="99"/>
    <w:semiHidden/>
    <w:unhideWhenUsed/>
    <w:rsid w:val="00FA2FBE"/>
    <w:rPr>
      <w:color w:val="800080" w:themeColor="followedHyperlink"/>
      <w:u w:val="single"/>
    </w:rPr>
  </w:style>
  <w:style w:type="paragraph" w:customStyle="1" w:styleId="naisnod">
    <w:name w:val="naisnod"/>
    <w:basedOn w:val="Parasts"/>
    <w:rsid w:val="00EE32D7"/>
    <w:pPr>
      <w:suppressAutoHyphens w:val="0"/>
      <w:spacing w:before="150" w:after="150"/>
      <w:jc w:val="center"/>
    </w:pPr>
    <w:rPr>
      <w:b/>
      <w:bCs/>
      <w:lang w:eastAsia="lv-LV"/>
    </w:rPr>
  </w:style>
  <w:style w:type="paragraph" w:customStyle="1" w:styleId="naiskr">
    <w:name w:val="naiskr"/>
    <w:basedOn w:val="Parasts"/>
    <w:rsid w:val="00EE32D7"/>
    <w:pPr>
      <w:suppressAutoHyphens w:val="0"/>
      <w:spacing w:before="75" w:after="75"/>
    </w:pPr>
    <w:rPr>
      <w:lang w:eastAsia="lv-LV"/>
    </w:rPr>
  </w:style>
  <w:style w:type="paragraph" w:styleId="Vresteksts">
    <w:name w:val="footnote text"/>
    <w:basedOn w:val="Parasts"/>
    <w:link w:val="VrestekstsRakstz"/>
    <w:uiPriority w:val="99"/>
    <w:semiHidden/>
    <w:unhideWhenUsed/>
    <w:rsid w:val="00A404A9"/>
    <w:rPr>
      <w:sz w:val="20"/>
      <w:szCs w:val="20"/>
    </w:rPr>
  </w:style>
  <w:style w:type="character" w:customStyle="1" w:styleId="VrestekstsRakstz">
    <w:name w:val="Vēres teksts Rakstz."/>
    <w:basedOn w:val="Noklusjumarindkopasfonts"/>
    <w:link w:val="Vresteksts"/>
    <w:uiPriority w:val="99"/>
    <w:semiHidden/>
    <w:rsid w:val="00A404A9"/>
    <w:rPr>
      <w:rFonts w:ascii="Times New Roman" w:eastAsia="Times New Roman" w:hAnsi="Times New Roman" w:cs="Times New Roman"/>
      <w:sz w:val="20"/>
      <w:szCs w:val="20"/>
      <w:lang w:eastAsia="zh-CN"/>
    </w:rPr>
  </w:style>
  <w:style w:type="character" w:styleId="Vresatsauce">
    <w:name w:val="footnote reference"/>
    <w:basedOn w:val="Noklusjumarindkopasfonts"/>
    <w:uiPriority w:val="99"/>
    <w:semiHidden/>
    <w:unhideWhenUsed/>
    <w:rsid w:val="00A404A9"/>
    <w:rPr>
      <w:vertAlign w:val="superscript"/>
    </w:rPr>
  </w:style>
  <w:style w:type="paragraph" w:customStyle="1" w:styleId="Default">
    <w:name w:val="Default"/>
    <w:rsid w:val="0073629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682821">
      <w:bodyDiv w:val="1"/>
      <w:marLeft w:val="0"/>
      <w:marRight w:val="0"/>
      <w:marTop w:val="0"/>
      <w:marBottom w:val="0"/>
      <w:divBdr>
        <w:top w:val="none" w:sz="0" w:space="0" w:color="auto"/>
        <w:left w:val="none" w:sz="0" w:space="0" w:color="auto"/>
        <w:bottom w:val="none" w:sz="0" w:space="0" w:color="auto"/>
        <w:right w:val="none" w:sz="0" w:space="0" w:color="auto"/>
      </w:divBdr>
    </w:div>
    <w:div w:id="1030183991">
      <w:bodyDiv w:val="1"/>
      <w:marLeft w:val="0"/>
      <w:marRight w:val="0"/>
      <w:marTop w:val="0"/>
      <w:marBottom w:val="0"/>
      <w:divBdr>
        <w:top w:val="none" w:sz="0" w:space="0" w:color="auto"/>
        <w:left w:val="none" w:sz="0" w:space="0" w:color="auto"/>
        <w:bottom w:val="none" w:sz="0" w:space="0" w:color="auto"/>
        <w:right w:val="none" w:sz="0" w:space="0" w:color="auto"/>
      </w:divBdr>
    </w:div>
    <w:div w:id="195343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plz.lv/?p=52691" TargetMode="External"/><Relationship Id="rId1" Type="http://schemas.openxmlformats.org/officeDocument/2006/relationships/hyperlink" Target="http://www.saeima.lv/lv/aktualitates/saeimas-zinas/22619-saeima-konceptuali-atbalsta-likumprojektu-siguldas-un-rigas-pilsetas-centra-rajona-tiesas-darbibas-i"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CB5D8-6F51-4BD6-B943-A87CC490F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5670</Words>
  <Characters>3233</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Ministru kabineta noteikumu projekta „Grozījumi Ministru kabineta 2011.gada 13.decembra noteikumos Nr.951 “Noteikumi par tiesu un tiesu namu darbības teritoriju”” sākotnējās ietekmes novērtējuma ziņojums (anotācija)</vt:lpstr>
    </vt:vector>
  </TitlesOfParts>
  <Company>Tieslietu Sektors</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2011.gada 13.decembra noteikumos Nr.951 “Noteikumi par tiesu un tiesu namu darbības teritoriju”” sākotnējās ietekmes novērtējuma ziņojums (anotācija)</dc:title>
  <dc:creator>Arturs Detlavs</dc:creator>
  <dc:description>Detlavs 67036827
Arturs.detlavs@tm.gov.lv</dc:description>
  <cp:lastModifiedBy>Viesturs Lacis</cp:lastModifiedBy>
  <cp:revision>5</cp:revision>
  <cp:lastPrinted>2014-11-13T11:55:00Z</cp:lastPrinted>
  <dcterms:created xsi:type="dcterms:W3CDTF">2014-12-15T09:10:00Z</dcterms:created>
  <dcterms:modified xsi:type="dcterms:W3CDTF">2014-12-15T09:32:00Z</dcterms:modified>
</cp:coreProperties>
</file>