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12A" w:rsidRPr="00275EA6" w:rsidRDefault="0003612A" w:rsidP="0003612A">
      <w:pPr>
        <w:suppressAutoHyphens/>
        <w:ind w:left="284" w:hanging="284"/>
        <w:jc w:val="right"/>
        <w:rPr>
          <w:bCs/>
          <w:i/>
          <w:sz w:val="22"/>
        </w:rPr>
      </w:pPr>
      <w:bookmarkStart w:id="0" w:name="_GoBack"/>
      <w:bookmarkEnd w:id="0"/>
      <w:r w:rsidRPr="00275EA6">
        <w:rPr>
          <w:bCs/>
          <w:i/>
          <w:sz w:val="22"/>
        </w:rPr>
        <w:t>Informatīvā ziņojuma</w:t>
      </w:r>
    </w:p>
    <w:p w:rsidR="0003612A" w:rsidRPr="00275EA6" w:rsidRDefault="0003612A" w:rsidP="0003612A">
      <w:pPr>
        <w:suppressAutoHyphens/>
        <w:ind w:left="284" w:hanging="284"/>
        <w:jc w:val="right"/>
        <w:rPr>
          <w:bCs/>
          <w:i/>
          <w:sz w:val="22"/>
        </w:rPr>
      </w:pPr>
      <w:r w:rsidRPr="00275EA6">
        <w:rPr>
          <w:bCs/>
          <w:i/>
          <w:sz w:val="22"/>
        </w:rPr>
        <w:t>par Komisijas PSRS totalitārā komunistiskā okupācijas režīma</w:t>
      </w:r>
    </w:p>
    <w:p w:rsidR="0003612A" w:rsidRPr="00275EA6" w:rsidRDefault="0003612A" w:rsidP="0003612A">
      <w:pPr>
        <w:suppressAutoHyphens/>
        <w:ind w:left="284" w:hanging="284"/>
        <w:jc w:val="right"/>
        <w:rPr>
          <w:bCs/>
          <w:i/>
          <w:sz w:val="22"/>
        </w:rPr>
      </w:pPr>
      <w:r w:rsidRPr="00275EA6">
        <w:rPr>
          <w:bCs/>
          <w:i/>
          <w:sz w:val="22"/>
        </w:rPr>
        <w:t>upuru skaita un masu kapu vietu noteikšanai,</w:t>
      </w:r>
    </w:p>
    <w:p w:rsidR="0003612A" w:rsidRPr="00275EA6" w:rsidRDefault="0003612A" w:rsidP="0003612A">
      <w:pPr>
        <w:suppressAutoHyphens/>
        <w:ind w:left="284" w:hanging="284"/>
        <w:jc w:val="right"/>
        <w:rPr>
          <w:bCs/>
          <w:i/>
          <w:sz w:val="22"/>
        </w:rPr>
      </w:pPr>
      <w:r w:rsidRPr="00275EA6">
        <w:rPr>
          <w:bCs/>
          <w:i/>
          <w:sz w:val="22"/>
        </w:rPr>
        <w:t>informācijas par represijām un masveida deportācijām apkopošanai</w:t>
      </w:r>
    </w:p>
    <w:p w:rsidR="0003612A" w:rsidRPr="00275EA6" w:rsidRDefault="0003612A" w:rsidP="0003612A">
      <w:pPr>
        <w:suppressAutoHyphens/>
        <w:ind w:left="284" w:hanging="284"/>
        <w:jc w:val="right"/>
        <w:rPr>
          <w:bCs/>
          <w:i/>
          <w:sz w:val="22"/>
        </w:rPr>
      </w:pPr>
      <w:r w:rsidRPr="00275EA6">
        <w:rPr>
          <w:bCs/>
          <w:i/>
          <w:sz w:val="22"/>
        </w:rPr>
        <w:t>un Latvijas valstij un tās iedzīvotājiem nodarīto zaudējumu aprēķināšanai darbību</w:t>
      </w:r>
    </w:p>
    <w:p w:rsidR="00CD248E" w:rsidRDefault="0003612A" w:rsidP="0003612A">
      <w:pPr>
        <w:suppressAutoHyphens/>
        <w:ind w:left="284" w:hanging="284"/>
        <w:jc w:val="right"/>
        <w:rPr>
          <w:bCs/>
          <w:i/>
        </w:rPr>
      </w:pPr>
      <w:r w:rsidRPr="00275EA6">
        <w:rPr>
          <w:bCs/>
          <w:i/>
          <w:sz w:val="22"/>
        </w:rPr>
        <w:t>1.pielikums</w:t>
      </w:r>
    </w:p>
    <w:p w:rsidR="00275EA6" w:rsidRPr="00CD248E" w:rsidRDefault="00275EA6" w:rsidP="0003612A">
      <w:pPr>
        <w:suppressAutoHyphens/>
        <w:ind w:left="284" w:hanging="284"/>
        <w:jc w:val="right"/>
        <w:rPr>
          <w:bCs/>
          <w:i/>
        </w:rPr>
      </w:pPr>
    </w:p>
    <w:p w:rsidR="00BF73F4" w:rsidRPr="00275EA6" w:rsidRDefault="00BF73F4" w:rsidP="00995FAF">
      <w:pPr>
        <w:suppressAutoHyphens/>
        <w:ind w:left="284" w:hanging="284"/>
        <w:jc w:val="center"/>
        <w:rPr>
          <w:sz w:val="18"/>
          <w:szCs w:val="20"/>
        </w:rPr>
      </w:pPr>
      <w:r w:rsidRPr="00275EA6">
        <w:rPr>
          <w:b/>
          <w:bCs/>
          <w:caps/>
          <w:szCs w:val="28"/>
        </w:rPr>
        <w:t>PĀRSKATS</w:t>
      </w:r>
    </w:p>
    <w:p w:rsidR="00BF73F4" w:rsidRPr="00275EA6" w:rsidRDefault="00BF73F4" w:rsidP="00057ADA">
      <w:pPr>
        <w:jc w:val="center"/>
        <w:rPr>
          <w:b/>
          <w:bCs/>
          <w:szCs w:val="28"/>
        </w:rPr>
      </w:pPr>
      <w:r w:rsidRPr="00275EA6">
        <w:rPr>
          <w:b/>
          <w:bCs/>
          <w:szCs w:val="28"/>
        </w:rPr>
        <w:t xml:space="preserve"> par dotācijas izlietojumu 2013</w:t>
      </w:r>
      <w:r w:rsidR="008C6C0A">
        <w:rPr>
          <w:b/>
          <w:bCs/>
          <w:szCs w:val="28"/>
        </w:rPr>
        <w:t>.</w:t>
      </w:r>
      <w:r w:rsidRPr="00275EA6">
        <w:rPr>
          <w:b/>
          <w:bCs/>
          <w:szCs w:val="28"/>
        </w:rPr>
        <w:t>/2014.gadā</w:t>
      </w:r>
    </w:p>
    <w:p w:rsidR="00BF73F4" w:rsidRPr="00057ADA" w:rsidRDefault="00BF73F4" w:rsidP="00057ADA">
      <w:pPr>
        <w:jc w:val="center"/>
        <w:rPr>
          <w:sz w:val="16"/>
          <w:szCs w:val="16"/>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8"/>
        <w:gridCol w:w="2557"/>
        <w:gridCol w:w="5103"/>
        <w:gridCol w:w="1134"/>
      </w:tblGrid>
      <w:tr w:rsidR="00BF73F4" w:rsidRPr="00275EA6" w:rsidTr="001637FD">
        <w:trPr>
          <w:trHeight w:val="270"/>
        </w:trPr>
        <w:tc>
          <w:tcPr>
            <w:tcW w:w="528" w:type="dxa"/>
            <w:shd w:val="clear" w:color="auto" w:fill="F3F3F3"/>
            <w:vAlign w:val="center"/>
          </w:tcPr>
          <w:p w:rsidR="00BF73F4" w:rsidRPr="00275EA6" w:rsidRDefault="00BF73F4" w:rsidP="00D23FE7">
            <w:pPr>
              <w:jc w:val="center"/>
              <w:rPr>
                <w:b/>
                <w:bCs/>
                <w:sz w:val="22"/>
                <w:szCs w:val="22"/>
              </w:rPr>
            </w:pPr>
            <w:r w:rsidRPr="00275EA6">
              <w:rPr>
                <w:b/>
                <w:bCs/>
                <w:sz w:val="22"/>
                <w:szCs w:val="22"/>
              </w:rPr>
              <w:t>Nr.</w:t>
            </w:r>
          </w:p>
        </w:tc>
        <w:tc>
          <w:tcPr>
            <w:tcW w:w="2557" w:type="dxa"/>
            <w:shd w:val="clear" w:color="auto" w:fill="F3F3F3"/>
            <w:vAlign w:val="center"/>
          </w:tcPr>
          <w:p w:rsidR="00BF73F4" w:rsidRPr="00275EA6" w:rsidRDefault="00BF73F4" w:rsidP="00113A02">
            <w:pPr>
              <w:jc w:val="center"/>
              <w:rPr>
                <w:b/>
                <w:bCs/>
                <w:sz w:val="22"/>
                <w:szCs w:val="22"/>
              </w:rPr>
            </w:pPr>
            <w:r w:rsidRPr="00275EA6">
              <w:rPr>
                <w:b/>
                <w:bCs/>
                <w:sz w:val="22"/>
                <w:szCs w:val="22"/>
              </w:rPr>
              <w:t>Izdevumu posteņi</w:t>
            </w:r>
          </w:p>
        </w:tc>
        <w:tc>
          <w:tcPr>
            <w:tcW w:w="5103" w:type="dxa"/>
            <w:shd w:val="clear" w:color="auto" w:fill="F3F3F3"/>
            <w:vAlign w:val="center"/>
          </w:tcPr>
          <w:p w:rsidR="00BF73F4" w:rsidRPr="00275EA6" w:rsidRDefault="00BF73F4" w:rsidP="00986A2C">
            <w:pPr>
              <w:jc w:val="center"/>
              <w:rPr>
                <w:b/>
                <w:bCs/>
                <w:sz w:val="22"/>
                <w:szCs w:val="22"/>
              </w:rPr>
            </w:pPr>
            <w:r w:rsidRPr="00275EA6">
              <w:rPr>
                <w:b/>
                <w:bCs/>
                <w:sz w:val="22"/>
                <w:szCs w:val="22"/>
              </w:rPr>
              <w:t>Rezultāts</w:t>
            </w:r>
          </w:p>
        </w:tc>
        <w:tc>
          <w:tcPr>
            <w:tcW w:w="1134" w:type="dxa"/>
            <w:shd w:val="clear" w:color="auto" w:fill="F3F3F3"/>
            <w:vAlign w:val="center"/>
          </w:tcPr>
          <w:p w:rsidR="00BF73F4" w:rsidRPr="00275EA6" w:rsidRDefault="00BF73F4" w:rsidP="008D39F8">
            <w:pPr>
              <w:ind w:right="-32"/>
              <w:jc w:val="center"/>
              <w:rPr>
                <w:b/>
                <w:bCs/>
                <w:sz w:val="22"/>
                <w:szCs w:val="22"/>
              </w:rPr>
            </w:pPr>
            <w:r w:rsidRPr="00275EA6">
              <w:rPr>
                <w:b/>
                <w:bCs/>
                <w:sz w:val="22"/>
                <w:szCs w:val="22"/>
              </w:rPr>
              <w:t>Izmaksas</w:t>
            </w:r>
          </w:p>
          <w:p w:rsidR="00BF73F4" w:rsidRPr="00275EA6" w:rsidRDefault="00BF73F4" w:rsidP="00D23FE7">
            <w:pPr>
              <w:jc w:val="center"/>
              <w:rPr>
                <w:b/>
                <w:bCs/>
                <w:sz w:val="22"/>
                <w:szCs w:val="22"/>
              </w:rPr>
            </w:pPr>
            <w:r w:rsidRPr="00275EA6">
              <w:rPr>
                <w:b/>
                <w:bCs/>
                <w:sz w:val="22"/>
                <w:szCs w:val="22"/>
              </w:rPr>
              <w:t>EUR</w:t>
            </w:r>
          </w:p>
        </w:tc>
      </w:tr>
      <w:tr w:rsidR="00BF73F4" w:rsidRPr="00275EA6" w:rsidTr="001637FD">
        <w:trPr>
          <w:trHeight w:val="968"/>
        </w:trPr>
        <w:tc>
          <w:tcPr>
            <w:tcW w:w="528" w:type="dxa"/>
          </w:tcPr>
          <w:p w:rsidR="00BF73F4" w:rsidRPr="00275EA6" w:rsidRDefault="00BF73F4" w:rsidP="00D23FE7">
            <w:pPr>
              <w:spacing w:before="60"/>
              <w:rPr>
                <w:sz w:val="22"/>
                <w:szCs w:val="22"/>
              </w:rPr>
            </w:pPr>
            <w:r w:rsidRPr="00275EA6">
              <w:rPr>
                <w:sz w:val="22"/>
                <w:szCs w:val="22"/>
              </w:rPr>
              <w:t>1</w:t>
            </w:r>
          </w:p>
        </w:tc>
        <w:tc>
          <w:tcPr>
            <w:tcW w:w="2557" w:type="dxa"/>
          </w:tcPr>
          <w:p w:rsidR="00BF73F4" w:rsidRPr="00275EA6" w:rsidRDefault="00BF73F4" w:rsidP="00113A02">
            <w:pPr>
              <w:spacing w:before="60"/>
              <w:rPr>
                <w:sz w:val="22"/>
                <w:szCs w:val="22"/>
              </w:rPr>
            </w:pPr>
            <w:r w:rsidRPr="00275EA6">
              <w:rPr>
                <w:sz w:val="22"/>
                <w:szCs w:val="22"/>
              </w:rPr>
              <w:t>Pētījums „Okupācijas varas īstenotā militarizācija Latvijas PSRS vietējās pārvaldes struktūrās un sabiedriskās dzīves jomā”</w:t>
            </w:r>
          </w:p>
        </w:tc>
        <w:tc>
          <w:tcPr>
            <w:tcW w:w="5103" w:type="dxa"/>
          </w:tcPr>
          <w:p w:rsidR="00BF73F4" w:rsidRPr="00275EA6" w:rsidRDefault="00BF73F4" w:rsidP="00350A48">
            <w:pPr>
              <w:ind w:right="-79"/>
              <w:jc w:val="both"/>
              <w:rPr>
                <w:sz w:val="22"/>
                <w:szCs w:val="22"/>
              </w:rPr>
            </w:pPr>
            <w:r w:rsidRPr="00275EA6">
              <w:rPr>
                <w:i/>
                <w:iCs/>
                <w:sz w:val="22"/>
                <w:szCs w:val="22"/>
              </w:rPr>
              <w:t>Pamatmērķis</w:t>
            </w:r>
            <w:r w:rsidRPr="00275EA6">
              <w:rPr>
                <w:sz w:val="22"/>
                <w:szCs w:val="22"/>
              </w:rPr>
              <w:t xml:space="preserve"> - turpināt </w:t>
            </w:r>
            <w:r w:rsidR="009F1FD1" w:rsidRPr="00275EA6">
              <w:rPr>
                <w:sz w:val="22"/>
                <w:szCs w:val="22"/>
              </w:rPr>
              <w:t>K</w:t>
            </w:r>
            <w:r w:rsidRPr="00275EA6">
              <w:rPr>
                <w:sz w:val="22"/>
                <w:szCs w:val="22"/>
              </w:rPr>
              <w:t>omisijas iesākto darbu, padziļināti pētot PSRS militārisma sociāli</w:t>
            </w:r>
            <w:r w:rsidR="008C6C0A">
              <w:rPr>
                <w:sz w:val="22"/>
                <w:szCs w:val="22"/>
              </w:rPr>
              <w:t xml:space="preserve"> </w:t>
            </w:r>
            <w:r w:rsidRPr="00275EA6">
              <w:rPr>
                <w:sz w:val="22"/>
                <w:szCs w:val="22"/>
              </w:rPr>
              <w:t>ekonomisko ietekmi PSRS laika okupētajā Latvijā, jo tas dod labāku izpratni par tautsaimniecībā un arī sabiedrībā notiekošajiem procesiem mūsdienās.</w:t>
            </w:r>
          </w:p>
          <w:p w:rsidR="00BF73F4" w:rsidRPr="00275EA6" w:rsidRDefault="00BF73F4" w:rsidP="00350A48">
            <w:pPr>
              <w:ind w:right="-79"/>
              <w:jc w:val="both"/>
              <w:rPr>
                <w:sz w:val="22"/>
                <w:szCs w:val="22"/>
              </w:rPr>
            </w:pPr>
            <w:r w:rsidRPr="00275EA6">
              <w:rPr>
                <w:i/>
                <w:iCs/>
                <w:sz w:val="22"/>
                <w:szCs w:val="22"/>
              </w:rPr>
              <w:t>Pētījuma rezultāts</w:t>
            </w:r>
            <w:r w:rsidR="009F1FD1" w:rsidRPr="00275EA6">
              <w:rPr>
                <w:i/>
                <w:iCs/>
                <w:sz w:val="22"/>
                <w:szCs w:val="22"/>
              </w:rPr>
              <w:t xml:space="preserve"> </w:t>
            </w:r>
            <w:r w:rsidRPr="00275EA6">
              <w:rPr>
                <w:sz w:val="22"/>
                <w:szCs w:val="22"/>
              </w:rPr>
              <w:t xml:space="preserve">- uz Latvijas arhīvos apzināto dokumentu pamata iegūts informatīvs apkopojums par PSRS militārisma būtību un tā ietekmi uz Latvijas sabiedrību no PSRS okupācijas laika līdz pat mūsdienām. </w:t>
            </w:r>
          </w:p>
        </w:tc>
        <w:tc>
          <w:tcPr>
            <w:tcW w:w="1134" w:type="dxa"/>
          </w:tcPr>
          <w:p w:rsidR="00BF73F4" w:rsidRPr="00275EA6" w:rsidRDefault="00BF73F4" w:rsidP="00D23FE7">
            <w:pPr>
              <w:spacing w:before="60"/>
              <w:jc w:val="right"/>
              <w:rPr>
                <w:sz w:val="22"/>
                <w:szCs w:val="22"/>
              </w:rPr>
            </w:pPr>
            <w:r w:rsidRPr="00275EA6">
              <w:rPr>
                <w:sz w:val="22"/>
                <w:szCs w:val="22"/>
              </w:rPr>
              <w:t>1707</w:t>
            </w:r>
          </w:p>
        </w:tc>
      </w:tr>
      <w:tr w:rsidR="00BF73F4" w:rsidRPr="00275EA6" w:rsidTr="001637FD">
        <w:trPr>
          <w:trHeight w:val="676"/>
        </w:trPr>
        <w:tc>
          <w:tcPr>
            <w:tcW w:w="528" w:type="dxa"/>
          </w:tcPr>
          <w:p w:rsidR="00BF73F4" w:rsidRPr="00275EA6" w:rsidRDefault="00BF73F4" w:rsidP="00D23FE7">
            <w:pPr>
              <w:spacing w:before="60"/>
              <w:rPr>
                <w:sz w:val="22"/>
                <w:szCs w:val="22"/>
              </w:rPr>
            </w:pPr>
            <w:r w:rsidRPr="00275EA6">
              <w:rPr>
                <w:sz w:val="22"/>
                <w:szCs w:val="22"/>
              </w:rPr>
              <w:t>2</w:t>
            </w:r>
          </w:p>
        </w:tc>
        <w:tc>
          <w:tcPr>
            <w:tcW w:w="2557" w:type="dxa"/>
          </w:tcPr>
          <w:p w:rsidR="00BF73F4" w:rsidRPr="00275EA6" w:rsidRDefault="00BF73F4" w:rsidP="00113A02">
            <w:pPr>
              <w:spacing w:before="60"/>
              <w:rPr>
                <w:sz w:val="22"/>
                <w:szCs w:val="22"/>
              </w:rPr>
            </w:pPr>
            <w:r w:rsidRPr="00275EA6">
              <w:rPr>
                <w:sz w:val="22"/>
                <w:szCs w:val="22"/>
              </w:rPr>
              <w:t>Pētījums „Padomju impērijas koloniālā politika un Latvijas kolonizācija 1940.-1990.” izstrāde (1.daļa)</w:t>
            </w:r>
          </w:p>
        </w:tc>
        <w:tc>
          <w:tcPr>
            <w:tcW w:w="5103" w:type="dxa"/>
          </w:tcPr>
          <w:p w:rsidR="00BF73F4" w:rsidRPr="00275EA6" w:rsidRDefault="00BF73F4" w:rsidP="00350A48">
            <w:pPr>
              <w:ind w:right="-79"/>
              <w:jc w:val="both"/>
              <w:rPr>
                <w:sz w:val="22"/>
                <w:szCs w:val="22"/>
              </w:rPr>
            </w:pPr>
            <w:r w:rsidRPr="00275EA6">
              <w:rPr>
                <w:i/>
                <w:iCs/>
                <w:sz w:val="22"/>
                <w:szCs w:val="22"/>
              </w:rPr>
              <w:t>Pamatmērķis</w:t>
            </w:r>
            <w:r w:rsidR="009F1FD1" w:rsidRPr="00275EA6">
              <w:rPr>
                <w:i/>
                <w:iCs/>
                <w:sz w:val="22"/>
                <w:szCs w:val="22"/>
              </w:rPr>
              <w:t xml:space="preserve"> </w:t>
            </w:r>
            <w:r w:rsidRPr="00275EA6">
              <w:rPr>
                <w:sz w:val="22"/>
                <w:szCs w:val="22"/>
              </w:rPr>
              <w:t>- uz arhīvu dokumentu bāzes atklāt un parādīt PSRS impērijas koloniālo politiku un Latvijas kolonizāciju.</w:t>
            </w:r>
          </w:p>
          <w:p w:rsidR="00BF73F4" w:rsidRPr="00275EA6" w:rsidRDefault="00BF73F4" w:rsidP="00350A48">
            <w:pPr>
              <w:ind w:right="-79"/>
              <w:jc w:val="both"/>
              <w:rPr>
                <w:sz w:val="22"/>
                <w:szCs w:val="22"/>
              </w:rPr>
            </w:pPr>
            <w:r w:rsidRPr="00275EA6">
              <w:rPr>
                <w:i/>
                <w:iCs/>
                <w:sz w:val="22"/>
                <w:szCs w:val="22"/>
              </w:rPr>
              <w:t>Pētījuma rezultāts</w:t>
            </w:r>
            <w:r w:rsidR="009F1FD1" w:rsidRPr="00275EA6">
              <w:rPr>
                <w:i/>
                <w:iCs/>
                <w:sz w:val="22"/>
                <w:szCs w:val="22"/>
              </w:rPr>
              <w:t xml:space="preserve"> </w:t>
            </w:r>
            <w:r w:rsidRPr="00275EA6">
              <w:rPr>
                <w:sz w:val="22"/>
                <w:szCs w:val="22"/>
              </w:rPr>
              <w:t>- uz arhīvos apzināto dokumentu pamata iegūta zinātniska monogrāfija par šo jautājumu</w:t>
            </w:r>
          </w:p>
        </w:tc>
        <w:tc>
          <w:tcPr>
            <w:tcW w:w="1134" w:type="dxa"/>
          </w:tcPr>
          <w:p w:rsidR="00BF73F4" w:rsidRPr="00275EA6" w:rsidRDefault="00BF73F4" w:rsidP="00D23FE7">
            <w:pPr>
              <w:spacing w:before="60"/>
              <w:jc w:val="right"/>
              <w:rPr>
                <w:sz w:val="22"/>
                <w:szCs w:val="22"/>
              </w:rPr>
            </w:pPr>
            <w:r w:rsidRPr="00275EA6">
              <w:rPr>
                <w:sz w:val="22"/>
                <w:szCs w:val="22"/>
              </w:rPr>
              <w:t>1707</w:t>
            </w:r>
          </w:p>
        </w:tc>
      </w:tr>
      <w:tr w:rsidR="00BF73F4" w:rsidRPr="00275EA6" w:rsidTr="001637FD">
        <w:trPr>
          <w:trHeight w:val="1275"/>
        </w:trPr>
        <w:tc>
          <w:tcPr>
            <w:tcW w:w="528" w:type="dxa"/>
          </w:tcPr>
          <w:p w:rsidR="00BF73F4" w:rsidRPr="00275EA6" w:rsidRDefault="00BF73F4" w:rsidP="004118C0">
            <w:pPr>
              <w:rPr>
                <w:sz w:val="22"/>
                <w:szCs w:val="22"/>
              </w:rPr>
            </w:pPr>
            <w:r w:rsidRPr="00275EA6">
              <w:rPr>
                <w:sz w:val="22"/>
                <w:szCs w:val="22"/>
              </w:rPr>
              <w:t>3</w:t>
            </w:r>
          </w:p>
        </w:tc>
        <w:tc>
          <w:tcPr>
            <w:tcW w:w="2557" w:type="dxa"/>
          </w:tcPr>
          <w:p w:rsidR="00BF73F4" w:rsidRPr="00275EA6" w:rsidRDefault="00BF73F4" w:rsidP="004118C0">
            <w:pPr>
              <w:rPr>
                <w:sz w:val="22"/>
                <w:szCs w:val="22"/>
              </w:rPr>
            </w:pPr>
            <w:r w:rsidRPr="00275EA6">
              <w:rPr>
                <w:sz w:val="22"/>
                <w:szCs w:val="22"/>
              </w:rPr>
              <w:t>Pētījums „PSRS Militāri rūpnieciskā kompleksa darbība Latvijas PSRS rūpniecībā –</w:t>
            </w:r>
            <w:r w:rsidR="009F1FD1" w:rsidRPr="00275EA6">
              <w:rPr>
                <w:sz w:val="22"/>
                <w:szCs w:val="22"/>
              </w:rPr>
              <w:t xml:space="preserve"> </w:t>
            </w:r>
            <w:r w:rsidRPr="00275EA6">
              <w:rPr>
                <w:sz w:val="22"/>
                <w:szCs w:val="22"/>
              </w:rPr>
              <w:t>viens no iemesliem Latvijas rūpniecības sabrukumam pēc neatkarības atgūšanas” (1.daļa)</w:t>
            </w:r>
          </w:p>
        </w:tc>
        <w:tc>
          <w:tcPr>
            <w:tcW w:w="5103" w:type="dxa"/>
          </w:tcPr>
          <w:p w:rsidR="00BF73F4" w:rsidRPr="00275EA6" w:rsidRDefault="00BF73F4" w:rsidP="00350A48">
            <w:pPr>
              <w:ind w:right="-79"/>
              <w:jc w:val="both"/>
              <w:rPr>
                <w:sz w:val="22"/>
                <w:szCs w:val="22"/>
              </w:rPr>
            </w:pPr>
            <w:r w:rsidRPr="00275EA6">
              <w:rPr>
                <w:i/>
                <w:iCs/>
                <w:sz w:val="22"/>
                <w:szCs w:val="22"/>
              </w:rPr>
              <w:t xml:space="preserve">Pamatmērķis - </w:t>
            </w:r>
            <w:r w:rsidRPr="00275EA6">
              <w:rPr>
                <w:sz w:val="22"/>
                <w:szCs w:val="22"/>
              </w:rPr>
              <w:t>uz Latvijas arhīvu u.c. izpētīto dokumentu pamata iegūt informāciju par PSRS MRK* darbību Latvijas rūpniecībā okupācijas laikā. Apzināt rūpnīcas, kuras cēla Latvijas teritorijā, lai tajās ražotu produkciju militārām vajadzībām.</w:t>
            </w:r>
          </w:p>
          <w:p w:rsidR="00BF73F4" w:rsidRPr="00275EA6" w:rsidRDefault="00350A48" w:rsidP="00350A48">
            <w:pPr>
              <w:ind w:right="-79"/>
              <w:jc w:val="both"/>
              <w:rPr>
                <w:sz w:val="22"/>
                <w:szCs w:val="22"/>
              </w:rPr>
            </w:pPr>
            <w:r w:rsidRPr="00275EA6">
              <w:rPr>
                <w:i/>
                <w:iCs/>
                <w:sz w:val="22"/>
                <w:szCs w:val="22"/>
              </w:rPr>
              <w:t>Rezultāts</w:t>
            </w:r>
            <w:r w:rsidR="00BF73F4" w:rsidRPr="00275EA6">
              <w:rPr>
                <w:i/>
                <w:iCs/>
                <w:sz w:val="22"/>
                <w:szCs w:val="22"/>
              </w:rPr>
              <w:t xml:space="preserve"> – </w:t>
            </w:r>
            <w:r w:rsidR="00BF73F4" w:rsidRPr="00275EA6">
              <w:rPr>
                <w:sz w:val="22"/>
                <w:szCs w:val="22"/>
              </w:rPr>
              <w:t xml:space="preserve">sastādīts Latvijas PSR tautsaimniecības rūpnīcu saraksts, kurām bija MRK pasūtījums un PSRS Aizsardzības ministrijas tiešas pakļautības rūpnīcu saraksts. </w:t>
            </w:r>
          </w:p>
          <w:p w:rsidR="00BF73F4" w:rsidRPr="00275EA6" w:rsidRDefault="00BF73F4" w:rsidP="00350A48">
            <w:pPr>
              <w:ind w:right="-79"/>
              <w:jc w:val="both"/>
              <w:rPr>
                <w:sz w:val="22"/>
                <w:szCs w:val="22"/>
              </w:rPr>
            </w:pPr>
            <w:r w:rsidRPr="00275EA6">
              <w:rPr>
                <w:sz w:val="22"/>
                <w:szCs w:val="22"/>
              </w:rPr>
              <w:t>Uz arhīvu dokumentu pamata apkopoti materiāli par lielākajām tautsaimniecības rūpnīcām, kurām bija MRK pasūtījums.</w:t>
            </w:r>
          </w:p>
        </w:tc>
        <w:tc>
          <w:tcPr>
            <w:tcW w:w="1134" w:type="dxa"/>
          </w:tcPr>
          <w:p w:rsidR="00BF73F4" w:rsidRPr="00275EA6" w:rsidRDefault="00BF73F4" w:rsidP="004118C0">
            <w:pPr>
              <w:jc w:val="right"/>
              <w:rPr>
                <w:sz w:val="22"/>
                <w:szCs w:val="22"/>
              </w:rPr>
            </w:pPr>
            <w:r w:rsidRPr="00275EA6">
              <w:rPr>
                <w:sz w:val="22"/>
                <w:szCs w:val="22"/>
              </w:rPr>
              <w:t>1992</w:t>
            </w:r>
          </w:p>
        </w:tc>
      </w:tr>
      <w:tr w:rsidR="00BF73F4" w:rsidRPr="00275EA6" w:rsidTr="001637FD">
        <w:trPr>
          <w:trHeight w:val="676"/>
        </w:trPr>
        <w:tc>
          <w:tcPr>
            <w:tcW w:w="528" w:type="dxa"/>
          </w:tcPr>
          <w:p w:rsidR="00BF73F4" w:rsidRPr="00275EA6" w:rsidRDefault="00BF73F4" w:rsidP="004118C0">
            <w:pPr>
              <w:rPr>
                <w:sz w:val="22"/>
                <w:szCs w:val="22"/>
              </w:rPr>
            </w:pPr>
            <w:r w:rsidRPr="00275EA6">
              <w:rPr>
                <w:sz w:val="22"/>
                <w:szCs w:val="22"/>
              </w:rPr>
              <w:t>4</w:t>
            </w:r>
          </w:p>
        </w:tc>
        <w:tc>
          <w:tcPr>
            <w:tcW w:w="2557" w:type="dxa"/>
          </w:tcPr>
          <w:p w:rsidR="00BF73F4" w:rsidRPr="00275EA6" w:rsidRDefault="00BF73F4" w:rsidP="004118C0">
            <w:pPr>
              <w:rPr>
                <w:sz w:val="22"/>
                <w:szCs w:val="22"/>
              </w:rPr>
            </w:pPr>
            <w:r w:rsidRPr="00275EA6">
              <w:rPr>
                <w:sz w:val="22"/>
                <w:szCs w:val="22"/>
              </w:rPr>
              <w:t>Pētījums „PSRS militārā budžeta apjoms Latvijā 1946.-1960.</w:t>
            </w:r>
            <w:r w:rsidR="009F1FD1" w:rsidRPr="00275EA6">
              <w:rPr>
                <w:sz w:val="22"/>
                <w:szCs w:val="22"/>
              </w:rPr>
              <w:t xml:space="preserve"> </w:t>
            </w:r>
            <w:r w:rsidRPr="00275EA6">
              <w:rPr>
                <w:sz w:val="22"/>
                <w:szCs w:val="22"/>
              </w:rPr>
              <w:t xml:space="preserve">gadam” </w:t>
            </w:r>
          </w:p>
        </w:tc>
        <w:tc>
          <w:tcPr>
            <w:tcW w:w="5103" w:type="dxa"/>
          </w:tcPr>
          <w:p w:rsidR="00BF73F4" w:rsidRPr="00275EA6" w:rsidRDefault="00BF73F4" w:rsidP="00350A48">
            <w:pPr>
              <w:ind w:right="-79"/>
              <w:jc w:val="both"/>
              <w:rPr>
                <w:sz w:val="22"/>
                <w:szCs w:val="22"/>
                <w:u w:val="single"/>
              </w:rPr>
            </w:pPr>
            <w:r w:rsidRPr="00275EA6">
              <w:rPr>
                <w:i/>
                <w:iCs/>
                <w:sz w:val="22"/>
                <w:szCs w:val="22"/>
              </w:rPr>
              <w:t>Pamatmērķis</w:t>
            </w:r>
            <w:r w:rsidR="009F1FD1" w:rsidRPr="00275EA6">
              <w:rPr>
                <w:i/>
                <w:iCs/>
                <w:sz w:val="22"/>
                <w:szCs w:val="22"/>
              </w:rPr>
              <w:t xml:space="preserve"> </w:t>
            </w:r>
            <w:r w:rsidRPr="00275EA6">
              <w:rPr>
                <w:sz w:val="22"/>
                <w:szCs w:val="22"/>
              </w:rPr>
              <w:t>- uz PSRS laika dokumentu pamata iegūt informāciju, kas apliecina faktisko bilanci starp Latviju un PSRS, kā arī budžeta ieņēmumu un izdevumu struktūru 1946.</w:t>
            </w:r>
            <w:r w:rsidR="00350A48" w:rsidRPr="00275EA6">
              <w:rPr>
                <w:sz w:val="22"/>
                <w:szCs w:val="22"/>
              </w:rPr>
              <w:t xml:space="preserve"> </w:t>
            </w:r>
            <w:r w:rsidRPr="00275EA6">
              <w:rPr>
                <w:sz w:val="22"/>
                <w:szCs w:val="22"/>
              </w:rPr>
              <w:t>-</w:t>
            </w:r>
            <w:r w:rsidR="00350A48" w:rsidRPr="00275EA6">
              <w:rPr>
                <w:sz w:val="22"/>
                <w:szCs w:val="22"/>
              </w:rPr>
              <w:t xml:space="preserve"> </w:t>
            </w:r>
            <w:r w:rsidRPr="00275EA6">
              <w:rPr>
                <w:sz w:val="22"/>
                <w:szCs w:val="22"/>
              </w:rPr>
              <w:t>1960.</w:t>
            </w:r>
            <w:r w:rsidR="00350A48" w:rsidRPr="00275EA6">
              <w:rPr>
                <w:sz w:val="22"/>
                <w:szCs w:val="22"/>
              </w:rPr>
              <w:t xml:space="preserve"> </w:t>
            </w:r>
            <w:r w:rsidRPr="00275EA6">
              <w:rPr>
                <w:sz w:val="22"/>
                <w:szCs w:val="22"/>
              </w:rPr>
              <w:t>gadam.</w:t>
            </w:r>
          </w:p>
          <w:p w:rsidR="00BF73F4" w:rsidRPr="00275EA6" w:rsidRDefault="00BF73F4" w:rsidP="00350A48">
            <w:pPr>
              <w:ind w:right="-79"/>
              <w:jc w:val="both"/>
              <w:rPr>
                <w:sz w:val="22"/>
                <w:szCs w:val="22"/>
                <w:u w:val="single"/>
              </w:rPr>
            </w:pPr>
            <w:r w:rsidRPr="00275EA6">
              <w:rPr>
                <w:i/>
                <w:iCs/>
                <w:sz w:val="22"/>
                <w:szCs w:val="22"/>
              </w:rPr>
              <w:t>Pētījums rezultāt</w:t>
            </w:r>
            <w:r w:rsidR="00350A48" w:rsidRPr="00275EA6">
              <w:rPr>
                <w:i/>
                <w:iCs/>
                <w:sz w:val="22"/>
                <w:szCs w:val="22"/>
              </w:rPr>
              <w:t>ā</w:t>
            </w:r>
            <w:r w:rsidRPr="00275EA6">
              <w:rPr>
                <w:i/>
                <w:iCs/>
                <w:sz w:val="22"/>
                <w:szCs w:val="22"/>
              </w:rPr>
              <w:t xml:space="preserve"> </w:t>
            </w:r>
            <w:r w:rsidRPr="00275EA6">
              <w:rPr>
                <w:sz w:val="22"/>
                <w:szCs w:val="22"/>
                <w:lang w:eastAsia="en-US"/>
              </w:rPr>
              <w:t>sniedzis atbildes uz būtiskiem jautājumiem par laiku</w:t>
            </w:r>
            <w:r w:rsidR="008C6C0A">
              <w:rPr>
                <w:sz w:val="22"/>
                <w:szCs w:val="22"/>
                <w:lang w:eastAsia="en-US"/>
              </w:rPr>
              <w:t xml:space="preserve"> no </w:t>
            </w:r>
            <w:proofErr w:type="gramStart"/>
            <w:r w:rsidRPr="00275EA6">
              <w:rPr>
                <w:sz w:val="22"/>
                <w:szCs w:val="22"/>
                <w:lang w:eastAsia="en-US"/>
              </w:rPr>
              <w:t>1946. – 1960.</w:t>
            </w:r>
            <w:proofErr w:type="gramEnd"/>
            <w:r w:rsidR="00350A48" w:rsidRPr="00275EA6">
              <w:rPr>
                <w:sz w:val="22"/>
                <w:szCs w:val="22"/>
                <w:lang w:eastAsia="en-US"/>
              </w:rPr>
              <w:t xml:space="preserve"> </w:t>
            </w:r>
            <w:r w:rsidRPr="00275EA6">
              <w:rPr>
                <w:sz w:val="22"/>
                <w:szCs w:val="22"/>
                <w:lang w:eastAsia="en-US"/>
              </w:rPr>
              <w:t xml:space="preserve">gadam: </w:t>
            </w:r>
          </w:p>
          <w:p w:rsidR="00BF73F4" w:rsidRPr="00275EA6" w:rsidRDefault="00BF73F4" w:rsidP="00350A48">
            <w:pPr>
              <w:numPr>
                <w:ilvl w:val="0"/>
                <w:numId w:val="1"/>
              </w:numPr>
              <w:tabs>
                <w:tab w:val="clear" w:pos="720"/>
                <w:tab w:val="num" w:pos="361"/>
              </w:tabs>
              <w:ind w:left="361" w:hanging="284"/>
              <w:jc w:val="both"/>
              <w:rPr>
                <w:sz w:val="22"/>
                <w:szCs w:val="22"/>
              </w:rPr>
            </w:pPr>
            <w:r w:rsidRPr="00275EA6">
              <w:rPr>
                <w:sz w:val="22"/>
                <w:szCs w:val="22"/>
              </w:rPr>
              <w:t>Cik lielas investīcijas un no kādiem avotiem Latvijas ekonomikā faktiski veica PSRS;</w:t>
            </w:r>
          </w:p>
          <w:p w:rsidR="00BF73F4" w:rsidRPr="00275EA6" w:rsidRDefault="00BF73F4" w:rsidP="00350A48">
            <w:pPr>
              <w:pStyle w:val="Sarakstarindkopa"/>
              <w:numPr>
                <w:ilvl w:val="0"/>
                <w:numId w:val="1"/>
              </w:numPr>
              <w:tabs>
                <w:tab w:val="clear" w:pos="720"/>
                <w:tab w:val="num" w:pos="361"/>
              </w:tabs>
              <w:ind w:left="361" w:hanging="284"/>
              <w:jc w:val="both"/>
              <w:rPr>
                <w:sz w:val="22"/>
                <w:szCs w:val="22"/>
              </w:rPr>
            </w:pPr>
            <w:r w:rsidRPr="00275EA6">
              <w:rPr>
                <w:sz w:val="22"/>
                <w:szCs w:val="22"/>
              </w:rPr>
              <w:t>Cik izmaksāja okupācijas karaspēka atrašanās Latvijā un no kādiem līdzekļiem tas tika finansēts.</w:t>
            </w:r>
          </w:p>
        </w:tc>
        <w:tc>
          <w:tcPr>
            <w:tcW w:w="1134" w:type="dxa"/>
          </w:tcPr>
          <w:p w:rsidR="00BF73F4" w:rsidRPr="00275EA6" w:rsidRDefault="00BF73F4" w:rsidP="004118C0">
            <w:pPr>
              <w:jc w:val="right"/>
              <w:rPr>
                <w:sz w:val="22"/>
                <w:szCs w:val="22"/>
              </w:rPr>
            </w:pPr>
            <w:r w:rsidRPr="00275EA6">
              <w:rPr>
                <w:sz w:val="22"/>
                <w:szCs w:val="22"/>
              </w:rPr>
              <w:t>996</w:t>
            </w:r>
          </w:p>
        </w:tc>
      </w:tr>
      <w:tr w:rsidR="00BF73F4" w:rsidRPr="00275EA6" w:rsidTr="001637FD">
        <w:trPr>
          <w:trHeight w:val="537"/>
        </w:trPr>
        <w:tc>
          <w:tcPr>
            <w:tcW w:w="528" w:type="dxa"/>
          </w:tcPr>
          <w:p w:rsidR="00BF73F4" w:rsidRPr="00275EA6" w:rsidRDefault="00BF73F4" w:rsidP="00D23FE7">
            <w:pPr>
              <w:spacing w:before="60"/>
              <w:rPr>
                <w:sz w:val="22"/>
                <w:szCs w:val="22"/>
              </w:rPr>
            </w:pPr>
            <w:r w:rsidRPr="00275EA6">
              <w:rPr>
                <w:sz w:val="22"/>
                <w:szCs w:val="22"/>
              </w:rPr>
              <w:t>5</w:t>
            </w:r>
          </w:p>
        </w:tc>
        <w:tc>
          <w:tcPr>
            <w:tcW w:w="2557" w:type="dxa"/>
          </w:tcPr>
          <w:p w:rsidR="00BF73F4" w:rsidRPr="00275EA6" w:rsidRDefault="00BF73F4" w:rsidP="00113A02">
            <w:pPr>
              <w:spacing w:before="60"/>
              <w:rPr>
                <w:sz w:val="22"/>
                <w:szCs w:val="22"/>
              </w:rPr>
            </w:pPr>
            <w:r w:rsidRPr="00275EA6">
              <w:rPr>
                <w:sz w:val="22"/>
                <w:szCs w:val="22"/>
              </w:rPr>
              <w:t xml:space="preserve">Seminārs Viļņas Seimā par Latvijas MK Komisijas un Lietuvas nacistu un padomju okupācijas režīma </w:t>
            </w:r>
            <w:r w:rsidRPr="00275EA6">
              <w:rPr>
                <w:sz w:val="22"/>
                <w:szCs w:val="22"/>
              </w:rPr>
              <w:lastRenderedPageBreak/>
              <w:t>noziegumu izvērtēšanas</w:t>
            </w:r>
            <w:r w:rsidR="00350A48" w:rsidRPr="00275EA6">
              <w:rPr>
                <w:sz w:val="22"/>
                <w:szCs w:val="22"/>
              </w:rPr>
              <w:t xml:space="preserve"> </w:t>
            </w:r>
            <w:r w:rsidRPr="00275EA6">
              <w:rPr>
                <w:sz w:val="22"/>
                <w:szCs w:val="22"/>
              </w:rPr>
              <w:t>komisiju sadarbību (ceļa izdevumi un viesnīca divām personām)</w:t>
            </w:r>
          </w:p>
        </w:tc>
        <w:tc>
          <w:tcPr>
            <w:tcW w:w="5103" w:type="dxa"/>
          </w:tcPr>
          <w:p w:rsidR="00BF73F4" w:rsidRPr="00275EA6" w:rsidRDefault="00BF73F4" w:rsidP="008C6C0A">
            <w:pPr>
              <w:spacing w:before="60"/>
              <w:jc w:val="both"/>
              <w:rPr>
                <w:sz w:val="22"/>
                <w:szCs w:val="22"/>
              </w:rPr>
            </w:pPr>
            <w:r w:rsidRPr="00275EA6">
              <w:rPr>
                <w:sz w:val="22"/>
                <w:szCs w:val="22"/>
              </w:rPr>
              <w:lastRenderedPageBreak/>
              <w:t xml:space="preserve">Seminārs Lietuvas Seimā bija plaši organizēts, piedaloties augstākām Seima amatpersonām un masu </w:t>
            </w:r>
            <w:r w:rsidR="008C6C0A" w:rsidRPr="00275EA6">
              <w:rPr>
                <w:sz w:val="22"/>
                <w:szCs w:val="22"/>
              </w:rPr>
              <w:t>m</w:t>
            </w:r>
            <w:r w:rsidR="008C6C0A">
              <w:rPr>
                <w:sz w:val="22"/>
                <w:szCs w:val="22"/>
              </w:rPr>
              <w:t>e</w:t>
            </w:r>
            <w:r w:rsidR="008C6C0A" w:rsidRPr="00275EA6">
              <w:rPr>
                <w:sz w:val="22"/>
                <w:szCs w:val="22"/>
              </w:rPr>
              <w:t xml:space="preserve">diju </w:t>
            </w:r>
            <w:r w:rsidRPr="00275EA6">
              <w:rPr>
                <w:sz w:val="22"/>
                <w:szCs w:val="22"/>
              </w:rPr>
              <w:t xml:space="preserve">pārstāvjiem. Notika arī SOTIS asociācijas (kas dibināta, pamatojoties uz Latvijas LOIB biedrības pieredzes pamata) dibināšanas sanāksme, kurā </w:t>
            </w:r>
            <w:r w:rsidRPr="00275EA6">
              <w:rPr>
                <w:sz w:val="22"/>
                <w:szCs w:val="22"/>
              </w:rPr>
              <w:lastRenderedPageBreak/>
              <w:t xml:space="preserve">dalījāmies pieredzē un vienojāmies par turpmākās sadarbības </w:t>
            </w:r>
            <w:r w:rsidR="00350A48" w:rsidRPr="00275EA6">
              <w:rPr>
                <w:sz w:val="22"/>
                <w:szCs w:val="22"/>
              </w:rPr>
              <w:t>pamatvirzieniem</w:t>
            </w:r>
            <w:r w:rsidRPr="00275EA6">
              <w:rPr>
                <w:sz w:val="22"/>
                <w:szCs w:val="22"/>
              </w:rPr>
              <w:t xml:space="preserve"> Komisijas ietvaros</w:t>
            </w:r>
            <w:r w:rsidR="00350A48" w:rsidRPr="00275EA6">
              <w:rPr>
                <w:sz w:val="22"/>
                <w:szCs w:val="22"/>
              </w:rPr>
              <w:t>.</w:t>
            </w:r>
          </w:p>
        </w:tc>
        <w:tc>
          <w:tcPr>
            <w:tcW w:w="1134" w:type="dxa"/>
          </w:tcPr>
          <w:p w:rsidR="00BF73F4" w:rsidRPr="00275EA6" w:rsidRDefault="00BF73F4" w:rsidP="00D23FE7">
            <w:pPr>
              <w:spacing w:before="60"/>
              <w:jc w:val="right"/>
              <w:rPr>
                <w:sz w:val="22"/>
                <w:szCs w:val="22"/>
              </w:rPr>
            </w:pPr>
            <w:r w:rsidRPr="00275EA6">
              <w:rPr>
                <w:sz w:val="22"/>
                <w:szCs w:val="22"/>
              </w:rPr>
              <w:lastRenderedPageBreak/>
              <w:t>166</w:t>
            </w:r>
          </w:p>
        </w:tc>
      </w:tr>
      <w:tr w:rsidR="00BF73F4" w:rsidRPr="00275EA6" w:rsidTr="001637FD">
        <w:trPr>
          <w:trHeight w:val="661"/>
        </w:trPr>
        <w:tc>
          <w:tcPr>
            <w:tcW w:w="528" w:type="dxa"/>
          </w:tcPr>
          <w:p w:rsidR="00BF73F4" w:rsidRPr="00275EA6" w:rsidRDefault="00BF73F4" w:rsidP="00D23FE7">
            <w:pPr>
              <w:spacing w:before="60"/>
              <w:rPr>
                <w:sz w:val="22"/>
                <w:szCs w:val="22"/>
              </w:rPr>
            </w:pPr>
            <w:r w:rsidRPr="00275EA6">
              <w:rPr>
                <w:sz w:val="22"/>
                <w:szCs w:val="22"/>
              </w:rPr>
              <w:lastRenderedPageBreak/>
              <w:t>6</w:t>
            </w:r>
          </w:p>
        </w:tc>
        <w:tc>
          <w:tcPr>
            <w:tcW w:w="2557" w:type="dxa"/>
          </w:tcPr>
          <w:p w:rsidR="00BF73F4" w:rsidRPr="00275EA6" w:rsidRDefault="00BF73F4" w:rsidP="00113A02">
            <w:pPr>
              <w:spacing w:before="60"/>
              <w:rPr>
                <w:sz w:val="22"/>
                <w:szCs w:val="22"/>
              </w:rPr>
            </w:pPr>
            <w:r w:rsidRPr="00275EA6">
              <w:rPr>
                <w:sz w:val="22"/>
                <w:szCs w:val="22"/>
              </w:rPr>
              <w:t>Grāmatas „Padomju Savienības nodarītie zaudējumi Baltijā” tulkošanas darbi krievu valodā</w:t>
            </w:r>
          </w:p>
        </w:tc>
        <w:tc>
          <w:tcPr>
            <w:tcW w:w="5103" w:type="dxa"/>
          </w:tcPr>
          <w:p w:rsidR="00BF73F4" w:rsidRPr="00275EA6" w:rsidRDefault="00BF73F4" w:rsidP="00350A48">
            <w:pPr>
              <w:spacing w:before="60"/>
              <w:jc w:val="both"/>
              <w:rPr>
                <w:sz w:val="22"/>
                <w:szCs w:val="22"/>
              </w:rPr>
            </w:pPr>
            <w:r w:rsidRPr="00275EA6">
              <w:rPr>
                <w:sz w:val="22"/>
                <w:szCs w:val="22"/>
              </w:rPr>
              <w:t xml:space="preserve">Iztulkota un izrediģēta grāmata 260 lpp. apjomā, kas gatava nodošanai iespiešanai. </w:t>
            </w:r>
          </w:p>
          <w:p w:rsidR="00BF73F4" w:rsidRPr="00275EA6" w:rsidRDefault="00BF73F4" w:rsidP="00350A48">
            <w:pPr>
              <w:spacing w:before="60"/>
              <w:jc w:val="both"/>
              <w:rPr>
                <w:sz w:val="22"/>
                <w:szCs w:val="22"/>
              </w:rPr>
            </w:pPr>
            <w:r w:rsidRPr="00275EA6">
              <w:rPr>
                <w:sz w:val="22"/>
                <w:szCs w:val="22"/>
              </w:rPr>
              <w:t>Šajā grāmatā ir 6 valstu pārstāvju 20 referāti, kas tika nolasīti 2011.</w:t>
            </w:r>
            <w:r w:rsidR="00350A48" w:rsidRPr="00275EA6">
              <w:rPr>
                <w:sz w:val="22"/>
                <w:szCs w:val="22"/>
              </w:rPr>
              <w:t xml:space="preserve"> gada </w:t>
            </w:r>
            <w:r w:rsidRPr="00275EA6">
              <w:rPr>
                <w:sz w:val="22"/>
                <w:szCs w:val="22"/>
              </w:rPr>
              <w:t>LOIB organizētā konferencē par PSRS nodarītajiem zaudējumiem šajās valstīs tautsaimniecības, demogrāfijas un vides jomās.</w:t>
            </w:r>
          </w:p>
          <w:p w:rsidR="00BF73F4" w:rsidRPr="00275EA6" w:rsidRDefault="00BF73F4" w:rsidP="00350A48">
            <w:pPr>
              <w:spacing w:before="60"/>
              <w:jc w:val="both"/>
              <w:rPr>
                <w:sz w:val="22"/>
                <w:szCs w:val="22"/>
              </w:rPr>
            </w:pPr>
            <w:r w:rsidRPr="00275EA6">
              <w:rPr>
                <w:sz w:val="22"/>
                <w:szCs w:val="22"/>
              </w:rPr>
              <w:t>Šāda informācija nepieciešama krievvalodīga</w:t>
            </w:r>
            <w:r w:rsidR="008C6C0A">
              <w:rPr>
                <w:sz w:val="22"/>
                <w:szCs w:val="22"/>
              </w:rPr>
              <w:t>ja</w:t>
            </w:r>
            <w:r w:rsidRPr="00275EA6">
              <w:rPr>
                <w:sz w:val="22"/>
                <w:szCs w:val="22"/>
              </w:rPr>
              <w:t>i sabiedrības daļai.</w:t>
            </w:r>
          </w:p>
        </w:tc>
        <w:tc>
          <w:tcPr>
            <w:tcW w:w="1134" w:type="dxa"/>
          </w:tcPr>
          <w:p w:rsidR="00BF73F4" w:rsidRPr="00275EA6" w:rsidRDefault="00BF73F4" w:rsidP="00D23FE7">
            <w:pPr>
              <w:spacing w:before="60"/>
              <w:jc w:val="right"/>
              <w:rPr>
                <w:sz w:val="22"/>
                <w:szCs w:val="22"/>
              </w:rPr>
            </w:pPr>
            <w:r w:rsidRPr="00275EA6">
              <w:rPr>
                <w:sz w:val="22"/>
                <w:szCs w:val="22"/>
              </w:rPr>
              <w:t>2989</w:t>
            </w:r>
          </w:p>
        </w:tc>
      </w:tr>
      <w:tr w:rsidR="00BF73F4" w:rsidRPr="00275EA6" w:rsidTr="001637FD">
        <w:trPr>
          <w:trHeight w:val="661"/>
        </w:trPr>
        <w:tc>
          <w:tcPr>
            <w:tcW w:w="528" w:type="dxa"/>
          </w:tcPr>
          <w:p w:rsidR="00BF73F4" w:rsidRPr="00275EA6" w:rsidRDefault="00BF73F4" w:rsidP="00091685">
            <w:pPr>
              <w:spacing w:before="60"/>
              <w:rPr>
                <w:sz w:val="22"/>
                <w:szCs w:val="22"/>
              </w:rPr>
            </w:pPr>
            <w:r w:rsidRPr="00275EA6">
              <w:rPr>
                <w:sz w:val="22"/>
                <w:szCs w:val="22"/>
              </w:rPr>
              <w:t>7</w:t>
            </w:r>
          </w:p>
        </w:tc>
        <w:tc>
          <w:tcPr>
            <w:tcW w:w="2557" w:type="dxa"/>
          </w:tcPr>
          <w:p w:rsidR="00BF73F4" w:rsidRPr="00275EA6" w:rsidRDefault="00BF73F4" w:rsidP="00113A02">
            <w:pPr>
              <w:spacing w:before="60"/>
              <w:rPr>
                <w:sz w:val="22"/>
                <w:szCs w:val="22"/>
              </w:rPr>
            </w:pPr>
            <w:r w:rsidRPr="00275EA6">
              <w:rPr>
                <w:sz w:val="22"/>
                <w:szCs w:val="22"/>
              </w:rPr>
              <w:t xml:space="preserve">Konference „Latvijas rūpniecība pirms un pēc neatkarības atjaunošanas” </w:t>
            </w:r>
          </w:p>
        </w:tc>
        <w:tc>
          <w:tcPr>
            <w:tcW w:w="5103" w:type="dxa"/>
          </w:tcPr>
          <w:p w:rsidR="00350A48" w:rsidRPr="00275EA6" w:rsidRDefault="00BF73F4" w:rsidP="00350A48">
            <w:pPr>
              <w:autoSpaceDE w:val="0"/>
              <w:autoSpaceDN w:val="0"/>
              <w:adjustRightInd w:val="0"/>
              <w:jc w:val="both"/>
              <w:rPr>
                <w:sz w:val="22"/>
                <w:szCs w:val="22"/>
                <w:lang w:eastAsia="en-US"/>
              </w:rPr>
            </w:pPr>
            <w:r w:rsidRPr="00275EA6">
              <w:rPr>
                <w:sz w:val="22"/>
                <w:szCs w:val="22"/>
                <w:lang w:eastAsia="en-US"/>
              </w:rPr>
              <w:t xml:space="preserve">Kā zināms, Latvijas rūpniecība pirms PSRS okupācijas daudzās jomās bija augstākā līmenī nekā PSRS, jo pirmskara Latvija nepieredzēti strauji attīstījās. </w:t>
            </w:r>
          </w:p>
          <w:p w:rsidR="00BF73F4" w:rsidRPr="00275EA6" w:rsidRDefault="00BF73F4" w:rsidP="00350A48">
            <w:pPr>
              <w:autoSpaceDE w:val="0"/>
              <w:autoSpaceDN w:val="0"/>
              <w:adjustRightInd w:val="0"/>
              <w:jc w:val="both"/>
              <w:rPr>
                <w:sz w:val="22"/>
                <w:szCs w:val="22"/>
                <w:lang w:eastAsia="en-US"/>
              </w:rPr>
            </w:pPr>
            <w:r w:rsidRPr="00275EA6">
              <w:rPr>
                <w:i/>
                <w:iCs/>
                <w:sz w:val="22"/>
                <w:szCs w:val="22"/>
                <w:lang w:eastAsia="en-US"/>
              </w:rPr>
              <w:t>Konferences mērķis</w:t>
            </w:r>
            <w:r w:rsidRPr="00275EA6">
              <w:rPr>
                <w:sz w:val="22"/>
                <w:szCs w:val="22"/>
                <w:lang w:eastAsia="en-US"/>
              </w:rPr>
              <w:t xml:space="preserve"> bija – noskaidrot, kas notika ar šo rūpniecību pēc PSRS okupācijas </w:t>
            </w:r>
            <w:proofErr w:type="gramStart"/>
            <w:r w:rsidRPr="00275EA6">
              <w:rPr>
                <w:sz w:val="22"/>
                <w:szCs w:val="22"/>
                <w:lang w:eastAsia="en-US"/>
              </w:rPr>
              <w:t>1940.gadā</w:t>
            </w:r>
            <w:proofErr w:type="gramEnd"/>
            <w:r w:rsidRPr="00275EA6">
              <w:rPr>
                <w:sz w:val="22"/>
                <w:szCs w:val="22"/>
                <w:lang w:eastAsia="en-US"/>
              </w:rPr>
              <w:t xml:space="preserve">, kā tā tika pārveidota 50 gados esot PSRS sastāvā un kādēļ pēc neatkarības atgūšanas liela daļa no rūpnīcām sabruka. </w:t>
            </w:r>
            <w:r w:rsidRPr="00275EA6">
              <w:rPr>
                <w:i/>
                <w:iCs/>
                <w:sz w:val="22"/>
                <w:szCs w:val="22"/>
                <w:lang w:eastAsia="en-US"/>
              </w:rPr>
              <w:t>Rezultātā</w:t>
            </w:r>
            <w:r w:rsidRPr="00275EA6">
              <w:rPr>
                <w:sz w:val="22"/>
                <w:szCs w:val="22"/>
                <w:lang w:eastAsia="en-US"/>
              </w:rPr>
              <w:t xml:space="preserve"> - pirmo reizi tika sniegta atklāta</w:t>
            </w:r>
            <w:r w:rsidR="00350A48" w:rsidRPr="00275EA6">
              <w:rPr>
                <w:sz w:val="22"/>
                <w:szCs w:val="22"/>
                <w:lang w:eastAsia="en-US"/>
              </w:rPr>
              <w:t xml:space="preserve"> </w:t>
            </w:r>
            <w:r w:rsidRPr="00275EA6">
              <w:rPr>
                <w:sz w:val="22"/>
                <w:szCs w:val="22"/>
                <w:lang w:eastAsia="en-US"/>
              </w:rPr>
              <w:t xml:space="preserve">informācija, par ko 90-tajos gados nedrīkstējām runāt un ko vēl nezinājām un nesapratām. Uz šo faktu fona tika izvērtēta arī mūsdienu Latvijas rūpniecība un tās perspektīvas.14 </w:t>
            </w:r>
            <w:r w:rsidRPr="00275EA6">
              <w:rPr>
                <w:sz w:val="22"/>
                <w:szCs w:val="22"/>
              </w:rPr>
              <w:t xml:space="preserve">referātos, ar ko uzstājās bijušo lielo rūpnīcu vadītāji, tautsaimniecības speciālisti, bijušie ministri un ierēdņi, </w:t>
            </w:r>
            <w:r w:rsidRPr="00275EA6">
              <w:rPr>
                <w:sz w:val="22"/>
                <w:szCs w:val="22"/>
                <w:lang w:eastAsia="en-US"/>
              </w:rPr>
              <w:t>sniegtā informācija ļaus turpmāk veidot objektīvu, zinātniskajā apritē akceptētu izpratni par PSRS okupācijas sekām Latvijas tautsaimniecībā, tai skaitā rūpniecībā līdz pat mūsdienām.</w:t>
            </w:r>
          </w:p>
        </w:tc>
        <w:tc>
          <w:tcPr>
            <w:tcW w:w="1134" w:type="dxa"/>
          </w:tcPr>
          <w:p w:rsidR="00BF73F4" w:rsidRPr="00275EA6" w:rsidRDefault="00BF73F4" w:rsidP="00091685">
            <w:pPr>
              <w:spacing w:before="60"/>
              <w:jc w:val="right"/>
              <w:rPr>
                <w:sz w:val="22"/>
                <w:szCs w:val="22"/>
              </w:rPr>
            </w:pPr>
            <w:r w:rsidRPr="00275EA6">
              <w:rPr>
                <w:sz w:val="22"/>
                <w:szCs w:val="22"/>
              </w:rPr>
              <w:t>3770</w:t>
            </w:r>
          </w:p>
        </w:tc>
      </w:tr>
      <w:tr w:rsidR="00BF73F4" w:rsidRPr="00275EA6" w:rsidTr="001637FD">
        <w:trPr>
          <w:trHeight w:val="369"/>
        </w:trPr>
        <w:tc>
          <w:tcPr>
            <w:tcW w:w="528" w:type="dxa"/>
          </w:tcPr>
          <w:p w:rsidR="00BF73F4" w:rsidRPr="00275EA6" w:rsidRDefault="00BF73F4" w:rsidP="00091685">
            <w:pPr>
              <w:spacing w:before="60"/>
              <w:rPr>
                <w:sz w:val="22"/>
                <w:szCs w:val="22"/>
              </w:rPr>
            </w:pPr>
            <w:r w:rsidRPr="00275EA6">
              <w:rPr>
                <w:sz w:val="22"/>
                <w:szCs w:val="22"/>
              </w:rPr>
              <w:t>8</w:t>
            </w:r>
          </w:p>
        </w:tc>
        <w:tc>
          <w:tcPr>
            <w:tcW w:w="2557" w:type="dxa"/>
          </w:tcPr>
          <w:p w:rsidR="00BF73F4" w:rsidRPr="00275EA6" w:rsidRDefault="00BF73F4" w:rsidP="00113A02">
            <w:pPr>
              <w:spacing w:before="60"/>
              <w:rPr>
                <w:sz w:val="22"/>
                <w:szCs w:val="22"/>
              </w:rPr>
            </w:pPr>
            <w:r w:rsidRPr="00275EA6">
              <w:rPr>
                <w:sz w:val="22"/>
                <w:szCs w:val="22"/>
              </w:rPr>
              <w:t xml:space="preserve">Konferences materiālu apkopošana, rediģēšana </w:t>
            </w:r>
          </w:p>
        </w:tc>
        <w:tc>
          <w:tcPr>
            <w:tcW w:w="5103" w:type="dxa"/>
          </w:tcPr>
          <w:p w:rsidR="00BF73F4" w:rsidRPr="00275EA6" w:rsidRDefault="00BF73F4" w:rsidP="00350A48">
            <w:pPr>
              <w:spacing w:before="60"/>
              <w:jc w:val="both"/>
              <w:rPr>
                <w:sz w:val="22"/>
                <w:szCs w:val="22"/>
              </w:rPr>
            </w:pPr>
            <w:r w:rsidRPr="00275EA6">
              <w:rPr>
                <w:sz w:val="22"/>
                <w:szCs w:val="22"/>
              </w:rPr>
              <w:t>Apkopotie konferences materiāli būs pamats attiecīgas grāmatas izdošanai ar mērķi sniegt sabiedrībai labāku izpratni par PSRS laika ietekmi uz Latvijas t/s atsevišķām nozarēm.</w:t>
            </w:r>
          </w:p>
        </w:tc>
        <w:tc>
          <w:tcPr>
            <w:tcW w:w="1134" w:type="dxa"/>
          </w:tcPr>
          <w:p w:rsidR="00BF73F4" w:rsidRPr="00275EA6" w:rsidRDefault="00BF73F4" w:rsidP="00091685">
            <w:pPr>
              <w:spacing w:before="60"/>
              <w:jc w:val="right"/>
              <w:rPr>
                <w:sz w:val="22"/>
                <w:szCs w:val="22"/>
              </w:rPr>
            </w:pPr>
            <w:r w:rsidRPr="00275EA6">
              <w:rPr>
                <w:sz w:val="22"/>
                <w:szCs w:val="22"/>
              </w:rPr>
              <w:t>900</w:t>
            </w:r>
          </w:p>
        </w:tc>
      </w:tr>
      <w:tr w:rsidR="00BF73F4" w:rsidRPr="00275EA6" w:rsidTr="001637FD">
        <w:trPr>
          <w:trHeight w:val="384"/>
        </w:trPr>
        <w:tc>
          <w:tcPr>
            <w:tcW w:w="8188" w:type="dxa"/>
            <w:gridSpan w:val="3"/>
          </w:tcPr>
          <w:p w:rsidR="00BF73F4" w:rsidRPr="00275EA6" w:rsidRDefault="00BF73F4" w:rsidP="001637FD">
            <w:pPr>
              <w:rPr>
                <w:b/>
                <w:bCs/>
                <w:sz w:val="22"/>
                <w:szCs w:val="22"/>
              </w:rPr>
            </w:pPr>
            <w:r w:rsidRPr="00275EA6">
              <w:rPr>
                <w:b/>
                <w:bCs/>
                <w:sz w:val="22"/>
                <w:szCs w:val="22"/>
              </w:rPr>
              <w:t>Pavisam izlietoti</w:t>
            </w:r>
          </w:p>
          <w:p w:rsidR="00BF73F4" w:rsidRPr="00275EA6" w:rsidRDefault="00BF73F4" w:rsidP="001637FD">
            <w:pPr>
              <w:rPr>
                <w:sz w:val="22"/>
                <w:szCs w:val="22"/>
              </w:rPr>
            </w:pPr>
            <w:r w:rsidRPr="00275EA6">
              <w:rPr>
                <w:sz w:val="22"/>
                <w:szCs w:val="22"/>
              </w:rPr>
              <w:t>(atlikums 2 EUR)</w:t>
            </w:r>
          </w:p>
        </w:tc>
        <w:tc>
          <w:tcPr>
            <w:tcW w:w="1134" w:type="dxa"/>
            <w:vAlign w:val="center"/>
          </w:tcPr>
          <w:p w:rsidR="00BF73F4" w:rsidRPr="00275EA6" w:rsidRDefault="00BF73F4" w:rsidP="001637FD">
            <w:pPr>
              <w:jc w:val="right"/>
              <w:rPr>
                <w:b/>
                <w:bCs/>
                <w:sz w:val="22"/>
                <w:szCs w:val="22"/>
              </w:rPr>
            </w:pPr>
            <w:r w:rsidRPr="00275EA6">
              <w:rPr>
                <w:b/>
                <w:bCs/>
                <w:sz w:val="22"/>
                <w:szCs w:val="22"/>
              </w:rPr>
              <w:fldChar w:fldCharType="begin"/>
            </w:r>
            <w:r w:rsidRPr="00275EA6">
              <w:rPr>
                <w:b/>
                <w:bCs/>
                <w:sz w:val="22"/>
                <w:szCs w:val="22"/>
              </w:rPr>
              <w:instrText xml:space="preserve"> =SUM(ABOVE) </w:instrText>
            </w:r>
            <w:r w:rsidRPr="00275EA6">
              <w:rPr>
                <w:b/>
                <w:bCs/>
                <w:sz w:val="22"/>
                <w:szCs w:val="22"/>
              </w:rPr>
              <w:fldChar w:fldCharType="separate"/>
            </w:r>
            <w:r w:rsidRPr="00275EA6">
              <w:rPr>
                <w:b/>
                <w:bCs/>
                <w:noProof/>
                <w:sz w:val="22"/>
                <w:szCs w:val="22"/>
              </w:rPr>
              <w:t>14227</w:t>
            </w:r>
            <w:r w:rsidRPr="00275EA6">
              <w:rPr>
                <w:b/>
                <w:bCs/>
                <w:sz w:val="22"/>
                <w:szCs w:val="22"/>
              </w:rPr>
              <w:fldChar w:fldCharType="end"/>
            </w:r>
          </w:p>
        </w:tc>
      </w:tr>
    </w:tbl>
    <w:p w:rsidR="00BF73F4" w:rsidRDefault="00BF73F4" w:rsidP="00275EA6">
      <w:pPr>
        <w:pStyle w:val="Apakvirsraksts"/>
        <w:spacing w:line="240" w:lineRule="auto"/>
        <w:jc w:val="both"/>
        <w:rPr>
          <w:rFonts w:ascii="Times New Roman" w:hAnsi="Times New Roman" w:cs="Times New Roman"/>
          <w:b w:val="0"/>
          <w:bCs w:val="0"/>
          <w:sz w:val="22"/>
          <w:szCs w:val="22"/>
          <w:lang w:val="lv-LV"/>
        </w:rPr>
      </w:pPr>
      <w:r w:rsidRPr="008D39F8">
        <w:rPr>
          <w:rFonts w:ascii="Times New Roman" w:hAnsi="Times New Roman" w:cs="Times New Roman"/>
          <w:sz w:val="22"/>
          <w:szCs w:val="22"/>
          <w:lang w:val="lv-LV"/>
        </w:rPr>
        <w:t>*MRK</w:t>
      </w:r>
      <w:r w:rsidRPr="008D39F8">
        <w:rPr>
          <w:rFonts w:ascii="Times New Roman" w:hAnsi="Times New Roman" w:cs="Times New Roman"/>
          <w:b w:val="0"/>
          <w:bCs w:val="0"/>
          <w:sz w:val="22"/>
          <w:szCs w:val="22"/>
          <w:lang w:val="lv-LV"/>
        </w:rPr>
        <w:t xml:space="preserve"> </w:t>
      </w:r>
      <w:r>
        <w:rPr>
          <w:rFonts w:ascii="Times New Roman" w:hAnsi="Times New Roman" w:cs="Times New Roman"/>
          <w:b w:val="0"/>
          <w:bCs w:val="0"/>
          <w:sz w:val="22"/>
          <w:szCs w:val="22"/>
          <w:lang w:val="lv-LV"/>
        </w:rPr>
        <w:t>–</w:t>
      </w:r>
      <w:r w:rsidRPr="008D39F8">
        <w:rPr>
          <w:rFonts w:ascii="Times New Roman" w:hAnsi="Times New Roman" w:cs="Times New Roman"/>
          <w:b w:val="0"/>
          <w:bCs w:val="0"/>
          <w:sz w:val="22"/>
          <w:szCs w:val="22"/>
          <w:lang w:val="lv-LV"/>
        </w:rPr>
        <w:t xml:space="preserve"> militāri</w:t>
      </w:r>
      <w:r>
        <w:rPr>
          <w:rFonts w:ascii="Times New Roman" w:hAnsi="Times New Roman" w:cs="Times New Roman"/>
          <w:b w:val="0"/>
          <w:bCs w:val="0"/>
          <w:sz w:val="22"/>
          <w:szCs w:val="22"/>
          <w:lang w:val="lv-LV"/>
        </w:rPr>
        <w:t xml:space="preserve"> </w:t>
      </w:r>
      <w:r w:rsidRPr="008D39F8">
        <w:rPr>
          <w:rFonts w:ascii="Times New Roman" w:hAnsi="Times New Roman" w:cs="Times New Roman"/>
          <w:b w:val="0"/>
          <w:bCs w:val="0"/>
          <w:sz w:val="22"/>
          <w:szCs w:val="22"/>
          <w:lang w:val="lv-LV"/>
        </w:rPr>
        <w:t>rūpnieciskais</w:t>
      </w:r>
      <w:r>
        <w:rPr>
          <w:rFonts w:ascii="Times New Roman" w:hAnsi="Times New Roman" w:cs="Times New Roman"/>
          <w:b w:val="0"/>
          <w:bCs w:val="0"/>
          <w:sz w:val="22"/>
          <w:szCs w:val="22"/>
          <w:lang w:val="lv-LV"/>
        </w:rPr>
        <w:t xml:space="preserve"> </w:t>
      </w:r>
      <w:r w:rsidRPr="008D39F8">
        <w:rPr>
          <w:rFonts w:ascii="Times New Roman" w:hAnsi="Times New Roman" w:cs="Times New Roman"/>
          <w:b w:val="0"/>
          <w:bCs w:val="0"/>
          <w:sz w:val="22"/>
          <w:szCs w:val="22"/>
          <w:lang w:val="lv-LV"/>
        </w:rPr>
        <w:t>komplekss. Pēc</w:t>
      </w:r>
      <w:r>
        <w:rPr>
          <w:rFonts w:ascii="Times New Roman" w:hAnsi="Times New Roman" w:cs="Times New Roman"/>
          <w:b w:val="0"/>
          <w:bCs w:val="0"/>
          <w:sz w:val="22"/>
          <w:szCs w:val="22"/>
          <w:lang w:val="lv-LV"/>
        </w:rPr>
        <w:t xml:space="preserve"> </w:t>
      </w:r>
      <w:r w:rsidRPr="008D39F8">
        <w:rPr>
          <w:rFonts w:ascii="Times New Roman" w:hAnsi="Times New Roman" w:cs="Times New Roman"/>
          <w:b w:val="0"/>
          <w:bCs w:val="0"/>
          <w:sz w:val="22"/>
          <w:szCs w:val="22"/>
          <w:lang w:val="lv-LV"/>
        </w:rPr>
        <w:t>padomju</w:t>
      </w:r>
      <w:r>
        <w:rPr>
          <w:rFonts w:ascii="Times New Roman" w:hAnsi="Times New Roman" w:cs="Times New Roman"/>
          <w:b w:val="0"/>
          <w:bCs w:val="0"/>
          <w:sz w:val="22"/>
          <w:szCs w:val="22"/>
          <w:lang w:val="lv-LV"/>
        </w:rPr>
        <w:t xml:space="preserve"> </w:t>
      </w:r>
      <w:r w:rsidRPr="008D39F8">
        <w:rPr>
          <w:rFonts w:ascii="Times New Roman" w:hAnsi="Times New Roman" w:cs="Times New Roman"/>
          <w:b w:val="0"/>
          <w:bCs w:val="0"/>
          <w:sz w:val="22"/>
          <w:szCs w:val="22"/>
          <w:lang w:val="lv-LV"/>
        </w:rPr>
        <w:t>Enciklopēdijās</w:t>
      </w:r>
      <w:r>
        <w:rPr>
          <w:rFonts w:ascii="Times New Roman" w:hAnsi="Times New Roman" w:cs="Times New Roman"/>
          <w:b w:val="0"/>
          <w:bCs w:val="0"/>
          <w:sz w:val="22"/>
          <w:szCs w:val="22"/>
          <w:lang w:val="lv-LV"/>
        </w:rPr>
        <w:t xml:space="preserve"> </w:t>
      </w:r>
      <w:r w:rsidRPr="008D39F8">
        <w:rPr>
          <w:rFonts w:ascii="Times New Roman" w:hAnsi="Times New Roman" w:cs="Times New Roman"/>
          <w:b w:val="0"/>
          <w:bCs w:val="0"/>
          <w:sz w:val="22"/>
          <w:szCs w:val="22"/>
          <w:lang w:val="lv-LV"/>
        </w:rPr>
        <w:t>skaidrotā: “MRK ir</w:t>
      </w:r>
      <w:r>
        <w:rPr>
          <w:rFonts w:ascii="Times New Roman" w:hAnsi="Times New Roman" w:cs="Times New Roman"/>
          <w:b w:val="0"/>
          <w:bCs w:val="0"/>
          <w:sz w:val="22"/>
          <w:szCs w:val="22"/>
          <w:lang w:val="lv-LV"/>
        </w:rPr>
        <w:t xml:space="preserve"> </w:t>
      </w:r>
      <w:r w:rsidRPr="008D39F8">
        <w:rPr>
          <w:rFonts w:ascii="Times New Roman" w:hAnsi="Times New Roman" w:cs="Times New Roman"/>
          <w:b w:val="0"/>
          <w:bCs w:val="0"/>
          <w:sz w:val="22"/>
          <w:szCs w:val="22"/>
          <w:lang w:val="lv-LV"/>
        </w:rPr>
        <w:t>organizāciju, zinātniski</w:t>
      </w:r>
      <w:r>
        <w:rPr>
          <w:rFonts w:ascii="Times New Roman" w:hAnsi="Times New Roman" w:cs="Times New Roman"/>
          <w:b w:val="0"/>
          <w:bCs w:val="0"/>
          <w:sz w:val="22"/>
          <w:szCs w:val="22"/>
          <w:lang w:val="lv-LV"/>
        </w:rPr>
        <w:t xml:space="preserve"> </w:t>
      </w:r>
      <w:r w:rsidRPr="008D39F8">
        <w:rPr>
          <w:rFonts w:ascii="Times New Roman" w:hAnsi="Times New Roman" w:cs="Times New Roman"/>
          <w:b w:val="0"/>
          <w:bCs w:val="0"/>
          <w:sz w:val="22"/>
          <w:szCs w:val="22"/>
          <w:lang w:val="lv-LV"/>
        </w:rPr>
        <w:t>pētniecisko</w:t>
      </w:r>
      <w:r>
        <w:rPr>
          <w:rFonts w:ascii="Times New Roman" w:hAnsi="Times New Roman" w:cs="Times New Roman"/>
          <w:b w:val="0"/>
          <w:bCs w:val="0"/>
          <w:sz w:val="22"/>
          <w:szCs w:val="22"/>
          <w:lang w:val="lv-LV"/>
        </w:rPr>
        <w:t xml:space="preserve"> </w:t>
      </w:r>
      <w:r w:rsidRPr="008D39F8">
        <w:rPr>
          <w:rFonts w:ascii="Times New Roman" w:hAnsi="Times New Roman" w:cs="Times New Roman"/>
          <w:b w:val="0"/>
          <w:bCs w:val="0"/>
          <w:sz w:val="22"/>
          <w:szCs w:val="22"/>
          <w:lang w:val="lv-LV"/>
        </w:rPr>
        <w:t>iestāžu un</w:t>
      </w:r>
      <w:r>
        <w:rPr>
          <w:rFonts w:ascii="Times New Roman" w:hAnsi="Times New Roman" w:cs="Times New Roman"/>
          <w:b w:val="0"/>
          <w:bCs w:val="0"/>
          <w:sz w:val="22"/>
          <w:szCs w:val="22"/>
          <w:lang w:val="lv-LV"/>
        </w:rPr>
        <w:t xml:space="preserve"> </w:t>
      </w:r>
      <w:r w:rsidRPr="008D39F8">
        <w:rPr>
          <w:rFonts w:ascii="Times New Roman" w:hAnsi="Times New Roman" w:cs="Times New Roman"/>
          <w:b w:val="0"/>
          <w:bCs w:val="0"/>
          <w:sz w:val="22"/>
          <w:szCs w:val="22"/>
          <w:lang w:val="lv-LV"/>
        </w:rPr>
        <w:t>rūpnīcu</w:t>
      </w:r>
      <w:r>
        <w:rPr>
          <w:rFonts w:ascii="Times New Roman" w:hAnsi="Times New Roman" w:cs="Times New Roman"/>
          <w:b w:val="0"/>
          <w:bCs w:val="0"/>
          <w:sz w:val="22"/>
          <w:szCs w:val="22"/>
          <w:lang w:val="lv-LV"/>
        </w:rPr>
        <w:t xml:space="preserve"> </w:t>
      </w:r>
      <w:r w:rsidRPr="008D39F8">
        <w:rPr>
          <w:rFonts w:ascii="Times New Roman" w:hAnsi="Times New Roman" w:cs="Times New Roman"/>
          <w:b w:val="0"/>
          <w:bCs w:val="0"/>
          <w:sz w:val="22"/>
          <w:szCs w:val="22"/>
          <w:lang w:val="lv-LV"/>
        </w:rPr>
        <w:t>kopums, kurās</w:t>
      </w:r>
      <w:r>
        <w:rPr>
          <w:rFonts w:ascii="Times New Roman" w:hAnsi="Times New Roman" w:cs="Times New Roman"/>
          <w:b w:val="0"/>
          <w:bCs w:val="0"/>
          <w:sz w:val="22"/>
          <w:szCs w:val="22"/>
          <w:lang w:val="lv-LV"/>
        </w:rPr>
        <w:t xml:space="preserve"> </w:t>
      </w:r>
      <w:r w:rsidRPr="008D39F8">
        <w:rPr>
          <w:rFonts w:ascii="Times New Roman" w:hAnsi="Times New Roman" w:cs="Times New Roman"/>
          <w:b w:val="0"/>
          <w:bCs w:val="0"/>
          <w:sz w:val="22"/>
          <w:szCs w:val="22"/>
          <w:lang w:val="lv-LV"/>
        </w:rPr>
        <w:t>izpilda</w:t>
      </w:r>
      <w:r>
        <w:rPr>
          <w:rFonts w:ascii="Times New Roman" w:hAnsi="Times New Roman" w:cs="Times New Roman"/>
          <w:b w:val="0"/>
          <w:bCs w:val="0"/>
          <w:sz w:val="22"/>
          <w:szCs w:val="22"/>
          <w:lang w:val="lv-LV"/>
        </w:rPr>
        <w:t xml:space="preserve"> </w:t>
      </w:r>
      <w:r w:rsidRPr="008D39F8">
        <w:rPr>
          <w:rFonts w:ascii="Times New Roman" w:hAnsi="Times New Roman" w:cs="Times New Roman"/>
          <w:b w:val="0"/>
          <w:bCs w:val="0"/>
          <w:sz w:val="22"/>
          <w:szCs w:val="22"/>
          <w:lang w:val="lv-LV"/>
        </w:rPr>
        <w:t>valsts</w:t>
      </w:r>
      <w:r>
        <w:rPr>
          <w:rFonts w:ascii="Times New Roman" w:hAnsi="Times New Roman" w:cs="Times New Roman"/>
          <w:b w:val="0"/>
          <w:bCs w:val="0"/>
          <w:sz w:val="22"/>
          <w:szCs w:val="22"/>
          <w:lang w:val="lv-LV"/>
        </w:rPr>
        <w:t xml:space="preserve"> </w:t>
      </w:r>
      <w:r w:rsidRPr="008D39F8">
        <w:rPr>
          <w:rFonts w:ascii="Times New Roman" w:hAnsi="Times New Roman" w:cs="Times New Roman"/>
          <w:b w:val="0"/>
          <w:bCs w:val="0"/>
          <w:sz w:val="22"/>
          <w:szCs w:val="22"/>
          <w:lang w:val="lv-LV"/>
        </w:rPr>
        <w:t>militāro</w:t>
      </w:r>
      <w:r>
        <w:rPr>
          <w:rFonts w:ascii="Times New Roman" w:hAnsi="Times New Roman" w:cs="Times New Roman"/>
          <w:b w:val="0"/>
          <w:bCs w:val="0"/>
          <w:sz w:val="22"/>
          <w:szCs w:val="22"/>
          <w:lang w:val="lv-LV"/>
        </w:rPr>
        <w:t xml:space="preserve"> </w:t>
      </w:r>
      <w:r w:rsidRPr="008D39F8">
        <w:rPr>
          <w:rFonts w:ascii="Times New Roman" w:hAnsi="Times New Roman" w:cs="Times New Roman"/>
          <w:b w:val="0"/>
          <w:bCs w:val="0"/>
          <w:sz w:val="22"/>
          <w:szCs w:val="22"/>
          <w:lang w:val="lv-LV"/>
        </w:rPr>
        <w:t>pasūtījumu, t.i., ražo</w:t>
      </w:r>
      <w:r>
        <w:rPr>
          <w:rFonts w:ascii="Times New Roman" w:hAnsi="Times New Roman" w:cs="Times New Roman"/>
          <w:b w:val="0"/>
          <w:bCs w:val="0"/>
          <w:sz w:val="22"/>
          <w:szCs w:val="22"/>
          <w:lang w:val="lv-LV"/>
        </w:rPr>
        <w:t xml:space="preserve"> </w:t>
      </w:r>
      <w:r w:rsidRPr="008D39F8">
        <w:rPr>
          <w:rFonts w:ascii="Times New Roman" w:hAnsi="Times New Roman" w:cs="Times New Roman"/>
          <w:b w:val="0"/>
          <w:bCs w:val="0"/>
          <w:sz w:val="22"/>
          <w:szCs w:val="22"/>
          <w:lang w:val="lv-LV"/>
        </w:rPr>
        <w:t>produkciju un sniedz</w:t>
      </w:r>
      <w:r>
        <w:rPr>
          <w:rFonts w:ascii="Times New Roman" w:hAnsi="Times New Roman" w:cs="Times New Roman"/>
          <w:b w:val="0"/>
          <w:bCs w:val="0"/>
          <w:sz w:val="22"/>
          <w:szCs w:val="22"/>
          <w:lang w:val="lv-LV"/>
        </w:rPr>
        <w:t xml:space="preserve"> </w:t>
      </w:r>
      <w:r w:rsidRPr="008D39F8">
        <w:rPr>
          <w:rFonts w:ascii="Times New Roman" w:hAnsi="Times New Roman" w:cs="Times New Roman"/>
          <w:b w:val="0"/>
          <w:bCs w:val="0"/>
          <w:sz w:val="22"/>
          <w:szCs w:val="22"/>
          <w:lang w:val="lv-LV"/>
        </w:rPr>
        <w:t>pakalpojumus</w:t>
      </w:r>
      <w:r>
        <w:rPr>
          <w:rFonts w:ascii="Times New Roman" w:hAnsi="Times New Roman" w:cs="Times New Roman"/>
          <w:b w:val="0"/>
          <w:bCs w:val="0"/>
          <w:sz w:val="22"/>
          <w:szCs w:val="22"/>
          <w:lang w:val="lv-LV"/>
        </w:rPr>
        <w:t xml:space="preserve"> </w:t>
      </w:r>
      <w:r w:rsidRPr="008D39F8">
        <w:rPr>
          <w:rFonts w:ascii="Times New Roman" w:hAnsi="Times New Roman" w:cs="Times New Roman"/>
          <w:b w:val="0"/>
          <w:bCs w:val="0"/>
          <w:sz w:val="22"/>
          <w:szCs w:val="22"/>
          <w:lang w:val="lv-LV"/>
        </w:rPr>
        <w:t>valsts</w:t>
      </w:r>
      <w:r>
        <w:rPr>
          <w:rFonts w:ascii="Times New Roman" w:hAnsi="Times New Roman" w:cs="Times New Roman"/>
          <w:b w:val="0"/>
          <w:bCs w:val="0"/>
          <w:sz w:val="22"/>
          <w:szCs w:val="22"/>
          <w:lang w:val="lv-LV"/>
        </w:rPr>
        <w:t xml:space="preserve"> </w:t>
      </w:r>
      <w:r w:rsidRPr="008D39F8">
        <w:rPr>
          <w:rFonts w:ascii="Times New Roman" w:hAnsi="Times New Roman" w:cs="Times New Roman"/>
          <w:b w:val="0"/>
          <w:bCs w:val="0"/>
          <w:sz w:val="22"/>
          <w:szCs w:val="22"/>
          <w:lang w:val="lv-LV"/>
        </w:rPr>
        <w:t>aizsardzības un armijas</w:t>
      </w:r>
      <w:r>
        <w:rPr>
          <w:rFonts w:ascii="Times New Roman" w:hAnsi="Times New Roman" w:cs="Times New Roman"/>
          <w:b w:val="0"/>
          <w:bCs w:val="0"/>
          <w:sz w:val="22"/>
          <w:szCs w:val="22"/>
          <w:lang w:val="lv-LV"/>
        </w:rPr>
        <w:t xml:space="preserve"> </w:t>
      </w:r>
      <w:r w:rsidRPr="008D39F8">
        <w:rPr>
          <w:rFonts w:ascii="Times New Roman" w:hAnsi="Times New Roman" w:cs="Times New Roman"/>
          <w:b w:val="0"/>
          <w:bCs w:val="0"/>
          <w:sz w:val="22"/>
          <w:szCs w:val="22"/>
          <w:lang w:val="lv-LV"/>
        </w:rPr>
        <w:t>interesēs” (</w:t>
      </w:r>
      <w:r w:rsidR="003161CF">
        <w:rPr>
          <w:rFonts w:ascii="Times New Roman" w:hAnsi="Times New Roman" w:cs="Times New Roman"/>
          <w:b w:val="0"/>
          <w:bCs w:val="0"/>
          <w:sz w:val="22"/>
          <w:szCs w:val="22"/>
          <w:lang w:val="lv-LV"/>
        </w:rPr>
        <w:t>t</w:t>
      </w:r>
      <w:r w:rsidR="003161CF" w:rsidRPr="008D39F8">
        <w:rPr>
          <w:rFonts w:ascii="Times New Roman" w:hAnsi="Times New Roman" w:cs="Times New Roman"/>
          <w:b w:val="0"/>
          <w:bCs w:val="0"/>
          <w:sz w:val="22"/>
          <w:szCs w:val="22"/>
          <w:lang w:val="lv-LV"/>
        </w:rPr>
        <w:t xml:space="preserve">ātad </w:t>
      </w:r>
      <w:r w:rsidRPr="008D39F8">
        <w:rPr>
          <w:rFonts w:ascii="Times New Roman" w:hAnsi="Times New Roman" w:cs="Times New Roman"/>
          <w:b w:val="0"/>
          <w:bCs w:val="0"/>
          <w:sz w:val="22"/>
          <w:szCs w:val="22"/>
          <w:lang w:val="lv-LV"/>
        </w:rPr>
        <w:t>- visas rūpnīcas, ražotnes un zinātniski</w:t>
      </w:r>
      <w:r w:rsidR="008C6C0A">
        <w:rPr>
          <w:rFonts w:ascii="Times New Roman" w:hAnsi="Times New Roman" w:cs="Times New Roman"/>
          <w:b w:val="0"/>
          <w:bCs w:val="0"/>
          <w:sz w:val="22"/>
          <w:szCs w:val="22"/>
          <w:lang w:val="lv-LV"/>
        </w:rPr>
        <w:t xml:space="preserve"> </w:t>
      </w:r>
      <w:r w:rsidRPr="008D39F8">
        <w:rPr>
          <w:rFonts w:ascii="Times New Roman" w:hAnsi="Times New Roman" w:cs="Times New Roman"/>
          <w:b w:val="0"/>
          <w:bCs w:val="0"/>
          <w:sz w:val="22"/>
          <w:szCs w:val="22"/>
          <w:lang w:val="lv-LV"/>
        </w:rPr>
        <w:t>pētnieciskās</w:t>
      </w:r>
      <w:r>
        <w:rPr>
          <w:rFonts w:ascii="Times New Roman" w:hAnsi="Times New Roman" w:cs="Times New Roman"/>
          <w:b w:val="0"/>
          <w:bCs w:val="0"/>
          <w:sz w:val="22"/>
          <w:szCs w:val="22"/>
          <w:lang w:val="lv-LV"/>
        </w:rPr>
        <w:t xml:space="preserve"> </w:t>
      </w:r>
      <w:r w:rsidRPr="008D39F8">
        <w:rPr>
          <w:rFonts w:ascii="Times New Roman" w:hAnsi="Times New Roman" w:cs="Times New Roman"/>
          <w:b w:val="0"/>
          <w:bCs w:val="0"/>
          <w:sz w:val="22"/>
          <w:szCs w:val="22"/>
          <w:lang w:val="lv-LV"/>
        </w:rPr>
        <w:t>iestādes, kurām</w:t>
      </w:r>
      <w:r>
        <w:rPr>
          <w:rFonts w:ascii="Times New Roman" w:hAnsi="Times New Roman" w:cs="Times New Roman"/>
          <w:b w:val="0"/>
          <w:bCs w:val="0"/>
          <w:sz w:val="22"/>
          <w:szCs w:val="22"/>
          <w:lang w:val="lv-LV"/>
        </w:rPr>
        <w:t xml:space="preserve"> </w:t>
      </w:r>
      <w:r w:rsidRPr="008D39F8">
        <w:rPr>
          <w:rFonts w:ascii="Times New Roman" w:hAnsi="Times New Roman" w:cs="Times New Roman"/>
          <w:b w:val="0"/>
          <w:bCs w:val="0"/>
          <w:sz w:val="22"/>
          <w:szCs w:val="22"/>
          <w:lang w:val="lv-LV"/>
        </w:rPr>
        <w:t>ir</w:t>
      </w:r>
      <w:r>
        <w:rPr>
          <w:rFonts w:ascii="Times New Roman" w:hAnsi="Times New Roman" w:cs="Times New Roman"/>
          <w:b w:val="0"/>
          <w:bCs w:val="0"/>
          <w:sz w:val="22"/>
          <w:szCs w:val="22"/>
          <w:lang w:val="lv-LV"/>
        </w:rPr>
        <w:t xml:space="preserve"> </w:t>
      </w:r>
      <w:r w:rsidRPr="008D39F8">
        <w:rPr>
          <w:rFonts w:ascii="Times New Roman" w:hAnsi="Times New Roman" w:cs="Times New Roman"/>
          <w:b w:val="0"/>
          <w:bCs w:val="0"/>
          <w:sz w:val="22"/>
          <w:szCs w:val="22"/>
          <w:lang w:val="lv-LV"/>
        </w:rPr>
        <w:t>militārais</w:t>
      </w:r>
      <w:r>
        <w:rPr>
          <w:rFonts w:ascii="Times New Roman" w:hAnsi="Times New Roman" w:cs="Times New Roman"/>
          <w:b w:val="0"/>
          <w:bCs w:val="0"/>
          <w:sz w:val="22"/>
          <w:szCs w:val="22"/>
          <w:lang w:val="lv-LV"/>
        </w:rPr>
        <w:t xml:space="preserve"> </w:t>
      </w:r>
      <w:r w:rsidRPr="008D39F8">
        <w:rPr>
          <w:rFonts w:ascii="Times New Roman" w:hAnsi="Times New Roman" w:cs="Times New Roman"/>
          <w:b w:val="0"/>
          <w:bCs w:val="0"/>
          <w:sz w:val="22"/>
          <w:szCs w:val="22"/>
          <w:lang w:val="lv-LV"/>
        </w:rPr>
        <w:t xml:space="preserve">pasūtījums, jāpieskaita </w:t>
      </w:r>
      <w:r w:rsidR="008C6C0A" w:rsidRPr="008D39F8">
        <w:rPr>
          <w:rFonts w:ascii="Times New Roman" w:hAnsi="Times New Roman" w:cs="Times New Roman"/>
          <w:b w:val="0"/>
          <w:bCs w:val="0"/>
          <w:sz w:val="22"/>
          <w:szCs w:val="22"/>
          <w:lang w:val="lv-LV"/>
        </w:rPr>
        <w:t>MRK</w:t>
      </w:r>
      <w:r w:rsidRPr="008D39F8">
        <w:rPr>
          <w:rFonts w:ascii="Times New Roman" w:hAnsi="Times New Roman" w:cs="Times New Roman"/>
          <w:b w:val="0"/>
          <w:bCs w:val="0"/>
          <w:sz w:val="22"/>
          <w:szCs w:val="22"/>
          <w:lang w:val="lv-LV"/>
        </w:rPr>
        <w:t>)</w:t>
      </w:r>
      <w:r w:rsidR="003161CF">
        <w:rPr>
          <w:rFonts w:ascii="Times New Roman" w:hAnsi="Times New Roman" w:cs="Times New Roman"/>
          <w:b w:val="0"/>
          <w:bCs w:val="0"/>
          <w:sz w:val="22"/>
          <w:szCs w:val="22"/>
          <w:lang w:val="lv-LV"/>
        </w:rPr>
        <w:t>.</w:t>
      </w:r>
    </w:p>
    <w:p w:rsidR="003A3A43" w:rsidRDefault="003A3A43" w:rsidP="001C2AE2">
      <w:pPr>
        <w:pStyle w:val="Apakvirsraksts"/>
        <w:spacing w:line="240" w:lineRule="auto"/>
        <w:jc w:val="left"/>
        <w:rPr>
          <w:rFonts w:ascii="Times New Roman" w:hAnsi="Times New Roman" w:cs="Times New Roman"/>
          <w:b w:val="0"/>
          <w:bCs w:val="0"/>
          <w:sz w:val="22"/>
          <w:szCs w:val="22"/>
          <w:lang w:val="lv-LV"/>
        </w:rPr>
      </w:pPr>
    </w:p>
    <w:p w:rsidR="00275EA6" w:rsidRDefault="00275EA6" w:rsidP="001C2AE2">
      <w:pPr>
        <w:pStyle w:val="Apakvirsraksts"/>
        <w:spacing w:line="240" w:lineRule="auto"/>
        <w:jc w:val="left"/>
        <w:rPr>
          <w:rFonts w:ascii="Times New Roman" w:hAnsi="Times New Roman" w:cs="Times New Roman"/>
          <w:b w:val="0"/>
          <w:bCs w:val="0"/>
          <w:sz w:val="22"/>
          <w:szCs w:val="22"/>
          <w:lang w:val="lv-LV"/>
        </w:rPr>
      </w:pPr>
    </w:p>
    <w:p w:rsidR="00275EA6" w:rsidRDefault="00275EA6" w:rsidP="001C2AE2">
      <w:pPr>
        <w:pStyle w:val="Apakvirsraksts"/>
        <w:spacing w:line="240" w:lineRule="auto"/>
        <w:jc w:val="left"/>
        <w:rPr>
          <w:rFonts w:ascii="Times New Roman" w:hAnsi="Times New Roman" w:cs="Times New Roman"/>
          <w:b w:val="0"/>
          <w:bCs w:val="0"/>
          <w:sz w:val="22"/>
          <w:szCs w:val="22"/>
          <w:lang w:val="lv-LV"/>
        </w:rPr>
      </w:pPr>
    </w:p>
    <w:p w:rsidR="003A3A43" w:rsidRPr="00340089" w:rsidRDefault="003A3A43" w:rsidP="003A3A43">
      <w:pPr>
        <w:spacing w:after="200" w:line="276" w:lineRule="auto"/>
        <w:rPr>
          <w:rFonts w:eastAsia="Calibri"/>
          <w:sz w:val="22"/>
          <w:lang w:eastAsia="en-US"/>
        </w:rPr>
      </w:pPr>
      <w:r w:rsidRPr="00340089">
        <w:rPr>
          <w:rFonts w:eastAsia="Calibri"/>
          <w:sz w:val="22"/>
          <w:lang w:eastAsia="en-US"/>
        </w:rPr>
        <w:t>Tieslietu ministrs</w:t>
      </w:r>
      <w:proofErr w:type="gramStart"/>
      <w:r w:rsidRPr="00340089">
        <w:rPr>
          <w:rFonts w:eastAsia="Calibri"/>
          <w:sz w:val="22"/>
          <w:lang w:eastAsia="en-US"/>
        </w:rPr>
        <w:t xml:space="preserve">                                                                                               </w:t>
      </w:r>
      <w:r w:rsidR="00340089">
        <w:rPr>
          <w:rFonts w:eastAsia="Calibri"/>
          <w:sz w:val="22"/>
          <w:lang w:eastAsia="en-US"/>
        </w:rPr>
        <w:t xml:space="preserve">              </w:t>
      </w:r>
      <w:r w:rsidRPr="00340089">
        <w:rPr>
          <w:rFonts w:eastAsia="Calibri"/>
          <w:sz w:val="22"/>
          <w:lang w:eastAsia="en-US"/>
        </w:rPr>
        <w:t xml:space="preserve">        </w:t>
      </w:r>
      <w:proofErr w:type="gramEnd"/>
      <w:r w:rsidRPr="00340089">
        <w:rPr>
          <w:rFonts w:eastAsia="Calibri"/>
          <w:sz w:val="22"/>
          <w:lang w:eastAsia="en-US"/>
        </w:rPr>
        <w:t>Dz. Rasnačs</w:t>
      </w:r>
    </w:p>
    <w:p w:rsidR="00340089" w:rsidRDefault="00340089" w:rsidP="003A3A43">
      <w:pPr>
        <w:jc w:val="both"/>
        <w:rPr>
          <w:lang w:eastAsia="en-US"/>
        </w:rPr>
      </w:pPr>
    </w:p>
    <w:p w:rsidR="00340089" w:rsidRPr="003A3A43" w:rsidRDefault="00340089" w:rsidP="003A3A43">
      <w:pPr>
        <w:jc w:val="both"/>
        <w:rPr>
          <w:lang w:eastAsia="en-US"/>
        </w:rPr>
      </w:pPr>
    </w:p>
    <w:p w:rsidR="00275EA6" w:rsidRDefault="00275EA6" w:rsidP="0047345D">
      <w:pPr>
        <w:rPr>
          <w:rFonts w:eastAsia="Calibri"/>
          <w:sz w:val="20"/>
          <w:szCs w:val="22"/>
          <w:lang w:val="en-US" w:eastAsia="en-US"/>
        </w:rPr>
      </w:pPr>
    </w:p>
    <w:p w:rsidR="0047345D" w:rsidRPr="0047345D" w:rsidRDefault="0047345D" w:rsidP="0047345D">
      <w:pPr>
        <w:rPr>
          <w:rFonts w:eastAsia="Calibri"/>
          <w:sz w:val="20"/>
          <w:szCs w:val="22"/>
          <w:lang w:val="en-US" w:eastAsia="en-US"/>
        </w:rPr>
      </w:pPr>
      <w:r>
        <w:rPr>
          <w:rFonts w:eastAsia="Calibri"/>
          <w:sz w:val="20"/>
          <w:szCs w:val="22"/>
          <w:lang w:val="en-US" w:eastAsia="en-US"/>
        </w:rPr>
        <w:t>0</w:t>
      </w:r>
      <w:r w:rsidR="001637FD">
        <w:rPr>
          <w:rFonts w:eastAsia="Calibri"/>
          <w:sz w:val="20"/>
          <w:szCs w:val="22"/>
          <w:lang w:val="en-US" w:eastAsia="en-US"/>
        </w:rPr>
        <w:t>9</w:t>
      </w:r>
      <w:r>
        <w:rPr>
          <w:rFonts w:eastAsia="Calibri"/>
          <w:sz w:val="20"/>
          <w:szCs w:val="22"/>
          <w:lang w:val="en-US" w:eastAsia="en-US"/>
        </w:rPr>
        <w:t>.01.2015. 1</w:t>
      </w:r>
      <w:r w:rsidR="001637FD">
        <w:rPr>
          <w:rFonts w:eastAsia="Calibri"/>
          <w:sz w:val="20"/>
          <w:szCs w:val="22"/>
          <w:lang w:val="en-US" w:eastAsia="en-US"/>
        </w:rPr>
        <w:t>1</w:t>
      </w:r>
      <w:r>
        <w:rPr>
          <w:rFonts w:eastAsia="Calibri"/>
          <w:sz w:val="20"/>
          <w:szCs w:val="22"/>
          <w:lang w:val="en-US" w:eastAsia="en-US"/>
        </w:rPr>
        <w:t>:</w:t>
      </w:r>
      <w:r w:rsidR="001637FD">
        <w:rPr>
          <w:rFonts w:eastAsia="Calibri"/>
          <w:sz w:val="20"/>
          <w:szCs w:val="22"/>
          <w:lang w:val="en-US" w:eastAsia="en-US"/>
        </w:rPr>
        <w:t>02</w:t>
      </w:r>
    </w:p>
    <w:p w:rsidR="0047345D" w:rsidRDefault="008C6C0A" w:rsidP="0047345D">
      <w:pPr>
        <w:rPr>
          <w:rFonts w:eastAsia="Calibri"/>
          <w:sz w:val="20"/>
          <w:szCs w:val="22"/>
          <w:lang w:val="en-US" w:eastAsia="en-US"/>
        </w:rPr>
      </w:pPr>
      <w:r>
        <w:rPr>
          <w:rFonts w:eastAsia="Calibri"/>
          <w:sz w:val="20"/>
          <w:szCs w:val="22"/>
          <w:lang w:val="en-US" w:eastAsia="en-US"/>
        </w:rPr>
        <w:fldChar w:fldCharType="begin"/>
      </w:r>
      <w:r>
        <w:rPr>
          <w:rFonts w:eastAsia="Calibri"/>
          <w:sz w:val="20"/>
          <w:szCs w:val="22"/>
          <w:lang w:val="en-US" w:eastAsia="en-US"/>
        </w:rPr>
        <w:instrText xml:space="preserve"> NUMWORDS   \* MERGEFORMAT </w:instrText>
      </w:r>
      <w:r>
        <w:rPr>
          <w:rFonts w:eastAsia="Calibri"/>
          <w:sz w:val="20"/>
          <w:szCs w:val="22"/>
          <w:lang w:val="en-US" w:eastAsia="en-US"/>
        </w:rPr>
        <w:fldChar w:fldCharType="separate"/>
      </w:r>
      <w:r>
        <w:rPr>
          <w:rFonts w:eastAsia="Calibri"/>
          <w:noProof/>
          <w:sz w:val="20"/>
          <w:szCs w:val="22"/>
          <w:lang w:val="en-US" w:eastAsia="en-US"/>
        </w:rPr>
        <w:t>677</w:t>
      </w:r>
      <w:r>
        <w:rPr>
          <w:rFonts w:eastAsia="Calibri"/>
          <w:sz w:val="20"/>
          <w:szCs w:val="22"/>
          <w:lang w:val="en-US" w:eastAsia="en-US"/>
        </w:rPr>
        <w:fldChar w:fldCharType="end"/>
      </w:r>
    </w:p>
    <w:p w:rsidR="0047345D" w:rsidRPr="0047345D" w:rsidRDefault="0047345D" w:rsidP="0047345D">
      <w:pPr>
        <w:rPr>
          <w:rFonts w:eastAsia="Calibri"/>
          <w:sz w:val="20"/>
          <w:szCs w:val="22"/>
          <w:lang w:eastAsia="en-US"/>
        </w:rPr>
      </w:pPr>
      <w:r w:rsidRPr="0047345D">
        <w:rPr>
          <w:rFonts w:eastAsia="Calibri"/>
          <w:sz w:val="20"/>
          <w:szCs w:val="22"/>
          <w:lang w:eastAsia="en-US"/>
        </w:rPr>
        <w:t>Komisijas locekle,</w:t>
      </w:r>
    </w:p>
    <w:p w:rsidR="0047345D" w:rsidRPr="0047345D" w:rsidRDefault="0047345D" w:rsidP="0047345D">
      <w:pPr>
        <w:rPr>
          <w:rFonts w:eastAsia="Calibri"/>
          <w:sz w:val="20"/>
          <w:szCs w:val="22"/>
          <w:lang w:eastAsia="en-US"/>
        </w:rPr>
      </w:pPr>
      <w:r w:rsidRPr="0047345D">
        <w:rPr>
          <w:rFonts w:eastAsia="Calibri"/>
          <w:sz w:val="20"/>
          <w:szCs w:val="22"/>
          <w:lang w:eastAsia="en-US"/>
        </w:rPr>
        <w:t>LOIB valdes priekšsēdētāja</w:t>
      </w:r>
    </w:p>
    <w:p w:rsidR="0047345D" w:rsidRPr="0047345D" w:rsidRDefault="0047345D" w:rsidP="0047345D">
      <w:pPr>
        <w:rPr>
          <w:rFonts w:eastAsia="Calibri"/>
          <w:sz w:val="20"/>
          <w:szCs w:val="22"/>
          <w:lang w:eastAsia="en-US"/>
        </w:rPr>
      </w:pPr>
      <w:proofErr w:type="spellStart"/>
      <w:r w:rsidRPr="0047345D">
        <w:rPr>
          <w:rFonts w:eastAsia="Calibri"/>
          <w:sz w:val="20"/>
          <w:szCs w:val="22"/>
          <w:lang w:eastAsia="en-US"/>
        </w:rPr>
        <w:t>R.Pazdere</w:t>
      </w:r>
      <w:proofErr w:type="spellEnd"/>
      <w:r w:rsidRPr="0047345D">
        <w:rPr>
          <w:rFonts w:eastAsia="Calibri"/>
          <w:sz w:val="20"/>
          <w:szCs w:val="22"/>
          <w:lang w:eastAsia="en-US"/>
        </w:rPr>
        <w:t xml:space="preserve">, </w:t>
      </w:r>
    </w:p>
    <w:p w:rsidR="003A3A43" w:rsidRPr="0047345D" w:rsidRDefault="0047345D" w:rsidP="0047345D">
      <w:pPr>
        <w:rPr>
          <w:b/>
          <w:bCs/>
          <w:sz w:val="20"/>
          <w:szCs w:val="22"/>
        </w:rPr>
      </w:pPr>
      <w:r w:rsidRPr="0047345D">
        <w:rPr>
          <w:rFonts w:eastAsia="Calibri"/>
          <w:sz w:val="20"/>
          <w:szCs w:val="22"/>
          <w:lang w:eastAsia="en-US"/>
        </w:rPr>
        <w:t>29521934, loib@inbox.lv</w:t>
      </w:r>
    </w:p>
    <w:sectPr w:rsidR="003A3A43" w:rsidRPr="0047345D" w:rsidSect="00275EA6">
      <w:headerReference w:type="even" r:id="rId9"/>
      <w:headerReference w:type="default" r:id="rId10"/>
      <w:footerReference w:type="even" r:id="rId11"/>
      <w:footerReference w:type="default" r:id="rId12"/>
      <w:headerReference w:type="first" r:id="rId13"/>
      <w:footerReference w:type="first" r:id="rId14"/>
      <w:pgSz w:w="11906" w:h="16838" w:code="9"/>
      <w:pgMar w:top="1418"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73F4" w:rsidRDefault="00BF73F4" w:rsidP="00F21C6C">
      <w:r>
        <w:separator/>
      </w:r>
    </w:p>
  </w:endnote>
  <w:endnote w:type="continuationSeparator" w:id="0">
    <w:p w:rsidR="00BF73F4" w:rsidRDefault="00BF73F4" w:rsidP="00F21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Dutch TL">
    <w:panose1 w:val="02020503060505020304"/>
    <w:charset w:val="BA"/>
    <w:family w:val="roman"/>
    <w:pitch w:val="variable"/>
    <w:sig w:usb0="800002AF" w:usb1="5000204A" w:usb2="00000000" w:usb3="00000000" w:csb0="0000009F" w:csb1="00000000"/>
  </w:font>
  <w:font w:name="Garamond">
    <w:panose1 w:val="02020404030301010803"/>
    <w:charset w:val="BA"/>
    <w:family w:val="roman"/>
    <w:pitch w:val="variable"/>
    <w:sig w:usb0="00000287" w:usb1="00000000" w:usb2="00000000" w:usb3="00000000" w:csb0="0000009F" w:csb1="00000000"/>
  </w:font>
  <w:font w:name="!Neo'w Arial">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F1D" w:rsidRDefault="008B1F1D">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3F4" w:rsidRPr="008C6C0A" w:rsidRDefault="00CD248E" w:rsidP="008C6C0A">
    <w:pPr>
      <w:pStyle w:val="Kjene"/>
      <w:spacing w:before="60"/>
      <w:jc w:val="both"/>
      <w:rPr>
        <w:b/>
        <w:bCs/>
        <w:color w:val="000000"/>
        <w:sz w:val="20"/>
        <w:szCs w:val="20"/>
      </w:rPr>
    </w:pPr>
    <w:r w:rsidRPr="00CD248E">
      <w:rPr>
        <w:bCs/>
        <w:color w:val="000000"/>
        <w:sz w:val="20"/>
        <w:szCs w:val="20"/>
      </w:rPr>
      <w:t>TMZinop1_080115_komisija; Informatīvā ziņojuma par Komisijas PSRS totalitārā komunistiskā okupācijas režīma upuru skaita un masu kapu vietu noteikšanai, informācijas par represijām un masveida deportācijām apkopošanai un Latvijas valstij un tās iedzīvotājiem nodarīto zaudējumu aprēķināšanai darbību 1.pielikums</w:t>
    </w:r>
    <w:r w:rsidR="00275EA6">
      <w:rPr>
        <w:b/>
        <w:bCs/>
        <w:color w:val="000000"/>
        <w:sz w:val="20"/>
        <w:szCs w:val="20"/>
      </w:rPr>
      <w:tab/>
    </w:r>
    <w:r>
      <w:rPr>
        <w:noProof/>
      </w:rPr>
      <mc:AlternateContent>
        <mc:Choice Requires="wps">
          <w:drawing>
            <wp:anchor distT="0" distB="0" distL="114300" distR="114300" simplePos="0" relativeHeight="251660288" behindDoc="0" locked="0" layoutInCell="1" allowOverlap="1" wp14:anchorId="52ABF5D9" wp14:editId="2A0374F4">
              <wp:simplePos x="0" y="0"/>
              <wp:positionH relativeFrom="page">
                <wp:posOffset>858520</wp:posOffset>
              </wp:positionH>
              <wp:positionV relativeFrom="page">
                <wp:posOffset>0</wp:posOffset>
              </wp:positionV>
              <wp:extent cx="1508760" cy="240030"/>
              <wp:effectExtent l="1270" t="0" r="4445" b="4445"/>
              <wp:wrapNone/>
              <wp:docPr id="2" name="Tekstlodziņš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8760" cy="240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BF73F4" w:rsidRPr="00290F28" w:rsidRDefault="00BF73F4">
                          <w:pPr>
                            <w:pStyle w:val="Kjene"/>
                            <w:jc w:val="right"/>
                            <w:rPr>
                              <w:rFonts w:ascii="Cambria" w:hAnsi="Cambria" w:cs="Cambria"/>
                              <w:b/>
                              <w:bCs/>
                              <w:color w:val="000000"/>
                              <w:sz w:val="20"/>
                              <w:szCs w:val="20"/>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lodziņš 56" o:spid="_x0000_s1026" type="#_x0000_t202" style="position:absolute;margin-left:67.6pt;margin-top:0;width:118.8pt;height:18.9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" filled="f" stroked="f" strokeweight=".5pt">
              <v:textbox style="mso-fit-shape-to-text:t">
                <w:txbxContent>
                  <w:p w:rsidR="00BF73F4" w:rsidRPr="00290F28" w:rsidRDefault="00BF73F4">
                    <w:pPr>
                      <w:pStyle w:val="Kjene"/>
                      <w:jc w:val="right"/>
                      <w:rPr>
                        <w:rFonts w:ascii="Cambria" w:hAnsi="Cambria" w:cs="Cambria"/>
                        <w:b/>
                        <w:bCs/>
                        <w:color w:val="000000"/>
                        <w:sz w:val="20"/>
                        <w:szCs w:val="20"/>
                      </w:rPr>
                    </w:pPr>
                  </w:p>
                </w:txbxContent>
              </v:textbox>
              <w10:wrap anchorx="page" anchory="page"/>
            </v:shape>
          </w:pict>
        </mc:Fallback>
      </mc:AlternateContent>
    </w:r>
    <w:r>
      <w:rPr>
        <w:noProof/>
      </w:rPr>
      <mc:AlternateContent>
        <mc:Choice Requires="wps">
          <w:drawing>
            <wp:anchor distT="91440" distB="91440" distL="114300" distR="114300" simplePos="0" relativeHeight="251661312" behindDoc="1" locked="0" layoutInCell="1" allowOverlap="1" wp14:anchorId="61AA766D" wp14:editId="638E1FDE">
              <wp:simplePos x="0" y="0"/>
              <wp:positionH relativeFrom="page">
                <wp:posOffset>0</wp:posOffset>
              </wp:positionH>
              <wp:positionV relativeFrom="page">
                <wp:posOffset>0</wp:posOffset>
              </wp:positionV>
              <wp:extent cx="5943600" cy="36195"/>
              <wp:effectExtent l="0" t="0" r="0" b="1905"/>
              <wp:wrapSquare wrapText="bothSides"/>
              <wp:docPr id="1" name="Taisnstūris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6195"/>
                      </a:xfrm>
                      <a:prstGeom prst="rect">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Taisnstūris 58" o:spid="_x0000_s1026" style="position:absolute;margin-left:0;margin-top:0;width:468pt;height:2.85pt;z-index:-251655168;visibility:visible;mso-wrap-style:square;mso-width-percent:0;mso-height-percent:0;mso-wrap-distance-left:9pt;mso-wrap-distance-top:7.2pt;mso-wrap-distance-right:9pt;mso-wrap-distance-bottom:7.2pt;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" fillcolor="#4f81bd" stroked="f" strokeweight="2pt">
              <w10:wrap type="square" anchorx="page" anchory="page"/>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089" w:rsidRPr="00340089" w:rsidRDefault="00340089" w:rsidP="00340089">
    <w:pPr>
      <w:pStyle w:val="Kjene"/>
      <w:spacing w:before="60"/>
      <w:jc w:val="both"/>
      <w:rPr>
        <w:b/>
        <w:bCs/>
        <w:color w:val="000000"/>
        <w:sz w:val="20"/>
        <w:szCs w:val="20"/>
      </w:rPr>
    </w:pPr>
    <w:r w:rsidRPr="00CD248E">
      <w:rPr>
        <w:bCs/>
        <w:color w:val="000000"/>
        <w:sz w:val="20"/>
        <w:szCs w:val="20"/>
      </w:rPr>
      <w:t>TMZinop1_080115_komisija; Informatīvā ziņojuma par Komisijas PSRS totalitārā komunistiskā okupācijas režīma upuru skaita un masu kapu vietu noteikšanai, informācijas par represijām un masveida deportācijām apkopošanai un Latvijas valstij un tās iedzīvotājiem nodarīto zaudējumu aprēķināšanai darbību 1.pielikums</w:t>
    </w:r>
    <w:r>
      <w:rPr>
        <w:b/>
        <w:bCs/>
        <w:color w:val="000000"/>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73F4" w:rsidRDefault="00BF73F4" w:rsidP="00F21C6C">
      <w:r>
        <w:separator/>
      </w:r>
    </w:p>
  </w:footnote>
  <w:footnote w:type="continuationSeparator" w:id="0">
    <w:p w:rsidR="00BF73F4" w:rsidRDefault="00BF73F4" w:rsidP="00F21C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F1D" w:rsidRDefault="008B1F1D">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2019807"/>
      <w:docPartObj>
        <w:docPartGallery w:val="Page Numbers (Top of Page)"/>
        <w:docPartUnique/>
      </w:docPartObj>
    </w:sdtPr>
    <w:sdtEndPr>
      <w:rPr>
        <w:sz w:val="22"/>
      </w:rPr>
    </w:sdtEndPr>
    <w:sdtContent>
      <w:p w:rsidR="00275EA6" w:rsidRPr="00275EA6" w:rsidRDefault="00275EA6">
        <w:pPr>
          <w:pStyle w:val="Galvene"/>
          <w:jc w:val="center"/>
          <w:rPr>
            <w:sz w:val="22"/>
          </w:rPr>
        </w:pPr>
        <w:r w:rsidRPr="00275EA6">
          <w:rPr>
            <w:sz w:val="22"/>
          </w:rPr>
          <w:fldChar w:fldCharType="begin"/>
        </w:r>
        <w:r w:rsidRPr="00275EA6">
          <w:rPr>
            <w:sz w:val="22"/>
          </w:rPr>
          <w:instrText>PAGE   \* MERGEFORMAT</w:instrText>
        </w:r>
        <w:r w:rsidRPr="00275EA6">
          <w:rPr>
            <w:sz w:val="22"/>
          </w:rPr>
          <w:fldChar w:fldCharType="separate"/>
        </w:r>
        <w:r w:rsidR="003F5426">
          <w:rPr>
            <w:noProof/>
            <w:sz w:val="22"/>
          </w:rPr>
          <w:t>2</w:t>
        </w:r>
        <w:r w:rsidRPr="00275EA6">
          <w:rPr>
            <w:sz w:val="22"/>
          </w:rPr>
          <w:fldChar w:fldCharType="end"/>
        </w:r>
      </w:p>
    </w:sdtContent>
  </w:sdt>
  <w:p w:rsidR="00275EA6" w:rsidRDefault="00275EA6">
    <w:pPr>
      <w:pStyle w:val="Galve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F1D" w:rsidRDefault="008B1F1D">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1C6FC5"/>
    <w:multiLevelType w:val="hybridMultilevel"/>
    <w:tmpl w:val="410E1DB4"/>
    <w:lvl w:ilvl="0" w:tplc="405A3CCA">
      <w:start w:val="2012"/>
      <w:numFmt w:val="bullet"/>
      <w:lvlText w:val="-"/>
      <w:lvlJc w:val="left"/>
      <w:pPr>
        <w:tabs>
          <w:tab w:val="num" w:pos="720"/>
        </w:tabs>
        <w:ind w:left="720" w:hanging="360"/>
      </w:pPr>
      <w:rPr>
        <w:rFonts w:ascii="Times New Roman" w:hAnsi="Times New Roman" w:cs="Times New Roman" w:hint="default"/>
        <w:b w:val="0"/>
        <w:bCs w:val="0"/>
        <w:i w:val="0"/>
        <w:iCs w:val="0"/>
      </w:rPr>
    </w:lvl>
    <w:lvl w:ilvl="1" w:tplc="F0522F0A">
      <w:start w:val="1"/>
      <w:numFmt w:val="bullet"/>
      <w:lvlText w:val=""/>
      <w:lvlJc w:val="left"/>
      <w:pPr>
        <w:tabs>
          <w:tab w:val="num" w:pos="1440"/>
        </w:tabs>
        <w:ind w:left="1440" w:hanging="360"/>
      </w:pPr>
      <w:rPr>
        <w:rFonts w:ascii="Wingdings 2" w:hAnsi="Wingdings 2" w:cs="Wingdings 2" w:hint="default"/>
      </w:rPr>
    </w:lvl>
    <w:lvl w:ilvl="2" w:tplc="229ADEF0">
      <w:start w:val="1"/>
      <w:numFmt w:val="bullet"/>
      <w:lvlText w:val=""/>
      <w:lvlJc w:val="left"/>
      <w:pPr>
        <w:tabs>
          <w:tab w:val="num" w:pos="2160"/>
        </w:tabs>
        <w:ind w:left="2160" w:hanging="360"/>
      </w:pPr>
      <w:rPr>
        <w:rFonts w:ascii="Wingdings 2" w:hAnsi="Wingdings 2" w:cs="Wingdings 2" w:hint="default"/>
      </w:rPr>
    </w:lvl>
    <w:lvl w:ilvl="3" w:tplc="3FC2518E">
      <w:start w:val="1"/>
      <w:numFmt w:val="bullet"/>
      <w:lvlText w:val=""/>
      <w:lvlJc w:val="left"/>
      <w:pPr>
        <w:tabs>
          <w:tab w:val="num" w:pos="2880"/>
        </w:tabs>
        <w:ind w:left="2880" w:hanging="360"/>
      </w:pPr>
      <w:rPr>
        <w:rFonts w:ascii="Wingdings 2" w:hAnsi="Wingdings 2" w:cs="Wingdings 2" w:hint="default"/>
      </w:rPr>
    </w:lvl>
    <w:lvl w:ilvl="4" w:tplc="3A760A8A">
      <w:start w:val="1"/>
      <w:numFmt w:val="bullet"/>
      <w:lvlText w:val=""/>
      <w:lvlJc w:val="left"/>
      <w:pPr>
        <w:tabs>
          <w:tab w:val="num" w:pos="3600"/>
        </w:tabs>
        <w:ind w:left="3600" w:hanging="360"/>
      </w:pPr>
      <w:rPr>
        <w:rFonts w:ascii="Wingdings 2" w:hAnsi="Wingdings 2" w:cs="Wingdings 2" w:hint="default"/>
      </w:rPr>
    </w:lvl>
    <w:lvl w:ilvl="5" w:tplc="92763958">
      <w:start w:val="1"/>
      <w:numFmt w:val="bullet"/>
      <w:lvlText w:val=""/>
      <w:lvlJc w:val="left"/>
      <w:pPr>
        <w:tabs>
          <w:tab w:val="num" w:pos="4320"/>
        </w:tabs>
        <w:ind w:left="4320" w:hanging="360"/>
      </w:pPr>
      <w:rPr>
        <w:rFonts w:ascii="Wingdings 2" w:hAnsi="Wingdings 2" w:cs="Wingdings 2" w:hint="default"/>
      </w:rPr>
    </w:lvl>
    <w:lvl w:ilvl="6" w:tplc="4B8E0CFC">
      <w:start w:val="1"/>
      <w:numFmt w:val="bullet"/>
      <w:lvlText w:val=""/>
      <w:lvlJc w:val="left"/>
      <w:pPr>
        <w:tabs>
          <w:tab w:val="num" w:pos="5040"/>
        </w:tabs>
        <w:ind w:left="5040" w:hanging="360"/>
      </w:pPr>
      <w:rPr>
        <w:rFonts w:ascii="Wingdings 2" w:hAnsi="Wingdings 2" w:cs="Wingdings 2" w:hint="default"/>
      </w:rPr>
    </w:lvl>
    <w:lvl w:ilvl="7" w:tplc="9B0A5322">
      <w:start w:val="1"/>
      <w:numFmt w:val="bullet"/>
      <w:lvlText w:val=""/>
      <w:lvlJc w:val="left"/>
      <w:pPr>
        <w:tabs>
          <w:tab w:val="num" w:pos="5760"/>
        </w:tabs>
        <w:ind w:left="5760" w:hanging="360"/>
      </w:pPr>
      <w:rPr>
        <w:rFonts w:ascii="Wingdings 2" w:hAnsi="Wingdings 2" w:cs="Wingdings 2" w:hint="default"/>
      </w:rPr>
    </w:lvl>
    <w:lvl w:ilvl="8" w:tplc="BD16826C">
      <w:start w:val="1"/>
      <w:numFmt w:val="bullet"/>
      <w:lvlText w:val=""/>
      <w:lvlJc w:val="left"/>
      <w:pPr>
        <w:tabs>
          <w:tab w:val="num" w:pos="6480"/>
        </w:tabs>
        <w:ind w:left="6480" w:hanging="360"/>
      </w:pPr>
      <w:rPr>
        <w:rFonts w:ascii="Wingdings 2" w:hAnsi="Wingdings 2" w:cs="Wingdings 2" w:hint="default"/>
      </w:rPr>
    </w:lvl>
  </w:abstractNum>
  <w:abstractNum w:abstractNumId="1">
    <w:nsid w:val="387223A7"/>
    <w:multiLevelType w:val="hybridMultilevel"/>
    <w:tmpl w:val="003438F2"/>
    <w:lvl w:ilvl="0" w:tplc="12104D76">
      <w:start w:val="2"/>
      <w:numFmt w:val="bullet"/>
      <w:lvlText w:val="-"/>
      <w:lvlJc w:val="left"/>
      <w:pPr>
        <w:ind w:left="720" w:hanging="360"/>
      </w:pPr>
      <w:rPr>
        <w:rFonts w:ascii="Times New Roman" w:eastAsia="Times New Roman" w:hAnsi="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abstractNum w:abstractNumId="2">
    <w:nsid w:val="38D91F80"/>
    <w:multiLevelType w:val="hybridMultilevel"/>
    <w:tmpl w:val="A3300010"/>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nsid w:val="5C3F1582"/>
    <w:multiLevelType w:val="hybridMultilevel"/>
    <w:tmpl w:val="69BCDDB6"/>
    <w:lvl w:ilvl="0" w:tplc="E578AD64">
      <w:start w:val="2"/>
      <w:numFmt w:val="bullet"/>
      <w:lvlText w:val="-"/>
      <w:lvlJc w:val="left"/>
      <w:pPr>
        <w:ind w:left="720" w:hanging="360"/>
      </w:pPr>
      <w:rPr>
        <w:rFonts w:ascii="Times New Roman" w:eastAsia="Times New Roman" w:hAnsi="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doNotValidateAgainstSchema/>
  <w:doNotDemarcateInvalidXml/>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CD0"/>
    <w:rsid w:val="0003612A"/>
    <w:rsid w:val="00057ADA"/>
    <w:rsid w:val="00091685"/>
    <w:rsid w:val="000E3FD6"/>
    <w:rsid w:val="00113A02"/>
    <w:rsid w:val="00123921"/>
    <w:rsid w:val="00133CD0"/>
    <w:rsid w:val="001637FD"/>
    <w:rsid w:val="001B6AF4"/>
    <w:rsid w:val="001C2AE2"/>
    <w:rsid w:val="001E7377"/>
    <w:rsid w:val="00202AFF"/>
    <w:rsid w:val="002322FA"/>
    <w:rsid w:val="00263F28"/>
    <w:rsid w:val="00275EA6"/>
    <w:rsid w:val="00290F28"/>
    <w:rsid w:val="003101DD"/>
    <w:rsid w:val="00312731"/>
    <w:rsid w:val="003161CF"/>
    <w:rsid w:val="003251D6"/>
    <w:rsid w:val="00340089"/>
    <w:rsid w:val="00350A48"/>
    <w:rsid w:val="003A3A43"/>
    <w:rsid w:val="003C6F43"/>
    <w:rsid w:val="003D0461"/>
    <w:rsid w:val="003F5426"/>
    <w:rsid w:val="004118C0"/>
    <w:rsid w:val="0047345D"/>
    <w:rsid w:val="0056624A"/>
    <w:rsid w:val="0058672B"/>
    <w:rsid w:val="00596045"/>
    <w:rsid w:val="005B4E97"/>
    <w:rsid w:val="005C4115"/>
    <w:rsid w:val="00613180"/>
    <w:rsid w:val="00633718"/>
    <w:rsid w:val="006814CF"/>
    <w:rsid w:val="006A0D4C"/>
    <w:rsid w:val="006D0492"/>
    <w:rsid w:val="006E523C"/>
    <w:rsid w:val="00727A97"/>
    <w:rsid w:val="00753E79"/>
    <w:rsid w:val="00766116"/>
    <w:rsid w:val="007D2A0D"/>
    <w:rsid w:val="00817BBD"/>
    <w:rsid w:val="00836163"/>
    <w:rsid w:val="0084325D"/>
    <w:rsid w:val="00866EF5"/>
    <w:rsid w:val="00872013"/>
    <w:rsid w:val="0089036F"/>
    <w:rsid w:val="008B1F1D"/>
    <w:rsid w:val="008C6C0A"/>
    <w:rsid w:val="008D39F8"/>
    <w:rsid w:val="009002C5"/>
    <w:rsid w:val="00986A2C"/>
    <w:rsid w:val="009919B8"/>
    <w:rsid w:val="00995FAF"/>
    <w:rsid w:val="009A5FA9"/>
    <w:rsid w:val="009E028F"/>
    <w:rsid w:val="009E7DC5"/>
    <w:rsid w:val="009F1FD1"/>
    <w:rsid w:val="009F33BF"/>
    <w:rsid w:val="00A24967"/>
    <w:rsid w:val="00A53C0F"/>
    <w:rsid w:val="00AD70A3"/>
    <w:rsid w:val="00B22509"/>
    <w:rsid w:val="00B45952"/>
    <w:rsid w:val="00BB2D93"/>
    <w:rsid w:val="00BF73F4"/>
    <w:rsid w:val="00C1221C"/>
    <w:rsid w:val="00CB1D14"/>
    <w:rsid w:val="00CD0355"/>
    <w:rsid w:val="00CD248E"/>
    <w:rsid w:val="00CD66DB"/>
    <w:rsid w:val="00D04BEE"/>
    <w:rsid w:val="00D11C2A"/>
    <w:rsid w:val="00D23FE7"/>
    <w:rsid w:val="00D70543"/>
    <w:rsid w:val="00DA1C07"/>
    <w:rsid w:val="00E70BB4"/>
    <w:rsid w:val="00EB53E3"/>
    <w:rsid w:val="00EF7B5E"/>
    <w:rsid w:val="00F21C6C"/>
    <w:rsid w:val="00F47DDF"/>
    <w:rsid w:val="00F576DE"/>
    <w:rsid w:val="00FC171A"/>
    <w:rsid w:val="00FD1C5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133CD0"/>
    <w:rPr>
      <w:rFonts w:ascii="Times New Roman" w:eastAsia="Times New Roman" w:hAnsi="Times New Roman"/>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uiPriority w:val="99"/>
    <w:rsid w:val="00133CD0"/>
    <w:pPr>
      <w:jc w:val="both"/>
    </w:pPr>
    <w:rPr>
      <w:rFonts w:ascii="Dutch TL" w:hAnsi="Dutch TL" w:cs="Dutch TL"/>
      <w:b/>
      <w:bCs/>
      <w:sz w:val="28"/>
      <w:szCs w:val="28"/>
      <w:lang w:eastAsia="en-US"/>
    </w:rPr>
  </w:style>
  <w:style w:type="character" w:customStyle="1" w:styleId="PamattekstsRakstz">
    <w:name w:val="Pamatteksts Rakstz."/>
    <w:basedOn w:val="Noklusjumarindkopasfonts"/>
    <w:link w:val="Pamatteksts"/>
    <w:uiPriority w:val="99"/>
    <w:locked/>
    <w:rsid w:val="00133CD0"/>
    <w:rPr>
      <w:rFonts w:ascii="Dutch TL" w:hAnsi="Dutch TL" w:cs="Dutch TL"/>
      <w:b/>
      <w:bCs/>
      <w:sz w:val="20"/>
      <w:szCs w:val="20"/>
    </w:rPr>
  </w:style>
  <w:style w:type="paragraph" w:styleId="Apakvirsraksts">
    <w:name w:val="Subtitle"/>
    <w:basedOn w:val="Parasts"/>
    <w:link w:val="ApakvirsrakstsRakstz"/>
    <w:uiPriority w:val="99"/>
    <w:qFormat/>
    <w:rsid w:val="00057ADA"/>
    <w:pPr>
      <w:spacing w:line="360" w:lineRule="auto"/>
      <w:jc w:val="center"/>
    </w:pPr>
    <w:rPr>
      <w:rFonts w:ascii="Garamond" w:hAnsi="Garamond" w:cs="Garamond"/>
      <w:b/>
      <w:bCs/>
      <w:lang w:val="en-US"/>
    </w:rPr>
  </w:style>
  <w:style w:type="character" w:customStyle="1" w:styleId="ApakvirsrakstsRakstz">
    <w:name w:val="Apakšvirsraksts Rakstz."/>
    <w:basedOn w:val="Noklusjumarindkopasfonts"/>
    <w:link w:val="Apakvirsraksts"/>
    <w:uiPriority w:val="99"/>
    <w:locked/>
    <w:rsid w:val="00057ADA"/>
    <w:rPr>
      <w:rFonts w:ascii="Garamond" w:hAnsi="Garamond" w:cs="Garamond"/>
      <w:b/>
      <w:bCs/>
      <w:sz w:val="24"/>
      <w:szCs w:val="24"/>
      <w:lang w:val="en-US" w:eastAsia="lv-LV"/>
    </w:rPr>
  </w:style>
  <w:style w:type="paragraph" w:customStyle="1" w:styleId="txt1">
    <w:name w:val="txt1"/>
    <w:uiPriority w:val="99"/>
    <w:rsid w:val="00057ADA"/>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pPr>
    <w:rPr>
      <w:rFonts w:ascii="!Neo'w Arial" w:eastAsia="Times New Roman" w:hAnsi="!Neo'w Arial" w:cs="!Neo'w Arial"/>
      <w:color w:val="000000"/>
      <w:sz w:val="20"/>
      <w:szCs w:val="20"/>
      <w:lang w:val="en-US" w:eastAsia="en-US"/>
    </w:rPr>
  </w:style>
  <w:style w:type="paragraph" w:styleId="Galvene">
    <w:name w:val="header"/>
    <w:basedOn w:val="Parasts"/>
    <w:link w:val="GalveneRakstz"/>
    <w:uiPriority w:val="99"/>
    <w:rsid w:val="00F21C6C"/>
    <w:pPr>
      <w:tabs>
        <w:tab w:val="center" w:pos="4153"/>
        <w:tab w:val="right" w:pos="8306"/>
      </w:tabs>
    </w:pPr>
  </w:style>
  <w:style w:type="character" w:customStyle="1" w:styleId="GalveneRakstz">
    <w:name w:val="Galvene Rakstz."/>
    <w:basedOn w:val="Noklusjumarindkopasfonts"/>
    <w:link w:val="Galvene"/>
    <w:uiPriority w:val="99"/>
    <w:locked/>
    <w:rsid w:val="00F21C6C"/>
    <w:rPr>
      <w:rFonts w:ascii="Times New Roman" w:hAnsi="Times New Roman" w:cs="Times New Roman"/>
      <w:sz w:val="24"/>
      <w:szCs w:val="24"/>
      <w:lang w:eastAsia="lv-LV"/>
    </w:rPr>
  </w:style>
  <w:style w:type="paragraph" w:styleId="Kjene">
    <w:name w:val="footer"/>
    <w:basedOn w:val="Parasts"/>
    <w:link w:val="KjeneRakstz"/>
    <w:uiPriority w:val="99"/>
    <w:rsid w:val="00F21C6C"/>
    <w:pPr>
      <w:tabs>
        <w:tab w:val="center" w:pos="4153"/>
        <w:tab w:val="right" w:pos="8306"/>
      </w:tabs>
    </w:pPr>
  </w:style>
  <w:style w:type="character" w:customStyle="1" w:styleId="KjeneRakstz">
    <w:name w:val="Kājene Rakstz."/>
    <w:basedOn w:val="Noklusjumarindkopasfonts"/>
    <w:link w:val="Kjene"/>
    <w:uiPriority w:val="99"/>
    <w:locked/>
    <w:rsid w:val="00F21C6C"/>
    <w:rPr>
      <w:rFonts w:ascii="Times New Roman" w:hAnsi="Times New Roman" w:cs="Times New Roman"/>
      <w:sz w:val="24"/>
      <w:szCs w:val="24"/>
      <w:lang w:eastAsia="lv-LV"/>
    </w:rPr>
  </w:style>
  <w:style w:type="paragraph" w:styleId="Bezatstarpm">
    <w:name w:val="No Spacing"/>
    <w:link w:val="BezatstarpmRakstz"/>
    <w:uiPriority w:val="99"/>
    <w:qFormat/>
    <w:rsid w:val="00F21C6C"/>
    <w:rPr>
      <w:rFonts w:eastAsia="Times New Roman" w:cs="Calibri"/>
    </w:rPr>
  </w:style>
  <w:style w:type="character" w:customStyle="1" w:styleId="BezatstarpmRakstz">
    <w:name w:val="Bez atstarpēm Rakstz."/>
    <w:basedOn w:val="Noklusjumarindkopasfonts"/>
    <w:link w:val="Bezatstarpm"/>
    <w:uiPriority w:val="99"/>
    <w:locked/>
    <w:rsid w:val="00F21C6C"/>
    <w:rPr>
      <w:rFonts w:eastAsia="Times New Roman"/>
      <w:sz w:val="22"/>
      <w:szCs w:val="22"/>
      <w:lang w:val="lv-LV" w:eastAsia="lv-LV"/>
    </w:rPr>
  </w:style>
  <w:style w:type="paragraph" w:styleId="Balonteksts">
    <w:name w:val="Balloon Text"/>
    <w:basedOn w:val="Parasts"/>
    <w:link w:val="BalontekstsRakstz"/>
    <w:uiPriority w:val="99"/>
    <w:semiHidden/>
    <w:rsid w:val="00F21C6C"/>
    <w:rPr>
      <w:rFonts w:ascii="Tahoma" w:hAnsi="Tahoma" w:cs="Tahoma"/>
      <w:sz w:val="16"/>
      <w:szCs w:val="16"/>
    </w:rPr>
  </w:style>
  <w:style w:type="character" w:customStyle="1" w:styleId="BalontekstsRakstz">
    <w:name w:val="Balonteksts Rakstz."/>
    <w:basedOn w:val="Noklusjumarindkopasfonts"/>
    <w:link w:val="Balonteksts"/>
    <w:uiPriority w:val="99"/>
    <w:semiHidden/>
    <w:locked/>
    <w:rsid w:val="00F21C6C"/>
    <w:rPr>
      <w:rFonts w:ascii="Tahoma" w:hAnsi="Tahoma" w:cs="Tahoma"/>
      <w:sz w:val="16"/>
      <w:szCs w:val="16"/>
      <w:lang w:eastAsia="lv-LV"/>
    </w:rPr>
  </w:style>
  <w:style w:type="paragraph" w:styleId="Sarakstarindkopa">
    <w:name w:val="List Paragraph"/>
    <w:basedOn w:val="Parasts"/>
    <w:uiPriority w:val="99"/>
    <w:qFormat/>
    <w:rsid w:val="00FC171A"/>
    <w:pPr>
      <w:ind w:left="720"/>
    </w:pPr>
  </w:style>
  <w:style w:type="paragraph" w:styleId="Paraststmeklis">
    <w:name w:val="Normal (Web)"/>
    <w:basedOn w:val="Parasts"/>
    <w:uiPriority w:val="99"/>
    <w:rsid w:val="0089036F"/>
    <w:pPr>
      <w:suppressAutoHyphens/>
      <w:spacing w:before="280" w:after="280"/>
    </w:pPr>
    <w:rPr>
      <w:lang w:eastAsia="ar-SA"/>
    </w:rPr>
  </w:style>
  <w:style w:type="character" w:styleId="Lappusesnumurs">
    <w:name w:val="page number"/>
    <w:basedOn w:val="Noklusjumarindkopasfonts"/>
    <w:uiPriority w:val="99"/>
    <w:rsid w:val="00CD66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133CD0"/>
    <w:rPr>
      <w:rFonts w:ascii="Times New Roman" w:eastAsia="Times New Roman" w:hAnsi="Times New Roman"/>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uiPriority w:val="99"/>
    <w:rsid w:val="00133CD0"/>
    <w:pPr>
      <w:jc w:val="both"/>
    </w:pPr>
    <w:rPr>
      <w:rFonts w:ascii="Dutch TL" w:hAnsi="Dutch TL" w:cs="Dutch TL"/>
      <w:b/>
      <w:bCs/>
      <w:sz w:val="28"/>
      <w:szCs w:val="28"/>
      <w:lang w:eastAsia="en-US"/>
    </w:rPr>
  </w:style>
  <w:style w:type="character" w:customStyle="1" w:styleId="PamattekstsRakstz">
    <w:name w:val="Pamatteksts Rakstz."/>
    <w:basedOn w:val="Noklusjumarindkopasfonts"/>
    <w:link w:val="Pamatteksts"/>
    <w:uiPriority w:val="99"/>
    <w:locked/>
    <w:rsid w:val="00133CD0"/>
    <w:rPr>
      <w:rFonts w:ascii="Dutch TL" w:hAnsi="Dutch TL" w:cs="Dutch TL"/>
      <w:b/>
      <w:bCs/>
      <w:sz w:val="20"/>
      <w:szCs w:val="20"/>
    </w:rPr>
  </w:style>
  <w:style w:type="paragraph" w:styleId="Apakvirsraksts">
    <w:name w:val="Subtitle"/>
    <w:basedOn w:val="Parasts"/>
    <w:link w:val="ApakvirsrakstsRakstz"/>
    <w:uiPriority w:val="99"/>
    <w:qFormat/>
    <w:rsid w:val="00057ADA"/>
    <w:pPr>
      <w:spacing w:line="360" w:lineRule="auto"/>
      <w:jc w:val="center"/>
    </w:pPr>
    <w:rPr>
      <w:rFonts w:ascii="Garamond" w:hAnsi="Garamond" w:cs="Garamond"/>
      <w:b/>
      <w:bCs/>
      <w:lang w:val="en-US"/>
    </w:rPr>
  </w:style>
  <w:style w:type="character" w:customStyle="1" w:styleId="ApakvirsrakstsRakstz">
    <w:name w:val="Apakšvirsraksts Rakstz."/>
    <w:basedOn w:val="Noklusjumarindkopasfonts"/>
    <w:link w:val="Apakvirsraksts"/>
    <w:uiPriority w:val="99"/>
    <w:locked/>
    <w:rsid w:val="00057ADA"/>
    <w:rPr>
      <w:rFonts w:ascii="Garamond" w:hAnsi="Garamond" w:cs="Garamond"/>
      <w:b/>
      <w:bCs/>
      <w:sz w:val="24"/>
      <w:szCs w:val="24"/>
      <w:lang w:val="en-US" w:eastAsia="lv-LV"/>
    </w:rPr>
  </w:style>
  <w:style w:type="paragraph" w:customStyle="1" w:styleId="txt1">
    <w:name w:val="txt1"/>
    <w:uiPriority w:val="99"/>
    <w:rsid w:val="00057ADA"/>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pPr>
    <w:rPr>
      <w:rFonts w:ascii="!Neo'w Arial" w:eastAsia="Times New Roman" w:hAnsi="!Neo'w Arial" w:cs="!Neo'w Arial"/>
      <w:color w:val="000000"/>
      <w:sz w:val="20"/>
      <w:szCs w:val="20"/>
      <w:lang w:val="en-US" w:eastAsia="en-US"/>
    </w:rPr>
  </w:style>
  <w:style w:type="paragraph" w:styleId="Galvene">
    <w:name w:val="header"/>
    <w:basedOn w:val="Parasts"/>
    <w:link w:val="GalveneRakstz"/>
    <w:uiPriority w:val="99"/>
    <w:rsid w:val="00F21C6C"/>
    <w:pPr>
      <w:tabs>
        <w:tab w:val="center" w:pos="4153"/>
        <w:tab w:val="right" w:pos="8306"/>
      </w:tabs>
    </w:pPr>
  </w:style>
  <w:style w:type="character" w:customStyle="1" w:styleId="GalveneRakstz">
    <w:name w:val="Galvene Rakstz."/>
    <w:basedOn w:val="Noklusjumarindkopasfonts"/>
    <w:link w:val="Galvene"/>
    <w:uiPriority w:val="99"/>
    <w:locked/>
    <w:rsid w:val="00F21C6C"/>
    <w:rPr>
      <w:rFonts w:ascii="Times New Roman" w:hAnsi="Times New Roman" w:cs="Times New Roman"/>
      <w:sz w:val="24"/>
      <w:szCs w:val="24"/>
      <w:lang w:eastAsia="lv-LV"/>
    </w:rPr>
  </w:style>
  <w:style w:type="paragraph" w:styleId="Kjene">
    <w:name w:val="footer"/>
    <w:basedOn w:val="Parasts"/>
    <w:link w:val="KjeneRakstz"/>
    <w:uiPriority w:val="99"/>
    <w:rsid w:val="00F21C6C"/>
    <w:pPr>
      <w:tabs>
        <w:tab w:val="center" w:pos="4153"/>
        <w:tab w:val="right" w:pos="8306"/>
      </w:tabs>
    </w:pPr>
  </w:style>
  <w:style w:type="character" w:customStyle="1" w:styleId="KjeneRakstz">
    <w:name w:val="Kājene Rakstz."/>
    <w:basedOn w:val="Noklusjumarindkopasfonts"/>
    <w:link w:val="Kjene"/>
    <w:uiPriority w:val="99"/>
    <w:locked/>
    <w:rsid w:val="00F21C6C"/>
    <w:rPr>
      <w:rFonts w:ascii="Times New Roman" w:hAnsi="Times New Roman" w:cs="Times New Roman"/>
      <w:sz w:val="24"/>
      <w:szCs w:val="24"/>
      <w:lang w:eastAsia="lv-LV"/>
    </w:rPr>
  </w:style>
  <w:style w:type="paragraph" w:styleId="Bezatstarpm">
    <w:name w:val="No Spacing"/>
    <w:link w:val="BezatstarpmRakstz"/>
    <w:uiPriority w:val="99"/>
    <w:qFormat/>
    <w:rsid w:val="00F21C6C"/>
    <w:rPr>
      <w:rFonts w:eastAsia="Times New Roman" w:cs="Calibri"/>
    </w:rPr>
  </w:style>
  <w:style w:type="character" w:customStyle="1" w:styleId="BezatstarpmRakstz">
    <w:name w:val="Bez atstarpēm Rakstz."/>
    <w:basedOn w:val="Noklusjumarindkopasfonts"/>
    <w:link w:val="Bezatstarpm"/>
    <w:uiPriority w:val="99"/>
    <w:locked/>
    <w:rsid w:val="00F21C6C"/>
    <w:rPr>
      <w:rFonts w:eastAsia="Times New Roman"/>
      <w:sz w:val="22"/>
      <w:szCs w:val="22"/>
      <w:lang w:val="lv-LV" w:eastAsia="lv-LV"/>
    </w:rPr>
  </w:style>
  <w:style w:type="paragraph" w:styleId="Balonteksts">
    <w:name w:val="Balloon Text"/>
    <w:basedOn w:val="Parasts"/>
    <w:link w:val="BalontekstsRakstz"/>
    <w:uiPriority w:val="99"/>
    <w:semiHidden/>
    <w:rsid w:val="00F21C6C"/>
    <w:rPr>
      <w:rFonts w:ascii="Tahoma" w:hAnsi="Tahoma" w:cs="Tahoma"/>
      <w:sz w:val="16"/>
      <w:szCs w:val="16"/>
    </w:rPr>
  </w:style>
  <w:style w:type="character" w:customStyle="1" w:styleId="BalontekstsRakstz">
    <w:name w:val="Balonteksts Rakstz."/>
    <w:basedOn w:val="Noklusjumarindkopasfonts"/>
    <w:link w:val="Balonteksts"/>
    <w:uiPriority w:val="99"/>
    <w:semiHidden/>
    <w:locked/>
    <w:rsid w:val="00F21C6C"/>
    <w:rPr>
      <w:rFonts w:ascii="Tahoma" w:hAnsi="Tahoma" w:cs="Tahoma"/>
      <w:sz w:val="16"/>
      <w:szCs w:val="16"/>
      <w:lang w:eastAsia="lv-LV"/>
    </w:rPr>
  </w:style>
  <w:style w:type="paragraph" w:styleId="Sarakstarindkopa">
    <w:name w:val="List Paragraph"/>
    <w:basedOn w:val="Parasts"/>
    <w:uiPriority w:val="99"/>
    <w:qFormat/>
    <w:rsid w:val="00FC171A"/>
    <w:pPr>
      <w:ind w:left="720"/>
    </w:pPr>
  </w:style>
  <w:style w:type="paragraph" w:styleId="Paraststmeklis">
    <w:name w:val="Normal (Web)"/>
    <w:basedOn w:val="Parasts"/>
    <w:uiPriority w:val="99"/>
    <w:rsid w:val="0089036F"/>
    <w:pPr>
      <w:suppressAutoHyphens/>
      <w:spacing w:before="280" w:after="280"/>
    </w:pPr>
    <w:rPr>
      <w:lang w:eastAsia="ar-SA"/>
    </w:rPr>
  </w:style>
  <w:style w:type="character" w:styleId="Lappusesnumurs">
    <w:name w:val="page number"/>
    <w:basedOn w:val="Noklusjumarindkopasfonts"/>
    <w:uiPriority w:val="99"/>
    <w:rsid w:val="00CD66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09490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7BAFC3-DAE6-490D-B207-E31976B9A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677</Words>
  <Characters>4780</Characters>
  <Application>Microsoft Office Word</Application>
  <DocSecurity>0</DocSecurity>
  <Lines>39</Lines>
  <Paragraphs>10</Paragraphs>
  <ScaleCrop>false</ScaleCrop>
  <HeadingPairs>
    <vt:vector size="2" baseType="variant">
      <vt:variant>
        <vt:lpstr>Nosaukums</vt:lpstr>
      </vt:variant>
      <vt:variant>
        <vt:i4>1</vt:i4>
      </vt:variant>
    </vt:vector>
  </HeadingPairs>
  <TitlesOfParts>
    <vt:vector size="1" baseType="lpstr">
      <vt:lpstr>Informatīvais ziņojums par Komisijas PSRS totalitārā komunistiskā okupācijas režīma upuru skaita un masu kapu vietu noteikšanai, informācijas par represijām un masveida deportācijām apkopošanai un Latvijas valstij un tās iedzīvotājiem nodarīto zaudējumu a</vt:lpstr>
    </vt:vector>
  </TitlesOfParts>
  <Company>Windows</Company>
  <LinksUpToDate>false</LinksUpToDate>
  <CharactersWithSpaces>5447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Informatīvā ziņojuma par Komisijas PSRS totalitārā komunistiskā okupācijas režīma upuru skaita un masu kapu vietu noteikšanai, informācijas par represijām un masveida deportācijām apkopošanai un Latvijas valstij un tās iedzīvotājiem nodarīto zaudējumu aprēķināšanai darbību 1.pielikums</dc:title>
  <dc:subject>Pielikums</dc:subject>
  <dc:creator>Tieslietu ministrija</dc:creator>
  <dc:description>R.Pazdere, 29521934, loib@inbox.lv</dc:description>
  <cp:lastModifiedBy>Viesturs Lacis</cp:lastModifiedBy>
  <cp:revision>3</cp:revision>
  <cp:lastPrinted>2015-01-06T12:23:00Z</cp:lastPrinted>
  <dcterms:created xsi:type="dcterms:W3CDTF">2015-01-09T09:03:00Z</dcterms:created>
  <dcterms:modified xsi:type="dcterms:W3CDTF">2015-01-10T06:48:00Z</dcterms:modified>
</cp:coreProperties>
</file>