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11" w:rsidRPr="004F20A3" w:rsidRDefault="00431473" w:rsidP="00CA28A9">
      <w:pPr>
        <w:spacing w:before="120" w:after="120"/>
        <w:jc w:val="center"/>
        <w:rPr>
          <w:b/>
          <w:i/>
          <w:iCs/>
          <w:sz w:val="28"/>
          <w:szCs w:val="28"/>
        </w:rPr>
      </w:pPr>
      <w:bookmarkStart w:id="0" w:name="OLE_LINK1"/>
      <w:bookmarkStart w:id="1" w:name="OLE_LINK2"/>
      <w:r>
        <w:rPr>
          <w:sz w:val="28"/>
          <w:szCs w:val="28"/>
        </w:rPr>
        <w:t>M</w:t>
      </w:r>
      <w:r w:rsidR="00D94EE5" w:rsidRPr="00FC0E52">
        <w:rPr>
          <w:sz w:val="28"/>
          <w:szCs w:val="28"/>
        </w:rPr>
        <w:t>inistru kabineta noteikumu projekta</w:t>
      </w:r>
      <w:r w:rsidR="00D94EE5" w:rsidRPr="00FC0E52">
        <w:rPr>
          <w:b/>
          <w:sz w:val="28"/>
          <w:szCs w:val="28"/>
        </w:rPr>
        <w:t xml:space="preserve"> </w:t>
      </w:r>
      <w:r w:rsidR="00D94EE5">
        <w:rPr>
          <w:b/>
          <w:sz w:val="28"/>
          <w:szCs w:val="28"/>
        </w:rPr>
        <w:t>„</w:t>
      </w:r>
      <w:r w:rsidR="00D94EE5" w:rsidRPr="00C6563F">
        <w:rPr>
          <w:b/>
          <w:sz w:val="28"/>
          <w:szCs w:val="28"/>
        </w:rPr>
        <w:t>Grozījumi Ministru kabineta 2013.gada 26.februāra noteikumos Nr.112 „Emisijas kvotu piešķiršanas kārtība stacionāro tehnoloģisko iekārtu operatoriem”</w:t>
      </w:r>
      <w:r w:rsidR="00D94EE5">
        <w:rPr>
          <w:b/>
          <w:sz w:val="28"/>
          <w:szCs w:val="28"/>
        </w:rPr>
        <w:t xml:space="preserve">” </w:t>
      </w:r>
      <w:r w:rsidR="00D94EE5" w:rsidRPr="00FC0E52">
        <w:rPr>
          <w:sz w:val="28"/>
          <w:szCs w:val="28"/>
        </w:rPr>
        <w:t>sākotnējās ietekmes novērtējuma ziņojums</w:t>
      </w:r>
      <w:r w:rsidR="00D94EE5">
        <w:rPr>
          <w:sz w:val="28"/>
          <w:szCs w:val="28"/>
        </w:rPr>
        <w:t xml:space="preserve"> </w:t>
      </w:r>
      <w:r w:rsidR="00D94EE5" w:rsidRPr="00345A7B">
        <w:rPr>
          <w:sz w:val="28"/>
          <w:szCs w:val="28"/>
        </w:rPr>
        <w:t>(anotācija)</w:t>
      </w: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16"/>
        <w:gridCol w:w="1857"/>
        <w:gridCol w:w="7083"/>
      </w:tblGrid>
      <w:tr w:rsidR="00D94EE5" w:rsidRPr="00D040B3" w:rsidTr="008B2E31">
        <w:tc>
          <w:tcPr>
            <w:tcW w:w="9356" w:type="dxa"/>
            <w:gridSpan w:val="3"/>
            <w:vAlign w:val="center"/>
          </w:tcPr>
          <w:bookmarkEnd w:id="0"/>
          <w:bookmarkEnd w:id="1"/>
          <w:p w:rsidR="00D94EE5" w:rsidRPr="00D040B3" w:rsidRDefault="00D94EE5" w:rsidP="0045163C">
            <w:pPr>
              <w:pStyle w:val="naisnod"/>
              <w:spacing w:before="0" w:after="60"/>
              <w:rPr>
                <w:color w:val="000000" w:themeColor="text1"/>
              </w:rPr>
            </w:pPr>
            <w:r w:rsidRPr="00D040B3">
              <w:rPr>
                <w:color w:val="000000" w:themeColor="text1"/>
              </w:rPr>
              <w:t>I. Tiesību akta projekta izstrādes nepieciešamība</w:t>
            </w:r>
          </w:p>
        </w:tc>
      </w:tr>
      <w:tr w:rsidR="00D94EE5" w:rsidRPr="00D040B3" w:rsidTr="008B2E31">
        <w:trPr>
          <w:trHeight w:val="630"/>
        </w:trPr>
        <w:tc>
          <w:tcPr>
            <w:tcW w:w="416" w:type="dxa"/>
          </w:tcPr>
          <w:p w:rsidR="00D94EE5" w:rsidRPr="00D040B3" w:rsidRDefault="00D94EE5" w:rsidP="0045163C">
            <w:pPr>
              <w:pStyle w:val="naiskr"/>
              <w:spacing w:before="0" w:after="60"/>
              <w:jc w:val="center"/>
              <w:rPr>
                <w:color w:val="000000" w:themeColor="text1"/>
              </w:rPr>
            </w:pPr>
            <w:r w:rsidRPr="00D040B3">
              <w:rPr>
                <w:color w:val="000000" w:themeColor="text1"/>
              </w:rPr>
              <w:t>1.</w:t>
            </w:r>
          </w:p>
        </w:tc>
        <w:tc>
          <w:tcPr>
            <w:tcW w:w="1857" w:type="dxa"/>
          </w:tcPr>
          <w:p w:rsidR="00D94EE5" w:rsidRPr="00D040B3" w:rsidRDefault="00D94EE5" w:rsidP="0045163C">
            <w:pPr>
              <w:pStyle w:val="naiskr"/>
              <w:spacing w:before="0" w:after="60"/>
              <w:ind w:hanging="10"/>
              <w:rPr>
                <w:color w:val="000000" w:themeColor="text1"/>
              </w:rPr>
            </w:pPr>
            <w:r w:rsidRPr="00D040B3">
              <w:rPr>
                <w:color w:val="000000" w:themeColor="text1"/>
              </w:rPr>
              <w:t>Pamatojums</w:t>
            </w:r>
          </w:p>
          <w:p w:rsidR="00D94EE5" w:rsidRPr="00D040B3" w:rsidRDefault="00D94EE5" w:rsidP="0045163C">
            <w:pPr>
              <w:tabs>
                <w:tab w:val="left" w:pos="1035"/>
              </w:tabs>
              <w:spacing w:after="60"/>
              <w:rPr>
                <w:color w:val="000000" w:themeColor="text1"/>
              </w:rPr>
            </w:pPr>
          </w:p>
        </w:tc>
        <w:tc>
          <w:tcPr>
            <w:tcW w:w="7083" w:type="dxa"/>
            <w:tcMar>
              <w:left w:w="28" w:type="dxa"/>
              <w:right w:w="28" w:type="dxa"/>
            </w:tcMar>
          </w:tcPr>
          <w:p w:rsidR="00D94EE5" w:rsidRPr="00D040B3" w:rsidRDefault="00D94EE5" w:rsidP="0000562A">
            <w:pPr>
              <w:pStyle w:val="naiskr"/>
              <w:spacing w:before="0" w:after="60"/>
              <w:ind w:firstLine="188"/>
              <w:jc w:val="both"/>
              <w:rPr>
                <w:color w:val="000000" w:themeColor="text1"/>
              </w:rPr>
            </w:pPr>
            <w:r w:rsidRPr="00D040B3">
              <w:rPr>
                <w:color w:val="000000" w:themeColor="text1"/>
              </w:rPr>
              <w:t xml:space="preserve">Ministru kabineta noteikumu projekts „Grozījumi Ministru kabineta 2013.gada 26.februāra noteikumos Nr.112 „Emisijas kvotu piešķiršanas kārtība stacionāro tehnoloģisko iekārtu operatoriem”” (turpmāk – noteikumu projekts) ir sagatavots saskaņā ar </w:t>
            </w:r>
            <w:r w:rsidRPr="00D040B3">
              <w:rPr>
                <w:iCs/>
                <w:color w:val="000000" w:themeColor="text1"/>
              </w:rPr>
              <w:t>likuma „Par piesārņojumu” 32.</w:t>
            </w:r>
            <w:r w:rsidRPr="00D040B3">
              <w:rPr>
                <w:iCs/>
                <w:color w:val="000000" w:themeColor="text1"/>
                <w:vertAlign w:val="superscript"/>
              </w:rPr>
              <w:t>2</w:t>
            </w:r>
            <w:r w:rsidRPr="00D040B3">
              <w:rPr>
                <w:iCs/>
                <w:color w:val="000000" w:themeColor="text1"/>
              </w:rPr>
              <w:t xml:space="preserve"> panta astoto daļu.</w:t>
            </w:r>
          </w:p>
        </w:tc>
      </w:tr>
      <w:tr w:rsidR="00D94EE5" w:rsidRPr="00D040B3" w:rsidTr="008B2E31">
        <w:trPr>
          <w:trHeight w:val="472"/>
        </w:trPr>
        <w:tc>
          <w:tcPr>
            <w:tcW w:w="416" w:type="dxa"/>
          </w:tcPr>
          <w:p w:rsidR="00D94EE5" w:rsidRPr="00D040B3" w:rsidRDefault="00D94EE5" w:rsidP="0045163C">
            <w:pPr>
              <w:pStyle w:val="HTMLPreformatted"/>
              <w:spacing w:after="60"/>
              <w:jc w:val="center"/>
              <w:rPr>
                <w:rFonts w:ascii="Times New Roman" w:hAnsi="Times New Roman" w:cs="Times New Roman"/>
                <w:color w:val="000000" w:themeColor="text1"/>
                <w:sz w:val="24"/>
                <w:szCs w:val="24"/>
              </w:rPr>
            </w:pPr>
            <w:r w:rsidRPr="00D040B3">
              <w:rPr>
                <w:rFonts w:ascii="Times New Roman" w:hAnsi="Times New Roman" w:cs="Times New Roman"/>
                <w:color w:val="000000" w:themeColor="text1"/>
                <w:sz w:val="24"/>
                <w:szCs w:val="24"/>
              </w:rPr>
              <w:t>2.</w:t>
            </w:r>
          </w:p>
        </w:tc>
        <w:tc>
          <w:tcPr>
            <w:tcW w:w="1857" w:type="dxa"/>
          </w:tcPr>
          <w:p w:rsidR="00D94EE5" w:rsidRPr="00D040B3" w:rsidRDefault="004618FD" w:rsidP="0045163C">
            <w:pPr>
              <w:pStyle w:val="HTMLPreformatted"/>
              <w:tabs>
                <w:tab w:val="left" w:pos="170"/>
              </w:tabs>
              <w:spacing w:after="60"/>
              <w:rPr>
                <w:rFonts w:ascii="Times New Roman" w:hAnsi="Times New Roman" w:cs="Times New Roman"/>
                <w:color w:val="000000" w:themeColor="text1"/>
                <w:sz w:val="24"/>
                <w:szCs w:val="24"/>
              </w:rPr>
            </w:pPr>
            <w:r w:rsidRPr="00D040B3">
              <w:rPr>
                <w:rFonts w:ascii="Times New Roman" w:hAnsi="Times New Roman" w:cs="Times New Roman"/>
                <w:color w:val="000000" w:themeColor="text1"/>
                <w:sz w:val="24"/>
                <w:szCs w:val="24"/>
              </w:rPr>
              <w:t>Pašreizējā situācija un problēmas, kuru risināšanai tiesību akta projekts izstrādāts, tiesiskā regulējuma mērķis un būtība</w:t>
            </w:r>
          </w:p>
        </w:tc>
        <w:tc>
          <w:tcPr>
            <w:tcW w:w="7083" w:type="dxa"/>
            <w:tcMar>
              <w:left w:w="28" w:type="dxa"/>
              <w:right w:w="28" w:type="dxa"/>
            </w:tcMar>
          </w:tcPr>
          <w:p w:rsidR="00AB04BB" w:rsidRPr="00AB04BB" w:rsidRDefault="00AB04BB" w:rsidP="008156A9">
            <w:pPr>
              <w:pStyle w:val="naiskr"/>
              <w:spacing w:before="0" w:after="60"/>
              <w:ind w:firstLine="170"/>
              <w:jc w:val="both"/>
              <w:rPr>
                <w:i/>
                <w:color w:val="000000" w:themeColor="text1"/>
              </w:rPr>
            </w:pPr>
            <w:r w:rsidRPr="00AB04BB">
              <w:rPr>
                <w:i/>
                <w:color w:val="000000" w:themeColor="text1"/>
              </w:rPr>
              <w:t>Pašreizējā situācija un problēmas</w:t>
            </w:r>
          </w:p>
          <w:p w:rsidR="00AB04BB" w:rsidRDefault="00AB04BB" w:rsidP="00AB04BB">
            <w:pPr>
              <w:pStyle w:val="naiskr"/>
              <w:spacing w:before="0" w:after="60"/>
              <w:ind w:firstLine="170"/>
              <w:jc w:val="both"/>
              <w:rPr>
                <w:color w:val="000000" w:themeColor="text1"/>
              </w:rPr>
            </w:pPr>
            <w:r w:rsidRPr="00D040B3">
              <w:rPr>
                <w:color w:val="000000" w:themeColor="text1"/>
              </w:rPr>
              <w:t>Eiropas Komisija 201</w:t>
            </w:r>
            <w:r w:rsidR="00DC3632">
              <w:rPr>
                <w:color w:val="000000" w:themeColor="text1"/>
              </w:rPr>
              <w:t>4</w:t>
            </w:r>
            <w:r w:rsidRPr="00D040B3">
              <w:rPr>
                <w:color w:val="000000" w:themeColor="text1"/>
              </w:rPr>
              <w:t xml:space="preserve">.gada </w:t>
            </w:r>
            <w:r w:rsidR="00DC3632">
              <w:rPr>
                <w:color w:val="000000" w:themeColor="text1"/>
              </w:rPr>
              <w:t xml:space="preserve">27.oktobrī </w:t>
            </w:r>
            <w:r w:rsidRPr="00D040B3">
              <w:rPr>
                <w:color w:val="000000" w:themeColor="text1"/>
              </w:rPr>
              <w:t>pieņēma lēmumu Nr. 2014/</w:t>
            </w:r>
            <w:r w:rsidR="00DC3632">
              <w:rPr>
                <w:color w:val="000000" w:themeColor="text1"/>
              </w:rPr>
              <w:t>746</w:t>
            </w:r>
            <w:r w:rsidRPr="00D040B3">
              <w:rPr>
                <w:color w:val="000000" w:themeColor="text1"/>
              </w:rPr>
              <w:t xml:space="preserve">/ES, </w:t>
            </w:r>
            <w:r w:rsidR="00DC3632" w:rsidRPr="00DC3632">
              <w:rPr>
                <w:color w:val="000000" w:themeColor="text1"/>
              </w:rPr>
              <w:t xml:space="preserve">ar ko atbilstoši Eiropas Parlamenta un Padomes Direktīvai 2003/87/EK 2015.–2019. gada periodam nosaka sarakstu ar nozarēm un apakšnozarēm, kurās pastāv būtisks oglekļa dioksīda emisiju pārvirzes risks </w:t>
            </w:r>
            <w:r>
              <w:rPr>
                <w:color w:val="000000" w:themeColor="text1"/>
              </w:rPr>
              <w:t>(turpmāk – Lēmums Nr. 2014/</w:t>
            </w:r>
            <w:r w:rsidR="00DC3632">
              <w:rPr>
                <w:color w:val="000000" w:themeColor="text1"/>
              </w:rPr>
              <w:t>746</w:t>
            </w:r>
            <w:r>
              <w:rPr>
                <w:color w:val="000000" w:themeColor="text1"/>
              </w:rPr>
              <w:t>/ES)</w:t>
            </w:r>
            <w:r w:rsidRPr="00D040B3">
              <w:rPr>
                <w:color w:val="000000" w:themeColor="text1"/>
              </w:rPr>
              <w:t xml:space="preserve">. Saskaņā ar šo lēmumu ir </w:t>
            </w:r>
            <w:r w:rsidR="00DC3632">
              <w:rPr>
                <w:color w:val="000000" w:themeColor="text1"/>
              </w:rPr>
              <w:t xml:space="preserve">izstrādāts jauns </w:t>
            </w:r>
            <w:r w:rsidRPr="00D040B3">
              <w:rPr>
                <w:color w:val="000000" w:themeColor="text1"/>
              </w:rPr>
              <w:t>oglekļa dioksīda pārvirzes riskam pakļauto nozaru saraksts</w:t>
            </w:r>
            <w:r>
              <w:rPr>
                <w:color w:val="000000" w:themeColor="text1"/>
              </w:rPr>
              <w:t xml:space="preserve"> </w:t>
            </w:r>
            <w:r w:rsidR="00DC3632">
              <w:rPr>
                <w:color w:val="000000" w:themeColor="text1"/>
              </w:rPr>
              <w:t>2015.-2019.gadam un šī saraksta izstrādi nosaka Eiropas Parlamenta un Padomes direktīva Nr.2003/87/EK</w:t>
            </w:r>
            <w:r>
              <w:rPr>
                <w:color w:val="000000" w:themeColor="text1"/>
              </w:rPr>
              <w:t>.</w:t>
            </w:r>
          </w:p>
          <w:p w:rsidR="00A00FEF" w:rsidRPr="00D040B3" w:rsidRDefault="00A00FEF" w:rsidP="00AB04BB">
            <w:pPr>
              <w:pStyle w:val="naiskr"/>
              <w:spacing w:before="0" w:after="60"/>
              <w:ind w:firstLine="170"/>
              <w:jc w:val="both"/>
              <w:rPr>
                <w:color w:val="000000" w:themeColor="text1"/>
              </w:rPr>
            </w:pPr>
            <w:r>
              <w:rPr>
                <w:color w:val="000000" w:themeColor="text1"/>
              </w:rPr>
              <w:t>Šobrīd</w:t>
            </w:r>
            <w:r w:rsidR="007F1808" w:rsidRPr="00D040B3">
              <w:rPr>
                <w:color w:val="000000" w:themeColor="text1"/>
              </w:rPr>
              <w:t xml:space="preserve"> Ministru kabineta 2013.gada 26.februāra noteikumos Nr.112 „Emisijas kvotu piešķiršanas kārtība stacionāro tehnoloģisko iekārtu operatoriem”</w:t>
            </w:r>
            <w:r>
              <w:rPr>
                <w:color w:val="000000" w:themeColor="text1"/>
              </w:rPr>
              <w:t xml:space="preserve"> </w:t>
            </w:r>
            <w:r w:rsidR="007F1808">
              <w:rPr>
                <w:color w:val="000000" w:themeColor="text1"/>
              </w:rPr>
              <w:t xml:space="preserve">(turpmāk – </w:t>
            </w:r>
            <w:r w:rsidR="00DC3632">
              <w:rPr>
                <w:color w:val="000000" w:themeColor="text1"/>
              </w:rPr>
              <w:t>noteikum</w:t>
            </w:r>
            <w:r w:rsidR="007F1808">
              <w:rPr>
                <w:color w:val="000000" w:themeColor="text1"/>
              </w:rPr>
              <w:t>i</w:t>
            </w:r>
            <w:r w:rsidR="00DC3632">
              <w:rPr>
                <w:color w:val="000000" w:themeColor="text1"/>
              </w:rPr>
              <w:t xml:space="preserve"> Nr.112</w:t>
            </w:r>
            <w:r w:rsidR="007F1808">
              <w:rPr>
                <w:color w:val="000000" w:themeColor="text1"/>
              </w:rPr>
              <w:t>)</w:t>
            </w:r>
            <w:r w:rsidR="00DC3632">
              <w:rPr>
                <w:color w:val="000000" w:themeColor="text1"/>
              </w:rPr>
              <w:t xml:space="preserve"> ir iekļauta atsauce uz </w:t>
            </w:r>
            <w:r w:rsidR="00DC3632" w:rsidRPr="00DC3632">
              <w:rPr>
                <w:color w:val="000000" w:themeColor="text1"/>
              </w:rPr>
              <w:t>Eiropas Komisijas 2009.gada 24.decembra Lēmum</w:t>
            </w:r>
            <w:r w:rsidR="00DC3632">
              <w:rPr>
                <w:color w:val="000000" w:themeColor="text1"/>
              </w:rPr>
              <w:t>u Nr.</w:t>
            </w:r>
            <w:r w:rsidR="00DC3632" w:rsidRPr="00DC3632">
              <w:rPr>
                <w:color w:val="000000" w:themeColor="text1"/>
              </w:rPr>
              <w:t>2010/2/ES, ar ko atbilstoši Eiropas Parlamenta un Padomes Direktīvai 2003/87/EK nosaka sarakstu ar nozarēm vai apakšnozarēm, kurās pastāv būtisks oglekļa dioksīda emisiju pārvirzes risks</w:t>
            </w:r>
            <w:r w:rsidR="00DC3632">
              <w:rPr>
                <w:color w:val="000000" w:themeColor="text1"/>
              </w:rPr>
              <w:t>, kas noteica oglekļa dioksīda pārvirzes riskam pakļauto nozaru un apakšnozaru sarakstu laika periodam 2009.-2014.gads.</w:t>
            </w:r>
          </w:p>
          <w:p w:rsidR="00C87F70" w:rsidRDefault="009C1D0D" w:rsidP="00C87F70">
            <w:pPr>
              <w:pStyle w:val="naiskr"/>
              <w:spacing w:before="0" w:after="60"/>
              <w:jc w:val="both"/>
              <w:rPr>
                <w:i/>
                <w:color w:val="000000" w:themeColor="text1"/>
              </w:rPr>
            </w:pPr>
            <w:r w:rsidRPr="00AB04BB">
              <w:rPr>
                <w:i/>
                <w:color w:val="000000" w:themeColor="text1"/>
              </w:rPr>
              <w:t>Noteikumu projekta mērķis</w:t>
            </w:r>
          </w:p>
          <w:p w:rsidR="003C2304" w:rsidRDefault="003C2304" w:rsidP="00C87F70">
            <w:pPr>
              <w:pStyle w:val="naiskr"/>
              <w:spacing w:before="0" w:after="60"/>
              <w:ind w:firstLine="170"/>
              <w:jc w:val="both"/>
            </w:pPr>
            <w:r>
              <w:t>Noteikumu projekts nosaka:</w:t>
            </w:r>
          </w:p>
          <w:p w:rsidR="003C2304" w:rsidRDefault="003C2304" w:rsidP="003C2304">
            <w:pPr>
              <w:pStyle w:val="naiskr"/>
              <w:numPr>
                <w:ilvl w:val="0"/>
                <w:numId w:val="28"/>
              </w:numPr>
              <w:spacing w:before="0" w:after="60"/>
              <w:ind w:left="341" w:hanging="284"/>
              <w:jc w:val="both"/>
            </w:pPr>
            <w:r>
              <w:t>A</w:t>
            </w:r>
            <w:r w:rsidR="00914029" w:rsidRPr="00914029">
              <w:t>tsauce</w:t>
            </w:r>
            <w:r>
              <w:t>s uz</w:t>
            </w:r>
            <w:r>
              <w:rPr>
                <w:color w:val="000000" w:themeColor="text1"/>
              </w:rPr>
              <w:t xml:space="preserve"> Eiropas Komisijas lēmumu</w:t>
            </w:r>
            <w:r w:rsidR="00914029" w:rsidRPr="00914029">
              <w:t>, kurš stāsies spēkā 2015.gada 1.janvārī</w:t>
            </w:r>
            <w:r>
              <w:t>, iekļaušanu;</w:t>
            </w:r>
          </w:p>
          <w:p w:rsidR="00914029" w:rsidRPr="00C87F70" w:rsidRDefault="00914029" w:rsidP="003C2304">
            <w:pPr>
              <w:pStyle w:val="naiskr"/>
              <w:numPr>
                <w:ilvl w:val="0"/>
                <w:numId w:val="28"/>
              </w:numPr>
              <w:spacing w:before="0" w:after="60"/>
              <w:ind w:left="341" w:hanging="284"/>
              <w:jc w:val="both"/>
              <w:rPr>
                <w:color w:val="000000" w:themeColor="text1"/>
              </w:rPr>
            </w:pPr>
            <w:r w:rsidRPr="00914029">
              <w:t>Latvijas Emisijas kvotu tirdzniecības sistēmas operatoriem atbilstoš</w:t>
            </w:r>
            <w:r w:rsidR="003C2304">
              <w:t>a</w:t>
            </w:r>
            <w:r w:rsidRPr="00914029">
              <w:t xml:space="preserve"> oglekļa dioksīda pārvirzes riskam pakļaut</w:t>
            </w:r>
            <w:r w:rsidR="003C2304">
              <w:t>o nozaru un apakšnozaru saraksta piemērošanu.</w:t>
            </w:r>
          </w:p>
          <w:p w:rsidR="00AB04BB" w:rsidRDefault="00AB04BB" w:rsidP="00777267">
            <w:pPr>
              <w:pStyle w:val="naiskr"/>
              <w:spacing w:before="0" w:after="60"/>
              <w:ind w:firstLine="170"/>
              <w:jc w:val="both"/>
              <w:rPr>
                <w:color w:val="000000" w:themeColor="text1"/>
              </w:rPr>
            </w:pPr>
            <w:r w:rsidRPr="00AB04BB">
              <w:rPr>
                <w:i/>
                <w:color w:val="000000" w:themeColor="text1"/>
              </w:rPr>
              <w:t>Problēmu risināšana ar noteikumu projektu</w:t>
            </w:r>
            <w:r>
              <w:rPr>
                <w:color w:val="000000" w:themeColor="text1"/>
              </w:rPr>
              <w:t xml:space="preserve"> </w:t>
            </w:r>
          </w:p>
          <w:p w:rsidR="00777267" w:rsidRDefault="00EF1174" w:rsidP="009C1D0D">
            <w:pPr>
              <w:pStyle w:val="naiskr"/>
              <w:spacing w:before="0" w:after="60"/>
              <w:ind w:firstLine="170"/>
              <w:jc w:val="both"/>
              <w:rPr>
                <w:color w:val="000000" w:themeColor="text1"/>
              </w:rPr>
            </w:pPr>
            <w:r>
              <w:rPr>
                <w:color w:val="000000" w:themeColor="text1"/>
              </w:rPr>
              <w:t xml:space="preserve">Ar noteikumu projektu noteikumos Nr.112 </w:t>
            </w:r>
            <w:r w:rsidR="006E5A5A">
              <w:rPr>
                <w:color w:val="000000" w:themeColor="text1"/>
              </w:rPr>
              <w:t xml:space="preserve">ir </w:t>
            </w:r>
            <w:r>
              <w:rPr>
                <w:color w:val="000000" w:themeColor="text1"/>
              </w:rPr>
              <w:t>iekļauta pareizā atsauce uz Eiropas Komisijas lēmumu, kurš stāsies spēkā 2015.gada 1.janvārī. Tādējādi noteikumu Nr.112 nosacījumi tiks piemēroti atbilstošajiem Eiropas Savienības tiesību aktiem un Latvijas Emisijas kvotu tirdzniecības sistēmas operatoriem tiks piemērots atbilstošs oglekļa dioksīda pārvirzes riskam pakļauto nozaru un apakšnozaru saraksts</w:t>
            </w:r>
            <w:r w:rsidR="00A00FEF">
              <w:rPr>
                <w:color w:val="000000" w:themeColor="text1"/>
              </w:rPr>
              <w:t>.</w:t>
            </w:r>
          </w:p>
          <w:p w:rsidR="002A7EAC" w:rsidRPr="0064568B" w:rsidRDefault="00483F91" w:rsidP="009C1D0D">
            <w:pPr>
              <w:pStyle w:val="naiskr"/>
              <w:spacing w:before="0" w:after="60"/>
              <w:ind w:firstLine="170"/>
              <w:jc w:val="both"/>
              <w:rPr>
                <w:i/>
                <w:color w:val="000000" w:themeColor="text1"/>
              </w:rPr>
            </w:pPr>
            <w:r w:rsidRPr="0064568B">
              <w:rPr>
                <w:i/>
                <w:color w:val="000000" w:themeColor="text1"/>
              </w:rPr>
              <w:t>Tiesiskās paļāvības nodrošināšana</w:t>
            </w:r>
          </w:p>
          <w:p w:rsidR="0030774D" w:rsidRPr="00D040B3" w:rsidRDefault="0030774D" w:rsidP="00EF1174">
            <w:pPr>
              <w:pStyle w:val="naiskr"/>
              <w:spacing w:before="0" w:after="60"/>
              <w:ind w:firstLine="170"/>
              <w:jc w:val="both"/>
              <w:rPr>
                <w:color w:val="000000" w:themeColor="text1"/>
              </w:rPr>
            </w:pPr>
            <w:r>
              <w:rPr>
                <w:color w:val="000000" w:themeColor="text1"/>
              </w:rPr>
              <w:t xml:space="preserve">Attiecībā uz oglekļa dioksīda pārvirzes riska piemērošanu, noteikumu projektā ir iekļauta atsauce, ka </w:t>
            </w:r>
            <w:r w:rsidR="00EF1174">
              <w:rPr>
                <w:color w:val="000000" w:themeColor="text1"/>
              </w:rPr>
              <w:t xml:space="preserve">atsauces uz Eiropas Komisijas Lēmumu </w:t>
            </w:r>
            <w:r w:rsidR="00EF1174">
              <w:rPr>
                <w:color w:val="000000" w:themeColor="text1"/>
              </w:rPr>
              <w:lastRenderedPageBreak/>
              <w:t>grozījumi stājas spēkā 2015.gada 1.janvārī</w:t>
            </w:r>
            <w:r>
              <w:rPr>
                <w:color w:val="000000" w:themeColor="text1"/>
              </w:rPr>
              <w:t>.</w:t>
            </w:r>
          </w:p>
        </w:tc>
      </w:tr>
      <w:tr w:rsidR="00D94EE5" w:rsidRPr="00D040B3" w:rsidTr="008B2E31">
        <w:trPr>
          <w:trHeight w:val="476"/>
        </w:trPr>
        <w:tc>
          <w:tcPr>
            <w:tcW w:w="416" w:type="dxa"/>
          </w:tcPr>
          <w:p w:rsidR="00D94EE5" w:rsidRPr="00D040B3" w:rsidRDefault="004618FD" w:rsidP="0045163C">
            <w:pPr>
              <w:pStyle w:val="naiskr"/>
              <w:spacing w:before="0" w:after="60"/>
              <w:jc w:val="center"/>
              <w:rPr>
                <w:color w:val="000000" w:themeColor="text1"/>
              </w:rPr>
            </w:pPr>
            <w:r w:rsidRPr="00D040B3">
              <w:rPr>
                <w:color w:val="000000" w:themeColor="text1"/>
              </w:rPr>
              <w:lastRenderedPageBreak/>
              <w:t>3.</w:t>
            </w:r>
          </w:p>
        </w:tc>
        <w:tc>
          <w:tcPr>
            <w:tcW w:w="1857" w:type="dxa"/>
          </w:tcPr>
          <w:p w:rsidR="00D94EE5" w:rsidRPr="00D040B3" w:rsidRDefault="00D94EE5" w:rsidP="0045163C">
            <w:pPr>
              <w:pStyle w:val="naiskr"/>
              <w:spacing w:before="0" w:after="60"/>
              <w:rPr>
                <w:color w:val="000000" w:themeColor="text1"/>
              </w:rPr>
            </w:pPr>
            <w:r w:rsidRPr="00D040B3">
              <w:rPr>
                <w:color w:val="000000" w:themeColor="text1"/>
              </w:rPr>
              <w:t>Projekta izstrādē iesaistītās institūcijas</w:t>
            </w:r>
          </w:p>
        </w:tc>
        <w:tc>
          <w:tcPr>
            <w:tcW w:w="7083" w:type="dxa"/>
          </w:tcPr>
          <w:p w:rsidR="00D94EE5" w:rsidRPr="00777267" w:rsidRDefault="00D94EE5" w:rsidP="00777267">
            <w:pPr>
              <w:pStyle w:val="naiskr"/>
              <w:spacing w:before="0" w:after="60"/>
              <w:ind w:firstLine="235"/>
              <w:rPr>
                <w:iCs/>
                <w:color w:val="000000" w:themeColor="text1"/>
              </w:rPr>
            </w:pPr>
            <w:r w:rsidRPr="00D040B3">
              <w:rPr>
                <w:iCs/>
                <w:color w:val="000000" w:themeColor="text1"/>
              </w:rPr>
              <w:t>Vides aizsardzības un reģionālās attīstības ministrija</w:t>
            </w:r>
            <w:r w:rsidR="00777267">
              <w:rPr>
                <w:iCs/>
                <w:color w:val="000000" w:themeColor="text1"/>
              </w:rPr>
              <w:t>.</w:t>
            </w:r>
          </w:p>
        </w:tc>
      </w:tr>
      <w:tr w:rsidR="00D94EE5" w:rsidRPr="00D040B3" w:rsidTr="008B2E31">
        <w:tc>
          <w:tcPr>
            <w:tcW w:w="416" w:type="dxa"/>
          </w:tcPr>
          <w:p w:rsidR="00D94EE5" w:rsidRPr="00D040B3" w:rsidRDefault="004618FD" w:rsidP="0045163C">
            <w:pPr>
              <w:pStyle w:val="naiskr"/>
              <w:spacing w:before="0" w:after="60"/>
              <w:jc w:val="center"/>
              <w:rPr>
                <w:color w:val="000000" w:themeColor="text1"/>
              </w:rPr>
            </w:pPr>
            <w:r w:rsidRPr="00D040B3">
              <w:rPr>
                <w:color w:val="000000" w:themeColor="text1"/>
              </w:rPr>
              <w:t>4</w:t>
            </w:r>
            <w:r w:rsidR="00D94EE5" w:rsidRPr="00D040B3">
              <w:rPr>
                <w:color w:val="000000" w:themeColor="text1"/>
              </w:rPr>
              <w:t>.</w:t>
            </w:r>
          </w:p>
        </w:tc>
        <w:tc>
          <w:tcPr>
            <w:tcW w:w="1857" w:type="dxa"/>
          </w:tcPr>
          <w:p w:rsidR="00D94EE5" w:rsidRPr="00D040B3" w:rsidRDefault="00D94EE5" w:rsidP="0045163C">
            <w:pPr>
              <w:pStyle w:val="naiskr"/>
              <w:spacing w:before="0" w:after="60"/>
              <w:rPr>
                <w:color w:val="000000" w:themeColor="text1"/>
              </w:rPr>
            </w:pPr>
            <w:r w:rsidRPr="00D040B3">
              <w:rPr>
                <w:color w:val="000000" w:themeColor="text1"/>
              </w:rPr>
              <w:t>Cita informācija</w:t>
            </w:r>
          </w:p>
        </w:tc>
        <w:tc>
          <w:tcPr>
            <w:tcW w:w="7083" w:type="dxa"/>
          </w:tcPr>
          <w:p w:rsidR="00D94EE5" w:rsidRPr="00D040B3" w:rsidRDefault="00D94EE5" w:rsidP="0045163C">
            <w:pPr>
              <w:pStyle w:val="naiskr"/>
              <w:spacing w:before="0" w:after="60"/>
              <w:ind w:firstLine="283"/>
              <w:rPr>
                <w:color w:val="000000" w:themeColor="text1"/>
              </w:rPr>
            </w:pPr>
            <w:r w:rsidRPr="00D040B3">
              <w:rPr>
                <w:color w:val="000000" w:themeColor="text1"/>
              </w:rPr>
              <w:t>Nav</w:t>
            </w:r>
          </w:p>
        </w:tc>
      </w:tr>
    </w:tbl>
    <w:p w:rsidR="0000562A" w:rsidRDefault="0000562A" w:rsidP="00777267">
      <w:pPr>
        <w:spacing w:before="120" w:after="120"/>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2900"/>
        <w:gridCol w:w="5988"/>
      </w:tblGrid>
      <w:tr w:rsidR="00C02911" w:rsidRPr="0045163C" w:rsidTr="000166E1">
        <w:trPr>
          <w:trHeight w:val="55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1268" w:rsidRPr="004225C8" w:rsidRDefault="00C02911" w:rsidP="0045163C">
            <w:pPr>
              <w:spacing w:after="60"/>
              <w:jc w:val="center"/>
              <w:rPr>
                <w:b/>
                <w:bCs/>
                <w:color w:val="000000" w:themeColor="text1"/>
              </w:rPr>
            </w:pPr>
            <w:r w:rsidRPr="004225C8">
              <w:rPr>
                <w:b/>
                <w:bCs/>
                <w:color w:val="000000" w:themeColor="text1"/>
              </w:rPr>
              <w:t>II. Tiesību akta projekta ietekme uz sabiedrību, tautsaimniecības attīstību un administratīvo slogu</w:t>
            </w:r>
          </w:p>
        </w:tc>
      </w:tr>
      <w:tr w:rsidR="00C02911" w:rsidRPr="0045163C" w:rsidTr="000166E1">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1.</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02911" w:rsidRPr="0045163C" w:rsidRDefault="00C02911" w:rsidP="0045163C">
            <w:pPr>
              <w:pStyle w:val="naiskr"/>
              <w:numPr>
                <w:ilvl w:val="0"/>
                <w:numId w:val="25"/>
              </w:numPr>
              <w:spacing w:before="0" w:after="60"/>
              <w:ind w:left="399"/>
              <w:jc w:val="both"/>
              <w:rPr>
                <w:rStyle w:val="apple-style-span"/>
                <w:b/>
                <w:bCs/>
                <w:color w:val="000000" w:themeColor="text1"/>
                <w:shd w:val="clear" w:color="auto" w:fill="FFFFFF"/>
              </w:rPr>
            </w:pPr>
            <w:r w:rsidRPr="0045163C">
              <w:rPr>
                <w:iCs/>
                <w:color w:val="000000" w:themeColor="text1"/>
              </w:rPr>
              <w:t xml:space="preserve">Latvijas emisijas kvotu tirdzniecības sistēmas </w:t>
            </w:r>
            <w:r w:rsidR="0000562A">
              <w:rPr>
                <w:iCs/>
                <w:color w:val="000000" w:themeColor="text1"/>
              </w:rPr>
              <w:t xml:space="preserve">67 </w:t>
            </w:r>
            <w:r w:rsidRPr="0045163C">
              <w:rPr>
                <w:iCs/>
                <w:color w:val="000000" w:themeColor="text1"/>
              </w:rPr>
              <w:t>operatori, kuri veic kādu no likuma „Par piesārņojumu” 2.pielikumā minētajām darbībām un kuriem ir izsniegtas siltumnīcefekta gāzu emisijas atļaujas</w:t>
            </w:r>
            <w:r w:rsidRPr="0045163C">
              <w:rPr>
                <w:rStyle w:val="apple-style-span"/>
                <w:color w:val="000000" w:themeColor="text1"/>
                <w:shd w:val="clear" w:color="auto" w:fill="FFFFFF"/>
              </w:rPr>
              <w:t>;</w:t>
            </w:r>
          </w:p>
          <w:p w:rsidR="00C02911" w:rsidRPr="0045163C" w:rsidRDefault="00C02911" w:rsidP="0045163C">
            <w:pPr>
              <w:pStyle w:val="ListParagraph"/>
              <w:numPr>
                <w:ilvl w:val="0"/>
                <w:numId w:val="25"/>
              </w:numPr>
              <w:spacing w:after="60"/>
              <w:ind w:left="399"/>
              <w:contextualSpacing w:val="0"/>
              <w:rPr>
                <w:color w:val="000000" w:themeColor="text1"/>
                <w:sz w:val="24"/>
                <w:szCs w:val="24"/>
                <w:lang w:eastAsia="lv-LV"/>
              </w:rPr>
            </w:pPr>
            <w:r w:rsidRPr="0045163C">
              <w:rPr>
                <w:rStyle w:val="apple-style-span"/>
                <w:color w:val="000000" w:themeColor="text1"/>
                <w:sz w:val="24"/>
                <w:szCs w:val="24"/>
                <w:shd w:val="clear" w:color="auto" w:fill="FFFFFF"/>
              </w:rPr>
              <w:t xml:space="preserve">Kādā no Eiropas Savienības dalībvalstīm </w:t>
            </w:r>
            <w:r w:rsidRPr="0045163C">
              <w:rPr>
                <w:color w:val="000000" w:themeColor="text1"/>
                <w:sz w:val="24"/>
                <w:szCs w:val="24"/>
              </w:rPr>
              <w:t xml:space="preserve">atbilstības novērtēšanas institūcijā </w:t>
            </w:r>
            <w:r w:rsidRPr="0045163C">
              <w:rPr>
                <w:rStyle w:val="apple-style-span"/>
                <w:color w:val="000000" w:themeColor="text1"/>
                <w:sz w:val="24"/>
                <w:szCs w:val="24"/>
                <w:shd w:val="clear" w:color="auto" w:fill="FFFFFF"/>
              </w:rPr>
              <w:t>vai Latvijā akreditēti</w:t>
            </w:r>
            <w:r w:rsidRPr="0045163C">
              <w:rPr>
                <w:color w:val="000000" w:themeColor="text1"/>
                <w:sz w:val="24"/>
                <w:szCs w:val="24"/>
              </w:rPr>
              <w:t xml:space="preserve"> verificētāji.</w:t>
            </w:r>
          </w:p>
        </w:tc>
      </w:tr>
      <w:tr w:rsidR="00C02911" w:rsidRPr="0045163C"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2.</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02911" w:rsidRPr="004225C8" w:rsidRDefault="000D48E9" w:rsidP="0045163C">
            <w:pPr>
              <w:spacing w:after="60"/>
              <w:rPr>
                <w:color w:val="000000" w:themeColor="text1"/>
              </w:rPr>
            </w:pPr>
            <w:r w:rsidRPr="0045163C">
              <w:rPr>
                <w:color w:val="000000" w:themeColor="text1"/>
              </w:rPr>
              <w:t>Projekts šo jomu neskar.</w:t>
            </w:r>
          </w:p>
        </w:tc>
      </w:tr>
      <w:tr w:rsidR="00C02911" w:rsidRPr="0045163C"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3.</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5163C">
              <w:rPr>
                <w:color w:val="000000" w:themeColor="text1"/>
              </w:rPr>
              <w:t>Projekts šo jomu neskar.</w:t>
            </w:r>
          </w:p>
        </w:tc>
      </w:tr>
      <w:tr w:rsidR="00C02911" w:rsidRPr="0045163C" w:rsidTr="000166E1">
        <w:trPr>
          <w:trHeight w:val="34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4.</w:t>
            </w:r>
          </w:p>
        </w:tc>
        <w:tc>
          <w:tcPr>
            <w:tcW w:w="15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B1268" w:rsidRPr="004225C8" w:rsidRDefault="00C02911" w:rsidP="0045163C">
            <w:pPr>
              <w:spacing w:after="60"/>
              <w:rPr>
                <w:color w:val="000000" w:themeColor="text1"/>
              </w:rPr>
            </w:pPr>
            <w:r w:rsidRPr="0045163C">
              <w:rPr>
                <w:color w:val="000000" w:themeColor="text1"/>
              </w:rPr>
              <w:t>Nav</w:t>
            </w:r>
          </w:p>
        </w:tc>
      </w:tr>
    </w:tbl>
    <w:p w:rsidR="007B1268" w:rsidRPr="00FB4812" w:rsidRDefault="007B1268" w:rsidP="00801659">
      <w:pPr>
        <w:pStyle w:val="naisf"/>
        <w:spacing w:before="120" w:after="120"/>
        <w:ind w:firstLine="374"/>
        <w:jc w:val="center"/>
        <w:rPr>
          <w:b/>
        </w:rPr>
      </w:pPr>
    </w:p>
    <w:tbl>
      <w:tblPr>
        <w:tblW w:w="9356" w:type="dxa"/>
        <w:jc w:val="center"/>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555"/>
        <w:gridCol w:w="2565"/>
        <w:gridCol w:w="6236"/>
      </w:tblGrid>
      <w:tr w:rsidR="007B1268" w:rsidRPr="00FB4812" w:rsidTr="007B1268">
        <w:trPr>
          <w:jc w:val="center"/>
        </w:trPr>
        <w:tc>
          <w:tcPr>
            <w:tcW w:w="9356" w:type="dxa"/>
            <w:gridSpan w:val="3"/>
            <w:tcBorders>
              <w:top w:val="outset" w:sz="6" w:space="0" w:color="auto"/>
              <w:bottom w:val="outset" w:sz="6" w:space="0" w:color="auto"/>
            </w:tcBorders>
            <w:vAlign w:val="center"/>
          </w:tcPr>
          <w:p w:rsidR="007B1268" w:rsidRPr="00FB4812" w:rsidRDefault="007B1268" w:rsidP="007B1268">
            <w:pPr>
              <w:jc w:val="center"/>
              <w:rPr>
                <w:b/>
              </w:rPr>
            </w:pPr>
            <w:r w:rsidRPr="00FB4812">
              <w:rPr>
                <w:b/>
              </w:rPr>
              <w:t>V. Tiesību akta projekta atbilstība Latvijas Republikas starptautiskajām saistībām</w:t>
            </w:r>
          </w:p>
        </w:tc>
      </w:tr>
      <w:tr w:rsidR="007B1268" w:rsidRPr="00FB4812" w:rsidTr="007B1268">
        <w:trPr>
          <w:jc w:val="center"/>
        </w:trPr>
        <w:tc>
          <w:tcPr>
            <w:tcW w:w="555" w:type="dxa"/>
            <w:tcBorders>
              <w:top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1.</w:t>
            </w:r>
          </w:p>
        </w:tc>
        <w:tc>
          <w:tcPr>
            <w:tcW w:w="2565" w:type="dxa"/>
            <w:tcBorders>
              <w:top w:val="outset" w:sz="6" w:space="0" w:color="auto"/>
              <w:left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Saistības pret Eiropas Savienību</w:t>
            </w:r>
          </w:p>
        </w:tc>
        <w:tc>
          <w:tcPr>
            <w:tcW w:w="6236" w:type="dxa"/>
            <w:tcBorders>
              <w:top w:val="outset" w:sz="6" w:space="0" w:color="auto"/>
              <w:left w:val="outset" w:sz="6" w:space="0" w:color="auto"/>
              <w:bottom w:val="outset" w:sz="6" w:space="0" w:color="auto"/>
            </w:tcBorders>
          </w:tcPr>
          <w:p w:rsidR="007B1268" w:rsidRPr="00FB4812" w:rsidRDefault="007B1268" w:rsidP="007B1268">
            <w:pPr>
              <w:autoSpaceDE w:val="0"/>
              <w:autoSpaceDN w:val="0"/>
              <w:adjustRightInd w:val="0"/>
              <w:spacing w:after="60"/>
              <w:ind w:firstLine="256"/>
              <w:jc w:val="both"/>
            </w:pPr>
            <w:r w:rsidRPr="00FB4812">
              <w:rPr>
                <w:sz w:val="22"/>
                <w:szCs w:val="22"/>
              </w:rPr>
              <w:t>Normatīvā akta projekts sagatavots, ievērojot šādus Eiropas Savienības tiesību aktus:</w:t>
            </w:r>
          </w:p>
          <w:p w:rsidR="008B7AFC" w:rsidRPr="00FB4812" w:rsidRDefault="004E42C3" w:rsidP="007B1268">
            <w:pPr>
              <w:pStyle w:val="ListParagraph"/>
              <w:numPr>
                <w:ilvl w:val="0"/>
                <w:numId w:val="21"/>
              </w:numPr>
              <w:autoSpaceDE w:val="0"/>
              <w:autoSpaceDN w:val="0"/>
              <w:adjustRightInd w:val="0"/>
              <w:spacing w:after="60"/>
              <w:contextualSpacing w:val="0"/>
              <w:rPr>
                <w:sz w:val="22"/>
                <w:szCs w:val="22"/>
              </w:rPr>
            </w:pPr>
            <w:r w:rsidRPr="004E42C3">
              <w:rPr>
                <w:color w:val="000000"/>
                <w:sz w:val="22"/>
                <w:szCs w:val="22"/>
                <w:shd w:val="clear" w:color="auto" w:fill="FFFFFF"/>
              </w:rPr>
              <w:t xml:space="preserve">Eiropas </w:t>
            </w:r>
            <w:r>
              <w:rPr>
                <w:color w:val="000000"/>
                <w:sz w:val="22"/>
                <w:szCs w:val="22"/>
                <w:shd w:val="clear" w:color="auto" w:fill="FFFFFF"/>
              </w:rPr>
              <w:t>Komisijas 2014.gada 27.oktobra l</w:t>
            </w:r>
            <w:r w:rsidRPr="004E42C3">
              <w:rPr>
                <w:color w:val="000000"/>
                <w:sz w:val="22"/>
                <w:szCs w:val="22"/>
                <w:shd w:val="clear" w:color="auto" w:fill="FFFFFF"/>
              </w:rPr>
              <w:t>ēmum</w:t>
            </w:r>
            <w:r>
              <w:rPr>
                <w:color w:val="000000"/>
                <w:sz w:val="22"/>
                <w:szCs w:val="22"/>
                <w:shd w:val="clear" w:color="auto" w:fill="FFFFFF"/>
              </w:rPr>
              <w:t>s</w:t>
            </w:r>
            <w:r w:rsidRPr="004E42C3">
              <w:rPr>
                <w:color w:val="000000"/>
                <w:sz w:val="22"/>
                <w:szCs w:val="22"/>
                <w:shd w:val="clear" w:color="auto" w:fill="FFFFFF"/>
              </w:rPr>
              <w:t xml:space="preserve"> Nr.2014/746/ES, ar ko atbilstoši Eiropas Parlamenta un Padomes Direktīvai 2003/87/EK 2015.–2019. gada periodam nosaka sarakstu ar nozarēm un apakšnozarēm, kurās pastāv būtisks oglekļa dioksīda emisiju pārvirzes risks</w:t>
            </w:r>
            <w:r w:rsidR="008B7AFC">
              <w:rPr>
                <w:color w:val="000000"/>
                <w:sz w:val="22"/>
                <w:szCs w:val="22"/>
                <w:shd w:val="clear" w:color="auto" w:fill="FFFFFF"/>
              </w:rPr>
              <w:t>.</w:t>
            </w:r>
          </w:p>
          <w:p w:rsidR="007B1268" w:rsidRPr="00FB4812" w:rsidRDefault="007B1268" w:rsidP="007B1268">
            <w:pPr>
              <w:autoSpaceDE w:val="0"/>
              <w:autoSpaceDN w:val="0"/>
              <w:adjustRightInd w:val="0"/>
              <w:spacing w:after="60"/>
              <w:jc w:val="both"/>
            </w:pPr>
            <w:r w:rsidRPr="00FB4812">
              <w:rPr>
                <w:bCs/>
                <w:sz w:val="22"/>
                <w:szCs w:val="22"/>
              </w:rPr>
              <w:t>Pārņemti tie Eiropas Savienības tiesību akta panti, kas attiecas uz emisijas kvotu piešķiršanu jaunām iekārtām un emisijas kvotu apjoma grozījumiem.</w:t>
            </w:r>
          </w:p>
        </w:tc>
      </w:tr>
      <w:tr w:rsidR="007B1268" w:rsidRPr="00FB4812" w:rsidTr="007B1268">
        <w:trPr>
          <w:jc w:val="center"/>
        </w:trPr>
        <w:tc>
          <w:tcPr>
            <w:tcW w:w="555" w:type="dxa"/>
            <w:tcBorders>
              <w:top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2.</w:t>
            </w:r>
          </w:p>
        </w:tc>
        <w:tc>
          <w:tcPr>
            <w:tcW w:w="2565" w:type="dxa"/>
            <w:tcBorders>
              <w:top w:val="outset" w:sz="6" w:space="0" w:color="auto"/>
              <w:left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Citas starptautiskās saistības</w:t>
            </w:r>
          </w:p>
        </w:tc>
        <w:tc>
          <w:tcPr>
            <w:tcW w:w="6236" w:type="dxa"/>
            <w:tcBorders>
              <w:top w:val="outset" w:sz="6" w:space="0" w:color="auto"/>
              <w:left w:val="outset" w:sz="6" w:space="0" w:color="auto"/>
              <w:bottom w:val="outset" w:sz="6" w:space="0" w:color="auto"/>
            </w:tcBorders>
          </w:tcPr>
          <w:p w:rsidR="007B1268" w:rsidRPr="00FB4812" w:rsidRDefault="007B1268" w:rsidP="007B1268">
            <w:pPr>
              <w:ind w:left="57" w:firstLine="199"/>
            </w:pPr>
            <w:r w:rsidRPr="00FB4812">
              <w:rPr>
                <w:color w:val="000000"/>
                <w:sz w:val="22"/>
                <w:szCs w:val="22"/>
                <w:lang w:eastAsia="en-US"/>
              </w:rPr>
              <w:t>Projekts šo jomu neskar</w:t>
            </w:r>
          </w:p>
        </w:tc>
      </w:tr>
      <w:tr w:rsidR="007B1268" w:rsidRPr="00FB4812" w:rsidTr="007B1268">
        <w:trPr>
          <w:jc w:val="center"/>
        </w:trPr>
        <w:tc>
          <w:tcPr>
            <w:tcW w:w="555" w:type="dxa"/>
            <w:tcBorders>
              <w:top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3.</w:t>
            </w:r>
          </w:p>
        </w:tc>
        <w:tc>
          <w:tcPr>
            <w:tcW w:w="2565" w:type="dxa"/>
            <w:tcBorders>
              <w:top w:val="outset" w:sz="6" w:space="0" w:color="auto"/>
              <w:left w:val="outset" w:sz="6" w:space="0" w:color="auto"/>
              <w:bottom w:val="outset" w:sz="6" w:space="0" w:color="auto"/>
              <w:right w:val="outset" w:sz="6" w:space="0" w:color="auto"/>
            </w:tcBorders>
          </w:tcPr>
          <w:p w:rsidR="007B1268" w:rsidRPr="00FB4812" w:rsidRDefault="007B1268" w:rsidP="007B1268">
            <w:pPr>
              <w:ind w:left="57"/>
            </w:pPr>
            <w:r w:rsidRPr="00FB4812">
              <w:rPr>
                <w:sz w:val="22"/>
                <w:szCs w:val="22"/>
              </w:rPr>
              <w:t>Cita informācija</w:t>
            </w:r>
          </w:p>
        </w:tc>
        <w:tc>
          <w:tcPr>
            <w:tcW w:w="6236" w:type="dxa"/>
            <w:tcBorders>
              <w:top w:val="outset" w:sz="6" w:space="0" w:color="auto"/>
              <w:left w:val="outset" w:sz="6" w:space="0" w:color="auto"/>
              <w:bottom w:val="outset" w:sz="6" w:space="0" w:color="auto"/>
            </w:tcBorders>
          </w:tcPr>
          <w:p w:rsidR="007B1268" w:rsidRPr="00FB4812" w:rsidRDefault="007B1268" w:rsidP="007B1268">
            <w:pPr>
              <w:ind w:left="57" w:firstLine="199"/>
            </w:pPr>
            <w:r w:rsidRPr="00FB4812">
              <w:rPr>
                <w:sz w:val="22"/>
                <w:szCs w:val="22"/>
              </w:rPr>
              <w:t>Nav</w:t>
            </w:r>
          </w:p>
        </w:tc>
      </w:tr>
    </w:tbl>
    <w:p w:rsidR="007B1268" w:rsidRPr="007D1A29" w:rsidRDefault="007B1268" w:rsidP="007B1268">
      <w:pPr>
        <w:spacing w:before="120" w:after="120"/>
        <w:rPr>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725"/>
        <w:gridCol w:w="1952"/>
        <w:gridCol w:w="2983"/>
      </w:tblGrid>
      <w:tr w:rsidR="007B1268" w:rsidRPr="00FB4812" w:rsidTr="00BA7AAE">
        <w:trPr>
          <w:trHeight w:val="284"/>
          <w:jc w:val="center"/>
        </w:trPr>
        <w:tc>
          <w:tcPr>
            <w:tcW w:w="9356" w:type="dxa"/>
            <w:gridSpan w:val="4"/>
          </w:tcPr>
          <w:p w:rsidR="007B1268" w:rsidRPr="00FB4812" w:rsidRDefault="007B1268" w:rsidP="007B1268">
            <w:pPr>
              <w:jc w:val="center"/>
              <w:rPr>
                <w:b/>
              </w:rPr>
            </w:pPr>
            <w:r w:rsidRPr="00FB4812">
              <w:rPr>
                <w:b/>
              </w:rPr>
              <w:t>1.tabula</w:t>
            </w:r>
          </w:p>
          <w:p w:rsidR="007B1268" w:rsidRPr="00FB4812" w:rsidRDefault="007B1268" w:rsidP="007B1268">
            <w:pPr>
              <w:ind w:left="57"/>
              <w:jc w:val="center"/>
            </w:pPr>
            <w:r w:rsidRPr="00FB4812">
              <w:rPr>
                <w:b/>
              </w:rPr>
              <w:t>Tiesību akta projekta atbilstība ES tiesību aktiem</w:t>
            </w:r>
          </w:p>
        </w:tc>
      </w:tr>
      <w:tr w:rsidR="008B7AFC" w:rsidRPr="00FB4812" w:rsidTr="00F569A9">
        <w:trPr>
          <w:trHeight w:val="284"/>
          <w:jc w:val="center"/>
        </w:trPr>
        <w:tc>
          <w:tcPr>
            <w:tcW w:w="1696" w:type="dxa"/>
          </w:tcPr>
          <w:p w:rsidR="008B7AFC" w:rsidRPr="00FB4812" w:rsidRDefault="008B7AFC" w:rsidP="00F569A9">
            <w:r w:rsidRPr="00FB4812">
              <w:rPr>
                <w:sz w:val="22"/>
                <w:szCs w:val="22"/>
              </w:rPr>
              <w:t xml:space="preserve">Attiecīgā Eiropas Savienības tiesību akta datums, numurs </w:t>
            </w:r>
            <w:r w:rsidRPr="00FB4812">
              <w:rPr>
                <w:sz w:val="22"/>
                <w:szCs w:val="22"/>
              </w:rPr>
              <w:lastRenderedPageBreak/>
              <w:t>un nosaukums</w:t>
            </w:r>
          </w:p>
        </w:tc>
        <w:tc>
          <w:tcPr>
            <w:tcW w:w="7660" w:type="dxa"/>
            <w:gridSpan w:val="3"/>
          </w:tcPr>
          <w:p w:rsidR="008B7AFC" w:rsidRPr="00FB4812" w:rsidRDefault="00CF07E3" w:rsidP="008B7AFC">
            <w:pPr>
              <w:autoSpaceDE w:val="0"/>
              <w:autoSpaceDN w:val="0"/>
              <w:adjustRightInd w:val="0"/>
              <w:ind w:firstLine="289"/>
              <w:jc w:val="both"/>
              <w:rPr>
                <w:color w:val="000000"/>
                <w:shd w:val="clear" w:color="auto" w:fill="FFFFFF"/>
              </w:rPr>
            </w:pPr>
            <w:r w:rsidRPr="00CF07E3">
              <w:rPr>
                <w:color w:val="000000"/>
                <w:sz w:val="22"/>
                <w:szCs w:val="22"/>
                <w:shd w:val="clear" w:color="auto" w:fill="FFFFFF"/>
              </w:rPr>
              <w:lastRenderedPageBreak/>
              <w:t>Eiropas Komisijas 2014.gada 27.oktobra lēmums Nr.2014/746/ES, ar ko atbilstoši Eiropas Parlamenta un Padomes Direktīvai 2003/87/EK 2015.–2019. gada periodam nosaka sarakstu ar nozarēm un apakšnozarēm, kurās pastāv būtisks oglekļa dioksīda emisiju pārvirzes risks</w:t>
            </w:r>
          </w:p>
        </w:tc>
      </w:tr>
      <w:tr w:rsidR="008B7AFC" w:rsidRPr="00FB4812" w:rsidTr="00F569A9">
        <w:trPr>
          <w:trHeight w:val="284"/>
          <w:jc w:val="center"/>
        </w:trPr>
        <w:tc>
          <w:tcPr>
            <w:tcW w:w="1696" w:type="dxa"/>
          </w:tcPr>
          <w:p w:rsidR="008B7AFC" w:rsidRPr="00FB4812" w:rsidRDefault="008B7AFC" w:rsidP="00F569A9">
            <w:pPr>
              <w:jc w:val="center"/>
            </w:pPr>
            <w:r w:rsidRPr="00FB4812">
              <w:rPr>
                <w:sz w:val="22"/>
                <w:szCs w:val="22"/>
              </w:rPr>
              <w:lastRenderedPageBreak/>
              <w:t>A</w:t>
            </w:r>
          </w:p>
        </w:tc>
        <w:tc>
          <w:tcPr>
            <w:tcW w:w="2725" w:type="dxa"/>
          </w:tcPr>
          <w:p w:rsidR="008B7AFC" w:rsidRPr="00FB4812" w:rsidRDefault="008B7AFC" w:rsidP="00F569A9">
            <w:pPr>
              <w:ind w:left="57"/>
              <w:jc w:val="center"/>
            </w:pPr>
            <w:r w:rsidRPr="00FB4812">
              <w:rPr>
                <w:sz w:val="22"/>
                <w:szCs w:val="22"/>
              </w:rPr>
              <w:t>B</w:t>
            </w:r>
          </w:p>
        </w:tc>
        <w:tc>
          <w:tcPr>
            <w:tcW w:w="1952" w:type="dxa"/>
          </w:tcPr>
          <w:p w:rsidR="008B7AFC" w:rsidRPr="00FB4812" w:rsidRDefault="008B7AFC" w:rsidP="00F569A9">
            <w:pPr>
              <w:ind w:left="57"/>
              <w:jc w:val="center"/>
            </w:pPr>
            <w:r w:rsidRPr="00FB4812">
              <w:rPr>
                <w:sz w:val="22"/>
                <w:szCs w:val="22"/>
              </w:rPr>
              <w:t>C</w:t>
            </w:r>
          </w:p>
        </w:tc>
        <w:tc>
          <w:tcPr>
            <w:tcW w:w="2983" w:type="dxa"/>
          </w:tcPr>
          <w:p w:rsidR="008B7AFC" w:rsidRPr="00FB4812" w:rsidRDefault="008B7AFC" w:rsidP="00F569A9">
            <w:pPr>
              <w:ind w:left="57"/>
              <w:jc w:val="center"/>
            </w:pPr>
            <w:r w:rsidRPr="00FB4812">
              <w:rPr>
                <w:sz w:val="22"/>
                <w:szCs w:val="22"/>
              </w:rPr>
              <w:t>D</w:t>
            </w:r>
          </w:p>
        </w:tc>
      </w:tr>
      <w:tr w:rsidR="008B7AFC" w:rsidRPr="00FB4812" w:rsidTr="00F123F9">
        <w:trPr>
          <w:trHeight w:val="284"/>
          <w:jc w:val="center"/>
        </w:trPr>
        <w:tc>
          <w:tcPr>
            <w:tcW w:w="1696" w:type="dxa"/>
            <w:vAlign w:val="center"/>
          </w:tcPr>
          <w:p w:rsidR="008B7AFC" w:rsidRPr="00FB4812" w:rsidRDefault="008B7AFC" w:rsidP="00F569A9">
            <w:pPr>
              <w:jc w:val="center"/>
            </w:pPr>
            <w:r>
              <w:rPr>
                <w:sz w:val="22"/>
                <w:szCs w:val="22"/>
              </w:rPr>
              <w:t>1.pants</w:t>
            </w:r>
          </w:p>
        </w:tc>
        <w:tc>
          <w:tcPr>
            <w:tcW w:w="2725" w:type="dxa"/>
            <w:vAlign w:val="center"/>
          </w:tcPr>
          <w:p w:rsidR="008B7AFC" w:rsidRPr="00FB4812" w:rsidRDefault="008B7AFC" w:rsidP="008709CC">
            <w:pPr>
              <w:ind w:left="57"/>
            </w:pPr>
            <w:r>
              <w:rPr>
                <w:sz w:val="22"/>
                <w:szCs w:val="22"/>
              </w:rPr>
              <w:t>nav jāpārņem</w:t>
            </w:r>
          </w:p>
        </w:tc>
        <w:tc>
          <w:tcPr>
            <w:tcW w:w="1952" w:type="dxa"/>
            <w:vAlign w:val="center"/>
          </w:tcPr>
          <w:p w:rsidR="008B7AFC" w:rsidRPr="00FB4812" w:rsidRDefault="008B7AFC" w:rsidP="00F569A9">
            <w:pPr>
              <w:ind w:left="57"/>
              <w:jc w:val="center"/>
            </w:pPr>
          </w:p>
        </w:tc>
        <w:tc>
          <w:tcPr>
            <w:tcW w:w="2983" w:type="dxa"/>
            <w:vAlign w:val="center"/>
          </w:tcPr>
          <w:p w:rsidR="008B7AFC" w:rsidRPr="00FB4812" w:rsidRDefault="008B7AFC" w:rsidP="00F569A9">
            <w:pPr>
              <w:ind w:left="57"/>
              <w:jc w:val="center"/>
            </w:pPr>
          </w:p>
        </w:tc>
      </w:tr>
      <w:tr w:rsidR="008B7AFC" w:rsidRPr="00FB4812" w:rsidTr="00F123F9">
        <w:trPr>
          <w:trHeight w:val="284"/>
          <w:jc w:val="center"/>
        </w:trPr>
        <w:tc>
          <w:tcPr>
            <w:tcW w:w="1696" w:type="dxa"/>
            <w:vAlign w:val="center"/>
          </w:tcPr>
          <w:p w:rsidR="008B7AFC" w:rsidRPr="00FB4812" w:rsidRDefault="00F123F9" w:rsidP="00F123F9">
            <w:pPr>
              <w:jc w:val="center"/>
            </w:pPr>
            <w:r>
              <w:rPr>
                <w:sz w:val="22"/>
                <w:szCs w:val="22"/>
              </w:rPr>
              <w:t>4.pants</w:t>
            </w:r>
          </w:p>
        </w:tc>
        <w:tc>
          <w:tcPr>
            <w:tcW w:w="2725" w:type="dxa"/>
            <w:vAlign w:val="center"/>
          </w:tcPr>
          <w:p w:rsidR="008B7AFC" w:rsidRPr="00FB4812" w:rsidRDefault="008B7AFC" w:rsidP="00F123F9">
            <w:pPr>
              <w:ind w:left="57"/>
            </w:pPr>
            <w:r>
              <w:rPr>
                <w:sz w:val="22"/>
                <w:szCs w:val="22"/>
              </w:rPr>
              <w:t xml:space="preserve">nav jāpārņem, jo </w:t>
            </w:r>
            <w:r w:rsidR="00F123F9">
              <w:rPr>
                <w:sz w:val="22"/>
                <w:szCs w:val="22"/>
              </w:rPr>
              <w:t>nosaka, ka s</w:t>
            </w:r>
            <w:r>
              <w:rPr>
                <w:sz w:val="22"/>
                <w:szCs w:val="22"/>
              </w:rPr>
              <w:t>araksts ir adresēts dalībvalstīm un tieši piemērojams</w:t>
            </w:r>
          </w:p>
        </w:tc>
        <w:tc>
          <w:tcPr>
            <w:tcW w:w="1952" w:type="dxa"/>
            <w:vAlign w:val="center"/>
          </w:tcPr>
          <w:p w:rsidR="008B7AFC" w:rsidRPr="00FB4812" w:rsidRDefault="008B7AFC" w:rsidP="00F569A9">
            <w:pPr>
              <w:ind w:left="57"/>
              <w:jc w:val="center"/>
            </w:pPr>
          </w:p>
        </w:tc>
        <w:tc>
          <w:tcPr>
            <w:tcW w:w="2983" w:type="dxa"/>
            <w:vAlign w:val="center"/>
          </w:tcPr>
          <w:p w:rsidR="008B7AFC" w:rsidRPr="00FB4812" w:rsidRDefault="008B7AFC" w:rsidP="00F569A9">
            <w:pPr>
              <w:ind w:left="57"/>
              <w:jc w:val="center"/>
            </w:pPr>
          </w:p>
        </w:tc>
      </w:tr>
      <w:tr w:rsidR="00F123F9" w:rsidRPr="00FB4812" w:rsidTr="00F123F9">
        <w:trPr>
          <w:trHeight w:val="284"/>
          <w:jc w:val="center"/>
        </w:trPr>
        <w:tc>
          <w:tcPr>
            <w:tcW w:w="1696" w:type="dxa"/>
            <w:vAlign w:val="center"/>
          </w:tcPr>
          <w:p w:rsidR="00F123F9" w:rsidRPr="00FB4812" w:rsidRDefault="00F123F9" w:rsidP="00F569A9">
            <w:pPr>
              <w:jc w:val="center"/>
            </w:pPr>
            <w:r>
              <w:rPr>
                <w:sz w:val="22"/>
                <w:szCs w:val="22"/>
              </w:rPr>
              <w:t>Pielikums</w:t>
            </w:r>
          </w:p>
        </w:tc>
        <w:tc>
          <w:tcPr>
            <w:tcW w:w="2725" w:type="dxa"/>
            <w:vAlign w:val="center"/>
          </w:tcPr>
          <w:p w:rsidR="00F123F9" w:rsidRPr="00FB4812" w:rsidRDefault="00F123F9" w:rsidP="00F123F9">
            <w:pPr>
              <w:ind w:left="57"/>
            </w:pPr>
            <w:r>
              <w:rPr>
                <w:sz w:val="22"/>
                <w:szCs w:val="22"/>
              </w:rPr>
              <w:t>noteikumu projekta 2.punkts</w:t>
            </w:r>
          </w:p>
        </w:tc>
        <w:tc>
          <w:tcPr>
            <w:tcW w:w="1952" w:type="dxa"/>
            <w:vAlign w:val="center"/>
          </w:tcPr>
          <w:p w:rsidR="00F123F9" w:rsidRPr="009233E0" w:rsidRDefault="00F123F9" w:rsidP="006F111D">
            <w:pPr>
              <w:ind w:left="57"/>
            </w:pPr>
            <w:r w:rsidRPr="00580FD8">
              <w:rPr>
                <w:sz w:val="22"/>
                <w:szCs w:val="22"/>
              </w:rPr>
              <w:t>pārņemts pilnībā</w:t>
            </w:r>
          </w:p>
        </w:tc>
        <w:tc>
          <w:tcPr>
            <w:tcW w:w="2983" w:type="dxa"/>
            <w:vAlign w:val="center"/>
          </w:tcPr>
          <w:p w:rsidR="00F123F9" w:rsidRPr="009233E0" w:rsidRDefault="00F123F9" w:rsidP="006F111D">
            <w:pPr>
              <w:pStyle w:val="naisc"/>
              <w:spacing w:before="0" w:after="0"/>
              <w:jc w:val="both"/>
            </w:pPr>
            <w:r w:rsidRPr="00580FD8">
              <w:rPr>
                <w:sz w:val="22"/>
                <w:szCs w:val="22"/>
              </w:rPr>
              <w:t>netiek pārņemts paredzot stingrākas vai mazāk stingras prasības</w:t>
            </w:r>
          </w:p>
        </w:tc>
      </w:tr>
      <w:tr w:rsidR="008B7AFC" w:rsidRPr="00FB4812" w:rsidTr="00BA7AAE">
        <w:trPr>
          <w:trHeight w:val="284"/>
          <w:jc w:val="center"/>
        </w:trPr>
        <w:tc>
          <w:tcPr>
            <w:tcW w:w="1696" w:type="dxa"/>
          </w:tcPr>
          <w:p w:rsidR="008B7AFC" w:rsidRPr="00FB4812" w:rsidRDefault="008B7AFC" w:rsidP="007B1268">
            <w:pPr>
              <w:pStyle w:val="naisc"/>
              <w:spacing w:before="0" w:after="0"/>
              <w:jc w:val="both"/>
            </w:pPr>
            <w:r w:rsidRPr="00FB4812">
              <w:rPr>
                <w:sz w:val="22"/>
                <w:szCs w:val="22"/>
              </w:rPr>
              <w:t>Kā ir izmantota ES tiesību aktā paredzētā rīcības brīvība dalībvalstij pārņemt vai ieviest noteiktas ES tiesību akta normas?</w:t>
            </w:r>
          </w:p>
          <w:p w:rsidR="008B7AFC" w:rsidRPr="00FB4812" w:rsidRDefault="008B7AFC" w:rsidP="007B1268">
            <w:pPr>
              <w:ind w:left="57"/>
            </w:pPr>
            <w:r w:rsidRPr="00FB4812">
              <w:rPr>
                <w:sz w:val="22"/>
                <w:szCs w:val="22"/>
              </w:rPr>
              <w:t>Kādēļ?</w:t>
            </w:r>
            <w:r w:rsidRPr="00FB4812">
              <w:rPr>
                <w:sz w:val="22"/>
                <w:szCs w:val="22"/>
              </w:rPr>
              <w:tab/>
            </w:r>
          </w:p>
        </w:tc>
        <w:tc>
          <w:tcPr>
            <w:tcW w:w="7660" w:type="dxa"/>
            <w:gridSpan w:val="3"/>
          </w:tcPr>
          <w:p w:rsidR="008B7AFC" w:rsidRDefault="008B7AFC" w:rsidP="007B1268">
            <w:pPr>
              <w:pStyle w:val="naisc"/>
              <w:spacing w:before="0" w:after="0"/>
              <w:jc w:val="both"/>
            </w:pPr>
            <w:r w:rsidRPr="00FB4812">
              <w:rPr>
                <w:sz w:val="22"/>
                <w:szCs w:val="22"/>
              </w:rPr>
              <w:t>Dalībvalstīm netiek paredzēta rīcības brīvība un visas Direktīvu tiesību normas, kas attiecas uz Eiropas Savienības dalībvalstu kompetenci, ir ieviešamas un izpildāmas.</w:t>
            </w:r>
          </w:p>
          <w:p w:rsidR="00F569A9" w:rsidRPr="00FB4812" w:rsidRDefault="00F569A9" w:rsidP="009A494A">
            <w:pPr>
              <w:pStyle w:val="naisc"/>
              <w:spacing w:before="0" w:after="0"/>
              <w:jc w:val="both"/>
            </w:pPr>
          </w:p>
        </w:tc>
      </w:tr>
      <w:tr w:rsidR="008B7AFC" w:rsidRPr="00FB4812" w:rsidTr="00BA7AAE">
        <w:trPr>
          <w:trHeight w:val="284"/>
          <w:jc w:val="center"/>
        </w:trPr>
        <w:tc>
          <w:tcPr>
            <w:tcW w:w="1696" w:type="dxa"/>
          </w:tcPr>
          <w:p w:rsidR="008B7AFC" w:rsidRPr="00FB4812" w:rsidRDefault="008B7AFC" w:rsidP="007B1268">
            <w:pPr>
              <w:ind w:left="57"/>
            </w:pPr>
            <w:r w:rsidRPr="00FB4812">
              <w:rPr>
                <w:sz w:val="22"/>
                <w:szCs w:val="22"/>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660" w:type="dxa"/>
            <w:gridSpan w:val="3"/>
          </w:tcPr>
          <w:p w:rsidR="008B7AFC" w:rsidRPr="00FB4812" w:rsidRDefault="00F123F9" w:rsidP="007B1268">
            <w:pPr>
              <w:pStyle w:val="naisc"/>
              <w:spacing w:before="0" w:after="0"/>
              <w:ind w:firstLine="266"/>
              <w:jc w:val="both"/>
            </w:pPr>
            <w:r w:rsidRPr="00FB4812">
              <w:rPr>
                <w:color w:val="000000"/>
                <w:sz w:val="22"/>
                <w:szCs w:val="22"/>
                <w:lang w:eastAsia="en-US"/>
              </w:rPr>
              <w:t>Projekts šo jomu neskar</w:t>
            </w:r>
            <w:r>
              <w:rPr>
                <w:color w:val="000000"/>
                <w:sz w:val="22"/>
                <w:szCs w:val="22"/>
                <w:lang w:eastAsia="en-US"/>
              </w:rPr>
              <w:t>.</w:t>
            </w:r>
          </w:p>
        </w:tc>
      </w:tr>
      <w:tr w:rsidR="008B7AFC" w:rsidRPr="00FB4812" w:rsidTr="00BA7AAE">
        <w:trPr>
          <w:trHeight w:val="284"/>
          <w:jc w:val="center"/>
        </w:trPr>
        <w:tc>
          <w:tcPr>
            <w:tcW w:w="1696" w:type="dxa"/>
          </w:tcPr>
          <w:p w:rsidR="008B7AFC" w:rsidRPr="00FB4812" w:rsidRDefault="008B7AFC" w:rsidP="007B1268">
            <w:pPr>
              <w:ind w:left="57"/>
            </w:pPr>
            <w:r w:rsidRPr="00FB4812">
              <w:rPr>
                <w:sz w:val="22"/>
                <w:szCs w:val="22"/>
              </w:rPr>
              <w:t>Cita informācija</w:t>
            </w:r>
          </w:p>
        </w:tc>
        <w:tc>
          <w:tcPr>
            <w:tcW w:w="7660" w:type="dxa"/>
            <w:gridSpan w:val="3"/>
          </w:tcPr>
          <w:p w:rsidR="008B7AFC" w:rsidRPr="00FB4812" w:rsidRDefault="008B7AFC" w:rsidP="007B1268">
            <w:pPr>
              <w:pStyle w:val="naisc"/>
              <w:spacing w:before="0" w:after="0"/>
              <w:ind w:firstLine="266"/>
              <w:jc w:val="both"/>
            </w:pPr>
            <w:r w:rsidRPr="00FB4812">
              <w:rPr>
                <w:iCs/>
                <w:sz w:val="22"/>
                <w:szCs w:val="22"/>
                <w:lang w:val="de-DE"/>
              </w:rPr>
              <w:t>Nav</w:t>
            </w:r>
          </w:p>
        </w:tc>
      </w:tr>
      <w:tr w:rsidR="008B7AFC" w:rsidRPr="00FB4812" w:rsidTr="00BA7AAE">
        <w:trPr>
          <w:trHeight w:val="284"/>
          <w:jc w:val="center"/>
        </w:trPr>
        <w:tc>
          <w:tcPr>
            <w:tcW w:w="9356" w:type="dxa"/>
            <w:gridSpan w:val="4"/>
          </w:tcPr>
          <w:p w:rsidR="008B7AFC" w:rsidRPr="00FB4812" w:rsidRDefault="008B7AFC" w:rsidP="007B1268">
            <w:pPr>
              <w:pStyle w:val="naisc"/>
              <w:spacing w:before="0" w:after="0"/>
              <w:ind w:firstLine="266"/>
              <w:rPr>
                <w:b/>
              </w:rPr>
            </w:pPr>
            <w:r w:rsidRPr="00FB4812">
              <w:rPr>
                <w:b/>
              </w:rPr>
              <w:t>2.tabula</w:t>
            </w:r>
          </w:p>
          <w:p w:rsidR="008B7AFC" w:rsidRPr="00FB4812" w:rsidRDefault="008B7AFC" w:rsidP="007B1268">
            <w:pPr>
              <w:pStyle w:val="naisc"/>
              <w:spacing w:before="0" w:after="0"/>
              <w:ind w:firstLine="266"/>
              <w:rPr>
                <w:b/>
              </w:rPr>
            </w:pPr>
            <w:r w:rsidRPr="00FB4812">
              <w:rPr>
                <w:b/>
                <w:sz w:val="22"/>
                <w:szCs w:val="22"/>
              </w:rPr>
              <w:t>Ar tiesību akta projektu izpildītās vai uzņemtās saistības, kas izriet no starptautiskajiem tiesību aktiem vai starptautiskas institūcijas vai organizācijas dokumentiem.</w:t>
            </w:r>
          </w:p>
          <w:p w:rsidR="008B7AFC" w:rsidRPr="00FB4812" w:rsidRDefault="008B7AFC" w:rsidP="007B1268">
            <w:pPr>
              <w:pStyle w:val="naisc"/>
              <w:spacing w:before="0" w:after="0"/>
              <w:ind w:firstLine="266"/>
              <w:rPr>
                <w:i/>
              </w:rPr>
            </w:pPr>
            <w:r w:rsidRPr="00FB4812">
              <w:rPr>
                <w:b/>
                <w:sz w:val="22"/>
                <w:szCs w:val="22"/>
              </w:rPr>
              <w:t>Pasākumi šo saistību izpildei</w:t>
            </w:r>
          </w:p>
        </w:tc>
      </w:tr>
      <w:tr w:rsidR="008B7AFC" w:rsidRPr="00FB4812" w:rsidTr="00BA7AAE">
        <w:trPr>
          <w:trHeight w:val="284"/>
          <w:jc w:val="center"/>
        </w:trPr>
        <w:tc>
          <w:tcPr>
            <w:tcW w:w="9356" w:type="dxa"/>
            <w:gridSpan w:val="4"/>
          </w:tcPr>
          <w:p w:rsidR="008B7AFC" w:rsidRPr="00FB4812" w:rsidRDefault="008B7AFC" w:rsidP="007B1268">
            <w:pPr>
              <w:pStyle w:val="naisc"/>
              <w:ind w:firstLine="266"/>
              <w:jc w:val="both"/>
            </w:pPr>
            <w:r w:rsidRPr="00FB4812">
              <w:rPr>
                <w:sz w:val="22"/>
                <w:szCs w:val="22"/>
              </w:rPr>
              <w:t>Projekts šo jomu neskar</w:t>
            </w:r>
          </w:p>
        </w:tc>
      </w:tr>
    </w:tbl>
    <w:p w:rsidR="007B1268" w:rsidRDefault="007B1268" w:rsidP="0045163C">
      <w:pPr>
        <w:spacing w:before="120" w:after="120"/>
        <w:rPr>
          <w:b/>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C02911" w:rsidRPr="0045163C" w:rsidTr="007B126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1268" w:rsidRPr="004225C8" w:rsidRDefault="00C02911" w:rsidP="0045163C">
            <w:pPr>
              <w:spacing w:after="60"/>
              <w:jc w:val="center"/>
              <w:rPr>
                <w:b/>
                <w:bCs/>
                <w:color w:val="000000" w:themeColor="text1"/>
              </w:rPr>
            </w:pPr>
            <w:r w:rsidRPr="004225C8">
              <w:rPr>
                <w:b/>
                <w:bCs/>
                <w:color w:val="000000" w:themeColor="text1"/>
              </w:rPr>
              <w:t>VI. Sabiedrības līdzdalība un komunikācijas aktivitātes</w:t>
            </w:r>
          </w:p>
        </w:tc>
      </w:tr>
      <w:tr w:rsidR="00C02911" w:rsidRPr="0045163C" w:rsidTr="007B126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1.</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 xml:space="preserve">Plānotās sabiedrības līdzdalības un komunikācijas aktivitātes </w:t>
            </w:r>
            <w:r w:rsidRPr="004225C8">
              <w:rPr>
                <w:color w:val="000000" w:themeColor="text1"/>
              </w:rPr>
              <w:lastRenderedPageBreak/>
              <w:t>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C87F70">
            <w:pPr>
              <w:spacing w:after="60"/>
              <w:jc w:val="both"/>
              <w:rPr>
                <w:color w:val="000000" w:themeColor="text1"/>
              </w:rPr>
            </w:pPr>
            <w:r w:rsidRPr="0045163C">
              <w:rPr>
                <w:color w:val="000000" w:themeColor="text1"/>
              </w:rPr>
              <w:lastRenderedPageBreak/>
              <w:t xml:space="preserve">Noteikumu projekts ievietots publiskai apspriešanai Vides aizsardzības un reģionālās attīstības ministrijas tīmekļa </w:t>
            </w:r>
            <w:r w:rsidRPr="00606A96">
              <w:rPr>
                <w:color w:val="000000" w:themeColor="text1"/>
              </w:rPr>
              <w:t xml:space="preserve">vietnē </w:t>
            </w:r>
            <w:hyperlink r:id="rId8" w:history="1">
              <w:r w:rsidR="00D63E7E" w:rsidRPr="00277269">
                <w:rPr>
                  <w:rStyle w:val="Hyperlink"/>
                </w:rPr>
                <w:t>www.varam.gov.lv</w:t>
              </w:r>
            </w:hyperlink>
            <w:r w:rsidR="00454350">
              <w:rPr>
                <w:color w:val="000000" w:themeColor="text1"/>
              </w:rPr>
              <w:t xml:space="preserve"> </w:t>
            </w:r>
            <w:r w:rsidRPr="00606A96">
              <w:rPr>
                <w:color w:val="000000" w:themeColor="text1"/>
              </w:rPr>
              <w:t>201</w:t>
            </w:r>
            <w:r w:rsidR="0045163C" w:rsidRPr="00606A96">
              <w:rPr>
                <w:color w:val="000000" w:themeColor="text1"/>
              </w:rPr>
              <w:t>4</w:t>
            </w:r>
            <w:r w:rsidRPr="00606A96">
              <w:rPr>
                <w:color w:val="000000" w:themeColor="text1"/>
              </w:rPr>
              <w:t>.gada</w:t>
            </w:r>
            <w:r w:rsidR="00F123F9">
              <w:rPr>
                <w:color w:val="000000" w:themeColor="text1"/>
              </w:rPr>
              <w:t xml:space="preserve"> </w:t>
            </w:r>
            <w:r w:rsidR="00C87F70" w:rsidRPr="00C87F70">
              <w:rPr>
                <w:color w:val="000000" w:themeColor="text1"/>
              </w:rPr>
              <w:t>13</w:t>
            </w:r>
            <w:r w:rsidRPr="00C87F70">
              <w:rPr>
                <w:color w:val="000000" w:themeColor="text1"/>
              </w:rPr>
              <w:t>.</w:t>
            </w:r>
            <w:r w:rsidR="00F123F9" w:rsidRPr="00C87F70">
              <w:rPr>
                <w:color w:val="000000" w:themeColor="text1"/>
              </w:rPr>
              <w:t>novembrī</w:t>
            </w:r>
            <w:r w:rsidRPr="00C87F70">
              <w:rPr>
                <w:color w:val="000000" w:themeColor="text1"/>
              </w:rPr>
              <w:t>.</w:t>
            </w:r>
          </w:p>
        </w:tc>
      </w:tr>
      <w:tr w:rsidR="00C02911" w:rsidRPr="0045163C" w:rsidTr="007B126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5163C">
              <w:rPr>
                <w:color w:val="000000" w:themeColor="text1"/>
                <w:lang w:eastAsia="en-US"/>
              </w:rPr>
              <w:t>Projekts šo jomu neskar.</w:t>
            </w:r>
          </w:p>
        </w:tc>
      </w:tr>
      <w:tr w:rsidR="00C02911" w:rsidRPr="0045163C" w:rsidTr="007B126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3.</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F123F9">
            <w:pPr>
              <w:spacing w:after="60"/>
              <w:jc w:val="both"/>
              <w:rPr>
                <w:color w:val="000000" w:themeColor="text1"/>
              </w:rPr>
            </w:pPr>
            <w:r w:rsidRPr="0045163C">
              <w:rPr>
                <w:color w:val="000000" w:themeColor="text1"/>
                <w:lang w:eastAsia="en-US"/>
              </w:rPr>
              <w:t xml:space="preserve">Pēc noteikumu projekta ievietošanas tīmekļa vietnē </w:t>
            </w:r>
            <w:r w:rsidR="00F123F9">
              <w:rPr>
                <w:color w:val="000000" w:themeColor="text1"/>
                <w:lang w:eastAsia="en-US"/>
              </w:rPr>
              <w:t>ne</w:t>
            </w:r>
            <w:r w:rsidRPr="0045163C">
              <w:rPr>
                <w:color w:val="000000" w:themeColor="text1"/>
                <w:lang w:eastAsia="en-US"/>
              </w:rPr>
              <w:t>tika saņemti priekšlikumi par noteikumu projektu</w:t>
            </w:r>
            <w:r w:rsidR="00F123F9">
              <w:rPr>
                <w:color w:val="000000" w:themeColor="text1"/>
                <w:lang w:eastAsia="en-US"/>
              </w:rPr>
              <w:t>.</w:t>
            </w:r>
          </w:p>
        </w:tc>
      </w:tr>
      <w:tr w:rsidR="00C02911" w:rsidRPr="0045163C" w:rsidTr="007B126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4.</w:t>
            </w:r>
          </w:p>
        </w:tc>
        <w:tc>
          <w:tcPr>
            <w:tcW w:w="15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7B1268" w:rsidRPr="004225C8" w:rsidRDefault="00C02911" w:rsidP="0045163C">
            <w:pPr>
              <w:spacing w:after="60"/>
              <w:rPr>
                <w:color w:val="000000" w:themeColor="text1"/>
              </w:rPr>
            </w:pPr>
            <w:r w:rsidRPr="0045163C">
              <w:rPr>
                <w:color w:val="000000" w:themeColor="text1"/>
              </w:rPr>
              <w:t>Nav</w:t>
            </w:r>
          </w:p>
        </w:tc>
      </w:tr>
    </w:tbl>
    <w:p w:rsidR="00C02911" w:rsidRDefault="00C02911" w:rsidP="0045163C">
      <w:pPr>
        <w:pStyle w:val="naisf"/>
        <w:spacing w:before="120" w:after="120"/>
        <w:ind w:firstLine="0"/>
        <w:rPr>
          <w:b/>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C02911" w:rsidRPr="0045163C" w:rsidTr="007B126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B1268" w:rsidRPr="004225C8" w:rsidRDefault="00C02911" w:rsidP="0045163C">
            <w:pPr>
              <w:spacing w:after="60"/>
              <w:jc w:val="center"/>
              <w:rPr>
                <w:b/>
                <w:bCs/>
                <w:color w:val="000000" w:themeColor="text1"/>
              </w:rPr>
            </w:pPr>
            <w:r w:rsidRPr="004225C8">
              <w:rPr>
                <w:b/>
                <w:bCs/>
                <w:color w:val="000000" w:themeColor="text1"/>
              </w:rPr>
              <w:t>VII. Tiesību akta projekta izpildes nodrošināšana un tās ietekme uz institūcijām</w:t>
            </w:r>
          </w:p>
        </w:tc>
      </w:tr>
      <w:tr w:rsidR="00C02911" w:rsidRPr="0045163C" w:rsidTr="007B126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1.</w:t>
            </w:r>
          </w:p>
        </w:tc>
        <w:tc>
          <w:tcPr>
            <w:tcW w:w="19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02911" w:rsidRPr="00F123F9" w:rsidRDefault="00C02911" w:rsidP="00F123F9">
            <w:pPr>
              <w:pStyle w:val="naisnod"/>
              <w:spacing w:before="0" w:after="60"/>
              <w:ind w:right="227"/>
              <w:jc w:val="left"/>
              <w:rPr>
                <w:b w:val="0"/>
                <w:color w:val="000000" w:themeColor="text1"/>
              </w:rPr>
            </w:pPr>
            <w:r w:rsidRPr="0045163C">
              <w:rPr>
                <w:b w:val="0"/>
                <w:color w:val="000000" w:themeColor="text1"/>
              </w:rPr>
              <w:t>Vides aizsardzības un reģionālās attīstības ministrija</w:t>
            </w:r>
            <w:r w:rsidR="00F123F9">
              <w:rPr>
                <w:b w:val="0"/>
                <w:color w:val="000000" w:themeColor="text1"/>
              </w:rPr>
              <w:t>.</w:t>
            </w:r>
          </w:p>
        </w:tc>
      </w:tr>
      <w:tr w:rsidR="00C02911" w:rsidRPr="0045163C" w:rsidTr="007B126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2.</w:t>
            </w:r>
          </w:p>
        </w:tc>
        <w:tc>
          <w:tcPr>
            <w:tcW w:w="19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Projekta izpildes ietekme uz pārvaldes funkcijām un institucionālo struktūru.</w:t>
            </w:r>
          </w:p>
          <w:p w:rsidR="007B1268" w:rsidRPr="004225C8" w:rsidRDefault="00C02911" w:rsidP="0045163C">
            <w:pPr>
              <w:spacing w:after="60"/>
              <w:rPr>
                <w:color w:val="000000" w:themeColor="text1"/>
              </w:rPr>
            </w:pPr>
            <w:r w:rsidRPr="004225C8">
              <w:rPr>
                <w:color w:val="000000" w:themeColor="text1"/>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63E7E" w:rsidRDefault="00D63E7E" w:rsidP="00D63E7E">
            <w:pPr>
              <w:pStyle w:val="naisnod"/>
              <w:spacing w:before="0" w:after="0"/>
              <w:ind w:right="57"/>
              <w:jc w:val="left"/>
              <w:rPr>
                <w:b w:val="0"/>
              </w:rPr>
            </w:pPr>
            <w:r>
              <w:rPr>
                <w:b w:val="0"/>
              </w:rPr>
              <w:t>Noteikumu projekts neietekmē iesaistīto institūciju funkcijas un uzdevumus.</w:t>
            </w:r>
          </w:p>
          <w:p w:rsidR="00D63E7E" w:rsidRDefault="00D63E7E" w:rsidP="00D63E7E">
            <w:pPr>
              <w:pStyle w:val="naisnod"/>
              <w:spacing w:before="0" w:after="0"/>
              <w:ind w:right="57"/>
              <w:jc w:val="left"/>
              <w:rPr>
                <w:b w:val="0"/>
              </w:rPr>
            </w:pPr>
            <w:r>
              <w:rPr>
                <w:b w:val="0"/>
              </w:rPr>
              <w:t>Nav paredzēta jauno institūciju izveide</w:t>
            </w:r>
            <w:r w:rsidR="0000562A">
              <w:rPr>
                <w:b w:val="0"/>
              </w:rPr>
              <w:t xml:space="preserve">, </w:t>
            </w:r>
            <w:r>
              <w:rPr>
                <w:b w:val="0"/>
              </w:rPr>
              <w:t>likvidēšana</w:t>
            </w:r>
            <w:r w:rsidR="0000562A">
              <w:rPr>
                <w:b w:val="0"/>
              </w:rPr>
              <w:t xml:space="preserve">, </w:t>
            </w:r>
            <w:r>
              <w:rPr>
                <w:b w:val="0"/>
              </w:rPr>
              <w:t>reorganizēšana</w:t>
            </w:r>
          </w:p>
          <w:p w:rsidR="00C02911" w:rsidRPr="004225C8" w:rsidRDefault="00C02911" w:rsidP="0045163C">
            <w:pPr>
              <w:spacing w:after="60"/>
              <w:ind w:firstLine="185"/>
              <w:rPr>
                <w:color w:val="000000" w:themeColor="text1"/>
              </w:rPr>
            </w:pPr>
          </w:p>
        </w:tc>
      </w:tr>
      <w:tr w:rsidR="00C02911" w:rsidRPr="0045163C" w:rsidTr="007B126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3.</w:t>
            </w:r>
          </w:p>
        </w:tc>
        <w:tc>
          <w:tcPr>
            <w:tcW w:w="1900" w:type="pct"/>
            <w:tcBorders>
              <w:top w:val="outset" w:sz="6" w:space="0" w:color="414142"/>
              <w:left w:val="outset" w:sz="6" w:space="0" w:color="414142"/>
              <w:bottom w:val="outset" w:sz="6" w:space="0" w:color="414142"/>
              <w:right w:val="outset" w:sz="6" w:space="0" w:color="414142"/>
            </w:tcBorders>
            <w:hideMark/>
          </w:tcPr>
          <w:p w:rsidR="00C02911" w:rsidRPr="004225C8" w:rsidRDefault="00C02911" w:rsidP="0045163C">
            <w:pPr>
              <w:spacing w:after="60"/>
              <w:rPr>
                <w:color w:val="000000" w:themeColor="text1"/>
              </w:rPr>
            </w:pPr>
            <w:r w:rsidRPr="004225C8">
              <w:rPr>
                <w:color w:val="000000" w:themeColor="text1"/>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B1268" w:rsidRPr="004225C8" w:rsidRDefault="00C02911" w:rsidP="0045163C">
            <w:pPr>
              <w:spacing w:after="60"/>
              <w:rPr>
                <w:color w:val="000000" w:themeColor="text1"/>
              </w:rPr>
            </w:pPr>
            <w:r w:rsidRPr="0045163C">
              <w:rPr>
                <w:color w:val="000000" w:themeColor="text1"/>
              </w:rPr>
              <w:t>Nav</w:t>
            </w:r>
          </w:p>
        </w:tc>
      </w:tr>
    </w:tbl>
    <w:p w:rsidR="002E68A6" w:rsidRDefault="002E68A6">
      <w:pPr>
        <w:pStyle w:val="naisf"/>
        <w:spacing w:before="120" w:after="120"/>
        <w:ind w:firstLine="0"/>
        <w:outlineLvl w:val="0"/>
        <w:rPr>
          <w:b/>
        </w:rPr>
      </w:pPr>
    </w:p>
    <w:p w:rsidR="00467F67" w:rsidRDefault="00295A98">
      <w:pPr>
        <w:pStyle w:val="naisf"/>
        <w:spacing w:before="120" w:after="120"/>
        <w:ind w:firstLine="0"/>
        <w:outlineLvl w:val="0"/>
        <w:rPr>
          <w:b/>
        </w:rPr>
      </w:pPr>
      <w:r w:rsidRPr="00414FC6">
        <w:rPr>
          <w:b/>
        </w:rPr>
        <w:t>Anotācijas III</w:t>
      </w:r>
      <w:r w:rsidR="002E68A6">
        <w:rPr>
          <w:b/>
        </w:rPr>
        <w:t xml:space="preserve"> un</w:t>
      </w:r>
      <w:r w:rsidRPr="00414FC6">
        <w:rPr>
          <w:b/>
        </w:rPr>
        <w:t xml:space="preserve"> </w:t>
      </w:r>
      <w:r>
        <w:rPr>
          <w:b/>
        </w:rPr>
        <w:t xml:space="preserve">IV </w:t>
      </w:r>
      <w:r w:rsidRPr="00414FC6">
        <w:rPr>
          <w:b/>
        </w:rPr>
        <w:t>sadaļa – projekts š</w:t>
      </w:r>
      <w:r>
        <w:rPr>
          <w:b/>
        </w:rPr>
        <w:t>o</w:t>
      </w:r>
      <w:r w:rsidRPr="00414FC6">
        <w:rPr>
          <w:b/>
        </w:rPr>
        <w:t xml:space="preserve"> jom</w:t>
      </w:r>
      <w:r>
        <w:rPr>
          <w:b/>
        </w:rPr>
        <w:t>u</w:t>
      </w:r>
      <w:r w:rsidRPr="00414FC6">
        <w:rPr>
          <w:b/>
        </w:rPr>
        <w:t xml:space="preserve"> neskar</w:t>
      </w:r>
    </w:p>
    <w:p w:rsidR="00295A98" w:rsidRDefault="00295A98" w:rsidP="00DE32EB">
      <w:pPr>
        <w:pStyle w:val="naisf"/>
        <w:spacing w:before="0" w:after="0"/>
        <w:ind w:firstLine="0"/>
        <w:rPr>
          <w:b/>
        </w:rPr>
      </w:pPr>
    </w:p>
    <w:p w:rsidR="00D94EE5" w:rsidRPr="00830ECC" w:rsidRDefault="00D94EE5" w:rsidP="002D0009">
      <w:pPr>
        <w:pStyle w:val="naisf"/>
        <w:tabs>
          <w:tab w:val="left" w:pos="6804"/>
        </w:tabs>
        <w:spacing w:before="0" w:after="0"/>
        <w:ind w:firstLine="0"/>
        <w:rPr>
          <w:sz w:val="28"/>
          <w:szCs w:val="28"/>
        </w:rPr>
      </w:pPr>
    </w:p>
    <w:p w:rsidR="00D94EE5" w:rsidRPr="00830ECC" w:rsidRDefault="00D94EE5" w:rsidP="00295A98">
      <w:pPr>
        <w:pStyle w:val="naisf"/>
        <w:tabs>
          <w:tab w:val="left" w:pos="6804"/>
        </w:tabs>
        <w:spacing w:before="0" w:after="0"/>
        <w:ind w:firstLine="0"/>
        <w:outlineLvl w:val="0"/>
        <w:rPr>
          <w:sz w:val="28"/>
          <w:szCs w:val="28"/>
        </w:rPr>
      </w:pPr>
      <w:r w:rsidRPr="00830ECC">
        <w:rPr>
          <w:sz w:val="28"/>
          <w:szCs w:val="28"/>
        </w:rPr>
        <w:t>Vides aizsardzības un</w:t>
      </w:r>
    </w:p>
    <w:p w:rsidR="00D94EE5" w:rsidRPr="00830ECC" w:rsidRDefault="00D94EE5" w:rsidP="00EB434F">
      <w:pPr>
        <w:pStyle w:val="naisf"/>
        <w:tabs>
          <w:tab w:val="left" w:pos="7230"/>
        </w:tabs>
        <w:spacing w:before="0" w:after="0"/>
        <w:ind w:firstLine="0"/>
        <w:rPr>
          <w:sz w:val="28"/>
          <w:szCs w:val="28"/>
        </w:rPr>
      </w:pPr>
      <w:r w:rsidRPr="00830ECC">
        <w:rPr>
          <w:sz w:val="28"/>
          <w:szCs w:val="28"/>
        </w:rPr>
        <w:t>reģionālās attīstības ministrs</w:t>
      </w:r>
      <w:r>
        <w:rPr>
          <w:sz w:val="28"/>
          <w:szCs w:val="28"/>
        </w:rPr>
        <w:tab/>
      </w:r>
      <w:r w:rsidR="00F123F9">
        <w:rPr>
          <w:sz w:val="28"/>
          <w:szCs w:val="28"/>
        </w:rPr>
        <w:t>K.Gerhards</w:t>
      </w:r>
    </w:p>
    <w:p w:rsidR="00D94EE5" w:rsidRDefault="00D94EE5" w:rsidP="00AE7980">
      <w:pPr>
        <w:pStyle w:val="naisf"/>
        <w:tabs>
          <w:tab w:val="left" w:pos="6804"/>
        </w:tabs>
        <w:spacing w:before="0" w:after="0"/>
        <w:ind w:firstLine="0"/>
        <w:rPr>
          <w:sz w:val="28"/>
          <w:szCs w:val="28"/>
        </w:rPr>
      </w:pPr>
    </w:p>
    <w:p w:rsidR="0000562A" w:rsidRDefault="0000562A" w:rsidP="00AE7980">
      <w:pPr>
        <w:pStyle w:val="naisf"/>
        <w:tabs>
          <w:tab w:val="left" w:pos="6804"/>
        </w:tabs>
        <w:spacing w:before="0" w:after="0"/>
        <w:ind w:firstLine="0"/>
        <w:rPr>
          <w:sz w:val="28"/>
          <w:szCs w:val="28"/>
        </w:rPr>
      </w:pPr>
    </w:p>
    <w:p w:rsidR="0000562A" w:rsidRPr="00830ECC" w:rsidRDefault="0000562A" w:rsidP="00AE7980">
      <w:pPr>
        <w:pStyle w:val="naisf"/>
        <w:tabs>
          <w:tab w:val="left" w:pos="6804"/>
        </w:tabs>
        <w:spacing w:before="0" w:after="0"/>
        <w:ind w:firstLine="0"/>
        <w:rPr>
          <w:sz w:val="28"/>
          <w:szCs w:val="28"/>
        </w:rPr>
      </w:pPr>
    </w:p>
    <w:p w:rsidR="00D94EE5" w:rsidRPr="00830ECC" w:rsidRDefault="00D94EE5" w:rsidP="00AE7980">
      <w:pPr>
        <w:pStyle w:val="Header"/>
        <w:tabs>
          <w:tab w:val="clear" w:pos="4153"/>
          <w:tab w:val="clear" w:pos="8306"/>
        </w:tabs>
        <w:rPr>
          <w:sz w:val="28"/>
          <w:szCs w:val="28"/>
        </w:rPr>
      </w:pPr>
      <w:r w:rsidRPr="00830ECC">
        <w:rPr>
          <w:sz w:val="28"/>
          <w:szCs w:val="28"/>
        </w:rPr>
        <w:t>Vīza:</w:t>
      </w:r>
    </w:p>
    <w:p w:rsidR="005A1398" w:rsidRPr="00DA4207" w:rsidRDefault="005A1398" w:rsidP="003724A3">
      <w:pPr>
        <w:shd w:val="clear" w:color="auto" w:fill="FFFFFF"/>
        <w:tabs>
          <w:tab w:val="left" w:pos="7230"/>
        </w:tabs>
        <w:rPr>
          <w:color w:val="000000" w:themeColor="text1"/>
          <w:sz w:val="28"/>
          <w:szCs w:val="28"/>
        </w:rPr>
      </w:pPr>
      <w:r w:rsidRPr="00DA4207">
        <w:rPr>
          <w:color w:val="000000"/>
          <w:sz w:val="28"/>
          <w:szCs w:val="28"/>
        </w:rPr>
        <w:t>valsts sekretār</w:t>
      </w:r>
      <w:r w:rsidR="003724A3">
        <w:rPr>
          <w:color w:val="000000"/>
          <w:sz w:val="28"/>
          <w:szCs w:val="28"/>
        </w:rPr>
        <w:t>s</w:t>
      </w:r>
      <w:r w:rsidR="003724A3">
        <w:rPr>
          <w:color w:val="000000"/>
          <w:sz w:val="28"/>
          <w:szCs w:val="28"/>
        </w:rPr>
        <w:tab/>
        <w:t>G.Puķītis</w:t>
      </w:r>
    </w:p>
    <w:p w:rsidR="00415BD8" w:rsidRDefault="00415BD8" w:rsidP="00AE7980">
      <w:pPr>
        <w:jc w:val="both"/>
        <w:rPr>
          <w:color w:val="000000"/>
          <w:sz w:val="20"/>
          <w:szCs w:val="20"/>
        </w:rPr>
      </w:pPr>
    </w:p>
    <w:p w:rsidR="003724A3" w:rsidRDefault="003724A3" w:rsidP="00AE7980">
      <w:pPr>
        <w:jc w:val="both"/>
        <w:rPr>
          <w:color w:val="000000"/>
          <w:sz w:val="20"/>
          <w:szCs w:val="20"/>
        </w:rPr>
      </w:pPr>
    </w:p>
    <w:p w:rsidR="00D94EE5" w:rsidRDefault="00D94EE5" w:rsidP="00AE7980">
      <w:pPr>
        <w:jc w:val="both"/>
        <w:rPr>
          <w:color w:val="000000"/>
          <w:sz w:val="28"/>
          <w:szCs w:val="28"/>
        </w:rPr>
      </w:pPr>
    </w:p>
    <w:p w:rsidR="009569FF" w:rsidRPr="00C87F70" w:rsidRDefault="00744E5B" w:rsidP="009569FF">
      <w:pPr>
        <w:shd w:val="clear" w:color="auto" w:fill="FFFFFF"/>
        <w:rPr>
          <w:color w:val="000000"/>
          <w:sz w:val="18"/>
          <w:szCs w:val="18"/>
        </w:rPr>
      </w:pPr>
      <w:r>
        <w:rPr>
          <w:color w:val="000000"/>
          <w:sz w:val="18"/>
          <w:szCs w:val="18"/>
        </w:rPr>
        <w:t>09</w:t>
      </w:r>
      <w:r w:rsidR="00C87F70">
        <w:rPr>
          <w:color w:val="000000"/>
          <w:sz w:val="18"/>
          <w:szCs w:val="18"/>
        </w:rPr>
        <w:t>.1</w:t>
      </w:r>
      <w:r>
        <w:rPr>
          <w:color w:val="000000"/>
          <w:sz w:val="18"/>
          <w:szCs w:val="18"/>
        </w:rPr>
        <w:t>2</w:t>
      </w:r>
      <w:r w:rsidR="00C87F70" w:rsidRPr="00616DC9">
        <w:rPr>
          <w:color w:val="000000"/>
          <w:sz w:val="18"/>
          <w:szCs w:val="18"/>
        </w:rPr>
        <w:t xml:space="preserve">.2014. </w:t>
      </w:r>
      <w:r w:rsidR="00C87F70">
        <w:rPr>
          <w:color w:val="000000"/>
          <w:sz w:val="18"/>
          <w:szCs w:val="18"/>
        </w:rPr>
        <w:t>09</w:t>
      </w:r>
      <w:r w:rsidR="00C87F70" w:rsidRPr="00616DC9">
        <w:rPr>
          <w:color w:val="000000"/>
          <w:sz w:val="18"/>
          <w:szCs w:val="18"/>
        </w:rPr>
        <w:t>:00</w:t>
      </w:r>
    </w:p>
    <w:p w:rsidR="009569FF" w:rsidRPr="009569FF" w:rsidRDefault="00317FEE" w:rsidP="009569FF">
      <w:pPr>
        <w:shd w:val="clear" w:color="auto" w:fill="FFFFFF"/>
        <w:rPr>
          <w:sz w:val="20"/>
          <w:szCs w:val="20"/>
        </w:rPr>
      </w:pPr>
      <w:fldSimple w:instr=" NUMWORDS   \* MERGEFORMAT ">
        <w:r w:rsidR="00744E5B" w:rsidRPr="00744E5B">
          <w:rPr>
            <w:noProof/>
            <w:sz w:val="20"/>
            <w:szCs w:val="20"/>
          </w:rPr>
          <w:t>861</w:t>
        </w:r>
      </w:fldSimple>
    </w:p>
    <w:p w:rsidR="009569FF" w:rsidRPr="009569FF" w:rsidRDefault="009569FF" w:rsidP="009569FF">
      <w:pPr>
        <w:shd w:val="clear" w:color="auto" w:fill="FFFFFF"/>
        <w:rPr>
          <w:color w:val="000000"/>
          <w:sz w:val="20"/>
          <w:szCs w:val="20"/>
        </w:rPr>
      </w:pPr>
      <w:r w:rsidRPr="009569FF">
        <w:rPr>
          <w:color w:val="000000"/>
          <w:sz w:val="20"/>
          <w:szCs w:val="20"/>
        </w:rPr>
        <w:t>F.Rūmnieks</w:t>
      </w:r>
      <w:r w:rsidRPr="009569FF">
        <w:rPr>
          <w:color w:val="000000"/>
          <w:sz w:val="20"/>
          <w:szCs w:val="20"/>
        </w:rPr>
        <w:tab/>
      </w:r>
    </w:p>
    <w:p w:rsidR="009569FF" w:rsidRPr="009569FF" w:rsidRDefault="009569FF" w:rsidP="009569FF">
      <w:pPr>
        <w:shd w:val="clear" w:color="auto" w:fill="FFFFFF"/>
        <w:rPr>
          <w:sz w:val="20"/>
          <w:szCs w:val="20"/>
        </w:rPr>
      </w:pPr>
      <w:r w:rsidRPr="009569FF">
        <w:rPr>
          <w:color w:val="000000"/>
          <w:sz w:val="20"/>
          <w:szCs w:val="20"/>
        </w:rPr>
        <w:t xml:space="preserve">67026489, </w:t>
      </w:r>
      <w:bookmarkStart w:id="2" w:name="piel4"/>
      <w:bookmarkEnd w:id="2"/>
      <w:r w:rsidR="00317FEE" w:rsidRPr="009569FF">
        <w:rPr>
          <w:color w:val="000000"/>
          <w:sz w:val="20"/>
          <w:szCs w:val="20"/>
        </w:rPr>
        <w:fldChar w:fldCharType="begin"/>
      </w:r>
      <w:r w:rsidRPr="009569FF">
        <w:rPr>
          <w:color w:val="000000"/>
          <w:sz w:val="20"/>
          <w:szCs w:val="20"/>
        </w:rPr>
        <w:instrText xml:space="preserve"> HYPERLINK "mailto:Fricis.Rumnieks@varam.gov.lv" </w:instrText>
      </w:r>
      <w:r w:rsidR="00317FEE" w:rsidRPr="009569FF">
        <w:rPr>
          <w:color w:val="000000"/>
          <w:sz w:val="20"/>
          <w:szCs w:val="20"/>
        </w:rPr>
        <w:fldChar w:fldCharType="separate"/>
      </w:r>
      <w:r w:rsidRPr="009569FF">
        <w:rPr>
          <w:rStyle w:val="Hyperlink"/>
          <w:sz w:val="20"/>
          <w:szCs w:val="20"/>
        </w:rPr>
        <w:t>Fricis.Rumnieks@varam.gov.lv</w:t>
      </w:r>
      <w:r w:rsidR="00317FEE" w:rsidRPr="009569FF">
        <w:rPr>
          <w:color w:val="000000"/>
          <w:sz w:val="20"/>
          <w:szCs w:val="20"/>
        </w:rPr>
        <w:fldChar w:fldCharType="end"/>
      </w:r>
      <w:r w:rsidRPr="009569FF">
        <w:rPr>
          <w:color w:val="000000"/>
          <w:sz w:val="20"/>
          <w:szCs w:val="20"/>
        </w:rPr>
        <w:t xml:space="preserve"> </w:t>
      </w:r>
    </w:p>
    <w:p w:rsidR="00D94EE5" w:rsidRPr="00415BD8" w:rsidRDefault="00D94EE5" w:rsidP="009569FF">
      <w:pPr>
        <w:jc w:val="both"/>
        <w:rPr>
          <w:rStyle w:val="Hyperlink"/>
          <w:sz w:val="20"/>
          <w:szCs w:val="20"/>
        </w:rPr>
      </w:pPr>
    </w:p>
    <w:sectPr w:rsidR="00D94EE5" w:rsidRPr="00415BD8" w:rsidSect="00187835">
      <w:headerReference w:type="even" r:id="rId9"/>
      <w:headerReference w:type="default"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30" w:rsidRDefault="00874930">
      <w:r>
        <w:separator/>
      </w:r>
    </w:p>
  </w:endnote>
  <w:endnote w:type="continuationSeparator" w:id="0">
    <w:p w:rsidR="00874930" w:rsidRDefault="008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C3" w:rsidRPr="00F44D8A" w:rsidRDefault="004E42C3" w:rsidP="00082F24">
    <w:pPr>
      <w:jc w:val="both"/>
      <w:rPr>
        <w:sz w:val="8"/>
        <w:szCs w:val="8"/>
      </w:rPr>
    </w:pPr>
  </w:p>
  <w:p w:rsidR="004E42C3" w:rsidRPr="00082F24" w:rsidRDefault="00317FEE" w:rsidP="00082F24">
    <w:pPr>
      <w:jc w:val="both"/>
      <w:rPr>
        <w:sz w:val="20"/>
        <w:szCs w:val="20"/>
      </w:rPr>
    </w:pPr>
    <w:fldSimple w:instr=" FILENAME   \* MERGEFORMAT ">
      <w:r w:rsidR="00744E5B" w:rsidRPr="00744E5B">
        <w:rPr>
          <w:noProof/>
          <w:sz w:val="20"/>
          <w:szCs w:val="20"/>
        </w:rPr>
        <w:t>VARAMAnot_Groz112_091214</w:t>
      </w:r>
    </w:fldSimple>
    <w:r w:rsidR="004E42C3" w:rsidRPr="00F44D8A">
      <w:rPr>
        <w:sz w:val="20"/>
        <w:szCs w:val="20"/>
      </w:rPr>
      <w:t xml:space="preserve">; </w:t>
    </w:r>
    <w:r w:rsidR="004E42C3" w:rsidRPr="00082F24">
      <w:rPr>
        <w:sz w:val="20"/>
        <w:szCs w:val="20"/>
      </w:rPr>
      <w:t>Ministru kabineta noteikumu projekta „Grozījumi Ministru kabineta 2013.gada 26.februāra noteikumos Nr.112 „Emisijas kvotu piešķiršanas kārtība stacionāro tehnoloģisko iekārtu operatoriem””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C3" w:rsidRPr="00F44D8A" w:rsidRDefault="004E42C3" w:rsidP="00CF6D8B">
    <w:pPr>
      <w:jc w:val="both"/>
      <w:rPr>
        <w:sz w:val="8"/>
        <w:szCs w:val="8"/>
      </w:rPr>
    </w:pPr>
  </w:p>
  <w:p w:rsidR="004E42C3" w:rsidRPr="00F44D8A" w:rsidRDefault="00317FEE" w:rsidP="00CF6D8B">
    <w:pPr>
      <w:jc w:val="both"/>
      <w:rPr>
        <w:sz w:val="20"/>
        <w:szCs w:val="20"/>
      </w:rPr>
    </w:pPr>
    <w:fldSimple w:instr=" FILENAME   \* MERGEFORMAT ">
      <w:r w:rsidR="00744E5B" w:rsidRPr="00744E5B">
        <w:rPr>
          <w:noProof/>
          <w:sz w:val="20"/>
          <w:szCs w:val="20"/>
        </w:rPr>
        <w:t>VARAMAnot_Groz112_091214</w:t>
      </w:r>
    </w:fldSimple>
    <w:r w:rsidR="004E42C3" w:rsidRPr="00F44D8A">
      <w:rPr>
        <w:sz w:val="20"/>
        <w:szCs w:val="20"/>
      </w:rPr>
      <w:t xml:space="preserve">; </w:t>
    </w:r>
    <w:r w:rsidR="004E42C3" w:rsidRPr="00082F24">
      <w:rPr>
        <w:sz w:val="20"/>
        <w:szCs w:val="20"/>
      </w:rPr>
      <w:t>Ministru kabineta noteikumu projekta „Grozījumi Ministru kabineta 2013.gada 26.februāra noteikumos Nr.112 „Emisijas kvotu piešķiršanas kārtība stacionāro tehnoloģisko iekārtu operatoriem””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30" w:rsidRDefault="00874930">
      <w:r>
        <w:separator/>
      </w:r>
    </w:p>
  </w:footnote>
  <w:footnote w:type="continuationSeparator" w:id="0">
    <w:p w:rsidR="00874930" w:rsidRDefault="0087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C3" w:rsidRDefault="00317FEE" w:rsidP="003C449B">
    <w:pPr>
      <w:pStyle w:val="Header"/>
      <w:framePr w:wrap="around" w:vAnchor="text" w:hAnchor="margin" w:xAlign="center" w:y="1"/>
      <w:rPr>
        <w:rStyle w:val="PageNumber"/>
      </w:rPr>
    </w:pPr>
    <w:r>
      <w:rPr>
        <w:rStyle w:val="PageNumber"/>
      </w:rPr>
      <w:fldChar w:fldCharType="begin"/>
    </w:r>
    <w:r w:rsidR="004E42C3">
      <w:rPr>
        <w:rStyle w:val="PageNumber"/>
      </w:rPr>
      <w:instrText xml:space="preserve">PAGE  </w:instrText>
    </w:r>
    <w:r>
      <w:rPr>
        <w:rStyle w:val="PageNumber"/>
      </w:rPr>
      <w:fldChar w:fldCharType="end"/>
    </w:r>
  </w:p>
  <w:p w:rsidR="004E42C3" w:rsidRDefault="004E4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C3" w:rsidRDefault="00317FEE" w:rsidP="003C449B">
    <w:pPr>
      <w:pStyle w:val="Header"/>
      <w:framePr w:wrap="around" w:vAnchor="text" w:hAnchor="margin" w:xAlign="center" w:y="1"/>
      <w:rPr>
        <w:rStyle w:val="PageNumber"/>
      </w:rPr>
    </w:pPr>
    <w:r>
      <w:rPr>
        <w:rStyle w:val="PageNumber"/>
      </w:rPr>
      <w:fldChar w:fldCharType="begin"/>
    </w:r>
    <w:r w:rsidR="004E42C3">
      <w:rPr>
        <w:rStyle w:val="PageNumber"/>
      </w:rPr>
      <w:instrText xml:space="preserve">PAGE  </w:instrText>
    </w:r>
    <w:r>
      <w:rPr>
        <w:rStyle w:val="PageNumber"/>
      </w:rPr>
      <w:fldChar w:fldCharType="separate"/>
    </w:r>
    <w:r w:rsidR="00431473">
      <w:rPr>
        <w:rStyle w:val="PageNumber"/>
        <w:noProof/>
      </w:rPr>
      <w:t>4</w:t>
    </w:r>
    <w:r>
      <w:rPr>
        <w:rStyle w:val="PageNumber"/>
      </w:rPr>
      <w:fldChar w:fldCharType="end"/>
    </w:r>
  </w:p>
  <w:p w:rsidR="004E42C3" w:rsidRPr="0062376B" w:rsidRDefault="004E42C3">
    <w:pPr>
      <w:pStyle w:val="Heade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C3" w:rsidRDefault="004E42C3" w:rsidP="00DE5A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687"/>
    <w:multiLevelType w:val="hybridMultilevel"/>
    <w:tmpl w:val="AF62EF4E"/>
    <w:lvl w:ilvl="0" w:tplc="E57676CA">
      <w:start w:val="3"/>
      <w:numFmt w:val="bullet"/>
      <w:lvlText w:val="-"/>
      <w:lvlJc w:val="left"/>
      <w:pPr>
        <w:ind w:left="473" w:hanging="360"/>
      </w:pPr>
      <w:rPr>
        <w:rFonts w:ascii="Times New Roman" w:eastAsia="Times New Roman" w:hAnsi="Times New Roman" w:cs="Times New Roman"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nsid w:val="07EF1E86"/>
    <w:multiLevelType w:val="hybridMultilevel"/>
    <w:tmpl w:val="45C85642"/>
    <w:lvl w:ilvl="0" w:tplc="1390D23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BD4C00"/>
    <w:multiLevelType w:val="hybridMultilevel"/>
    <w:tmpl w:val="B82C03B4"/>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6">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3">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6">
    <w:nsid w:val="3B04457D"/>
    <w:multiLevelType w:val="hybridMultilevel"/>
    <w:tmpl w:val="FB64CE36"/>
    <w:lvl w:ilvl="0" w:tplc="1390D2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D5236AD"/>
    <w:multiLevelType w:val="hybridMultilevel"/>
    <w:tmpl w:val="B3765D2E"/>
    <w:lvl w:ilvl="0" w:tplc="1390D23E">
      <w:start w:val="1"/>
      <w:numFmt w:val="bullet"/>
      <w:lvlText w:val=""/>
      <w:lvlJc w:val="left"/>
      <w:pPr>
        <w:ind w:left="473" w:hanging="360"/>
      </w:pPr>
      <w:rPr>
        <w:rFonts w:ascii="Symbol" w:hAnsi="Symbol"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26"/>
  </w:num>
  <w:num w:numId="3">
    <w:abstractNumId w:val="11"/>
  </w:num>
  <w:num w:numId="4">
    <w:abstractNumId w:val="9"/>
  </w:num>
  <w:num w:numId="5">
    <w:abstractNumId w:val="4"/>
  </w:num>
  <w:num w:numId="6">
    <w:abstractNumId w:val="21"/>
  </w:num>
  <w:num w:numId="7">
    <w:abstractNumId w:val="27"/>
  </w:num>
  <w:num w:numId="8">
    <w:abstractNumId w:val="18"/>
  </w:num>
  <w:num w:numId="9">
    <w:abstractNumId w:val="10"/>
  </w:num>
  <w:num w:numId="10">
    <w:abstractNumId w:val="19"/>
  </w:num>
  <w:num w:numId="11">
    <w:abstractNumId w:val="20"/>
  </w:num>
  <w:num w:numId="12">
    <w:abstractNumId w:val="22"/>
  </w:num>
  <w:num w:numId="13">
    <w:abstractNumId w:val="25"/>
  </w:num>
  <w:num w:numId="14">
    <w:abstractNumId w:val="14"/>
  </w:num>
  <w:num w:numId="15">
    <w:abstractNumId w:val="6"/>
  </w:num>
  <w:num w:numId="16">
    <w:abstractNumId w:val="23"/>
  </w:num>
  <w:num w:numId="17">
    <w:abstractNumId w:val="12"/>
  </w:num>
  <w:num w:numId="18">
    <w:abstractNumId w:val="15"/>
  </w:num>
  <w:num w:numId="19">
    <w:abstractNumId w:val="8"/>
  </w:num>
  <w:num w:numId="20">
    <w:abstractNumId w:val="1"/>
  </w:num>
  <w:num w:numId="21">
    <w:abstractNumId w:val="24"/>
  </w:num>
  <w:num w:numId="22">
    <w:abstractNumId w:val="2"/>
  </w:num>
  <w:num w:numId="23">
    <w:abstractNumId w:val="7"/>
  </w:num>
  <w:num w:numId="24">
    <w:abstractNumId w:val="3"/>
  </w:num>
  <w:num w:numId="25">
    <w:abstractNumId w:val="16"/>
  </w:num>
  <w:num w:numId="26">
    <w:abstractNumId w:val="0"/>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16AA"/>
    <w:rsid w:val="00003636"/>
    <w:rsid w:val="0000562A"/>
    <w:rsid w:val="00006F1C"/>
    <w:rsid w:val="00007AD5"/>
    <w:rsid w:val="00011110"/>
    <w:rsid w:val="000116BF"/>
    <w:rsid w:val="00011D24"/>
    <w:rsid w:val="00013F31"/>
    <w:rsid w:val="00013FF4"/>
    <w:rsid w:val="000151F6"/>
    <w:rsid w:val="000166E1"/>
    <w:rsid w:val="0002034A"/>
    <w:rsid w:val="00020FE1"/>
    <w:rsid w:val="00022E13"/>
    <w:rsid w:val="000244E2"/>
    <w:rsid w:val="000265AB"/>
    <w:rsid w:val="00026F37"/>
    <w:rsid w:val="00027CF8"/>
    <w:rsid w:val="00031D2D"/>
    <w:rsid w:val="00032388"/>
    <w:rsid w:val="00034EFB"/>
    <w:rsid w:val="00035CE2"/>
    <w:rsid w:val="00045FE5"/>
    <w:rsid w:val="00046A5A"/>
    <w:rsid w:val="00046F89"/>
    <w:rsid w:val="000474FF"/>
    <w:rsid w:val="0005096C"/>
    <w:rsid w:val="0005217C"/>
    <w:rsid w:val="000549FA"/>
    <w:rsid w:val="0005553B"/>
    <w:rsid w:val="000604D2"/>
    <w:rsid w:val="00061E13"/>
    <w:rsid w:val="00070450"/>
    <w:rsid w:val="00075F2A"/>
    <w:rsid w:val="00076C0A"/>
    <w:rsid w:val="00082F24"/>
    <w:rsid w:val="00087945"/>
    <w:rsid w:val="0009005E"/>
    <w:rsid w:val="000908E2"/>
    <w:rsid w:val="00091325"/>
    <w:rsid w:val="00092C05"/>
    <w:rsid w:val="0009392A"/>
    <w:rsid w:val="000941C5"/>
    <w:rsid w:val="00096E50"/>
    <w:rsid w:val="00097A39"/>
    <w:rsid w:val="000A279D"/>
    <w:rsid w:val="000A2CC7"/>
    <w:rsid w:val="000A5B8A"/>
    <w:rsid w:val="000A6451"/>
    <w:rsid w:val="000A6F4E"/>
    <w:rsid w:val="000B05C8"/>
    <w:rsid w:val="000B064E"/>
    <w:rsid w:val="000B5664"/>
    <w:rsid w:val="000B66F0"/>
    <w:rsid w:val="000B69CF"/>
    <w:rsid w:val="000B727F"/>
    <w:rsid w:val="000C12AB"/>
    <w:rsid w:val="000C1696"/>
    <w:rsid w:val="000C28CB"/>
    <w:rsid w:val="000C3456"/>
    <w:rsid w:val="000C4699"/>
    <w:rsid w:val="000C790C"/>
    <w:rsid w:val="000D0288"/>
    <w:rsid w:val="000D0342"/>
    <w:rsid w:val="000D22E1"/>
    <w:rsid w:val="000D48E9"/>
    <w:rsid w:val="000D53A4"/>
    <w:rsid w:val="000D7E25"/>
    <w:rsid w:val="000E63BA"/>
    <w:rsid w:val="000F05AD"/>
    <w:rsid w:val="000F061D"/>
    <w:rsid w:val="000F4794"/>
    <w:rsid w:val="000F73E1"/>
    <w:rsid w:val="001021DC"/>
    <w:rsid w:val="00102C0D"/>
    <w:rsid w:val="00105097"/>
    <w:rsid w:val="00110A5D"/>
    <w:rsid w:val="00115164"/>
    <w:rsid w:val="00115F7C"/>
    <w:rsid w:val="00124F12"/>
    <w:rsid w:val="00130725"/>
    <w:rsid w:val="00137E8E"/>
    <w:rsid w:val="00142AB6"/>
    <w:rsid w:val="00142CCD"/>
    <w:rsid w:val="00144E16"/>
    <w:rsid w:val="00144E3A"/>
    <w:rsid w:val="00146480"/>
    <w:rsid w:val="0015060C"/>
    <w:rsid w:val="001507B4"/>
    <w:rsid w:val="001527DA"/>
    <w:rsid w:val="001560A1"/>
    <w:rsid w:val="001577DB"/>
    <w:rsid w:val="0016018A"/>
    <w:rsid w:val="00161F0E"/>
    <w:rsid w:val="00163F25"/>
    <w:rsid w:val="00170E2A"/>
    <w:rsid w:val="0017438A"/>
    <w:rsid w:val="00174CE5"/>
    <w:rsid w:val="00174E60"/>
    <w:rsid w:val="00175DE1"/>
    <w:rsid w:val="00177394"/>
    <w:rsid w:val="00180614"/>
    <w:rsid w:val="001811DE"/>
    <w:rsid w:val="00182C18"/>
    <w:rsid w:val="00183743"/>
    <w:rsid w:val="00183CC2"/>
    <w:rsid w:val="00184098"/>
    <w:rsid w:val="00187835"/>
    <w:rsid w:val="001900E4"/>
    <w:rsid w:val="001903B8"/>
    <w:rsid w:val="0019049F"/>
    <w:rsid w:val="00190F88"/>
    <w:rsid w:val="0019304E"/>
    <w:rsid w:val="00194421"/>
    <w:rsid w:val="00194816"/>
    <w:rsid w:val="00195C3D"/>
    <w:rsid w:val="001A359A"/>
    <w:rsid w:val="001A4066"/>
    <w:rsid w:val="001A4DB8"/>
    <w:rsid w:val="001A6AE4"/>
    <w:rsid w:val="001B0092"/>
    <w:rsid w:val="001B01FD"/>
    <w:rsid w:val="001B301A"/>
    <w:rsid w:val="001B4A71"/>
    <w:rsid w:val="001B7C1E"/>
    <w:rsid w:val="001C25AB"/>
    <w:rsid w:val="001C3CF0"/>
    <w:rsid w:val="001C653E"/>
    <w:rsid w:val="001C7680"/>
    <w:rsid w:val="001C771F"/>
    <w:rsid w:val="001D3D74"/>
    <w:rsid w:val="001D41C4"/>
    <w:rsid w:val="001D51E9"/>
    <w:rsid w:val="001D5B54"/>
    <w:rsid w:val="001D6061"/>
    <w:rsid w:val="001D760B"/>
    <w:rsid w:val="001E0329"/>
    <w:rsid w:val="001E0914"/>
    <w:rsid w:val="001E1DBF"/>
    <w:rsid w:val="001E26BE"/>
    <w:rsid w:val="001E2B32"/>
    <w:rsid w:val="001E4639"/>
    <w:rsid w:val="001E4A7D"/>
    <w:rsid w:val="001E5C30"/>
    <w:rsid w:val="001F15D1"/>
    <w:rsid w:val="001F3140"/>
    <w:rsid w:val="001F4209"/>
    <w:rsid w:val="001F43A8"/>
    <w:rsid w:val="001F5CD6"/>
    <w:rsid w:val="001F6AFC"/>
    <w:rsid w:val="0020431B"/>
    <w:rsid w:val="00204981"/>
    <w:rsid w:val="002074DE"/>
    <w:rsid w:val="00207C81"/>
    <w:rsid w:val="0021263D"/>
    <w:rsid w:val="00213F0C"/>
    <w:rsid w:val="00214094"/>
    <w:rsid w:val="002149E7"/>
    <w:rsid w:val="0021592D"/>
    <w:rsid w:val="00215F45"/>
    <w:rsid w:val="00220257"/>
    <w:rsid w:val="002225BF"/>
    <w:rsid w:val="0022299B"/>
    <w:rsid w:val="00222D76"/>
    <w:rsid w:val="00223EB1"/>
    <w:rsid w:val="002271F1"/>
    <w:rsid w:val="00231344"/>
    <w:rsid w:val="0023436E"/>
    <w:rsid w:val="002347C0"/>
    <w:rsid w:val="00234A26"/>
    <w:rsid w:val="00240407"/>
    <w:rsid w:val="00241A6C"/>
    <w:rsid w:val="00242D2B"/>
    <w:rsid w:val="00247182"/>
    <w:rsid w:val="0024756C"/>
    <w:rsid w:val="002550F1"/>
    <w:rsid w:val="002578B9"/>
    <w:rsid w:val="00262E2B"/>
    <w:rsid w:val="002659C8"/>
    <w:rsid w:val="00265A19"/>
    <w:rsid w:val="002668F4"/>
    <w:rsid w:val="00270429"/>
    <w:rsid w:val="002723E9"/>
    <w:rsid w:val="00273598"/>
    <w:rsid w:val="002768FD"/>
    <w:rsid w:val="00277929"/>
    <w:rsid w:val="00281A14"/>
    <w:rsid w:val="00283B82"/>
    <w:rsid w:val="002846E9"/>
    <w:rsid w:val="00284C34"/>
    <w:rsid w:val="002858FF"/>
    <w:rsid w:val="0028709C"/>
    <w:rsid w:val="00290042"/>
    <w:rsid w:val="0029066C"/>
    <w:rsid w:val="00292ED3"/>
    <w:rsid w:val="0029401D"/>
    <w:rsid w:val="00295A98"/>
    <w:rsid w:val="00297193"/>
    <w:rsid w:val="00297F50"/>
    <w:rsid w:val="002A3E8C"/>
    <w:rsid w:val="002A509A"/>
    <w:rsid w:val="002A7EAC"/>
    <w:rsid w:val="002B226B"/>
    <w:rsid w:val="002B50DB"/>
    <w:rsid w:val="002C05F9"/>
    <w:rsid w:val="002C12AB"/>
    <w:rsid w:val="002C7CAC"/>
    <w:rsid w:val="002D0009"/>
    <w:rsid w:val="002D0D31"/>
    <w:rsid w:val="002D2979"/>
    <w:rsid w:val="002D3170"/>
    <w:rsid w:val="002D3306"/>
    <w:rsid w:val="002D48AA"/>
    <w:rsid w:val="002D7BAA"/>
    <w:rsid w:val="002D7F54"/>
    <w:rsid w:val="002E0479"/>
    <w:rsid w:val="002E2C9B"/>
    <w:rsid w:val="002E3FF4"/>
    <w:rsid w:val="002E4657"/>
    <w:rsid w:val="002E68A6"/>
    <w:rsid w:val="002F5945"/>
    <w:rsid w:val="002F6BCF"/>
    <w:rsid w:val="002F78C8"/>
    <w:rsid w:val="00301CF3"/>
    <w:rsid w:val="003030C8"/>
    <w:rsid w:val="00304F65"/>
    <w:rsid w:val="00304FC5"/>
    <w:rsid w:val="0030774D"/>
    <w:rsid w:val="00312618"/>
    <w:rsid w:val="00317FEE"/>
    <w:rsid w:val="00322D18"/>
    <w:rsid w:val="00326FC4"/>
    <w:rsid w:val="0032715C"/>
    <w:rsid w:val="00327DDC"/>
    <w:rsid w:val="00330EA6"/>
    <w:rsid w:val="00331C16"/>
    <w:rsid w:val="003327B9"/>
    <w:rsid w:val="00336A08"/>
    <w:rsid w:val="00337CA5"/>
    <w:rsid w:val="00340FD3"/>
    <w:rsid w:val="0034236A"/>
    <w:rsid w:val="003432F8"/>
    <w:rsid w:val="00345605"/>
    <w:rsid w:val="00345A7B"/>
    <w:rsid w:val="00346C05"/>
    <w:rsid w:val="00346E47"/>
    <w:rsid w:val="0035392D"/>
    <w:rsid w:val="00362478"/>
    <w:rsid w:val="00362EFD"/>
    <w:rsid w:val="00362F13"/>
    <w:rsid w:val="0036633F"/>
    <w:rsid w:val="0036696C"/>
    <w:rsid w:val="003708CB"/>
    <w:rsid w:val="00371975"/>
    <w:rsid w:val="003724A3"/>
    <w:rsid w:val="00373840"/>
    <w:rsid w:val="00374D2F"/>
    <w:rsid w:val="00375B25"/>
    <w:rsid w:val="003810BA"/>
    <w:rsid w:val="0038132C"/>
    <w:rsid w:val="00385505"/>
    <w:rsid w:val="00385FE4"/>
    <w:rsid w:val="003915E0"/>
    <w:rsid w:val="003942AA"/>
    <w:rsid w:val="0039473D"/>
    <w:rsid w:val="00396542"/>
    <w:rsid w:val="0039685B"/>
    <w:rsid w:val="00397B5A"/>
    <w:rsid w:val="003A2FA4"/>
    <w:rsid w:val="003A31A6"/>
    <w:rsid w:val="003A3D3A"/>
    <w:rsid w:val="003A7A15"/>
    <w:rsid w:val="003A7F0C"/>
    <w:rsid w:val="003A7F79"/>
    <w:rsid w:val="003B0C7D"/>
    <w:rsid w:val="003B4426"/>
    <w:rsid w:val="003B6404"/>
    <w:rsid w:val="003C2304"/>
    <w:rsid w:val="003C449B"/>
    <w:rsid w:val="003C6AFC"/>
    <w:rsid w:val="003C6F3F"/>
    <w:rsid w:val="003D21FF"/>
    <w:rsid w:val="003E14D0"/>
    <w:rsid w:val="003E4FC2"/>
    <w:rsid w:val="003E5CD1"/>
    <w:rsid w:val="003E7454"/>
    <w:rsid w:val="003F0112"/>
    <w:rsid w:val="003F071A"/>
    <w:rsid w:val="003F160B"/>
    <w:rsid w:val="003F2A4B"/>
    <w:rsid w:val="003F35A0"/>
    <w:rsid w:val="00400032"/>
    <w:rsid w:val="00400B5B"/>
    <w:rsid w:val="00401E3E"/>
    <w:rsid w:val="00405A00"/>
    <w:rsid w:val="00410CEF"/>
    <w:rsid w:val="00414FC6"/>
    <w:rsid w:val="00415BD8"/>
    <w:rsid w:val="00420870"/>
    <w:rsid w:val="004238CA"/>
    <w:rsid w:val="00431195"/>
    <w:rsid w:val="00431473"/>
    <w:rsid w:val="00432D0C"/>
    <w:rsid w:val="00433064"/>
    <w:rsid w:val="00434C05"/>
    <w:rsid w:val="0043791B"/>
    <w:rsid w:val="004407C6"/>
    <w:rsid w:val="00441483"/>
    <w:rsid w:val="00441BCB"/>
    <w:rsid w:val="00443305"/>
    <w:rsid w:val="004467DC"/>
    <w:rsid w:val="004470BC"/>
    <w:rsid w:val="0045163C"/>
    <w:rsid w:val="0045176A"/>
    <w:rsid w:val="00451AAD"/>
    <w:rsid w:val="00454350"/>
    <w:rsid w:val="00456332"/>
    <w:rsid w:val="00461826"/>
    <w:rsid w:val="004618FD"/>
    <w:rsid w:val="00462330"/>
    <w:rsid w:val="00467CFC"/>
    <w:rsid w:val="00467F67"/>
    <w:rsid w:val="004704AB"/>
    <w:rsid w:val="004770BD"/>
    <w:rsid w:val="00477753"/>
    <w:rsid w:val="004800F9"/>
    <w:rsid w:val="00480255"/>
    <w:rsid w:val="00483F91"/>
    <w:rsid w:val="00485BD0"/>
    <w:rsid w:val="00487977"/>
    <w:rsid w:val="0049134A"/>
    <w:rsid w:val="00492B8E"/>
    <w:rsid w:val="00493C77"/>
    <w:rsid w:val="00496838"/>
    <w:rsid w:val="004974FF"/>
    <w:rsid w:val="004A58CB"/>
    <w:rsid w:val="004B066C"/>
    <w:rsid w:val="004B1795"/>
    <w:rsid w:val="004B3316"/>
    <w:rsid w:val="004B4792"/>
    <w:rsid w:val="004B4D62"/>
    <w:rsid w:val="004B56DD"/>
    <w:rsid w:val="004C020F"/>
    <w:rsid w:val="004C1442"/>
    <w:rsid w:val="004C1AFD"/>
    <w:rsid w:val="004C34F9"/>
    <w:rsid w:val="004C3D46"/>
    <w:rsid w:val="004C496B"/>
    <w:rsid w:val="004C558B"/>
    <w:rsid w:val="004C5971"/>
    <w:rsid w:val="004D2D9E"/>
    <w:rsid w:val="004D3EA6"/>
    <w:rsid w:val="004D63E8"/>
    <w:rsid w:val="004E1817"/>
    <w:rsid w:val="004E37F2"/>
    <w:rsid w:val="004E4229"/>
    <w:rsid w:val="004E42C3"/>
    <w:rsid w:val="004E4783"/>
    <w:rsid w:val="004E6238"/>
    <w:rsid w:val="004F1F88"/>
    <w:rsid w:val="004F20A3"/>
    <w:rsid w:val="004F22B8"/>
    <w:rsid w:val="004F2F32"/>
    <w:rsid w:val="004F36F5"/>
    <w:rsid w:val="004F5BE1"/>
    <w:rsid w:val="004F5F1B"/>
    <w:rsid w:val="004F783F"/>
    <w:rsid w:val="00501ECB"/>
    <w:rsid w:val="00502374"/>
    <w:rsid w:val="005032E5"/>
    <w:rsid w:val="005045BE"/>
    <w:rsid w:val="005060A1"/>
    <w:rsid w:val="00516072"/>
    <w:rsid w:val="00516D4B"/>
    <w:rsid w:val="00520B69"/>
    <w:rsid w:val="00521432"/>
    <w:rsid w:val="005246D5"/>
    <w:rsid w:val="0052647E"/>
    <w:rsid w:val="00531523"/>
    <w:rsid w:val="005332EC"/>
    <w:rsid w:val="005342FC"/>
    <w:rsid w:val="00534418"/>
    <w:rsid w:val="00534DA6"/>
    <w:rsid w:val="005353AB"/>
    <w:rsid w:val="00535C44"/>
    <w:rsid w:val="00535EA8"/>
    <w:rsid w:val="00536144"/>
    <w:rsid w:val="0053783B"/>
    <w:rsid w:val="00540F15"/>
    <w:rsid w:val="00542EAE"/>
    <w:rsid w:val="005438E3"/>
    <w:rsid w:val="00544546"/>
    <w:rsid w:val="00546738"/>
    <w:rsid w:val="005478E3"/>
    <w:rsid w:val="00553F1E"/>
    <w:rsid w:val="005560BC"/>
    <w:rsid w:val="00556FA8"/>
    <w:rsid w:val="005573BE"/>
    <w:rsid w:val="005575B5"/>
    <w:rsid w:val="00560080"/>
    <w:rsid w:val="00560810"/>
    <w:rsid w:val="00560EF4"/>
    <w:rsid w:val="0056518B"/>
    <w:rsid w:val="00565E78"/>
    <w:rsid w:val="005706B6"/>
    <w:rsid w:val="00572700"/>
    <w:rsid w:val="00573F26"/>
    <w:rsid w:val="00574EE1"/>
    <w:rsid w:val="00580468"/>
    <w:rsid w:val="0058196A"/>
    <w:rsid w:val="00582231"/>
    <w:rsid w:val="0058603B"/>
    <w:rsid w:val="00590075"/>
    <w:rsid w:val="0059431B"/>
    <w:rsid w:val="00594922"/>
    <w:rsid w:val="00595603"/>
    <w:rsid w:val="005A1398"/>
    <w:rsid w:val="005A39CC"/>
    <w:rsid w:val="005A4610"/>
    <w:rsid w:val="005A493E"/>
    <w:rsid w:val="005B1F31"/>
    <w:rsid w:val="005B4730"/>
    <w:rsid w:val="005C0F55"/>
    <w:rsid w:val="005D0895"/>
    <w:rsid w:val="005D2023"/>
    <w:rsid w:val="005D3B08"/>
    <w:rsid w:val="005D444D"/>
    <w:rsid w:val="005D5B35"/>
    <w:rsid w:val="005D7801"/>
    <w:rsid w:val="005E05D7"/>
    <w:rsid w:val="005E1183"/>
    <w:rsid w:val="005E162E"/>
    <w:rsid w:val="005E18E9"/>
    <w:rsid w:val="005E41E7"/>
    <w:rsid w:val="005E450F"/>
    <w:rsid w:val="005E68F6"/>
    <w:rsid w:val="005E6A0C"/>
    <w:rsid w:val="005E7289"/>
    <w:rsid w:val="005F1FA4"/>
    <w:rsid w:val="005F2261"/>
    <w:rsid w:val="005F29EA"/>
    <w:rsid w:val="005F418B"/>
    <w:rsid w:val="005F56F0"/>
    <w:rsid w:val="0060077F"/>
    <w:rsid w:val="00600EC8"/>
    <w:rsid w:val="00603B02"/>
    <w:rsid w:val="00606A96"/>
    <w:rsid w:val="00606BC0"/>
    <w:rsid w:val="00611920"/>
    <w:rsid w:val="00613A84"/>
    <w:rsid w:val="00616F30"/>
    <w:rsid w:val="0062298A"/>
    <w:rsid w:val="006233DD"/>
    <w:rsid w:val="0062376B"/>
    <w:rsid w:val="00626514"/>
    <w:rsid w:val="00626589"/>
    <w:rsid w:val="00626701"/>
    <w:rsid w:val="006307BE"/>
    <w:rsid w:val="006339A0"/>
    <w:rsid w:val="006342F1"/>
    <w:rsid w:val="006413A8"/>
    <w:rsid w:val="00642E56"/>
    <w:rsid w:val="0064381A"/>
    <w:rsid w:val="0064568B"/>
    <w:rsid w:val="00651E00"/>
    <w:rsid w:val="00653890"/>
    <w:rsid w:val="00654A0A"/>
    <w:rsid w:val="00660559"/>
    <w:rsid w:val="00660C52"/>
    <w:rsid w:val="00662CA1"/>
    <w:rsid w:val="00663CED"/>
    <w:rsid w:val="006671A5"/>
    <w:rsid w:val="00667970"/>
    <w:rsid w:val="00672CE0"/>
    <w:rsid w:val="00674572"/>
    <w:rsid w:val="00674A80"/>
    <w:rsid w:val="00675DF2"/>
    <w:rsid w:val="00677C61"/>
    <w:rsid w:val="00684116"/>
    <w:rsid w:val="00687763"/>
    <w:rsid w:val="006907DD"/>
    <w:rsid w:val="00692B0D"/>
    <w:rsid w:val="00693E0E"/>
    <w:rsid w:val="006954E4"/>
    <w:rsid w:val="00697114"/>
    <w:rsid w:val="006A11F8"/>
    <w:rsid w:val="006A1AE3"/>
    <w:rsid w:val="006A1CEF"/>
    <w:rsid w:val="006A5815"/>
    <w:rsid w:val="006B1113"/>
    <w:rsid w:val="006B51E2"/>
    <w:rsid w:val="006B613D"/>
    <w:rsid w:val="006B69E9"/>
    <w:rsid w:val="006B7890"/>
    <w:rsid w:val="006C2F76"/>
    <w:rsid w:val="006C30E1"/>
    <w:rsid w:val="006C373B"/>
    <w:rsid w:val="006C4607"/>
    <w:rsid w:val="006D48F1"/>
    <w:rsid w:val="006D67C5"/>
    <w:rsid w:val="006D720E"/>
    <w:rsid w:val="006E0BD4"/>
    <w:rsid w:val="006E2380"/>
    <w:rsid w:val="006E3703"/>
    <w:rsid w:val="006E5A5A"/>
    <w:rsid w:val="006E71FC"/>
    <w:rsid w:val="006E7D54"/>
    <w:rsid w:val="006E7E03"/>
    <w:rsid w:val="006F0318"/>
    <w:rsid w:val="006F100A"/>
    <w:rsid w:val="006F1A2E"/>
    <w:rsid w:val="006F417F"/>
    <w:rsid w:val="006F45BE"/>
    <w:rsid w:val="006F537D"/>
    <w:rsid w:val="006F6534"/>
    <w:rsid w:val="006F76B6"/>
    <w:rsid w:val="006F7E5A"/>
    <w:rsid w:val="007004FC"/>
    <w:rsid w:val="00701FD7"/>
    <w:rsid w:val="0070312B"/>
    <w:rsid w:val="0070401B"/>
    <w:rsid w:val="00704856"/>
    <w:rsid w:val="00705806"/>
    <w:rsid w:val="00705EB0"/>
    <w:rsid w:val="00706670"/>
    <w:rsid w:val="00711728"/>
    <w:rsid w:val="00711756"/>
    <w:rsid w:val="00711F59"/>
    <w:rsid w:val="007128FC"/>
    <w:rsid w:val="00717C10"/>
    <w:rsid w:val="00720E0C"/>
    <w:rsid w:val="0072203E"/>
    <w:rsid w:val="0072417C"/>
    <w:rsid w:val="00731A39"/>
    <w:rsid w:val="00732B5E"/>
    <w:rsid w:val="00733C93"/>
    <w:rsid w:val="00734450"/>
    <w:rsid w:val="007353C2"/>
    <w:rsid w:val="0073590B"/>
    <w:rsid w:val="00744E5B"/>
    <w:rsid w:val="00745F67"/>
    <w:rsid w:val="0075039E"/>
    <w:rsid w:val="00750D21"/>
    <w:rsid w:val="00752D9D"/>
    <w:rsid w:val="0075318A"/>
    <w:rsid w:val="00754784"/>
    <w:rsid w:val="00754922"/>
    <w:rsid w:val="00757C6E"/>
    <w:rsid w:val="00760A5C"/>
    <w:rsid w:val="00762BDA"/>
    <w:rsid w:val="007634EE"/>
    <w:rsid w:val="00767E7B"/>
    <w:rsid w:val="007705DF"/>
    <w:rsid w:val="0077696E"/>
    <w:rsid w:val="00777267"/>
    <w:rsid w:val="007805FD"/>
    <w:rsid w:val="00782D53"/>
    <w:rsid w:val="0078338E"/>
    <w:rsid w:val="00784422"/>
    <w:rsid w:val="00785CE1"/>
    <w:rsid w:val="00786AF9"/>
    <w:rsid w:val="00790B72"/>
    <w:rsid w:val="00792642"/>
    <w:rsid w:val="00792A68"/>
    <w:rsid w:val="007A036B"/>
    <w:rsid w:val="007A0B6B"/>
    <w:rsid w:val="007A2DE9"/>
    <w:rsid w:val="007B1268"/>
    <w:rsid w:val="007B3B54"/>
    <w:rsid w:val="007B3FA0"/>
    <w:rsid w:val="007C0BB0"/>
    <w:rsid w:val="007C0F2C"/>
    <w:rsid w:val="007C2BCC"/>
    <w:rsid w:val="007C30DF"/>
    <w:rsid w:val="007C4EF0"/>
    <w:rsid w:val="007C53A7"/>
    <w:rsid w:val="007C762B"/>
    <w:rsid w:val="007D099D"/>
    <w:rsid w:val="007D1A29"/>
    <w:rsid w:val="007D2C79"/>
    <w:rsid w:val="007D3B32"/>
    <w:rsid w:val="007D58AD"/>
    <w:rsid w:val="007D7A0C"/>
    <w:rsid w:val="007E2664"/>
    <w:rsid w:val="007E329A"/>
    <w:rsid w:val="007E388C"/>
    <w:rsid w:val="007E3ABF"/>
    <w:rsid w:val="007E5BFA"/>
    <w:rsid w:val="007E5F47"/>
    <w:rsid w:val="007E6689"/>
    <w:rsid w:val="007E731C"/>
    <w:rsid w:val="007F0A03"/>
    <w:rsid w:val="007F1808"/>
    <w:rsid w:val="007F6E75"/>
    <w:rsid w:val="007F73C1"/>
    <w:rsid w:val="00801659"/>
    <w:rsid w:val="0080167C"/>
    <w:rsid w:val="008029AD"/>
    <w:rsid w:val="00805589"/>
    <w:rsid w:val="008069F8"/>
    <w:rsid w:val="00810040"/>
    <w:rsid w:val="00810931"/>
    <w:rsid w:val="008114C4"/>
    <w:rsid w:val="00811720"/>
    <w:rsid w:val="008129C4"/>
    <w:rsid w:val="00812E34"/>
    <w:rsid w:val="00814591"/>
    <w:rsid w:val="008156A9"/>
    <w:rsid w:val="0082023A"/>
    <w:rsid w:val="008210AE"/>
    <w:rsid w:val="00821A7A"/>
    <w:rsid w:val="00821A7F"/>
    <w:rsid w:val="00823A75"/>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562BF"/>
    <w:rsid w:val="0086003F"/>
    <w:rsid w:val="00860667"/>
    <w:rsid w:val="00866D15"/>
    <w:rsid w:val="0087003B"/>
    <w:rsid w:val="00870962"/>
    <w:rsid w:val="008709CC"/>
    <w:rsid w:val="008723D8"/>
    <w:rsid w:val="00874930"/>
    <w:rsid w:val="0087510C"/>
    <w:rsid w:val="00875663"/>
    <w:rsid w:val="0088465D"/>
    <w:rsid w:val="008849C8"/>
    <w:rsid w:val="008937FA"/>
    <w:rsid w:val="008968D2"/>
    <w:rsid w:val="0089738E"/>
    <w:rsid w:val="008975EF"/>
    <w:rsid w:val="008A14C8"/>
    <w:rsid w:val="008A25CC"/>
    <w:rsid w:val="008B2E31"/>
    <w:rsid w:val="008B31BA"/>
    <w:rsid w:val="008B373F"/>
    <w:rsid w:val="008B5696"/>
    <w:rsid w:val="008B5FDB"/>
    <w:rsid w:val="008B7AFC"/>
    <w:rsid w:val="008C0196"/>
    <w:rsid w:val="008C0C8D"/>
    <w:rsid w:val="008C1B48"/>
    <w:rsid w:val="008C38DD"/>
    <w:rsid w:val="008C4094"/>
    <w:rsid w:val="008C4F5D"/>
    <w:rsid w:val="008C50F4"/>
    <w:rsid w:val="008C5649"/>
    <w:rsid w:val="008C57A4"/>
    <w:rsid w:val="008C6251"/>
    <w:rsid w:val="008D279B"/>
    <w:rsid w:val="008D3364"/>
    <w:rsid w:val="008D3CC4"/>
    <w:rsid w:val="008D3E3E"/>
    <w:rsid w:val="008E03E9"/>
    <w:rsid w:val="008E0562"/>
    <w:rsid w:val="008E0FD9"/>
    <w:rsid w:val="008E12C0"/>
    <w:rsid w:val="008E17FC"/>
    <w:rsid w:val="008E1A6C"/>
    <w:rsid w:val="008E25C7"/>
    <w:rsid w:val="008E3B57"/>
    <w:rsid w:val="008E44A2"/>
    <w:rsid w:val="008E5CC1"/>
    <w:rsid w:val="008E680C"/>
    <w:rsid w:val="008E697D"/>
    <w:rsid w:val="008F2541"/>
    <w:rsid w:val="00901725"/>
    <w:rsid w:val="00903263"/>
    <w:rsid w:val="00906A21"/>
    <w:rsid w:val="00907095"/>
    <w:rsid w:val="0090731C"/>
    <w:rsid w:val="009079C3"/>
    <w:rsid w:val="00910462"/>
    <w:rsid w:val="0091134D"/>
    <w:rsid w:val="00914029"/>
    <w:rsid w:val="009148D9"/>
    <w:rsid w:val="00915AB1"/>
    <w:rsid w:val="009162A4"/>
    <w:rsid w:val="00917532"/>
    <w:rsid w:val="0092170B"/>
    <w:rsid w:val="009235BA"/>
    <w:rsid w:val="00924023"/>
    <w:rsid w:val="00924CE2"/>
    <w:rsid w:val="0092501B"/>
    <w:rsid w:val="00925162"/>
    <w:rsid w:val="00925B9F"/>
    <w:rsid w:val="009263D1"/>
    <w:rsid w:val="00931AED"/>
    <w:rsid w:val="0093570F"/>
    <w:rsid w:val="00941F35"/>
    <w:rsid w:val="009455A2"/>
    <w:rsid w:val="009476A3"/>
    <w:rsid w:val="009510DE"/>
    <w:rsid w:val="0095126F"/>
    <w:rsid w:val="00951757"/>
    <w:rsid w:val="00952580"/>
    <w:rsid w:val="0095334F"/>
    <w:rsid w:val="009548EF"/>
    <w:rsid w:val="009569FF"/>
    <w:rsid w:val="009604F7"/>
    <w:rsid w:val="00965897"/>
    <w:rsid w:val="00966CA5"/>
    <w:rsid w:val="00966E56"/>
    <w:rsid w:val="0096765C"/>
    <w:rsid w:val="009723E7"/>
    <w:rsid w:val="009727E4"/>
    <w:rsid w:val="00977658"/>
    <w:rsid w:val="00983677"/>
    <w:rsid w:val="009841DF"/>
    <w:rsid w:val="0098765C"/>
    <w:rsid w:val="0098768D"/>
    <w:rsid w:val="00990176"/>
    <w:rsid w:val="00990B4F"/>
    <w:rsid w:val="009934C5"/>
    <w:rsid w:val="00994C0F"/>
    <w:rsid w:val="009A3804"/>
    <w:rsid w:val="009A494A"/>
    <w:rsid w:val="009A6537"/>
    <w:rsid w:val="009B1134"/>
    <w:rsid w:val="009B22D7"/>
    <w:rsid w:val="009B72ED"/>
    <w:rsid w:val="009C1D0D"/>
    <w:rsid w:val="009C238B"/>
    <w:rsid w:val="009C2E8F"/>
    <w:rsid w:val="009C43F8"/>
    <w:rsid w:val="009C5241"/>
    <w:rsid w:val="009C6DEB"/>
    <w:rsid w:val="009C72F5"/>
    <w:rsid w:val="009D5EF2"/>
    <w:rsid w:val="009D6504"/>
    <w:rsid w:val="009E12D7"/>
    <w:rsid w:val="009E1C97"/>
    <w:rsid w:val="009E4171"/>
    <w:rsid w:val="009E444E"/>
    <w:rsid w:val="009E49A2"/>
    <w:rsid w:val="009E63CD"/>
    <w:rsid w:val="009E661A"/>
    <w:rsid w:val="009E7D58"/>
    <w:rsid w:val="009F160E"/>
    <w:rsid w:val="009F7578"/>
    <w:rsid w:val="009F78F5"/>
    <w:rsid w:val="00A00FEF"/>
    <w:rsid w:val="00A01A47"/>
    <w:rsid w:val="00A01A6A"/>
    <w:rsid w:val="00A05C18"/>
    <w:rsid w:val="00A06781"/>
    <w:rsid w:val="00A074C3"/>
    <w:rsid w:val="00A1509C"/>
    <w:rsid w:val="00A155CE"/>
    <w:rsid w:val="00A163DA"/>
    <w:rsid w:val="00A16C18"/>
    <w:rsid w:val="00A20352"/>
    <w:rsid w:val="00A209D5"/>
    <w:rsid w:val="00A21D32"/>
    <w:rsid w:val="00A249B9"/>
    <w:rsid w:val="00A25719"/>
    <w:rsid w:val="00A3382E"/>
    <w:rsid w:val="00A34260"/>
    <w:rsid w:val="00A35213"/>
    <w:rsid w:val="00A35B31"/>
    <w:rsid w:val="00A3670E"/>
    <w:rsid w:val="00A37482"/>
    <w:rsid w:val="00A37CED"/>
    <w:rsid w:val="00A43D3A"/>
    <w:rsid w:val="00A44CDD"/>
    <w:rsid w:val="00A46236"/>
    <w:rsid w:val="00A47E37"/>
    <w:rsid w:val="00A5077A"/>
    <w:rsid w:val="00A52227"/>
    <w:rsid w:val="00A52846"/>
    <w:rsid w:val="00A541A5"/>
    <w:rsid w:val="00A55435"/>
    <w:rsid w:val="00A61044"/>
    <w:rsid w:val="00A626C3"/>
    <w:rsid w:val="00A63146"/>
    <w:rsid w:val="00A637C5"/>
    <w:rsid w:val="00A70285"/>
    <w:rsid w:val="00A708B6"/>
    <w:rsid w:val="00A70CFD"/>
    <w:rsid w:val="00A72A0B"/>
    <w:rsid w:val="00A72F74"/>
    <w:rsid w:val="00A74B9C"/>
    <w:rsid w:val="00A754D5"/>
    <w:rsid w:val="00A8152B"/>
    <w:rsid w:val="00A81E42"/>
    <w:rsid w:val="00A864FE"/>
    <w:rsid w:val="00A8665D"/>
    <w:rsid w:val="00A86F41"/>
    <w:rsid w:val="00A87D04"/>
    <w:rsid w:val="00A900D1"/>
    <w:rsid w:val="00A91917"/>
    <w:rsid w:val="00A928FB"/>
    <w:rsid w:val="00A950C5"/>
    <w:rsid w:val="00A958DB"/>
    <w:rsid w:val="00A95C54"/>
    <w:rsid w:val="00A9687B"/>
    <w:rsid w:val="00AA1D25"/>
    <w:rsid w:val="00AA4807"/>
    <w:rsid w:val="00AA6615"/>
    <w:rsid w:val="00AA6866"/>
    <w:rsid w:val="00AA6CD5"/>
    <w:rsid w:val="00AB03B5"/>
    <w:rsid w:val="00AB04BB"/>
    <w:rsid w:val="00AB2B1A"/>
    <w:rsid w:val="00AB397F"/>
    <w:rsid w:val="00AB5832"/>
    <w:rsid w:val="00AB6237"/>
    <w:rsid w:val="00AC469E"/>
    <w:rsid w:val="00AC51F2"/>
    <w:rsid w:val="00AC67EC"/>
    <w:rsid w:val="00AC7BAF"/>
    <w:rsid w:val="00AD3269"/>
    <w:rsid w:val="00AD4451"/>
    <w:rsid w:val="00AE12EA"/>
    <w:rsid w:val="00AE3067"/>
    <w:rsid w:val="00AE3368"/>
    <w:rsid w:val="00AE4C3A"/>
    <w:rsid w:val="00AE5066"/>
    <w:rsid w:val="00AE53B0"/>
    <w:rsid w:val="00AE5E24"/>
    <w:rsid w:val="00AE61B7"/>
    <w:rsid w:val="00AE6CBA"/>
    <w:rsid w:val="00AE7980"/>
    <w:rsid w:val="00AE79AD"/>
    <w:rsid w:val="00AF01E7"/>
    <w:rsid w:val="00AF0416"/>
    <w:rsid w:val="00AF19D3"/>
    <w:rsid w:val="00AF35E4"/>
    <w:rsid w:val="00AF544C"/>
    <w:rsid w:val="00AF57C4"/>
    <w:rsid w:val="00AF5CDE"/>
    <w:rsid w:val="00AF6B25"/>
    <w:rsid w:val="00B00C03"/>
    <w:rsid w:val="00B01C9A"/>
    <w:rsid w:val="00B03A5E"/>
    <w:rsid w:val="00B079B2"/>
    <w:rsid w:val="00B11006"/>
    <w:rsid w:val="00B11A57"/>
    <w:rsid w:val="00B12D2C"/>
    <w:rsid w:val="00B179D9"/>
    <w:rsid w:val="00B211C3"/>
    <w:rsid w:val="00B228F1"/>
    <w:rsid w:val="00B232E2"/>
    <w:rsid w:val="00B25597"/>
    <w:rsid w:val="00B260BA"/>
    <w:rsid w:val="00B26600"/>
    <w:rsid w:val="00B267B9"/>
    <w:rsid w:val="00B31B7A"/>
    <w:rsid w:val="00B33E09"/>
    <w:rsid w:val="00B350B8"/>
    <w:rsid w:val="00B376E2"/>
    <w:rsid w:val="00B41746"/>
    <w:rsid w:val="00B42AB7"/>
    <w:rsid w:val="00B44F20"/>
    <w:rsid w:val="00B460FC"/>
    <w:rsid w:val="00B46F2D"/>
    <w:rsid w:val="00B470FE"/>
    <w:rsid w:val="00B50708"/>
    <w:rsid w:val="00B50C68"/>
    <w:rsid w:val="00B51293"/>
    <w:rsid w:val="00B52B1E"/>
    <w:rsid w:val="00B533B9"/>
    <w:rsid w:val="00B55481"/>
    <w:rsid w:val="00B56C32"/>
    <w:rsid w:val="00B57ACF"/>
    <w:rsid w:val="00B6423F"/>
    <w:rsid w:val="00B64BB1"/>
    <w:rsid w:val="00B666CD"/>
    <w:rsid w:val="00B67717"/>
    <w:rsid w:val="00B73166"/>
    <w:rsid w:val="00B83098"/>
    <w:rsid w:val="00B8426C"/>
    <w:rsid w:val="00B845A1"/>
    <w:rsid w:val="00B85441"/>
    <w:rsid w:val="00B85DF5"/>
    <w:rsid w:val="00B9139B"/>
    <w:rsid w:val="00B9172C"/>
    <w:rsid w:val="00B91B8D"/>
    <w:rsid w:val="00B9385A"/>
    <w:rsid w:val="00B939C8"/>
    <w:rsid w:val="00B94375"/>
    <w:rsid w:val="00B94E90"/>
    <w:rsid w:val="00BA11C8"/>
    <w:rsid w:val="00BA3C4F"/>
    <w:rsid w:val="00BA5318"/>
    <w:rsid w:val="00BA7AAE"/>
    <w:rsid w:val="00BB0A82"/>
    <w:rsid w:val="00BB44C2"/>
    <w:rsid w:val="00BB79E0"/>
    <w:rsid w:val="00BB7C94"/>
    <w:rsid w:val="00BC0A9D"/>
    <w:rsid w:val="00BC401D"/>
    <w:rsid w:val="00BD2657"/>
    <w:rsid w:val="00BD27C9"/>
    <w:rsid w:val="00BD28D4"/>
    <w:rsid w:val="00BD40D7"/>
    <w:rsid w:val="00BE0778"/>
    <w:rsid w:val="00BE1916"/>
    <w:rsid w:val="00BE2643"/>
    <w:rsid w:val="00BE4CD9"/>
    <w:rsid w:val="00BE5094"/>
    <w:rsid w:val="00BE7EE1"/>
    <w:rsid w:val="00BF0A41"/>
    <w:rsid w:val="00BF0B1F"/>
    <w:rsid w:val="00BF3007"/>
    <w:rsid w:val="00BF40ED"/>
    <w:rsid w:val="00BF4F13"/>
    <w:rsid w:val="00BF5BC2"/>
    <w:rsid w:val="00C0144E"/>
    <w:rsid w:val="00C02911"/>
    <w:rsid w:val="00C03181"/>
    <w:rsid w:val="00C05A4B"/>
    <w:rsid w:val="00C1133D"/>
    <w:rsid w:val="00C20997"/>
    <w:rsid w:val="00C23101"/>
    <w:rsid w:val="00C24AE2"/>
    <w:rsid w:val="00C27A08"/>
    <w:rsid w:val="00C30BEC"/>
    <w:rsid w:val="00C31312"/>
    <w:rsid w:val="00C31E36"/>
    <w:rsid w:val="00C324CA"/>
    <w:rsid w:val="00C326C6"/>
    <w:rsid w:val="00C33E2D"/>
    <w:rsid w:val="00C34209"/>
    <w:rsid w:val="00C35295"/>
    <w:rsid w:val="00C3587A"/>
    <w:rsid w:val="00C36ADD"/>
    <w:rsid w:val="00C36E74"/>
    <w:rsid w:val="00C40595"/>
    <w:rsid w:val="00C41621"/>
    <w:rsid w:val="00C41BA3"/>
    <w:rsid w:val="00C431DD"/>
    <w:rsid w:val="00C449FA"/>
    <w:rsid w:val="00C460CB"/>
    <w:rsid w:val="00C46997"/>
    <w:rsid w:val="00C46B4F"/>
    <w:rsid w:val="00C471F0"/>
    <w:rsid w:val="00C474F0"/>
    <w:rsid w:val="00C53256"/>
    <w:rsid w:val="00C5384F"/>
    <w:rsid w:val="00C538B5"/>
    <w:rsid w:val="00C56964"/>
    <w:rsid w:val="00C60010"/>
    <w:rsid w:val="00C62EFD"/>
    <w:rsid w:val="00C63293"/>
    <w:rsid w:val="00C632F0"/>
    <w:rsid w:val="00C6563F"/>
    <w:rsid w:val="00C656D5"/>
    <w:rsid w:val="00C663A0"/>
    <w:rsid w:val="00C67103"/>
    <w:rsid w:val="00C7126F"/>
    <w:rsid w:val="00C71BB9"/>
    <w:rsid w:val="00C72731"/>
    <w:rsid w:val="00C75D15"/>
    <w:rsid w:val="00C7612B"/>
    <w:rsid w:val="00C76FFD"/>
    <w:rsid w:val="00C81F42"/>
    <w:rsid w:val="00C842C4"/>
    <w:rsid w:val="00C874C0"/>
    <w:rsid w:val="00C877C8"/>
    <w:rsid w:val="00C87F70"/>
    <w:rsid w:val="00C91534"/>
    <w:rsid w:val="00C9282A"/>
    <w:rsid w:val="00C94C28"/>
    <w:rsid w:val="00C972B0"/>
    <w:rsid w:val="00CA28A9"/>
    <w:rsid w:val="00CA3261"/>
    <w:rsid w:val="00CA604C"/>
    <w:rsid w:val="00CA6CA0"/>
    <w:rsid w:val="00CB00B6"/>
    <w:rsid w:val="00CB0247"/>
    <w:rsid w:val="00CB2C6E"/>
    <w:rsid w:val="00CB3440"/>
    <w:rsid w:val="00CB43CE"/>
    <w:rsid w:val="00CC1692"/>
    <w:rsid w:val="00CC2240"/>
    <w:rsid w:val="00CC31F4"/>
    <w:rsid w:val="00CC5B14"/>
    <w:rsid w:val="00CC5D9C"/>
    <w:rsid w:val="00CD063B"/>
    <w:rsid w:val="00CD138B"/>
    <w:rsid w:val="00CD3E31"/>
    <w:rsid w:val="00CD63FB"/>
    <w:rsid w:val="00CD74A3"/>
    <w:rsid w:val="00CD7E5D"/>
    <w:rsid w:val="00CE0527"/>
    <w:rsid w:val="00CE0F16"/>
    <w:rsid w:val="00CE105C"/>
    <w:rsid w:val="00CE2AB9"/>
    <w:rsid w:val="00CE4B18"/>
    <w:rsid w:val="00CE5B23"/>
    <w:rsid w:val="00CE67C2"/>
    <w:rsid w:val="00CE6CD3"/>
    <w:rsid w:val="00CF07E3"/>
    <w:rsid w:val="00CF2038"/>
    <w:rsid w:val="00CF2A49"/>
    <w:rsid w:val="00CF2BD9"/>
    <w:rsid w:val="00CF3CE7"/>
    <w:rsid w:val="00CF6D8B"/>
    <w:rsid w:val="00CF70AD"/>
    <w:rsid w:val="00CF7729"/>
    <w:rsid w:val="00D00059"/>
    <w:rsid w:val="00D01737"/>
    <w:rsid w:val="00D040B3"/>
    <w:rsid w:val="00D107FA"/>
    <w:rsid w:val="00D10F17"/>
    <w:rsid w:val="00D12275"/>
    <w:rsid w:val="00D12766"/>
    <w:rsid w:val="00D14186"/>
    <w:rsid w:val="00D2084F"/>
    <w:rsid w:val="00D20FF4"/>
    <w:rsid w:val="00D211BA"/>
    <w:rsid w:val="00D24D2C"/>
    <w:rsid w:val="00D31D81"/>
    <w:rsid w:val="00D35881"/>
    <w:rsid w:val="00D3726E"/>
    <w:rsid w:val="00D40825"/>
    <w:rsid w:val="00D41D8D"/>
    <w:rsid w:val="00D47186"/>
    <w:rsid w:val="00D50253"/>
    <w:rsid w:val="00D51DB0"/>
    <w:rsid w:val="00D56D9F"/>
    <w:rsid w:val="00D63E7E"/>
    <w:rsid w:val="00D64DD8"/>
    <w:rsid w:val="00D6720D"/>
    <w:rsid w:val="00D71109"/>
    <w:rsid w:val="00D75BF4"/>
    <w:rsid w:val="00D8020A"/>
    <w:rsid w:val="00D81043"/>
    <w:rsid w:val="00D8355C"/>
    <w:rsid w:val="00D84333"/>
    <w:rsid w:val="00D8552F"/>
    <w:rsid w:val="00D93EFF"/>
    <w:rsid w:val="00D9434C"/>
    <w:rsid w:val="00D94871"/>
    <w:rsid w:val="00D94EE5"/>
    <w:rsid w:val="00D9596D"/>
    <w:rsid w:val="00DA28C2"/>
    <w:rsid w:val="00DA2C1D"/>
    <w:rsid w:val="00DA7DA5"/>
    <w:rsid w:val="00DB00B9"/>
    <w:rsid w:val="00DB073B"/>
    <w:rsid w:val="00DB2842"/>
    <w:rsid w:val="00DB2DC8"/>
    <w:rsid w:val="00DB2FEE"/>
    <w:rsid w:val="00DB5CF2"/>
    <w:rsid w:val="00DB7398"/>
    <w:rsid w:val="00DB78F0"/>
    <w:rsid w:val="00DC0CEA"/>
    <w:rsid w:val="00DC293C"/>
    <w:rsid w:val="00DC2D3F"/>
    <w:rsid w:val="00DC2E43"/>
    <w:rsid w:val="00DC3632"/>
    <w:rsid w:val="00DD095C"/>
    <w:rsid w:val="00DD1020"/>
    <w:rsid w:val="00DD1330"/>
    <w:rsid w:val="00DD2880"/>
    <w:rsid w:val="00DD4BA8"/>
    <w:rsid w:val="00DD643A"/>
    <w:rsid w:val="00DE0B83"/>
    <w:rsid w:val="00DE1A81"/>
    <w:rsid w:val="00DE1BA0"/>
    <w:rsid w:val="00DE1C13"/>
    <w:rsid w:val="00DE1C9F"/>
    <w:rsid w:val="00DE32EB"/>
    <w:rsid w:val="00DE3618"/>
    <w:rsid w:val="00DE4E10"/>
    <w:rsid w:val="00DE5A3F"/>
    <w:rsid w:val="00DE64DA"/>
    <w:rsid w:val="00DE78D8"/>
    <w:rsid w:val="00DF672E"/>
    <w:rsid w:val="00DF676D"/>
    <w:rsid w:val="00E008FB"/>
    <w:rsid w:val="00E02ABF"/>
    <w:rsid w:val="00E055F5"/>
    <w:rsid w:val="00E10833"/>
    <w:rsid w:val="00E10C3A"/>
    <w:rsid w:val="00E10CC1"/>
    <w:rsid w:val="00E14128"/>
    <w:rsid w:val="00E14995"/>
    <w:rsid w:val="00E14F2A"/>
    <w:rsid w:val="00E17900"/>
    <w:rsid w:val="00E179CD"/>
    <w:rsid w:val="00E22CB3"/>
    <w:rsid w:val="00E23E8D"/>
    <w:rsid w:val="00E25B0F"/>
    <w:rsid w:val="00E26010"/>
    <w:rsid w:val="00E37F98"/>
    <w:rsid w:val="00E40578"/>
    <w:rsid w:val="00E40979"/>
    <w:rsid w:val="00E40AA5"/>
    <w:rsid w:val="00E44632"/>
    <w:rsid w:val="00E45299"/>
    <w:rsid w:val="00E46559"/>
    <w:rsid w:val="00E4659A"/>
    <w:rsid w:val="00E4687C"/>
    <w:rsid w:val="00E53D6F"/>
    <w:rsid w:val="00E5465F"/>
    <w:rsid w:val="00E56447"/>
    <w:rsid w:val="00E5700B"/>
    <w:rsid w:val="00E609D9"/>
    <w:rsid w:val="00E6670C"/>
    <w:rsid w:val="00E714EA"/>
    <w:rsid w:val="00E71E17"/>
    <w:rsid w:val="00E776E8"/>
    <w:rsid w:val="00E8298C"/>
    <w:rsid w:val="00E8671A"/>
    <w:rsid w:val="00E86F21"/>
    <w:rsid w:val="00E915D1"/>
    <w:rsid w:val="00E9202A"/>
    <w:rsid w:val="00E92C1F"/>
    <w:rsid w:val="00E92DFC"/>
    <w:rsid w:val="00E93B8A"/>
    <w:rsid w:val="00E955C1"/>
    <w:rsid w:val="00E95D4B"/>
    <w:rsid w:val="00E97E05"/>
    <w:rsid w:val="00E97FC5"/>
    <w:rsid w:val="00EA14D4"/>
    <w:rsid w:val="00EA1AD5"/>
    <w:rsid w:val="00EA63BF"/>
    <w:rsid w:val="00EB0428"/>
    <w:rsid w:val="00EB199F"/>
    <w:rsid w:val="00EB38E8"/>
    <w:rsid w:val="00EB434F"/>
    <w:rsid w:val="00EB47BB"/>
    <w:rsid w:val="00EC02C7"/>
    <w:rsid w:val="00EC09F3"/>
    <w:rsid w:val="00EC23F7"/>
    <w:rsid w:val="00EC2B1D"/>
    <w:rsid w:val="00EC4BD8"/>
    <w:rsid w:val="00EC5DC5"/>
    <w:rsid w:val="00EC63EB"/>
    <w:rsid w:val="00ED0358"/>
    <w:rsid w:val="00ED1823"/>
    <w:rsid w:val="00ED2780"/>
    <w:rsid w:val="00ED412F"/>
    <w:rsid w:val="00ED43F3"/>
    <w:rsid w:val="00ED67ED"/>
    <w:rsid w:val="00ED73F4"/>
    <w:rsid w:val="00ED7886"/>
    <w:rsid w:val="00ED7A20"/>
    <w:rsid w:val="00ED7E1F"/>
    <w:rsid w:val="00EE2AAA"/>
    <w:rsid w:val="00EE364E"/>
    <w:rsid w:val="00EE7426"/>
    <w:rsid w:val="00EF0EB7"/>
    <w:rsid w:val="00EF1174"/>
    <w:rsid w:val="00EF166C"/>
    <w:rsid w:val="00EF36B2"/>
    <w:rsid w:val="00EF3825"/>
    <w:rsid w:val="00EF55C9"/>
    <w:rsid w:val="00EF5696"/>
    <w:rsid w:val="00F01A58"/>
    <w:rsid w:val="00F05BB4"/>
    <w:rsid w:val="00F123F9"/>
    <w:rsid w:val="00F1246B"/>
    <w:rsid w:val="00F15649"/>
    <w:rsid w:val="00F201EC"/>
    <w:rsid w:val="00F20478"/>
    <w:rsid w:val="00F208A9"/>
    <w:rsid w:val="00F22F01"/>
    <w:rsid w:val="00F33D4F"/>
    <w:rsid w:val="00F36B19"/>
    <w:rsid w:val="00F41D75"/>
    <w:rsid w:val="00F42A0A"/>
    <w:rsid w:val="00F4369B"/>
    <w:rsid w:val="00F442B5"/>
    <w:rsid w:val="00F4446D"/>
    <w:rsid w:val="00F44D8A"/>
    <w:rsid w:val="00F46466"/>
    <w:rsid w:val="00F47740"/>
    <w:rsid w:val="00F5139D"/>
    <w:rsid w:val="00F530A4"/>
    <w:rsid w:val="00F569A9"/>
    <w:rsid w:val="00F6209C"/>
    <w:rsid w:val="00F63D66"/>
    <w:rsid w:val="00F63DAC"/>
    <w:rsid w:val="00F71B3C"/>
    <w:rsid w:val="00F72815"/>
    <w:rsid w:val="00F73A9F"/>
    <w:rsid w:val="00F7454F"/>
    <w:rsid w:val="00F77988"/>
    <w:rsid w:val="00F77F48"/>
    <w:rsid w:val="00F80062"/>
    <w:rsid w:val="00F801DF"/>
    <w:rsid w:val="00F80967"/>
    <w:rsid w:val="00F87F5F"/>
    <w:rsid w:val="00F92643"/>
    <w:rsid w:val="00F92C42"/>
    <w:rsid w:val="00FA036C"/>
    <w:rsid w:val="00FA0758"/>
    <w:rsid w:val="00FA3CF6"/>
    <w:rsid w:val="00FA49BB"/>
    <w:rsid w:val="00FB22F8"/>
    <w:rsid w:val="00FB30F1"/>
    <w:rsid w:val="00FB3399"/>
    <w:rsid w:val="00FB3F6E"/>
    <w:rsid w:val="00FB4812"/>
    <w:rsid w:val="00FB53E7"/>
    <w:rsid w:val="00FB5D12"/>
    <w:rsid w:val="00FC0E52"/>
    <w:rsid w:val="00FC7175"/>
    <w:rsid w:val="00FD05E9"/>
    <w:rsid w:val="00FD2A8A"/>
    <w:rsid w:val="00FE0000"/>
    <w:rsid w:val="00FE030B"/>
    <w:rsid w:val="00FE0DB1"/>
    <w:rsid w:val="00FE1598"/>
    <w:rsid w:val="00FE4E86"/>
    <w:rsid w:val="00FE51F8"/>
    <w:rsid w:val="00FE6DBD"/>
    <w:rsid w:val="00FE7BF9"/>
    <w:rsid w:val="00FF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uiPriority w:val="99"/>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s>
</file>

<file path=word/webSettings.xml><?xml version="1.0" encoding="utf-8"?>
<w:webSettings xmlns:r="http://schemas.openxmlformats.org/officeDocument/2006/relationships" xmlns:w="http://schemas.openxmlformats.org/wordprocessingml/2006/main">
  <w:divs>
    <w:div w:id="5135071">
      <w:bodyDiv w:val="1"/>
      <w:marLeft w:val="0"/>
      <w:marRight w:val="0"/>
      <w:marTop w:val="0"/>
      <w:marBottom w:val="0"/>
      <w:divBdr>
        <w:top w:val="none" w:sz="0" w:space="0" w:color="auto"/>
        <w:left w:val="none" w:sz="0" w:space="0" w:color="auto"/>
        <w:bottom w:val="none" w:sz="0" w:space="0" w:color="auto"/>
        <w:right w:val="none" w:sz="0" w:space="0" w:color="auto"/>
      </w:divBdr>
    </w:div>
    <w:div w:id="1363818768">
      <w:marLeft w:val="0"/>
      <w:marRight w:val="0"/>
      <w:marTop w:val="0"/>
      <w:marBottom w:val="0"/>
      <w:divBdr>
        <w:top w:val="none" w:sz="0" w:space="0" w:color="auto"/>
        <w:left w:val="none" w:sz="0" w:space="0" w:color="auto"/>
        <w:bottom w:val="none" w:sz="0" w:space="0" w:color="auto"/>
        <w:right w:val="none" w:sz="0" w:space="0" w:color="auto"/>
      </w:divBdr>
    </w:div>
    <w:div w:id="1363818769">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363818771">
      <w:marLeft w:val="30"/>
      <w:marRight w:val="30"/>
      <w:marTop w:val="60"/>
      <w:marBottom w:val="60"/>
      <w:divBdr>
        <w:top w:val="none" w:sz="0" w:space="0" w:color="auto"/>
        <w:left w:val="none" w:sz="0" w:space="0" w:color="auto"/>
        <w:bottom w:val="none" w:sz="0" w:space="0" w:color="auto"/>
        <w:right w:val="none" w:sz="0" w:space="0" w:color="auto"/>
      </w:divBdr>
      <w:divsChild>
        <w:div w:id="1363818774">
          <w:marLeft w:val="0"/>
          <w:marRight w:val="0"/>
          <w:marTop w:val="240"/>
          <w:marBottom w:val="0"/>
          <w:divBdr>
            <w:top w:val="none" w:sz="0" w:space="0" w:color="auto"/>
            <w:left w:val="none" w:sz="0" w:space="0" w:color="auto"/>
            <w:bottom w:val="none" w:sz="0" w:space="0" w:color="auto"/>
            <w:right w:val="none" w:sz="0" w:space="0" w:color="auto"/>
          </w:divBdr>
        </w:div>
      </w:divsChild>
    </w:div>
    <w:div w:id="1363818773">
      <w:marLeft w:val="30"/>
      <w:marRight w:val="30"/>
      <w:marTop w:val="60"/>
      <w:marBottom w:val="60"/>
      <w:divBdr>
        <w:top w:val="none" w:sz="0" w:space="0" w:color="auto"/>
        <w:left w:val="none" w:sz="0" w:space="0" w:color="auto"/>
        <w:bottom w:val="none" w:sz="0" w:space="0" w:color="auto"/>
        <w:right w:val="none" w:sz="0" w:space="0" w:color="auto"/>
      </w:divBdr>
      <w:divsChild>
        <w:div w:id="13638187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6DB02-C7D1-4564-81FB-4E0C1F3C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sākotnējās ietekmes novērtējuma ziņojums (anotācija)</vt:lpstr>
    </vt:vector>
  </TitlesOfParts>
  <Manager>Helena.Rimsa@varam.gov.lv</Manager>
  <Company>Vides aizsardzības un reģionālās attīstības ministrija</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sākotnējās ietekmes novērtējuma ziņojums (anotācija)</dc:title>
  <dc:subject>Ministru kabineta noteikumu projekta sākotnējās ietekmes ziņojums</dc:subject>
  <dc:creator>Helena.Rimsa@varam.gov.lv</dc:creator>
  <cp:lastModifiedBy>larisat</cp:lastModifiedBy>
  <cp:revision>4</cp:revision>
  <cp:lastPrinted>2012-09-06T13:14:00Z</cp:lastPrinted>
  <dcterms:created xsi:type="dcterms:W3CDTF">2014-12-09T07:57:00Z</dcterms:created>
  <dcterms:modified xsi:type="dcterms:W3CDTF">2014-12-22T11:26:00Z</dcterms:modified>
  <cp:category>Vides politika</cp:category>
</cp:coreProperties>
</file>