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AA4" w:rsidRPr="00C73FCF" w:rsidRDefault="004D1063" w:rsidP="009E2AA4">
      <w:pPr>
        <w:pStyle w:val="Header"/>
        <w:jc w:val="center"/>
        <w:rPr>
          <w:b/>
          <w:sz w:val="26"/>
          <w:szCs w:val="26"/>
        </w:rPr>
      </w:pPr>
      <w:r>
        <w:rPr>
          <w:b/>
          <w:bCs/>
          <w:sz w:val="26"/>
          <w:szCs w:val="26"/>
        </w:rPr>
        <w:t>M</w:t>
      </w:r>
      <w:r w:rsidR="009E2AA4" w:rsidRPr="00C73FCF">
        <w:rPr>
          <w:b/>
          <w:bCs/>
          <w:sz w:val="26"/>
          <w:szCs w:val="26"/>
        </w:rPr>
        <w:t>ini</w:t>
      </w:r>
      <w:r w:rsidR="00051D8A" w:rsidRPr="00C73FCF">
        <w:rPr>
          <w:b/>
          <w:bCs/>
          <w:sz w:val="26"/>
          <w:szCs w:val="26"/>
        </w:rPr>
        <w:t>stru kabineta noteikumu projekta</w:t>
      </w:r>
      <w:r w:rsidR="009E2AA4" w:rsidRPr="00C73FCF">
        <w:rPr>
          <w:b/>
          <w:bCs/>
          <w:sz w:val="26"/>
          <w:szCs w:val="26"/>
        </w:rPr>
        <w:t xml:space="preserve"> </w:t>
      </w:r>
      <w:r w:rsidR="007014A3" w:rsidRPr="00C73FCF">
        <w:rPr>
          <w:b/>
          <w:bCs/>
          <w:sz w:val="26"/>
          <w:szCs w:val="26"/>
        </w:rPr>
        <w:t xml:space="preserve">„Noteikumi par kritērijiem un kārtību valsts budžeta dotācijas piešķiršanai pašvaldībām Eiropas Savienības struktūrfondu un Kohēzijas fonda </w:t>
      </w:r>
      <w:r w:rsidR="007014A3" w:rsidRPr="00C73FCF">
        <w:rPr>
          <w:b/>
          <w:sz w:val="26"/>
          <w:szCs w:val="26"/>
        </w:rPr>
        <w:t>2014.–2020.gada plānošanas perioda</w:t>
      </w:r>
      <w:r w:rsidR="007014A3" w:rsidRPr="00C73FCF">
        <w:rPr>
          <w:sz w:val="26"/>
          <w:szCs w:val="26"/>
        </w:rPr>
        <w:t xml:space="preserve"> </w:t>
      </w:r>
      <w:r w:rsidR="007014A3" w:rsidRPr="00C73FCF">
        <w:rPr>
          <w:b/>
          <w:bCs/>
          <w:sz w:val="26"/>
          <w:szCs w:val="26"/>
        </w:rPr>
        <w:t>līdzfinansēto projektu īstenošanai</w:t>
      </w:r>
      <w:r w:rsidR="007014A3" w:rsidRPr="00C73FCF">
        <w:rPr>
          <w:b/>
          <w:sz w:val="26"/>
          <w:szCs w:val="26"/>
        </w:rPr>
        <w:t>”</w:t>
      </w:r>
      <w:r w:rsidR="009E2AA4" w:rsidRPr="00C73FCF">
        <w:rPr>
          <w:b/>
          <w:sz w:val="26"/>
          <w:szCs w:val="26"/>
        </w:rPr>
        <w:t xml:space="preserve"> </w:t>
      </w:r>
      <w:r w:rsidR="007014A3" w:rsidRPr="00C73FCF">
        <w:rPr>
          <w:b/>
          <w:sz w:val="26"/>
          <w:szCs w:val="26"/>
        </w:rPr>
        <w:t xml:space="preserve">sākotnējās </w:t>
      </w:r>
      <w:r w:rsidR="009E2AA4" w:rsidRPr="00C73FCF">
        <w:rPr>
          <w:b/>
          <w:sz w:val="26"/>
          <w:szCs w:val="26"/>
        </w:rPr>
        <w:t>ietekmes novērtējuma ziņojums (anotācija)</w:t>
      </w:r>
    </w:p>
    <w:p w:rsidR="00262000" w:rsidRPr="00C73FCF" w:rsidRDefault="00262000" w:rsidP="009E2AA4">
      <w:pPr>
        <w:jc w:val="center"/>
        <w:outlineLvl w:val="3"/>
        <w:rPr>
          <w:b/>
          <w:bCs/>
          <w:sz w:val="26"/>
          <w:szCs w:val="26"/>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430"/>
        <w:gridCol w:w="1657"/>
        <w:gridCol w:w="7384"/>
      </w:tblGrid>
      <w:tr w:rsidR="009E2AA4" w:rsidRPr="00C73FCF" w:rsidTr="005C6F23">
        <w:tc>
          <w:tcPr>
            <w:tcW w:w="5000" w:type="pct"/>
            <w:gridSpan w:val="3"/>
            <w:tcBorders>
              <w:top w:val="single" w:sz="6" w:space="0" w:color="auto"/>
              <w:left w:val="single" w:sz="6" w:space="0" w:color="auto"/>
              <w:bottom w:val="outset" w:sz="6" w:space="0" w:color="000000"/>
              <w:right w:val="single" w:sz="6" w:space="0" w:color="auto"/>
            </w:tcBorders>
            <w:vAlign w:val="center"/>
          </w:tcPr>
          <w:p w:rsidR="009E2AA4" w:rsidRPr="00C73FCF" w:rsidRDefault="009E2AA4" w:rsidP="0022311E">
            <w:pPr>
              <w:jc w:val="center"/>
              <w:rPr>
                <w:b/>
                <w:bCs/>
                <w:sz w:val="26"/>
                <w:szCs w:val="26"/>
              </w:rPr>
            </w:pPr>
            <w:r w:rsidRPr="00C73FCF">
              <w:rPr>
                <w:b/>
                <w:bCs/>
                <w:sz w:val="26"/>
                <w:szCs w:val="26"/>
              </w:rPr>
              <w:t>I. Tiesību akta projekta izstrādes nepieciešamība</w:t>
            </w:r>
          </w:p>
        </w:tc>
      </w:tr>
      <w:tr w:rsidR="009E2AA4" w:rsidRPr="00C73FCF" w:rsidTr="005C6F23">
        <w:trPr>
          <w:trHeight w:val="1176"/>
        </w:trPr>
        <w:tc>
          <w:tcPr>
            <w:tcW w:w="227" w:type="pct"/>
            <w:tcBorders>
              <w:top w:val="outset" w:sz="6" w:space="0" w:color="000000"/>
              <w:left w:val="outset" w:sz="6" w:space="0" w:color="000000"/>
              <w:bottom w:val="outset" w:sz="6" w:space="0" w:color="000000"/>
              <w:right w:val="outset" w:sz="6" w:space="0" w:color="000000"/>
            </w:tcBorders>
          </w:tcPr>
          <w:p w:rsidR="009E2AA4" w:rsidRPr="00C73FCF" w:rsidRDefault="009E2AA4" w:rsidP="0022311E">
            <w:r w:rsidRPr="00C73FCF">
              <w:t>1.</w:t>
            </w:r>
          </w:p>
        </w:tc>
        <w:tc>
          <w:tcPr>
            <w:tcW w:w="875" w:type="pct"/>
            <w:tcBorders>
              <w:top w:val="outset" w:sz="6" w:space="0" w:color="000000"/>
              <w:left w:val="outset" w:sz="6" w:space="0" w:color="000000"/>
              <w:bottom w:val="outset" w:sz="6" w:space="0" w:color="000000"/>
              <w:right w:val="outset" w:sz="6" w:space="0" w:color="000000"/>
            </w:tcBorders>
          </w:tcPr>
          <w:p w:rsidR="00C07479" w:rsidRPr="00C73FCF" w:rsidRDefault="009E2AA4" w:rsidP="00B37206">
            <w:r w:rsidRPr="00C73FCF">
              <w:t>Pamatojums</w:t>
            </w:r>
          </w:p>
        </w:tc>
        <w:tc>
          <w:tcPr>
            <w:tcW w:w="3899" w:type="pct"/>
            <w:tcBorders>
              <w:top w:val="outset" w:sz="6" w:space="0" w:color="000000"/>
              <w:left w:val="outset" w:sz="6" w:space="0" w:color="000000"/>
              <w:bottom w:val="outset" w:sz="6" w:space="0" w:color="000000"/>
              <w:right w:val="outset" w:sz="6" w:space="0" w:color="000000"/>
            </w:tcBorders>
          </w:tcPr>
          <w:p w:rsidR="00835F84" w:rsidRPr="00C73FCF" w:rsidRDefault="007014A3" w:rsidP="00835F84">
            <w:pPr>
              <w:spacing w:before="120" w:after="120"/>
              <w:ind w:left="136" w:right="142"/>
              <w:jc w:val="both"/>
            </w:pPr>
            <w:r w:rsidRPr="00C73FCF">
              <w:t xml:space="preserve">Reģionālās attīstības likuma 14.panta 6.punkts paredz, ka Ministru kabinets </w:t>
            </w:r>
            <w:r w:rsidR="006E3101">
              <w:t xml:space="preserve">(turpmāk – MK) </w:t>
            </w:r>
            <w:r w:rsidRPr="00C73FCF">
              <w:t>nosaka kritērijus un kārtību valsts budžeta dotācijas piešķiršanai pašvaldībām un plānošanas reģioniem Eiropas Savienības struktūrfondu un Kohēzijas fonda līdzfinansēto projektu īstenošanai.</w:t>
            </w:r>
          </w:p>
        </w:tc>
      </w:tr>
      <w:tr w:rsidR="009E2AA4" w:rsidRPr="00C73FCF" w:rsidTr="005C6F23">
        <w:trPr>
          <w:trHeight w:val="381"/>
        </w:trPr>
        <w:tc>
          <w:tcPr>
            <w:tcW w:w="227" w:type="pct"/>
            <w:tcBorders>
              <w:top w:val="outset" w:sz="6" w:space="0" w:color="000000"/>
              <w:left w:val="outset" w:sz="6" w:space="0" w:color="000000"/>
              <w:bottom w:val="outset" w:sz="6" w:space="0" w:color="000000"/>
              <w:right w:val="outset" w:sz="6" w:space="0" w:color="000000"/>
            </w:tcBorders>
          </w:tcPr>
          <w:p w:rsidR="009E2AA4" w:rsidRPr="00C73FCF" w:rsidRDefault="009E2AA4" w:rsidP="0022311E">
            <w:r w:rsidRPr="00C73FCF">
              <w:t>2.</w:t>
            </w:r>
          </w:p>
        </w:tc>
        <w:tc>
          <w:tcPr>
            <w:tcW w:w="875" w:type="pct"/>
            <w:tcBorders>
              <w:top w:val="outset" w:sz="6" w:space="0" w:color="000000"/>
              <w:left w:val="outset" w:sz="6" w:space="0" w:color="000000"/>
              <w:bottom w:val="outset" w:sz="6" w:space="0" w:color="000000"/>
              <w:right w:val="outset" w:sz="6" w:space="0" w:color="000000"/>
            </w:tcBorders>
          </w:tcPr>
          <w:p w:rsidR="009E2AA4" w:rsidRPr="00C73FCF" w:rsidRDefault="009E2AA4" w:rsidP="0022311E">
            <w:r w:rsidRPr="00C73FCF">
              <w:t>Pašreizējā situācija un problēmas</w:t>
            </w:r>
            <w:r w:rsidR="008A059F" w:rsidRPr="00C73FCF">
              <w:t>, kuru risināšanai tiesību akta projekts izstrādāts, tiesiskā regulējuma mērķis un būtība</w:t>
            </w:r>
          </w:p>
        </w:tc>
        <w:tc>
          <w:tcPr>
            <w:tcW w:w="3899" w:type="pct"/>
            <w:tcBorders>
              <w:top w:val="outset" w:sz="6" w:space="0" w:color="000000"/>
              <w:left w:val="outset" w:sz="6" w:space="0" w:color="000000"/>
              <w:bottom w:val="outset" w:sz="6" w:space="0" w:color="000000"/>
              <w:right w:val="outset" w:sz="6" w:space="0" w:color="000000"/>
            </w:tcBorders>
          </w:tcPr>
          <w:p w:rsidR="00B37206" w:rsidRPr="00C73FCF" w:rsidRDefault="00881EF3" w:rsidP="00C3009C">
            <w:pPr>
              <w:spacing w:before="120" w:after="120"/>
              <w:ind w:left="113" w:right="142"/>
              <w:jc w:val="both"/>
              <w:rPr>
                <w:bCs/>
              </w:rPr>
            </w:pPr>
            <w:r w:rsidRPr="00C73FCF">
              <w:t>2007.-2</w:t>
            </w:r>
            <w:r w:rsidR="00892EAD">
              <w:t>013</w:t>
            </w:r>
            <w:r w:rsidRPr="00C73FCF">
              <w:t>.gada plānošanas periodā p</w:t>
            </w:r>
            <w:r w:rsidR="00B37206" w:rsidRPr="00C73FCF">
              <w:t xml:space="preserve">ašvaldības un plānošanas reģioni </w:t>
            </w:r>
            <w:r w:rsidR="00B37206" w:rsidRPr="00C73FCF">
              <w:rPr>
                <w:bCs/>
              </w:rPr>
              <w:t>var saņemt valsts budžeta dotāciju</w:t>
            </w:r>
            <w:r w:rsidR="00B37206" w:rsidRPr="00C73FCF">
              <w:t xml:space="preserve"> </w:t>
            </w:r>
            <w:r w:rsidR="00B37206" w:rsidRPr="00C73FCF">
              <w:rPr>
                <w:bCs/>
              </w:rPr>
              <w:t xml:space="preserve">Eiropas Savienības struktūrfondu un Kohēzijas fonda </w:t>
            </w:r>
            <w:r w:rsidRPr="00C73FCF">
              <w:rPr>
                <w:bCs/>
              </w:rPr>
              <w:t xml:space="preserve">(turpmāk – Eiropas Savienības fondi) </w:t>
            </w:r>
            <w:r w:rsidR="00B37206" w:rsidRPr="00C73FCF">
              <w:rPr>
                <w:bCs/>
              </w:rPr>
              <w:t xml:space="preserve">līdzfinansēto projektu īstenošanai saskaņā ar Ministru kabineta 2009.gada </w:t>
            </w:r>
            <w:r w:rsidR="00B37206" w:rsidRPr="00C73FCF">
              <w:t>28.jūlija</w:t>
            </w:r>
            <w:r w:rsidR="00B37206" w:rsidRPr="00C73FCF">
              <w:rPr>
                <w:bCs/>
              </w:rPr>
              <w:t xml:space="preserve"> noteikumiem Nr.840 „</w:t>
            </w:r>
            <w:r w:rsidR="00296205" w:rsidRPr="00C73FCF">
              <w:t>Noteikumi par kritērijiem un kārtību valsts budžeta dotācijas piešķiršanai pašvaldībām un plānošanas reģioniem Eiropas Savienības struktūrfondu un Kohēzijas fonda līdzfinansēto projektu īstenošanai</w:t>
            </w:r>
            <w:r w:rsidR="00B37206" w:rsidRPr="00C73FCF">
              <w:rPr>
                <w:bCs/>
              </w:rPr>
              <w:t>”.</w:t>
            </w:r>
          </w:p>
          <w:p w:rsidR="00A51ADF" w:rsidRPr="00C73FCF" w:rsidRDefault="00B37206" w:rsidP="00C3009C">
            <w:pPr>
              <w:spacing w:before="120" w:after="120"/>
              <w:ind w:left="113" w:right="130"/>
              <w:jc w:val="both"/>
            </w:pPr>
            <w:r w:rsidRPr="00C73FCF">
              <w:rPr>
                <w:bCs/>
              </w:rPr>
              <w:t xml:space="preserve">Valsts budžeta dotācijas apmēru nosaka saskaņā ar </w:t>
            </w:r>
            <w:r w:rsidRPr="00C73FCF">
              <w:t>pašvaldības un plānošanas reģiona teritorijas attīstības indek</w:t>
            </w:r>
            <w:r w:rsidR="00892EAD">
              <w:t>su, kas ir noteikts normatīvajā aktā</w:t>
            </w:r>
            <w:r w:rsidRPr="00C73FCF">
              <w:t xml:space="preserve"> par teritorijas attīstības indeksa aprēķināšanas kārtību un tā vērtībām. 20</w:t>
            </w:r>
            <w:r w:rsidR="00296205" w:rsidRPr="00C73FCF">
              <w:t>10</w:t>
            </w:r>
            <w:r w:rsidRPr="00C73FCF">
              <w:t>.gada 2</w:t>
            </w:r>
            <w:r w:rsidR="00296205" w:rsidRPr="00C73FCF">
              <w:t>5</w:t>
            </w:r>
            <w:r w:rsidRPr="00C73FCF">
              <w:t>.</w:t>
            </w:r>
            <w:r w:rsidR="00DB3548" w:rsidRPr="00C73FCF">
              <w:t>maija</w:t>
            </w:r>
            <w:r w:rsidRPr="00C73FCF">
              <w:t xml:space="preserve"> Ministru kabineta noteikum</w:t>
            </w:r>
            <w:r w:rsidR="00DB3548" w:rsidRPr="00C73FCF">
              <w:t>os</w:t>
            </w:r>
            <w:r w:rsidRPr="00C73FCF">
              <w:t xml:space="preserve"> Nr.</w:t>
            </w:r>
            <w:r w:rsidR="00296205" w:rsidRPr="00C73FCF">
              <w:t>482</w:t>
            </w:r>
            <w:r w:rsidRPr="00C73FCF">
              <w:t xml:space="preserve"> „</w:t>
            </w:r>
            <w:r w:rsidR="00296205" w:rsidRPr="00C73FCF">
              <w:t>Noteikumi par teritorijas attīstības indeksa aprēķināšanas kārtību un tā vērtībām</w:t>
            </w:r>
            <w:r w:rsidR="00DB3548" w:rsidRPr="00C73FCF">
              <w:t>”</w:t>
            </w:r>
            <w:r w:rsidR="00296205" w:rsidRPr="00C73FCF">
              <w:t xml:space="preserve"> iekļautās teritorijas attīstības indeksa vērtības raksturo attīstības līmeni attiecīgā gada ietvaros, par kuru tas ir aprēķināts (gada indekss), proti, tās parāda teritoriju augstāku vai zemāku attīstību no vidējā attīstības līmeņa attiecīgajā gadā valstī.</w:t>
            </w:r>
          </w:p>
          <w:p w:rsidR="00372130" w:rsidRPr="00C73FCF" w:rsidRDefault="00DB3548" w:rsidP="00C3009C">
            <w:pPr>
              <w:spacing w:before="120" w:after="120"/>
              <w:ind w:left="107" w:right="112"/>
              <w:jc w:val="both"/>
              <w:rPr>
                <w:bCs/>
              </w:rPr>
            </w:pPr>
            <w:r w:rsidRPr="00C73FCF">
              <w:rPr>
                <w:bCs/>
              </w:rPr>
              <w:t xml:space="preserve">Valsts budžeta dotācija pašvaldībām ir viens no Reģionālās attīstības likumā definētajiem reģionālās politikas instrumentiem. </w:t>
            </w:r>
            <w:r w:rsidR="00E82D25" w:rsidRPr="00C73FCF">
              <w:rPr>
                <w:bCs/>
              </w:rPr>
              <w:t xml:space="preserve">Saskaņā ar </w:t>
            </w:r>
            <w:r w:rsidR="00C73FCF">
              <w:rPr>
                <w:bCs/>
              </w:rPr>
              <w:t xml:space="preserve">Eiropas Savienības </w:t>
            </w:r>
            <w:r w:rsidR="006E3101" w:rsidRPr="003A58AE">
              <w:rPr>
                <w:bCs/>
              </w:rPr>
              <w:t>fondu</w:t>
            </w:r>
            <w:r w:rsidR="00DE00B8" w:rsidRPr="005F3BFB">
              <w:rPr>
                <w:bCs/>
              </w:rPr>
              <w:t xml:space="preserve"> </w:t>
            </w:r>
            <w:r w:rsidR="00372130" w:rsidRPr="00C73FCF">
              <w:rPr>
                <w:bCs/>
              </w:rPr>
              <w:t>vadīb</w:t>
            </w:r>
            <w:r w:rsidR="00E82D25" w:rsidRPr="00C73FCF">
              <w:rPr>
                <w:bCs/>
              </w:rPr>
              <w:t xml:space="preserve">as informācijas sistēmā pieejamo </w:t>
            </w:r>
            <w:r w:rsidR="00E82D25" w:rsidRPr="007A5AB7">
              <w:rPr>
                <w:bCs/>
              </w:rPr>
              <w:t>informāciju</w:t>
            </w:r>
            <w:r w:rsidR="00372130" w:rsidRPr="007A5AB7">
              <w:rPr>
                <w:bCs/>
              </w:rPr>
              <w:t xml:space="preserve"> laika posmā no 2007.</w:t>
            </w:r>
            <w:r w:rsidR="00E82D25" w:rsidRPr="007A5AB7">
              <w:rPr>
                <w:bCs/>
              </w:rPr>
              <w:t>gada</w:t>
            </w:r>
            <w:r w:rsidR="00372130" w:rsidRPr="007A5AB7">
              <w:rPr>
                <w:bCs/>
              </w:rPr>
              <w:t xml:space="preserve"> līdz 2014.gada </w:t>
            </w:r>
            <w:r w:rsidR="006D66E9" w:rsidRPr="007A5AB7">
              <w:rPr>
                <w:bCs/>
              </w:rPr>
              <w:t>14.oktobrim</w:t>
            </w:r>
            <w:r w:rsidR="008C3C6A" w:rsidRPr="007A5AB7">
              <w:rPr>
                <w:bCs/>
              </w:rPr>
              <w:t xml:space="preserve"> </w:t>
            </w:r>
            <w:r w:rsidR="00992458" w:rsidRPr="007A5AB7">
              <w:rPr>
                <w:bCs/>
              </w:rPr>
              <w:t xml:space="preserve">apstiprinātajos pašvaldību projektos kopumā ir aprēķināta </w:t>
            </w:r>
            <w:r w:rsidR="00372130" w:rsidRPr="007A5AB7">
              <w:rPr>
                <w:bCs/>
              </w:rPr>
              <w:t xml:space="preserve">valsts budžeta dotācija </w:t>
            </w:r>
            <w:r w:rsidR="006D66E9" w:rsidRPr="007A5AB7">
              <w:rPr>
                <w:bCs/>
              </w:rPr>
              <w:t>31,</w:t>
            </w:r>
            <w:r w:rsidR="00AF4B10" w:rsidRPr="007A5AB7">
              <w:rPr>
                <w:bCs/>
              </w:rPr>
              <w:t>4</w:t>
            </w:r>
            <w:r w:rsidR="006D66E9" w:rsidRPr="007A5AB7">
              <w:rPr>
                <w:bCs/>
              </w:rPr>
              <w:t>5</w:t>
            </w:r>
            <w:r w:rsidR="00372130" w:rsidRPr="007A5AB7">
              <w:rPr>
                <w:bCs/>
              </w:rPr>
              <w:t xml:space="preserve"> milj.</w:t>
            </w:r>
            <w:r w:rsidR="00372130" w:rsidRPr="007A5AB7">
              <w:rPr>
                <w:bCs/>
                <w:i/>
              </w:rPr>
              <w:t xml:space="preserve"> euro</w:t>
            </w:r>
            <w:r w:rsidR="00372130" w:rsidRPr="007A5AB7">
              <w:rPr>
                <w:bCs/>
              </w:rPr>
              <w:t xml:space="preserve"> apmērā. </w:t>
            </w:r>
            <w:r w:rsidRPr="007A5AB7">
              <w:rPr>
                <w:bCs/>
              </w:rPr>
              <w:t xml:space="preserve">Dati par </w:t>
            </w:r>
            <w:r w:rsidR="00992458" w:rsidRPr="007A5AB7">
              <w:rPr>
                <w:bCs/>
              </w:rPr>
              <w:t>pašvaldību projektiem piešķirto (aprēķināto)</w:t>
            </w:r>
            <w:r w:rsidR="00372130" w:rsidRPr="007A5AB7">
              <w:rPr>
                <w:bCs/>
              </w:rPr>
              <w:t xml:space="preserve"> valsts budžeta dotācijas</w:t>
            </w:r>
            <w:r w:rsidRPr="007A5AB7">
              <w:rPr>
                <w:bCs/>
              </w:rPr>
              <w:t xml:space="preserve"> apjomu reģionālā griezumā liecina, </w:t>
            </w:r>
            <w:r w:rsidR="00372130" w:rsidRPr="007A5AB7">
              <w:rPr>
                <w:bCs/>
              </w:rPr>
              <w:t>ka vislielāko</w:t>
            </w:r>
            <w:r w:rsidR="00372130" w:rsidRPr="00C73FCF">
              <w:rPr>
                <w:bCs/>
              </w:rPr>
              <w:t xml:space="preserve"> </w:t>
            </w:r>
            <w:r w:rsidR="00992458">
              <w:rPr>
                <w:bCs/>
              </w:rPr>
              <w:t>valsts budžeta dotācijas pašvaldībām</w:t>
            </w:r>
            <w:r w:rsidR="00372130" w:rsidRPr="00C73FCF">
              <w:rPr>
                <w:bCs/>
              </w:rPr>
              <w:t xml:space="preserve"> apjomu saņēma Latgales reģiona pašvaldības, bet vismazāko – Rīgas reģiona pašvaldības.</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5"/>
              <w:gridCol w:w="3523"/>
            </w:tblGrid>
            <w:tr w:rsidR="00372130" w:rsidRPr="00C73FCF" w:rsidTr="00372130">
              <w:tc>
                <w:tcPr>
                  <w:tcW w:w="3525" w:type="dxa"/>
                  <w:shd w:val="pct5" w:color="auto" w:fill="auto"/>
                </w:tcPr>
                <w:p w:rsidR="00372130" w:rsidRPr="00C73FCF" w:rsidRDefault="00372130" w:rsidP="00C3009C">
                  <w:pPr>
                    <w:jc w:val="center"/>
                    <w:rPr>
                      <w:b/>
                      <w:sz w:val="22"/>
                      <w:szCs w:val="22"/>
                    </w:rPr>
                  </w:pPr>
                  <w:r w:rsidRPr="00C73FCF">
                    <w:rPr>
                      <w:b/>
                      <w:sz w:val="22"/>
                      <w:szCs w:val="22"/>
                    </w:rPr>
                    <w:t>Reģions</w:t>
                  </w:r>
                </w:p>
              </w:tc>
              <w:tc>
                <w:tcPr>
                  <w:tcW w:w="3523" w:type="dxa"/>
                  <w:shd w:val="pct5" w:color="auto" w:fill="auto"/>
                </w:tcPr>
                <w:p w:rsidR="00372130" w:rsidRPr="00C73FCF" w:rsidRDefault="00372130" w:rsidP="00C3009C">
                  <w:pPr>
                    <w:jc w:val="center"/>
                    <w:rPr>
                      <w:b/>
                      <w:sz w:val="22"/>
                      <w:szCs w:val="22"/>
                    </w:rPr>
                  </w:pPr>
                  <w:r w:rsidRPr="00C73FCF">
                    <w:rPr>
                      <w:b/>
                      <w:sz w:val="22"/>
                      <w:szCs w:val="22"/>
                    </w:rPr>
                    <w:t xml:space="preserve">Izmaksātā valsts budžeta dotācija </w:t>
                  </w:r>
                  <w:bookmarkStart w:id="0" w:name="_GoBack"/>
                  <w:r w:rsidR="00CB210F" w:rsidRPr="00CB210F">
                    <w:rPr>
                      <w:b/>
                      <w:i/>
                      <w:sz w:val="22"/>
                      <w:szCs w:val="22"/>
                    </w:rPr>
                    <w:t>euro</w:t>
                  </w:r>
                  <w:bookmarkEnd w:id="0"/>
                </w:p>
              </w:tc>
            </w:tr>
            <w:tr w:rsidR="00250594" w:rsidRPr="00C73FCF" w:rsidTr="00372130">
              <w:tc>
                <w:tcPr>
                  <w:tcW w:w="3525" w:type="dxa"/>
                </w:tcPr>
                <w:p w:rsidR="00250594" w:rsidRPr="00C73FCF" w:rsidRDefault="00250594" w:rsidP="00250594">
                  <w:pPr>
                    <w:jc w:val="center"/>
                    <w:rPr>
                      <w:sz w:val="22"/>
                      <w:szCs w:val="22"/>
                    </w:rPr>
                  </w:pPr>
                  <w:r w:rsidRPr="00C73FCF">
                    <w:rPr>
                      <w:sz w:val="22"/>
                      <w:szCs w:val="22"/>
                    </w:rPr>
                    <w:t>Kurzemes reģions</w:t>
                  </w:r>
                </w:p>
              </w:tc>
              <w:tc>
                <w:tcPr>
                  <w:tcW w:w="3523" w:type="dxa"/>
                </w:tcPr>
                <w:p w:rsidR="00250594" w:rsidRPr="007A5AB7" w:rsidRDefault="00250594" w:rsidP="00250594">
                  <w:pPr>
                    <w:jc w:val="center"/>
                    <w:rPr>
                      <w:sz w:val="22"/>
                      <w:szCs w:val="22"/>
                      <w:highlight w:val="yellow"/>
                    </w:rPr>
                  </w:pPr>
                  <w:r w:rsidRPr="007A5AB7">
                    <w:rPr>
                      <w:sz w:val="22"/>
                      <w:szCs w:val="22"/>
                    </w:rPr>
                    <w:t>8 944 371,13</w:t>
                  </w:r>
                </w:p>
              </w:tc>
            </w:tr>
            <w:tr w:rsidR="00250594" w:rsidRPr="00C73FCF" w:rsidTr="00372130">
              <w:tc>
                <w:tcPr>
                  <w:tcW w:w="3525" w:type="dxa"/>
                </w:tcPr>
                <w:p w:rsidR="00250594" w:rsidRPr="00C73FCF" w:rsidRDefault="00250594" w:rsidP="00250594">
                  <w:pPr>
                    <w:jc w:val="center"/>
                    <w:rPr>
                      <w:sz w:val="22"/>
                      <w:szCs w:val="22"/>
                    </w:rPr>
                  </w:pPr>
                  <w:r w:rsidRPr="00C73FCF">
                    <w:rPr>
                      <w:sz w:val="22"/>
                      <w:szCs w:val="22"/>
                    </w:rPr>
                    <w:t>Vidzemes reģions</w:t>
                  </w:r>
                </w:p>
              </w:tc>
              <w:tc>
                <w:tcPr>
                  <w:tcW w:w="3523" w:type="dxa"/>
                </w:tcPr>
                <w:p w:rsidR="00250594" w:rsidRPr="007A5AB7" w:rsidRDefault="00250594" w:rsidP="00250594">
                  <w:pPr>
                    <w:jc w:val="center"/>
                    <w:rPr>
                      <w:sz w:val="22"/>
                      <w:szCs w:val="22"/>
                      <w:highlight w:val="yellow"/>
                    </w:rPr>
                  </w:pPr>
                  <w:r w:rsidRPr="007A5AB7">
                    <w:rPr>
                      <w:sz w:val="22"/>
                      <w:szCs w:val="22"/>
                    </w:rPr>
                    <w:t>5 365 168,16</w:t>
                  </w:r>
                </w:p>
              </w:tc>
            </w:tr>
            <w:tr w:rsidR="00250594" w:rsidRPr="00C73FCF" w:rsidTr="00372130">
              <w:tc>
                <w:tcPr>
                  <w:tcW w:w="3525" w:type="dxa"/>
                </w:tcPr>
                <w:p w:rsidR="00250594" w:rsidRPr="00C73FCF" w:rsidRDefault="00250594" w:rsidP="00250594">
                  <w:pPr>
                    <w:jc w:val="center"/>
                    <w:rPr>
                      <w:sz w:val="22"/>
                      <w:szCs w:val="22"/>
                    </w:rPr>
                  </w:pPr>
                  <w:r w:rsidRPr="00C73FCF">
                    <w:rPr>
                      <w:sz w:val="22"/>
                      <w:szCs w:val="22"/>
                    </w:rPr>
                    <w:t>Latgales reģions</w:t>
                  </w:r>
                </w:p>
              </w:tc>
              <w:tc>
                <w:tcPr>
                  <w:tcW w:w="3523" w:type="dxa"/>
                </w:tcPr>
                <w:p w:rsidR="00250594" w:rsidRPr="007A5AB7" w:rsidRDefault="00250594" w:rsidP="00250594">
                  <w:pPr>
                    <w:jc w:val="center"/>
                    <w:rPr>
                      <w:sz w:val="22"/>
                      <w:szCs w:val="22"/>
                      <w:highlight w:val="yellow"/>
                    </w:rPr>
                  </w:pPr>
                  <w:r w:rsidRPr="007A5AB7">
                    <w:rPr>
                      <w:sz w:val="22"/>
                      <w:szCs w:val="22"/>
                    </w:rPr>
                    <w:t>10 693 693,72</w:t>
                  </w:r>
                </w:p>
              </w:tc>
            </w:tr>
            <w:tr w:rsidR="00250594" w:rsidRPr="00C73FCF" w:rsidTr="00372130">
              <w:tc>
                <w:tcPr>
                  <w:tcW w:w="3525" w:type="dxa"/>
                </w:tcPr>
                <w:p w:rsidR="00250594" w:rsidRPr="00C73FCF" w:rsidRDefault="00250594" w:rsidP="00250594">
                  <w:pPr>
                    <w:jc w:val="center"/>
                    <w:rPr>
                      <w:sz w:val="22"/>
                      <w:szCs w:val="22"/>
                    </w:rPr>
                  </w:pPr>
                  <w:r w:rsidRPr="00C73FCF">
                    <w:rPr>
                      <w:sz w:val="22"/>
                      <w:szCs w:val="22"/>
                    </w:rPr>
                    <w:t>Zemgales reģions</w:t>
                  </w:r>
                </w:p>
              </w:tc>
              <w:tc>
                <w:tcPr>
                  <w:tcW w:w="3523" w:type="dxa"/>
                </w:tcPr>
                <w:p w:rsidR="00250594" w:rsidRPr="007A5AB7" w:rsidRDefault="00250594" w:rsidP="00250594">
                  <w:pPr>
                    <w:jc w:val="center"/>
                    <w:rPr>
                      <w:sz w:val="22"/>
                      <w:szCs w:val="22"/>
                      <w:highlight w:val="yellow"/>
                    </w:rPr>
                  </w:pPr>
                  <w:r w:rsidRPr="007A5AB7">
                    <w:rPr>
                      <w:sz w:val="22"/>
                      <w:szCs w:val="22"/>
                    </w:rPr>
                    <w:t>3 566 720,74</w:t>
                  </w:r>
                </w:p>
              </w:tc>
            </w:tr>
            <w:tr w:rsidR="00250594" w:rsidRPr="00C73FCF" w:rsidTr="00372130">
              <w:tc>
                <w:tcPr>
                  <w:tcW w:w="3525" w:type="dxa"/>
                </w:tcPr>
                <w:p w:rsidR="00250594" w:rsidRPr="00C73FCF" w:rsidRDefault="00250594" w:rsidP="00250594">
                  <w:pPr>
                    <w:jc w:val="center"/>
                    <w:rPr>
                      <w:sz w:val="22"/>
                      <w:szCs w:val="22"/>
                    </w:rPr>
                  </w:pPr>
                  <w:r w:rsidRPr="00C73FCF">
                    <w:rPr>
                      <w:sz w:val="22"/>
                      <w:szCs w:val="22"/>
                    </w:rPr>
                    <w:t>Rīgas reģions</w:t>
                  </w:r>
                </w:p>
              </w:tc>
              <w:tc>
                <w:tcPr>
                  <w:tcW w:w="3523" w:type="dxa"/>
                </w:tcPr>
                <w:p w:rsidR="00250594" w:rsidRPr="007A5AB7" w:rsidRDefault="00250594" w:rsidP="00250594">
                  <w:pPr>
                    <w:jc w:val="center"/>
                    <w:rPr>
                      <w:sz w:val="22"/>
                      <w:szCs w:val="22"/>
                      <w:highlight w:val="yellow"/>
                    </w:rPr>
                  </w:pPr>
                  <w:r w:rsidRPr="007A5AB7">
                    <w:rPr>
                      <w:sz w:val="22"/>
                      <w:szCs w:val="22"/>
                    </w:rPr>
                    <w:t>2 882 855,33</w:t>
                  </w:r>
                </w:p>
              </w:tc>
            </w:tr>
            <w:tr w:rsidR="00250594" w:rsidRPr="00C73FCF" w:rsidTr="00372130">
              <w:tc>
                <w:tcPr>
                  <w:tcW w:w="3525" w:type="dxa"/>
                </w:tcPr>
                <w:p w:rsidR="00250594" w:rsidRPr="00C73FCF" w:rsidRDefault="00250594" w:rsidP="00250594">
                  <w:pPr>
                    <w:jc w:val="center"/>
                    <w:rPr>
                      <w:sz w:val="22"/>
                      <w:szCs w:val="22"/>
                    </w:rPr>
                  </w:pPr>
                  <w:r w:rsidRPr="00C73FCF">
                    <w:rPr>
                      <w:sz w:val="22"/>
                      <w:szCs w:val="22"/>
                    </w:rPr>
                    <w:t>Latvija kopā</w:t>
                  </w:r>
                </w:p>
              </w:tc>
              <w:tc>
                <w:tcPr>
                  <w:tcW w:w="3523" w:type="dxa"/>
                </w:tcPr>
                <w:p w:rsidR="00250594" w:rsidRPr="007A5AB7" w:rsidRDefault="00250594" w:rsidP="00250594">
                  <w:pPr>
                    <w:jc w:val="center"/>
                    <w:rPr>
                      <w:sz w:val="22"/>
                      <w:szCs w:val="22"/>
                      <w:highlight w:val="yellow"/>
                    </w:rPr>
                  </w:pPr>
                  <w:r w:rsidRPr="007A5AB7">
                    <w:rPr>
                      <w:sz w:val="22"/>
                      <w:szCs w:val="22"/>
                    </w:rPr>
                    <w:t>31 452 809,08</w:t>
                  </w:r>
                </w:p>
              </w:tc>
            </w:tr>
          </w:tbl>
          <w:p w:rsidR="00644B2C" w:rsidRPr="007A5AB7" w:rsidRDefault="00892EAD" w:rsidP="00C3009C">
            <w:pPr>
              <w:spacing w:before="120" w:after="120"/>
              <w:ind w:left="107" w:right="112"/>
              <w:jc w:val="both"/>
              <w:rPr>
                <w:bCs/>
              </w:rPr>
            </w:pPr>
            <w:r>
              <w:rPr>
                <w:bCs/>
              </w:rPr>
              <w:t xml:space="preserve">Ņemot vērā to, ka tikai viens no četriem teritorijas attīstības indeksa ietvaros esošajiem rādītājiem raksturo pašvaldību finansiālo kapacitāti </w:t>
            </w:r>
            <w:r>
              <w:rPr>
                <w:bCs/>
              </w:rPr>
              <w:lastRenderedPageBreak/>
              <w:t>(</w:t>
            </w:r>
            <w:r w:rsidRPr="003D1FFF">
              <w:t>iedzīvotāju ienākum</w:t>
            </w:r>
            <w:r>
              <w:t>a</w:t>
            </w:r>
            <w:r w:rsidRPr="003D1FFF">
              <w:t xml:space="preserve"> nodoklis uz 1 iedzīvotāju</w:t>
            </w:r>
            <w:r>
              <w:t xml:space="preserve">), </w:t>
            </w:r>
            <w:r w:rsidR="0079465D" w:rsidRPr="00C73FCF">
              <w:t xml:space="preserve">2013.gada 16.jūlija Ministru kabineta sēdē tika izskatīts </w:t>
            </w:r>
            <w:r w:rsidR="00881EF3" w:rsidRPr="00C73FCF">
              <w:t xml:space="preserve">Vides aizsardzības un reģionālās attīstības ministrijas (turpmāk – VARAM) </w:t>
            </w:r>
            <w:r>
              <w:t>i</w:t>
            </w:r>
            <w:r w:rsidR="0079465D" w:rsidRPr="00C73FCF">
              <w:t>nformatīvais ziņojums „Par risinājumiem teritorijas attīstības indeksa pilnveidošanai, kā arī turpmākai pielietošanai Eiropas Savienības fondu 2014.-2020.gadam plānošanas periodā”</w:t>
            </w:r>
            <w:r w:rsidR="00442A4D" w:rsidRPr="00C73FCF">
              <w:t xml:space="preserve">, ar kuru </w:t>
            </w:r>
            <w:r w:rsidR="00E82D25" w:rsidRPr="00C73FCF">
              <w:t>ti</w:t>
            </w:r>
            <w:r w:rsidR="00BE6B30" w:rsidRPr="00C73FCF">
              <w:t>k</w:t>
            </w:r>
            <w:r w:rsidR="00E82D25" w:rsidRPr="00C73FCF">
              <w:t>a</w:t>
            </w:r>
            <w:r w:rsidR="00BE6B30" w:rsidRPr="00C73FCF">
              <w:t xml:space="preserve"> ierosināts, </w:t>
            </w:r>
            <w:r w:rsidR="00BE6B30" w:rsidRPr="00C73FCF">
              <w:rPr>
                <w:bCs/>
              </w:rPr>
              <w:t xml:space="preserve">izstrādājot nākamajam plānošanas periodam kritērijus un kārtību valsts budžeta dotācijas piešķiršanai pašvaldībām un plānošanas reģioniem Eiropas Savienības </w:t>
            </w:r>
            <w:r w:rsidR="00881EF3" w:rsidRPr="00C73FCF">
              <w:rPr>
                <w:bCs/>
              </w:rPr>
              <w:t>fondu</w:t>
            </w:r>
            <w:r w:rsidR="00BE6B30" w:rsidRPr="00C73FCF">
              <w:rPr>
                <w:bCs/>
              </w:rPr>
              <w:t xml:space="preserve"> projektu īstenošanai, </w:t>
            </w:r>
            <w:r w:rsidR="00BE6B30" w:rsidRPr="007A5AB7">
              <w:rPr>
                <w:bCs/>
              </w:rPr>
              <w:t>aizstāt teritorijas attīstības indeksu ar alternatīvu rādītāju.</w:t>
            </w:r>
          </w:p>
          <w:p w:rsidR="00BE6B30" w:rsidRPr="007A5AB7" w:rsidRDefault="00BE6B30" w:rsidP="00C3009C">
            <w:pPr>
              <w:spacing w:before="120" w:after="120"/>
              <w:ind w:left="107" w:right="112"/>
              <w:jc w:val="both"/>
            </w:pPr>
            <w:r w:rsidRPr="007A5AB7">
              <w:t xml:space="preserve">Rādītājs, kas raksturo salīdzinošu pašvaldības finanšu kapacitāti un ko var izmantot valsts budžeta līdzfinansējuma intensitātes noteikšanai, ir </w:t>
            </w:r>
            <w:r w:rsidR="007818C5" w:rsidRPr="007A5AB7">
              <w:t>pašvaldības budžeta kapacitātes rādītājs</w:t>
            </w:r>
            <w:r w:rsidR="00E82D25" w:rsidRPr="007A5AB7">
              <w:t xml:space="preserve">, ko </w:t>
            </w:r>
            <w:r w:rsidR="00FB2A6D" w:rsidRPr="007A5AB7">
              <w:t>veido vērtētie ieņēmumi uz vienu pašvaldības iedzīvotāju pirms pašvaldību finanšu izlīdzināšanas</w:t>
            </w:r>
            <w:r w:rsidR="00451285" w:rsidRPr="007A5AB7">
              <w:t xml:space="preserve"> (turpmāk – PFI)</w:t>
            </w:r>
            <w:r w:rsidRPr="007A5AB7">
              <w:t>.</w:t>
            </w:r>
          </w:p>
          <w:p w:rsidR="00BE6B30" w:rsidRPr="007A5AB7" w:rsidRDefault="00AE2D8D" w:rsidP="00C3009C">
            <w:pPr>
              <w:spacing w:before="120" w:after="120"/>
              <w:ind w:left="107" w:right="112"/>
              <w:jc w:val="both"/>
            </w:pPr>
            <w:r w:rsidRPr="007A5AB7">
              <w:t>Pašvaldības budžeta kapacitātes rādītājs</w:t>
            </w:r>
            <w:r w:rsidR="00386D51" w:rsidRPr="007A5AB7">
              <w:t xml:space="preserve"> ievērojami precīzāk nekā teritorijas attīstības indekss raksturo pašvaldības finanšu </w:t>
            </w:r>
            <w:r w:rsidR="00E82D25" w:rsidRPr="007A5AB7">
              <w:t>kapacitāti</w:t>
            </w:r>
            <w:r w:rsidR="00386D51" w:rsidRPr="007A5AB7">
              <w:t>, tas ir objektīvs un tam nepieciešamie dati ir pieejami. Šis rādītājs lietotājiem un tiem, uz ko tas attiecas, ir viegli saprot</w:t>
            </w:r>
            <w:r w:rsidRPr="007A5AB7">
              <w:t>ams un to iespējams pārbaudīt. Iepriekš minēto r</w:t>
            </w:r>
            <w:r w:rsidR="00386D51" w:rsidRPr="007A5AB7">
              <w:t>ādītāju var aprēķināt ne tikai katrai pašvaldībai, bet, balstoties uz summāriem pašvaldību datiem, katram plānošanas reģionam.</w:t>
            </w:r>
          </w:p>
          <w:p w:rsidR="00131230" w:rsidRPr="007A5AB7" w:rsidRDefault="00A62644" w:rsidP="00CA6CD2">
            <w:pPr>
              <w:pStyle w:val="ListParagraph"/>
              <w:ind w:left="107"/>
              <w:jc w:val="both"/>
              <w:rPr>
                <w:color w:val="000000"/>
                <w:sz w:val="24"/>
                <w:szCs w:val="24"/>
              </w:rPr>
            </w:pPr>
            <w:r w:rsidRPr="007A5AB7">
              <w:rPr>
                <w:rFonts w:ascii="Times New Roman" w:hAnsi="Times New Roman"/>
                <w:color w:val="000000"/>
                <w:sz w:val="24"/>
                <w:szCs w:val="24"/>
              </w:rPr>
              <w:t xml:space="preserve">Valsts reģionālās attīstības aģentūra ir veikusi praktiskus </w:t>
            </w:r>
            <w:r w:rsidR="00AE2D8D" w:rsidRPr="007A5AB7">
              <w:rPr>
                <w:rFonts w:ascii="Times New Roman" w:hAnsi="Times New Roman"/>
                <w:color w:val="000000"/>
                <w:sz w:val="24"/>
                <w:szCs w:val="24"/>
              </w:rPr>
              <w:t>pašvaldības budžeta kapacitātes rādītāja</w:t>
            </w:r>
            <w:r w:rsidR="00892EAD" w:rsidRPr="007A5AB7">
              <w:rPr>
                <w:rFonts w:ascii="Times New Roman" w:hAnsi="Times New Roman"/>
                <w:color w:val="000000"/>
                <w:sz w:val="24"/>
                <w:szCs w:val="24"/>
              </w:rPr>
              <w:t xml:space="preserve"> aprēķinus pašvaldību </w:t>
            </w:r>
            <w:r w:rsidRPr="007A5AB7">
              <w:rPr>
                <w:rFonts w:ascii="Times New Roman" w:hAnsi="Times New Roman"/>
                <w:color w:val="000000"/>
                <w:sz w:val="24"/>
                <w:szCs w:val="24"/>
              </w:rPr>
              <w:t>dalījumā par 201</w:t>
            </w:r>
            <w:r w:rsidR="007818C5" w:rsidRPr="007A5AB7">
              <w:rPr>
                <w:rFonts w:ascii="Times New Roman" w:hAnsi="Times New Roman"/>
                <w:color w:val="000000"/>
                <w:sz w:val="24"/>
                <w:szCs w:val="24"/>
              </w:rPr>
              <w:t>4</w:t>
            </w:r>
            <w:r w:rsidRPr="007A5AB7">
              <w:rPr>
                <w:rFonts w:ascii="Times New Roman" w:hAnsi="Times New Roman"/>
                <w:color w:val="000000"/>
                <w:sz w:val="24"/>
                <w:szCs w:val="24"/>
              </w:rPr>
              <w:t xml:space="preserve">.gadu. </w:t>
            </w:r>
            <w:r w:rsidR="00881EF3" w:rsidRPr="007A5AB7">
              <w:rPr>
                <w:rFonts w:ascii="Times New Roman" w:hAnsi="Times New Roman"/>
                <w:color w:val="000000"/>
                <w:sz w:val="24"/>
                <w:szCs w:val="24"/>
              </w:rPr>
              <w:t xml:space="preserve">Ministru kabineta noteikumu projektā </w:t>
            </w:r>
            <w:r w:rsidR="00881EF3" w:rsidRPr="007A5AB7">
              <w:rPr>
                <w:rFonts w:ascii="Times New Roman" w:hAnsi="Times New Roman"/>
                <w:bCs/>
                <w:color w:val="000000"/>
                <w:sz w:val="24"/>
                <w:szCs w:val="24"/>
              </w:rPr>
              <w:t xml:space="preserve">„Noteikumi par kritērijiem un kārtību valsts budžeta dotācijas piešķiršanai pašvaldībām Eiropas Savienības struktūrfondu un Kohēzijas fonda </w:t>
            </w:r>
            <w:r w:rsidR="00881EF3" w:rsidRPr="007A5AB7">
              <w:rPr>
                <w:rFonts w:ascii="Times New Roman" w:hAnsi="Times New Roman"/>
                <w:color w:val="000000"/>
                <w:sz w:val="24"/>
                <w:szCs w:val="24"/>
              </w:rPr>
              <w:t xml:space="preserve">2014.–2020.gada plānošanas perioda </w:t>
            </w:r>
            <w:r w:rsidR="00881EF3" w:rsidRPr="007A5AB7">
              <w:rPr>
                <w:rFonts w:ascii="Times New Roman" w:hAnsi="Times New Roman"/>
                <w:bCs/>
                <w:color w:val="000000"/>
                <w:sz w:val="24"/>
                <w:szCs w:val="24"/>
              </w:rPr>
              <w:t>līdzfinansēto projektu īstenošanai</w:t>
            </w:r>
            <w:r w:rsidR="00881EF3" w:rsidRPr="007A5AB7">
              <w:rPr>
                <w:rFonts w:ascii="Times New Roman" w:hAnsi="Times New Roman"/>
                <w:color w:val="000000"/>
                <w:sz w:val="24"/>
                <w:szCs w:val="24"/>
              </w:rPr>
              <w:t xml:space="preserve">” (turpmāk – noteikumu projekts) </w:t>
            </w:r>
            <w:r w:rsidRPr="007A5AB7">
              <w:rPr>
                <w:rFonts w:ascii="Times New Roman" w:hAnsi="Times New Roman"/>
                <w:color w:val="000000"/>
                <w:sz w:val="24"/>
                <w:szCs w:val="24"/>
              </w:rPr>
              <w:t xml:space="preserve">ir izmantotas </w:t>
            </w:r>
            <w:r w:rsidR="00E82D25" w:rsidRPr="007A5AB7">
              <w:rPr>
                <w:rFonts w:ascii="Times New Roman" w:hAnsi="Times New Roman"/>
                <w:color w:val="000000"/>
                <w:sz w:val="24"/>
                <w:szCs w:val="24"/>
              </w:rPr>
              <w:t xml:space="preserve">aprēķinātās </w:t>
            </w:r>
            <w:r w:rsidR="00AE2D8D" w:rsidRPr="007A5AB7">
              <w:rPr>
                <w:rFonts w:ascii="Times New Roman" w:hAnsi="Times New Roman"/>
                <w:color w:val="000000"/>
                <w:sz w:val="24"/>
                <w:szCs w:val="24"/>
              </w:rPr>
              <w:t>standartizētās rādītāja</w:t>
            </w:r>
            <w:r w:rsidRPr="007A5AB7">
              <w:rPr>
                <w:rFonts w:ascii="Times New Roman" w:hAnsi="Times New Roman"/>
                <w:color w:val="000000"/>
                <w:sz w:val="24"/>
                <w:szCs w:val="24"/>
              </w:rPr>
              <w:t xml:space="preserve"> </w:t>
            </w:r>
            <w:r w:rsidR="00A832C1" w:rsidRPr="007A5AB7">
              <w:rPr>
                <w:rFonts w:ascii="Times New Roman" w:hAnsi="Times New Roman"/>
                <w:color w:val="000000"/>
                <w:sz w:val="24"/>
                <w:szCs w:val="24"/>
              </w:rPr>
              <w:t>vērtības</w:t>
            </w:r>
            <w:r w:rsidRPr="007A5AB7">
              <w:rPr>
                <w:rFonts w:ascii="Times New Roman" w:hAnsi="Times New Roman"/>
                <w:color w:val="000000"/>
                <w:sz w:val="24"/>
                <w:szCs w:val="24"/>
              </w:rPr>
              <w:t xml:space="preserve"> un veidoti rādītāja intervāli. </w:t>
            </w:r>
            <w:r w:rsidR="00AE2D8D" w:rsidRPr="007A5AB7">
              <w:rPr>
                <w:rFonts w:ascii="Times New Roman" w:hAnsi="Times New Roman"/>
                <w:color w:val="000000"/>
                <w:sz w:val="24"/>
                <w:szCs w:val="24"/>
              </w:rPr>
              <w:t xml:space="preserve">Pašvaldības budžeta kapacitātes rādītājs </w:t>
            </w:r>
            <w:r w:rsidR="00A832C1" w:rsidRPr="007A5AB7">
              <w:rPr>
                <w:rFonts w:ascii="Times New Roman" w:hAnsi="Times New Roman"/>
                <w:color w:val="000000"/>
                <w:sz w:val="24"/>
                <w:szCs w:val="24"/>
              </w:rPr>
              <w:t>tiks aktualizēts katru gadu un tā standartizētās vērtības tiks publicētas VARAM tīmekļa vietnē</w:t>
            </w:r>
            <w:r w:rsidR="00AE2D8D" w:rsidRPr="007A5AB7">
              <w:rPr>
                <w:rFonts w:ascii="Times New Roman" w:hAnsi="Times New Roman"/>
                <w:color w:val="000000"/>
                <w:sz w:val="24"/>
                <w:szCs w:val="24"/>
              </w:rPr>
              <w:t xml:space="preserve"> līdz kārtējā gada </w:t>
            </w:r>
            <w:r w:rsidR="004902B0" w:rsidRPr="007A5AB7">
              <w:rPr>
                <w:rFonts w:ascii="Times New Roman" w:hAnsi="Times New Roman"/>
                <w:color w:val="000000"/>
                <w:sz w:val="24"/>
                <w:szCs w:val="24"/>
              </w:rPr>
              <w:t>10.janvārim.</w:t>
            </w:r>
            <w:r w:rsidR="008F33B0" w:rsidRPr="007A5AB7">
              <w:rPr>
                <w:rFonts w:ascii="Times New Roman" w:hAnsi="Times New Roman"/>
                <w:color w:val="000000"/>
                <w:sz w:val="24"/>
                <w:szCs w:val="24"/>
              </w:rPr>
              <w:t xml:space="preserve"> </w:t>
            </w:r>
            <w:r w:rsidR="004F2C5C" w:rsidRPr="007A5AB7">
              <w:rPr>
                <w:rFonts w:ascii="Times New Roman" w:hAnsi="Times New Roman"/>
                <w:noProof/>
                <w:color w:val="000000"/>
                <w:sz w:val="24"/>
                <w:szCs w:val="24"/>
              </w:rPr>
              <w:t>D</w:t>
            </w:r>
            <w:r w:rsidR="008F33B0" w:rsidRPr="007A5AB7">
              <w:rPr>
                <w:rFonts w:ascii="Times New Roman" w:hAnsi="Times New Roman"/>
                <w:noProof/>
                <w:color w:val="000000"/>
                <w:sz w:val="24"/>
                <w:szCs w:val="24"/>
              </w:rPr>
              <w:t xml:space="preserve">atus par </w:t>
            </w:r>
            <w:r w:rsidR="008F33B0" w:rsidRPr="007A5AB7">
              <w:rPr>
                <w:rFonts w:ascii="Times New Roman" w:hAnsi="Times New Roman"/>
                <w:color w:val="000000"/>
                <w:sz w:val="24"/>
                <w:szCs w:val="24"/>
              </w:rPr>
              <w:t>vērtētiem ieņēmumiem p</w:t>
            </w:r>
            <w:r w:rsidR="004F47DE" w:rsidRPr="007A5AB7">
              <w:rPr>
                <w:rFonts w:ascii="Times New Roman" w:hAnsi="Times New Roman"/>
                <w:color w:val="000000"/>
                <w:sz w:val="24"/>
                <w:szCs w:val="24"/>
              </w:rPr>
              <w:t>irms</w:t>
            </w:r>
            <w:r w:rsidR="008F33B0" w:rsidRPr="007A5AB7">
              <w:rPr>
                <w:rFonts w:ascii="Times New Roman" w:hAnsi="Times New Roman"/>
                <w:color w:val="000000"/>
                <w:sz w:val="24"/>
                <w:szCs w:val="24"/>
              </w:rPr>
              <w:t xml:space="preserve"> </w:t>
            </w:r>
            <w:r w:rsidR="00451285" w:rsidRPr="007A5AB7">
              <w:rPr>
                <w:rFonts w:ascii="Times New Roman" w:hAnsi="Times New Roman"/>
                <w:color w:val="000000"/>
                <w:sz w:val="24"/>
                <w:szCs w:val="24"/>
              </w:rPr>
              <w:t>PFI</w:t>
            </w:r>
            <w:r w:rsidR="008F33B0" w:rsidRPr="007A5AB7">
              <w:rPr>
                <w:rFonts w:ascii="Times New Roman" w:hAnsi="Times New Roman"/>
                <w:color w:val="000000"/>
                <w:sz w:val="24"/>
                <w:szCs w:val="24"/>
              </w:rPr>
              <w:t xml:space="preserve"> VARAM iegūst no Finanšu ministrijas</w:t>
            </w:r>
            <w:r w:rsidR="004F2C5C" w:rsidRPr="007A5AB7">
              <w:rPr>
                <w:rFonts w:ascii="Times New Roman" w:hAnsi="Times New Roman"/>
                <w:color w:val="000000"/>
                <w:sz w:val="24"/>
                <w:szCs w:val="24"/>
              </w:rPr>
              <w:t>,</w:t>
            </w:r>
            <w:r w:rsidR="004F2C5C" w:rsidRPr="007A5AB7">
              <w:rPr>
                <w:rFonts w:ascii="Times New Roman" w:hAnsi="Times New Roman"/>
                <w:color w:val="000000"/>
                <w:sz w:val="24"/>
                <w:szCs w:val="24"/>
                <w:lang w:eastAsia="en-US"/>
              </w:rPr>
              <w:t xml:space="preserve"> un</w:t>
            </w:r>
            <w:r w:rsidR="00CA6CD2" w:rsidRPr="007A5AB7">
              <w:rPr>
                <w:rFonts w:ascii="Times New Roman" w:hAnsi="Times New Roman"/>
                <w:color w:val="000000"/>
                <w:sz w:val="24"/>
                <w:szCs w:val="24"/>
              </w:rPr>
              <w:t xml:space="preserve"> pašvaldības budžeta kapacitātes rādītāja</w:t>
            </w:r>
            <w:r w:rsidR="00CA6CD2" w:rsidRPr="007A5AB7">
              <w:rPr>
                <w:rFonts w:ascii="Times New Roman" w:hAnsi="Times New Roman"/>
                <w:color w:val="000000"/>
                <w:sz w:val="24"/>
                <w:szCs w:val="24"/>
                <w:lang w:eastAsia="en-US"/>
              </w:rPr>
              <w:t xml:space="preserve"> aprēķinos tiek ņemti vērā Ministru kabineta 2013.gada 10.decembra noteikumos Nr.1433 „</w:t>
            </w:r>
            <w:r w:rsidR="00CA6CD2" w:rsidRPr="007A5AB7">
              <w:rPr>
                <w:rFonts w:ascii="Times New Roman" w:hAnsi="Times New Roman"/>
                <w:sz w:val="24"/>
                <w:szCs w:val="24"/>
              </w:rPr>
              <w:t>Noteikumi par pašvaldību finanšu izlīdzināšanas fonda ieņēmumiem un to sadales kārtību 2014.gadā”</w:t>
            </w:r>
            <w:r w:rsidR="000E12E1" w:rsidRPr="007A5AB7">
              <w:rPr>
                <w:rFonts w:ascii="Times New Roman" w:hAnsi="Times New Roman"/>
                <w:color w:val="000000"/>
                <w:sz w:val="24"/>
                <w:szCs w:val="24"/>
                <w:lang w:eastAsia="en-US"/>
              </w:rPr>
              <w:t>.</w:t>
            </w:r>
          </w:p>
          <w:p w:rsidR="00016D17" w:rsidRPr="007A5AB7" w:rsidRDefault="00016D17" w:rsidP="00016D17">
            <w:pPr>
              <w:ind w:left="107"/>
              <w:jc w:val="both"/>
              <w:rPr>
                <w:color w:val="000000"/>
              </w:rPr>
            </w:pPr>
            <w:r w:rsidRPr="007A5AB7">
              <w:rPr>
                <w:color w:val="000000"/>
              </w:rPr>
              <w:t>Noteikumu projekta mērķis ir atvieglot un sekmēt pašvaldību iespējas Eiropas Savienības projektu īstenošanā, mazinot šo iespēju atkarību no pašvaldību budžetu kapacitātes, saglabājot valsts līdzfinansējuma intensitātes diferencēšanu tā, lai pašvaldības ar zemāku finanšu kapacitāti saņem lielāku valsts budžeta dotācijas īpatsvaru nacionālā finansējuma daļā.</w:t>
            </w:r>
          </w:p>
          <w:p w:rsidR="00AE2D8D" w:rsidRDefault="00D236E1" w:rsidP="00C3009C">
            <w:pPr>
              <w:spacing w:before="120" w:after="120"/>
              <w:ind w:left="107" w:right="112"/>
              <w:jc w:val="both"/>
            </w:pPr>
            <w:r w:rsidRPr="00032F28">
              <w:t>Noteikumu</w:t>
            </w:r>
            <w:r w:rsidRPr="00C73FCF">
              <w:t xml:space="preserve"> projekts nosaka kritērijus valsts budžeta dotācijas piešķiršanai pašvaldībām Eiropas Savienības </w:t>
            </w:r>
            <w:r w:rsidR="00881EF3" w:rsidRPr="00C73FCF">
              <w:t>fondu</w:t>
            </w:r>
            <w:r w:rsidRPr="00C73FCF">
              <w:t xml:space="preserve"> 2014.–2020.gada plānošanas perioda līdzfinansēto projekt</w:t>
            </w:r>
            <w:r w:rsidR="00910B7C">
              <w:t>u</w:t>
            </w:r>
            <w:r w:rsidRPr="00C73FCF">
              <w:t xml:space="preserve"> īstenošanai. </w:t>
            </w:r>
            <w:r w:rsidR="00131230" w:rsidRPr="00C73FCF">
              <w:t xml:space="preserve">Valsts budžeta dotāciju aprēķina no normatīvajos aktos par Eiropas Savienības fonda specifiskā atbalsta mērķa īstenošanu noteiktās nacionālā publiskā finansējuma attiecināmo izmaksu daļas, ko iegulda pašvaldība un kas netiek segta no </w:t>
            </w:r>
            <w:r w:rsidR="00131230" w:rsidRPr="00C73FCF">
              <w:lastRenderedPageBreak/>
              <w:t>projekta pašfinansēšanas rezultātā iegūtajiem līdzekļiem. Noteikumu projektā valsts budžeta dotācijas pašvaldībai un pašvaldības līdzfinansējuma (attiecināmo izmaksu) apmēra a</w:t>
            </w:r>
            <w:r w:rsidR="00032F28">
              <w:t>prēķinam tiek piedāvāta formula, par pamatu ņemot</w:t>
            </w:r>
            <w:r w:rsidR="00032F28" w:rsidRPr="00032F28">
              <w:t xml:space="preserve"> 2014.gada 1.jūlija Ministru kabineta noteikumu Nr.367 „Reģionālās attīstības uzraudzības un novērtēšanas kārtība” </w:t>
            </w:r>
            <w:r w:rsidR="00032F28">
              <w:t>1.pielikuma 2.4.</w:t>
            </w:r>
            <w:r w:rsidR="00910B7C">
              <w:t>apakš</w:t>
            </w:r>
            <w:r w:rsidR="00032F28">
              <w:t>punktā noteikto rādītāju statistiskās standartizācijas aprēķinu</w:t>
            </w:r>
            <w:r w:rsidR="00032F28" w:rsidRPr="00032F28">
              <w:t>.</w:t>
            </w:r>
          </w:p>
          <w:p w:rsidR="00736B3B" w:rsidRPr="000C5660" w:rsidRDefault="00736B3B" w:rsidP="00C3009C">
            <w:pPr>
              <w:spacing w:before="120" w:after="120"/>
              <w:ind w:left="107" w:right="112"/>
              <w:jc w:val="both"/>
            </w:pPr>
            <w:r w:rsidRPr="000C5660">
              <w:t>Vienlaikus norādām, ka situācijā, kad projekta iesniegumā ir komercdarbības atbalsta pazīmes, minētā formula paliek nemainīga</w:t>
            </w:r>
            <w:r w:rsidR="000C5660" w:rsidRPr="000C5660">
              <w:t xml:space="preserve">, jo normatīvajos aktos par Eiropas Savienības fonda specifiskā atbalsta mērķa īstenošanu (turpmāk </w:t>
            </w:r>
            <w:r w:rsidR="000C5660">
              <w:t>–</w:t>
            </w:r>
            <w:r w:rsidR="006E3101">
              <w:t xml:space="preserve"> </w:t>
            </w:r>
            <w:r w:rsidR="000C5660" w:rsidRPr="000C5660">
              <w:t xml:space="preserve">SAM) noteiktais nacionālā publiskā finansējuma attiecināmo izmaksu īpatsvars </w:t>
            </w:r>
            <w:r w:rsidR="00ED16CD">
              <w:t>(</w:t>
            </w:r>
            <w:r w:rsidR="000C5660" w:rsidRPr="000C5660">
              <w:t>procentos</w:t>
            </w:r>
            <w:r w:rsidR="00ED16CD">
              <w:t>)</w:t>
            </w:r>
            <w:r w:rsidR="000C5660" w:rsidRPr="000C5660">
              <w:t>, nozīmē, ka E</w:t>
            </w:r>
            <w:r w:rsidR="006E3101">
              <w:t>iropas Savienības</w:t>
            </w:r>
            <w:r w:rsidR="000C5660" w:rsidRPr="000C5660">
              <w:t xml:space="preserve"> fondu SAM var būt noteikts, ka nacionālā publiskā finansējuma attiecināmo izmaksu īpatsvars ir 0 vai vairāk atkarībā no konkrētā regulējuma, </w:t>
            </w:r>
            <w:r w:rsidR="00ED16CD">
              <w:t>līdz ar to</w:t>
            </w:r>
            <w:r w:rsidR="000C5660" w:rsidRPr="000C5660">
              <w:t xml:space="preserve"> tas tiek ņemts vērā, aprēķinot valsts budžeta dotāciju.</w:t>
            </w:r>
          </w:p>
          <w:p w:rsidR="00D236E1" w:rsidRPr="00C73FCF" w:rsidRDefault="00D236E1" w:rsidP="00C3009C">
            <w:pPr>
              <w:spacing w:before="120" w:after="120"/>
              <w:ind w:left="107" w:right="112"/>
              <w:jc w:val="both"/>
            </w:pPr>
            <w:r w:rsidRPr="00C73FCF">
              <w:t xml:space="preserve">Valsts budžeta dotāciju apstiprina, izvērtējot </w:t>
            </w:r>
            <w:r w:rsidR="00C3009C" w:rsidRPr="00C73FCF">
              <w:t>Eiropas Savienības fondu vadībā iesaistītajā institūcijā</w:t>
            </w:r>
            <w:r w:rsidR="00AE2D8D" w:rsidRPr="00C73FCF">
              <w:t xml:space="preserve"> iesniegto </w:t>
            </w:r>
            <w:r w:rsidR="00881EF3" w:rsidRPr="00C73FCF">
              <w:t xml:space="preserve">Eiropas Savienības fonda </w:t>
            </w:r>
            <w:r w:rsidR="00AE2D8D" w:rsidRPr="00C73FCF">
              <w:t>projekta iesniegumu</w:t>
            </w:r>
            <w:r w:rsidR="00881EF3" w:rsidRPr="00C73FCF">
              <w:t>,</w:t>
            </w:r>
            <w:r w:rsidR="00AE2D8D" w:rsidRPr="00C73FCF">
              <w:t xml:space="preserve"> un piešķirtais valsts budžeta dotācijas </w:t>
            </w:r>
            <w:r w:rsidR="00881EF3" w:rsidRPr="00C73FCF">
              <w:t xml:space="preserve">pašvaldībām </w:t>
            </w:r>
            <w:r w:rsidR="00456F3A" w:rsidRPr="00456F3A">
              <w:t>atbalsta īpatsvars</w:t>
            </w:r>
            <w:r w:rsidR="00AE2D8D" w:rsidRPr="00C73FCF">
              <w:t xml:space="preserve"> projekta īstenošanas laikā ir nemainīgs.</w:t>
            </w:r>
          </w:p>
          <w:p w:rsidR="00AE2D8D" w:rsidRPr="00DD5E72" w:rsidRDefault="00DD5E72" w:rsidP="000E458D">
            <w:pPr>
              <w:spacing w:before="120" w:after="120"/>
              <w:ind w:left="107" w:right="112"/>
              <w:jc w:val="both"/>
              <w:rPr>
                <w:bCs/>
              </w:rPr>
            </w:pPr>
            <w:r w:rsidRPr="00DD5E72">
              <w:t xml:space="preserve">Valsts budžeta līdzekļu dotāciju pašvaldībai plāno un pieprasa saskaņā ar normatīvo aktu, kas nosaka kārtību, kādā valsts budžetā plāno līdzekļus Eiropas Savienības </w:t>
            </w:r>
            <w:r w:rsidR="006E3101">
              <w:t>fondu</w:t>
            </w:r>
            <w:r w:rsidRPr="00DD5E72">
              <w:t xml:space="preserve"> līdzfinansēto projektu īstenošanai</w:t>
            </w:r>
            <w:r w:rsidR="00AE2D8D" w:rsidRPr="00DD5E72">
              <w:rPr>
                <w:bCs/>
              </w:rPr>
              <w:t>.</w:t>
            </w:r>
          </w:p>
          <w:p w:rsidR="00D236E1" w:rsidRPr="00C73FCF" w:rsidRDefault="00D236E1" w:rsidP="000E458D">
            <w:pPr>
              <w:spacing w:before="120" w:after="120"/>
              <w:ind w:left="107" w:right="112"/>
              <w:jc w:val="both"/>
            </w:pPr>
            <w:r w:rsidRPr="00C73FCF">
              <w:rPr>
                <w:bCs/>
              </w:rPr>
              <w:t xml:space="preserve">Finansējums </w:t>
            </w:r>
            <w:r w:rsidRPr="00C73FCF">
              <w:t xml:space="preserve">Eiropas Savienības politiku instrumentu un pārējās ārvalstu palīdzības līdzfinansēto projektu un pasākumu īstenošanai ir ieplānots Finanšu ministrijas budžeta programmā </w:t>
            </w:r>
            <w:r w:rsidR="000E458D" w:rsidRPr="00C73FCF">
              <w:t>80.00.00 „Nesadalītais finansējums Eiropas Savienības politiku instrumentu un pārējās ārvalstu finanšu palīdzības līdzfinansēto projektu un pasākumu īstenošanai”</w:t>
            </w:r>
            <w:r w:rsidRPr="00C73FCF">
              <w:rPr>
                <w:bCs/>
              </w:rPr>
              <w:t xml:space="preserve">, no kuras </w:t>
            </w:r>
            <w:r w:rsidRPr="00C73FCF">
              <w:t>ministrijas noteiktā kārtībā, kad projekts ir apstiprināts, var pieprasīt līdzekļu pārdali.</w:t>
            </w:r>
          </w:p>
          <w:p w:rsidR="007D2970" w:rsidRPr="00560215" w:rsidRDefault="00881EF3" w:rsidP="00281C38">
            <w:pPr>
              <w:spacing w:before="120" w:after="120"/>
              <w:ind w:left="107" w:right="112"/>
              <w:jc w:val="both"/>
            </w:pPr>
            <w:r w:rsidRPr="00C73FCF">
              <w:t xml:space="preserve">Noteikumu projekts neparedz kritērijus un kārtību valsts budžeta dotācijas </w:t>
            </w:r>
            <w:r w:rsidRPr="00C73FCF">
              <w:rPr>
                <w:bCs/>
              </w:rPr>
              <w:t xml:space="preserve">piešķiršanai plānošanas reģioniem, jo plānošanas reģionu darbība jau šobrīd </w:t>
            </w:r>
            <w:r w:rsidRPr="00C73FCF">
              <w:t xml:space="preserve">tiek finansēta no valsts pamatbudžeta. </w:t>
            </w:r>
          </w:p>
        </w:tc>
      </w:tr>
      <w:tr w:rsidR="009E2AA4" w:rsidRPr="00C73FCF" w:rsidTr="005C6F23">
        <w:tc>
          <w:tcPr>
            <w:tcW w:w="227" w:type="pct"/>
            <w:tcBorders>
              <w:top w:val="outset" w:sz="6" w:space="0" w:color="000000"/>
              <w:left w:val="outset" w:sz="6" w:space="0" w:color="000000"/>
              <w:bottom w:val="outset" w:sz="6" w:space="0" w:color="000000"/>
              <w:right w:val="outset" w:sz="6" w:space="0" w:color="000000"/>
            </w:tcBorders>
          </w:tcPr>
          <w:p w:rsidR="009E2AA4" w:rsidRPr="00C73FCF" w:rsidRDefault="00713ED9" w:rsidP="0022311E">
            <w:r w:rsidRPr="00C73FCF">
              <w:lastRenderedPageBreak/>
              <w:t>3</w:t>
            </w:r>
            <w:r w:rsidR="009E2AA4" w:rsidRPr="00C73FCF">
              <w:t>.</w:t>
            </w:r>
          </w:p>
        </w:tc>
        <w:tc>
          <w:tcPr>
            <w:tcW w:w="875" w:type="pct"/>
            <w:tcBorders>
              <w:top w:val="outset" w:sz="6" w:space="0" w:color="000000"/>
              <w:left w:val="outset" w:sz="6" w:space="0" w:color="000000"/>
              <w:bottom w:val="outset" w:sz="6" w:space="0" w:color="000000"/>
              <w:right w:val="outset" w:sz="6" w:space="0" w:color="000000"/>
            </w:tcBorders>
          </w:tcPr>
          <w:p w:rsidR="009E2AA4" w:rsidRPr="00C73FCF" w:rsidRDefault="009E2AA4" w:rsidP="0022311E">
            <w:r w:rsidRPr="00C73FCF">
              <w:t>Projekta izstrādē iesaistītās institūcijas</w:t>
            </w:r>
          </w:p>
        </w:tc>
        <w:tc>
          <w:tcPr>
            <w:tcW w:w="3899" w:type="pct"/>
            <w:tcBorders>
              <w:top w:val="outset" w:sz="6" w:space="0" w:color="000000"/>
              <w:left w:val="outset" w:sz="6" w:space="0" w:color="000000"/>
              <w:bottom w:val="outset" w:sz="6" w:space="0" w:color="000000"/>
              <w:right w:val="outset" w:sz="6" w:space="0" w:color="000000"/>
            </w:tcBorders>
          </w:tcPr>
          <w:p w:rsidR="009E2AA4" w:rsidRPr="00E4265D" w:rsidRDefault="00E4265D" w:rsidP="00D412EE">
            <w:pPr>
              <w:ind w:left="134"/>
            </w:pPr>
            <w:r w:rsidRPr="00E4265D">
              <w:t xml:space="preserve">Finanšu ministrija, Pārresoru koordinācijas centrs, Tieslietu ministrija, </w:t>
            </w:r>
            <w:r w:rsidRPr="00E4265D">
              <w:rPr>
                <w:iCs/>
              </w:rPr>
              <w:t xml:space="preserve">Latvijas Lielo pilsētu asociācija, </w:t>
            </w:r>
            <w:r w:rsidRPr="00E4265D">
              <w:t>Latvijas Pašvaldību savienība, Valsts reģionālās attīstības aģentūra</w:t>
            </w:r>
            <w:r>
              <w:t>.</w:t>
            </w:r>
          </w:p>
        </w:tc>
      </w:tr>
      <w:tr w:rsidR="009E2AA4" w:rsidRPr="00C73FCF" w:rsidTr="005C6F23">
        <w:tc>
          <w:tcPr>
            <w:tcW w:w="227" w:type="pct"/>
            <w:tcBorders>
              <w:top w:val="outset" w:sz="6" w:space="0" w:color="000000"/>
              <w:left w:val="outset" w:sz="6" w:space="0" w:color="000000"/>
              <w:bottom w:val="outset" w:sz="6" w:space="0" w:color="000000"/>
              <w:right w:val="outset" w:sz="6" w:space="0" w:color="000000"/>
            </w:tcBorders>
          </w:tcPr>
          <w:p w:rsidR="009E2AA4" w:rsidRPr="00C73FCF" w:rsidRDefault="009F3068" w:rsidP="0022311E">
            <w:r w:rsidRPr="00C73FCF">
              <w:t>4</w:t>
            </w:r>
            <w:r w:rsidR="009E2AA4" w:rsidRPr="00C73FCF">
              <w:t>.</w:t>
            </w:r>
          </w:p>
        </w:tc>
        <w:tc>
          <w:tcPr>
            <w:tcW w:w="875" w:type="pct"/>
            <w:tcBorders>
              <w:top w:val="outset" w:sz="6" w:space="0" w:color="000000"/>
              <w:left w:val="outset" w:sz="6" w:space="0" w:color="000000"/>
              <w:bottom w:val="outset" w:sz="6" w:space="0" w:color="000000"/>
              <w:right w:val="outset" w:sz="6" w:space="0" w:color="000000"/>
            </w:tcBorders>
          </w:tcPr>
          <w:p w:rsidR="009E2AA4" w:rsidRPr="00C73FCF" w:rsidRDefault="009E2AA4" w:rsidP="0022311E">
            <w:r w:rsidRPr="00C73FCF">
              <w:t>Cita informācija</w:t>
            </w:r>
          </w:p>
        </w:tc>
        <w:tc>
          <w:tcPr>
            <w:tcW w:w="3899" w:type="pct"/>
            <w:tcBorders>
              <w:top w:val="outset" w:sz="6" w:space="0" w:color="000000"/>
              <w:left w:val="outset" w:sz="6" w:space="0" w:color="000000"/>
              <w:bottom w:val="outset" w:sz="6" w:space="0" w:color="000000"/>
              <w:right w:val="outset" w:sz="6" w:space="0" w:color="000000"/>
            </w:tcBorders>
          </w:tcPr>
          <w:p w:rsidR="00EB2223" w:rsidRPr="00C73FCF" w:rsidRDefault="00EB2223" w:rsidP="00F1381E">
            <w:pPr>
              <w:pStyle w:val="Footer"/>
              <w:tabs>
                <w:tab w:val="clear" w:pos="4153"/>
                <w:tab w:val="clear" w:pos="8306"/>
              </w:tabs>
              <w:spacing w:before="120" w:after="120"/>
              <w:ind w:left="107" w:right="112"/>
              <w:jc w:val="both"/>
              <w:rPr>
                <w:lang w:val="sv-SE"/>
              </w:rPr>
            </w:pPr>
            <w:r w:rsidRPr="00682C40">
              <w:rPr>
                <w:b/>
                <w:bCs/>
              </w:rPr>
              <w:t xml:space="preserve">Valsts budžeta </w:t>
            </w:r>
            <w:r w:rsidRPr="00682C40">
              <w:rPr>
                <w:b/>
              </w:rPr>
              <w:t>dotācijas</w:t>
            </w:r>
            <w:r w:rsidR="00910B7C">
              <w:rPr>
                <w:b/>
              </w:rPr>
              <w:t xml:space="preserve"> </w:t>
            </w:r>
            <w:r w:rsidR="00910B7C" w:rsidRPr="00910B7C">
              <w:rPr>
                <w:i/>
                <w:lang w:val="sv-SE"/>
              </w:rPr>
              <w:t>(turpmāk – VBD)</w:t>
            </w:r>
            <w:r w:rsidR="00910B7C" w:rsidRPr="00C73FCF">
              <w:rPr>
                <w:i/>
                <w:lang w:val="sv-SE"/>
              </w:rPr>
              <w:t xml:space="preserve"> </w:t>
            </w:r>
            <w:r w:rsidRPr="00682C40">
              <w:rPr>
                <w:b/>
              </w:rPr>
              <w:t>pašvaldībai aprēķināšanas formulas izmantošanas piemērs</w:t>
            </w:r>
            <w:r w:rsidRPr="00C73FCF">
              <w:t>:</w:t>
            </w:r>
          </w:p>
          <w:p w:rsidR="00EB2223" w:rsidRPr="00C73FCF" w:rsidRDefault="00EB2223" w:rsidP="00F1381E">
            <w:pPr>
              <w:pStyle w:val="Footer"/>
              <w:tabs>
                <w:tab w:val="clear" w:pos="4153"/>
                <w:tab w:val="clear" w:pos="8306"/>
              </w:tabs>
              <w:spacing w:before="120" w:after="120"/>
              <w:ind w:left="107" w:right="112"/>
              <w:jc w:val="both"/>
              <w:rPr>
                <w:i/>
                <w:lang w:val="sv-SE"/>
              </w:rPr>
            </w:pPr>
            <w:r w:rsidRPr="00C73FCF">
              <w:rPr>
                <w:i/>
                <w:lang w:val="sv-SE"/>
              </w:rPr>
              <w:t xml:space="preserve">Projektā ERAF finansējums ir 85 procenti no projekta kopējām attiecināmajām izmaksām un pašvaldības finansējums ir 15 procenti no projekta kopējām attiecināmajām izmaksām. </w:t>
            </w:r>
            <w:r w:rsidR="00910B7C">
              <w:rPr>
                <w:i/>
                <w:lang w:val="sv-SE"/>
              </w:rPr>
              <w:t xml:space="preserve">VBD </w:t>
            </w:r>
            <w:r w:rsidR="00C73FCF" w:rsidRPr="00C73FCF">
              <w:rPr>
                <w:i/>
                <w:lang w:val="sv-SE"/>
              </w:rPr>
              <w:t>īpatsvars</w:t>
            </w:r>
            <w:r w:rsidRPr="00C73FCF">
              <w:rPr>
                <w:i/>
                <w:lang w:val="sv-SE"/>
              </w:rPr>
              <w:t xml:space="preserve"> pašvaldībai ir </w:t>
            </w:r>
            <w:r w:rsidR="00DE3857" w:rsidRPr="00C73FCF">
              <w:rPr>
                <w:i/>
                <w:lang w:val="sv-SE"/>
              </w:rPr>
              <w:t>25</w:t>
            </w:r>
            <w:r w:rsidRPr="00C73FCF">
              <w:rPr>
                <w:i/>
                <w:lang w:val="sv-SE"/>
              </w:rPr>
              <w:t xml:space="preserve"> procenti no projekta iesniedzēja finansējuma attiecināmo izmaksu daļas, kas nav mazāka par 15 procentiem, un projekta kopējās attiecināmās izmaksas ir 1 000 000 euro.</w:t>
            </w:r>
          </w:p>
          <w:p w:rsidR="009E2AA4" w:rsidRPr="00C73FCF" w:rsidRDefault="00EB2223" w:rsidP="00F1381E">
            <w:pPr>
              <w:spacing w:before="120" w:after="120"/>
              <w:ind w:left="107" w:right="112"/>
              <w:jc w:val="both"/>
              <w:rPr>
                <w:i/>
                <w:u w:val="single"/>
                <w:lang w:val="sv-SE"/>
              </w:rPr>
            </w:pPr>
            <w:r w:rsidRPr="00C73FCF">
              <w:rPr>
                <w:i/>
                <w:u w:val="single"/>
                <w:lang w:val="sv-SE"/>
              </w:rPr>
              <w:t>VBD</w:t>
            </w:r>
            <w:r w:rsidRPr="00C73FCF">
              <w:rPr>
                <w:i/>
                <w:lang w:val="sv-SE"/>
              </w:rPr>
              <w:t xml:space="preserve"> = 1 000 000 x 0,15 x </w:t>
            </w:r>
            <w:r w:rsidR="00DE3857" w:rsidRPr="00C73FCF">
              <w:rPr>
                <w:i/>
                <w:lang w:val="sv-SE"/>
              </w:rPr>
              <w:t>25</w:t>
            </w:r>
            <w:r w:rsidRPr="00C73FCF">
              <w:rPr>
                <w:i/>
                <w:lang w:val="sv-SE"/>
              </w:rPr>
              <w:t>% = 150 000 x 0,</w:t>
            </w:r>
            <w:r w:rsidR="00DE3857" w:rsidRPr="00C73FCF">
              <w:rPr>
                <w:i/>
                <w:lang w:val="sv-SE"/>
              </w:rPr>
              <w:t>25</w:t>
            </w:r>
            <w:r w:rsidRPr="00C73FCF">
              <w:rPr>
                <w:i/>
                <w:lang w:val="sv-SE"/>
              </w:rPr>
              <w:t xml:space="preserve"> = </w:t>
            </w:r>
            <w:r w:rsidR="00DE3857" w:rsidRPr="00C73FCF">
              <w:rPr>
                <w:i/>
                <w:u w:val="single"/>
                <w:lang w:val="sv-SE"/>
              </w:rPr>
              <w:t>37</w:t>
            </w:r>
            <w:r w:rsidRPr="00C73FCF">
              <w:rPr>
                <w:i/>
                <w:u w:val="single"/>
                <w:lang w:val="sv-SE"/>
              </w:rPr>
              <w:t> </w:t>
            </w:r>
            <w:r w:rsidR="00DE3857" w:rsidRPr="00C73FCF">
              <w:rPr>
                <w:i/>
                <w:u w:val="single"/>
                <w:lang w:val="sv-SE"/>
              </w:rPr>
              <w:t>5</w:t>
            </w:r>
            <w:r w:rsidRPr="00C73FCF">
              <w:rPr>
                <w:i/>
                <w:u w:val="single"/>
                <w:lang w:val="sv-SE"/>
              </w:rPr>
              <w:t>00 euro</w:t>
            </w:r>
          </w:p>
          <w:p w:rsidR="0032302E" w:rsidRPr="008F62CD" w:rsidRDefault="00AE2D8D" w:rsidP="0032302E">
            <w:pPr>
              <w:spacing w:before="120" w:after="120"/>
              <w:ind w:left="107" w:right="112"/>
              <w:jc w:val="both"/>
            </w:pPr>
            <w:r w:rsidRPr="00C73FCF">
              <w:lastRenderedPageBreak/>
              <w:t>Ja projektā paredzēts sadarbības partneris</w:t>
            </w:r>
            <w:r w:rsidR="007E6681">
              <w:t>, kas ir pašvaldība</w:t>
            </w:r>
            <w:r w:rsidRPr="00C73FCF">
              <w:t>, katram sadarbības partnerim valsts budžeta dotācijas apmēru aprēķina proporcionāli sadarbības partnera attiecināmo izmaksu daļai</w:t>
            </w:r>
            <w:r w:rsidR="00C73FCF" w:rsidRPr="00C73FCF">
              <w:t>.</w:t>
            </w:r>
            <w:r w:rsidR="005F1E66" w:rsidRPr="00C73FCF">
              <w:t xml:space="preserve"> </w:t>
            </w:r>
            <w:r w:rsidR="00C73FCF" w:rsidRPr="00C73FCF">
              <w:t>V</w:t>
            </w:r>
            <w:r w:rsidR="005F1E66" w:rsidRPr="00C73FCF">
              <w:t>alsts budžeta dotācija</w:t>
            </w:r>
            <w:r w:rsidR="00C73FCF" w:rsidRPr="00C73FCF">
              <w:t xml:space="preserve"> </w:t>
            </w:r>
            <w:r w:rsidR="005F1E66" w:rsidRPr="00C73FCF">
              <w:t xml:space="preserve">tiek aprēķināta katram projektā iesaistītajam partnerim atsevišķi, ņemot vērā </w:t>
            </w:r>
            <w:r w:rsidR="00C73FCF" w:rsidRPr="00C73FCF">
              <w:t xml:space="preserve">katra sadarbības partnera pašvaldības budžeta </w:t>
            </w:r>
            <w:r w:rsidR="00C73FCF" w:rsidRPr="008F62CD">
              <w:t xml:space="preserve">kapacitātes rādītāja intervālu un atbilstošo </w:t>
            </w:r>
            <w:r w:rsidR="005F1E66" w:rsidRPr="008F62CD">
              <w:t>valsts budžeta dotācijas īpatsvaru</w:t>
            </w:r>
            <w:r w:rsidR="00C73FCF" w:rsidRPr="008F62CD">
              <w:t>,</w:t>
            </w:r>
            <w:r w:rsidR="005F1E66" w:rsidRPr="008F62CD">
              <w:t xml:space="preserve"> procentos.</w:t>
            </w:r>
          </w:p>
          <w:p w:rsidR="008F62CD" w:rsidRPr="008F62CD" w:rsidRDefault="008F62CD" w:rsidP="0032302E">
            <w:pPr>
              <w:spacing w:before="120" w:after="120"/>
              <w:ind w:left="107" w:right="112"/>
              <w:jc w:val="both"/>
              <w:rPr>
                <w:b/>
              </w:rPr>
            </w:pPr>
            <w:r w:rsidRPr="008F62CD">
              <w:rPr>
                <w:b/>
              </w:rPr>
              <w:t>VBD aprēķināšanas modeļa izvēles aspekti</w:t>
            </w:r>
          </w:p>
          <w:p w:rsidR="008F62CD" w:rsidRPr="003A58AE" w:rsidRDefault="006D66E9" w:rsidP="0032302E">
            <w:pPr>
              <w:spacing w:before="120" w:after="120"/>
              <w:ind w:left="107" w:right="112"/>
              <w:jc w:val="both"/>
            </w:pPr>
            <w:r w:rsidRPr="003A58AE">
              <w:t>Diskusijās ar MK noteikumu projekta atzinuma sniedzējiem tika vērtēti divu variantu modeļi, kā aprēķināt pašvaldības budžeta kapacitātes rādītāju standartizēto vērtību, no kuras savukārt ir atkarīgs VBD īpatsvars projekta nacionālajā līdzfinansējumā:</w:t>
            </w:r>
          </w:p>
          <w:p w:rsidR="008F62CD" w:rsidRPr="003A58AE" w:rsidRDefault="006D66E9" w:rsidP="008F62CD">
            <w:pPr>
              <w:pStyle w:val="ListParagraph"/>
              <w:numPr>
                <w:ilvl w:val="0"/>
                <w:numId w:val="33"/>
              </w:numPr>
              <w:spacing w:before="120" w:after="120"/>
              <w:ind w:right="112"/>
              <w:jc w:val="both"/>
              <w:rPr>
                <w:rFonts w:ascii="Times New Roman" w:hAnsi="Times New Roman"/>
                <w:sz w:val="24"/>
                <w:szCs w:val="24"/>
              </w:rPr>
            </w:pPr>
            <w:r w:rsidRPr="003A58AE">
              <w:rPr>
                <w:rFonts w:ascii="Times New Roman" w:hAnsi="Times New Roman"/>
                <w:sz w:val="24"/>
                <w:szCs w:val="24"/>
              </w:rPr>
              <w:t xml:space="preserve">modelis, kurā ņemti vērā pašvaldības budžeta </w:t>
            </w:r>
            <w:r w:rsidR="00285B87" w:rsidRPr="003A58AE">
              <w:rPr>
                <w:rFonts w:ascii="Times New Roman" w:hAnsi="Times New Roman"/>
                <w:sz w:val="24"/>
                <w:szCs w:val="24"/>
              </w:rPr>
              <w:t xml:space="preserve">vērtētie </w:t>
            </w:r>
            <w:r w:rsidRPr="003A58AE">
              <w:rPr>
                <w:rFonts w:ascii="Times New Roman" w:hAnsi="Times New Roman"/>
                <w:sz w:val="24"/>
                <w:szCs w:val="24"/>
              </w:rPr>
              <w:t>ieņēmumi uz vienu iedzīvotāju, kā arī pašvaldības iedzīvotāju demogrāfiskais sastāvs;</w:t>
            </w:r>
          </w:p>
          <w:p w:rsidR="008F62CD" w:rsidRPr="003A58AE" w:rsidRDefault="006D66E9" w:rsidP="008F62CD">
            <w:pPr>
              <w:pStyle w:val="ListParagraph"/>
              <w:numPr>
                <w:ilvl w:val="0"/>
                <w:numId w:val="33"/>
              </w:numPr>
              <w:spacing w:before="120" w:after="120"/>
              <w:ind w:right="112"/>
              <w:jc w:val="both"/>
              <w:rPr>
                <w:rFonts w:ascii="Times New Roman" w:hAnsi="Times New Roman"/>
                <w:sz w:val="24"/>
                <w:szCs w:val="24"/>
              </w:rPr>
            </w:pPr>
            <w:r w:rsidRPr="003A58AE">
              <w:rPr>
                <w:rFonts w:ascii="Times New Roman" w:hAnsi="Times New Roman"/>
                <w:sz w:val="24"/>
                <w:szCs w:val="24"/>
              </w:rPr>
              <w:t xml:space="preserve">modelis, kurā ņemti vērā tikai pašvaldības budžeta </w:t>
            </w:r>
            <w:r w:rsidR="00285B87" w:rsidRPr="003A58AE">
              <w:rPr>
                <w:rFonts w:ascii="Times New Roman" w:hAnsi="Times New Roman"/>
                <w:sz w:val="24"/>
                <w:szCs w:val="24"/>
              </w:rPr>
              <w:t xml:space="preserve">vērtētie </w:t>
            </w:r>
            <w:r w:rsidRPr="003A58AE">
              <w:rPr>
                <w:rFonts w:ascii="Times New Roman" w:hAnsi="Times New Roman"/>
                <w:sz w:val="24"/>
                <w:szCs w:val="24"/>
              </w:rPr>
              <w:t>ieņēmumi uz vienu iedzīvotāju.</w:t>
            </w:r>
          </w:p>
          <w:p w:rsidR="008F62CD" w:rsidRPr="003A58AE" w:rsidRDefault="006D66E9" w:rsidP="008F62CD">
            <w:pPr>
              <w:spacing w:before="120" w:after="120"/>
              <w:ind w:left="107" w:right="112"/>
              <w:jc w:val="both"/>
            </w:pPr>
            <w:r w:rsidRPr="003A58AE">
              <w:t xml:space="preserve">Modeļu atšķirības </w:t>
            </w:r>
            <w:r w:rsidR="001C5A95" w:rsidRPr="003A58AE">
              <w:t xml:space="preserve">ir </w:t>
            </w:r>
            <w:r w:rsidRPr="003A58AE">
              <w:t xml:space="preserve">iedzīvotāju demogrāfiskā sastāva aspektā. </w:t>
            </w:r>
            <w:r w:rsidR="00285B87" w:rsidRPr="003A58AE">
              <w:t xml:space="preserve">1.modelī ir pilnībā ņemts vērā Pašvaldību finanšu izlīdzināšanas </w:t>
            </w:r>
            <w:r w:rsidRPr="003A58AE">
              <w:t xml:space="preserve">(turpmāk – PFI) </w:t>
            </w:r>
            <w:r w:rsidR="00285B87" w:rsidRPr="003A58AE">
              <w:t xml:space="preserve">fonda </w:t>
            </w:r>
            <w:r w:rsidRPr="003A58AE">
              <w:t>finansējuma modelis, kurš paredz to, ka pašvaldību budžeta kapacitāti ietekmē ne tikai pašvaldību ieņēmum</w:t>
            </w:r>
            <w:r w:rsidR="00285B87" w:rsidRPr="003A58AE">
              <w:t xml:space="preserve">i uz vienu iedzīvotāju, bet arī </w:t>
            </w:r>
            <w:r w:rsidRPr="003A58AE">
              <w:t>iedzīvotāju vecuma struktūra</w:t>
            </w:r>
            <w:r w:rsidR="00285B87" w:rsidRPr="003A58AE">
              <w:t xml:space="preserve"> (potenciālie izdevumi)</w:t>
            </w:r>
            <w:r w:rsidRPr="003A58AE">
              <w:t>, proti – bērni un vecāka gadagājuma cilvēki pašvaldībai izmaksā dārgāk, nekā iedzīvotāji darbspējas vecumā. Tātad pašvaldībai ar relatīvi augstiem budžeta ieņēmumiem uz vienu iedzīvotāju budžeta atlikums investīciju projektu īstenošanai var būtiski samazināties, ja pašvaldībā dzīvo salīdzinoši daudz cilvēku, kuri nav darbspējas vecumā.</w:t>
            </w:r>
          </w:p>
          <w:p w:rsidR="001C5A95" w:rsidRPr="003A58AE" w:rsidRDefault="006D66E9" w:rsidP="008F62CD">
            <w:pPr>
              <w:spacing w:before="120" w:after="120"/>
              <w:ind w:left="107" w:right="112"/>
              <w:jc w:val="both"/>
            </w:pPr>
            <w:r w:rsidRPr="003A58AE">
              <w:t>2.modelī galvenais kritērijs ir pašvaldības spēja pašai nopelnīt, neņemot vērā pašvaldības izdevumus, kas saistīti ar tās īpatnējo iedzīvotāju vecuma struktū</w:t>
            </w:r>
            <w:r w:rsidR="001C5A95" w:rsidRPr="003A58AE">
              <w:t xml:space="preserve">ru (neņemot vērā PFI). </w:t>
            </w:r>
          </w:p>
          <w:p w:rsidR="001C5A95" w:rsidRPr="003A58AE" w:rsidRDefault="004F47DE" w:rsidP="001C5A95">
            <w:pPr>
              <w:spacing w:before="120" w:after="120"/>
              <w:ind w:left="107" w:right="112"/>
              <w:jc w:val="both"/>
            </w:pPr>
            <w:r>
              <w:t>Diskusiju rezultātā tika izvēlēts 2</w:t>
            </w:r>
            <w:r w:rsidRPr="003A58AE">
              <w:t>.modeli</w:t>
            </w:r>
            <w:r>
              <w:t>s</w:t>
            </w:r>
            <w:r w:rsidRPr="003A58AE">
              <w:t xml:space="preserve">, jo </w:t>
            </w:r>
            <w:r>
              <w:t>tajā</w:t>
            </w:r>
            <w:r w:rsidR="006D66E9" w:rsidRPr="003A58AE">
              <w:t xml:space="preserve"> pašvaldību budžeta kapacitātes rādītāju standartizētās vērtības ir vairāk atšķirīgas un vairāk noturīgas pret ārējām izmaiņām ilgtermiņā</w:t>
            </w:r>
            <w:r>
              <w:t>.</w:t>
            </w:r>
          </w:p>
          <w:p w:rsidR="00682C40" w:rsidRPr="008A2C47" w:rsidRDefault="00682C40" w:rsidP="005E765B">
            <w:pPr>
              <w:spacing w:before="120" w:after="120"/>
              <w:ind w:left="107" w:right="112"/>
              <w:jc w:val="both"/>
              <w:rPr>
                <w:b/>
              </w:rPr>
            </w:pPr>
            <w:r w:rsidRPr="008A2C47">
              <w:rPr>
                <w:b/>
              </w:rPr>
              <w:t xml:space="preserve">Informācija par </w:t>
            </w:r>
            <w:r w:rsidR="006D66E9" w:rsidRPr="008A2C47">
              <w:rPr>
                <w:b/>
              </w:rPr>
              <w:t>pašvaldību budžeta kapacitātes rādītāju intervāliem</w:t>
            </w:r>
          </w:p>
          <w:p w:rsidR="0063229D" w:rsidRDefault="006D66E9" w:rsidP="0063229D">
            <w:pPr>
              <w:spacing w:before="120" w:after="120"/>
              <w:ind w:left="107" w:right="112"/>
              <w:jc w:val="both"/>
            </w:pPr>
            <w:r w:rsidRPr="003A58AE">
              <w:t>Pašvaldību budžeta kapacitātes rādītāju intervāli, kas nosaka VBD īpatsvaru projekta nacionālajā līdzfinansējumā, veidojas no Valsts reģionālās attīstības aģentūras veiktajos aprēķinos noteiktās pašvaldību budžeta kapacitātes rādītāja standartizētās vērtības katrai pašvaldībai, novērtējot katras pašvaldības budžeta kapacitātes standartizēto vērtību p</w:t>
            </w:r>
            <w:r w:rsidR="004F47DE">
              <w:t>o</w:t>
            </w:r>
            <w:r w:rsidR="005C6F23">
              <w:t>s</w:t>
            </w:r>
            <w:r w:rsidR="004F47DE">
              <w:t>ms</w:t>
            </w:r>
            <w:r w:rsidRPr="003A58AE">
              <w:t xml:space="preserve"> </w:t>
            </w:r>
            <w:r w:rsidR="00451285" w:rsidRPr="003A58AE">
              <w:t>PFI</w:t>
            </w:r>
            <w:r w:rsidRPr="003A58AE">
              <w:t xml:space="preserve"> instrumenta piemērošanas un </w:t>
            </w:r>
            <w:r w:rsidRPr="005C6F23">
              <w:t xml:space="preserve">sadalot pašvaldības </w:t>
            </w:r>
            <w:r w:rsidR="005C6F23" w:rsidRPr="005C6F23">
              <w:t>piecās</w:t>
            </w:r>
            <w:r w:rsidRPr="005C6F23">
              <w:t xml:space="preserve"> grupās (intervālos) pēc būtības.</w:t>
            </w:r>
            <w:r w:rsidRPr="003A58AE">
              <w:t xml:space="preserve"> </w:t>
            </w:r>
          </w:p>
          <w:p w:rsidR="00926971" w:rsidRDefault="00926971" w:rsidP="0063229D">
            <w:pPr>
              <w:spacing w:before="120" w:after="120"/>
              <w:ind w:left="107" w:right="112"/>
              <w:jc w:val="both"/>
            </w:pPr>
          </w:p>
          <w:p w:rsidR="00926971" w:rsidRDefault="00926971" w:rsidP="0063229D">
            <w:pPr>
              <w:spacing w:before="120" w:after="120"/>
              <w:ind w:left="107" w:right="112"/>
              <w:jc w:val="both"/>
            </w:pPr>
          </w:p>
          <w:p w:rsidR="00926971" w:rsidRDefault="00926971" w:rsidP="0063229D">
            <w:pPr>
              <w:spacing w:before="120" w:after="120"/>
              <w:ind w:left="107" w:right="112"/>
              <w:jc w:val="both"/>
            </w:pPr>
          </w:p>
          <w:p w:rsidR="00926971" w:rsidRPr="003A58AE" w:rsidRDefault="00926971" w:rsidP="0063229D">
            <w:pPr>
              <w:spacing w:before="120" w:after="120"/>
              <w:ind w:left="107" w:right="112"/>
              <w:jc w:val="both"/>
            </w:pPr>
          </w:p>
          <w:p w:rsidR="0063229D" w:rsidRPr="008C3C6A" w:rsidRDefault="006D66E9" w:rsidP="0063229D">
            <w:pPr>
              <w:spacing w:before="120" w:after="120"/>
              <w:ind w:left="107" w:right="112"/>
              <w:jc w:val="both"/>
              <w:rPr>
                <w:b/>
              </w:rPr>
            </w:pPr>
            <w:r w:rsidRPr="006D66E9">
              <w:rPr>
                <w:b/>
              </w:rPr>
              <w:lastRenderedPageBreak/>
              <w:t>Sadalījums intervālu grupās ir šāds:</w:t>
            </w:r>
          </w:p>
          <w:tbl>
            <w:tblPr>
              <w:tblStyle w:val="LightGrid-Accent11"/>
              <w:tblpPr w:leftFromText="180" w:rightFromText="180" w:vertAnchor="text" w:horzAnchor="page" w:tblpX="789" w:tblpY="299"/>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0"/>
              <w:gridCol w:w="840"/>
              <w:gridCol w:w="2123"/>
              <w:gridCol w:w="1701"/>
              <w:gridCol w:w="1701"/>
            </w:tblGrid>
            <w:tr w:rsidR="005C6F23" w:rsidRPr="00EF0EC0" w:rsidTr="005C6F23">
              <w:trPr>
                <w:cnfStyle w:val="100000000000"/>
                <w:trHeight w:val="686"/>
              </w:trPr>
              <w:tc>
                <w:tcPr>
                  <w:cnfStyle w:val="001000000000"/>
                  <w:tcW w:w="860" w:type="dxa"/>
                  <w:tcBorders>
                    <w:top w:val="none" w:sz="0" w:space="0" w:color="auto"/>
                    <w:left w:val="none" w:sz="0" w:space="0" w:color="auto"/>
                    <w:bottom w:val="none" w:sz="0" w:space="0" w:color="auto"/>
                    <w:right w:val="none" w:sz="0" w:space="0" w:color="auto"/>
                  </w:tcBorders>
                  <w:hideMark/>
                </w:tcPr>
                <w:p w:rsidR="005C6F23" w:rsidRPr="00EF0EC0" w:rsidRDefault="005C6F23" w:rsidP="005C6F23">
                  <w:pPr>
                    <w:jc w:val="center"/>
                    <w:rPr>
                      <w:rFonts w:ascii="Times New Roman" w:eastAsia="Times New Roman" w:hAnsi="Times New Roman"/>
                      <w:color w:val="000000"/>
                    </w:rPr>
                  </w:pPr>
                  <w:r w:rsidRPr="00EF0EC0">
                    <w:rPr>
                      <w:rFonts w:ascii="Times New Roman" w:eastAsia="Times New Roman" w:hAnsi="Times New Roman"/>
                      <w:color w:val="000000"/>
                    </w:rPr>
                    <w:t>Nr. p.k.</w:t>
                  </w:r>
                </w:p>
              </w:tc>
              <w:tc>
                <w:tcPr>
                  <w:tcW w:w="840" w:type="dxa"/>
                  <w:tcBorders>
                    <w:top w:val="none" w:sz="0" w:space="0" w:color="auto"/>
                    <w:left w:val="none" w:sz="0" w:space="0" w:color="auto"/>
                    <w:bottom w:val="none" w:sz="0" w:space="0" w:color="auto"/>
                    <w:right w:val="none" w:sz="0" w:space="0" w:color="auto"/>
                  </w:tcBorders>
                  <w:hideMark/>
                </w:tcPr>
                <w:p w:rsidR="005C6F23" w:rsidRPr="00EF0EC0" w:rsidRDefault="005C6F23" w:rsidP="005C6F23">
                  <w:pPr>
                    <w:jc w:val="center"/>
                    <w:cnfStyle w:val="100000000000"/>
                    <w:rPr>
                      <w:rFonts w:ascii="Times New Roman" w:eastAsia="Times New Roman" w:hAnsi="Times New Roman"/>
                      <w:color w:val="000000"/>
                    </w:rPr>
                  </w:pPr>
                  <w:r w:rsidRPr="00EF0EC0">
                    <w:rPr>
                      <w:rFonts w:ascii="Times New Roman" w:eastAsia="Times New Roman" w:hAnsi="Times New Roman"/>
                      <w:color w:val="000000"/>
                    </w:rPr>
                    <w:t>Grupa</w:t>
                  </w:r>
                </w:p>
              </w:tc>
              <w:tc>
                <w:tcPr>
                  <w:tcW w:w="2123" w:type="dxa"/>
                  <w:tcBorders>
                    <w:top w:val="none" w:sz="0" w:space="0" w:color="auto"/>
                    <w:left w:val="none" w:sz="0" w:space="0" w:color="auto"/>
                    <w:bottom w:val="none" w:sz="0" w:space="0" w:color="auto"/>
                    <w:right w:val="none" w:sz="0" w:space="0" w:color="auto"/>
                  </w:tcBorders>
                  <w:hideMark/>
                </w:tcPr>
                <w:p w:rsidR="005C6F23" w:rsidRPr="00EF0EC0" w:rsidRDefault="005C6F23" w:rsidP="005C6F23">
                  <w:pPr>
                    <w:jc w:val="center"/>
                    <w:cnfStyle w:val="100000000000"/>
                    <w:rPr>
                      <w:rFonts w:ascii="Times New Roman" w:eastAsia="Times New Roman" w:hAnsi="Times New Roman"/>
                      <w:color w:val="000000"/>
                    </w:rPr>
                  </w:pPr>
                  <w:r w:rsidRPr="00EF0EC0">
                    <w:rPr>
                      <w:rFonts w:ascii="Times New Roman" w:eastAsia="Times New Roman" w:hAnsi="Times New Roman"/>
                      <w:color w:val="000000"/>
                    </w:rPr>
                    <w:t>Vērtēto ieņēmumu</w:t>
                  </w:r>
                </w:p>
                <w:p w:rsidR="005C6F23" w:rsidRPr="00EF0EC0" w:rsidRDefault="005C6F23" w:rsidP="005C6F23">
                  <w:pPr>
                    <w:jc w:val="center"/>
                    <w:cnfStyle w:val="100000000000"/>
                    <w:rPr>
                      <w:rFonts w:ascii="Times New Roman" w:eastAsia="Times New Roman" w:hAnsi="Times New Roman"/>
                      <w:color w:val="000000"/>
                    </w:rPr>
                  </w:pPr>
                  <w:r w:rsidRPr="00EF0EC0">
                    <w:rPr>
                      <w:rFonts w:ascii="Times New Roman" w:eastAsia="Times New Roman" w:hAnsi="Times New Roman"/>
                      <w:color w:val="000000"/>
                    </w:rPr>
                    <w:t>standartizēta vērtība</w:t>
                  </w:r>
                  <w:r>
                    <w:rPr>
                      <w:rFonts w:ascii="Times New Roman" w:eastAsia="Times New Roman" w:hAnsi="Times New Roman"/>
                      <w:color w:val="000000"/>
                    </w:rPr>
                    <w:t xml:space="preserve"> </w:t>
                  </w:r>
                  <w:r w:rsidRPr="00EF0EC0">
                    <w:rPr>
                      <w:rFonts w:ascii="Times New Roman" w:eastAsia="Times New Roman" w:hAnsi="Times New Roman"/>
                      <w:color w:val="000000"/>
                    </w:rPr>
                    <w:t>(intervāls)</w:t>
                  </w:r>
                </w:p>
              </w:tc>
              <w:tc>
                <w:tcPr>
                  <w:tcW w:w="1701" w:type="dxa"/>
                  <w:tcBorders>
                    <w:top w:val="none" w:sz="0" w:space="0" w:color="auto"/>
                    <w:left w:val="none" w:sz="0" w:space="0" w:color="auto"/>
                    <w:bottom w:val="none" w:sz="0" w:space="0" w:color="auto"/>
                    <w:right w:val="none" w:sz="0" w:space="0" w:color="auto"/>
                  </w:tcBorders>
                  <w:hideMark/>
                </w:tcPr>
                <w:p w:rsidR="005C6F23" w:rsidRPr="00EF0EC0" w:rsidRDefault="005C6F23" w:rsidP="005C6F23">
                  <w:pPr>
                    <w:jc w:val="center"/>
                    <w:cnfStyle w:val="100000000000"/>
                    <w:rPr>
                      <w:rFonts w:ascii="Times New Roman" w:eastAsia="Times New Roman" w:hAnsi="Times New Roman"/>
                      <w:color w:val="000000"/>
                    </w:rPr>
                  </w:pPr>
                  <w:r w:rsidRPr="00EF0EC0">
                    <w:rPr>
                      <w:rFonts w:ascii="Times New Roman" w:eastAsia="Times New Roman" w:hAnsi="Times New Roman"/>
                      <w:color w:val="000000"/>
                    </w:rPr>
                    <w:t>Valsts budžeta</w:t>
                  </w:r>
                </w:p>
                <w:p w:rsidR="005C6F23" w:rsidRPr="00EF0EC0" w:rsidRDefault="005C6F23" w:rsidP="005C6F23">
                  <w:pPr>
                    <w:jc w:val="center"/>
                    <w:cnfStyle w:val="100000000000"/>
                    <w:rPr>
                      <w:rFonts w:ascii="Times New Roman" w:eastAsia="Times New Roman" w:hAnsi="Times New Roman"/>
                      <w:color w:val="000000"/>
                    </w:rPr>
                  </w:pPr>
                  <w:r w:rsidRPr="00EF0EC0">
                    <w:rPr>
                      <w:rFonts w:ascii="Times New Roman" w:eastAsia="Times New Roman" w:hAnsi="Times New Roman"/>
                      <w:color w:val="000000"/>
                    </w:rPr>
                    <w:t>dotācija</w:t>
                  </w:r>
                </w:p>
                <w:p w:rsidR="005C6F23" w:rsidRPr="00EF0EC0" w:rsidRDefault="005C6F23" w:rsidP="005C6F23">
                  <w:pPr>
                    <w:jc w:val="center"/>
                    <w:cnfStyle w:val="100000000000"/>
                    <w:rPr>
                      <w:rFonts w:ascii="Times New Roman" w:eastAsia="Times New Roman" w:hAnsi="Times New Roman"/>
                      <w:color w:val="000000"/>
                    </w:rPr>
                  </w:pPr>
                  <w:r w:rsidRPr="00EF0EC0">
                    <w:rPr>
                      <w:rFonts w:ascii="Times New Roman" w:eastAsia="Times New Roman" w:hAnsi="Times New Roman"/>
                      <w:color w:val="000000"/>
                    </w:rPr>
                    <w:t>(%)</w:t>
                  </w:r>
                </w:p>
              </w:tc>
              <w:tc>
                <w:tcPr>
                  <w:tcW w:w="1701" w:type="dxa"/>
                  <w:tcBorders>
                    <w:top w:val="none" w:sz="0" w:space="0" w:color="auto"/>
                    <w:left w:val="none" w:sz="0" w:space="0" w:color="auto"/>
                    <w:bottom w:val="none" w:sz="0" w:space="0" w:color="auto"/>
                    <w:right w:val="none" w:sz="0" w:space="0" w:color="auto"/>
                  </w:tcBorders>
                  <w:hideMark/>
                </w:tcPr>
                <w:p w:rsidR="005C6F23" w:rsidRPr="00EF0EC0" w:rsidRDefault="005C6F23" w:rsidP="005C6F23">
                  <w:pPr>
                    <w:jc w:val="center"/>
                    <w:cnfStyle w:val="100000000000"/>
                    <w:rPr>
                      <w:rFonts w:ascii="Times New Roman" w:eastAsia="Times New Roman" w:hAnsi="Times New Roman"/>
                      <w:color w:val="000000"/>
                    </w:rPr>
                  </w:pPr>
                  <w:r w:rsidRPr="00EF0EC0">
                    <w:rPr>
                      <w:rFonts w:ascii="Times New Roman" w:eastAsia="Times New Roman" w:hAnsi="Times New Roman"/>
                      <w:color w:val="000000"/>
                    </w:rPr>
                    <w:t xml:space="preserve">Pašvaldību skaits grupā </w:t>
                  </w:r>
                  <w:r w:rsidRPr="00EF0EC0">
                    <w:rPr>
                      <w:rFonts w:ascii="Times New Roman" w:eastAsia="Times New Roman" w:hAnsi="Times New Roman"/>
                      <w:b w:val="0"/>
                      <w:bCs w:val="0"/>
                      <w:color w:val="000000"/>
                    </w:rPr>
                    <w:t>201</w:t>
                  </w:r>
                  <w:r>
                    <w:rPr>
                      <w:rFonts w:ascii="Times New Roman" w:eastAsia="Times New Roman" w:hAnsi="Times New Roman"/>
                      <w:b w:val="0"/>
                      <w:bCs w:val="0"/>
                      <w:color w:val="000000"/>
                    </w:rPr>
                    <w:t>6</w:t>
                  </w:r>
                  <w:r w:rsidRPr="00EF0EC0">
                    <w:rPr>
                      <w:rFonts w:ascii="Times New Roman" w:eastAsia="Times New Roman" w:hAnsi="Times New Roman"/>
                      <w:b w:val="0"/>
                      <w:bCs w:val="0"/>
                      <w:color w:val="000000"/>
                    </w:rPr>
                    <w:t>.</w:t>
                  </w:r>
                  <w:r>
                    <w:rPr>
                      <w:rFonts w:ascii="Times New Roman" w:eastAsia="Times New Roman" w:hAnsi="Times New Roman"/>
                      <w:b w:val="0"/>
                      <w:bCs w:val="0"/>
                      <w:color w:val="000000"/>
                    </w:rPr>
                    <w:t xml:space="preserve"> </w:t>
                  </w:r>
                  <w:r w:rsidRPr="00EF0EC0">
                    <w:rPr>
                      <w:rFonts w:ascii="Times New Roman" w:eastAsia="Times New Roman" w:hAnsi="Times New Roman"/>
                      <w:b w:val="0"/>
                      <w:bCs w:val="0"/>
                      <w:color w:val="000000"/>
                    </w:rPr>
                    <w:t>gadā</w:t>
                  </w:r>
                </w:p>
              </w:tc>
            </w:tr>
            <w:tr w:rsidR="00563BE5" w:rsidRPr="00EF0EC0" w:rsidTr="005C6F23">
              <w:trPr>
                <w:cnfStyle w:val="000000100000"/>
                <w:trHeight w:val="300"/>
              </w:trPr>
              <w:tc>
                <w:tcPr>
                  <w:cnfStyle w:val="001000000000"/>
                  <w:tcW w:w="860" w:type="dxa"/>
                  <w:tcBorders>
                    <w:top w:val="none" w:sz="0" w:space="0" w:color="auto"/>
                    <w:left w:val="none" w:sz="0" w:space="0" w:color="auto"/>
                    <w:bottom w:val="none" w:sz="0" w:space="0" w:color="auto"/>
                    <w:right w:val="none" w:sz="0" w:space="0" w:color="auto"/>
                  </w:tcBorders>
                  <w:shd w:val="clear" w:color="auto" w:fill="auto"/>
                  <w:hideMark/>
                </w:tcPr>
                <w:p w:rsidR="00563BE5" w:rsidRPr="00EF0EC0" w:rsidRDefault="00563BE5" w:rsidP="005C6F23">
                  <w:pPr>
                    <w:jc w:val="center"/>
                    <w:rPr>
                      <w:rFonts w:ascii="Times New Roman" w:eastAsia="Times New Roman" w:hAnsi="Times New Roman"/>
                      <w:color w:val="000000"/>
                    </w:rPr>
                  </w:pPr>
                  <w:r w:rsidRPr="00E650DC">
                    <w:rPr>
                      <w:rFonts w:ascii="Times New Roman" w:eastAsia="Times New Roman" w:hAnsi="Times New Roman"/>
                      <w:color w:val="000000"/>
                    </w:rPr>
                    <w:t>1.</w:t>
                  </w:r>
                </w:p>
              </w:tc>
              <w:tc>
                <w:tcPr>
                  <w:tcW w:w="840" w:type="dxa"/>
                  <w:tcBorders>
                    <w:top w:val="none" w:sz="0" w:space="0" w:color="auto"/>
                    <w:left w:val="none" w:sz="0" w:space="0" w:color="auto"/>
                    <w:bottom w:val="none" w:sz="0" w:space="0" w:color="auto"/>
                    <w:right w:val="none" w:sz="0" w:space="0" w:color="auto"/>
                  </w:tcBorders>
                  <w:shd w:val="clear" w:color="auto" w:fill="auto"/>
                  <w:hideMark/>
                </w:tcPr>
                <w:p w:rsidR="00563BE5" w:rsidRPr="00EF0EC0" w:rsidRDefault="00563BE5" w:rsidP="005C6F23">
                  <w:pPr>
                    <w:jc w:val="center"/>
                    <w:cnfStyle w:val="000000100000"/>
                    <w:rPr>
                      <w:rFonts w:ascii="Times New Roman" w:eastAsia="Times New Roman" w:hAnsi="Times New Roman"/>
                      <w:color w:val="000000"/>
                    </w:rPr>
                  </w:pPr>
                  <w:r>
                    <w:rPr>
                      <w:rFonts w:ascii="Times New Roman" w:eastAsia="Times New Roman" w:hAnsi="Times New Roman"/>
                      <w:color w:val="000000"/>
                    </w:rPr>
                    <w:t>V</w:t>
                  </w:r>
                </w:p>
              </w:tc>
              <w:tc>
                <w:tcPr>
                  <w:tcW w:w="2123" w:type="dxa"/>
                  <w:tcBorders>
                    <w:top w:val="none" w:sz="0" w:space="0" w:color="auto"/>
                    <w:left w:val="none" w:sz="0" w:space="0" w:color="auto"/>
                    <w:bottom w:val="none" w:sz="0" w:space="0" w:color="auto"/>
                    <w:right w:val="none" w:sz="0" w:space="0" w:color="auto"/>
                  </w:tcBorders>
                  <w:shd w:val="clear" w:color="auto" w:fill="auto"/>
                  <w:hideMark/>
                </w:tcPr>
                <w:p w:rsidR="00563BE5" w:rsidRPr="00EF0EC0" w:rsidRDefault="00563BE5" w:rsidP="005C6F23">
                  <w:pPr>
                    <w:jc w:val="center"/>
                    <w:cnfStyle w:val="000000100000"/>
                    <w:rPr>
                      <w:rFonts w:ascii="Times New Roman" w:eastAsia="Times New Roman" w:hAnsi="Times New Roman"/>
                      <w:color w:val="000000"/>
                    </w:rPr>
                  </w:pPr>
                  <w:r w:rsidRPr="00EF0EC0">
                    <w:rPr>
                      <w:rFonts w:ascii="Times New Roman" w:eastAsia="Times New Roman" w:hAnsi="Times New Roman"/>
                      <w:color w:val="000000"/>
                    </w:rPr>
                    <w:t>&lt;</w:t>
                  </w:r>
                  <w:r>
                    <w:rPr>
                      <w:rFonts w:ascii="Times New Roman" w:eastAsia="Times New Roman" w:hAnsi="Times New Roman"/>
                      <w:color w:val="000000"/>
                    </w:rPr>
                    <w:t xml:space="preserve"> (-1,0)</w:t>
                  </w:r>
                </w:p>
              </w:tc>
              <w:tc>
                <w:tcPr>
                  <w:tcW w:w="1701" w:type="dxa"/>
                  <w:tcBorders>
                    <w:top w:val="none" w:sz="0" w:space="0" w:color="auto"/>
                    <w:left w:val="none" w:sz="0" w:space="0" w:color="auto"/>
                    <w:bottom w:val="none" w:sz="0" w:space="0" w:color="auto"/>
                    <w:right w:val="none" w:sz="0" w:space="0" w:color="auto"/>
                  </w:tcBorders>
                  <w:shd w:val="clear" w:color="auto" w:fill="auto"/>
                  <w:hideMark/>
                </w:tcPr>
                <w:p w:rsidR="00563BE5" w:rsidRPr="00BF6842" w:rsidRDefault="00563BE5" w:rsidP="005C6F23">
                  <w:pPr>
                    <w:jc w:val="center"/>
                    <w:cnfStyle w:val="000000100000"/>
                    <w:rPr>
                      <w:rFonts w:ascii="Times New Roman" w:eastAsia="Times New Roman" w:hAnsi="Times New Roman"/>
                    </w:rPr>
                  </w:pPr>
                  <w:r>
                    <w:rPr>
                      <w:rFonts w:ascii="Times New Roman" w:eastAsia="Times New Roman" w:hAnsi="Times New Roman"/>
                    </w:rPr>
                    <w:t>30</w:t>
                  </w:r>
                </w:p>
              </w:tc>
              <w:tc>
                <w:tcPr>
                  <w:tcW w:w="1701" w:type="dxa"/>
                  <w:tcBorders>
                    <w:top w:val="none" w:sz="0" w:space="0" w:color="auto"/>
                    <w:left w:val="none" w:sz="0" w:space="0" w:color="auto"/>
                    <w:bottom w:val="none" w:sz="0" w:space="0" w:color="auto"/>
                    <w:right w:val="none" w:sz="0" w:space="0" w:color="auto"/>
                  </w:tcBorders>
                  <w:shd w:val="clear" w:color="auto" w:fill="auto"/>
                  <w:hideMark/>
                </w:tcPr>
                <w:p w:rsidR="00563BE5" w:rsidRPr="00563BE5" w:rsidRDefault="00563BE5">
                  <w:pPr>
                    <w:jc w:val="center"/>
                    <w:cnfStyle w:val="000000100000"/>
                    <w:rPr>
                      <w:rFonts w:ascii="Times New Roman" w:hAnsi="Times New Roman" w:cs="Times New Roman"/>
                      <w:color w:val="000000"/>
                    </w:rPr>
                  </w:pPr>
                  <w:r w:rsidRPr="00563BE5">
                    <w:rPr>
                      <w:rFonts w:ascii="Times New Roman" w:hAnsi="Times New Roman" w:cs="Times New Roman"/>
                      <w:color w:val="000000"/>
                    </w:rPr>
                    <w:t>43</w:t>
                  </w:r>
                </w:p>
              </w:tc>
            </w:tr>
            <w:tr w:rsidR="00563BE5" w:rsidRPr="00EF0EC0" w:rsidTr="005C6F23">
              <w:trPr>
                <w:cnfStyle w:val="000000010000"/>
                <w:trHeight w:val="300"/>
              </w:trPr>
              <w:tc>
                <w:tcPr>
                  <w:cnfStyle w:val="001000000000"/>
                  <w:tcW w:w="860" w:type="dxa"/>
                  <w:tcBorders>
                    <w:top w:val="none" w:sz="0" w:space="0" w:color="auto"/>
                    <w:left w:val="none" w:sz="0" w:space="0" w:color="auto"/>
                    <w:bottom w:val="none" w:sz="0" w:space="0" w:color="auto"/>
                    <w:right w:val="none" w:sz="0" w:space="0" w:color="auto"/>
                  </w:tcBorders>
                  <w:shd w:val="clear" w:color="auto" w:fill="auto"/>
                  <w:hideMark/>
                </w:tcPr>
                <w:p w:rsidR="00563BE5" w:rsidRPr="00EF0EC0" w:rsidRDefault="00563BE5" w:rsidP="005C6F23">
                  <w:pPr>
                    <w:jc w:val="center"/>
                    <w:rPr>
                      <w:rFonts w:ascii="Times New Roman" w:eastAsia="Times New Roman" w:hAnsi="Times New Roman"/>
                      <w:color w:val="000000"/>
                    </w:rPr>
                  </w:pPr>
                  <w:r w:rsidRPr="00E650DC">
                    <w:rPr>
                      <w:rFonts w:ascii="Times New Roman" w:eastAsia="Times New Roman" w:hAnsi="Times New Roman"/>
                      <w:color w:val="000000"/>
                    </w:rPr>
                    <w:t>2</w:t>
                  </w:r>
                  <w:r w:rsidRPr="00EF0EC0">
                    <w:rPr>
                      <w:rFonts w:ascii="Times New Roman" w:eastAsia="Times New Roman" w:hAnsi="Times New Roman"/>
                      <w:color w:val="000000"/>
                    </w:rPr>
                    <w:t>.</w:t>
                  </w:r>
                </w:p>
              </w:tc>
              <w:tc>
                <w:tcPr>
                  <w:tcW w:w="840" w:type="dxa"/>
                  <w:tcBorders>
                    <w:top w:val="none" w:sz="0" w:space="0" w:color="auto"/>
                    <w:left w:val="none" w:sz="0" w:space="0" w:color="auto"/>
                    <w:bottom w:val="none" w:sz="0" w:space="0" w:color="auto"/>
                    <w:right w:val="none" w:sz="0" w:space="0" w:color="auto"/>
                  </w:tcBorders>
                  <w:shd w:val="clear" w:color="auto" w:fill="auto"/>
                  <w:hideMark/>
                </w:tcPr>
                <w:p w:rsidR="00563BE5" w:rsidRPr="00EF0EC0" w:rsidRDefault="00563BE5" w:rsidP="005C6F23">
                  <w:pPr>
                    <w:jc w:val="center"/>
                    <w:cnfStyle w:val="000000010000"/>
                    <w:rPr>
                      <w:rFonts w:ascii="Times New Roman" w:eastAsia="Times New Roman" w:hAnsi="Times New Roman"/>
                      <w:color w:val="000000"/>
                    </w:rPr>
                  </w:pPr>
                  <w:r w:rsidRPr="00EF0EC0">
                    <w:rPr>
                      <w:rFonts w:ascii="Times New Roman" w:eastAsia="Times New Roman" w:hAnsi="Times New Roman"/>
                      <w:color w:val="000000"/>
                    </w:rPr>
                    <w:t>IV</w:t>
                  </w:r>
                </w:p>
              </w:tc>
              <w:tc>
                <w:tcPr>
                  <w:tcW w:w="2123" w:type="dxa"/>
                  <w:tcBorders>
                    <w:top w:val="none" w:sz="0" w:space="0" w:color="auto"/>
                    <w:left w:val="none" w:sz="0" w:space="0" w:color="auto"/>
                    <w:bottom w:val="none" w:sz="0" w:space="0" w:color="auto"/>
                    <w:right w:val="none" w:sz="0" w:space="0" w:color="auto"/>
                  </w:tcBorders>
                  <w:shd w:val="clear" w:color="auto" w:fill="auto"/>
                  <w:hideMark/>
                </w:tcPr>
                <w:p w:rsidR="00563BE5" w:rsidRPr="00EF0EC0" w:rsidRDefault="00563BE5" w:rsidP="005C6F23">
                  <w:pPr>
                    <w:jc w:val="center"/>
                    <w:cnfStyle w:val="000000010000"/>
                    <w:rPr>
                      <w:rFonts w:ascii="Times New Roman" w:eastAsia="Times New Roman" w:hAnsi="Times New Roman"/>
                      <w:color w:val="000000"/>
                    </w:rPr>
                  </w:pPr>
                  <w:r w:rsidRPr="00EF0EC0">
                    <w:rPr>
                      <w:rFonts w:ascii="Times New Roman" w:eastAsia="Times New Roman" w:hAnsi="Times New Roman"/>
                      <w:color w:val="000000"/>
                    </w:rPr>
                    <w:t xml:space="preserve">≥ </w:t>
                  </w:r>
                  <w:r>
                    <w:rPr>
                      <w:rFonts w:ascii="Times New Roman" w:eastAsia="Times New Roman" w:hAnsi="Times New Roman"/>
                      <w:color w:val="000000"/>
                    </w:rPr>
                    <w:t>(-1,0)</w:t>
                  </w:r>
                  <w:r w:rsidRPr="00EF0EC0">
                    <w:rPr>
                      <w:rFonts w:ascii="Times New Roman" w:eastAsia="Times New Roman" w:hAnsi="Times New Roman"/>
                      <w:color w:val="000000"/>
                    </w:rPr>
                    <w:t xml:space="preserve"> </w:t>
                  </w:r>
                  <w:r>
                    <w:rPr>
                      <w:rFonts w:ascii="Times New Roman" w:eastAsia="Times New Roman" w:hAnsi="Times New Roman"/>
                      <w:color w:val="000000"/>
                    </w:rPr>
                    <w:t>–</w:t>
                  </w:r>
                  <w:r w:rsidRPr="00EF0EC0">
                    <w:rPr>
                      <w:rFonts w:ascii="Times New Roman" w:eastAsia="Times New Roman" w:hAnsi="Times New Roman"/>
                      <w:color w:val="000000"/>
                    </w:rPr>
                    <w:t xml:space="preserve"> </w:t>
                  </w:r>
                  <w:r>
                    <w:rPr>
                      <w:rFonts w:ascii="Times New Roman" w:eastAsia="Times New Roman" w:hAnsi="Times New Roman"/>
                      <w:color w:val="000000"/>
                    </w:rPr>
                    <w:t>0,0</w:t>
                  </w:r>
                  <w:r w:rsidRPr="00EF0EC0">
                    <w:rPr>
                      <w:rFonts w:ascii="Times New Roman" w:eastAsia="Times New Roman" w:hAnsi="Times New Roman"/>
                      <w:color w:val="000000"/>
                    </w:rPr>
                    <w:t xml:space="preserve"> &lt;</w:t>
                  </w:r>
                </w:p>
              </w:tc>
              <w:tc>
                <w:tcPr>
                  <w:tcW w:w="1701" w:type="dxa"/>
                  <w:tcBorders>
                    <w:top w:val="none" w:sz="0" w:space="0" w:color="auto"/>
                    <w:left w:val="none" w:sz="0" w:space="0" w:color="auto"/>
                    <w:bottom w:val="none" w:sz="0" w:space="0" w:color="auto"/>
                    <w:right w:val="none" w:sz="0" w:space="0" w:color="auto"/>
                  </w:tcBorders>
                  <w:shd w:val="clear" w:color="auto" w:fill="auto"/>
                  <w:hideMark/>
                </w:tcPr>
                <w:p w:rsidR="00563BE5" w:rsidRPr="00BF6842" w:rsidRDefault="00563BE5" w:rsidP="005C6F23">
                  <w:pPr>
                    <w:jc w:val="center"/>
                    <w:cnfStyle w:val="000000010000"/>
                    <w:rPr>
                      <w:rFonts w:ascii="Times New Roman" w:eastAsia="Times New Roman" w:hAnsi="Times New Roman"/>
                    </w:rPr>
                  </w:pPr>
                  <w:r>
                    <w:rPr>
                      <w:rFonts w:ascii="Times New Roman" w:eastAsia="Times New Roman" w:hAnsi="Times New Roman"/>
                    </w:rPr>
                    <w:t>25</w:t>
                  </w:r>
                </w:p>
              </w:tc>
              <w:tc>
                <w:tcPr>
                  <w:tcW w:w="1701" w:type="dxa"/>
                  <w:tcBorders>
                    <w:top w:val="none" w:sz="0" w:space="0" w:color="auto"/>
                    <w:left w:val="none" w:sz="0" w:space="0" w:color="auto"/>
                    <w:bottom w:val="none" w:sz="0" w:space="0" w:color="auto"/>
                    <w:right w:val="none" w:sz="0" w:space="0" w:color="auto"/>
                  </w:tcBorders>
                  <w:shd w:val="clear" w:color="auto" w:fill="auto"/>
                  <w:hideMark/>
                </w:tcPr>
                <w:p w:rsidR="00563BE5" w:rsidRPr="00563BE5" w:rsidRDefault="00563BE5">
                  <w:pPr>
                    <w:jc w:val="center"/>
                    <w:cnfStyle w:val="000000010000"/>
                    <w:rPr>
                      <w:rFonts w:ascii="Times New Roman" w:hAnsi="Times New Roman" w:cs="Times New Roman"/>
                      <w:color w:val="000000"/>
                    </w:rPr>
                  </w:pPr>
                  <w:r w:rsidRPr="00563BE5">
                    <w:rPr>
                      <w:rFonts w:ascii="Times New Roman" w:hAnsi="Times New Roman" w:cs="Times New Roman"/>
                      <w:color w:val="000000"/>
                    </w:rPr>
                    <w:t>57</w:t>
                  </w:r>
                </w:p>
              </w:tc>
            </w:tr>
            <w:tr w:rsidR="00563BE5" w:rsidRPr="00EF0EC0" w:rsidTr="005C6F23">
              <w:trPr>
                <w:cnfStyle w:val="000000100000"/>
                <w:trHeight w:val="300"/>
              </w:trPr>
              <w:tc>
                <w:tcPr>
                  <w:cnfStyle w:val="001000000000"/>
                  <w:tcW w:w="860" w:type="dxa"/>
                  <w:tcBorders>
                    <w:top w:val="none" w:sz="0" w:space="0" w:color="auto"/>
                    <w:left w:val="none" w:sz="0" w:space="0" w:color="auto"/>
                    <w:bottom w:val="none" w:sz="0" w:space="0" w:color="auto"/>
                    <w:right w:val="none" w:sz="0" w:space="0" w:color="auto"/>
                  </w:tcBorders>
                  <w:shd w:val="clear" w:color="auto" w:fill="auto"/>
                  <w:hideMark/>
                </w:tcPr>
                <w:p w:rsidR="00563BE5" w:rsidRPr="00EF0EC0" w:rsidRDefault="00563BE5" w:rsidP="005C6F23">
                  <w:pPr>
                    <w:jc w:val="center"/>
                    <w:rPr>
                      <w:rFonts w:ascii="Times New Roman" w:eastAsia="Times New Roman" w:hAnsi="Times New Roman"/>
                      <w:color w:val="000000"/>
                    </w:rPr>
                  </w:pPr>
                  <w:r w:rsidRPr="00E650DC">
                    <w:rPr>
                      <w:rFonts w:ascii="Times New Roman" w:eastAsia="Times New Roman" w:hAnsi="Times New Roman"/>
                      <w:color w:val="000000"/>
                    </w:rPr>
                    <w:t>3</w:t>
                  </w:r>
                  <w:r w:rsidRPr="00EF0EC0">
                    <w:rPr>
                      <w:rFonts w:ascii="Times New Roman" w:eastAsia="Times New Roman" w:hAnsi="Times New Roman"/>
                      <w:color w:val="000000"/>
                    </w:rPr>
                    <w:t>.</w:t>
                  </w:r>
                </w:p>
              </w:tc>
              <w:tc>
                <w:tcPr>
                  <w:tcW w:w="840" w:type="dxa"/>
                  <w:tcBorders>
                    <w:top w:val="none" w:sz="0" w:space="0" w:color="auto"/>
                    <w:left w:val="none" w:sz="0" w:space="0" w:color="auto"/>
                    <w:bottom w:val="none" w:sz="0" w:space="0" w:color="auto"/>
                    <w:right w:val="none" w:sz="0" w:space="0" w:color="auto"/>
                  </w:tcBorders>
                  <w:shd w:val="clear" w:color="auto" w:fill="auto"/>
                  <w:hideMark/>
                </w:tcPr>
                <w:p w:rsidR="00563BE5" w:rsidRPr="00EF0EC0" w:rsidRDefault="00563BE5" w:rsidP="005C6F23">
                  <w:pPr>
                    <w:jc w:val="center"/>
                    <w:cnfStyle w:val="000000100000"/>
                    <w:rPr>
                      <w:rFonts w:ascii="Times New Roman" w:eastAsia="Times New Roman" w:hAnsi="Times New Roman"/>
                      <w:color w:val="000000"/>
                    </w:rPr>
                  </w:pPr>
                  <w:r w:rsidRPr="00EF0EC0">
                    <w:rPr>
                      <w:rFonts w:ascii="Times New Roman" w:eastAsia="Times New Roman" w:hAnsi="Times New Roman"/>
                      <w:color w:val="000000"/>
                    </w:rPr>
                    <w:t>III</w:t>
                  </w:r>
                </w:p>
              </w:tc>
              <w:tc>
                <w:tcPr>
                  <w:tcW w:w="2123" w:type="dxa"/>
                  <w:tcBorders>
                    <w:top w:val="none" w:sz="0" w:space="0" w:color="auto"/>
                    <w:left w:val="none" w:sz="0" w:space="0" w:color="auto"/>
                    <w:bottom w:val="none" w:sz="0" w:space="0" w:color="auto"/>
                    <w:right w:val="none" w:sz="0" w:space="0" w:color="auto"/>
                  </w:tcBorders>
                  <w:shd w:val="clear" w:color="auto" w:fill="auto"/>
                  <w:hideMark/>
                </w:tcPr>
                <w:p w:rsidR="00563BE5" w:rsidRPr="00EF0EC0" w:rsidRDefault="00563BE5" w:rsidP="005C6F23">
                  <w:pPr>
                    <w:jc w:val="center"/>
                    <w:cnfStyle w:val="000000100000"/>
                    <w:rPr>
                      <w:rFonts w:ascii="Times New Roman" w:eastAsia="Times New Roman" w:hAnsi="Times New Roman"/>
                      <w:color w:val="000000"/>
                    </w:rPr>
                  </w:pPr>
                  <w:r w:rsidRPr="00EF0EC0">
                    <w:rPr>
                      <w:rFonts w:ascii="Times New Roman" w:eastAsia="Times New Roman" w:hAnsi="Times New Roman"/>
                      <w:color w:val="000000"/>
                    </w:rPr>
                    <w:t xml:space="preserve">≥ </w:t>
                  </w:r>
                  <w:r>
                    <w:rPr>
                      <w:rFonts w:ascii="Times New Roman" w:eastAsia="Times New Roman" w:hAnsi="Times New Roman"/>
                      <w:color w:val="000000"/>
                    </w:rPr>
                    <w:t>0,0 – 1,0</w:t>
                  </w:r>
                  <w:r w:rsidRPr="00EF0EC0">
                    <w:rPr>
                      <w:rFonts w:ascii="Times New Roman" w:eastAsia="Times New Roman" w:hAnsi="Times New Roman"/>
                      <w:color w:val="000000"/>
                    </w:rPr>
                    <w:t xml:space="preserve"> &lt;</w:t>
                  </w:r>
                </w:p>
              </w:tc>
              <w:tc>
                <w:tcPr>
                  <w:tcW w:w="1701" w:type="dxa"/>
                  <w:tcBorders>
                    <w:top w:val="none" w:sz="0" w:space="0" w:color="auto"/>
                    <w:left w:val="none" w:sz="0" w:space="0" w:color="auto"/>
                    <w:bottom w:val="none" w:sz="0" w:space="0" w:color="auto"/>
                    <w:right w:val="none" w:sz="0" w:space="0" w:color="auto"/>
                  </w:tcBorders>
                  <w:shd w:val="clear" w:color="auto" w:fill="auto"/>
                  <w:hideMark/>
                </w:tcPr>
                <w:p w:rsidR="00563BE5" w:rsidRPr="00BF6842" w:rsidRDefault="00563BE5" w:rsidP="005C6F23">
                  <w:pPr>
                    <w:jc w:val="center"/>
                    <w:cnfStyle w:val="000000100000"/>
                    <w:rPr>
                      <w:rFonts w:ascii="Times New Roman" w:eastAsia="Times New Roman" w:hAnsi="Times New Roman"/>
                    </w:rPr>
                  </w:pPr>
                  <w:r w:rsidRPr="00BF6842">
                    <w:rPr>
                      <w:rFonts w:ascii="Times New Roman" w:eastAsia="Times New Roman" w:hAnsi="Times New Roman"/>
                    </w:rPr>
                    <w:t>20</w:t>
                  </w:r>
                </w:p>
              </w:tc>
              <w:tc>
                <w:tcPr>
                  <w:tcW w:w="1701" w:type="dxa"/>
                  <w:tcBorders>
                    <w:top w:val="none" w:sz="0" w:space="0" w:color="auto"/>
                    <w:left w:val="none" w:sz="0" w:space="0" w:color="auto"/>
                    <w:bottom w:val="none" w:sz="0" w:space="0" w:color="auto"/>
                    <w:right w:val="none" w:sz="0" w:space="0" w:color="auto"/>
                  </w:tcBorders>
                  <w:shd w:val="clear" w:color="auto" w:fill="auto"/>
                  <w:hideMark/>
                </w:tcPr>
                <w:p w:rsidR="00563BE5" w:rsidRPr="00563BE5" w:rsidRDefault="00563BE5">
                  <w:pPr>
                    <w:jc w:val="center"/>
                    <w:cnfStyle w:val="000000100000"/>
                    <w:rPr>
                      <w:rFonts w:ascii="Times New Roman" w:hAnsi="Times New Roman" w:cs="Times New Roman"/>
                      <w:color w:val="000000"/>
                    </w:rPr>
                  </w:pPr>
                  <w:r w:rsidRPr="00563BE5">
                    <w:rPr>
                      <w:rFonts w:ascii="Times New Roman" w:hAnsi="Times New Roman" w:cs="Times New Roman"/>
                      <w:color w:val="000000"/>
                    </w:rPr>
                    <w:t>9</w:t>
                  </w:r>
                </w:p>
              </w:tc>
            </w:tr>
            <w:tr w:rsidR="00563BE5" w:rsidRPr="00EF0EC0" w:rsidTr="005C6F23">
              <w:trPr>
                <w:cnfStyle w:val="000000010000"/>
                <w:trHeight w:val="300"/>
              </w:trPr>
              <w:tc>
                <w:tcPr>
                  <w:cnfStyle w:val="001000000000"/>
                  <w:tcW w:w="860" w:type="dxa"/>
                  <w:tcBorders>
                    <w:top w:val="none" w:sz="0" w:space="0" w:color="auto"/>
                    <w:left w:val="none" w:sz="0" w:space="0" w:color="auto"/>
                    <w:bottom w:val="none" w:sz="0" w:space="0" w:color="auto"/>
                    <w:right w:val="none" w:sz="0" w:space="0" w:color="auto"/>
                  </w:tcBorders>
                  <w:shd w:val="clear" w:color="auto" w:fill="auto"/>
                  <w:hideMark/>
                </w:tcPr>
                <w:p w:rsidR="00563BE5" w:rsidRPr="00E650DC" w:rsidRDefault="00563BE5" w:rsidP="005C6F23">
                  <w:pPr>
                    <w:jc w:val="center"/>
                    <w:rPr>
                      <w:rFonts w:ascii="Times New Roman" w:eastAsia="Times New Roman" w:hAnsi="Times New Roman"/>
                      <w:color w:val="000000"/>
                    </w:rPr>
                  </w:pPr>
                  <w:r w:rsidRPr="00E650DC">
                    <w:rPr>
                      <w:rFonts w:ascii="Times New Roman" w:eastAsia="Times New Roman" w:hAnsi="Times New Roman"/>
                      <w:color w:val="000000"/>
                    </w:rPr>
                    <w:t>4</w:t>
                  </w:r>
                  <w:r w:rsidRPr="00EF0EC0">
                    <w:rPr>
                      <w:rFonts w:ascii="Times New Roman" w:eastAsia="Times New Roman" w:hAnsi="Times New Roman"/>
                      <w:color w:val="000000"/>
                    </w:rPr>
                    <w:t>.</w:t>
                  </w:r>
                </w:p>
              </w:tc>
              <w:tc>
                <w:tcPr>
                  <w:tcW w:w="840" w:type="dxa"/>
                  <w:tcBorders>
                    <w:top w:val="none" w:sz="0" w:space="0" w:color="auto"/>
                    <w:left w:val="none" w:sz="0" w:space="0" w:color="auto"/>
                    <w:bottom w:val="none" w:sz="0" w:space="0" w:color="auto"/>
                    <w:right w:val="none" w:sz="0" w:space="0" w:color="auto"/>
                  </w:tcBorders>
                  <w:shd w:val="clear" w:color="auto" w:fill="auto"/>
                  <w:hideMark/>
                </w:tcPr>
                <w:p w:rsidR="00563BE5" w:rsidRPr="00EF0EC0" w:rsidRDefault="00563BE5" w:rsidP="005C6F23">
                  <w:pPr>
                    <w:jc w:val="center"/>
                    <w:cnfStyle w:val="000000010000"/>
                    <w:rPr>
                      <w:rFonts w:ascii="Times New Roman" w:eastAsia="Times New Roman" w:hAnsi="Times New Roman"/>
                      <w:color w:val="000000"/>
                    </w:rPr>
                  </w:pPr>
                  <w:r w:rsidRPr="00EF0EC0">
                    <w:rPr>
                      <w:rFonts w:ascii="Times New Roman" w:eastAsia="Times New Roman" w:hAnsi="Times New Roman"/>
                      <w:color w:val="000000"/>
                    </w:rPr>
                    <w:t>II</w:t>
                  </w:r>
                </w:p>
              </w:tc>
              <w:tc>
                <w:tcPr>
                  <w:tcW w:w="2123" w:type="dxa"/>
                  <w:tcBorders>
                    <w:top w:val="none" w:sz="0" w:space="0" w:color="auto"/>
                    <w:left w:val="none" w:sz="0" w:space="0" w:color="auto"/>
                    <w:bottom w:val="none" w:sz="0" w:space="0" w:color="auto"/>
                    <w:right w:val="none" w:sz="0" w:space="0" w:color="auto"/>
                  </w:tcBorders>
                  <w:shd w:val="clear" w:color="auto" w:fill="auto"/>
                  <w:hideMark/>
                </w:tcPr>
                <w:p w:rsidR="00563BE5" w:rsidRPr="00EF0EC0" w:rsidRDefault="00563BE5" w:rsidP="005C6F23">
                  <w:pPr>
                    <w:jc w:val="center"/>
                    <w:cnfStyle w:val="000000010000"/>
                    <w:rPr>
                      <w:rFonts w:ascii="Times New Roman" w:eastAsia="Times New Roman" w:hAnsi="Times New Roman"/>
                      <w:color w:val="000000"/>
                    </w:rPr>
                  </w:pPr>
                  <w:r w:rsidRPr="00EF0EC0">
                    <w:rPr>
                      <w:rFonts w:ascii="Times New Roman" w:eastAsia="Times New Roman" w:hAnsi="Times New Roman"/>
                      <w:color w:val="000000"/>
                    </w:rPr>
                    <w:t xml:space="preserve">≥ </w:t>
                  </w:r>
                  <w:r>
                    <w:rPr>
                      <w:rFonts w:ascii="Times New Roman" w:eastAsia="Times New Roman" w:hAnsi="Times New Roman"/>
                      <w:color w:val="000000"/>
                    </w:rPr>
                    <w:t>1,0 – 2,0</w:t>
                  </w:r>
                  <w:r w:rsidRPr="00EF0EC0">
                    <w:rPr>
                      <w:rFonts w:ascii="Times New Roman" w:eastAsia="Times New Roman" w:hAnsi="Times New Roman"/>
                      <w:color w:val="000000"/>
                    </w:rPr>
                    <w:t xml:space="preserve"> &lt;</w:t>
                  </w:r>
                </w:p>
              </w:tc>
              <w:tc>
                <w:tcPr>
                  <w:tcW w:w="1701" w:type="dxa"/>
                  <w:tcBorders>
                    <w:top w:val="none" w:sz="0" w:space="0" w:color="auto"/>
                    <w:left w:val="none" w:sz="0" w:space="0" w:color="auto"/>
                    <w:bottom w:val="none" w:sz="0" w:space="0" w:color="auto"/>
                    <w:right w:val="none" w:sz="0" w:space="0" w:color="auto"/>
                  </w:tcBorders>
                  <w:shd w:val="clear" w:color="auto" w:fill="auto"/>
                  <w:hideMark/>
                </w:tcPr>
                <w:p w:rsidR="00563BE5" w:rsidRPr="00BF6842" w:rsidRDefault="00563BE5" w:rsidP="005C6F23">
                  <w:pPr>
                    <w:jc w:val="center"/>
                    <w:cnfStyle w:val="000000010000"/>
                    <w:rPr>
                      <w:rFonts w:ascii="Times New Roman" w:eastAsia="Times New Roman" w:hAnsi="Times New Roman"/>
                    </w:rPr>
                  </w:pPr>
                  <w:r>
                    <w:rPr>
                      <w:rFonts w:ascii="Times New Roman" w:eastAsia="Times New Roman" w:hAnsi="Times New Roman"/>
                    </w:rPr>
                    <w:t>15</w:t>
                  </w:r>
                </w:p>
              </w:tc>
              <w:tc>
                <w:tcPr>
                  <w:tcW w:w="1701" w:type="dxa"/>
                  <w:tcBorders>
                    <w:top w:val="none" w:sz="0" w:space="0" w:color="auto"/>
                    <w:left w:val="none" w:sz="0" w:space="0" w:color="auto"/>
                    <w:bottom w:val="none" w:sz="0" w:space="0" w:color="auto"/>
                    <w:right w:val="none" w:sz="0" w:space="0" w:color="auto"/>
                  </w:tcBorders>
                  <w:shd w:val="clear" w:color="auto" w:fill="auto"/>
                  <w:hideMark/>
                </w:tcPr>
                <w:p w:rsidR="00563BE5" w:rsidRPr="00563BE5" w:rsidRDefault="00563BE5">
                  <w:pPr>
                    <w:jc w:val="center"/>
                    <w:cnfStyle w:val="000000010000"/>
                    <w:rPr>
                      <w:rFonts w:ascii="Times New Roman" w:hAnsi="Times New Roman" w:cs="Times New Roman"/>
                      <w:color w:val="000000"/>
                    </w:rPr>
                  </w:pPr>
                  <w:r w:rsidRPr="00563BE5">
                    <w:rPr>
                      <w:rFonts w:ascii="Times New Roman" w:hAnsi="Times New Roman" w:cs="Times New Roman"/>
                      <w:color w:val="000000"/>
                    </w:rPr>
                    <w:t>8</w:t>
                  </w:r>
                </w:p>
              </w:tc>
            </w:tr>
            <w:tr w:rsidR="00563BE5" w:rsidRPr="00EF0EC0" w:rsidTr="005C6F23">
              <w:trPr>
                <w:cnfStyle w:val="000000100000"/>
                <w:trHeight w:val="300"/>
              </w:trPr>
              <w:tc>
                <w:tcPr>
                  <w:cnfStyle w:val="001000000000"/>
                  <w:tcW w:w="860" w:type="dxa"/>
                  <w:tcBorders>
                    <w:top w:val="none" w:sz="0" w:space="0" w:color="auto"/>
                    <w:left w:val="none" w:sz="0" w:space="0" w:color="auto"/>
                    <w:bottom w:val="none" w:sz="0" w:space="0" w:color="auto"/>
                    <w:right w:val="none" w:sz="0" w:space="0" w:color="auto"/>
                  </w:tcBorders>
                  <w:shd w:val="clear" w:color="auto" w:fill="auto"/>
                  <w:hideMark/>
                </w:tcPr>
                <w:p w:rsidR="00563BE5" w:rsidRPr="00EF0EC0" w:rsidRDefault="00563BE5" w:rsidP="005C6F23">
                  <w:pPr>
                    <w:jc w:val="center"/>
                    <w:rPr>
                      <w:rFonts w:ascii="Times New Roman" w:eastAsia="Times New Roman" w:hAnsi="Times New Roman"/>
                      <w:color w:val="000000"/>
                    </w:rPr>
                  </w:pPr>
                  <w:r>
                    <w:rPr>
                      <w:rFonts w:ascii="Times New Roman" w:eastAsia="Times New Roman" w:hAnsi="Times New Roman"/>
                      <w:color w:val="000000"/>
                    </w:rPr>
                    <w:t>5.</w:t>
                  </w:r>
                </w:p>
              </w:tc>
              <w:tc>
                <w:tcPr>
                  <w:tcW w:w="840" w:type="dxa"/>
                  <w:tcBorders>
                    <w:top w:val="none" w:sz="0" w:space="0" w:color="auto"/>
                    <w:left w:val="none" w:sz="0" w:space="0" w:color="auto"/>
                    <w:bottom w:val="none" w:sz="0" w:space="0" w:color="auto"/>
                    <w:right w:val="none" w:sz="0" w:space="0" w:color="auto"/>
                  </w:tcBorders>
                  <w:shd w:val="clear" w:color="auto" w:fill="auto"/>
                  <w:hideMark/>
                </w:tcPr>
                <w:p w:rsidR="00563BE5" w:rsidRPr="00EF0EC0" w:rsidRDefault="00563BE5" w:rsidP="005C6F23">
                  <w:pPr>
                    <w:jc w:val="center"/>
                    <w:cnfStyle w:val="000000100000"/>
                    <w:rPr>
                      <w:rFonts w:ascii="Times New Roman" w:eastAsia="Times New Roman" w:hAnsi="Times New Roman"/>
                      <w:color w:val="000000"/>
                    </w:rPr>
                  </w:pPr>
                  <w:r w:rsidRPr="00EF0EC0">
                    <w:rPr>
                      <w:rFonts w:ascii="Times New Roman" w:eastAsia="Times New Roman" w:hAnsi="Times New Roman"/>
                      <w:color w:val="000000"/>
                    </w:rPr>
                    <w:t>I</w:t>
                  </w:r>
                </w:p>
              </w:tc>
              <w:tc>
                <w:tcPr>
                  <w:tcW w:w="2123" w:type="dxa"/>
                  <w:tcBorders>
                    <w:top w:val="none" w:sz="0" w:space="0" w:color="auto"/>
                    <w:left w:val="none" w:sz="0" w:space="0" w:color="auto"/>
                    <w:bottom w:val="none" w:sz="0" w:space="0" w:color="auto"/>
                    <w:right w:val="none" w:sz="0" w:space="0" w:color="auto"/>
                  </w:tcBorders>
                  <w:shd w:val="clear" w:color="auto" w:fill="auto"/>
                  <w:hideMark/>
                </w:tcPr>
                <w:p w:rsidR="00563BE5" w:rsidRPr="00EF0EC0" w:rsidRDefault="00563BE5" w:rsidP="005C6F23">
                  <w:pPr>
                    <w:jc w:val="center"/>
                    <w:cnfStyle w:val="000000100000"/>
                    <w:rPr>
                      <w:rFonts w:ascii="Times New Roman" w:eastAsia="Times New Roman" w:hAnsi="Times New Roman"/>
                      <w:color w:val="000000"/>
                    </w:rPr>
                  </w:pPr>
                  <w:r w:rsidRPr="00EF0EC0">
                    <w:rPr>
                      <w:rFonts w:ascii="Times New Roman" w:eastAsia="Times New Roman" w:hAnsi="Times New Roman"/>
                      <w:color w:val="000000"/>
                    </w:rPr>
                    <w:t xml:space="preserve">≥ </w:t>
                  </w:r>
                  <w:r>
                    <w:rPr>
                      <w:rFonts w:ascii="Times New Roman" w:eastAsia="Times New Roman" w:hAnsi="Times New Roman"/>
                      <w:color w:val="000000"/>
                    </w:rPr>
                    <w:t>2,0</w:t>
                  </w:r>
                </w:p>
              </w:tc>
              <w:tc>
                <w:tcPr>
                  <w:tcW w:w="1701" w:type="dxa"/>
                  <w:tcBorders>
                    <w:top w:val="none" w:sz="0" w:space="0" w:color="auto"/>
                    <w:left w:val="none" w:sz="0" w:space="0" w:color="auto"/>
                    <w:bottom w:val="none" w:sz="0" w:space="0" w:color="auto"/>
                    <w:right w:val="none" w:sz="0" w:space="0" w:color="auto"/>
                  </w:tcBorders>
                  <w:shd w:val="clear" w:color="auto" w:fill="auto"/>
                  <w:hideMark/>
                </w:tcPr>
                <w:p w:rsidR="00563BE5" w:rsidRPr="00BF6842" w:rsidRDefault="00563BE5" w:rsidP="005C6F23">
                  <w:pPr>
                    <w:jc w:val="center"/>
                    <w:cnfStyle w:val="000000100000"/>
                    <w:rPr>
                      <w:rFonts w:ascii="Times New Roman" w:eastAsia="Times New Roman" w:hAnsi="Times New Roman"/>
                    </w:rPr>
                  </w:pPr>
                  <w:r>
                    <w:rPr>
                      <w:rFonts w:ascii="Times New Roman" w:eastAsia="Times New Roman" w:hAnsi="Times New Roman"/>
                    </w:rPr>
                    <w:t>1</w:t>
                  </w:r>
                  <w:r w:rsidRPr="00BF6842">
                    <w:rPr>
                      <w:rFonts w:ascii="Times New Roman" w:eastAsia="Times New Roman" w:hAnsi="Times New Roman"/>
                    </w:rPr>
                    <w:t>0</w:t>
                  </w:r>
                </w:p>
              </w:tc>
              <w:tc>
                <w:tcPr>
                  <w:tcW w:w="1701" w:type="dxa"/>
                  <w:tcBorders>
                    <w:top w:val="none" w:sz="0" w:space="0" w:color="auto"/>
                    <w:left w:val="none" w:sz="0" w:space="0" w:color="auto"/>
                    <w:bottom w:val="none" w:sz="0" w:space="0" w:color="auto"/>
                    <w:right w:val="none" w:sz="0" w:space="0" w:color="auto"/>
                  </w:tcBorders>
                  <w:shd w:val="clear" w:color="auto" w:fill="auto"/>
                  <w:hideMark/>
                </w:tcPr>
                <w:p w:rsidR="00563BE5" w:rsidRPr="00563BE5" w:rsidRDefault="00563BE5">
                  <w:pPr>
                    <w:jc w:val="center"/>
                    <w:cnfStyle w:val="000000100000"/>
                    <w:rPr>
                      <w:rFonts w:ascii="Times New Roman" w:hAnsi="Times New Roman" w:cs="Times New Roman"/>
                      <w:color w:val="000000"/>
                    </w:rPr>
                  </w:pPr>
                  <w:r w:rsidRPr="00563BE5">
                    <w:rPr>
                      <w:rFonts w:ascii="Times New Roman" w:hAnsi="Times New Roman" w:cs="Times New Roman"/>
                      <w:color w:val="000000"/>
                    </w:rPr>
                    <w:t>2</w:t>
                  </w:r>
                </w:p>
              </w:tc>
            </w:tr>
          </w:tbl>
          <w:p w:rsidR="00682C40" w:rsidRPr="003A58AE" w:rsidRDefault="006D66E9" w:rsidP="004A3A64">
            <w:pPr>
              <w:spacing w:before="120" w:after="120"/>
              <w:ind w:left="107" w:right="112"/>
              <w:jc w:val="both"/>
            </w:pPr>
            <w:r w:rsidRPr="003A58AE">
              <w:t xml:space="preserve">Viens no reģionālās politikas mērķiem ir radīt līdzvērtīgus dzīves un darba apstākļus visiem iedzīvotājiem neatkarīgi no dzīves vietas, līdz ar to </w:t>
            </w:r>
            <w:r w:rsidR="00396529">
              <w:t xml:space="preserve">ar </w:t>
            </w:r>
            <w:r w:rsidRPr="003A58AE">
              <w:t>vals</w:t>
            </w:r>
            <w:r w:rsidR="00396529">
              <w:t xml:space="preserve">ts budžeta dotācijas instrumentu </w:t>
            </w:r>
            <w:r w:rsidRPr="003A58AE">
              <w:t xml:space="preserve">vairāk tiks atbalstītas tās pašvaldības, </w:t>
            </w:r>
            <w:r w:rsidR="00396529">
              <w:t>kurām ir mazāki vērtētie ieņēmumi uz vienu iedzīvotāju, kas liecina par zemāku spēja pašām</w:t>
            </w:r>
            <w:r w:rsidR="00396529" w:rsidRPr="003A58AE">
              <w:t xml:space="preserve"> nopelnīt</w:t>
            </w:r>
            <w:r w:rsidR="00396529">
              <w:t>.</w:t>
            </w:r>
          </w:p>
        </w:tc>
      </w:tr>
    </w:tbl>
    <w:p w:rsidR="009E2AA4" w:rsidRDefault="009E2AA4" w:rsidP="009E2AA4">
      <w:pPr>
        <w:rPr>
          <w:sz w:val="26"/>
          <w:szCs w:val="26"/>
        </w:rPr>
      </w:pPr>
    </w:p>
    <w:p w:rsidR="00461DD5" w:rsidRPr="00DB4A2D" w:rsidRDefault="00461DD5" w:rsidP="00461DD5"/>
    <w:tbl>
      <w:tblPr>
        <w:tblW w:w="9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1"/>
        <w:gridCol w:w="1309"/>
        <w:gridCol w:w="1393"/>
        <w:gridCol w:w="1309"/>
        <w:gridCol w:w="1309"/>
        <w:gridCol w:w="1517"/>
      </w:tblGrid>
      <w:tr w:rsidR="00461DD5" w:rsidRPr="00DB4A2D" w:rsidTr="00461DD5">
        <w:trPr>
          <w:trHeight w:val="361"/>
          <w:jc w:val="center"/>
        </w:trPr>
        <w:tc>
          <w:tcPr>
            <w:tcW w:w="9478" w:type="dxa"/>
            <w:gridSpan w:val="6"/>
            <w:vAlign w:val="center"/>
          </w:tcPr>
          <w:p w:rsidR="00461DD5" w:rsidRPr="00DB4A2D" w:rsidRDefault="00461DD5" w:rsidP="00461DD5">
            <w:pPr>
              <w:pStyle w:val="naisnod"/>
              <w:spacing w:before="0" w:after="0"/>
              <w:rPr>
                <w:b w:val="0"/>
                <w:i/>
              </w:rPr>
            </w:pPr>
            <w:r w:rsidRPr="00DB4A2D">
              <w:br w:type="page"/>
              <w:t>III. Tiesību akta projekta ietekme uz valsts budžetu un pašvaldību budžetiem</w:t>
            </w:r>
          </w:p>
        </w:tc>
      </w:tr>
      <w:tr w:rsidR="00461DD5" w:rsidRPr="00DB4A2D" w:rsidTr="00461DD5">
        <w:trPr>
          <w:jc w:val="center"/>
        </w:trPr>
        <w:tc>
          <w:tcPr>
            <w:tcW w:w="2641" w:type="dxa"/>
            <w:vMerge w:val="restart"/>
            <w:vAlign w:val="center"/>
          </w:tcPr>
          <w:p w:rsidR="00461DD5" w:rsidRPr="00DB4A2D" w:rsidRDefault="00461DD5" w:rsidP="00461DD5">
            <w:pPr>
              <w:pStyle w:val="naisf"/>
              <w:spacing w:before="0" w:after="0"/>
              <w:jc w:val="center"/>
              <w:rPr>
                <w:b/>
              </w:rPr>
            </w:pPr>
            <w:r w:rsidRPr="00DB4A2D">
              <w:rPr>
                <w:b/>
              </w:rPr>
              <w:t>Rādītāji</w:t>
            </w:r>
          </w:p>
        </w:tc>
        <w:tc>
          <w:tcPr>
            <w:tcW w:w="2702" w:type="dxa"/>
            <w:gridSpan w:val="2"/>
            <w:vMerge w:val="restart"/>
            <w:vAlign w:val="center"/>
          </w:tcPr>
          <w:p w:rsidR="00461DD5" w:rsidRPr="00DB4A2D" w:rsidRDefault="00461DD5" w:rsidP="00461DD5">
            <w:pPr>
              <w:pStyle w:val="naisf"/>
              <w:spacing w:before="0" w:after="0"/>
              <w:jc w:val="center"/>
              <w:rPr>
                <w:b/>
              </w:rPr>
            </w:pPr>
            <w:r w:rsidRPr="00DB4A2D">
              <w:rPr>
                <w:b/>
              </w:rPr>
              <w:t>2014. gads</w:t>
            </w:r>
          </w:p>
        </w:tc>
        <w:tc>
          <w:tcPr>
            <w:tcW w:w="4135" w:type="dxa"/>
            <w:gridSpan w:val="3"/>
            <w:vAlign w:val="center"/>
          </w:tcPr>
          <w:p w:rsidR="00461DD5" w:rsidRPr="00DB4A2D" w:rsidRDefault="00461DD5" w:rsidP="00461DD5">
            <w:pPr>
              <w:pStyle w:val="naisf"/>
              <w:spacing w:before="0" w:after="0"/>
              <w:jc w:val="center"/>
              <w:rPr>
                <w:b/>
                <w:i/>
              </w:rPr>
            </w:pPr>
            <w:r w:rsidRPr="00DB4A2D">
              <w:t>Turpmākie trīs gadi (tūkst.</w:t>
            </w:r>
            <w:r w:rsidRPr="00DB4A2D">
              <w:rPr>
                <w:i/>
              </w:rPr>
              <w:t>euro</w:t>
            </w:r>
            <w:r w:rsidRPr="00DB4A2D">
              <w:t>)</w:t>
            </w:r>
          </w:p>
        </w:tc>
      </w:tr>
      <w:tr w:rsidR="00461DD5" w:rsidRPr="00DB4A2D" w:rsidTr="00461DD5">
        <w:trPr>
          <w:jc w:val="center"/>
        </w:trPr>
        <w:tc>
          <w:tcPr>
            <w:tcW w:w="2641" w:type="dxa"/>
            <w:vMerge/>
            <w:vAlign w:val="center"/>
          </w:tcPr>
          <w:p w:rsidR="00461DD5" w:rsidRPr="00DB4A2D" w:rsidRDefault="00461DD5" w:rsidP="00461DD5">
            <w:pPr>
              <w:pStyle w:val="naisf"/>
              <w:spacing w:before="0" w:after="0"/>
              <w:jc w:val="center"/>
              <w:rPr>
                <w:b/>
                <w:i/>
              </w:rPr>
            </w:pPr>
          </w:p>
        </w:tc>
        <w:tc>
          <w:tcPr>
            <w:tcW w:w="2702" w:type="dxa"/>
            <w:gridSpan w:val="2"/>
            <w:vMerge/>
            <w:vAlign w:val="center"/>
          </w:tcPr>
          <w:p w:rsidR="00461DD5" w:rsidRPr="00DB4A2D" w:rsidRDefault="00461DD5" w:rsidP="00461DD5">
            <w:pPr>
              <w:pStyle w:val="naisf"/>
              <w:spacing w:before="0" w:after="0"/>
              <w:jc w:val="center"/>
              <w:rPr>
                <w:b/>
                <w:i/>
              </w:rPr>
            </w:pPr>
          </w:p>
        </w:tc>
        <w:tc>
          <w:tcPr>
            <w:tcW w:w="1309" w:type="dxa"/>
            <w:vAlign w:val="center"/>
          </w:tcPr>
          <w:p w:rsidR="00461DD5" w:rsidRPr="00DB4A2D" w:rsidRDefault="00461DD5" w:rsidP="004C4824">
            <w:pPr>
              <w:pStyle w:val="naisf"/>
              <w:spacing w:before="0" w:after="0"/>
              <w:ind w:firstLine="0"/>
              <w:jc w:val="center"/>
              <w:rPr>
                <w:b/>
                <w:i/>
              </w:rPr>
            </w:pPr>
            <w:r w:rsidRPr="00DB4A2D">
              <w:rPr>
                <w:b/>
                <w:bCs/>
              </w:rPr>
              <w:t>2015.g.</w:t>
            </w:r>
          </w:p>
        </w:tc>
        <w:tc>
          <w:tcPr>
            <w:tcW w:w="1309" w:type="dxa"/>
            <w:vAlign w:val="center"/>
          </w:tcPr>
          <w:p w:rsidR="00461DD5" w:rsidRPr="00DB4A2D" w:rsidRDefault="00461DD5" w:rsidP="004C4824">
            <w:pPr>
              <w:pStyle w:val="naisf"/>
              <w:spacing w:before="0" w:after="0"/>
              <w:ind w:firstLine="0"/>
              <w:jc w:val="center"/>
              <w:rPr>
                <w:b/>
                <w:i/>
              </w:rPr>
            </w:pPr>
            <w:r w:rsidRPr="00DB4A2D">
              <w:rPr>
                <w:b/>
                <w:bCs/>
              </w:rPr>
              <w:t>2016.g.</w:t>
            </w:r>
          </w:p>
        </w:tc>
        <w:tc>
          <w:tcPr>
            <w:tcW w:w="1517" w:type="dxa"/>
            <w:vAlign w:val="center"/>
          </w:tcPr>
          <w:p w:rsidR="00461DD5" w:rsidRPr="00DB4A2D" w:rsidRDefault="00461DD5" w:rsidP="004C4824">
            <w:pPr>
              <w:pStyle w:val="naisf"/>
              <w:spacing w:before="0" w:after="0"/>
              <w:jc w:val="center"/>
              <w:rPr>
                <w:b/>
                <w:i/>
              </w:rPr>
            </w:pPr>
            <w:r w:rsidRPr="00DB4A2D">
              <w:rPr>
                <w:b/>
                <w:bCs/>
              </w:rPr>
              <w:t>2017.g.</w:t>
            </w:r>
          </w:p>
        </w:tc>
      </w:tr>
      <w:tr w:rsidR="00461DD5" w:rsidRPr="00DB4A2D" w:rsidTr="00461DD5">
        <w:trPr>
          <w:jc w:val="center"/>
        </w:trPr>
        <w:tc>
          <w:tcPr>
            <w:tcW w:w="2641" w:type="dxa"/>
            <w:vMerge/>
            <w:vAlign w:val="center"/>
          </w:tcPr>
          <w:p w:rsidR="00461DD5" w:rsidRPr="00DB4A2D" w:rsidRDefault="00461DD5" w:rsidP="00461DD5">
            <w:pPr>
              <w:pStyle w:val="naisf"/>
              <w:spacing w:before="0" w:after="0"/>
              <w:jc w:val="center"/>
              <w:rPr>
                <w:b/>
                <w:i/>
              </w:rPr>
            </w:pPr>
          </w:p>
        </w:tc>
        <w:tc>
          <w:tcPr>
            <w:tcW w:w="1309" w:type="dxa"/>
            <w:vAlign w:val="center"/>
          </w:tcPr>
          <w:p w:rsidR="00461DD5" w:rsidRPr="00DB4A2D" w:rsidRDefault="00461DD5" w:rsidP="00461DD5">
            <w:pPr>
              <w:pStyle w:val="naisf"/>
              <w:spacing w:before="0" w:after="0"/>
              <w:ind w:firstLine="0"/>
              <w:rPr>
                <w:b/>
                <w:i/>
              </w:rPr>
            </w:pPr>
            <w:r w:rsidRPr="00DB4A2D">
              <w:t>saskaņā ar valsts budžetu kārtējam gadam</w:t>
            </w:r>
          </w:p>
        </w:tc>
        <w:tc>
          <w:tcPr>
            <w:tcW w:w="1393" w:type="dxa"/>
            <w:vAlign w:val="center"/>
          </w:tcPr>
          <w:p w:rsidR="00461DD5" w:rsidRPr="00DB4A2D" w:rsidRDefault="00461DD5" w:rsidP="00461DD5">
            <w:pPr>
              <w:pStyle w:val="naisf"/>
              <w:spacing w:before="0" w:after="0"/>
              <w:ind w:firstLine="0"/>
              <w:rPr>
                <w:b/>
                <w:i/>
              </w:rPr>
            </w:pPr>
            <w:r>
              <w:t>izmai</w:t>
            </w:r>
            <w:r w:rsidRPr="00DB4A2D">
              <w:t>ņas kārtējā gadā, salīdzinot ar budžetu kārtējam gadam</w:t>
            </w:r>
          </w:p>
        </w:tc>
        <w:tc>
          <w:tcPr>
            <w:tcW w:w="1309" w:type="dxa"/>
            <w:vAlign w:val="center"/>
          </w:tcPr>
          <w:p w:rsidR="00461DD5" w:rsidRPr="00DB4A2D" w:rsidRDefault="00461DD5" w:rsidP="00461DD5">
            <w:pPr>
              <w:pStyle w:val="naisf"/>
              <w:spacing w:before="0" w:after="0"/>
              <w:ind w:firstLine="0"/>
              <w:rPr>
                <w:b/>
                <w:i/>
              </w:rPr>
            </w:pPr>
            <w:r w:rsidRPr="00DB4A2D">
              <w:t>izmaiņas, salīdzinot ar kārtējo (n) gadu</w:t>
            </w:r>
          </w:p>
        </w:tc>
        <w:tc>
          <w:tcPr>
            <w:tcW w:w="1309" w:type="dxa"/>
            <w:vAlign w:val="center"/>
          </w:tcPr>
          <w:p w:rsidR="00461DD5" w:rsidRPr="00DB4A2D" w:rsidRDefault="00461DD5" w:rsidP="00461DD5">
            <w:pPr>
              <w:pStyle w:val="naisf"/>
              <w:spacing w:before="0" w:after="0"/>
              <w:ind w:firstLine="0"/>
              <w:rPr>
                <w:b/>
                <w:i/>
              </w:rPr>
            </w:pPr>
            <w:r w:rsidRPr="00DB4A2D">
              <w:t>izmaiņas, salīdzinot ar kārtējo (n) gadu</w:t>
            </w:r>
          </w:p>
        </w:tc>
        <w:tc>
          <w:tcPr>
            <w:tcW w:w="1517" w:type="dxa"/>
            <w:vAlign w:val="center"/>
          </w:tcPr>
          <w:p w:rsidR="00461DD5" w:rsidRPr="00DB4A2D" w:rsidRDefault="00461DD5" w:rsidP="00461DD5">
            <w:pPr>
              <w:pStyle w:val="naisf"/>
              <w:spacing w:before="0" w:after="0"/>
              <w:ind w:firstLine="0"/>
              <w:rPr>
                <w:b/>
                <w:i/>
              </w:rPr>
            </w:pPr>
            <w:r w:rsidRPr="00DB4A2D">
              <w:t>izmaiņas, salīdzinot ar kārtējo (n) gadu</w:t>
            </w:r>
          </w:p>
        </w:tc>
      </w:tr>
      <w:tr w:rsidR="00461DD5" w:rsidRPr="00DB4A2D" w:rsidTr="00461DD5">
        <w:trPr>
          <w:jc w:val="center"/>
        </w:trPr>
        <w:tc>
          <w:tcPr>
            <w:tcW w:w="2641" w:type="dxa"/>
            <w:vAlign w:val="center"/>
          </w:tcPr>
          <w:p w:rsidR="00461DD5" w:rsidRPr="00DB4A2D" w:rsidRDefault="00461DD5" w:rsidP="00461DD5">
            <w:pPr>
              <w:pStyle w:val="naisf"/>
              <w:spacing w:before="0" w:after="0"/>
              <w:jc w:val="center"/>
              <w:rPr>
                <w:bCs/>
              </w:rPr>
            </w:pPr>
            <w:r w:rsidRPr="00DB4A2D">
              <w:rPr>
                <w:bCs/>
              </w:rPr>
              <w:t>1</w:t>
            </w:r>
          </w:p>
        </w:tc>
        <w:tc>
          <w:tcPr>
            <w:tcW w:w="1309" w:type="dxa"/>
            <w:vAlign w:val="center"/>
          </w:tcPr>
          <w:p w:rsidR="00461DD5" w:rsidRPr="00DB4A2D" w:rsidRDefault="00461DD5" w:rsidP="00461DD5">
            <w:pPr>
              <w:pStyle w:val="naisf"/>
              <w:spacing w:before="0" w:after="0"/>
              <w:jc w:val="center"/>
              <w:rPr>
                <w:bCs/>
              </w:rPr>
            </w:pPr>
            <w:r w:rsidRPr="00DB4A2D">
              <w:rPr>
                <w:bCs/>
              </w:rPr>
              <w:t>2</w:t>
            </w:r>
          </w:p>
        </w:tc>
        <w:tc>
          <w:tcPr>
            <w:tcW w:w="1393" w:type="dxa"/>
          </w:tcPr>
          <w:p w:rsidR="00461DD5" w:rsidRPr="00DB4A2D" w:rsidRDefault="00461DD5" w:rsidP="00461DD5">
            <w:pPr>
              <w:pStyle w:val="naisf"/>
              <w:spacing w:before="0" w:after="0"/>
              <w:jc w:val="center"/>
              <w:rPr>
                <w:bCs/>
              </w:rPr>
            </w:pPr>
            <w:r w:rsidRPr="00DB4A2D">
              <w:rPr>
                <w:bCs/>
              </w:rPr>
              <w:t>3</w:t>
            </w:r>
          </w:p>
        </w:tc>
        <w:tc>
          <w:tcPr>
            <w:tcW w:w="1309" w:type="dxa"/>
            <w:vAlign w:val="center"/>
          </w:tcPr>
          <w:p w:rsidR="00461DD5" w:rsidRPr="00DB4A2D" w:rsidRDefault="00461DD5" w:rsidP="00461DD5">
            <w:pPr>
              <w:pStyle w:val="naisf"/>
              <w:spacing w:before="0" w:after="0"/>
              <w:jc w:val="center"/>
              <w:rPr>
                <w:bCs/>
              </w:rPr>
            </w:pPr>
            <w:r w:rsidRPr="00DB4A2D">
              <w:rPr>
                <w:bCs/>
              </w:rPr>
              <w:t>4</w:t>
            </w:r>
          </w:p>
        </w:tc>
        <w:tc>
          <w:tcPr>
            <w:tcW w:w="1309" w:type="dxa"/>
            <w:vAlign w:val="center"/>
          </w:tcPr>
          <w:p w:rsidR="00461DD5" w:rsidRPr="00DB4A2D" w:rsidRDefault="00461DD5" w:rsidP="00461DD5">
            <w:pPr>
              <w:pStyle w:val="naisf"/>
              <w:spacing w:before="0" w:after="0"/>
              <w:jc w:val="center"/>
              <w:rPr>
                <w:bCs/>
              </w:rPr>
            </w:pPr>
            <w:r w:rsidRPr="00DB4A2D">
              <w:rPr>
                <w:bCs/>
              </w:rPr>
              <w:t>5</w:t>
            </w:r>
          </w:p>
        </w:tc>
        <w:tc>
          <w:tcPr>
            <w:tcW w:w="1517" w:type="dxa"/>
            <w:vAlign w:val="center"/>
          </w:tcPr>
          <w:p w:rsidR="00461DD5" w:rsidRPr="00DB4A2D" w:rsidRDefault="00461DD5" w:rsidP="00461DD5">
            <w:pPr>
              <w:pStyle w:val="naisf"/>
              <w:spacing w:before="0" w:after="0"/>
              <w:jc w:val="center"/>
              <w:rPr>
                <w:bCs/>
              </w:rPr>
            </w:pPr>
            <w:r w:rsidRPr="00DB4A2D">
              <w:rPr>
                <w:bCs/>
              </w:rPr>
              <w:t>6</w:t>
            </w:r>
          </w:p>
        </w:tc>
      </w:tr>
      <w:tr w:rsidR="006119C9" w:rsidRPr="00DB4A2D" w:rsidTr="00285B87">
        <w:trPr>
          <w:jc w:val="center"/>
        </w:trPr>
        <w:tc>
          <w:tcPr>
            <w:tcW w:w="2641" w:type="dxa"/>
          </w:tcPr>
          <w:p w:rsidR="006119C9" w:rsidRPr="00461DD5" w:rsidRDefault="006119C9" w:rsidP="00461DD5">
            <w:pPr>
              <w:pStyle w:val="naisf"/>
              <w:spacing w:before="0" w:after="0"/>
              <w:ind w:firstLine="0"/>
              <w:rPr>
                <w:i/>
              </w:rPr>
            </w:pPr>
            <w:r w:rsidRPr="00461DD5">
              <w:t>1.Budžeta ieņēmumi:</w:t>
            </w:r>
          </w:p>
        </w:tc>
        <w:tc>
          <w:tcPr>
            <w:tcW w:w="6837" w:type="dxa"/>
            <w:gridSpan w:val="5"/>
          </w:tcPr>
          <w:p w:rsidR="006119C9" w:rsidRPr="002F3680" w:rsidRDefault="006119C9" w:rsidP="006119C9">
            <w:pPr>
              <w:pStyle w:val="naisf"/>
              <w:spacing w:before="0" w:after="0"/>
              <w:ind w:firstLine="0"/>
            </w:pPr>
            <w:r w:rsidRPr="002F3680">
              <w:t>Projekts šo jomu neskar</w:t>
            </w:r>
          </w:p>
          <w:p w:rsidR="006119C9" w:rsidRPr="008C3C6A" w:rsidRDefault="006119C9" w:rsidP="00462CFB">
            <w:pPr>
              <w:pStyle w:val="naisf"/>
              <w:spacing w:before="0" w:after="0"/>
              <w:ind w:firstLine="0"/>
              <w:jc w:val="right"/>
              <w:rPr>
                <w:b/>
              </w:rPr>
            </w:pPr>
          </w:p>
        </w:tc>
      </w:tr>
      <w:tr w:rsidR="006119C9" w:rsidRPr="00DB4A2D" w:rsidTr="00285B87">
        <w:trPr>
          <w:jc w:val="center"/>
        </w:trPr>
        <w:tc>
          <w:tcPr>
            <w:tcW w:w="2641" w:type="dxa"/>
          </w:tcPr>
          <w:p w:rsidR="006119C9" w:rsidRPr="00461DD5" w:rsidRDefault="006119C9" w:rsidP="00461DD5">
            <w:r w:rsidRPr="00461DD5">
              <w:t>2. Budžeta izdevumi:</w:t>
            </w:r>
          </w:p>
        </w:tc>
        <w:tc>
          <w:tcPr>
            <w:tcW w:w="6837" w:type="dxa"/>
            <w:gridSpan w:val="5"/>
          </w:tcPr>
          <w:p w:rsidR="006119C9" w:rsidRPr="002F3680" w:rsidRDefault="006119C9" w:rsidP="006119C9">
            <w:pPr>
              <w:pStyle w:val="naisf"/>
              <w:spacing w:before="0" w:after="0"/>
              <w:ind w:firstLine="0"/>
            </w:pPr>
            <w:r w:rsidRPr="002F3680">
              <w:t>Projekts šo jomu neskar</w:t>
            </w:r>
          </w:p>
          <w:p w:rsidR="006119C9" w:rsidRPr="008C3C6A" w:rsidRDefault="006119C9" w:rsidP="00462CFB">
            <w:pPr>
              <w:pStyle w:val="naisf"/>
              <w:spacing w:before="0" w:after="0"/>
              <w:ind w:firstLine="0"/>
              <w:jc w:val="right"/>
              <w:rPr>
                <w:b/>
              </w:rPr>
            </w:pPr>
          </w:p>
        </w:tc>
      </w:tr>
      <w:tr w:rsidR="006119C9" w:rsidRPr="00DB4A2D" w:rsidTr="00285B87">
        <w:trPr>
          <w:jc w:val="center"/>
        </w:trPr>
        <w:tc>
          <w:tcPr>
            <w:tcW w:w="2641" w:type="dxa"/>
          </w:tcPr>
          <w:p w:rsidR="006119C9" w:rsidRPr="00461DD5" w:rsidRDefault="006119C9" w:rsidP="00461DD5">
            <w:r w:rsidRPr="00461DD5">
              <w:t>3. Finansiālā ietekme:</w:t>
            </w:r>
          </w:p>
        </w:tc>
        <w:tc>
          <w:tcPr>
            <w:tcW w:w="6837" w:type="dxa"/>
            <w:gridSpan w:val="5"/>
          </w:tcPr>
          <w:p w:rsidR="006119C9" w:rsidRPr="002F3680" w:rsidRDefault="006119C9" w:rsidP="006119C9">
            <w:pPr>
              <w:pStyle w:val="naisf"/>
              <w:spacing w:before="0" w:after="0"/>
              <w:ind w:firstLine="0"/>
            </w:pPr>
            <w:r w:rsidRPr="002F3680">
              <w:t>Projekts šo jomu neskar</w:t>
            </w:r>
          </w:p>
          <w:p w:rsidR="006119C9" w:rsidRPr="008C3C6A" w:rsidRDefault="006119C9" w:rsidP="00462CFB">
            <w:pPr>
              <w:pStyle w:val="naisf"/>
              <w:spacing w:before="0" w:after="0"/>
              <w:ind w:firstLine="0"/>
              <w:jc w:val="right"/>
              <w:rPr>
                <w:b/>
              </w:rPr>
            </w:pPr>
          </w:p>
        </w:tc>
      </w:tr>
      <w:tr w:rsidR="006119C9" w:rsidRPr="00DB4A2D" w:rsidTr="00285B87">
        <w:trPr>
          <w:trHeight w:val="1656"/>
          <w:jc w:val="center"/>
        </w:trPr>
        <w:tc>
          <w:tcPr>
            <w:tcW w:w="2641" w:type="dxa"/>
          </w:tcPr>
          <w:p w:rsidR="006119C9" w:rsidRPr="00DB4A2D" w:rsidRDefault="006119C9" w:rsidP="00461DD5">
            <w:r w:rsidRPr="00DB4A2D">
              <w:t>4. Finanšu līdzekļi papildu izdevumu finansēšanai (kompensējošu izdevumu samazinājumu norāda ar "+" zīmi)</w:t>
            </w:r>
          </w:p>
        </w:tc>
        <w:tc>
          <w:tcPr>
            <w:tcW w:w="6837" w:type="dxa"/>
            <w:gridSpan w:val="5"/>
          </w:tcPr>
          <w:p w:rsidR="006119C9" w:rsidRPr="002F3680" w:rsidRDefault="006119C9" w:rsidP="006119C9">
            <w:pPr>
              <w:pStyle w:val="naisf"/>
              <w:spacing w:before="0" w:after="0"/>
              <w:ind w:firstLine="0"/>
            </w:pPr>
            <w:r w:rsidRPr="002F3680">
              <w:t>Projekts šo jomu neskar</w:t>
            </w:r>
          </w:p>
          <w:p w:rsidR="006119C9" w:rsidRPr="008C3C6A" w:rsidRDefault="006119C9" w:rsidP="00462CFB">
            <w:pPr>
              <w:pStyle w:val="naisf"/>
              <w:spacing w:before="0" w:after="0"/>
              <w:ind w:firstLine="0"/>
              <w:jc w:val="right"/>
              <w:rPr>
                <w:b/>
              </w:rPr>
            </w:pPr>
          </w:p>
        </w:tc>
      </w:tr>
      <w:tr w:rsidR="006119C9" w:rsidRPr="00DB4A2D" w:rsidTr="00285B87">
        <w:trPr>
          <w:jc w:val="center"/>
        </w:trPr>
        <w:tc>
          <w:tcPr>
            <w:tcW w:w="2641" w:type="dxa"/>
          </w:tcPr>
          <w:p w:rsidR="006119C9" w:rsidRPr="00DB4A2D" w:rsidRDefault="006119C9" w:rsidP="00461DD5">
            <w:r w:rsidRPr="00DB4A2D">
              <w:t>5. Precizēta finansiālā ietekme:</w:t>
            </w:r>
          </w:p>
        </w:tc>
        <w:tc>
          <w:tcPr>
            <w:tcW w:w="6837" w:type="dxa"/>
            <w:gridSpan w:val="5"/>
          </w:tcPr>
          <w:p w:rsidR="006119C9" w:rsidRPr="002F3680" w:rsidRDefault="006119C9" w:rsidP="006119C9">
            <w:pPr>
              <w:pStyle w:val="naisf"/>
              <w:spacing w:before="0" w:after="0"/>
              <w:ind w:firstLine="0"/>
            </w:pPr>
            <w:r w:rsidRPr="002F3680">
              <w:t>Projekts šo jomu neskar</w:t>
            </w:r>
          </w:p>
          <w:p w:rsidR="006119C9" w:rsidRPr="008C3C6A" w:rsidRDefault="006119C9" w:rsidP="00462CFB">
            <w:pPr>
              <w:pStyle w:val="naisf"/>
              <w:spacing w:before="0" w:after="0"/>
              <w:ind w:firstLine="0"/>
              <w:jc w:val="right"/>
              <w:rPr>
                <w:b/>
              </w:rPr>
            </w:pPr>
          </w:p>
        </w:tc>
      </w:tr>
      <w:tr w:rsidR="00462CFB" w:rsidRPr="00DB4A2D" w:rsidTr="00462CFB">
        <w:trPr>
          <w:jc w:val="center"/>
        </w:trPr>
        <w:tc>
          <w:tcPr>
            <w:tcW w:w="2641" w:type="dxa"/>
          </w:tcPr>
          <w:p w:rsidR="00462CFB" w:rsidRPr="00DB4A2D" w:rsidRDefault="00462CFB" w:rsidP="00461DD5">
            <w:r w:rsidRPr="00DB4A2D">
              <w:t xml:space="preserve">6. Detalizēts ieņēmumu un izdevumu aprēķins (ja nepieciešams, detalizētu ieņēmumu un izdevumu aprēķinu var </w:t>
            </w:r>
            <w:r w:rsidRPr="00DB4A2D">
              <w:lastRenderedPageBreak/>
              <w:t>pievienot anotācijas pielikumā):</w:t>
            </w:r>
          </w:p>
        </w:tc>
        <w:tc>
          <w:tcPr>
            <w:tcW w:w="6837" w:type="dxa"/>
            <w:gridSpan w:val="5"/>
          </w:tcPr>
          <w:p w:rsidR="00256C9C" w:rsidRPr="002F3680" w:rsidRDefault="002F3680" w:rsidP="002F3680">
            <w:pPr>
              <w:pStyle w:val="naisf"/>
              <w:spacing w:before="0" w:after="0"/>
              <w:ind w:firstLine="0"/>
            </w:pPr>
            <w:r w:rsidRPr="002F3680">
              <w:lastRenderedPageBreak/>
              <w:t>Projekts šo jomu neskar</w:t>
            </w:r>
          </w:p>
          <w:p w:rsidR="00462CFB" w:rsidRPr="008C3C6A" w:rsidRDefault="00462CFB" w:rsidP="00461DD5">
            <w:pPr>
              <w:pStyle w:val="naisf"/>
              <w:spacing w:before="0" w:after="0"/>
              <w:ind w:firstLine="0"/>
              <w:rPr>
                <w:b/>
              </w:rPr>
            </w:pPr>
          </w:p>
        </w:tc>
      </w:tr>
      <w:tr w:rsidR="00462CFB" w:rsidRPr="00DB4A2D" w:rsidTr="00461DD5">
        <w:trPr>
          <w:jc w:val="center"/>
        </w:trPr>
        <w:tc>
          <w:tcPr>
            <w:tcW w:w="2641" w:type="dxa"/>
          </w:tcPr>
          <w:p w:rsidR="00462CFB" w:rsidRPr="00DB4A2D" w:rsidRDefault="00462CFB" w:rsidP="00461DD5">
            <w:r w:rsidRPr="00DB4A2D">
              <w:lastRenderedPageBreak/>
              <w:t>7. Cita informācija</w:t>
            </w:r>
          </w:p>
        </w:tc>
        <w:tc>
          <w:tcPr>
            <w:tcW w:w="6837" w:type="dxa"/>
            <w:gridSpan w:val="5"/>
            <w:vAlign w:val="center"/>
          </w:tcPr>
          <w:p w:rsidR="00462CFB" w:rsidRDefault="00462CFB" w:rsidP="00D773DA">
            <w:pPr>
              <w:jc w:val="both"/>
            </w:pPr>
            <w:r>
              <w:t xml:space="preserve">Ņemot vērā to, ka noteikumu projekts </w:t>
            </w:r>
            <w:r w:rsidRPr="008947FF">
              <w:t>nosaka</w:t>
            </w:r>
            <w:r>
              <w:t xml:space="preserve"> tikai</w:t>
            </w:r>
            <w:r w:rsidRPr="008947FF">
              <w:t xml:space="preserve"> kritērijus valsts budžeta dotācijas piešķiršanai pašvaldībām Eiropas Savienības fondu 2014.–2020.gada plānošanas perioda līdzfinansēto projekta īstenošanai</w:t>
            </w:r>
            <w:r>
              <w:t>, noteikumu projekts tieši neietekmē valsts un pašvaldību budžetu. Ietekme uz budžetu radīs tie Ministru kabineta noteikumi, kas paredzēs kārtību, kā</w:t>
            </w:r>
            <w:r w:rsidR="00A80928">
              <w:t>dā</w:t>
            </w:r>
            <w:r>
              <w:t xml:space="preserve"> piešķir un administrē Eiropas Savienības un valsts budžeta finansējumu specifiskajos atbalsta mērķos, jo ar šiem noteikumiem tiks apstiprināts arī finansējums, no kura būs atkarīgs valsts budžeta dotācijas apmērs.</w:t>
            </w:r>
          </w:p>
          <w:p w:rsidR="002F3680" w:rsidRPr="007A5AB7" w:rsidRDefault="00A16A2F" w:rsidP="002F3680">
            <w:pPr>
              <w:pStyle w:val="naisf"/>
              <w:spacing w:before="0" w:after="0"/>
              <w:ind w:firstLine="0"/>
            </w:pPr>
            <w:r w:rsidRPr="007A5AB7">
              <w:t>Prognoze ar p</w:t>
            </w:r>
            <w:r w:rsidR="002F3680" w:rsidRPr="007A5AB7">
              <w:t>ieņēmumi</w:t>
            </w:r>
            <w:r w:rsidRPr="007A5AB7">
              <w:t>em par VBD apmēru 2014-.2020.gada plānošanas periodā</w:t>
            </w:r>
            <w:r w:rsidR="002F3680" w:rsidRPr="007A5AB7">
              <w:t>:</w:t>
            </w:r>
          </w:p>
          <w:p w:rsidR="002F3680" w:rsidRPr="005B68C7" w:rsidRDefault="002F3680" w:rsidP="002F3680">
            <w:pPr>
              <w:pStyle w:val="naisf"/>
              <w:numPr>
                <w:ilvl w:val="0"/>
                <w:numId w:val="35"/>
              </w:numPr>
              <w:spacing w:before="0" w:after="0"/>
            </w:pPr>
            <w:r w:rsidRPr="005B68C7">
              <w:t>Prognozējamais VBD apmērs 2014-.2020.gada plānošanas periodā – 2</w:t>
            </w:r>
            <w:r w:rsidR="00722C93" w:rsidRPr="005B68C7">
              <w:t>9</w:t>
            </w:r>
            <w:r w:rsidRPr="005B68C7">
              <w:t>,</w:t>
            </w:r>
            <w:r w:rsidR="0015793C">
              <w:t>6</w:t>
            </w:r>
            <w:r w:rsidRPr="005B68C7">
              <w:t xml:space="preserve"> milj. </w:t>
            </w:r>
            <w:r w:rsidRPr="005B68C7">
              <w:rPr>
                <w:i/>
              </w:rPr>
              <w:t>euro</w:t>
            </w:r>
            <w:r w:rsidRPr="005B68C7">
              <w:t xml:space="preserve"> (skat. anotācijas pielikumu – </w:t>
            </w:r>
            <w:r w:rsidRPr="005B68C7">
              <w:rPr>
                <w:i/>
              </w:rPr>
              <w:t xml:space="preserve">MS </w:t>
            </w:r>
            <w:proofErr w:type="spellStart"/>
            <w:r w:rsidRPr="005B68C7">
              <w:rPr>
                <w:i/>
              </w:rPr>
              <w:t>excel</w:t>
            </w:r>
            <w:proofErr w:type="spellEnd"/>
            <w:r w:rsidRPr="005B68C7">
              <w:t xml:space="preserve"> datne „</w:t>
            </w:r>
            <w:r w:rsidR="000B3635" w:rsidRPr="000B3635">
              <w:rPr>
                <w:i/>
              </w:rPr>
              <w:t>VARAMAnot_VBD_19122014_p</w:t>
            </w:r>
            <w:r w:rsidRPr="005B68C7">
              <w:t>”);</w:t>
            </w:r>
          </w:p>
          <w:p w:rsidR="002F3680" w:rsidRPr="005335E5" w:rsidRDefault="002F3680" w:rsidP="002F3680">
            <w:pPr>
              <w:pStyle w:val="naisf"/>
              <w:numPr>
                <w:ilvl w:val="0"/>
                <w:numId w:val="35"/>
              </w:numPr>
              <w:spacing w:before="0" w:after="0"/>
            </w:pPr>
            <w:r w:rsidRPr="005335E5">
              <w:t>VBD tiks izmaksāta no 2016.gada līdz 2022.gadam (7 gadus);</w:t>
            </w:r>
          </w:p>
          <w:p w:rsidR="002F3680" w:rsidRPr="005B68C7" w:rsidRDefault="002F3680" w:rsidP="002F3680">
            <w:pPr>
              <w:pStyle w:val="naisf"/>
              <w:numPr>
                <w:ilvl w:val="0"/>
                <w:numId w:val="35"/>
              </w:numPr>
              <w:spacing w:before="0" w:after="0"/>
            </w:pPr>
            <w:r w:rsidRPr="005B68C7">
              <w:t xml:space="preserve">Pieņemts, ka VBD tiks izmaksāta aptuveni vienādi katru gadu – </w:t>
            </w:r>
            <w:r w:rsidR="0015793C">
              <w:t>29,6</w:t>
            </w:r>
            <w:r w:rsidR="00722C93" w:rsidRPr="005B68C7">
              <w:t xml:space="preserve"> </w:t>
            </w:r>
            <w:r w:rsidRPr="005B68C7">
              <w:t xml:space="preserve">milj. </w:t>
            </w:r>
            <w:r w:rsidRPr="005B68C7">
              <w:rPr>
                <w:i/>
              </w:rPr>
              <w:t>euro</w:t>
            </w:r>
            <w:r w:rsidRPr="005B68C7">
              <w:t>: 7 gadi = 4,</w:t>
            </w:r>
            <w:r w:rsidR="00722C93" w:rsidRPr="005B68C7">
              <w:t>23</w:t>
            </w:r>
            <w:r w:rsidRPr="005B68C7">
              <w:t xml:space="preserve"> milj. </w:t>
            </w:r>
            <w:r w:rsidRPr="005B68C7">
              <w:rPr>
                <w:i/>
              </w:rPr>
              <w:t>euro</w:t>
            </w:r>
            <w:r w:rsidRPr="005B68C7">
              <w:t>/gadā.</w:t>
            </w:r>
          </w:p>
          <w:p w:rsidR="0015793C" w:rsidRPr="005335E5" w:rsidRDefault="006D66E9" w:rsidP="0067312A">
            <w:pPr>
              <w:jc w:val="both"/>
            </w:pPr>
            <w:r w:rsidRPr="005335E5">
              <w:t xml:space="preserve">Kopumā ietekme valsts budžetu plānotā tā, lai 2014.-2020.gada plānošanas periodā tā nebūtu lielāka par 2007.-2013.gada plānošanas perioda ietekmi – ja laika posmā no 2007.gada līdz 2014.gada </w:t>
            </w:r>
            <w:r w:rsidR="0015793C">
              <w:t>14.oktobrim</w:t>
            </w:r>
            <w:r w:rsidRPr="005335E5">
              <w:t xml:space="preserve"> apstiprinātajos pašvaldību projektos kopumā ir aprēķināta valsts budžeta dotācija </w:t>
            </w:r>
            <w:r w:rsidR="008C3C6A" w:rsidRPr="005335E5">
              <w:t>31,</w:t>
            </w:r>
            <w:r w:rsidR="00F566F9" w:rsidRPr="005335E5">
              <w:t>4</w:t>
            </w:r>
            <w:r w:rsidRPr="005335E5">
              <w:t xml:space="preserve">5 milj. </w:t>
            </w:r>
            <w:r w:rsidR="00DA05AB" w:rsidRPr="005335E5">
              <w:rPr>
                <w:i/>
              </w:rPr>
              <w:t>euro</w:t>
            </w:r>
            <w:r w:rsidRPr="005335E5">
              <w:t xml:space="preserve"> </w:t>
            </w:r>
            <w:r w:rsidRPr="005B68C7">
              <w:t xml:space="preserve">apmērā, tad 2014.-2020.gada plānošanas periodā tā tiek prognozēta aptuveni </w:t>
            </w:r>
            <w:r w:rsidR="0015793C">
              <w:t>29,6</w:t>
            </w:r>
            <w:r w:rsidR="00462CFB" w:rsidRPr="005B68C7">
              <w:t xml:space="preserve"> milj</w:t>
            </w:r>
            <w:r w:rsidRPr="005B68C7">
              <w:t xml:space="preserve">. </w:t>
            </w:r>
            <w:r w:rsidR="00DA05AB" w:rsidRPr="005B68C7">
              <w:rPr>
                <w:i/>
              </w:rPr>
              <w:t>euro</w:t>
            </w:r>
            <w:r w:rsidRPr="005B68C7">
              <w:t xml:space="preserve"> apmērā.</w:t>
            </w:r>
            <w:r w:rsidR="0067312A" w:rsidRPr="005335E5">
              <w:t xml:space="preserve"> Anotācijas p</w:t>
            </w:r>
            <w:r w:rsidRPr="005335E5">
              <w:t xml:space="preserve">ielikumā esošajā aprēķinu modelī ir iekļauts </w:t>
            </w:r>
            <w:r w:rsidR="0015793C">
              <w:t xml:space="preserve">indikatīvais </w:t>
            </w:r>
            <w:r w:rsidRPr="005335E5">
              <w:t xml:space="preserve">prognozējamais </w:t>
            </w:r>
            <w:r w:rsidR="006E3101" w:rsidRPr="005335E5">
              <w:t>Eiropas Savienības</w:t>
            </w:r>
            <w:r w:rsidRPr="005335E5">
              <w:t xml:space="preserve"> fondu finansējums sadalījumā pa pašvaldībām </w:t>
            </w:r>
            <w:r w:rsidR="00462CFB" w:rsidRPr="005335E5">
              <w:t>685 milj.</w:t>
            </w:r>
            <w:r w:rsidRPr="005335E5">
              <w:t xml:space="preserve"> </w:t>
            </w:r>
            <w:r w:rsidR="00DA05AB" w:rsidRPr="005335E5">
              <w:rPr>
                <w:i/>
              </w:rPr>
              <w:t>euro</w:t>
            </w:r>
            <w:r w:rsidRPr="005335E5">
              <w:t xml:space="preserve"> apmērā, k</w:t>
            </w:r>
            <w:r w:rsidR="00A16A2F" w:rsidRPr="005335E5">
              <w:t>urā ņemti vērā jau šobrīd zināmie finansējuma sadalījuma nosacījumi.</w:t>
            </w:r>
            <w:r w:rsidR="00A80928" w:rsidRPr="005335E5">
              <w:t xml:space="preserve"> Finansējums, kas plānots atsevišķām pašvaldību grupām, sadalīts proporcionāli to skaitam</w:t>
            </w:r>
            <w:r w:rsidRPr="005335E5">
              <w:t>.</w:t>
            </w:r>
            <w:r w:rsidR="00A80928" w:rsidRPr="005335E5">
              <w:t xml:space="preserve"> Finansējuma sadalījums pa pašvaldībām var mainīties, ņemot vērā plānotos </w:t>
            </w:r>
            <w:r w:rsidR="006E3101" w:rsidRPr="005335E5">
              <w:t>MK</w:t>
            </w:r>
            <w:r w:rsidR="00A80928" w:rsidRPr="005335E5">
              <w:t xml:space="preserve"> noteikumus, kas paredzēs kārtību, kādā piešķir un administrē Eiropas Savienības un valsts budžeta finansējumu </w:t>
            </w:r>
            <w:r w:rsidR="0015793C">
              <w:t xml:space="preserve">darbības programmas „Izaugsme un nodarbinātība” </w:t>
            </w:r>
            <w:r w:rsidR="00A80928" w:rsidRPr="005335E5">
              <w:t>specifiskajos atbalsta mērķos</w:t>
            </w:r>
            <w:r w:rsidR="000016C4">
              <w:t xml:space="preserve"> </w:t>
            </w:r>
            <w:r w:rsidR="0015793C">
              <w:t xml:space="preserve">Nr. </w:t>
            </w:r>
            <w:r w:rsidR="000016C4">
              <w:rPr>
                <w:color w:val="000000" w:themeColor="text1"/>
              </w:rPr>
              <w:t>3.3.1., 4.2.2., 4.4.1., 5.1.1., 5.5.1., 5.6.2., 6.1.4., 8.1.2., 8.1.3., 8.3.2., 8.3.5., 8.5.1., 8.5.2., 8.5.3, 9.2.4., 9.2.5., 9.3.1.</w:t>
            </w:r>
          </w:p>
          <w:p w:rsidR="00462CFB" w:rsidRPr="004C4824" w:rsidRDefault="006D66E9" w:rsidP="008665AC">
            <w:pPr>
              <w:jc w:val="both"/>
            </w:pPr>
            <w:r w:rsidRPr="005335E5">
              <w:t>Kā jau I.</w:t>
            </w:r>
            <w:r w:rsidR="002F3680" w:rsidRPr="005335E5">
              <w:t xml:space="preserve"> </w:t>
            </w:r>
            <w:r w:rsidRPr="005335E5">
              <w:t xml:space="preserve">nodaļas 4.punktā tika minēts, no valsts budžeta viedokļa papildu izdevumu risks ir minimāls, jo modelis ir slēgta sistēma – palielinoties VBD līdzfinansējumam vienai pašvaldībai, tas samazināsies citai pašvaldībai, līdz ar to kopējā valsts budžeta izmaksas prognoze mainīsies minimāli (skat. anotācijas pielikumu – </w:t>
            </w:r>
            <w:r w:rsidRPr="005335E5">
              <w:rPr>
                <w:i/>
              </w:rPr>
              <w:t xml:space="preserve">MS </w:t>
            </w:r>
            <w:proofErr w:type="spellStart"/>
            <w:r w:rsidRPr="005335E5">
              <w:rPr>
                <w:i/>
              </w:rPr>
              <w:t>excel</w:t>
            </w:r>
            <w:proofErr w:type="spellEnd"/>
            <w:r w:rsidRPr="005335E5">
              <w:t xml:space="preserve"> datne </w:t>
            </w:r>
            <w:r w:rsidR="00B52185" w:rsidRPr="005335E5">
              <w:t>„</w:t>
            </w:r>
            <w:r w:rsidR="000B3635" w:rsidRPr="000B3635">
              <w:rPr>
                <w:i/>
              </w:rPr>
              <w:t>VARAMAnot_VBD_19122014_p</w:t>
            </w:r>
            <w:r w:rsidR="00B52185" w:rsidRPr="005B68C7">
              <w:t>”</w:t>
            </w:r>
            <w:r w:rsidRPr="005B68C7">
              <w:t>).</w:t>
            </w:r>
          </w:p>
        </w:tc>
      </w:tr>
    </w:tbl>
    <w:p w:rsidR="00461DD5" w:rsidRDefault="00461DD5" w:rsidP="009E2AA4">
      <w:pPr>
        <w:rPr>
          <w:sz w:val="26"/>
          <w:szCs w:val="26"/>
        </w:rPr>
      </w:pPr>
    </w:p>
    <w:tbl>
      <w:tblPr>
        <w:tblW w:w="4985"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284"/>
        <w:gridCol w:w="3622"/>
        <w:gridCol w:w="5537"/>
      </w:tblGrid>
      <w:tr w:rsidR="009E2AA4" w:rsidRPr="00C73FCF" w:rsidTr="00DF2194">
        <w:tc>
          <w:tcPr>
            <w:tcW w:w="5000" w:type="pct"/>
            <w:gridSpan w:val="3"/>
            <w:tcBorders>
              <w:top w:val="outset" w:sz="6" w:space="0" w:color="000000"/>
              <w:left w:val="outset" w:sz="6" w:space="0" w:color="000000"/>
              <w:bottom w:val="outset" w:sz="6" w:space="0" w:color="000000"/>
              <w:right w:val="outset" w:sz="6" w:space="0" w:color="000000"/>
            </w:tcBorders>
          </w:tcPr>
          <w:p w:rsidR="009E2AA4" w:rsidRPr="00C73FCF" w:rsidRDefault="009E2AA4" w:rsidP="0022311E">
            <w:pPr>
              <w:jc w:val="center"/>
              <w:rPr>
                <w:b/>
                <w:bCs/>
                <w:sz w:val="26"/>
                <w:szCs w:val="26"/>
              </w:rPr>
            </w:pPr>
            <w:r w:rsidRPr="00C73FCF">
              <w:rPr>
                <w:b/>
                <w:bCs/>
                <w:sz w:val="26"/>
                <w:szCs w:val="26"/>
              </w:rPr>
              <w:t>VII. Tiesību akta projekta izpildes nodrošināšana un tās ietekme uz institūcijām</w:t>
            </w:r>
          </w:p>
        </w:tc>
      </w:tr>
      <w:tr w:rsidR="009E2AA4" w:rsidRPr="00C73FCF" w:rsidTr="0028411A">
        <w:tc>
          <w:tcPr>
            <w:tcW w:w="0" w:type="auto"/>
            <w:tcBorders>
              <w:top w:val="outset" w:sz="6" w:space="0" w:color="000000"/>
              <w:left w:val="outset" w:sz="6" w:space="0" w:color="000000"/>
              <w:bottom w:val="outset" w:sz="6" w:space="0" w:color="000000"/>
              <w:right w:val="outset" w:sz="6" w:space="0" w:color="000000"/>
            </w:tcBorders>
          </w:tcPr>
          <w:p w:rsidR="009E2AA4" w:rsidRPr="00C73FCF" w:rsidRDefault="009E2AA4" w:rsidP="0022311E">
            <w:r w:rsidRPr="00C73FCF">
              <w:t>1.</w:t>
            </w:r>
          </w:p>
        </w:tc>
        <w:tc>
          <w:tcPr>
            <w:tcW w:w="1918" w:type="pct"/>
            <w:tcBorders>
              <w:top w:val="outset" w:sz="6" w:space="0" w:color="000000"/>
              <w:left w:val="outset" w:sz="6" w:space="0" w:color="000000"/>
              <w:bottom w:val="outset" w:sz="6" w:space="0" w:color="000000"/>
              <w:right w:val="outset" w:sz="6" w:space="0" w:color="000000"/>
            </w:tcBorders>
          </w:tcPr>
          <w:p w:rsidR="009E2AA4" w:rsidRPr="00C73FCF" w:rsidRDefault="009E2AA4" w:rsidP="0022311E">
            <w:r w:rsidRPr="00C73FCF">
              <w:t>Projekta izpildē iesaistītās institūcijas</w:t>
            </w:r>
          </w:p>
        </w:tc>
        <w:tc>
          <w:tcPr>
            <w:tcW w:w="2932" w:type="pct"/>
            <w:tcBorders>
              <w:top w:val="outset" w:sz="6" w:space="0" w:color="000000"/>
              <w:left w:val="outset" w:sz="6" w:space="0" w:color="000000"/>
              <w:bottom w:val="outset" w:sz="6" w:space="0" w:color="000000"/>
              <w:right w:val="outset" w:sz="6" w:space="0" w:color="000000"/>
            </w:tcBorders>
          </w:tcPr>
          <w:p w:rsidR="009E2AA4" w:rsidRPr="00C73FCF" w:rsidRDefault="0015793C" w:rsidP="00992245">
            <w:pPr>
              <w:ind w:left="105" w:right="112"/>
            </w:pPr>
            <w:r>
              <w:t xml:space="preserve">Vides aizsardzības un reģionālās attīstības ministrija, </w:t>
            </w:r>
            <w:r w:rsidR="00340604" w:rsidRPr="00C73FCF">
              <w:t>Finanšu ministrija</w:t>
            </w:r>
            <w:r w:rsidR="00892EAD">
              <w:t>,</w:t>
            </w:r>
            <w:r w:rsidR="00684CF0">
              <w:t xml:space="preserve"> </w:t>
            </w:r>
            <w:r w:rsidR="006D66E9" w:rsidRPr="004B0040">
              <w:t>Pārresoru koordinācijas centrs</w:t>
            </w:r>
            <w:r w:rsidR="00684CF0">
              <w:t>,</w:t>
            </w:r>
            <w:r w:rsidR="00892EAD">
              <w:t xml:space="preserve"> Latvijas Pašvaldību savienība, Latvijas Lielo pilsētu asociācija, Valsts reģionālās attīstības aģentūra</w:t>
            </w:r>
            <w:r w:rsidR="00FF55D4">
              <w:t>.</w:t>
            </w:r>
          </w:p>
        </w:tc>
      </w:tr>
      <w:tr w:rsidR="009E2AA4" w:rsidRPr="00C73FCF" w:rsidTr="0028411A">
        <w:tc>
          <w:tcPr>
            <w:tcW w:w="0" w:type="auto"/>
            <w:tcBorders>
              <w:top w:val="outset" w:sz="6" w:space="0" w:color="000000"/>
              <w:left w:val="outset" w:sz="6" w:space="0" w:color="000000"/>
              <w:bottom w:val="outset" w:sz="6" w:space="0" w:color="000000"/>
              <w:right w:val="outset" w:sz="6" w:space="0" w:color="000000"/>
            </w:tcBorders>
          </w:tcPr>
          <w:p w:rsidR="009E2AA4" w:rsidRPr="00C73FCF" w:rsidRDefault="009E2AA4" w:rsidP="0022311E">
            <w:r w:rsidRPr="00C73FCF">
              <w:lastRenderedPageBreak/>
              <w:t>2.</w:t>
            </w:r>
          </w:p>
        </w:tc>
        <w:tc>
          <w:tcPr>
            <w:tcW w:w="1918" w:type="pct"/>
            <w:tcBorders>
              <w:top w:val="outset" w:sz="6" w:space="0" w:color="000000"/>
              <w:left w:val="outset" w:sz="6" w:space="0" w:color="000000"/>
              <w:bottom w:val="outset" w:sz="6" w:space="0" w:color="000000"/>
              <w:right w:val="outset" w:sz="6" w:space="0" w:color="000000"/>
            </w:tcBorders>
          </w:tcPr>
          <w:p w:rsidR="009E2AA4" w:rsidRPr="00C73FCF" w:rsidRDefault="009E2AA4" w:rsidP="0022311E">
            <w:r w:rsidRPr="00C73FCF">
              <w:t>Projekta izpildes ietekme uz pārvaldes funkcijām</w:t>
            </w:r>
          </w:p>
        </w:tc>
        <w:tc>
          <w:tcPr>
            <w:tcW w:w="2932" w:type="pct"/>
            <w:tcBorders>
              <w:top w:val="outset" w:sz="6" w:space="0" w:color="000000"/>
              <w:left w:val="outset" w:sz="6" w:space="0" w:color="000000"/>
              <w:bottom w:val="outset" w:sz="6" w:space="0" w:color="000000"/>
              <w:right w:val="outset" w:sz="6" w:space="0" w:color="000000"/>
            </w:tcBorders>
          </w:tcPr>
          <w:p w:rsidR="009E2AA4" w:rsidRPr="00C73FCF" w:rsidRDefault="006C4D9F" w:rsidP="006C4D9F">
            <w:pPr>
              <w:ind w:left="105"/>
            </w:pPr>
            <w:r w:rsidRPr="00C73FCF">
              <w:t>Projekts šo jomu neskar</w:t>
            </w:r>
            <w:r w:rsidR="005C5169" w:rsidRPr="00C73FCF">
              <w:t>.</w:t>
            </w:r>
            <w:r w:rsidRPr="00C73FCF">
              <w:t xml:space="preserve"> </w:t>
            </w:r>
            <w:r w:rsidR="009E2AA4" w:rsidRPr="00C73FCF">
              <w:t xml:space="preserve"> </w:t>
            </w:r>
          </w:p>
        </w:tc>
      </w:tr>
      <w:tr w:rsidR="009E2AA4" w:rsidRPr="00C73FCF" w:rsidTr="0028411A">
        <w:tc>
          <w:tcPr>
            <w:tcW w:w="0" w:type="auto"/>
            <w:tcBorders>
              <w:top w:val="outset" w:sz="6" w:space="0" w:color="000000"/>
              <w:left w:val="outset" w:sz="6" w:space="0" w:color="000000"/>
              <w:bottom w:val="outset" w:sz="6" w:space="0" w:color="000000"/>
              <w:right w:val="outset" w:sz="6" w:space="0" w:color="000000"/>
            </w:tcBorders>
          </w:tcPr>
          <w:p w:rsidR="009E2AA4" w:rsidRPr="00C73FCF" w:rsidRDefault="009E2AA4" w:rsidP="0022311E">
            <w:r w:rsidRPr="00C73FCF">
              <w:t>3.</w:t>
            </w:r>
          </w:p>
        </w:tc>
        <w:tc>
          <w:tcPr>
            <w:tcW w:w="1918" w:type="pct"/>
            <w:tcBorders>
              <w:top w:val="outset" w:sz="6" w:space="0" w:color="000000"/>
              <w:left w:val="outset" w:sz="6" w:space="0" w:color="000000"/>
              <w:bottom w:val="outset" w:sz="6" w:space="0" w:color="000000"/>
              <w:right w:val="outset" w:sz="6" w:space="0" w:color="000000"/>
            </w:tcBorders>
          </w:tcPr>
          <w:p w:rsidR="009E2AA4" w:rsidRPr="00C73FCF" w:rsidRDefault="009E2AA4" w:rsidP="0022311E">
            <w:r w:rsidRPr="00C73FCF">
              <w:t>Projekta izpildes ietekme uz pārvaldes institucionālo struktūru.</w:t>
            </w:r>
          </w:p>
          <w:p w:rsidR="00A31901" w:rsidRPr="00C73FCF" w:rsidRDefault="00A31901" w:rsidP="0022311E"/>
          <w:p w:rsidR="009E2AA4" w:rsidRPr="00C73FCF" w:rsidRDefault="009E2AA4" w:rsidP="0022311E">
            <w:r w:rsidRPr="00C73FCF">
              <w:t>Jaunu institūciju izveide</w:t>
            </w:r>
            <w:r w:rsidR="00A31901" w:rsidRPr="00C73FCF">
              <w:t>, esošo institūciju lik</w:t>
            </w:r>
            <w:r w:rsidR="00E86F33" w:rsidRPr="00C73FCF">
              <w:t>vidācija vai reorganizācija, to ietekme uz institūcijas cilvēkresursiem</w:t>
            </w:r>
          </w:p>
        </w:tc>
        <w:tc>
          <w:tcPr>
            <w:tcW w:w="2932" w:type="pct"/>
            <w:tcBorders>
              <w:top w:val="outset" w:sz="6" w:space="0" w:color="000000"/>
              <w:left w:val="outset" w:sz="6" w:space="0" w:color="000000"/>
              <w:bottom w:val="outset" w:sz="6" w:space="0" w:color="000000"/>
              <w:right w:val="outset" w:sz="6" w:space="0" w:color="000000"/>
            </w:tcBorders>
          </w:tcPr>
          <w:p w:rsidR="009E2AA4" w:rsidRPr="00C73FCF" w:rsidRDefault="006C4D9F" w:rsidP="00DF2194">
            <w:pPr>
              <w:ind w:left="105"/>
            </w:pPr>
            <w:r w:rsidRPr="00C73FCF">
              <w:t>Projekts šo jomu neskar</w:t>
            </w:r>
            <w:r w:rsidR="005C5169" w:rsidRPr="00C73FCF">
              <w:t>.</w:t>
            </w:r>
          </w:p>
        </w:tc>
      </w:tr>
      <w:tr w:rsidR="009E2AA4" w:rsidRPr="00C73FCF" w:rsidTr="0028411A">
        <w:tc>
          <w:tcPr>
            <w:tcW w:w="0" w:type="auto"/>
            <w:tcBorders>
              <w:top w:val="outset" w:sz="6" w:space="0" w:color="000000"/>
              <w:left w:val="outset" w:sz="6" w:space="0" w:color="000000"/>
              <w:bottom w:val="outset" w:sz="6" w:space="0" w:color="000000"/>
              <w:right w:val="outset" w:sz="6" w:space="0" w:color="000000"/>
            </w:tcBorders>
          </w:tcPr>
          <w:p w:rsidR="009E2AA4" w:rsidRPr="00C73FCF" w:rsidRDefault="00E86F33" w:rsidP="0022311E">
            <w:r w:rsidRPr="00C73FCF">
              <w:t>4</w:t>
            </w:r>
            <w:r w:rsidR="009E2AA4" w:rsidRPr="00C73FCF">
              <w:t>.</w:t>
            </w:r>
          </w:p>
        </w:tc>
        <w:tc>
          <w:tcPr>
            <w:tcW w:w="1918" w:type="pct"/>
            <w:tcBorders>
              <w:top w:val="outset" w:sz="6" w:space="0" w:color="000000"/>
              <w:left w:val="outset" w:sz="6" w:space="0" w:color="000000"/>
              <w:bottom w:val="outset" w:sz="6" w:space="0" w:color="000000"/>
              <w:right w:val="outset" w:sz="6" w:space="0" w:color="000000"/>
            </w:tcBorders>
          </w:tcPr>
          <w:p w:rsidR="009E2AA4" w:rsidRPr="00C73FCF" w:rsidRDefault="009E2AA4" w:rsidP="0022311E">
            <w:r w:rsidRPr="00C73FCF">
              <w:t>Cita informācija</w:t>
            </w:r>
          </w:p>
        </w:tc>
        <w:tc>
          <w:tcPr>
            <w:tcW w:w="2932" w:type="pct"/>
            <w:tcBorders>
              <w:top w:val="outset" w:sz="6" w:space="0" w:color="000000"/>
              <w:left w:val="outset" w:sz="6" w:space="0" w:color="000000"/>
              <w:bottom w:val="outset" w:sz="6" w:space="0" w:color="000000"/>
              <w:right w:val="outset" w:sz="6" w:space="0" w:color="000000"/>
            </w:tcBorders>
          </w:tcPr>
          <w:p w:rsidR="009E2AA4" w:rsidRPr="00C73FCF" w:rsidRDefault="009E2AA4" w:rsidP="00DF2194">
            <w:pPr>
              <w:ind w:left="105"/>
            </w:pPr>
            <w:r w:rsidRPr="00C73FCF">
              <w:t>Nav</w:t>
            </w:r>
          </w:p>
        </w:tc>
      </w:tr>
    </w:tbl>
    <w:p w:rsidR="008A5618" w:rsidRPr="00C73FCF" w:rsidRDefault="00264CAF" w:rsidP="008A5618">
      <w:pPr>
        <w:spacing w:before="120" w:after="120"/>
        <w:rPr>
          <w:sz w:val="26"/>
          <w:szCs w:val="26"/>
        </w:rPr>
      </w:pPr>
      <w:r>
        <w:rPr>
          <w:i/>
          <w:sz w:val="26"/>
          <w:szCs w:val="26"/>
        </w:rPr>
        <w:t>Anotācijas II - VI</w:t>
      </w:r>
      <w:r w:rsidR="008A5618" w:rsidRPr="00C73FCF">
        <w:rPr>
          <w:i/>
          <w:sz w:val="26"/>
          <w:szCs w:val="26"/>
        </w:rPr>
        <w:t xml:space="preserve"> sadaļa – projekts šīs jomas neskar.</w:t>
      </w:r>
    </w:p>
    <w:p w:rsidR="008A5618" w:rsidRPr="00C73FCF" w:rsidRDefault="008A5618" w:rsidP="009854AF">
      <w:pPr>
        <w:jc w:val="both"/>
        <w:rPr>
          <w:sz w:val="26"/>
          <w:szCs w:val="26"/>
        </w:rPr>
      </w:pPr>
    </w:p>
    <w:p w:rsidR="0043543A" w:rsidRPr="00C73FCF" w:rsidRDefault="0043543A" w:rsidP="009854AF">
      <w:pPr>
        <w:jc w:val="both"/>
        <w:rPr>
          <w:sz w:val="26"/>
          <w:szCs w:val="26"/>
        </w:rPr>
      </w:pPr>
    </w:p>
    <w:p w:rsidR="0043543A" w:rsidRPr="00C73FCF" w:rsidRDefault="00C73FCF" w:rsidP="009854AF">
      <w:pPr>
        <w:jc w:val="both"/>
        <w:rPr>
          <w:sz w:val="26"/>
          <w:szCs w:val="26"/>
        </w:rPr>
      </w:pPr>
      <w:r w:rsidRPr="00C73FCF">
        <w:rPr>
          <w:sz w:val="26"/>
          <w:szCs w:val="26"/>
        </w:rPr>
        <w:t>Iesniedzējs:</w:t>
      </w:r>
    </w:p>
    <w:p w:rsidR="00691634" w:rsidRPr="00C73FCF" w:rsidRDefault="0057627B" w:rsidP="009854AF">
      <w:pPr>
        <w:jc w:val="both"/>
        <w:rPr>
          <w:sz w:val="26"/>
          <w:szCs w:val="26"/>
        </w:rPr>
      </w:pPr>
      <w:r w:rsidRPr="00C73FCF">
        <w:rPr>
          <w:sz w:val="26"/>
          <w:szCs w:val="26"/>
        </w:rPr>
        <w:t>Vides aizsardzības un reģionālās attīstības</w:t>
      </w:r>
      <w:r w:rsidR="001C7022" w:rsidRPr="00C73FCF">
        <w:rPr>
          <w:sz w:val="26"/>
          <w:szCs w:val="26"/>
        </w:rPr>
        <w:t xml:space="preserve"> ministrs</w:t>
      </w:r>
      <w:proofErr w:type="gramStart"/>
      <w:r w:rsidR="008A5618" w:rsidRPr="00C73FCF">
        <w:rPr>
          <w:sz w:val="26"/>
          <w:szCs w:val="26"/>
        </w:rPr>
        <w:t xml:space="preserve"> </w:t>
      </w:r>
      <w:r w:rsidR="001C7022" w:rsidRPr="00C73FCF">
        <w:rPr>
          <w:sz w:val="26"/>
          <w:szCs w:val="26"/>
        </w:rPr>
        <w:t xml:space="preserve">        </w:t>
      </w:r>
      <w:r w:rsidR="001D5AC8">
        <w:rPr>
          <w:sz w:val="26"/>
          <w:szCs w:val="26"/>
        </w:rPr>
        <w:t xml:space="preserve">                    </w:t>
      </w:r>
      <w:proofErr w:type="gramEnd"/>
      <w:r w:rsidR="004F47DE">
        <w:rPr>
          <w:sz w:val="26"/>
          <w:szCs w:val="26"/>
        </w:rPr>
        <w:t>K.Gerhards</w:t>
      </w:r>
    </w:p>
    <w:p w:rsidR="00691634" w:rsidRPr="00C73FCF" w:rsidRDefault="00691634" w:rsidP="009854AF">
      <w:pPr>
        <w:jc w:val="both"/>
        <w:rPr>
          <w:sz w:val="26"/>
          <w:szCs w:val="26"/>
        </w:rPr>
      </w:pPr>
      <w:r w:rsidRPr="00C73FCF">
        <w:rPr>
          <w:sz w:val="26"/>
          <w:szCs w:val="26"/>
        </w:rPr>
        <w:tab/>
      </w:r>
      <w:r w:rsidRPr="00C73FCF">
        <w:rPr>
          <w:sz w:val="26"/>
          <w:szCs w:val="26"/>
        </w:rPr>
        <w:tab/>
      </w:r>
      <w:r w:rsidRPr="00C73FCF">
        <w:rPr>
          <w:sz w:val="26"/>
          <w:szCs w:val="26"/>
        </w:rPr>
        <w:tab/>
      </w:r>
      <w:r w:rsidRPr="00C73FCF">
        <w:rPr>
          <w:sz w:val="26"/>
          <w:szCs w:val="26"/>
        </w:rPr>
        <w:tab/>
      </w:r>
      <w:r w:rsidRPr="00C73FCF">
        <w:rPr>
          <w:sz w:val="26"/>
          <w:szCs w:val="26"/>
        </w:rPr>
        <w:tab/>
      </w:r>
      <w:r w:rsidRPr="00C73FCF">
        <w:rPr>
          <w:sz w:val="26"/>
          <w:szCs w:val="26"/>
        </w:rPr>
        <w:tab/>
      </w:r>
      <w:r w:rsidRPr="00C73FCF">
        <w:rPr>
          <w:sz w:val="26"/>
          <w:szCs w:val="26"/>
        </w:rPr>
        <w:tab/>
      </w:r>
      <w:r w:rsidRPr="00C73FCF">
        <w:rPr>
          <w:sz w:val="26"/>
          <w:szCs w:val="26"/>
        </w:rPr>
        <w:tab/>
      </w:r>
    </w:p>
    <w:p w:rsidR="00C73FCF" w:rsidRPr="00C73FCF" w:rsidRDefault="00C73FCF" w:rsidP="00C73FCF">
      <w:pPr>
        <w:tabs>
          <w:tab w:val="left" w:pos="6804"/>
        </w:tabs>
        <w:rPr>
          <w:color w:val="000000"/>
          <w:sz w:val="26"/>
          <w:szCs w:val="26"/>
        </w:rPr>
      </w:pPr>
    </w:p>
    <w:p w:rsidR="00C73FCF" w:rsidRPr="00C73FCF" w:rsidRDefault="00C73FCF" w:rsidP="00C73FCF">
      <w:pPr>
        <w:tabs>
          <w:tab w:val="left" w:pos="6804"/>
        </w:tabs>
        <w:rPr>
          <w:color w:val="000000"/>
          <w:sz w:val="26"/>
          <w:szCs w:val="26"/>
        </w:rPr>
      </w:pPr>
      <w:r w:rsidRPr="00C73FCF">
        <w:rPr>
          <w:color w:val="000000"/>
          <w:sz w:val="26"/>
          <w:szCs w:val="26"/>
        </w:rPr>
        <w:t xml:space="preserve">Vīza: </w:t>
      </w:r>
    </w:p>
    <w:p w:rsidR="00C73FCF" w:rsidRPr="00C73FCF" w:rsidRDefault="00C73FCF" w:rsidP="00C73FCF">
      <w:pPr>
        <w:tabs>
          <w:tab w:val="left" w:pos="6804"/>
        </w:tabs>
        <w:rPr>
          <w:color w:val="000000"/>
          <w:sz w:val="26"/>
          <w:szCs w:val="26"/>
        </w:rPr>
      </w:pPr>
      <w:r w:rsidRPr="00C73FCF">
        <w:rPr>
          <w:color w:val="000000"/>
          <w:sz w:val="26"/>
          <w:szCs w:val="26"/>
        </w:rPr>
        <w:t>valsts sekretārs</w:t>
      </w:r>
      <w:r w:rsidRPr="00C73FCF">
        <w:rPr>
          <w:color w:val="000000"/>
          <w:sz w:val="26"/>
          <w:szCs w:val="26"/>
        </w:rPr>
        <w:tab/>
      </w:r>
      <w:r w:rsidRPr="00C73FCF">
        <w:rPr>
          <w:color w:val="000000"/>
          <w:sz w:val="26"/>
          <w:szCs w:val="26"/>
        </w:rPr>
        <w:tab/>
      </w:r>
      <w:r w:rsidR="001D5AC8">
        <w:rPr>
          <w:color w:val="000000"/>
          <w:sz w:val="26"/>
          <w:szCs w:val="26"/>
        </w:rPr>
        <w:t>G.Puķītis</w:t>
      </w:r>
    </w:p>
    <w:p w:rsidR="001C7022" w:rsidRPr="00C73FCF" w:rsidRDefault="001C7022" w:rsidP="00A85EDE">
      <w:pPr>
        <w:rPr>
          <w:sz w:val="18"/>
          <w:szCs w:val="18"/>
        </w:rPr>
      </w:pPr>
    </w:p>
    <w:p w:rsidR="00691634" w:rsidRPr="00C73FCF" w:rsidRDefault="00691634" w:rsidP="00A85EDE">
      <w:pPr>
        <w:rPr>
          <w:sz w:val="18"/>
          <w:szCs w:val="18"/>
        </w:rPr>
      </w:pPr>
    </w:p>
    <w:p w:rsidR="003162D9" w:rsidRPr="00C73FCF" w:rsidRDefault="003162D9" w:rsidP="00A85EDE">
      <w:pPr>
        <w:rPr>
          <w:sz w:val="18"/>
          <w:szCs w:val="18"/>
        </w:rPr>
      </w:pPr>
    </w:p>
    <w:p w:rsidR="003162D9" w:rsidRPr="00C73FCF" w:rsidRDefault="003162D9" w:rsidP="00A85EDE">
      <w:pPr>
        <w:rPr>
          <w:sz w:val="18"/>
          <w:szCs w:val="18"/>
        </w:rPr>
      </w:pPr>
    </w:p>
    <w:p w:rsidR="003162D9" w:rsidRPr="00C73FCF" w:rsidRDefault="003162D9" w:rsidP="00A85EDE">
      <w:pPr>
        <w:rPr>
          <w:sz w:val="18"/>
          <w:szCs w:val="18"/>
        </w:rPr>
      </w:pPr>
    </w:p>
    <w:p w:rsidR="00691634" w:rsidRPr="00C73FCF" w:rsidRDefault="00691634" w:rsidP="00A85EDE">
      <w:pPr>
        <w:rPr>
          <w:sz w:val="18"/>
          <w:szCs w:val="18"/>
        </w:rPr>
      </w:pPr>
    </w:p>
    <w:p w:rsidR="00142BB1" w:rsidRPr="00142BB1" w:rsidRDefault="00923760" w:rsidP="00142BB1">
      <w:pPr>
        <w:rPr>
          <w:sz w:val="20"/>
          <w:szCs w:val="20"/>
        </w:rPr>
      </w:pPr>
      <w:r>
        <w:rPr>
          <w:sz w:val="20"/>
          <w:szCs w:val="20"/>
        </w:rPr>
        <w:t>19</w:t>
      </w:r>
      <w:r w:rsidR="00451285">
        <w:rPr>
          <w:sz w:val="20"/>
          <w:szCs w:val="20"/>
        </w:rPr>
        <w:t>.1</w:t>
      </w:r>
      <w:r w:rsidR="00992607">
        <w:rPr>
          <w:sz w:val="20"/>
          <w:szCs w:val="20"/>
        </w:rPr>
        <w:t>2</w:t>
      </w:r>
      <w:r w:rsidR="00451285">
        <w:rPr>
          <w:sz w:val="20"/>
          <w:szCs w:val="20"/>
        </w:rPr>
        <w:t xml:space="preserve">.2014. </w:t>
      </w:r>
      <w:r>
        <w:rPr>
          <w:sz w:val="20"/>
          <w:szCs w:val="20"/>
        </w:rPr>
        <w:t>9:00</w:t>
      </w:r>
    </w:p>
    <w:p w:rsidR="00142BB1" w:rsidRPr="00142BB1" w:rsidRDefault="003A58AE" w:rsidP="00142BB1">
      <w:pPr>
        <w:rPr>
          <w:sz w:val="20"/>
          <w:szCs w:val="20"/>
        </w:rPr>
      </w:pPr>
      <w:r w:rsidRPr="003A58AE">
        <w:rPr>
          <w:sz w:val="20"/>
          <w:szCs w:val="20"/>
        </w:rPr>
        <w:t>2</w:t>
      </w:r>
      <w:r w:rsidR="00992607">
        <w:rPr>
          <w:sz w:val="20"/>
          <w:szCs w:val="20"/>
        </w:rPr>
        <w:t>0</w:t>
      </w:r>
      <w:r w:rsidR="00923760">
        <w:rPr>
          <w:sz w:val="20"/>
          <w:szCs w:val="20"/>
        </w:rPr>
        <w:t>16</w:t>
      </w:r>
    </w:p>
    <w:p w:rsidR="00142BB1" w:rsidRPr="00142BB1" w:rsidRDefault="004608AA" w:rsidP="00142BB1">
      <w:pPr>
        <w:rPr>
          <w:sz w:val="20"/>
          <w:szCs w:val="20"/>
        </w:rPr>
      </w:pPr>
      <w:r>
        <w:rPr>
          <w:sz w:val="20"/>
          <w:szCs w:val="20"/>
        </w:rPr>
        <w:t>L.Lāma</w:t>
      </w:r>
    </w:p>
    <w:p w:rsidR="00EE3CA0" w:rsidRDefault="00142BB1" w:rsidP="00142BB1">
      <w:pPr>
        <w:rPr>
          <w:sz w:val="20"/>
          <w:szCs w:val="20"/>
        </w:rPr>
      </w:pPr>
      <w:r w:rsidRPr="00142BB1">
        <w:rPr>
          <w:sz w:val="20"/>
          <w:szCs w:val="20"/>
        </w:rPr>
        <w:t>660167</w:t>
      </w:r>
      <w:r w:rsidR="004608AA">
        <w:rPr>
          <w:sz w:val="20"/>
          <w:szCs w:val="20"/>
        </w:rPr>
        <w:t>53</w:t>
      </w:r>
      <w:r w:rsidRPr="00142BB1">
        <w:rPr>
          <w:sz w:val="20"/>
          <w:szCs w:val="20"/>
        </w:rPr>
        <w:t xml:space="preserve">, </w:t>
      </w:r>
      <w:hyperlink r:id="rId8" w:history="1">
        <w:r w:rsidR="00F4713F" w:rsidRPr="00784E2A">
          <w:rPr>
            <w:rStyle w:val="Hyperlink"/>
            <w:sz w:val="20"/>
            <w:szCs w:val="20"/>
          </w:rPr>
          <w:t>Linda.Lama@varam.gov.lv</w:t>
        </w:r>
      </w:hyperlink>
    </w:p>
    <w:p w:rsidR="00F4713F" w:rsidRPr="00142BB1" w:rsidRDefault="00F4713F" w:rsidP="00F4713F">
      <w:pPr>
        <w:rPr>
          <w:sz w:val="20"/>
          <w:szCs w:val="20"/>
        </w:rPr>
      </w:pPr>
      <w:r>
        <w:rPr>
          <w:sz w:val="20"/>
          <w:szCs w:val="20"/>
        </w:rPr>
        <w:t>R.Timermanis</w:t>
      </w:r>
    </w:p>
    <w:p w:rsidR="00F4713F" w:rsidRPr="00CA292B" w:rsidRDefault="00F4713F" w:rsidP="00F4713F">
      <w:pPr>
        <w:rPr>
          <w:sz w:val="18"/>
          <w:szCs w:val="18"/>
        </w:rPr>
      </w:pPr>
      <w:r w:rsidRPr="00142BB1">
        <w:rPr>
          <w:sz w:val="20"/>
          <w:szCs w:val="20"/>
        </w:rPr>
        <w:t>660167</w:t>
      </w:r>
      <w:r>
        <w:rPr>
          <w:sz w:val="20"/>
          <w:szCs w:val="20"/>
        </w:rPr>
        <w:t>09</w:t>
      </w:r>
      <w:r w:rsidRPr="00142BB1">
        <w:rPr>
          <w:sz w:val="20"/>
          <w:szCs w:val="20"/>
        </w:rPr>
        <w:t xml:space="preserve">, </w:t>
      </w:r>
      <w:hyperlink r:id="rId9" w:history="1">
        <w:r w:rsidRPr="00784E2A">
          <w:rPr>
            <w:rStyle w:val="Hyperlink"/>
            <w:sz w:val="20"/>
            <w:szCs w:val="20"/>
          </w:rPr>
          <w:t>Ritvars.Timermanis@varam.gov.lv</w:t>
        </w:r>
      </w:hyperlink>
      <w:r>
        <w:rPr>
          <w:sz w:val="20"/>
          <w:szCs w:val="20"/>
        </w:rPr>
        <w:t xml:space="preserve"> </w:t>
      </w:r>
    </w:p>
    <w:p w:rsidR="00F4713F" w:rsidRPr="00CA292B" w:rsidRDefault="00F4713F" w:rsidP="00142BB1">
      <w:pPr>
        <w:rPr>
          <w:sz w:val="18"/>
          <w:szCs w:val="18"/>
        </w:rPr>
      </w:pPr>
    </w:p>
    <w:sectPr w:rsidR="00F4713F" w:rsidRPr="00CA292B" w:rsidSect="00A4041E">
      <w:headerReference w:type="even" r:id="rId10"/>
      <w:headerReference w:type="default" r:id="rId11"/>
      <w:footerReference w:type="default" r:id="rId12"/>
      <w:footerReference w:type="first" r:id="rId13"/>
      <w:pgSz w:w="11906" w:h="16838"/>
      <w:pgMar w:top="1021" w:right="851" w:bottom="1418" w:left="1644" w:header="709" w:footer="322"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749982" w15:done="0"/>
  <w15:commentEx w15:paraId="1331D9C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E69" w:rsidRDefault="00D74E69">
      <w:r>
        <w:separator/>
      </w:r>
    </w:p>
  </w:endnote>
  <w:endnote w:type="continuationSeparator" w:id="0">
    <w:p w:rsidR="00D74E69" w:rsidRDefault="00D74E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5AC" w:rsidRPr="00E461CE" w:rsidRDefault="008665AC" w:rsidP="00F50818">
    <w:pPr>
      <w:pStyle w:val="Footer"/>
      <w:jc w:val="both"/>
      <w:rPr>
        <w:sz w:val="20"/>
        <w:szCs w:val="20"/>
      </w:rPr>
    </w:pPr>
    <w:r w:rsidRPr="00C73FCF">
      <w:rPr>
        <w:sz w:val="20"/>
        <w:szCs w:val="20"/>
      </w:rPr>
      <w:t>VARAMAnot_VBD_</w:t>
    </w:r>
    <w:r w:rsidR="00923760">
      <w:rPr>
        <w:sz w:val="20"/>
        <w:szCs w:val="20"/>
      </w:rPr>
      <w:t>19</w:t>
    </w:r>
    <w:r>
      <w:rPr>
        <w:sz w:val="20"/>
        <w:szCs w:val="20"/>
      </w:rPr>
      <w:t>1220</w:t>
    </w:r>
    <w:r w:rsidRPr="00881EF3">
      <w:rPr>
        <w:sz w:val="20"/>
        <w:szCs w:val="20"/>
      </w:rPr>
      <w:t>14</w:t>
    </w:r>
    <w:r w:rsidRPr="00C73FCF">
      <w:rPr>
        <w:sz w:val="20"/>
        <w:szCs w:val="20"/>
      </w:rPr>
      <w:t>;</w:t>
    </w:r>
    <w:r w:rsidRPr="00E461CE">
      <w:rPr>
        <w:sz w:val="20"/>
        <w:szCs w:val="20"/>
      </w:rPr>
      <w:t xml:space="preserve"> Ministru kabineta noteikuma projekta </w:t>
    </w:r>
    <w:r w:rsidRPr="00E461CE">
      <w:rPr>
        <w:bCs/>
        <w:sz w:val="20"/>
        <w:szCs w:val="20"/>
      </w:rPr>
      <w:t xml:space="preserve">„Noteikumi par kritērijiem un kārtību valsts budžeta dotācijas piešķiršanai pašvaldībām un plānošanas reģioniem Eiropas Savienības struktūrfondu un Kohēzijas fonda </w:t>
    </w:r>
    <w:r w:rsidRPr="00E461CE">
      <w:rPr>
        <w:sz w:val="20"/>
        <w:szCs w:val="20"/>
      </w:rPr>
      <w:t xml:space="preserve">2014.–2020.gada plānošanas perioda </w:t>
    </w:r>
    <w:r w:rsidRPr="00E461CE">
      <w:rPr>
        <w:bCs/>
        <w:sz w:val="20"/>
        <w:szCs w:val="20"/>
      </w:rPr>
      <w:t>līdzfinansēto projektu īstenošanai</w:t>
    </w:r>
    <w:r w:rsidRPr="00E461CE">
      <w:rPr>
        <w:sz w:val="20"/>
        <w:szCs w:val="20"/>
      </w:rPr>
      <w:t>” sākotnējās ietekmes novērt</w:t>
    </w:r>
    <w:r>
      <w:rPr>
        <w:sz w:val="20"/>
        <w:szCs w:val="20"/>
      </w:rPr>
      <w:t>ējuma ziņojums (anotācija)</w:t>
    </w:r>
  </w:p>
  <w:p w:rsidR="008665AC" w:rsidRPr="00CA292B" w:rsidRDefault="008665AC" w:rsidP="00F50818">
    <w:pPr>
      <w:pStyle w:val="Footer"/>
      <w:rPr>
        <w:sz w:val="20"/>
        <w:szCs w:val="20"/>
      </w:rPr>
    </w:pPr>
  </w:p>
  <w:p w:rsidR="008665AC" w:rsidRPr="00F50818" w:rsidRDefault="008665AC" w:rsidP="00F508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5AC" w:rsidRPr="00CA292B" w:rsidRDefault="008665AC">
    <w:pPr>
      <w:pStyle w:val="Footer"/>
      <w:rPr>
        <w:sz w:val="20"/>
        <w:szCs w:val="20"/>
      </w:rPr>
    </w:pPr>
    <w:r w:rsidRPr="00881EF3">
      <w:rPr>
        <w:sz w:val="20"/>
        <w:szCs w:val="20"/>
      </w:rPr>
      <w:t>VARAMAnot_VBD_</w:t>
    </w:r>
    <w:r w:rsidR="00923760">
      <w:rPr>
        <w:sz w:val="20"/>
        <w:szCs w:val="20"/>
      </w:rPr>
      <w:t>19</w:t>
    </w:r>
    <w:r>
      <w:rPr>
        <w:sz w:val="20"/>
        <w:szCs w:val="20"/>
      </w:rPr>
      <w:t>1220</w:t>
    </w:r>
    <w:r w:rsidRPr="00881EF3">
      <w:rPr>
        <w:sz w:val="20"/>
        <w:szCs w:val="20"/>
      </w:rPr>
      <w:t>14;</w:t>
    </w:r>
    <w:r w:rsidRPr="00E461CE">
      <w:rPr>
        <w:sz w:val="20"/>
        <w:szCs w:val="20"/>
      </w:rPr>
      <w:t xml:space="preserve"> Ministru kabineta noteikuma projekta </w:t>
    </w:r>
    <w:r w:rsidRPr="00E461CE">
      <w:rPr>
        <w:bCs/>
        <w:sz w:val="20"/>
        <w:szCs w:val="20"/>
      </w:rPr>
      <w:t xml:space="preserve">„Noteikumi par kritērijiem un kārtību valsts budžeta dotācijas piešķiršanai pašvaldībām un plānošanas reģioniem Eiropas Savienības struktūrfondu un Kohēzijas fonda </w:t>
    </w:r>
    <w:r w:rsidRPr="00E461CE">
      <w:rPr>
        <w:sz w:val="20"/>
        <w:szCs w:val="20"/>
      </w:rPr>
      <w:t xml:space="preserve">2014.–2020.gada plānošanas perioda </w:t>
    </w:r>
    <w:r w:rsidRPr="00E461CE">
      <w:rPr>
        <w:bCs/>
        <w:sz w:val="20"/>
        <w:szCs w:val="20"/>
      </w:rPr>
      <w:t>līdzfinansēto projektu īstenošanai</w:t>
    </w:r>
    <w:r w:rsidRPr="00E461CE">
      <w:rPr>
        <w:sz w:val="20"/>
        <w:szCs w:val="20"/>
      </w:rPr>
      <w:t>”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E69" w:rsidRDefault="00D74E69">
      <w:r>
        <w:separator/>
      </w:r>
    </w:p>
  </w:footnote>
  <w:footnote w:type="continuationSeparator" w:id="0">
    <w:p w:rsidR="00D74E69" w:rsidRDefault="00D74E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5AC" w:rsidRDefault="00014D84" w:rsidP="00190F88">
    <w:pPr>
      <w:pStyle w:val="Header"/>
      <w:framePr w:wrap="around" w:vAnchor="text" w:hAnchor="margin" w:xAlign="center" w:y="1"/>
      <w:rPr>
        <w:rStyle w:val="PageNumber"/>
      </w:rPr>
    </w:pPr>
    <w:r>
      <w:rPr>
        <w:rStyle w:val="PageNumber"/>
      </w:rPr>
      <w:fldChar w:fldCharType="begin"/>
    </w:r>
    <w:r w:rsidR="008665AC">
      <w:rPr>
        <w:rStyle w:val="PageNumber"/>
      </w:rPr>
      <w:instrText xml:space="preserve">PAGE  </w:instrText>
    </w:r>
    <w:r>
      <w:rPr>
        <w:rStyle w:val="PageNumber"/>
      </w:rPr>
      <w:fldChar w:fldCharType="end"/>
    </w:r>
  </w:p>
  <w:p w:rsidR="008665AC" w:rsidRDefault="008665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5AC" w:rsidRPr="00CA292B" w:rsidRDefault="00014D84" w:rsidP="00190F88">
    <w:pPr>
      <w:pStyle w:val="Header"/>
      <w:framePr w:wrap="around" w:vAnchor="text" w:hAnchor="margin" w:xAlign="center" w:y="1"/>
      <w:rPr>
        <w:rStyle w:val="PageNumber"/>
      </w:rPr>
    </w:pPr>
    <w:r w:rsidRPr="00CA292B">
      <w:rPr>
        <w:rStyle w:val="PageNumber"/>
      </w:rPr>
      <w:fldChar w:fldCharType="begin"/>
    </w:r>
    <w:r w:rsidR="008665AC" w:rsidRPr="00CA292B">
      <w:rPr>
        <w:rStyle w:val="PageNumber"/>
      </w:rPr>
      <w:instrText xml:space="preserve">PAGE  </w:instrText>
    </w:r>
    <w:r w:rsidRPr="00CA292B">
      <w:rPr>
        <w:rStyle w:val="PageNumber"/>
      </w:rPr>
      <w:fldChar w:fldCharType="separate"/>
    </w:r>
    <w:r w:rsidR="004D1063">
      <w:rPr>
        <w:rStyle w:val="PageNumber"/>
        <w:noProof/>
      </w:rPr>
      <w:t>7</w:t>
    </w:r>
    <w:r w:rsidRPr="00CA292B">
      <w:rPr>
        <w:rStyle w:val="PageNumber"/>
      </w:rPr>
      <w:fldChar w:fldCharType="end"/>
    </w:r>
  </w:p>
  <w:p w:rsidR="008665AC" w:rsidRDefault="008665AC" w:rsidP="009635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33FF"/>
    <w:multiLevelType w:val="hybridMultilevel"/>
    <w:tmpl w:val="06F2CAC8"/>
    <w:lvl w:ilvl="0" w:tplc="97AAF3DC">
      <w:start w:val="1"/>
      <w:numFmt w:val="decimal"/>
      <w:lvlText w:val="%1."/>
      <w:lvlJc w:val="left"/>
      <w:pPr>
        <w:ind w:left="495" w:hanging="360"/>
      </w:pPr>
      <w:rPr>
        <w:rFonts w:hint="default"/>
      </w:rPr>
    </w:lvl>
    <w:lvl w:ilvl="1" w:tplc="04260019" w:tentative="1">
      <w:start w:val="1"/>
      <w:numFmt w:val="lowerLetter"/>
      <w:lvlText w:val="%2."/>
      <w:lvlJc w:val="left"/>
      <w:pPr>
        <w:ind w:left="1215" w:hanging="360"/>
      </w:pPr>
    </w:lvl>
    <w:lvl w:ilvl="2" w:tplc="0426001B" w:tentative="1">
      <w:start w:val="1"/>
      <w:numFmt w:val="lowerRoman"/>
      <w:lvlText w:val="%3."/>
      <w:lvlJc w:val="right"/>
      <w:pPr>
        <w:ind w:left="1935" w:hanging="180"/>
      </w:pPr>
    </w:lvl>
    <w:lvl w:ilvl="3" w:tplc="0426000F" w:tentative="1">
      <w:start w:val="1"/>
      <w:numFmt w:val="decimal"/>
      <w:lvlText w:val="%4."/>
      <w:lvlJc w:val="left"/>
      <w:pPr>
        <w:ind w:left="2655" w:hanging="360"/>
      </w:pPr>
    </w:lvl>
    <w:lvl w:ilvl="4" w:tplc="04260019" w:tentative="1">
      <w:start w:val="1"/>
      <w:numFmt w:val="lowerLetter"/>
      <w:lvlText w:val="%5."/>
      <w:lvlJc w:val="left"/>
      <w:pPr>
        <w:ind w:left="3375" w:hanging="360"/>
      </w:pPr>
    </w:lvl>
    <w:lvl w:ilvl="5" w:tplc="0426001B" w:tentative="1">
      <w:start w:val="1"/>
      <w:numFmt w:val="lowerRoman"/>
      <w:lvlText w:val="%6."/>
      <w:lvlJc w:val="right"/>
      <w:pPr>
        <w:ind w:left="4095" w:hanging="180"/>
      </w:pPr>
    </w:lvl>
    <w:lvl w:ilvl="6" w:tplc="0426000F" w:tentative="1">
      <w:start w:val="1"/>
      <w:numFmt w:val="decimal"/>
      <w:lvlText w:val="%7."/>
      <w:lvlJc w:val="left"/>
      <w:pPr>
        <w:ind w:left="4815" w:hanging="360"/>
      </w:pPr>
    </w:lvl>
    <w:lvl w:ilvl="7" w:tplc="04260019" w:tentative="1">
      <w:start w:val="1"/>
      <w:numFmt w:val="lowerLetter"/>
      <w:lvlText w:val="%8."/>
      <w:lvlJc w:val="left"/>
      <w:pPr>
        <w:ind w:left="5535" w:hanging="360"/>
      </w:pPr>
    </w:lvl>
    <w:lvl w:ilvl="8" w:tplc="0426001B" w:tentative="1">
      <w:start w:val="1"/>
      <w:numFmt w:val="lowerRoman"/>
      <w:lvlText w:val="%9."/>
      <w:lvlJc w:val="right"/>
      <w:pPr>
        <w:ind w:left="6255" w:hanging="180"/>
      </w:p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4E1F1F"/>
    <w:multiLevelType w:val="hybridMultilevel"/>
    <w:tmpl w:val="DD3ABAA0"/>
    <w:lvl w:ilvl="0" w:tplc="09485374">
      <w:start w:val="1"/>
      <w:numFmt w:val="decimal"/>
      <w:lvlText w:val="%1."/>
      <w:lvlJc w:val="left"/>
      <w:pPr>
        <w:ind w:left="1047" w:hanging="48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nsid w:val="0F1D0E83"/>
    <w:multiLevelType w:val="hybridMultilevel"/>
    <w:tmpl w:val="71901D90"/>
    <w:lvl w:ilvl="0" w:tplc="1D6AD768">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4">
    <w:nsid w:val="100B3778"/>
    <w:multiLevelType w:val="hybridMultilevel"/>
    <w:tmpl w:val="7B2CB64E"/>
    <w:lvl w:ilvl="0" w:tplc="0426000F">
      <w:start w:val="1"/>
      <w:numFmt w:val="decimal"/>
      <w:lvlText w:val="%1."/>
      <w:lvlJc w:val="left"/>
      <w:pPr>
        <w:ind w:left="574" w:hanging="360"/>
      </w:pPr>
      <w:rPr>
        <w:rFonts w:hint="default"/>
      </w:rPr>
    </w:lvl>
    <w:lvl w:ilvl="1" w:tplc="04260019" w:tentative="1">
      <w:start w:val="1"/>
      <w:numFmt w:val="lowerLetter"/>
      <w:lvlText w:val="%2."/>
      <w:lvlJc w:val="left"/>
      <w:pPr>
        <w:ind w:left="1547" w:hanging="360"/>
      </w:pPr>
    </w:lvl>
    <w:lvl w:ilvl="2" w:tplc="0426001B" w:tentative="1">
      <w:start w:val="1"/>
      <w:numFmt w:val="lowerRoman"/>
      <w:lvlText w:val="%3."/>
      <w:lvlJc w:val="right"/>
      <w:pPr>
        <w:ind w:left="2267" w:hanging="180"/>
      </w:pPr>
    </w:lvl>
    <w:lvl w:ilvl="3" w:tplc="0426000F" w:tentative="1">
      <w:start w:val="1"/>
      <w:numFmt w:val="decimal"/>
      <w:lvlText w:val="%4."/>
      <w:lvlJc w:val="left"/>
      <w:pPr>
        <w:ind w:left="2987" w:hanging="360"/>
      </w:pPr>
    </w:lvl>
    <w:lvl w:ilvl="4" w:tplc="04260019" w:tentative="1">
      <w:start w:val="1"/>
      <w:numFmt w:val="lowerLetter"/>
      <w:lvlText w:val="%5."/>
      <w:lvlJc w:val="left"/>
      <w:pPr>
        <w:ind w:left="3707" w:hanging="360"/>
      </w:pPr>
    </w:lvl>
    <w:lvl w:ilvl="5" w:tplc="0426001B" w:tentative="1">
      <w:start w:val="1"/>
      <w:numFmt w:val="lowerRoman"/>
      <w:lvlText w:val="%6."/>
      <w:lvlJc w:val="right"/>
      <w:pPr>
        <w:ind w:left="4427" w:hanging="180"/>
      </w:pPr>
    </w:lvl>
    <w:lvl w:ilvl="6" w:tplc="0426000F" w:tentative="1">
      <w:start w:val="1"/>
      <w:numFmt w:val="decimal"/>
      <w:lvlText w:val="%7."/>
      <w:lvlJc w:val="left"/>
      <w:pPr>
        <w:ind w:left="5147" w:hanging="360"/>
      </w:pPr>
    </w:lvl>
    <w:lvl w:ilvl="7" w:tplc="04260019" w:tentative="1">
      <w:start w:val="1"/>
      <w:numFmt w:val="lowerLetter"/>
      <w:lvlText w:val="%8."/>
      <w:lvlJc w:val="left"/>
      <w:pPr>
        <w:ind w:left="5867" w:hanging="360"/>
      </w:pPr>
    </w:lvl>
    <w:lvl w:ilvl="8" w:tplc="0426001B" w:tentative="1">
      <w:start w:val="1"/>
      <w:numFmt w:val="lowerRoman"/>
      <w:lvlText w:val="%9."/>
      <w:lvlJc w:val="right"/>
      <w:pPr>
        <w:ind w:left="6587" w:hanging="180"/>
      </w:pPr>
    </w:lvl>
  </w:abstractNum>
  <w:abstractNum w:abstractNumId="5">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6">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1D1C5F4B"/>
    <w:multiLevelType w:val="hybridMultilevel"/>
    <w:tmpl w:val="87BA4CC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8">
    <w:nsid w:val="1EF42E9F"/>
    <w:multiLevelType w:val="hybridMultilevel"/>
    <w:tmpl w:val="D702EE4C"/>
    <w:lvl w:ilvl="0" w:tplc="E8407F4A">
      <w:start w:val="1"/>
      <w:numFmt w:val="decimal"/>
      <w:lvlText w:val="%1)"/>
      <w:lvlJc w:val="left"/>
      <w:pPr>
        <w:ind w:left="467" w:hanging="360"/>
      </w:pPr>
      <w:rPr>
        <w:rFonts w:hint="default"/>
      </w:rPr>
    </w:lvl>
    <w:lvl w:ilvl="1" w:tplc="04260019" w:tentative="1">
      <w:start w:val="1"/>
      <w:numFmt w:val="lowerLetter"/>
      <w:lvlText w:val="%2."/>
      <w:lvlJc w:val="left"/>
      <w:pPr>
        <w:ind w:left="1187" w:hanging="360"/>
      </w:pPr>
    </w:lvl>
    <w:lvl w:ilvl="2" w:tplc="0426001B" w:tentative="1">
      <w:start w:val="1"/>
      <w:numFmt w:val="lowerRoman"/>
      <w:lvlText w:val="%3."/>
      <w:lvlJc w:val="right"/>
      <w:pPr>
        <w:ind w:left="1907" w:hanging="180"/>
      </w:pPr>
    </w:lvl>
    <w:lvl w:ilvl="3" w:tplc="0426000F" w:tentative="1">
      <w:start w:val="1"/>
      <w:numFmt w:val="decimal"/>
      <w:lvlText w:val="%4."/>
      <w:lvlJc w:val="left"/>
      <w:pPr>
        <w:ind w:left="2627" w:hanging="360"/>
      </w:pPr>
    </w:lvl>
    <w:lvl w:ilvl="4" w:tplc="04260019" w:tentative="1">
      <w:start w:val="1"/>
      <w:numFmt w:val="lowerLetter"/>
      <w:lvlText w:val="%5."/>
      <w:lvlJc w:val="left"/>
      <w:pPr>
        <w:ind w:left="3347" w:hanging="360"/>
      </w:pPr>
    </w:lvl>
    <w:lvl w:ilvl="5" w:tplc="0426001B" w:tentative="1">
      <w:start w:val="1"/>
      <w:numFmt w:val="lowerRoman"/>
      <w:lvlText w:val="%6."/>
      <w:lvlJc w:val="right"/>
      <w:pPr>
        <w:ind w:left="4067" w:hanging="180"/>
      </w:pPr>
    </w:lvl>
    <w:lvl w:ilvl="6" w:tplc="0426000F" w:tentative="1">
      <w:start w:val="1"/>
      <w:numFmt w:val="decimal"/>
      <w:lvlText w:val="%7."/>
      <w:lvlJc w:val="left"/>
      <w:pPr>
        <w:ind w:left="4787" w:hanging="360"/>
      </w:pPr>
    </w:lvl>
    <w:lvl w:ilvl="7" w:tplc="04260019" w:tentative="1">
      <w:start w:val="1"/>
      <w:numFmt w:val="lowerLetter"/>
      <w:lvlText w:val="%8."/>
      <w:lvlJc w:val="left"/>
      <w:pPr>
        <w:ind w:left="5507" w:hanging="360"/>
      </w:pPr>
    </w:lvl>
    <w:lvl w:ilvl="8" w:tplc="0426001B" w:tentative="1">
      <w:start w:val="1"/>
      <w:numFmt w:val="lowerRoman"/>
      <w:lvlText w:val="%9."/>
      <w:lvlJc w:val="right"/>
      <w:pPr>
        <w:ind w:left="6227" w:hanging="180"/>
      </w:pPr>
    </w:lvl>
  </w:abstractNum>
  <w:abstractNum w:abstractNumId="9">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3507AF8"/>
    <w:multiLevelType w:val="hybridMultilevel"/>
    <w:tmpl w:val="A620961E"/>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1">
    <w:nsid w:val="26D15230"/>
    <w:multiLevelType w:val="multilevel"/>
    <w:tmpl w:val="1E40D6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B3A036E"/>
    <w:multiLevelType w:val="hybridMultilevel"/>
    <w:tmpl w:val="1E728670"/>
    <w:lvl w:ilvl="0" w:tplc="E898BDE8">
      <w:start w:val="1"/>
      <w:numFmt w:val="decimal"/>
      <w:lvlText w:val="%1."/>
      <w:lvlJc w:val="left"/>
      <w:pPr>
        <w:ind w:left="727" w:hanging="360"/>
      </w:pPr>
      <w:rPr>
        <w:rFonts w:hint="default"/>
      </w:rPr>
    </w:lvl>
    <w:lvl w:ilvl="1" w:tplc="04260019" w:tentative="1">
      <w:start w:val="1"/>
      <w:numFmt w:val="lowerLetter"/>
      <w:lvlText w:val="%2."/>
      <w:lvlJc w:val="left"/>
      <w:pPr>
        <w:ind w:left="1447" w:hanging="360"/>
      </w:pPr>
    </w:lvl>
    <w:lvl w:ilvl="2" w:tplc="0426001B" w:tentative="1">
      <w:start w:val="1"/>
      <w:numFmt w:val="lowerRoman"/>
      <w:lvlText w:val="%3."/>
      <w:lvlJc w:val="right"/>
      <w:pPr>
        <w:ind w:left="2167" w:hanging="180"/>
      </w:pPr>
    </w:lvl>
    <w:lvl w:ilvl="3" w:tplc="0426000F" w:tentative="1">
      <w:start w:val="1"/>
      <w:numFmt w:val="decimal"/>
      <w:lvlText w:val="%4."/>
      <w:lvlJc w:val="left"/>
      <w:pPr>
        <w:ind w:left="2887" w:hanging="360"/>
      </w:pPr>
    </w:lvl>
    <w:lvl w:ilvl="4" w:tplc="04260019" w:tentative="1">
      <w:start w:val="1"/>
      <w:numFmt w:val="lowerLetter"/>
      <w:lvlText w:val="%5."/>
      <w:lvlJc w:val="left"/>
      <w:pPr>
        <w:ind w:left="3607" w:hanging="360"/>
      </w:pPr>
    </w:lvl>
    <w:lvl w:ilvl="5" w:tplc="0426001B" w:tentative="1">
      <w:start w:val="1"/>
      <w:numFmt w:val="lowerRoman"/>
      <w:lvlText w:val="%6."/>
      <w:lvlJc w:val="right"/>
      <w:pPr>
        <w:ind w:left="4327" w:hanging="180"/>
      </w:pPr>
    </w:lvl>
    <w:lvl w:ilvl="6" w:tplc="0426000F" w:tentative="1">
      <w:start w:val="1"/>
      <w:numFmt w:val="decimal"/>
      <w:lvlText w:val="%7."/>
      <w:lvlJc w:val="left"/>
      <w:pPr>
        <w:ind w:left="5047" w:hanging="360"/>
      </w:pPr>
    </w:lvl>
    <w:lvl w:ilvl="7" w:tplc="04260019" w:tentative="1">
      <w:start w:val="1"/>
      <w:numFmt w:val="lowerLetter"/>
      <w:lvlText w:val="%8."/>
      <w:lvlJc w:val="left"/>
      <w:pPr>
        <w:ind w:left="5767" w:hanging="360"/>
      </w:pPr>
    </w:lvl>
    <w:lvl w:ilvl="8" w:tplc="0426001B" w:tentative="1">
      <w:start w:val="1"/>
      <w:numFmt w:val="lowerRoman"/>
      <w:lvlText w:val="%9."/>
      <w:lvlJc w:val="right"/>
      <w:pPr>
        <w:ind w:left="6487" w:hanging="180"/>
      </w:pPr>
    </w:lvl>
  </w:abstractNum>
  <w:abstractNum w:abstractNumId="13">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nsid w:val="31FB326E"/>
    <w:multiLevelType w:val="hybridMultilevel"/>
    <w:tmpl w:val="9050BC74"/>
    <w:lvl w:ilvl="0" w:tplc="0FFC94D0">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15">
    <w:nsid w:val="335D22F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E591D58"/>
    <w:multiLevelType w:val="hybridMultilevel"/>
    <w:tmpl w:val="55BA1C02"/>
    <w:lvl w:ilvl="0" w:tplc="FCC2594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4676EAD"/>
    <w:multiLevelType w:val="hybridMultilevel"/>
    <w:tmpl w:val="9F74B05E"/>
    <w:lvl w:ilvl="0" w:tplc="672EDD7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5B64E5"/>
    <w:multiLevelType w:val="hybridMultilevel"/>
    <w:tmpl w:val="613486AE"/>
    <w:lvl w:ilvl="0" w:tplc="5EE629BE">
      <w:start w:val="1"/>
      <w:numFmt w:val="decimal"/>
      <w:lvlText w:val="(%1)"/>
      <w:lvlJc w:val="left"/>
      <w:pPr>
        <w:ind w:left="511" w:hanging="360"/>
      </w:pPr>
      <w:rPr>
        <w:rFonts w:hint="default"/>
        <w:i w:val="0"/>
      </w:rPr>
    </w:lvl>
    <w:lvl w:ilvl="1" w:tplc="04260019" w:tentative="1">
      <w:start w:val="1"/>
      <w:numFmt w:val="lowerLetter"/>
      <w:lvlText w:val="%2."/>
      <w:lvlJc w:val="left"/>
      <w:pPr>
        <w:ind w:left="1231" w:hanging="360"/>
      </w:pPr>
    </w:lvl>
    <w:lvl w:ilvl="2" w:tplc="0426001B" w:tentative="1">
      <w:start w:val="1"/>
      <w:numFmt w:val="lowerRoman"/>
      <w:lvlText w:val="%3."/>
      <w:lvlJc w:val="right"/>
      <w:pPr>
        <w:ind w:left="1951" w:hanging="180"/>
      </w:pPr>
    </w:lvl>
    <w:lvl w:ilvl="3" w:tplc="0426000F" w:tentative="1">
      <w:start w:val="1"/>
      <w:numFmt w:val="decimal"/>
      <w:lvlText w:val="%4."/>
      <w:lvlJc w:val="left"/>
      <w:pPr>
        <w:ind w:left="2671" w:hanging="360"/>
      </w:pPr>
    </w:lvl>
    <w:lvl w:ilvl="4" w:tplc="04260019" w:tentative="1">
      <w:start w:val="1"/>
      <w:numFmt w:val="lowerLetter"/>
      <w:lvlText w:val="%5."/>
      <w:lvlJc w:val="left"/>
      <w:pPr>
        <w:ind w:left="3391" w:hanging="360"/>
      </w:pPr>
    </w:lvl>
    <w:lvl w:ilvl="5" w:tplc="0426001B" w:tentative="1">
      <w:start w:val="1"/>
      <w:numFmt w:val="lowerRoman"/>
      <w:lvlText w:val="%6."/>
      <w:lvlJc w:val="right"/>
      <w:pPr>
        <w:ind w:left="4111" w:hanging="180"/>
      </w:pPr>
    </w:lvl>
    <w:lvl w:ilvl="6" w:tplc="0426000F" w:tentative="1">
      <w:start w:val="1"/>
      <w:numFmt w:val="decimal"/>
      <w:lvlText w:val="%7."/>
      <w:lvlJc w:val="left"/>
      <w:pPr>
        <w:ind w:left="4831" w:hanging="360"/>
      </w:pPr>
    </w:lvl>
    <w:lvl w:ilvl="7" w:tplc="04260019" w:tentative="1">
      <w:start w:val="1"/>
      <w:numFmt w:val="lowerLetter"/>
      <w:lvlText w:val="%8."/>
      <w:lvlJc w:val="left"/>
      <w:pPr>
        <w:ind w:left="5551" w:hanging="360"/>
      </w:pPr>
    </w:lvl>
    <w:lvl w:ilvl="8" w:tplc="0426001B" w:tentative="1">
      <w:start w:val="1"/>
      <w:numFmt w:val="lowerRoman"/>
      <w:lvlText w:val="%9."/>
      <w:lvlJc w:val="right"/>
      <w:pPr>
        <w:ind w:left="6271" w:hanging="180"/>
      </w:pPr>
    </w:lvl>
  </w:abstractNum>
  <w:abstractNum w:abstractNumId="21">
    <w:nsid w:val="49EF2572"/>
    <w:multiLevelType w:val="hybridMultilevel"/>
    <w:tmpl w:val="513A86B6"/>
    <w:lvl w:ilvl="0" w:tplc="148A3D34">
      <w:start w:val="2"/>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nsid w:val="529C74D2"/>
    <w:multiLevelType w:val="hybridMultilevel"/>
    <w:tmpl w:val="618CB040"/>
    <w:lvl w:ilvl="0" w:tplc="66487492">
      <w:start w:val="1"/>
      <w:numFmt w:val="decimal"/>
      <w:lvlText w:val="%1."/>
      <w:lvlJc w:val="left"/>
      <w:pPr>
        <w:ind w:left="435" w:hanging="360"/>
      </w:pPr>
      <w:rPr>
        <w:rFonts w:hint="default"/>
        <w:i w:val="0"/>
      </w:rPr>
    </w:lvl>
    <w:lvl w:ilvl="1" w:tplc="04260019" w:tentative="1">
      <w:start w:val="1"/>
      <w:numFmt w:val="lowerLetter"/>
      <w:lvlText w:val="%2."/>
      <w:lvlJc w:val="left"/>
      <w:pPr>
        <w:ind w:left="1155" w:hanging="360"/>
      </w:pPr>
    </w:lvl>
    <w:lvl w:ilvl="2" w:tplc="0426001B" w:tentative="1">
      <w:start w:val="1"/>
      <w:numFmt w:val="lowerRoman"/>
      <w:lvlText w:val="%3."/>
      <w:lvlJc w:val="right"/>
      <w:pPr>
        <w:ind w:left="1875" w:hanging="180"/>
      </w:pPr>
    </w:lvl>
    <w:lvl w:ilvl="3" w:tplc="0426000F" w:tentative="1">
      <w:start w:val="1"/>
      <w:numFmt w:val="decimal"/>
      <w:lvlText w:val="%4."/>
      <w:lvlJc w:val="left"/>
      <w:pPr>
        <w:ind w:left="2595" w:hanging="360"/>
      </w:pPr>
    </w:lvl>
    <w:lvl w:ilvl="4" w:tplc="04260019" w:tentative="1">
      <w:start w:val="1"/>
      <w:numFmt w:val="lowerLetter"/>
      <w:lvlText w:val="%5."/>
      <w:lvlJc w:val="left"/>
      <w:pPr>
        <w:ind w:left="3315" w:hanging="360"/>
      </w:pPr>
    </w:lvl>
    <w:lvl w:ilvl="5" w:tplc="0426001B" w:tentative="1">
      <w:start w:val="1"/>
      <w:numFmt w:val="lowerRoman"/>
      <w:lvlText w:val="%6."/>
      <w:lvlJc w:val="right"/>
      <w:pPr>
        <w:ind w:left="4035" w:hanging="180"/>
      </w:pPr>
    </w:lvl>
    <w:lvl w:ilvl="6" w:tplc="0426000F" w:tentative="1">
      <w:start w:val="1"/>
      <w:numFmt w:val="decimal"/>
      <w:lvlText w:val="%7."/>
      <w:lvlJc w:val="left"/>
      <w:pPr>
        <w:ind w:left="4755" w:hanging="360"/>
      </w:pPr>
    </w:lvl>
    <w:lvl w:ilvl="7" w:tplc="04260019" w:tentative="1">
      <w:start w:val="1"/>
      <w:numFmt w:val="lowerLetter"/>
      <w:lvlText w:val="%8."/>
      <w:lvlJc w:val="left"/>
      <w:pPr>
        <w:ind w:left="5475" w:hanging="360"/>
      </w:pPr>
    </w:lvl>
    <w:lvl w:ilvl="8" w:tplc="0426001B" w:tentative="1">
      <w:start w:val="1"/>
      <w:numFmt w:val="lowerRoman"/>
      <w:lvlText w:val="%9."/>
      <w:lvlJc w:val="right"/>
      <w:pPr>
        <w:ind w:left="6195" w:hanging="180"/>
      </w:pPr>
    </w:lvl>
  </w:abstractNum>
  <w:abstractNum w:abstractNumId="24">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6AF4003"/>
    <w:multiLevelType w:val="hybridMultilevel"/>
    <w:tmpl w:val="D3C4B14C"/>
    <w:lvl w:ilvl="0" w:tplc="E8407F4A">
      <w:start w:val="1"/>
      <w:numFmt w:val="decimal"/>
      <w:lvlText w:val="%1)"/>
      <w:lvlJc w:val="left"/>
      <w:pPr>
        <w:ind w:left="574" w:hanging="360"/>
      </w:pPr>
      <w:rPr>
        <w:rFonts w:hint="default"/>
      </w:rPr>
    </w:lvl>
    <w:lvl w:ilvl="1" w:tplc="04260019" w:tentative="1">
      <w:start w:val="1"/>
      <w:numFmt w:val="lowerLetter"/>
      <w:lvlText w:val="%2."/>
      <w:lvlJc w:val="left"/>
      <w:pPr>
        <w:ind w:left="1547" w:hanging="360"/>
      </w:pPr>
    </w:lvl>
    <w:lvl w:ilvl="2" w:tplc="0426001B" w:tentative="1">
      <w:start w:val="1"/>
      <w:numFmt w:val="lowerRoman"/>
      <w:lvlText w:val="%3."/>
      <w:lvlJc w:val="right"/>
      <w:pPr>
        <w:ind w:left="2267" w:hanging="180"/>
      </w:pPr>
    </w:lvl>
    <w:lvl w:ilvl="3" w:tplc="0426000F" w:tentative="1">
      <w:start w:val="1"/>
      <w:numFmt w:val="decimal"/>
      <w:lvlText w:val="%4."/>
      <w:lvlJc w:val="left"/>
      <w:pPr>
        <w:ind w:left="2987" w:hanging="360"/>
      </w:pPr>
    </w:lvl>
    <w:lvl w:ilvl="4" w:tplc="04260019" w:tentative="1">
      <w:start w:val="1"/>
      <w:numFmt w:val="lowerLetter"/>
      <w:lvlText w:val="%5."/>
      <w:lvlJc w:val="left"/>
      <w:pPr>
        <w:ind w:left="3707" w:hanging="360"/>
      </w:pPr>
    </w:lvl>
    <w:lvl w:ilvl="5" w:tplc="0426001B" w:tentative="1">
      <w:start w:val="1"/>
      <w:numFmt w:val="lowerRoman"/>
      <w:lvlText w:val="%6."/>
      <w:lvlJc w:val="right"/>
      <w:pPr>
        <w:ind w:left="4427" w:hanging="180"/>
      </w:pPr>
    </w:lvl>
    <w:lvl w:ilvl="6" w:tplc="0426000F" w:tentative="1">
      <w:start w:val="1"/>
      <w:numFmt w:val="decimal"/>
      <w:lvlText w:val="%7."/>
      <w:lvlJc w:val="left"/>
      <w:pPr>
        <w:ind w:left="5147" w:hanging="360"/>
      </w:pPr>
    </w:lvl>
    <w:lvl w:ilvl="7" w:tplc="04260019" w:tentative="1">
      <w:start w:val="1"/>
      <w:numFmt w:val="lowerLetter"/>
      <w:lvlText w:val="%8."/>
      <w:lvlJc w:val="left"/>
      <w:pPr>
        <w:ind w:left="5867" w:hanging="360"/>
      </w:pPr>
    </w:lvl>
    <w:lvl w:ilvl="8" w:tplc="0426001B" w:tentative="1">
      <w:start w:val="1"/>
      <w:numFmt w:val="lowerRoman"/>
      <w:lvlText w:val="%9."/>
      <w:lvlJc w:val="right"/>
      <w:pPr>
        <w:ind w:left="6587" w:hanging="180"/>
      </w:pPr>
    </w:lvl>
  </w:abstractNum>
  <w:abstractNum w:abstractNumId="26">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7">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8">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7F02B8E"/>
    <w:multiLevelType w:val="hybridMultilevel"/>
    <w:tmpl w:val="5B121844"/>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8FA008E"/>
    <w:multiLevelType w:val="hybridMultilevel"/>
    <w:tmpl w:val="04C2F166"/>
    <w:lvl w:ilvl="0" w:tplc="002C002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A67308E"/>
    <w:multiLevelType w:val="hybridMultilevel"/>
    <w:tmpl w:val="04C2F166"/>
    <w:lvl w:ilvl="0" w:tplc="002C002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5B568C8"/>
    <w:multiLevelType w:val="hybridMultilevel"/>
    <w:tmpl w:val="4D0C2224"/>
    <w:lvl w:ilvl="0" w:tplc="FDF0A794">
      <w:start w:val="12"/>
      <w:numFmt w:val="decimal"/>
      <w:lvlText w:val="%1."/>
      <w:lvlJc w:val="left"/>
      <w:pPr>
        <w:ind w:left="510" w:hanging="375"/>
      </w:pPr>
      <w:rPr>
        <w:rFonts w:hint="default"/>
        <w:i w:val="0"/>
      </w:rPr>
    </w:lvl>
    <w:lvl w:ilvl="1" w:tplc="04260019" w:tentative="1">
      <w:start w:val="1"/>
      <w:numFmt w:val="lowerLetter"/>
      <w:lvlText w:val="%2."/>
      <w:lvlJc w:val="left"/>
      <w:pPr>
        <w:ind w:left="1215" w:hanging="360"/>
      </w:pPr>
    </w:lvl>
    <w:lvl w:ilvl="2" w:tplc="0426001B" w:tentative="1">
      <w:start w:val="1"/>
      <w:numFmt w:val="lowerRoman"/>
      <w:lvlText w:val="%3."/>
      <w:lvlJc w:val="right"/>
      <w:pPr>
        <w:ind w:left="1935" w:hanging="180"/>
      </w:pPr>
    </w:lvl>
    <w:lvl w:ilvl="3" w:tplc="0426000F" w:tentative="1">
      <w:start w:val="1"/>
      <w:numFmt w:val="decimal"/>
      <w:lvlText w:val="%4."/>
      <w:lvlJc w:val="left"/>
      <w:pPr>
        <w:ind w:left="2655" w:hanging="360"/>
      </w:pPr>
    </w:lvl>
    <w:lvl w:ilvl="4" w:tplc="04260019" w:tentative="1">
      <w:start w:val="1"/>
      <w:numFmt w:val="lowerLetter"/>
      <w:lvlText w:val="%5."/>
      <w:lvlJc w:val="left"/>
      <w:pPr>
        <w:ind w:left="3375" w:hanging="360"/>
      </w:pPr>
    </w:lvl>
    <w:lvl w:ilvl="5" w:tplc="0426001B" w:tentative="1">
      <w:start w:val="1"/>
      <w:numFmt w:val="lowerRoman"/>
      <w:lvlText w:val="%6."/>
      <w:lvlJc w:val="right"/>
      <w:pPr>
        <w:ind w:left="4095" w:hanging="180"/>
      </w:pPr>
    </w:lvl>
    <w:lvl w:ilvl="6" w:tplc="0426000F" w:tentative="1">
      <w:start w:val="1"/>
      <w:numFmt w:val="decimal"/>
      <w:lvlText w:val="%7."/>
      <w:lvlJc w:val="left"/>
      <w:pPr>
        <w:ind w:left="4815" w:hanging="360"/>
      </w:pPr>
    </w:lvl>
    <w:lvl w:ilvl="7" w:tplc="04260019" w:tentative="1">
      <w:start w:val="1"/>
      <w:numFmt w:val="lowerLetter"/>
      <w:lvlText w:val="%8."/>
      <w:lvlJc w:val="left"/>
      <w:pPr>
        <w:ind w:left="5535" w:hanging="360"/>
      </w:pPr>
    </w:lvl>
    <w:lvl w:ilvl="8" w:tplc="0426001B" w:tentative="1">
      <w:start w:val="1"/>
      <w:numFmt w:val="lowerRoman"/>
      <w:lvlText w:val="%9."/>
      <w:lvlJc w:val="right"/>
      <w:pPr>
        <w:ind w:left="6255" w:hanging="180"/>
      </w:pPr>
    </w:lvl>
  </w:abstractNum>
  <w:abstractNum w:abstractNumId="34">
    <w:nsid w:val="76E20FAD"/>
    <w:multiLevelType w:val="hybridMultilevel"/>
    <w:tmpl w:val="66B0F1B4"/>
    <w:lvl w:ilvl="0" w:tplc="04260001">
      <w:start w:val="1"/>
      <w:numFmt w:val="bullet"/>
      <w:lvlText w:val=""/>
      <w:lvlJc w:val="left"/>
      <w:pPr>
        <w:ind w:left="1155" w:hanging="360"/>
      </w:pPr>
      <w:rPr>
        <w:rFonts w:ascii="Symbol" w:hAnsi="Symbol" w:hint="default"/>
      </w:rPr>
    </w:lvl>
    <w:lvl w:ilvl="1" w:tplc="04260003" w:tentative="1">
      <w:start w:val="1"/>
      <w:numFmt w:val="bullet"/>
      <w:lvlText w:val="o"/>
      <w:lvlJc w:val="left"/>
      <w:pPr>
        <w:ind w:left="1875" w:hanging="360"/>
      </w:pPr>
      <w:rPr>
        <w:rFonts w:ascii="Courier New" w:hAnsi="Courier New" w:cs="Courier New" w:hint="default"/>
      </w:rPr>
    </w:lvl>
    <w:lvl w:ilvl="2" w:tplc="04260005" w:tentative="1">
      <w:start w:val="1"/>
      <w:numFmt w:val="bullet"/>
      <w:lvlText w:val=""/>
      <w:lvlJc w:val="left"/>
      <w:pPr>
        <w:ind w:left="2595" w:hanging="360"/>
      </w:pPr>
      <w:rPr>
        <w:rFonts w:ascii="Wingdings" w:hAnsi="Wingdings" w:hint="default"/>
      </w:rPr>
    </w:lvl>
    <w:lvl w:ilvl="3" w:tplc="04260001" w:tentative="1">
      <w:start w:val="1"/>
      <w:numFmt w:val="bullet"/>
      <w:lvlText w:val=""/>
      <w:lvlJc w:val="left"/>
      <w:pPr>
        <w:ind w:left="3315" w:hanging="360"/>
      </w:pPr>
      <w:rPr>
        <w:rFonts w:ascii="Symbol" w:hAnsi="Symbol" w:hint="default"/>
      </w:rPr>
    </w:lvl>
    <w:lvl w:ilvl="4" w:tplc="04260003" w:tentative="1">
      <w:start w:val="1"/>
      <w:numFmt w:val="bullet"/>
      <w:lvlText w:val="o"/>
      <w:lvlJc w:val="left"/>
      <w:pPr>
        <w:ind w:left="4035" w:hanging="360"/>
      </w:pPr>
      <w:rPr>
        <w:rFonts w:ascii="Courier New" w:hAnsi="Courier New" w:cs="Courier New" w:hint="default"/>
      </w:rPr>
    </w:lvl>
    <w:lvl w:ilvl="5" w:tplc="04260005" w:tentative="1">
      <w:start w:val="1"/>
      <w:numFmt w:val="bullet"/>
      <w:lvlText w:val=""/>
      <w:lvlJc w:val="left"/>
      <w:pPr>
        <w:ind w:left="4755" w:hanging="360"/>
      </w:pPr>
      <w:rPr>
        <w:rFonts w:ascii="Wingdings" w:hAnsi="Wingdings" w:hint="default"/>
      </w:rPr>
    </w:lvl>
    <w:lvl w:ilvl="6" w:tplc="04260001" w:tentative="1">
      <w:start w:val="1"/>
      <w:numFmt w:val="bullet"/>
      <w:lvlText w:val=""/>
      <w:lvlJc w:val="left"/>
      <w:pPr>
        <w:ind w:left="5475" w:hanging="360"/>
      </w:pPr>
      <w:rPr>
        <w:rFonts w:ascii="Symbol" w:hAnsi="Symbol" w:hint="default"/>
      </w:rPr>
    </w:lvl>
    <w:lvl w:ilvl="7" w:tplc="04260003" w:tentative="1">
      <w:start w:val="1"/>
      <w:numFmt w:val="bullet"/>
      <w:lvlText w:val="o"/>
      <w:lvlJc w:val="left"/>
      <w:pPr>
        <w:ind w:left="6195" w:hanging="360"/>
      </w:pPr>
      <w:rPr>
        <w:rFonts w:ascii="Courier New" w:hAnsi="Courier New" w:cs="Courier New" w:hint="default"/>
      </w:rPr>
    </w:lvl>
    <w:lvl w:ilvl="8" w:tplc="04260005" w:tentative="1">
      <w:start w:val="1"/>
      <w:numFmt w:val="bullet"/>
      <w:lvlText w:val=""/>
      <w:lvlJc w:val="left"/>
      <w:pPr>
        <w:ind w:left="6915" w:hanging="360"/>
      </w:pPr>
      <w:rPr>
        <w:rFonts w:ascii="Wingdings" w:hAnsi="Wingdings" w:hint="default"/>
      </w:rPr>
    </w:lvl>
  </w:abstractNum>
  <w:num w:numId="1">
    <w:abstractNumId w:val="13"/>
  </w:num>
  <w:num w:numId="2">
    <w:abstractNumId w:val="28"/>
  </w:num>
  <w:num w:numId="3">
    <w:abstractNumId w:val="9"/>
  </w:num>
  <w:num w:numId="4">
    <w:abstractNumId w:val="5"/>
  </w:num>
  <w:num w:numId="5">
    <w:abstractNumId w:val="1"/>
  </w:num>
  <w:num w:numId="6">
    <w:abstractNumId w:val="24"/>
  </w:num>
  <w:num w:numId="7">
    <w:abstractNumId w:val="29"/>
  </w:num>
  <w:num w:numId="8">
    <w:abstractNumId w:val="18"/>
  </w:num>
  <w:num w:numId="9">
    <w:abstractNumId w:val="6"/>
  </w:num>
  <w:num w:numId="10">
    <w:abstractNumId w:val="19"/>
  </w:num>
  <w:num w:numId="11">
    <w:abstractNumId w:val="22"/>
  </w:num>
  <w:num w:numId="12">
    <w:abstractNumId w:val="26"/>
  </w:num>
  <w:num w:numId="13">
    <w:abstractNumId w:val="27"/>
  </w:num>
  <w:num w:numId="14">
    <w:abstractNumId w:val="20"/>
  </w:num>
  <w:num w:numId="15">
    <w:abstractNumId w:val="16"/>
  </w:num>
  <w:num w:numId="16">
    <w:abstractNumId w:val="21"/>
  </w:num>
  <w:num w:numId="17">
    <w:abstractNumId w:val="23"/>
  </w:num>
  <w:num w:numId="18">
    <w:abstractNumId w:val="34"/>
  </w:num>
  <w:num w:numId="19">
    <w:abstractNumId w:val="33"/>
  </w:num>
  <w:num w:numId="20">
    <w:abstractNumId w:val="0"/>
  </w:num>
  <w:num w:numId="21">
    <w:abstractNumId w:val="2"/>
  </w:num>
  <w:num w:numId="22">
    <w:abstractNumId w:val="15"/>
  </w:num>
  <w:num w:numId="23">
    <w:abstractNumId w:val="11"/>
  </w:num>
  <w:num w:numId="24">
    <w:abstractNumId w:val="17"/>
  </w:num>
  <w:num w:numId="25">
    <w:abstractNumId w:val="10"/>
  </w:num>
  <w:num w:numId="26">
    <w:abstractNumId w:val="30"/>
  </w:num>
  <w:num w:numId="27">
    <w:abstractNumId w:val="12"/>
  </w:num>
  <w:num w:numId="28">
    <w:abstractNumId w:val="3"/>
  </w:num>
  <w:num w:numId="29">
    <w:abstractNumId w:val="14"/>
  </w:num>
  <w:num w:numId="30">
    <w:abstractNumId w:val="7"/>
  </w:num>
  <w:num w:numId="31">
    <w:abstractNumId w:val="8"/>
  </w:num>
  <w:num w:numId="32">
    <w:abstractNumId w:val="25"/>
  </w:num>
  <w:num w:numId="33">
    <w:abstractNumId w:val="4"/>
  </w:num>
  <w:num w:numId="34">
    <w:abstractNumId w:val="32"/>
  </w:num>
  <w:num w:numId="35">
    <w:abstractNumId w:val="3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ārtiņš Vērdiņš">
    <w15:presenceInfo w15:providerId="AD" w15:userId="S-1-5-21-1177238915-1417001333-839522115-995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characterSpacingControl w:val="doNotCompress"/>
  <w:hdrShapeDefaults>
    <o:shapedefaults v:ext="edit" spidmax="35842"/>
  </w:hdrShapeDefaults>
  <w:footnotePr>
    <w:footnote w:id="-1"/>
    <w:footnote w:id="0"/>
  </w:footnotePr>
  <w:endnotePr>
    <w:endnote w:id="-1"/>
    <w:endnote w:id="0"/>
  </w:endnotePr>
  <w:compat/>
  <w:rsids>
    <w:rsidRoot w:val="008C5649"/>
    <w:rsid w:val="00000EB9"/>
    <w:rsid w:val="000016C4"/>
    <w:rsid w:val="000029B6"/>
    <w:rsid w:val="000044A6"/>
    <w:rsid w:val="00005F09"/>
    <w:rsid w:val="00007CA7"/>
    <w:rsid w:val="00011D24"/>
    <w:rsid w:val="00011DB4"/>
    <w:rsid w:val="00013B94"/>
    <w:rsid w:val="00013FF4"/>
    <w:rsid w:val="00014D84"/>
    <w:rsid w:val="00016D17"/>
    <w:rsid w:val="000170A5"/>
    <w:rsid w:val="00017BC9"/>
    <w:rsid w:val="00020FE1"/>
    <w:rsid w:val="000215D7"/>
    <w:rsid w:val="00021B7D"/>
    <w:rsid w:val="00022E13"/>
    <w:rsid w:val="00024284"/>
    <w:rsid w:val="00024C53"/>
    <w:rsid w:val="00026AA0"/>
    <w:rsid w:val="0002703D"/>
    <w:rsid w:val="00032388"/>
    <w:rsid w:val="00032F28"/>
    <w:rsid w:val="00034170"/>
    <w:rsid w:val="000350F1"/>
    <w:rsid w:val="000357AA"/>
    <w:rsid w:val="00035CE2"/>
    <w:rsid w:val="00040EAE"/>
    <w:rsid w:val="00042A6B"/>
    <w:rsid w:val="000436B7"/>
    <w:rsid w:val="000436D5"/>
    <w:rsid w:val="00047F9B"/>
    <w:rsid w:val="00051D8A"/>
    <w:rsid w:val="00051F78"/>
    <w:rsid w:val="00052693"/>
    <w:rsid w:val="0005504E"/>
    <w:rsid w:val="0005553B"/>
    <w:rsid w:val="00056EC9"/>
    <w:rsid w:val="000604D2"/>
    <w:rsid w:val="00064A8D"/>
    <w:rsid w:val="00067E85"/>
    <w:rsid w:val="000773BA"/>
    <w:rsid w:val="00077993"/>
    <w:rsid w:val="00077B13"/>
    <w:rsid w:val="00080BB4"/>
    <w:rsid w:val="000818B4"/>
    <w:rsid w:val="00081C65"/>
    <w:rsid w:val="00082184"/>
    <w:rsid w:val="00082761"/>
    <w:rsid w:val="00082A2D"/>
    <w:rsid w:val="00082A58"/>
    <w:rsid w:val="000862AD"/>
    <w:rsid w:val="00087242"/>
    <w:rsid w:val="0009005E"/>
    <w:rsid w:val="00092B3C"/>
    <w:rsid w:val="00094500"/>
    <w:rsid w:val="000A0981"/>
    <w:rsid w:val="000A4E13"/>
    <w:rsid w:val="000A6451"/>
    <w:rsid w:val="000A68A9"/>
    <w:rsid w:val="000A77E8"/>
    <w:rsid w:val="000B064E"/>
    <w:rsid w:val="000B1AE1"/>
    <w:rsid w:val="000B3635"/>
    <w:rsid w:val="000B69CF"/>
    <w:rsid w:val="000B7423"/>
    <w:rsid w:val="000C1BC1"/>
    <w:rsid w:val="000C2A4A"/>
    <w:rsid w:val="000C33CA"/>
    <w:rsid w:val="000C5160"/>
    <w:rsid w:val="000C5660"/>
    <w:rsid w:val="000C790C"/>
    <w:rsid w:val="000D20D9"/>
    <w:rsid w:val="000D327C"/>
    <w:rsid w:val="000D3A36"/>
    <w:rsid w:val="000D7312"/>
    <w:rsid w:val="000E12E1"/>
    <w:rsid w:val="000E25EC"/>
    <w:rsid w:val="000E458D"/>
    <w:rsid w:val="000E5E6D"/>
    <w:rsid w:val="000E6DB7"/>
    <w:rsid w:val="000E73ED"/>
    <w:rsid w:val="000F061D"/>
    <w:rsid w:val="000F1572"/>
    <w:rsid w:val="000F4AAA"/>
    <w:rsid w:val="000F7BCA"/>
    <w:rsid w:val="001024CC"/>
    <w:rsid w:val="00102F00"/>
    <w:rsid w:val="00102F77"/>
    <w:rsid w:val="00110FAD"/>
    <w:rsid w:val="0011106C"/>
    <w:rsid w:val="00111377"/>
    <w:rsid w:val="001118A7"/>
    <w:rsid w:val="0011268D"/>
    <w:rsid w:val="00115657"/>
    <w:rsid w:val="00116ED8"/>
    <w:rsid w:val="00123503"/>
    <w:rsid w:val="001241AA"/>
    <w:rsid w:val="0012468C"/>
    <w:rsid w:val="0012477C"/>
    <w:rsid w:val="00124F12"/>
    <w:rsid w:val="00125C9F"/>
    <w:rsid w:val="00131230"/>
    <w:rsid w:val="001318C9"/>
    <w:rsid w:val="00135E76"/>
    <w:rsid w:val="00136676"/>
    <w:rsid w:val="00142BB1"/>
    <w:rsid w:val="00143FA5"/>
    <w:rsid w:val="00144C28"/>
    <w:rsid w:val="00144E3A"/>
    <w:rsid w:val="00147D0D"/>
    <w:rsid w:val="0015060C"/>
    <w:rsid w:val="001527C7"/>
    <w:rsid w:val="001531B8"/>
    <w:rsid w:val="0015793C"/>
    <w:rsid w:val="0016018A"/>
    <w:rsid w:val="00160D40"/>
    <w:rsid w:val="00161D35"/>
    <w:rsid w:val="00161F0E"/>
    <w:rsid w:val="0016355D"/>
    <w:rsid w:val="00165FCB"/>
    <w:rsid w:val="001665A4"/>
    <w:rsid w:val="001673A8"/>
    <w:rsid w:val="00170E2A"/>
    <w:rsid w:val="00171A34"/>
    <w:rsid w:val="0017319C"/>
    <w:rsid w:val="0017392A"/>
    <w:rsid w:val="00174734"/>
    <w:rsid w:val="00174CF0"/>
    <w:rsid w:val="0018205C"/>
    <w:rsid w:val="00183CC2"/>
    <w:rsid w:val="00187E08"/>
    <w:rsid w:val="001900E4"/>
    <w:rsid w:val="001908AC"/>
    <w:rsid w:val="00190F88"/>
    <w:rsid w:val="00191320"/>
    <w:rsid w:val="00197CF3"/>
    <w:rsid w:val="001A1B8C"/>
    <w:rsid w:val="001A3D72"/>
    <w:rsid w:val="001A4066"/>
    <w:rsid w:val="001A6383"/>
    <w:rsid w:val="001A6AE4"/>
    <w:rsid w:val="001A6F70"/>
    <w:rsid w:val="001B01FD"/>
    <w:rsid w:val="001B0B36"/>
    <w:rsid w:val="001B16A4"/>
    <w:rsid w:val="001B2147"/>
    <w:rsid w:val="001B2250"/>
    <w:rsid w:val="001B248E"/>
    <w:rsid w:val="001B29B0"/>
    <w:rsid w:val="001B4A71"/>
    <w:rsid w:val="001B6A90"/>
    <w:rsid w:val="001C0D84"/>
    <w:rsid w:val="001C28A9"/>
    <w:rsid w:val="001C50D8"/>
    <w:rsid w:val="001C5A95"/>
    <w:rsid w:val="001C6045"/>
    <w:rsid w:val="001C7022"/>
    <w:rsid w:val="001D2412"/>
    <w:rsid w:val="001D4431"/>
    <w:rsid w:val="001D5AC8"/>
    <w:rsid w:val="001D5B54"/>
    <w:rsid w:val="001E1BE6"/>
    <w:rsid w:val="001E1DBF"/>
    <w:rsid w:val="001E273A"/>
    <w:rsid w:val="001E2D24"/>
    <w:rsid w:val="001E2DBC"/>
    <w:rsid w:val="001E344B"/>
    <w:rsid w:val="001E4639"/>
    <w:rsid w:val="001E4A7D"/>
    <w:rsid w:val="001E6EF2"/>
    <w:rsid w:val="001F0D85"/>
    <w:rsid w:val="001F1570"/>
    <w:rsid w:val="001F43A8"/>
    <w:rsid w:val="001F5CD6"/>
    <w:rsid w:val="001F745A"/>
    <w:rsid w:val="001F770E"/>
    <w:rsid w:val="002018F5"/>
    <w:rsid w:val="002024EE"/>
    <w:rsid w:val="00203A35"/>
    <w:rsid w:val="0020768C"/>
    <w:rsid w:val="002100A8"/>
    <w:rsid w:val="00210362"/>
    <w:rsid w:val="0021263D"/>
    <w:rsid w:val="00213F0C"/>
    <w:rsid w:val="0021592D"/>
    <w:rsid w:val="00216CD3"/>
    <w:rsid w:val="00221339"/>
    <w:rsid w:val="0022266A"/>
    <w:rsid w:val="00222997"/>
    <w:rsid w:val="00222D76"/>
    <w:rsid w:val="0022311E"/>
    <w:rsid w:val="00223EB1"/>
    <w:rsid w:val="00226345"/>
    <w:rsid w:val="00226D98"/>
    <w:rsid w:val="00231344"/>
    <w:rsid w:val="002316CB"/>
    <w:rsid w:val="00232B25"/>
    <w:rsid w:val="0023436E"/>
    <w:rsid w:val="002347C0"/>
    <w:rsid w:val="00236664"/>
    <w:rsid w:val="00237428"/>
    <w:rsid w:val="00241A6C"/>
    <w:rsid w:val="00242D2B"/>
    <w:rsid w:val="00245011"/>
    <w:rsid w:val="00245078"/>
    <w:rsid w:val="00247851"/>
    <w:rsid w:val="00250594"/>
    <w:rsid w:val="0025230D"/>
    <w:rsid w:val="00256C9C"/>
    <w:rsid w:val="0026002F"/>
    <w:rsid w:val="0026156F"/>
    <w:rsid w:val="00262000"/>
    <w:rsid w:val="00262C07"/>
    <w:rsid w:val="00262E2B"/>
    <w:rsid w:val="002649DB"/>
    <w:rsid w:val="00264CAF"/>
    <w:rsid w:val="002658FD"/>
    <w:rsid w:val="00270429"/>
    <w:rsid w:val="002723E9"/>
    <w:rsid w:val="00277929"/>
    <w:rsid w:val="002803EF"/>
    <w:rsid w:val="00281C38"/>
    <w:rsid w:val="00283B82"/>
    <w:rsid w:val="0028411A"/>
    <w:rsid w:val="002846E9"/>
    <w:rsid w:val="00284C34"/>
    <w:rsid w:val="00284C99"/>
    <w:rsid w:val="00284DDE"/>
    <w:rsid w:val="00285B87"/>
    <w:rsid w:val="00290526"/>
    <w:rsid w:val="0029066C"/>
    <w:rsid w:val="002926F0"/>
    <w:rsid w:val="00296205"/>
    <w:rsid w:val="002A7AC9"/>
    <w:rsid w:val="002B1986"/>
    <w:rsid w:val="002B24D2"/>
    <w:rsid w:val="002B3F39"/>
    <w:rsid w:val="002B50DB"/>
    <w:rsid w:val="002B573A"/>
    <w:rsid w:val="002B78A9"/>
    <w:rsid w:val="002C0460"/>
    <w:rsid w:val="002C0E78"/>
    <w:rsid w:val="002C12AB"/>
    <w:rsid w:val="002C628C"/>
    <w:rsid w:val="002C6C76"/>
    <w:rsid w:val="002C7CAC"/>
    <w:rsid w:val="002D0947"/>
    <w:rsid w:val="002D1829"/>
    <w:rsid w:val="002D3306"/>
    <w:rsid w:val="002D48AA"/>
    <w:rsid w:val="002D5C7E"/>
    <w:rsid w:val="002D7054"/>
    <w:rsid w:val="002D7BAA"/>
    <w:rsid w:val="002D7F54"/>
    <w:rsid w:val="002E10E0"/>
    <w:rsid w:val="002E3FF4"/>
    <w:rsid w:val="002E53D2"/>
    <w:rsid w:val="002E709D"/>
    <w:rsid w:val="002E72BB"/>
    <w:rsid w:val="002F3680"/>
    <w:rsid w:val="002F4416"/>
    <w:rsid w:val="002F5ED0"/>
    <w:rsid w:val="002F78C8"/>
    <w:rsid w:val="0030152C"/>
    <w:rsid w:val="00301CF3"/>
    <w:rsid w:val="00306418"/>
    <w:rsid w:val="003069C7"/>
    <w:rsid w:val="00306AA5"/>
    <w:rsid w:val="003070E3"/>
    <w:rsid w:val="003110A0"/>
    <w:rsid w:val="003113A3"/>
    <w:rsid w:val="003162D9"/>
    <w:rsid w:val="00316A67"/>
    <w:rsid w:val="00320105"/>
    <w:rsid w:val="00322EFA"/>
    <w:rsid w:val="00322F7A"/>
    <w:rsid w:val="0032302E"/>
    <w:rsid w:val="00326EAE"/>
    <w:rsid w:val="0032715C"/>
    <w:rsid w:val="00327CC1"/>
    <w:rsid w:val="003301AF"/>
    <w:rsid w:val="0033037F"/>
    <w:rsid w:val="00332205"/>
    <w:rsid w:val="003334DB"/>
    <w:rsid w:val="00337CA5"/>
    <w:rsid w:val="00340604"/>
    <w:rsid w:val="00340743"/>
    <w:rsid w:val="00344D12"/>
    <w:rsid w:val="00345B5F"/>
    <w:rsid w:val="00345B7B"/>
    <w:rsid w:val="003509EC"/>
    <w:rsid w:val="00352221"/>
    <w:rsid w:val="00353FC0"/>
    <w:rsid w:val="003552AC"/>
    <w:rsid w:val="00355C0D"/>
    <w:rsid w:val="00356961"/>
    <w:rsid w:val="00362478"/>
    <w:rsid w:val="0036329B"/>
    <w:rsid w:val="00372130"/>
    <w:rsid w:val="00375B25"/>
    <w:rsid w:val="00380373"/>
    <w:rsid w:val="00380E7A"/>
    <w:rsid w:val="0038107B"/>
    <w:rsid w:val="00381E3D"/>
    <w:rsid w:val="003837CF"/>
    <w:rsid w:val="00386D51"/>
    <w:rsid w:val="00387BD1"/>
    <w:rsid w:val="00387F3C"/>
    <w:rsid w:val="0039282C"/>
    <w:rsid w:val="00393F9A"/>
    <w:rsid w:val="00395785"/>
    <w:rsid w:val="00395E91"/>
    <w:rsid w:val="0039601A"/>
    <w:rsid w:val="00396529"/>
    <w:rsid w:val="00396542"/>
    <w:rsid w:val="0039685B"/>
    <w:rsid w:val="003A085B"/>
    <w:rsid w:val="003A125A"/>
    <w:rsid w:val="003A1EF3"/>
    <w:rsid w:val="003A423D"/>
    <w:rsid w:val="003A58AE"/>
    <w:rsid w:val="003A7F0C"/>
    <w:rsid w:val="003A7F79"/>
    <w:rsid w:val="003B1ACE"/>
    <w:rsid w:val="003B6404"/>
    <w:rsid w:val="003B6784"/>
    <w:rsid w:val="003C099A"/>
    <w:rsid w:val="003C7E45"/>
    <w:rsid w:val="003D16AA"/>
    <w:rsid w:val="003D1A4F"/>
    <w:rsid w:val="003D21FF"/>
    <w:rsid w:val="003F0112"/>
    <w:rsid w:val="003F071A"/>
    <w:rsid w:val="003F0840"/>
    <w:rsid w:val="003F11A9"/>
    <w:rsid w:val="003F160B"/>
    <w:rsid w:val="003F5796"/>
    <w:rsid w:val="00400032"/>
    <w:rsid w:val="00400B5B"/>
    <w:rsid w:val="00403578"/>
    <w:rsid w:val="00405A00"/>
    <w:rsid w:val="004067B6"/>
    <w:rsid w:val="00406ACA"/>
    <w:rsid w:val="004102E2"/>
    <w:rsid w:val="004103F0"/>
    <w:rsid w:val="00411E7D"/>
    <w:rsid w:val="0042021F"/>
    <w:rsid w:val="00420870"/>
    <w:rsid w:val="00422D52"/>
    <w:rsid w:val="004245BE"/>
    <w:rsid w:val="00426C34"/>
    <w:rsid w:val="0043543A"/>
    <w:rsid w:val="00436BFA"/>
    <w:rsid w:val="00441483"/>
    <w:rsid w:val="00441BCB"/>
    <w:rsid w:val="00442A4D"/>
    <w:rsid w:val="004445C4"/>
    <w:rsid w:val="0044534E"/>
    <w:rsid w:val="00446422"/>
    <w:rsid w:val="00450918"/>
    <w:rsid w:val="00450E8D"/>
    <w:rsid w:val="00451285"/>
    <w:rsid w:val="00451684"/>
    <w:rsid w:val="0045176A"/>
    <w:rsid w:val="00452F36"/>
    <w:rsid w:val="00456332"/>
    <w:rsid w:val="00456F3A"/>
    <w:rsid w:val="004608AA"/>
    <w:rsid w:val="00461DD5"/>
    <w:rsid w:val="00461E81"/>
    <w:rsid w:val="00462CFB"/>
    <w:rsid w:val="0046423E"/>
    <w:rsid w:val="00466895"/>
    <w:rsid w:val="00472CFE"/>
    <w:rsid w:val="004769B4"/>
    <w:rsid w:val="004800F9"/>
    <w:rsid w:val="0048146A"/>
    <w:rsid w:val="00481CEE"/>
    <w:rsid w:val="004861BB"/>
    <w:rsid w:val="004902B0"/>
    <w:rsid w:val="00490489"/>
    <w:rsid w:val="00490E89"/>
    <w:rsid w:val="0049134A"/>
    <w:rsid w:val="004924B6"/>
    <w:rsid w:val="00492EBC"/>
    <w:rsid w:val="00496F8A"/>
    <w:rsid w:val="004A0129"/>
    <w:rsid w:val="004A0C91"/>
    <w:rsid w:val="004A1C3A"/>
    <w:rsid w:val="004A24DD"/>
    <w:rsid w:val="004A3A64"/>
    <w:rsid w:val="004A3BC0"/>
    <w:rsid w:val="004A3BC1"/>
    <w:rsid w:val="004A58CB"/>
    <w:rsid w:val="004B0040"/>
    <w:rsid w:val="004B1795"/>
    <w:rsid w:val="004B56DD"/>
    <w:rsid w:val="004B6D96"/>
    <w:rsid w:val="004C0A82"/>
    <w:rsid w:val="004C1AFD"/>
    <w:rsid w:val="004C4824"/>
    <w:rsid w:val="004C48E6"/>
    <w:rsid w:val="004C54B4"/>
    <w:rsid w:val="004C558B"/>
    <w:rsid w:val="004C7F53"/>
    <w:rsid w:val="004D1063"/>
    <w:rsid w:val="004E1D75"/>
    <w:rsid w:val="004F12F3"/>
    <w:rsid w:val="004F1671"/>
    <w:rsid w:val="004F1F88"/>
    <w:rsid w:val="004F2C5C"/>
    <w:rsid w:val="004F2D21"/>
    <w:rsid w:val="004F47DE"/>
    <w:rsid w:val="004F5F1B"/>
    <w:rsid w:val="004F633A"/>
    <w:rsid w:val="004F6B6B"/>
    <w:rsid w:val="00502374"/>
    <w:rsid w:val="00502429"/>
    <w:rsid w:val="0050398D"/>
    <w:rsid w:val="00512A04"/>
    <w:rsid w:val="005151CC"/>
    <w:rsid w:val="00516072"/>
    <w:rsid w:val="00517BCD"/>
    <w:rsid w:val="0052081C"/>
    <w:rsid w:val="0052160D"/>
    <w:rsid w:val="0052684C"/>
    <w:rsid w:val="00527AC7"/>
    <w:rsid w:val="005332EC"/>
    <w:rsid w:val="005335E5"/>
    <w:rsid w:val="00534418"/>
    <w:rsid w:val="005353AB"/>
    <w:rsid w:val="00537F3A"/>
    <w:rsid w:val="00542BE1"/>
    <w:rsid w:val="00543DA3"/>
    <w:rsid w:val="00544BAC"/>
    <w:rsid w:val="00545061"/>
    <w:rsid w:val="00545631"/>
    <w:rsid w:val="00545EA1"/>
    <w:rsid w:val="0055020D"/>
    <w:rsid w:val="005560BC"/>
    <w:rsid w:val="005573BE"/>
    <w:rsid w:val="00560215"/>
    <w:rsid w:val="00560E45"/>
    <w:rsid w:val="00562461"/>
    <w:rsid w:val="00563BE5"/>
    <w:rsid w:val="00564A66"/>
    <w:rsid w:val="005650AD"/>
    <w:rsid w:val="00572700"/>
    <w:rsid w:val="00573365"/>
    <w:rsid w:val="00574BE7"/>
    <w:rsid w:val="0057627B"/>
    <w:rsid w:val="00576A98"/>
    <w:rsid w:val="00576E30"/>
    <w:rsid w:val="00580468"/>
    <w:rsid w:val="00582924"/>
    <w:rsid w:val="00583453"/>
    <w:rsid w:val="00585148"/>
    <w:rsid w:val="005854DC"/>
    <w:rsid w:val="0058602D"/>
    <w:rsid w:val="0058603B"/>
    <w:rsid w:val="00586279"/>
    <w:rsid w:val="005905C2"/>
    <w:rsid w:val="00591F54"/>
    <w:rsid w:val="00592F21"/>
    <w:rsid w:val="0059431B"/>
    <w:rsid w:val="005943FD"/>
    <w:rsid w:val="00597B0A"/>
    <w:rsid w:val="005A071E"/>
    <w:rsid w:val="005A39CC"/>
    <w:rsid w:val="005B392C"/>
    <w:rsid w:val="005B3CC4"/>
    <w:rsid w:val="005B4730"/>
    <w:rsid w:val="005B57DC"/>
    <w:rsid w:val="005B68C7"/>
    <w:rsid w:val="005C1244"/>
    <w:rsid w:val="005C161F"/>
    <w:rsid w:val="005C2094"/>
    <w:rsid w:val="005C41D1"/>
    <w:rsid w:val="005C5128"/>
    <w:rsid w:val="005C5169"/>
    <w:rsid w:val="005C6F23"/>
    <w:rsid w:val="005D418E"/>
    <w:rsid w:val="005D4954"/>
    <w:rsid w:val="005E05D7"/>
    <w:rsid w:val="005E41E7"/>
    <w:rsid w:val="005E450F"/>
    <w:rsid w:val="005E765B"/>
    <w:rsid w:val="005F1E66"/>
    <w:rsid w:val="005F1ECC"/>
    <w:rsid w:val="005F3F46"/>
    <w:rsid w:val="005F55B6"/>
    <w:rsid w:val="005F602B"/>
    <w:rsid w:val="005F6EB6"/>
    <w:rsid w:val="0060101E"/>
    <w:rsid w:val="00601FBB"/>
    <w:rsid w:val="006119C9"/>
    <w:rsid w:val="0062248B"/>
    <w:rsid w:val="00622580"/>
    <w:rsid w:val="00622949"/>
    <w:rsid w:val="0062298A"/>
    <w:rsid w:val="00623407"/>
    <w:rsid w:val="0062556A"/>
    <w:rsid w:val="00626514"/>
    <w:rsid w:val="00626589"/>
    <w:rsid w:val="006269E9"/>
    <w:rsid w:val="00631E3C"/>
    <w:rsid w:val="0063229D"/>
    <w:rsid w:val="006339A0"/>
    <w:rsid w:val="00637465"/>
    <w:rsid w:val="0063748B"/>
    <w:rsid w:val="00641085"/>
    <w:rsid w:val="006413A8"/>
    <w:rsid w:val="00641CE3"/>
    <w:rsid w:val="006427BD"/>
    <w:rsid w:val="00642E56"/>
    <w:rsid w:val="00644B2C"/>
    <w:rsid w:val="00645963"/>
    <w:rsid w:val="00651E00"/>
    <w:rsid w:val="00656808"/>
    <w:rsid w:val="00663A1C"/>
    <w:rsid w:val="00665BAA"/>
    <w:rsid w:val="00667D3C"/>
    <w:rsid w:val="0067032D"/>
    <w:rsid w:val="0067312A"/>
    <w:rsid w:val="00674572"/>
    <w:rsid w:val="00675284"/>
    <w:rsid w:val="00680090"/>
    <w:rsid w:val="00681FDF"/>
    <w:rsid w:val="00682250"/>
    <w:rsid w:val="00682C40"/>
    <w:rsid w:val="006834DD"/>
    <w:rsid w:val="00684CF0"/>
    <w:rsid w:val="006850C5"/>
    <w:rsid w:val="00687763"/>
    <w:rsid w:val="00687B7A"/>
    <w:rsid w:val="00687CE8"/>
    <w:rsid w:val="00687F00"/>
    <w:rsid w:val="00691634"/>
    <w:rsid w:val="00691D74"/>
    <w:rsid w:val="00692B0D"/>
    <w:rsid w:val="00693242"/>
    <w:rsid w:val="006934B5"/>
    <w:rsid w:val="00693E0E"/>
    <w:rsid w:val="00695AC1"/>
    <w:rsid w:val="00695F03"/>
    <w:rsid w:val="00697309"/>
    <w:rsid w:val="006A0497"/>
    <w:rsid w:val="006A1AE3"/>
    <w:rsid w:val="006A3149"/>
    <w:rsid w:val="006A5F5A"/>
    <w:rsid w:val="006A6236"/>
    <w:rsid w:val="006A6914"/>
    <w:rsid w:val="006A712B"/>
    <w:rsid w:val="006A7313"/>
    <w:rsid w:val="006B2646"/>
    <w:rsid w:val="006B73DF"/>
    <w:rsid w:val="006C028B"/>
    <w:rsid w:val="006C30E1"/>
    <w:rsid w:val="006C34E3"/>
    <w:rsid w:val="006C4207"/>
    <w:rsid w:val="006C4D9F"/>
    <w:rsid w:val="006D0791"/>
    <w:rsid w:val="006D48F1"/>
    <w:rsid w:val="006D66E9"/>
    <w:rsid w:val="006D6ADB"/>
    <w:rsid w:val="006E3101"/>
    <w:rsid w:val="006E3A1B"/>
    <w:rsid w:val="006E4B3B"/>
    <w:rsid w:val="006E5254"/>
    <w:rsid w:val="006E6E57"/>
    <w:rsid w:val="006F0FE6"/>
    <w:rsid w:val="006F250D"/>
    <w:rsid w:val="006F3B1D"/>
    <w:rsid w:val="006F45BE"/>
    <w:rsid w:val="007004FC"/>
    <w:rsid w:val="0070086D"/>
    <w:rsid w:val="007014A3"/>
    <w:rsid w:val="00704225"/>
    <w:rsid w:val="00706670"/>
    <w:rsid w:val="00707231"/>
    <w:rsid w:val="0071017D"/>
    <w:rsid w:val="00713ED9"/>
    <w:rsid w:val="007159CD"/>
    <w:rsid w:val="00716CB2"/>
    <w:rsid w:val="00722C93"/>
    <w:rsid w:val="0072417C"/>
    <w:rsid w:val="0072467D"/>
    <w:rsid w:val="007247C7"/>
    <w:rsid w:val="0073416E"/>
    <w:rsid w:val="00734450"/>
    <w:rsid w:val="00734557"/>
    <w:rsid w:val="00736B3B"/>
    <w:rsid w:val="00741599"/>
    <w:rsid w:val="007418BA"/>
    <w:rsid w:val="0074584A"/>
    <w:rsid w:val="00745F67"/>
    <w:rsid w:val="00750C2B"/>
    <w:rsid w:val="00752D9D"/>
    <w:rsid w:val="00754784"/>
    <w:rsid w:val="00757C6E"/>
    <w:rsid w:val="007609D8"/>
    <w:rsid w:val="007621BE"/>
    <w:rsid w:val="00762BDA"/>
    <w:rsid w:val="00766970"/>
    <w:rsid w:val="00766B17"/>
    <w:rsid w:val="00766F3F"/>
    <w:rsid w:val="0077007A"/>
    <w:rsid w:val="00772C0E"/>
    <w:rsid w:val="0077484B"/>
    <w:rsid w:val="007769A1"/>
    <w:rsid w:val="007801B1"/>
    <w:rsid w:val="007805FD"/>
    <w:rsid w:val="007818C5"/>
    <w:rsid w:val="00783680"/>
    <w:rsid w:val="00784422"/>
    <w:rsid w:val="007870D3"/>
    <w:rsid w:val="0079465D"/>
    <w:rsid w:val="007A0101"/>
    <w:rsid w:val="007A3D52"/>
    <w:rsid w:val="007A5AB7"/>
    <w:rsid w:val="007A66F0"/>
    <w:rsid w:val="007B0E9A"/>
    <w:rsid w:val="007B3B54"/>
    <w:rsid w:val="007B3FA0"/>
    <w:rsid w:val="007B5C85"/>
    <w:rsid w:val="007C28CC"/>
    <w:rsid w:val="007C2BCC"/>
    <w:rsid w:val="007C3CCD"/>
    <w:rsid w:val="007C4877"/>
    <w:rsid w:val="007C4EF0"/>
    <w:rsid w:val="007C6FBF"/>
    <w:rsid w:val="007D1BAB"/>
    <w:rsid w:val="007D2970"/>
    <w:rsid w:val="007D6404"/>
    <w:rsid w:val="007D7EDB"/>
    <w:rsid w:val="007E2664"/>
    <w:rsid w:val="007E2D8D"/>
    <w:rsid w:val="007E3ABF"/>
    <w:rsid w:val="007E45CC"/>
    <w:rsid w:val="007E5BFA"/>
    <w:rsid w:val="007E6681"/>
    <w:rsid w:val="007E6689"/>
    <w:rsid w:val="007E731C"/>
    <w:rsid w:val="007F0A03"/>
    <w:rsid w:val="007F3E5C"/>
    <w:rsid w:val="007F40EE"/>
    <w:rsid w:val="007F5645"/>
    <w:rsid w:val="007F5913"/>
    <w:rsid w:val="007F5FFF"/>
    <w:rsid w:val="007F6AF6"/>
    <w:rsid w:val="007F7AFE"/>
    <w:rsid w:val="00802BC0"/>
    <w:rsid w:val="00803BD2"/>
    <w:rsid w:val="008065BE"/>
    <w:rsid w:val="008068F3"/>
    <w:rsid w:val="00810040"/>
    <w:rsid w:val="008109B4"/>
    <w:rsid w:val="00810AEE"/>
    <w:rsid w:val="00811A32"/>
    <w:rsid w:val="00812676"/>
    <w:rsid w:val="008141F3"/>
    <w:rsid w:val="00814FCD"/>
    <w:rsid w:val="008153B7"/>
    <w:rsid w:val="00815551"/>
    <w:rsid w:val="0081575C"/>
    <w:rsid w:val="00815D56"/>
    <w:rsid w:val="00816F72"/>
    <w:rsid w:val="00817A5A"/>
    <w:rsid w:val="0082023A"/>
    <w:rsid w:val="008212AE"/>
    <w:rsid w:val="00821A7A"/>
    <w:rsid w:val="00823921"/>
    <w:rsid w:val="008253F8"/>
    <w:rsid w:val="00826BAD"/>
    <w:rsid w:val="008279F2"/>
    <w:rsid w:val="00832A2B"/>
    <w:rsid w:val="00835F84"/>
    <w:rsid w:val="00846994"/>
    <w:rsid w:val="008470F4"/>
    <w:rsid w:val="0084734A"/>
    <w:rsid w:val="00850451"/>
    <w:rsid w:val="00850D2C"/>
    <w:rsid w:val="00851D05"/>
    <w:rsid w:val="00852042"/>
    <w:rsid w:val="008534C9"/>
    <w:rsid w:val="0085599D"/>
    <w:rsid w:val="0085605A"/>
    <w:rsid w:val="008567C3"/>
    <w:rsid w:val="008600C5"/>
    <w:rsid w:val="00863283"/>
    <w:rsid w:val="00865903"/>
    <w:rsid w:val="008665AC"/>
    <w:rsid w:val="00873713"/>
    <w:rsid w:val="0087510C"/>
    <w:rsid w:val="00875247"/>
    <w:rsid w:val="008763E4"/>
    <w:rsid w:val="00881B37"/>
    <w:rsid w:val="00881EF3"/>
    <w:rsid w:val="00883D97"/>
    <w:rsid w:val="00883F91"/>
    <w:rsid w:val="00884453"/>
    <w:rsid w:val="00885030"/>
    <w:rsid w:val="00885797"/>
    <w:rsid w:val="00886717"/>
    <w:rsid w:val="0088676D"/>
    <w:rsid w:val="00892EAD"/>
    <w:rsid w:val="0089340C"/>
    <w:rsid w:val="00894010"/>
    <w:rsid w:val="008947FF"/>
    <w:rsid w:val="00896DAE"/>
    <w:rsid w:val="0089738E"/>
    <w:rsid w:val="008975EE"/>
    <w:rsid w:val="00897FE8"/>
    <w:rsid w:val="008A059F"/>
    <w:rsid w:val="008A0FCA"/>
    <w:rsid w:val="008A24F5"/>
    <w:rsid w:val="008A2C47"/>
    <w:rsid w:val="008A2DA7"/>
    <w:rsid w:val="008A39B4"/>
    <w:rsid w:val="008A4708"/>
    <w:rsid w:val="008A5618"/>
    <w:rsid w:val="008A5B00"/>
    <w:rsid w:val="008B2BFC"/>
    <w:rsid w:val="008B5A09"/>
    <w:rsid w:val="008B5FDB"/>
    <w:rsid w:val="008B71CC"/>
    <w:rsid w:val="008C15B4"/>
    <w:rsid w:val="008C3C6A"/>
    <w:rsid w:val="008C47C6"/>
    <w:rsid w:val="008C5649"/>
    <w:rsid w:val="008D412D"/>
    <w:rsid w:val="008D6668"/>
    <w:rsid w:val="008E20F6"/>
    <w:rsid w:val="008E44A2"/>
    <w:rsid w:val="008E697D"/>
    <w:rsid w:val="008F19E1"/>
    <w:rsid w:val="008F33B0"/>
    <w:rsid w:val="008F62CD"/>
    <w:rsid w:val="009028FA"/>
    <w:rsid w:val="00902C8F"/>
    <w:rsid w:val="00903263"/>
    <w:rsid w:val="00904C42"/>
    <w:rsid w:val="00905896"/>
    <w:rsid w:val="0090646F"/>
    <w:rsid w:val="00906A21"/>
    <w:rsid w:val="00906E5C"/>
    <w:rsid w:val="009079C3"/>
    <w:rsid w:val="00910462"/>
    <w:rsid w:val="00910B7C"/>
    <w:rsid w:val="00911C7B"/>
    <w:rsid w:val="009149AB"/>
    <w:rsid w:val="00915AB1"/>
    <w:rsid w:val="00917532"/>
    <w:rsid w:val="00920C96"/>
    <w:rsid w:val="00922CB6"/>
    <w:rsid w:val="009235BA"/>
    <w:rsid w:val="00923760"/>
    <w:rsid w:val="00924CE2"/>
    <w:rsid w:val="00925B9F"/>
    <w:rsid w:val="00925D94"/>
    <w:rsid w:val="00926971"/>
    <w:rsid w:val="0092729A"/>
    <w:rsid w:val="00931AED"/>
    <w:rsid w:val="00935E75"/>
    <w:rsid w:val="00944FFF"/>
    <w:rsid w:val="009476A3"/>
    <w:rsid w:val="00950B33"/>
    <w:rsid w:val="0095334F"/>
    <w:rsid w:val="00955F6D"/>
    <w:rsid w:val="009561A0"/>
    <w:rsid w:val="009572EA"/>
    <w:rsid w:val="00960F24"/>
    <w:rsid w:val="00960FB8"/>
    <w:rsid w:val="009635B7"/>
    <w:rsid w:val="00965897"/>
    <w:rsid w:val="0096765C"/>
    <w:rsid w:val="009727E4"/>
    <w:rsid w:val="00975592"/>
    <w:rsid w:val="0097572C"/>
    <w:rsid w:val="00980A50"/>
    <w:rsid w:val="00980F31"/>
    <w:rsid w:val="009854AF"/>
    <w:rsid w:val="0098630E"/>
    <w:rsid w:val="00990B01"/>
    <w:rsid w:val="00992245"/>
    <w:rsid w:val="00992458"/>
    <w:rsid w:val="00992607"/>
    <w:rsid w:val="00992691"/>
    <w:rsid w:val="00993449"/>
    <w:rsid w:val="009934C5"/>
    <w:rsid w:val="00994C0F"/>
    <w:rsid w:val="00995F8C"/>
    <w:rsid w:val="0099619B"/>
    <w:rsid w:val="009973FE"/>
    <w:rsid w:val="00997721"/>
    <w:rsid w:val="009A237B"/>
    <w:rsid w:val="009A5562"/>
    <w:rsid w:val="009A55C7"/>
    <w:rsid w:val="009B173E"/>
    <w:rsid w:val="009B22D7"/>
    <w:rsid w:val="009B398C"/>
    <w:rsid w:val="009B3D0F"/>
    <w:rsid w:val="009B5A17"/>
    <w:rsid w:val="009B72ED"/>
    <w:rsid w:val="009B7BC4"/>
    <w:rsid w:val="009C1F6B"/>
    <w:rsid w:val="009C2C04"/>
    <w:rsid w:val="009C39A3"/>
    <w:rsid w:val="009C52D6"/>
    <w:rsid w:val="009C698B"/>
    <w:rsid w:val="009C6DEB"/>
    <w:rsid w:val="009D2E45"/>
    <w:rsid w:val="009D3973"/>
    <w:rsid w:val="009D3B9E"/>
    <w:rsid w:val="009D64DF"/>
    <w:rsid w:val="009D6504"/>
    <w:rsid w:val="009E1A69"/>
    <w:rsid w:val="009E2169"/>
    <w:rsid w:val="009E2AA4"/>
    <w:rsid w:val="009E5286"/>
    <w:rsid w:val="009E5DCD"/>
    <w:rsid w:val="009E5F17"/>
    <w:rsid w:val="009E661A"/>
    <w:rsid w:val="009F3068"/>
    <w:rsid w:val="00A0310C"/>
    <w:rsid w:val="00A05FFC"/>
    <w:rsid w:val="00A06781"/>
    <w:rsid w:val="00A1509C"/>
    <w:rsid w:val="00A1601B"/>
    <w:rsid w:val="00A16A2F"/>
    <w:rsid w:val="00A21BE2"/>
    <w:rsid w:val="00A23087"/>
    <w:rsid w:val="00A23CDB"/>
    <w:rsid w:val="00A249B7"/>
    <w:rsid w:val="00A25C78"/>
    <w:rsid w:val="00A27187"/>
    <w:rsid w:val="00A27AF4"/>
    <w:rsid w:val="00A3027C"/>
    <w:rsid w:val="00A31901"/>
    <w:rsid w:val="00A34260"/>
    <w:rsid w:val="00A350E4"/>
    <w:rsid w:val="00A37C23"/>
    <w:rsid w:val="00A4041E"/>
    <w:rsid w:val="00A413A6"/>
    <w:rsid w:val="00A4279F"/>
    <w:rsid w:val="00A43BEE"/>
    <w:rsid w:val="00A4500F"/>
    <w:rsid w:val="00A451C5"/>
    <w:rsid w:val="00A51ADF"/>
    <w:rsid w:val="00A5629C"/>
    <w:rsid w:val="00A577E1"/>
    <w:rsid w:val="00A61CB9"/>
    <w:rsid w:val="00A62644"/>
    <w:rsid w:val="00A6320E"/>
    <w:rsid w:val="00A640DF"/>
    <w:rsid w:val="00A669B3"/>
    <w:rsid w:val="00A70883"/>
    <w:rsid w:val="00A70CFD"/>
    <w:rsid w:val="00A72A0B"/>
    <w:rsid w:val="00A761D1"/>
    <w:rsid w:val="00A771C1"/>
    <w:rsid w:val="00A775C3"/>
    <w:rsid w:val="00A80928"/>
    <w:rsid w:val="00A81E42"/>
    <w:rsid w:val="00A8262A"/>
    <w:rsid w:val="00A82FEE"/>
    <w:rsid w:val="00A832C1"/>
    <w:rsid w:val="00A85EDE"/>
    <w:rsid w:val="00A864FE"/>
    <w:rsid w:val="00A86F41"/>
    <w:rsid w:val="00A87D04"/>
    <w:rsid w:val="00A92BB3"/>
    <w:rsid w:val="00A950C5"/>
    <w:rsid w:val="00A9559F"/>
    <w:rsid w:val="00AA1D25"/>
    <w:rsid w:val="00AA3B32"/>
    <w:rsid w:val="00AA60F3"/>
    <w:rsid w:val="00AA730C"/>
    <w:rsid w:val="00AA7658"/>
    <w:rsid w:val="00AA7E13"/>
    <w:rsid w:val="00AB2B1A"/>
    <w:rsid w:val="00AB397F"/>
    <w:rsid w:val="00AB5148"/>
    <w:rsid w:val="00AB537F"/>
    <w:rsid w:val="00AB5832"/>
    <w:rsid w:val="00AC09A9"/>
    <w:rsid w:val="00AC2013"/>
    <w:rsid w:val="00AC51F2"/>
    <w:rsid w:val="00AC6645"/>
    <w:rsid w:val="00AD0B9E"/>
    <w:rsid w:val="00AD1B15"/>
    <w:rsid w:val="00AD1FB6"/>
    <w:rsid w:val="00AD4E62"/>
    <w:rsid w:val="00AD5E1D"/>
    <w:rsid w:val="00AD79DC"/>
    <w:rsid w:val="00AE2D8D"/>
    <w:rsid w:val="00AE306C"/>
    <w:rsid w:val="00AE5066"/>
    <w:rsid w:val="00AE5A06"/>
    <w:rsid w:val="00AE5E24"/>
    <w:rsid w:val="00AE61B7"/>
    <w:rsid w:val="00AE6CBA"/>
    <w:rsid w:val="00AE79AD"/>
    <w:rsid w:val="00AF057B"/>
    <w:rsid w:val="00AF35D5"/>
    <w:rsid w:val="00AF35E4"/>
    <w:rsid w:val="00AF4B10"/>
    <w:rsid w:val="00AF5CDE"/>
    <w:rsid w:val="00B01BA4"/>
    <w:rsid w:val="00B0461D"/>
    <w:rsid w:val="00B04BD0"/>
    <w:rsid w:val="00B05A6B"/>
    <w:rsid w:val="00B06D21"/>
    <w:rsid w:val="00B11A57"/>
    <w:rsid w:val="00B12D90"/>
    <w:rsid w:val="00B2093D"/>
    <w:rsid w:val="00B2133E"/>
    <w:rsid w:val="00B22517"/>
    <w:rsid w:val="00B22858"/>
    <w:rsid w:val="00B25597"/>
    <w:rsid w:val="00B267B9"/>
    <w:rsid w:val="00B30C1E"/>
    <w:rsid w:val="00B33E09"/>
    <w:rsid w:val="00B34236"/>
    <w:rsid w:val="00B37206"/>
    <w:rsid w:val="00B410F0"/>
    <w:rsid w:val="00B461FC"/>
    <w:rsid w:val="00B46596"/>
    <w:rsid w:val="00B50708"/>
    <w:rsid w:val="00B50C68"/>
    <w:rsid w:val="00B50EF0"/>
    <w:rsid w:val="00B51293"/>
    <w:rsid w:val="00B52185"/>
    <w:rsid w:val="00B52B1E"/>
    <w:rsid w:val="00B55481"/>
    <w:rsid w:val="00B56C32"/>
    <w:rsid w:val="00B57ACF"/>
    <w:rsid w:val="00B60BB0"/>
    <w:rsid w:val="00B64BB1"/>
    <w:rsid w:val="00B65CE9"/>
    <w:rsid w:val="00B707DC"/>
    <w:rsid w:val="00B714EC"/>
    <w:rsid w:val="00B720E0"/>
    <w:rsid w:val="00B73166"/>
    <w:rsid w:val="00B73FDA"/>
    <w:rsid w:val="00B754D8"/>
    <w:rsid w:val="00B76719"/>
    <w:rsid w:val="00B8426C"/>
    <w:rsid w:val="00B8501F"/>
    <w:rsid w:val="00B85264"/>
    <w:rsid w:val="00B85715"/>
    <w:rsid w:val="00B87BAE"/>
    <w:rsid w:val="00B91B8D"/>
    <w:rsid w:val="00B922FE"/>
    <w:rsid w:val="00B92FFE"/>
    <w:rsid w:val="00B936AF"/>
    <w:rsid w:val="00B93F31"/>
    <w:rsid w:val="00B94E90"/>
    <w:rsid w:val="00B97F96"/>
    <w:rsid w:val="00BA3BA4"/>
    <w:rsid w:val="00BA511B"/>
    <w:rsid w:val="00BA5534"/>
    <w:rsid w:val="00BA6EF1"/>
    <w:rsid w:val="00BB0A82"/>
    <w:rsid w:val="00BB15EA"/>
    <w:rsid w:val="00BB1930"/>
    <w:rsid w:val="00BB1E1C"/>
    <w:rsid w:val="00BB6B27"/>
    <w:rsid w:val="00BB7C94"/>
    <w:rsid w:val="00BC0A9D"/>
    <w:rsid w:val="00BC36BA"/>
    <w:rsid w:val="00BC4568"/>
    <w:rsid w:val="00BC6F5A"/>
    <w:rsid w:val="00BC7F66"/>
    <w:rsid w:val="00BE18E8"/>
    <w:rsid w:val="00BE1BD8"/>
    <w:rsid w:val="00BE33C7"/>
    <w:rsid w:val="00BE3CF7"/>
    <w:rsid w:val="00BE3DD4"/>
    <w:rsid w:val="00BE4AE4"/>
    <w:rsid w:val="00BE6098"/>
    <w:rsid w:val="00BE6B30"/>
    <w:rsid w:val="00BE7055"/>
    <w:rsid w:val="00BF3028"/>
    <w:rsid w:val="00BF5055"/>
    <w:rsid w:val="00BF5BC2"/>
    <w:rsid w:val="00BF6DB1"/>
    <w:rsid w:val="00C031F7"/>
    <w:rsid w:val="00C0551B"/>
    <w:rsid w:val="00C07479"/>
    <w:rsid w:val="00C07E43"/>
    <w:rsid w:val="00C1133D"/>
    <w:rsid w:val="00C1156F"/>
    <w:rsid w:val="00C11937"/>
    <w:rsid w:val="00C13333"/>
    <w:rsid w:val="00C27023"/>
    <w:rsid w:val="00C27A08"/>
    <w:rsid w:val="00C3009C"/>
    <w:rsid w:val="00C300F1"/>
    <w:rsid w:val="00C30162"/>
    <w:rsid w:val="00C30223"/>
    <w:rsid w:val="00C30665"/>
    <w:rsid w:val="00C31312"/>
    <w:rsid w:val="00C326C6"/>
    <w:rsid w:val="00C33D4D"/>
    <w:rsid w:val="00C35295"/>
    <w:rsid w:val="00C36ADD"/>
    <w:rsid w:val="00C36E74"/>
    <w:rsid w:val="00C40595"/>
    <w:rsid w:val="00C40EF3"/>
    <w:rsid w:val="00C41621"/>
    <w:rsid w:val="00C41E14"/>
    <w:rsid w:val="00C42E5A"/>
    <w:rsid w:val="00C449FA"/>
    <w:rsid w:val="00C45684"/>
    <w:rsid w:val="00C456DA"/>
    <w:rsid w:val="00C46FAE"/>
    <w:rsid w:val="00C50031"/>
    <w:rsid w:val="00C50F8F"/>
    <w:rsid w:val="00C536AE"/>
    <w:rsid w:val="00C5384F"/>
    <w:rsid w:val="00C53D8D"/>
    <w:rsid w:val="00C56964"/>
    <w:rsid w:val="00C60FE3"/>
    <w:rsid w:val="00C656D5"/>
    <w:rsid w:val="00C67103"/>
    <w:rsid w:val="00C674F6"/>
    <w:rsid w:val="00C7072C"/>
    <w:rsid w:val="00C707FA"/>
    <w:rsid w:val="00C71BB9"/>
    <w:rsid w:val="00C71FD1"/>
    <w:rsid w:val="00C73FCF"/>
    <w:rsid w:val="00C853BD"/>
    <w:rsid w:val="00C94C28"/>
    <w:rsid w:val="00C954BB"/>
    <w:rsid w:val="00C976B4"/>
    <w:rsid w:val="00CA1259"/>
    <w:rsid w:val="00CA292B"/>
    <w:rsid w:val="00CA3A4E"/>
    <w:rsid w:val="00CA6089"/>
    <w:rsid w:val="00CA6CD2"/>
    <w:rsid w:val="00CB0247"/>
    <w:rsid w:val="00CB210F"/>
    <w:rsid w:val="00CB2545"/>
    <w:rsid w:val="00CB3440"/>
    <w:rsid w:val="00CB7B6B"/>
    <w:rsid w:val="00CC0BFC"/>
    <w:rsid w:val="00CC1579"/>
    <w:rsid w:val="00CC1692"/>
    <w:rsid w:val="00CC4DCA"/>
    <w:rsid w:val="00CC6A89"/>
    <w:rsid w:val="00CC73B1"/>
    <w:rsid w:val="00CC7EB1"/>
    <w:rsid w:val="00CD138B"/>
    <w:rsid w:val="00CD1700"/>
    <w:rsid w:val="00CD2905"/>
    <w:rsid w:val="00CD2FF2"/>
    <w:rsid w:val="00CD3E31"/>
    <w:rsid w:val="00CD5802"/>
    <w:rsid w:val="00CD7293"/>
    <w:rsid w:val="00CD74A3"/>
    <w:rsid w:val="00CD7961"/>
    <w:rsid w:val="00CD7EA6"/>
    <w:rsid w:val="00CE0527"/>
    <w:rsid w:val="00CE415D"/>
    <w:rsid w:val="00CE5B23"/>
    <w:rsid w:val="00CF4D4F"/>
    <w:rsid w:val="00CF56F9"/>
    <w:rsid w:val="00CF5F0E"/>
    <w:rsid w:val="00CF70AD"/>
    <w:rsid w:val="00CF7729"/>
    <w:rsid w:val="00D00889"/>
    <w:rsid w:val="00D03670"/>
    <w:rsid w:val="00D046D7"/>
    <w:rsid w:val="00D107FA"/>
    <w:rsid w:val="00D12275"/>
    <w:rsid w:val="00D12766"/>
    <w:rsid w:val="00D15027"/>
    <w:rsid w:val="00D20FF4"/>
    <w:rsid w:val="00D21A8E"/>
    <w:rsid w:val="00D2304B"/>
    <w:rsid w:val="00D231B4"/>
    <w:rsid w:val="00D236E1"/>
    <w:rsid w:val="00D24D2C"/>
    <w:rsid w:val="00D25070"/>
    <w:rsid w:val="00D266EE"/>
    <w:rsid w:val="00D27E08"/>
    <w:rsid w:val="00D307C3"/>
    <w:rsid w:val="00D3228C"/>
    <w:rsid w:val="00D35852"/>
    <w:rsid w:val="00D35881"/>
    <w:rsid w:val="00D361A0"/>
    <w:rsid w:val="00D412EE"/>
    <w:rsid w:val="00D41D3C"/>
    <w:rsid w:val="00D43314"/>
    <w:rsid w:val="00D4609F"/>
    <w:rsid w:val="00D469B0"/>
    <w:rsid w:val="00D525F4"/>
    <w:rsid w:val="00D52857"/>
    <w:rsid w:val="00D62353"/>
    <w:rsid w:val="00D6339F"/>
    <w:rsid w:val="00D6355B"/>
    <w:rsid w:val="00D642AC"/>
    <w:rsid w:val="00D66215"/>
    <w:rsid w:val="00D71B6F"/>
    <w:rsid w:val="00D73FC0"/>
    <w:rsid w:val="00D74E69"/>
    <w:rsid w:val="00D75EB8"/>
    <w:rsid w:val="00D76DF8"/>
    <w:rsid w:val="00D773DA"/>
    <w:rsid w:val="00D83165"/>
    <w:rsid w:val="00D83E9A"/>
    <w:rsid w:val="00D847CD"/>
    <w:rsid w:val="00D87C56"/>
    <w:rsid w:val="00D9085C"/>
    <w:rsid w:val="00D9131D"/>
    <w:rsid w:val="00D9324D"/>
    <w:rsid w:val="00D94FD9"/>
    <w:rsid w:val="00D97213"/>
    <w:rsid w:val="00DA021A"/>
    <w:rsid w:val="00DA05AB"/>
    <w:rsid w:val="00DA1142"/>
    <w:rsid w:val="00DA2E10"/>
    <w:rsid w:val="00DA4E96"/>
    <w:rsid w:val="00DA5AA2"/>
    <w:rsid w:val="00DA7DA5"/>
    <w:rsid w:val="00DB073B"/>
    <w:rsid w:val="00DB1E10"/>
    <w:rsid w:val="00DB3548"/>
    <w:rsid w:val="00DB4A4A"/>
    <w:rsid w:val="00DB7014"/>
    <w:rsid w:val="00DB78F0"/>
    <w:rsid w:val="00DC1ACE"/>
    <w:rsid w:val="00DC2E43"/>
    <w:rsid w:val="00DC46D8"/>
    <w:rsid w:val="00DC4BB2"/>
    <w:rsid w:val="00DC7251"/>
    <w:rsid w:val="00DC7EA9"/>
    <w:rsid w:val="00DD095C"/>
    <w:rsid w:val="00DD1330"/>
    <w:rsid w:val="00DD5E72"/>
    <w:rsid w:val="00DD5F31"/>
    <w:rsid w:val="00DD608A"/>
    <w:rsid w:val="00DD7E83"/>
    <w:rsid w:val="00DE00B8"/>
    <w:rsid w:val="00DE0B83"/>
    <w:rsid w:val="00DE1A81"/>
    <w:rsid w:val="00DE3857"/>
    <w:rsid w:val="00DE40BB"/>
    <w:rsid w:val="00DE4E10"/>
    <w:rsid w:val="00DF2194"/>
    <w:rsid w:val="00DF2275"/>
    <w:rsid w:val="00DF34FC"/>
    <w:rsid w:val="00DF67B1"/>
    <w:rsid w:val="00E02ABF"/>
    <w:rsid w:val="00E14995"/>
    <w:rsid w:val="00E153BD"/>
    <w:rsid w:val="00E179CD"/>
    <w:rsid w:val="00E20C46"/>
    <w:rsid w:val="00E216E0"/>
    <w:rsid w:val="00E23E8D"/>
    <w:rsid w:val="00E30877"/>
    <w:rsid w:val="00E31D2E"/>
    <w:rsid w:val="00E33AC9"/>
    <w:rsid w:val="00E3759E"/>
    <w:rsid w:val="00E37F98"/>
    <w:rsid w:val="00E4174F"/>
    <w:rsid w:val="00E42655"/>
    <w:rsid w:val="00E4265D"/>
    <w:rsid w:val="00E44527"/>
    <w:rsid w:val="00E457F2"/>
    <w:rsid w:val="00E461CE"/>
    <w:rsid w:val="00E46559"/>
    <w:rsid w:val="00E46A70"/>
    <w:rsid w:val="00E52041"/>
    <w:rsid w:val="00E604DA"/>
    <w:rsid w:val="00E60AB1"/>
    <w:rsid w:val="00E61C4F"/>
    <w:rsid w:val="00E634CD"/>
    <w:rsid w:val="00E635D4"/>
    <w:rsid w:val="00E664F2"/>
    <w:rsid w:val="00E6670C"/>
    <w:rsid w:val="00E715C8"/>
    <w:rsid w:val="00E72C8A"/>
    <w:rsid w:val="00E75983"/>
    <w:rsid w:val="00E776E8"/>
    <w:rsid w:val="00E77784"/>
    <w:rsid w:val="00E82D25"/>
    <w:rsid w:val="00E84C20"/>
    <w:rsid w:val="00E86006"/>
    <w:rsid w:val="00E86F33"/>
    <w:rsid w:val="00E92B76"/>
    <w:rsid w:val="00E92C1F"/>
    <w:rsid w:val="00E935A8"/>
    <w:rsid w:val="00E95D4B"/>
    <w:rsid w:val="00EA2244"/>
    <w:rsid w:val="00EA2F46"/>
    <w:rsid w:val="00EA4776"/>
    <w:rsid w:val="00EA5C12"/>
    <w:rsid w:val="00EB199F"/>
    <w:rsid w:val="00EB2223"/>
    <w:rsid w:val="00EB29D2"/>
    <w:rsid w:val="00EB70B1"/>
    <w:rsid w:val="00EB7D05"/>
    <w:rsid w:val="00EC23F7"/>
    <w:rsid w:val="00EC3397"/>
    <w:rsid w:val="00EC4BD8"/>
    <w:rsid w:val="00EC63EB"/>
    <w:rsid w:val="00EC6850"/>
    <w:rsid w:val="00ED16CD"/>
    <w:rsid w:val="00ED412F"/>
    <w:rsid w:val="00ED4471"/>
    <w:rsid w:val="00ED727A"/>
    <w:rsid w:val="00EE0803"/>
    <w:rsid w:val="00EE0B16"/>
    <w:rsid w:val="00EE1976"/>
    <w:rsid w:val="00EE2BB9"/>
    <w:rsid w:val="00EE3CA0"/>
    <w:rsid w:val="00EE65A6"/>
    <w:rsid w:val="00EE7F27"/>
    <w:rsid w:val="00EF0ECF"/>
    <w:rsid w:val="00EF2023"/>
    <w:rsid w:val="00EF2610"/>
    <w:rsid w:val="00EF358B"/>
    <w:rsid w:val="00EF36B2"/>
    <w:rsid w:val="00EF4B91"/>
    <w:rsid w:val="00EF6E82"/>
    <w:rsid w:val="00F00ABD"/>
    <w:rsid w:val="00F0214C"/>
    <w:rsid w:val="00F03882"/>
    <w:rsid w:val="00F04ECC"/>
    <w:rsid w:val="00F06AE6"/>
    <w:rsid w:val="00F12407"/>
    <w:rsid w:val="00F1381E"/>
    <w:rsid w:val="00F14425"/>
    <w:rsid w:val="00F14A43"/>
    <w:rsid w:val="00F15485"/>
    <w:rsid w:val="00F201EC"/>
    <w:rsid w:val="00F208A9"/>
    <w:rsid w:val="00F2262A"/>
    <w:rsid w:val="00F31D10"/>
    <w:rsid w:val="00F32DC2"/>
    <w:rsid w:val="00F418F0"/>
    <w:rsid w:val="00F432FC"/>
    <w:rsid w:val="00F446E1"/>
    <w:rsid w:val="00F4713F"/>
    <w:rsid w:val="00F50818"/>
    <w:rsid w:val="00F53130"/>
    <w:rsid w:val="00F5422E"/>
    <w:rsid w:val="00F55022"/>
    <w:rsid w:val="00F566F9"/>
    <w:rsid w:val="00F56D24"/>
    <w:rsid w:val="00F5718A"/>
    <w:rsid w:val="00F606AE"/>
    <w:rsid w:val="00F606CB"/>
    <w:rsid w:val="00F61B16"/>
    <w:rsid w:val="00F61EEE"/>
    <w:rsid w:val="00F61FD4"/>
    <w:rsid w:val="00F62C46"/>
    <w:rsid w:val="00F66978"/>
    <w:rsid w:val="00F712D6"/>
    <w:rsid w:val="00F722DD"/>
    <w:rsid w:val="00F7454F"/>
    <w:rsid w:val="00F74AFA"/>
    <w:rsid w:val="00F76F0C"/>
    <w:rsid w:val="00F778F7"/>
    <w:rsid w:val="00F77988"/>
    <w:rsid w:val="00F77F48"/>
    <w:rsid w:val="00F8044E"/>
    <w:rsid w:val="00F8091E"/>
    <w:rsid w:val="00F86BA5"/>
    <w:rsid w:val="00F87AA9"/>
    <w:rsid w:val="00F91EB5"/>
    <w:rsid w:val="00F964FE"/>
    <w:rsid w:val="00F97D5B"/>
    <w:rsid w:val="00FA65E0"/>
    <w:rsid w:val="00FB0E0F"/>
    <w:rsid w:val="00FB1009"/>
    <w:rsid w:val="00FB2A6D"/>
    <w:rsid w:val="00FB30F1"/>
    <w:rsid w:val="00FB53E7"/>
    <w:rsid w:val="00FC266F"/>
    <w:rsid w:val="00FC3F46"/>
    <w:rsid w:val="00FC4EF2"/>
    <w:rsid w:val="00FC57A1"/>
    <w:rsid w:val="00FC58E1"/>
    <w:rsid w:val="00FE625A"/>
    <w:rsid w:val="00FE7315"/>
    <w:rsid w:val="00FF4392"/>
    <w:rsid w:val="00FF55D4"/>
    <w:rsid w:val="00FF569E"/>
    <w:rsid w:val="00FF6334"/>
    <w:rsid w:val="00FF67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rPr>
  </w:style>
  <w:style w:type="paragraph" w:styleId="Heading1">
    <w:name w:val="heading 1"/>
    <w:basedOn w:val="Normal"/>
    <w:next w:val="Normal"/>
    <w:link w:val="Heading1Char"/>
    <w:qFormat/>
    <w:rsid w:val="00812676"/>
    <w:pPr>
      <w:keepNext/>
      <w:jc w:val="center"/>
      <w:outlineLvl w:val="0"/>
    </w:pPr>
    <w:rPr>
      <w:b/>
      <w:bCs/>
      <w:sz w:val="28"/>
      <w:lang w:eastAsia="en-US"/>
    </w:rPr>
  </w:style>
  <w:style w:type="paragraph" w:styleId="Heading3">
    <w:name w:val="heading 3"/>
    <w:basedOn w:val="Normal"/>
    <w:next w:val="Normal"/>
    <w:link w:val="Heading3Char"/>
    <w:unhideWhenUsed/>
    <w:qFormat/>
    <w:rsid w:val="007D297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uiPriority w:val="99"/>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customStyle="1" w:styleId="HeaderChar">
    <w:name w:val="Header Char"/>
    <w:link w:val="Header"/>
    <w:rsid w:val="008C15B4"/>
    <w:rPr>
      <w:sz w:val="24"/>
      <w:szCs w:val="24"/>
    </w:rPr>
  </w:style>
  <w:style w:type="paragraph" w:styleId="BodyTextIndent">
    <w:name w:val="Body Text Indent"/>
    <w:basedOn w:val="Normal"/>
    <w:link w:val="BodyTextIndentChar"/>
    <w:rsid w:val="00BE3CF7"/>
    <w:pPr>
      <w:autoSpaceDE w:val="0"/>
      <w:autoSpaceDN w:val="0"/>
      <w:adjustRightInd w:val="0"/>
      <w:ind w:firstLine="720"/>
    </w:pPr>
    <w:rPr>
      <w:szCs w:val="20"/>
      <w:lang w:eastAsia="en-US"/>
    </w:rPr>
  </w:style>
  <w:style w:type="character" w:customStyle="1" w:styleId="BodyTextIndentChar">
    <w:name w:val="Body Text Indent Char"/>
    <w:link w:val="BodyTextIndent"/>
    <w:rsid w:val="00BE3CF7"/>
    <w:rPr>
      <w:sz w:val="24"/>
      <w:lang w:eastAsia="en-US"/>
    </w:rPr>
  </w:style>
  <w:style w:type="character" w:styleId="Strong">
    <w:name w:val="Strong"/>
    <w:qFormat/>
    <w:rsid w:val="00885797"/>
    <w:rPr>
      <w:b/>
      <w:bCs/>
    </w:rPr>
  </w:style>
  <w:style w:type="character" w:customStyle="1" w:styleId="Heading1Char">
    <w:name w:val="Heading 1 Char"/>
    <w:link w:val="Heading1"/>
    <w:rsid w:val="00812676"/>
    <w:rPr>
      <w:b/>
      <w:bCs/>
      <w:sz w:val="28"/>
      <w:szCs w:val="24"/>
      <w:lang w:eastAsia="en-US"/>
    </w:rPr>
  </w:style>
  <w:style w:type="paragraph" w:styleId="ListParagraph">
    <w:name w:val="List Paragraph"/>
    <w:basedOn w:val="Normal"/>
    <w:uiPriority w:val="34"/>
    <w:qFormat/>
    <w:rsid w:val="00693242"/>
    <w:pPr>
      <w:ind w:left="720"/>
    </w:pPr>
    <w:rPr>
      <w:rFonts w:ascii="Calibri" w:eastAsia="Calibri" w:hAnsi="Calibri"/>
      <w:sz w:val="22"/>
      <w:szCs w:val="22"/>
    </w:rPr>
  </w:style>
  <w:style w:type="paragraph" w:customStyle="1" w:styleId="TableContents">
    <w:name w:val="Table Contents"/>
    <w:basedOn w:val="Normal"/>
    <w:rsid w:val="00693242"/>
    <w:pPr>
      <w:suppressLineNumbers/>
      <w:suppressAutoHyphens/>
    </w:pPr>
    <w:rPr>
      <w:lang w:eastAsia="ar-SA"/>
    </w:rPr>
  </w:style>
  <w:style w:type="paragraph" w:styleId="NormalWeb">
    <w:name w:val="Normal (Web)"/>
    <w:basedOn w:val="Normal"/>
    <w:uiPriority w:val="99"/>
    <w:unhideWhenUsed/>
    <w:rsid w:val="00461DD5"/>
    <w:rPr>
      <w:rFonts w:eastAsia="Calibri"/>
    </w:rPr>
  </w:style>
  <w:style w:type="character" w:customStyle="1" w:styleId="Heading3Char">
    <w:name w:val="Heading 3 Char"/>
    <w:basedOn w:val="DefaultParagraphFont"/>
    <w:link w:val="Heading3"/>
    <w:rsid w:val="007D2970"/>
    <w:rPr>
      <w:rFonts w:ascii="Cambria" w:eastAsia="Times New Roman" w:hAnsi="Cambria" w:cs="Times New Roman"/>
      <w:b/>
      <w:bCs/>
      <w:sz w:val="26"/>
      <w:szCs w:val="26"/>
    </w:rPr>
  </w:style>
  <w:style w:type="table" w:customStyle="1" w:styleId="LightGrid-Accent11">
    <w:name w:val="Light Grid - Accent 11"/>
    <w:basedOn w:val="TableNormal"/>
    <w:uiPriority w:val="62"/>
    <w:rsid w:val="005C6F23"/>
    <w:rPr>
      <w:rFonts w:asciiTheme="minorHAnsi" w:eastAsiaTheme="minorHAnsi" w:hAnsiTheme="minorHAnsi" w:cstheme="minorBidi"/>
      <w:sz w:val="22"/>
      <w:szCs w:val="22"/>
      <w:lang w:eastAsia="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s>
</file>

<file path=word/webSettings.xml><?xml version="1.0" encoding="utf-8"?>
<w:webSettings xmlns:r="http://schemas.openxmlformats.org/officeDocument/2006/relationships" xmlns:w="http://schemas.openxmlformats.org/wordprocessingml/2006/main">
  <w:divs>
    <w:div w:id="122356934">
      <w:bodyDiv w:val="1"/>
      <w:marLeft w:val="0"/>
      <w:marRight w:val="0"/>
      <w:marTop w:val="0"/>
      <w:marBottom w:val="0"/>
      <w:divBdr>
        <w:top w:val="none" w:sz="0" w:space="0" w:color="auto"/>
        <w:left w:val="none" w:sz="0" w:space="0" w:color="auto"/>
        <w:bottom w:val="none" w:sz="0" w:space="0" w:color="auto"/>
        <w:right w:val="none" w:sz="0" w:space="0" w:color="auto"/>
      </w:divBdr>
      <w:divsChild>
        <w:div w:id="1980264513">
          <w:marLeft w:val="0"/>
          <w:marRight w:val="0"/>
          <w:marTop w:val="0"/>
          <w:marBottom w:val="0"/>
          <w:divBdr>
            <w:top w:val="none" w:sz="0" w:space="0" w:color="auto"/>
            <w:left w:val="none" w:sz="0" w:space="0" w:color="auto"/>
            <w:bottom w:val="none" w:sz="0" w:space="0" w:color="auto"/>
            <w:right w:val="none" w:sz="0" w:space="0" w:color="auto"/>
          </w:divBdr>
          <w:divsChild>
            <w:div w:id="1803841226">
              <w:marLeft w:val="0"/>
              <w:marRight w:val="0"/>
              <w:marTop w:val="0"/>
              <w:marBottom w:val="0"/>
              <w:divBdr>
                <w:top w:val="none" w:sz="0" w:space="0" w:color="auto"/>
                <w:left w:val="none" w:sz="0" w:space="0" w:color="auto"/>
                <w:bottom w:val="none" w:sz="0" w:space="0" w:color="auto"/>
                <w:right w:val="none" w:sz="0" w:space="0" w:color="auto"/>
              </w:divBdr>
              <w:divsChild>
                <w:div w:id="1308824904">
                  <w:marLeft w:val="0"/>
                  <w:marRight w:val="0"/>
                  <w:marTop w:val="0"/>
                  <w:marBottom w:val="0"/>
                  <w:divBdr>
                    <w:top w:val="none" w:sz="0" w:space="0" w:color="auto"/>
                    <w:left w:val="none" w:sz="0" w:space="0" w:color="auto"/>
                    <w:bottom w:val="none" w:sz="0" w:space="0" w:color="auto"/>
                    <w:right w:val="none" w:sz="0" w:space="0" w:color="auto"/>
                  </w:divBdr>
                  <w:divsChild>
                    <w:div w:id="887569701">
                      <w:marLeft w:val="0"/>
                      <w:marRight w:val="0"/>
                      <w:marTop w:val="0"/>
                      <w:marBottom w:val="0"/>
                      <w:divBdr>
                        <w:top w:val="none" w:sz="0" w:space="0" w:color="auto"/>
                        <w:left w:val="none" w:sz="0" w:space="0" w:color="auto"/>
                        <w:bottom w:val="none" w:sz="0" w:space="0" w:color="auto"/>
                        <w:right w:val="none" w:sz="0" w:space="0" w:color="auto"/>
                      </w:divBdr>
                      <w:divsChild>
                        <w:div w:id="178199502">
                          <w:marLeft w:val="0"/>
                          <w:marRight w:val="0"/>
                          <w:marTop w:val="300"/>
                          <w:marBottom w:val="0"/>
                          <w:divBdr>
                            <w:top w:val="none" w:sz="0" w:space="0" w:color="auto"/>
                            <w:left w:val="none" w:sz="0" w:space="0" w:color="auto"/>
                            <w:bottom w:val="none" w:sz="0" w:space="0" w:color="auto"/>
                            <w:right w:val="none" w:sz="0" w:space="0" w:color="auto"/>
                          </w:divBdr>
                          <w:divsChild>
                            <w:div w:id="149009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858252">
      <w:bodyDiv w:val="1"/>
      <w:marLeft w:val="0"/>
      <w:marRight w:val="0"/>
      <w:marTop w:val="0"/>
      <w:marBottom w:val="0"/>
      <w:divBdr>
        <w:top w:val="none" w:sz="0" w:space="0" w:color="auto"/>
        <w:left w:val="none" w:sz="0" w:space="0" w:color="auto"/>
        <w:bottom w:val="none" w:sz="0" w:space="0" w:color="auto"/>
        <w:right w:val="none" w:sz="0" w:space="0" w:color="auto"/>
      </w:divBdr>
    </w:div>
    <w:div w:id="1059325006">
      <w:bodyDiv w:val="1"/>
      <w:marLeft w:val="0"/>
      <w:marRight w:val="0"/>
      <w:marTop w:val="0"/>
      <w:marBottom w:val="0"/>
      <w:divBdr>
        <w:top w:val="none" w:sz="0" w:space="0" w:color="auto"/>
        <w:left w:val="none" w:sz="0" w:space="0" w:color="auto"/>
        <w:bottom w:val="none" w:sz="0" w:space="0" w:color="auto"/>
        <w:right w:val="none" w:sz="0" w:space="0" w:color="auto"/>
      </w:divBdr>
    </w:div>
    <w:div w:id="1089036845">
      <w:bodyDiv w:val="1"/>
      <w:marLeft w:val="0"/>
      <w:marRight w:val="0"/>
      <w:marTop w:val="0"/>
      <w:marBottom w:val="0"/>
      <w:divBdr>
        <w:top w:val="none" w:sz="0" w:space="0" w:color="auto"/>
        <w:left w:val="none" w:sz="0" w:space="0" w:color="auto"/>
        <w:bottom w:val="none" w:sz="0" w:space="0" w:color="auto"/>
        <w:right w:val="none" w:sz="0" w:space="0" w:color="auto"/>
      </w:divBdr>
      <w:divsChild>
        <w:div w:id="1054350010">
          <w:marLeft w:val="0"/>
          <w:marRight w:val="0"/>
          <w:marTop w:val="0"/>
          <w:marBottom w:val="0"/>
          <w:divBdr>
            <w:top w:val="none" w:sz="0" w:space="0" w:color="auto"/>
            <w:left w:val="none" w:sz="0" w:space="0" w:color="auto"/>
            <w:bottom w:val="none" w:sz="0" w:space="0" w:color="auto"/>
            <w:right w:val="none" w:sz="0" w:space="0" w:color="auto"/>
          </w:divBdr>
        </w:div>
        <w:div w:id="1313216165">
          <w:marLeft w:val="0"/>
          <w:marRight w:val="0"/>
          <w:marTop w:val="0"/>
          <w:marBottom w:val="0"/>
          <w:divBdr>
            <w:top w:val="none" w:sz="0" w:space="0" w:color="auto"/>
            <w:left w:val="none" w:sz="0" w:space="0" w:color="auto"/>
            <w:bottom w:val="none" w:sz="0" w:space="0" w:color="auto"/>
            <w:right w:val="none" w:sz="0" w:space="0" w:color="auto"/>
          </w:divBdr>
        </w:div>
        <w:div w:id="1952541946">
          <w:marLeft w:val="0"/>
          <w:marRight w:val="0"/>
          <w:marTop w:val="0"/>
          <w:marBottom w:val="0"/>
          <w:divBdr>
            <w:top w:val="none" w:sz="0" w:space="0" w:color="auto"/>
            <w:left w:val="none" w:sz="0" w:space="0" w:color="auto"/>
            <w:bottom w:val="none" w:sz="0" w:space="0" w:color="auto"/>
            <w:right w:val="none" w:sz="0" w:space="0" w:color="auto"/>
          </w:divBdr>
        </w:div>
      </w:divsChild>
    </w:div>
    <w:div w:id="1260482733">
      <w:bodyDiv w:val="1"/>
      <w:marLeft w:val="0"/>
      <w:marRight w:val="0"/>
      <w:marTop w:val="0"/>
      <w:marBottom w:val="0"/>
      <w:divBdr>
        <w:top w:val="none" w:sz="0" w:space="0" w:color="auto"/>
        <w:left w:val="none" w:sz="0" w:space="0" w:color="auto"/>
        <w:bottom w:val="none" w:sz="0" w:space="0" w:color="auto"/>
        <w:right w:val="none" w:sz="0" w:space="0" w:color="auto"/>
      </w:divBdr>
    </w:div>
    <w:div w:id="1740202445">
      <w:bodyDiv w:val="1"/>
      <w:marLeft w:val="0"/>
      <w:marRight w:val="0"/>
      <w:marTop w:val="0"/>
      <w:marBottom w:val="0"/>
      <w:divBdr>
        <w:top w:val="none" w:sz="0" w:space="0" w:color="auto"/>
        <w:left w:val="none" w:sz="0" w:space="0" w:color="auto"/>
        <w:bottom w:val="none" w:sz="0" w:space="0" w:color="auto"/>
        <w:right w:val="none" w:sz="0" w:space="0" w:color="auto"/>
      </w:divBdr>
    </w:div>
    <w:div w:id="207612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nda.Lama@vara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itvars.Timermanis@var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B025C-1625-4CD9-8B7B-2E2C62EC9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7</Pages>
  <Words>2467</Words>
  <Characters>14066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2010.gada 18.maija noteikumos Nr.464 „Noteikumi par 74.resora „Gadskārtējā valsts budžeta izpildes procesā pārdalāmais finansējums” 80.00.00 programmā plānoto līdzekļu pārdales kārtību Eiro</vt:lpstr>
    </vt:vector>
  </TitlesOfParts>
  <Company/>
  <LinksUpToDate>false</LinksUpToDate>
  <CharactersWithSpaces>16501</CharactersWithSpaces>
  <SharedDoc>false</SharedDoc>
  <HLinks>
    <vt:vector size="6" baseType="variant">
      <vt:variant>
        <vt:i4>5832829</vt:i4>
      </vt:variant>
      <vt:variant>
        <vt:i4>0</vt:i4>
      </vt:variant>
      <vt:variant>
        <vt:i4>0</vt:i4>
      </vt:variant>
      <vt:variant>
        <vt:i4>5</vt:i4>
      </vt:variant>
      <vt:variant>
        <vt:lpwstr>mailto:Linda.Lama@varam.gov.lv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18.maija noteikumos Nr.464 „Noteikumi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 sākotnējās ietekmes novērtējuma ziņojums (anotācija)</dc:title>
  <dc:subject>anotācija</dc:subject>
  <dc:creator>Linda Lāma;Ritvars Timermanis</dc:creator>
  <dc:description>ivita.cable@fm.gov.lv; 67095455</dc:description>
  <cp:lastModifiedBy>larisat</cp:lastModifiedBy>
  <cp:revision>29</cp:revision>
  <cp:lastPrinted>2014-10-14T11:53:00Z</cp:lastPrinted>
  <dcterms:created xsi:type="dcterms:W3CDTF">2014-11-04T14:19:00Z</dcterms:created>
  <dcterms:modified xsi:type="dcterms:W3CDTF">2015-01-16T14:43:00Z</dcterms:modified>
</cp:coreProperties>
</file>