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B083" w14:textId="77777777" w:rsidR="0030694C" w:rsidRPr="00F5458C" w:rsidRDefault="0030694C" w:rsidP="0030694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E7161C3" w14:textId="77777777" w:rsidR="0030694C" w:rsidRPr="00F5458C" w:rsidRDefault="0030694C" w:rsidP="0030694C">
      <w:pPr>
        <w:tabs>
          <w:tab w:val="left" w:pos="6663"/>
        </w:tabs>
        <w:rPr>
          <w:sz w:val="28"/>
          <w:szCs w:val="28"/>
        </w:rPr>
      </w:pPr>
    </w:p>
    <w:p w14:paraId="1EC05D51" w14:textId="77777777" w:rsidR="0030694C" w:rsidRPr="00F5458C" w:rsidRDefault="0030694C" w:rsidP="0030694C">
      <w:pPr>
        <w:tabs>
          <w:tab w:val="left" w:pos="6663"/>
        </w:tabs>
        <w:rPr>
          <w:sz w:val="28"/>
          <w:szCs w:val="28"/>
        </w:rPr>
      </w:pPr>
    </w:p>
    <w:p w14:paraId="54C8C058" w14:textId="66E8A510" w:rsidR="0030694C" w:rsidRPr="008C4EDF" w:rsidRDefault="0030694C" w:rsidP="0030694C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72EE1">
        <w:rPr>
          <w:sz w:val="28"/>
          <w:szCs w:val="28"/>
        </w:rPr>
        <w:t>27. janvārī</w:t>
      </w:r>
      <w:r w:rsidRPr="008C4EDF">
        <w:rPr>
          <w:sz w:val="28"/>
          <w:szCs w:val="28"/>
        </w:rPr>
        <w:tab/>
        <w:t>Noteikumi Nr.</w:t>
      </w:r>
      <w:r w:rsidR="00772EE1">
        <w:rPr>
          <w:sz w:val="28"/>
          <w:szCs w:val="28"/>
        </w:rPr>
        <w:t> 31</w:t>
      </w:r>
    </w:p>
    <w:p w14:paraId="3487DA98" w14:textId="06FFF6B4" w:rsidR="0030694C" w:rsidRPr="00E9501F" w:rsidRDefault="0030694C" w:rsidP="0030694C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72EE1">
        <w:rPr>
          <w:sz w:val="28"/>
          <w:szCs w:val="28"/>
        </w:rPr>
        <w:t>5 41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DD64B84" w14:textId="77777777" w:rsidR="00435465" w:rsidRPr="0030694C" w:rsidRDefault="00435465" w:rsidP="0030694C">
      <w:pPr>
        <w:pStyle w:val="BodyText3"/>
        <w:tabs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2DD64B85" w14:textId="64BDD641" w:rsidR="000D2148" w:rsidRPr="0030694C" w:rsidRDefault="000D2148" w:rsidP="0030694C">
      <w:pPr>
        <w:jc w:val="center"/>
        <w:rPr>
          <w:b/>
          <w:sz w:val="28"/>
          <w:szCs w:val="28"/>
        </w:rPr>
      </w:pPr>
      <w:r w:rsidRPr="0030694C">
        <w:rPr>
          <w:b/>
          <w:sz w:val="28"/>
          <w:szCs w:val="28"/>
        </w:rPr>
        <w:t>Grozījum</w:t>
      </w:r>
      <w:r w:rsidR="0062637D">
        <w:rPr>
          <w:b/>
          <w:sz w:val="28"/>
          <w:szCs w:val="28"/>
        </w:rPr>
        <w:t>s</w:t>
      </w:r>
      <w:r w:rsidRPr="0030694C">
        <w:rPr>
          <w:b/>
          <w:sz w:val="28"/>
          <w:szCs w:val="28"/>
        </w:rPr>
        <w:t xml:space="preserve"> Ministru kabineta 201</w:t>
      </w:r>
      <w:r w:rsidR="002D11FB" w:rsidRPr="0030694C">
        <w:rPr>
          <w:b/>
          <w:sz w:val="28"/>
          <w:szCs w:val="28"/>
        </w:rPr>
        <w:t>3</w:t>
      </w:r>
      <w:r w:rsidR="0030694C">
        <w:rPr>
          <w:b/>
          <w:sz w:val="28"/>
          <w:szCs w:val="28"/>
        </w:rPr>
        <w:t>. g</w:t>
      </w:r>
      <w:r w:rsidRPr="0030694C">
        <w:rPr>
          <w:b/>
          <w:sz w:val="28"/>
          <w:szCs w:val="28"/>
        </w:rPr>
        <w:t xml:space="preserve">ada </w:t>
      </w:r>
      <w:r w:rsidR="002D11FB" w:rsidRPr="0030694C">
        <w:rPr>
          <w:b/>
          <w:sz w:val="28"/>
          <w:szCs w:val="28"/>
        </w:rPr>
        <w:t>26</w:t>
      </w:r>
      <w:r w:rsidR="0030694C">
        <w:rPr>
          <w:b/>
          <w:sz w:val="28"/>
          <w:szCs w:val="28"/>
        </w:rPr>
        <w:t>. f</w:t>
      </w:r>
      <w:r w:rsidR="002D11FB" w:rsidRPr="0030694C">
        <w:rPr>
          <w:b/>
          <w:sz w:val="28"/>
          <w:szCs w:val="28"/>
        </w:rPr>
        <w:t>ebruār</w:t>
      </w:r>
      <w:r w:rsidR="007E1A28" w:rsidRPr="0030694C">
        <w:rPr>
          <w:b/>
          <w:sz w:val="28"/>
          <w:szCs w:val="28"/>
        </w:rPr>
        <w:t xml:space="preserve">a noteikumos </w:t>
      </w:r>
      <w:r w:rsidR="002D11FB" w:rsidRPr="0030694C">
        <w:rPr>
          <w:b/>
          <w:sz w:val="28"/>
          <w:szCs w:val="28"/>
        </w:rPr>
        <w:t>Nr.</w:t>
      </w:r>
      <w:r w:rsidR="0030694C">
        <w:rPr>
          <w:b/>
          <w:sz w:val="28"/>
          <w:szCs w:val="28"/>
        </w:rPr>
        <w:t> </w:t>
      </w:r>
      <w:r w:rsidR="002D11FB" w:rsidRPr="0030694C">
        <w:rPr>
          <w:b/>
          <w:sz w:val="28"/>
          <w:szCs w:val="28"/>
        </w:rPr>
        <w:t xml:space="preserve">112 </w:t>
      </w:r>
      <w:r w:rsidR="0030694C">
        <w:rPr>
          <w:b/>
          <w:sz w:val="28"/>
          <w:szCs w:val="28"/>
        </w:rPr>
        <w:t>"</w:t>
      </w:r>
      <w:r w:rsidR="002D11FB" w:rsidRPr="0030694C">
        <w:rPr>
          <w:b/>
          <w:sz w:val="28"/>
          <w:szCs w:val="28"/>
        </w:rPr>
        <w:t>Emisijas kvotu piešķiršanas kārtība stacionāro tehnoloģisko iekārtu operatoriem</w:t>
      </w:r>
      <w:r w:rsidR="0030694C">
        <w:rPr>
          <w:b/>
          <w:sz w:val="28"/>
          <w:szCs w:val="28"/>
        </w:rPr>
        <w:t>"</w:t>
      </w:r>
    </w:p>
    <w:p w14:paraId="4EAE3C3B" w14:textId="77777777" w:rsidR="00E43FB3" w:rsidRPr="0030694C" w:rsidRDefault="00E43FB3" w:rsidP="0030694C">
      <w:pPr>
        <w:jc w:val="right"/>
        <w:rPr>
          <w:iCs/>
          <w:sz w:val="28"/>
          <w:szCs w:val="28"/>
        </w:rPr>
      </w:pPr>
    </w:p>
    <w:p w14:paraId="4E409B6F" w14:textId="77777777" w:rsidR="0030694C" w:rsidRDefault="002D11FB" w:rsidP="0030694C">
      <w:pPr>
        <w:jc w:val="right"/>
        <w:rPr>
          <w:iCs/>
          <w:sz w:val="28"/>
          <w:szCs w:val="28"/>
        </w:rPr>
      </w:pPr>
      <w:r w:rsidRPr="0030694C">
        <w:rPr>
          <w:iCs/>
          <w:sz w:val="28"/>
          <w:szCs w:val="28"/>
        </w:rPr>
        <w:t xml:space="preserve">Izdoti saskaņā ar likuma </w:t>
      </w:r>
    </w:p>
    <w:p w14:paraId="79849EF6" w14:textId="1F97CD43" w:rsidR="00E43FB3" w:rsidRPr="0030694C" w:rsidRDefault="0030694C" w:rsidP="0030694C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"</w:t>
      </w:r>
      <w:r w:rsidR="002D11FB" w:rsidRPr="0030694C">
        <w:rPr>
          <w:iCs/>
          <w:sz w:val="28"/>
          <w:szCs w:val="28"/>
        </w:rPr>
        <w:t>Par piesārņojumu</w:t>
      </w:r>
      <w:r>
        <w:rPr>
          <w:iCs/>
          <w:sz w:val="28"/>
          <w:szCs w:val="28"/>
        </w:rPr>
        <w:t>"</w:t>
      </w:r>
    </w:p>
    <w:p w14:paraId="2DD64B86" w14:textId="6FD33136" w:rsidR="000D2148" w:rsidRPr="0030694C" w:rsidRDefault="002D11FB" w:rsidP="0030694C">
      <w:pPr>
        <w:jc w:val="right"/>
        <w:rPr>
          <w:iCs/>
          <w:sz w:val="28"/>
          <w:szCs w:val="28"/>
        </w:rPr>
      </w:pPr>
      <w:r w:rsidRPr="0030694C">
        <w:rPr>
          <w:iCs/>
          <w:sz w:val="28"/>
          <w:szCs w:val="28"/>
        </w:rPr>
        <w:t xml:space="preserve"> 32.</w:t>
      </w:r>
      <w:r w:rsidRPr="0030694C">
        <w:rPr>
          <w:iCs/>
          <w:sz w:val="28"/>
          <w:szCs w:val="28"/>
          <w:vertAlign w:val="superscript"/>
        </w:rPr>
        <w:t>2</w:t>
      </w:r>
      <w:r w:rsidRPr="0030694C">
        <w:rPr>
          <w:iCs/>
          <w:sz w:val="28"/>
          <w:szCs w:val="28"/>
        </w:rPr>
        <w:t xml:space="preserve"> panta astoto daļu</w:t>
      </w:r>
    </w:p>
    <w:p w14:paraId="1413C966" w14:textId="77777777" w:rsidR="00E43FB3" w:rsidRPr="0030694C" w:rsidRDefault="00E43FB3" w:rsidP="0030694C">
      <w:pPr>
        <w:pStyle w:val="naisf"/>
        <w:spacing w:before="0" w:after="0"/>
        <w:ind w:firstLine="567"/>
        <w:rPr>
          <w:sz w:val="28"/>
          <w:szCs w:val="28"/>
        </w:rPr>
      </w:pPr>
    </w:p>
    <w:p w14:paraId="2DD64B8A" w14:textId="1DAA5850" w:rsidR="00FC588E" w:rsidRDefault="00D44110" w:rsidP="00010EF5">
      <w:pPr>
        <w:pStyle w:val="naisf"/>
        <w:spacing w:before="0" w:after="0"/>
        <w:ind w:firstLine="709"/>
        <w:rPr>
          <w:sz w:val="28"/>
          <w:szCs w:val="28"/>
        </w:rPr>
      </w:pPr>
      <w:r w:rsidRPr="0030694C">
        <w:rPr>
          <w:sz w:val="28"/>
          <w:szCs w:val="28"/>
        </w:rPr>
        <w:t>Izdarīt Ministru kabineta 201</w:t>
      </w:r>
      <w:r w:rsidR="002D11FB" w:rsidRPr="0030694C">
        <w:rPr>
          <w:sz w:val="28"/>
          <w:szCs w:val="28"/>
        </w:rPr>
        <w:t>3</w:t>
      </w:r>
      <w:r w:rsidR="0030694C">
        <w:rPr>
          <w:sz w:val="28"/>
          <w:szCs w:val="28"/>
        </w:rPr>
        <w:t>. g</w:t>
      </w:r>
      <w:r w:rsidRPr="0030694C">
        <w:rPr>
          <w:sz w:val="28"/>
          <w:szCs w:val="28"/>
        </w:rPr>
        <w:t xml:space="preserve">ada </w:t>
      </w:r>
      <w:r w:rsidR="002D11FB" w:rsidRPr="0030694C">
        <w:rPr>
          <w:sz w:val="28"/>
          <w:szCs w:val="28"/>
        </w:rPr>
        <w:t>26</w:t>
      </w:r>
      <w:r w:rsidR="0030694C">
        <w:rPr>
          <w:sz w:val="28"/>
          <w:szCs w:val="28"/>
        </w:rPr>
        <w:t>. f</w:t>
      </w:r>
      <w:r w:rsidR="002D11FB" w:rsidRPr="0030694C">
        <w:rPr>
          <w:sz w:val="28"/>
          <w:szCs w:val="28"/>
        </w:rPr>
        <w:t xml:space="preserve">ebruāra </w:t>
      </w:r>
      <w:r w:rsidRPr="0030694C">
        <w:rPr>
          <w:sz w:val="28"/>
          <w:szCs w:val="28"/>
        </w:rPr>
        <w:t xml:space="preserve">noteikumos </w:t>
      </w:r>
      <w:r w:rsidR="002D11FB" w:rsidRPr="0030694C">
        <w:rPr>
          <w:sz w:val="28"/>
          <w:szCs w:val="28"/>
        </w:rPr>
        <w:t>Nr.</w:t>
      </w:r>
      <w:r w:rsidR="0030694C">
        <w:rPr>
          <w:sz w:val="28"/>
          <w:szCs w:val="28"/>
        </w:rPr>
        <w:t> </w:t>
      </w:r>
      <w:r w:rsidR="002D11FB" w:rsidRPr="0030694C">
        <w:rPr>
          <w:sz w:val="28"/>
          <w:szCs w:val="28"/>
        </w:rPr>
        <w:t xml:space="preserve">112 </w:t>
      </w:r>
      <w:r w:rsidR="0030694C">
        <w:rPr>
          <w:sz w:val="28"/>
          <w:szCs w:val="28"/>
        </w:rPr>
        <w:t>"</w:t>
      </w:r>
      <w:r w:rsidR="002D11FB" w:rsidRPr="0030694C">
        <w:rPr>
          <w:sz w:val="28"/>
          <w:szCs w:val="28"/>
        </w:rPr>
        <w:t>Emisijas kvotu piešķiršanas kārtība stacionāro tehnoloģisko iekārtu operatoriem</w:t>
      </w:r>
      <w:r w:rsidR="0030694C">
        <w:rPr>
          <w:sz w:val="28"/>
          <w:szCs w:val="28"/>
        </w:rPr>
        <w:t>"</w:t>
      </w:r>
      <w:r w:rsidR="002D11FB" w:rsidRPr="0030694C">
        <w:rPr>
          <w:sz w:val="28"/>
          <w:szCs w:val="28"/>
        </w:rPr>
        <w:t xml:space="preserve"> </w:t>
      </w:r>
      <w:r w:rsidRPr="0030694C">
        <w:rPr>
          <w:sz w:val="28"/>
          <w:szCs w:val="28"/>
        </w:rPr>
        <w:t>(Latvijas Vēstnesis, 201</w:t>
      </w:r>
      <w:r w:rsidR="00B20E98" w:rsidRPr="0030694C">
        <w:rPr>
          <w:sz w:val="28"/>
          <w:szCs w:val="28"/>
        </w:rPr>
        <w:t>3</w:t>
      </w:r>
      <w:r w:rsidRPr="0030694C">
        <w:rPr>
          <w:sz w:val="28"/>
          <w:szCs w:val="28"/>
        </w:rPr>
        <w:t xml:space="preserve">, </w:t>
      </w:r>
      <w:r w:rsidR="00B20E98" w:rsidRPr="0030694C">
        <w:rPr>
          <w:sz w:val="28"/>
          <w:szCs w:val="28"/>
        </w:rPr>
        <w:t xml:space="preserve">58., </w:t>
      </w:r>
      <w:r w:rsidR="002D11FB" w:rsidRPr="0030694C">
        <w:rPr>
          <w:sz w:val="28"/>
          <w:szCs w:val="28"/>
        </w:rPr>
        <w:t>189</w:t>
      </w:r>
      <w:r w:rsidR="0030694C">
        <w:rPr>
          <w:sz w:val="28"/>
          <w:szCs w:val="28"/>
        </w:rPr>
        <w:t>. n</w:t>
      </w:r>
      <w:r w:rsidR="002D11FB" w:rsidRPr="0030694C">
        <w:rPr>
          <w:sz w:val="28"/>
          <w:szCs w:val="28"/>
        </w:rPr>
        <w:t>r</w:t>
      </w:r>
      <w:r w:rsidR="00E43FB3" w:rsidRPr="0030694C">
        <w:rPr>
          <w:sz w:val="28"/>
          <w:szCs w:val="28"/>
        </w:rPr>
        <w:t>.; 2014, 60</w:t>
      </w:r>
      <w:r w:rsidR="0030694C">
        <w:rPr>
          <w:sz w:val="28"/>
          <w:szCs w:val="28"/>
        </w:rPr>
        <w:t>. n</w:t>
      </w:r>
      <w:r w:rsidR="00462201" w:rsidRPr="0030694C">
        <w:rPr>
          <w:sz w:val="28"/>
          <w:szCs w:val="28"/>
        </w:rPr>
        <w:t>r.</w:t>
      </w:r>
      <w:r w:rsidR="00E43FB3" w:rsidRPr="0030694C">
        <w:rPr>
          <w:sz w:val="28"/>
          <w:szCs w:val="28"/>
        </w:rPr>
        <w:t>) grozījumu un i</w:t>
      </w:r>
      <w:r w:rsidR="00FC588E" w:rsidRPr="0030694C">
        <w:rPr>
          <w:sz w:val="28"/>
          <w:szCs w:val="28"/>
        </w:rPr>
        <w:t>zteikt 2</w:t>
      </w:r>
      <w:r w:rsidR="0030694C">
        <w:rPr>
          <w:sz w:val="28"/>
          <w:szCs w:val="28"/>
        </w:rPr>
        <w:t>. p</w:t>
      </w:r>
      <w:r w:rsidR="00FC588E" w:rsidRPr="0030694C">
        <w:rPr>
          <w:sz w:val="28"/>
          <w:szCs w:val="28"/>
        </w:rPr>
        <w:t>ielikuma 3</w:t>
      </w:r>
      <w:r w:rsidR="0030694C">
        <w:rPr>
          <w:sz w:val="28"/>
          <w:szCs w:val="28"/>
        </w:rPr>
        <w:t>. p</w:t>
      </w:r>
      <w:r w:rsidR="00FC588E" w:rsidRPr="0030694C">
        <w:rPr>
          <w:sz w:val="28"/>
          <w:szCs w:val="28"/>
        </w:rPr>
        <w:t>un</w:t>
      </w:r>
      <w:r w:rsidR="00717719" w:rsidRPr="0030694C">
        <w:rPr>
          <w:sz w:val="28"/>
          <w:szCs w:val="28"/>
        </w:rPr>
        <w:t>k</w:t>
      </w:r>
      <w:r w:rsidR="00E43FB3" w:rsidRPr="0030694C">
        <w:rPr>
          <w:sz w:val="28"/>
          <w:szCs w:val="28"/>
        </w:rPr>
        <w:t>ta ievaddaļu</w:t>
      </w:r>
      <w:r w:rsidR="00FC588E" w:rsidRPr="0030694C">
        <w:rPr>
          <w:sz w:val="28"/>
          <w:szCs w:val="28"/>
        </w:rPr>
        <w:t xml:space="preserve"> šādā redakcijā:</w:t>
      </w:r>
    </w:p>
    <w:p w14:paraId="2B0AA7CA" w14:textId="77777777" w:rsidR="0030694C" w:rsidRPr="0030694C" w:rsidRDefault="0030694C" w:rsidP="0030694C">
      <w:pPr>
        <w:pStyle w:val="naisf"/>
        <w:spacing w:before="0" w:after="0"/>
        <w:ind w:firstLine="567"/>
        <w:rPr>
          <w:sz w:val="28"/>
          <w:szCs w:val="28"/>
        </w:rPr>
      </w:pPr>
    </w:p>
    <w:p w14:paraId="2DD64B8B" w14:textId="7F3C934D" w:rsidR="00FC588E" w:rsidRPr="0030694C" w:rsidRDefault="0030694C" w:rsidP="0001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588E" w:rsidRPr="0030694C">
        <w:rPr>
          <w:sz w:val="28"/>
          <w:szCs w:val="28"/>
        </w:rPr>
        <w:t>3. Ja, pamatojoties uz saimniecisko darbību statistiskās klasifikācijas Eiropas Kopienā (NACE) un rūpnieciskās produkcijas klasifikācijas (</w:t>
      </w:r>
      <w:proofErr w:type="spellStart"/>
      <w:r w:rsidR="00FC588E" w:rsidRPr="00010EF5">
        <w:rPr>
          <w:i/>
          <w:sz w:val="28"/>
          <w:szCs w:val="28"/>
        </w:rPr>
        <w:t>Prodcom</w:t>
      </w:r>
      <w:proofErr w:type="spellEnd"/>
      <w:r w:rsidR="00FC588E" w:rsidRPr="0030694C">
        <w:rPr>
          <w:sz w:val="28"/>
          <w:szCs w:val="28"/>
        </w:rPr>
        <w:t xml:space="preserve">) kodiem, procesi kādā no siltuma </w:t>
      </w:r>
      <w:proofErr w:type="spellStart"/>
      <w:r w:rsidR="00FC588E" w:rsidRPr="0030694C">
        <w:rPr>
          <w:sz w:val="28"/>
          <w:szCs w:val="28"/>
        </w:rPr>
        <w:t>līmeņatzīmes</w:t>
      </w:r>
      <w:proofErr w:type="spellEnd"/>
      <w:r w:rsidR="00FC588E" w:rsidRPr="0030694C">
        <w:rPr>
          <w:sz w:val="28"/>
          <w:szCs w:val="28"/>
        </w:rPr>
        <w:t xml:space="preserve"> </w:t>
      </w:r>
      <w:proofErr w:type="spellStart"/>
      <w:r w:rsidR="00FC588E" w:rsidRPr="0030694C">
        <w:rPr>
          <w:sz w:val="28"/>
          <w:szCs w:val="28"/>
        </w:rPr>
        <w:t>apakšiekārtām</w:t>
      </w:r>
      <w:proofErr w:type="spellEnd"/>
      <w:r w:rsidR="00FC588E" w:rsidRPr="0030694C">
        <w:rPr>
          <w:sz w:val="28"/>
          <w:szCs w:val="28"/>
        </w:rPr>
        <w:t xml:space="preserve">, kurināmā </w:t>
      </w:r>
      <w:proofErr w:type="spellStart"/>
      <w:r w:rsidR="00FC588E" w:rsidRPr="0030694C">
        <w:rPr>
          <w:sz w:val="28"/>
          <w:szCs w:val="28"/>
        </w:rPr>
        <w:t>līmeņatzīmes</w:t>
      </w:r>
      <w:proofErr w:type="spellEnd"/>
      <w:r w:rsidR="00FC588E" w:rsidRPr="0030694C">
        <w:rPr>
          <w:sz w:val="28"/>
          <w:szCs w:val="28"/>
        </w:rPr>
        <w:t xml:space="preserve"> </w:t>
      </w:r>
      <w:proofErr w:type="spellStart"/>
      <w:r w:rsidR="00FC588E" w:rsidRPr="0030694C">
        <w:rPr>
          <w:sz w:val="28"/>
          <w:szCs w:val="28"/>
        </w:rPr>
        <w:t>apakšiekārtām</w:t>
      </w:r>
      <w:proofErr w:type="spellEnd"/>
      <w:r w:rsidR="00FC588E" w:rsidRPr="0030694C">
        <w:rPr>
          <w:sz w:val="28"/>
          <w:szCs w:val="28"/>
        </w:rPr>
        <w:t xml:space="preserve"> vai procesa emisiju </w:t>
      </w:r>
      <w:proofErr w:type="spellStart"/>
      <w:r w:rsidR="00FC588E" w:rsidRPr="0030694C">
        <w:rPr>
          <w:sz w:val="28"/>
          <w:szCs w:val="28"/>
        </w:rPr>
        <w:t>apakšiekārtām</w:t>
      </w:r>
      <w:proofErr w:type="spellEnd"/>
      <w:r w:rsidR="00FC588E" w:rsidRPr="0030694C">
        <w:rPr>
          <w:sz w:val="28"/>
          <w:szCs w:val="28"/>
        </w:rPr>
        <w:t xml:space="preserve"> notiek ievērojamam oglekļa dioksīda pārvirzes riskam pakļautā nozarē vai apakšnozarē, kuras ir noteiktas Eiropas Komisijas 2014</w:t>
      </w:r>
      <w:r>
        <w:rPr>
          <w:sz w:val="28"/>
          <w:szCs w:val="28"/>
        </w:rPr>
        <w:t>. g</w:t>
      </w:r>
      <w:r w:rsidR="00FC588E" w:rsidRPr="0030694C">
        <w:rPr>
          <w:sz w:val="28"/>
          <w:szCs w:val="28"/>
        </w:rPr>
        <w:t>ada 27</w:t>
      </w:r>
      <w:r>
        <w:rPr>
          <w:sz w:val="28"/>
          <w:szCs w:val="28"/>
        </w:rPr>
        <w:t>. o</w:t>
      </w:r>
      <w:r w:rsidR="00FC588E" w:rsidRPr="0030694C">
        <w:rPr>
          <w:sz w:val="28"/>
          <w:szCs w:val="28"/>
        </w:rPr>
        <w:t>ktobra Lēmumā Nr.</w:t>
      </w:r>
      <w:r>
        <w:rPr>
          <w:sz w:val="28"/>
          <w:szCs w:val="28"/>
        </w:rPr>
        <w:t> </w:t>
      </w:r>
      <w:r w:rsidR="00FC588E" w:rsidRPr="0030694C">
        <w:rPr>
          <w:sz w:val="28"/>
          <w:szCs w:val="28"/>
        </w:rPr>
        <w:t>2014/746/ES, ar ko atbilstoši Eiropas Parlamenta un Padomes Direktīvai 2003/87/EK 2015.–2019. gada periodam nosaka sarakstu ar nozarēm un apakšnozarēm, kurās pastāv būtisks oglekļa dioksīda emisiju pārvirzes risks (turpmāk – oglekļa dioksīda pārvirzes riskam pakļautā nozare), sākotnējā emisijas kvotu aprēķinā 2015.</w:t>
      </w:r>
      <w:r>
        <w:rPr>
          <w:sz w:val="28"/>
          <w:szCs w:val="28"/>
        </w:rPr>
        <w:t>–</w:t>
      </w:r>
      <w:r w:rsidR="00FC588E" w:rsidRPr="0030694C">
        <w:rPr>
          <w:sz w:val="28"/>
          <w:szCs w:val="28"/>
        </w:rPr>
        <w:t>2019</w:t>
      </w:r>
      <w:r>
        <w:rPr>
          <w:sz w:val="28"/>
          <w:szCs w:val="28"/>
        </w:rPr>
        <w:t>. g</w:t>
      </w:r>
      <w:r w:rsidR="00FC588E" w:rsidRPr="0030694C">
        <w:rPr>
          <w:sz w:val="28"/>
          <w:szCs w:val="28"/>
        </w:rPr>
        <w:t>adam izmanto koeficientu 1, ņemot vērā šādus nosacījumus:</w:t>
      </w:r>
      <w:r>
        <w:rPr>
          <w:sz w:val="28"/>
          <w:szCs w:val="28"/>
        </w:rPr>
        <w:t>"</w:t>
      </w:r>
      <w:r w:rsidR="00E43FB3" w:rsidRPr="0030694C">
        <w:rPr>
          <w:sz w:val="28"/>
          <w:szCs w:val="28"/>
        </w:rPr>
        <w:t>.</w:t>
      </w:r>
    </w:p>
    <w:p w14:paraId="2DD64B8C" w14:textId="77777777" w:rsidR="00462201" w:rsidRDefault="00462201" w:rsidP="0030694C">
      <w:pPr>
        <w:ind w:firstLine="567"/>
        <w:jc w:val="both"/>
        <w:rPr>
          <w:sz w:val="28"/>
          <w:szCs w:val="28"/>
        </w:rPr>
      </w:pPr>
    </w:p>
    <w:p w14:paraId="21D6A052" w14:textId="77777777" w:rsidR="0030694C" w:rsidRDefault="0030694C" w:rsidP="0030694C">
      <w:pPr>
        <w:ind w:firstLine="567"/>
        <w:jc w:val="both"/>
        <w:rPr>
          <w:sz w:val="28"/>
          <w:szCs w:val="28"/>
        </w:rPr>
      </w:pPr>
    </w:p>
    <w:p w14:paraId="41D13445" w14:textId="77777777" w:rsidR="0030694C" w:rsidRPr="0030694C" w:rsidRDefault="0030694C" w:rsidP="0030694C">
      <w:pPr>
        <w:ind w:firstLine="567"/>
        <w:jc w:val="both"/>
        <w:rPr>
          <w:sz w:val="28"/>
          <w:szCs w:val="28"/>
        </w:rPr>
      </w:pPr>
    </w:p>
    <w:p w14:paraId="2DD64B8D" w14:textId="43E175A0" w:rsidR="00AD62A5" w:rsidRPr="0030694C" w:rsidRDefault="005F28A4" w:rsidP="0030694C">
      <w:pPr>
        <w:shd w:val="clear" w:color="auto" w:fill="FFFFFF"/>
        <w:tabs>
          <w:tab w:val="left" w:pos="6663"/>
        </w:tabs>
        <w:ind w:firstLine="709"/>
        <w:rPr>
          <w:color w:val="000000"/>
          <w:sz w:val="28"/>
          <w:szCs w:val="28"/>
        </w:rPr>
      </w:pPr>
      <w:r w:rsidRPr="0030694C">
        <w:rPr>
          <w:color w:val="000000"/>
          <w:sz w:val="28"/>
          <w:szCs w:val="28"/>
        </w:rPr>
        <w:t>Ministru prezidente</w:t>
      </w:r>
      <w:r w:rsidR="00E43FB3" w:rsidRPr="0030694C">
        <w:rPr>
          <w:color w:val="000000"/>
          <w:sz w:val="28"/>
          <w:szCs w:val="28"/>
        </w:rPr>
        <w:tab/>
        <w:t xml:space="preserve">Laimdota </w:t>
      </w:r>
      <w:r w:rsidRPr="0030694C">
        <w:rPr>
          <w:color w:val="000000"/>
          <w:sz w:val="28"/>
          <w:szCs w:val="28"/>
        </w:rPr>
        <w:t>Straujuma</w:t>
      </w:r>
      <w:r w:rsidR="00AD62A5" w:rsidRPr="0030694C">
        <w:rPr>
          <w:color w:val="000000"/>
          <w:sz w:val="28"/>
          <w:szCs w:val="28"/>
        </w:rPr>
        <w:t xml:space="preserve"> </w:t>
      </w:r>
    </w:p>
    <w:p w14:paraId="2DD64B8E" w14:textId="77777777" w:rsidR="007E1A28" w:rsidRDefault="007E1A28" w:rsidP="0030694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11CF03AD" w14:textId="77777777" w:rsidR="0030694C" w:rsidRDefault="0030694C" w:rsidP="0030694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5FFB7472" w14:textId="77777777" w:rsidR="00010EF5" w:rsidRPr="0030694C" w:rsidRDefault="00010EF5" w:rsidP="0030694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2DD64B8F" w14:textId="77777777" w:rsidR="00AD62A5" w:rsidRPr="0030694C" w:rsidRDefault="00AD62A5" w:rsidP="003069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0694C">
        <w:rPr>
          <w:color w:val="000000"/>
          <w:sz w:val="28"/>
          <w:szCs w:val="28"/>
        </w:rPr>
        <w:t xml:space="preserve">Vides aizsardzības un </w:t>
      </w:r>
    </w:p>
    <w:p w14:paraId="2DD64B9D" w14:textId="716DE354" w:rsidR="00AD62A5" w:rsidRPr="0030694C" w:rsidRDefault="00AD62A5" w:rsidP="0030694C">
      <w:pPr>
        <w:shd w:val="clear" w:color="auto" w:fill="FFFFFF"/>
        <w:tabs>
          <w:tab w:val="left" w:pos="6663"/>
        </w:tabs>
        <w:ind w:firstLine="709"/>
        <w:rPr>
          <w:sz w:val="28"/>
          <w:szCs w:val="28"/>
        </w:rPr>
      </w:pPr>
      <w:r w:rsidRPr="0030694C">
        <w:rPr>
          <w:color w:val="000000"/>
          <w:sz w:val="28"/>
          <w:szCs w:val="28"/>
        </w:rPr>
        <w:t>reģionālās attīstības ministr</w:t>
      </w:r>
      <w:r w:rsidR="005F28A4" w:rsidRPr="0030694C">
        <w:rPr>
          <w:color w:val="000000"/>
          <w:sz w:val="28"/>
          <w:szCs w:val="28"/>
        </w:rPr>
        <w:t xml:space="preserve">s </w:t>
      </w:r>
      <w:r w:rsidR="00E43FB3" w:rsidRPr="0030694C">
        <w:rPr>
          <w:color w:val="000000"/>
          <w:sz w:val="28"/>
          <w:szCs w:val="28"/>
        </w:rPr>
        <w:tab/>
        <w:t xml:space="preserve">Kaspars </w:t>
      </w:r>
      <w:r w:rsidR="00616DC9" w:rsidRPr="0030694C">
        <w:rPr>
          <w:color w:val="000000"/>
          <w:sz w:val="28"/>
          <w:szCs w:val="28"/>
        </w:rPr>
        <w:t>Gerhards</w:t>
      </w:r>
      <w:r w:rsidR="00E43FB3" w:rsidRPr="0030694C">
        <w:rPr>
          <w:color w:val="000000"/>
          <w:sz w:val="28"/>
          <w:szCs w:val="28"/>
        </w:rPr>
        <w:t xml:space="preserve"> </w:t>
      </w:r>
    </w:p>
    <w:sectPr w:rsidR="00AD62A5" w:rsidRPr="0030694C" w:rsidSect="0030694C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64BA0" w14:textId="77777777" w:rsidR="00812910" w:rsidRDefault="00812910" w:rsidP="00D53805">
      <w:r>
        <w:separator/>
      </w:r>
    </w:p>
  </w:endnote>
  <w:endnote w:type="continuationSeparator" w:id="0">
    <w:p w14:paraId="2DD64BA1" w14:textId="77777777" w:rsidR="00812910" w:rsidRDefault="00812910" w:rsidP="00D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64BA4" w14:textId="77777777" w:rsidR="004F6A32" w:rsidRPr="00DA4207" w:rsidRDefault="004F6A32" w:rsidP="007E1A28">
    <w:pPr>
      <w:pStyle w:val="Footer"/>
      <w:jc w:val="both"/>
      <w:rPr>
        <w:sz w:val="8"/>
        <w:szCs w:val="8"/>
      </w:rPr>
    </w:pPr>
  </w:p>
  <w:p w14:paraId="2DD64BA5" w14:textId="77777777" w:rsidR="002D11FB" w:rsidRPr="007E1A28" w:rsidRDefault="0062637D" w:rsidP="007E1A28">
    <w:pPr>
      <w:pStyle w:val="Footer"/>
      <w:jc w:val="both"/>
      <w:rPr>
        <w:sz w:val="20"/>
        <w:szCs w:val="20"/>
      </w:rPr>
    </w:pPr>
    <w:fldSimple w:instr=" FILENAME   \* MERGEFORMAT ">
      <w:r w:rsidRPr="0062637D">
        <w:rPr>
          <w:noProof/>
          <w:sz w:val="20"/>
          <w:szCs w:val="20"/>
        </w:rPr>
        <w:t>VARAMNOT_GROZ112_091214</w:t>
      </w:r>
      <w:r>
        <w:rPr>
          <w:noProof/>
        </w:rPr>
        <w:t>.DOCX</w:t>
      </w:r>
    </w:fldSimple>
    <w:r w:rsidR="007E1A28" w:rsidRPr="003F3912">
      <w:rPr>
        <w:sz w:val="20"/>
        <w:szCs w:val="20"/>
      </w:rPr>
      <w:t>; Ministru kabineta noteikumu projekts „</w:t>
    </w:r>
    <w:r w:rsidR="007E1A28" w:rsidRPr="007E1A28">
      <w:rPr>
        <w:sz w:val="20"/>
        <w:szCs w:val="20"/>
      </w:rPr>
      <w:t>Grozījumi Ministru kabineta 2013.gada 26.februāra noteikumos Nr.112 „Emisijas kvotu piešķiršanas kārtība stacionāro tehnoloģisko iekārtu operatoriem”</w:t>
    </w:r>
    <w:r w:rsidR="007E1A28" w:rsidRPr="003F3912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64BA6" w14:textId="77777777" w:rsidR="004F6A32" w:rsidRPr="00DA4207" w:rsidRDefault="004F6A32" w:rsidP="003F3912">
    <w:pPr>
      <w:pStyle w:val="Footer"/>
      <w:jc w:val="both"/>
      <w:rPr>
        <w:sz w:val="8"/>
        <w:szCs w:val="8"/>
      </w:rPr>
    </w:pPr>
  </w:p>
  <w:p w14:paraId="2DD64BA7" w14:textId="46C0EE98" w:rsidR="002D11FB" w:rsidRPr="0030694C" w:rsidRDefault="0030694C" w:rsidP="003F3912">
    <w:pPr>
      <w:pStyle w:val="Footer"/>
      <w:jc w:val="both"/>
      <w:rPr>
        <w:sz w:val="16"/>
        <w:szCs w:val="16"/>
      </w:rPr>
    </w:pPr>
    <w:r w:rsidRPr="0030694C">
      <w:rPr>
        <w:sz w:val="16"/>
        <w:szCs w:val="16"/>
      </w:rPr>
      <w:t>N3121_4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4B9E" w14:textId="77777777" w:rsidR="00812910" w:rsidRDefault="00812910" w:rsidP="00D53805">
      <w:r>
        <w:separator/>
      </w:r>
    </w:p>
  </w:footnote>
  <w:footnote w:type="continuationSeparator" w:id="0">
    <w:p w14:paraId="2DD64B9F" w14:textId="77777777" w:rsidR="00812910" w:rsidRDefault="00812910" w:rsidP="00D5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23370"/>
      <w:docPartObj>
        <w:docPartGallery w:val="Page Numbers (Top of Page)"/>
        <w:docPartUnique/>
      </w:docPartObj>
    </w:sdtPr>
    <w:sdtEndPr/>
    <w:sdtContent>
      <w:p w14:paraId="2DD64BA2" w14:textId="77777777" w:rsidR="002D11FB" w:rsidRDefault="00AB3A7F">
        <w:pPr>
          <w:pStyle w:val="Header"/>
          <w:jc w:val="center"/>
        </w:pPr>
        <w:r>
          <w:fldChar w:fldCharType="begin"/>
        </w:r>
        <w:r w:rsidR="002D11FB">
          <w:instrText xml:space="preserve"> PAGE   \* MERGEFORMAT </w:instrText>
        </w:r>
        <w:r>
          <w:fldChar w:fldCharType="separate"/>
        </w:r>
        <w:r w:rsidR="00772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64BA3" w14:textId="77777777" w:rsidR="002D11FB" w:rsidRDefault="002D1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3F90" w14:textId="2AF55460" w:rsidR="0030694C" w:rsidRDefault="0030694C" w:rsidP="0030694C">
    <w:pPr>
      <w:pStyle w:val="Header"/>
      <w:rPr>
        <w:sz w:val="32"/>
      </w:rPr>
    </w:pPr>
  </w:p>
  <w:p w14:paraId="20B2B148" w14:textId="0E24C4D0" w:rsidR="0030694C" w:rsidRPr="0030694C" w:rsidRDefault="0030694C" w:rsidP="0030694C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63A66D68" wp14:editId="554333B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09705E"/>
    <w:multiLevelType w:val="hybridMultilevel"/>
    <w:tmpl w:val="8574222E"/>
    <w:lvl w:ilvl="0" w:tplc="D4520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92B63"/>
    <w:multiLevelType w:val="hybridMultilevel"/>
    <w:tmpl w:val="85548F12"/>
    <w:lvl w:ilvl="0" w:tplc="48626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B25B60"/>
    <w:multiLevelType w:val="hybridMultilevel"/>
    <w:tmpl w:val="3A2E6F24"/>
    <w:lvl w:ilvl="0" w:tplc="A20C1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7F351F"/>
    <w:multiLevelType w:val="hybridMultilevel"/>
    <w:tmpl w:val="CEB20902"/>
    <w:lvl w:ilvl="0" w:tplc="309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E07AF"/>
    <w:multiLevelType w:val="hybridMultilevel"/>
    <w:tmpl w:val="E82A2C04"/>
    <w:lvl w:ilvl="0" w:tplc="CA049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E13CB8"/>
    <w:multiLevelType w:val="hybridMultilevel"/>
    <w:tmpl w:val="22BC0CE2"/>
    <w:lvl w:ilvl="0" w:tplc="7CF67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0D2148"/>
    <w:rsid w:val="000041A0"/>
    <w:rsid w:val="00010EF5"/>
    <w:rsid w:val="000137F0"/>
    <w:rsid w:val="00014E46"/>
    <w:rsid w:val="0001666C"/>
    <w:rsid w:val="00030059"/>
    <w:rsid w:val="00030ABB"/>
    <w:rsid w:val="00034FA6"/>
    <w:rsid w:val="00044974"/>
    <w:rsid w:val="000503FD"/>
    <w:rsid w:val="00070B48"/>
    <w:rsid w:val="00073D93"/>
    <w:rsid w:val="000760F8"/>
    <w:rsid w:val="0008130B"/>
    <w:rsid w:val="00085196"/>
    <w:rsid w:val="00091FC8"/>
    <w:rsid w:val="000B092B"/>
    <w:rsid w:val="000C5828"/>
    <w:rsid w:val="000C6570"/>
    <w:rsid w:val="000D2148"/>
    <w:rsid w:val="000E322D"/>
    <w:rsid w:val="000E723E"/>
    <w:rsid w:val="000F0AA5"/>
    <w:rsid w:val="000F4966"/>
    <w:rsid w:val="00102AEF"/>
    <w:rsid w:val="00104E0D"/>
    <w:rsid w:val="0010570B"/>
    <w:rsid w:val="00107073"/>
    <w:rsid w:val="00111C38"/>
    <w:rsid w:val="0011590F"/>
    <w:rsid w:val="001262DB"/>
    <w:rsid w:val="00132408"/>
    <w:rsid w:val="00132421"/>
    <w:rsid w:val="00132471"/>
    <w:rsid w:val="001574EF"/>
    <w:rsid w:val="00177BDE"/>
    <w:rsid w:val="00180E50"/>
    <w:rsid w:val="00184FCF"/>
    <w:rsid w:val="001868DC"/>
    <w:rsid w:val="001909D1"/>
    <w:rsid w:val="0019283B"/>
    <w:rsid w:val="00195833"/>
    <w:rsid w:val="00195FCE"/>
    <w:rsid w:val="001962F1"/>
    <w:rsid w:val="001C3E11"/>
    <w:rsid w:val="001C5E51"/>
    <w:rsid w:val="001E0660"/>
    <w:rsid w:val="001E075F"/>
    <w:rsid w:val="001E48C6"/>
    <w:rsid w:val="001E63A5"/>
    <w:rsid w:val="001E76C9"/>
    <w:rsid w:val="001E7D9D"/>
    <w:rsid w:val="001F0FD2"/>
    <w:rsid w:val="001F6DE4"/>
    <w:rsid w:val="00206738"/>
    <w:rsid w:val="002104C1"/>
    <w:rsid w:val="0021451C"/>
    <w:rsid w:val="00217A0E"/>
    <w:rsid w:val="00221BE0"/>
    <w:rsid w:val="00230258"/>
    <w:rsid w:val="00246425"/>
    <w:rsid w:val="00254626"/>
    <w:rsid w:val="0025640E"/>
    <w:rsid w:val="00256E84"/>
    <w:rsid w:val="00263F28"/>
    <w:rsid w:val="002649F3"/>
    <w:rsid w:val="002726FC"/>
    <w:rsid w:val="002857CC"/>
    <w:rsid w:val="0029177E"/>
    <w:rsid w:val="0029245C"/>
    <w:rsid w:val="00294789"/>
    <w:rsid w:val="002A0C4D"/>
    <w:rsid w:val="002C54AF"/>
    <w:rsid w:val="002C55BA"/>
    <w:rsid w:val="002D11FB"/>
    <w:rsid w:val="002E1868"/>
    <w:rsid w:val="002F36EF"/>
    <w:rsid w:val="002F5A8F"/>
    <w:rsid w:val="0030694C"/>
    <w:rsid w:val="00314625"/>
    <w:rsid w:val="003200F0"/>
    <w:rsid w:val="003213DF"/>
    <w:rsid w:val="00334400"/>
    <w:rsid w:val="00340E53"/>
    <w:rsid w:val="0035716E"/>
    <w:rsid w:val="003646E5"/>
    <w:rsid w:val="00370040"/>
    <w:rsid w:val="00375C62"/>
    <w:rsid w:val="00383BA0"/>
    <w:rsid w:val="0038471B"/>
    <w:rsid w:val="003A22EC"/>
    <w:rsid w:val="003D15B0"/>
    <w:rsid w:val="003D3C0F"/>
    <w:rsid w:val="003E7BCD"/>
    <w:rsid w:val="003F0534"/>
    <w:rsid w:val="003F1781"/>
    <w:rsid w:val="003F2425"/>
    <w:rsid w:val="003F3912"/>
    <w:rsid w:val="003F5E26"/>
    <w:rsid w:val="003F62C0"/>
    <w:rsid w:val="00406FD4"/>
    <w:rsid w:val="00407385"/>
    <w:rsid w:val="004201BA"/>
    <w:rsid w:val="0042192F"/>
    <w:rsid w:val="004271BC"/>
    <w:rsid w:val="00430F0F"/>
    <w:rsid w:val="004347BD"/>
    <w:rsid w:val="00435465"/>
    <w:rsid w:val="0044454B"/>
    <w:rsid w:val="004570A8"/>
    <w:rsid w:val="00462201"/>
    <w:rsid w:val="00492160"/>
    <w:rsid w:val="004A3CED"/>
    <w:rsid w:val="004B3D60"/>
    <w:rsid w:val="004F530A"/>
    <w:rsid w:val="004F6A32"/>
    <w:rsid w:val="004F7FB6"/>
    <w:rsid w:val="0050519E"/>
    <w:rsid w:val="00505B61"/>
    <w:rsid w:val="0051434B"/>
    <w:rsid w:val="0051675D"/>
    <w:rsid w:val="00517403"/>
    <w:rsid w:val="00526C43"/>
    <w:rsid w:val="00530558"/>
    <w:rsid w:val="00530564"/>
    <w:rsid w:val="005325B4"/>
    <w:rsid w:val="00532944"/>
    <w:rsid w:val="00552DC6"/>
    <w:rsid w:val="00565BE6"/>
    <w:rsid w:val="00566D8F"/>
    <w:rsid w:val="00567D9C"/>
    <w:rsid w:val="005718AF"/>
    <w:rsid w:val="00580396"/>
    <w:rsid w:val="00581153"/>
    <w:rsid w:val="00585ACD"/>
    <w:rsid w:val="0059400D"/>
    <w:rsid w:val="0059795F"/>
    <w:rsid w:val="005A5980"/>
    <w:rsid w:val="005A7049"/>
    <w:rsid w:val="005B4C4C"/>
    <w:rsid w:val="005B6769"/>
    <w:rsid w:val="005C6A02"/>
    <w:rsid w:val="005C6DED"/>
    <w:rsid w:val="005C723A"/>
    <w:rsid w:val="005D6DD2"/>
    <w:rsid w:val="005E2A3E"/>
    <w:rsid w:val="005F28A4"/>
    <w:rsid w:val="0060486F"/>
    <w:rsid w:val="00612155"/>
    <w:rsid w:val="00612E70"/>
    <w:rsid w:val="00616DC9"/>
    <w:rsid w:val="006171A8"/>
    <w:rsid w:val="0062637D"/>
    <w:rsid w:val="00630135"/>
    <w:rsid w:val="006304F0"/>
    <w:rsid w:val="00646819"/>
    <w:rsid w:val="00647AD4"/>
    <w:rsid w:val="00652719"/>
    <w:rsid w:val="0066639C"/>
    <w:rsid w:val="00673DCE"/>
    <w:rsid w:val="00676CA7"/>
    <w:rsid w:val="00691B29"/>
    <w:rsid w:val="006B110F"/>
    <w:rsid w:val="006D06E5"/>
    <w:rsid w:val="006F039A"/>
    <w:rsid w:val="006F1E14"/>
    <w:rsid w:val="006F5E20"/>
    <w:rsid w:val="00704B3A"/>
    <w:rsid w:val="00704D7A"/>
    <w:rsid w:val="00705D1E"/>
    <w:rsid w:val="00706566"/>
    <w:rsid w:val="00710A7D"/>
    <w:rsid w:val="00713F0C"/>
    <w:rsid w:val="00717719"/>
    <w:rsid w:val="00721086"/>
    <w:rsid w:val="00726BFA"/>
    <w:rsid w:val="00740645"/>
    <w:rsid w:val="0074100B"/>
    <w:rsid w:val="00743632"/>
    <w:rsid w:val="00772EE1"/>
    <w:rsid w:val="007843E3"/>
    <w:rsid w:val="00791285"/>
    <w:rsid w:val="00797994"/>
    <w:rsid w:val="007B521E"/>
    <w:rsid w:val="007E0D4D"/>
    <w:rsid w:val="007E1A28"/>
    <w:rsid w:val="007E5B7C"/>
    <w:rsid w:val="007F2235"/>
    <w:rsid w:val="007F33CF"/>
    <w:rsid w:val="007F3D34"/>
    <w:rsid w:val="007F4352"/>
    <w:rsid w:val="007F75B4"/>
    <w:rsid w:val="007F75F3"/>
    <w:rsid w:val="008126E1"/>
    <w:rsid w:val="00812910"/>
    <w:rsid w:val="00840C2F"/>
    <w:rsid w:val="00865443"/>
    <w:rsid w:val="00874D91"/>
    <w:rsid w:val="00876F7C"/>
    <w:rsid w:val="00877A91"/>
    <w:rsid w:val="00893A4B"/>
    <w:rsid w:val="0089687B"/>
    <w:rsid w:val="008D430C"/>
    <w:rsid w:val="008D6B76"/>
    <w:rsid w:val="008E1478"/>
    <w:rsid w:val="0091721A"/>
    <w:rsid w:val="00942BEC"/>
    <w:rsid w:val="009573F3"/>
    <w:rsid w:val="0097637A"/>
    <w:rsid w:val="009870E1"/>
    <w:rsid w:val="009A0AC8"/>
    <w:rsid w:val="009B0ABE"/>
    <w:rsid w:val="009B373F"/>
    <w:rsid w:val="009D0F5C"/>
    <w:rsid w:val="009D1194"/>
    <w:rsid w:val="009E2A26"/>
    <w:rsid w:val="009F57F7"/>
    <w:rsid w:val="009F5C3C"/>
    <w:rsid w:val="00A04894"/>
    <w:rsid w:val="00A14C98"/>
    <w:rsid w:val="00A155D3"/>
    <w:rsid w:val="00A17C50"/>
    <w:rsid w:val="00A32A9C"/>
    <w:rsid w:val="00A37B7F"/>
    <w:rsid w:val="00A43D46"/>
    <w:rsid w:val="00A4401B"/>
    <w:rsid w:val="00A44462"/>
    <w:rsid w:val="00A50B6F"/>
    <w:rsid w:val="00A63E95"/>
    <w:rsid w:val="00A85E15"/>
    <w:rsid w:val="00AA5809"/>
    <w:rsid w:val="00AA6417"/>
    <w:rsid w:val="00AB3A7F"/>
    <w:rsid w:val="00AD233F"/>
    <w:rsid w:val="00AD62A5"/>
    <w:rsid w:val="00AE02AE"/>
    <w:rsid w:val="00AE1789"/>
    <w:rsid w:val="00B14FFB"/>
    <w:rsid w:val="00B20E98"/>
    <w:rsid w:val="00B23610"/>
    <w:rsid w:val="00B50AAE"/>
    <w:rsid w:val="00B516F3"/>
    <w:rsid w:val="00B567CE"/>
    <w:rsid w:val="00B659A0"/>
    <w:rsid w:val="00B917CA"/>
    <w:rsid w:val="00B95112"/>
    <w:rsid w:val="00B96AD1"/>
    <w:rsid w:val="00BA56B4"/>
    <w:rsid w:val="00BA6BC6"/>
    <w:rsid w:val="00BB01B5"/>
    <w:rsid w:val="00BB08BA"/>
    <w:rsid w:val="00BC5440"/>
    <w:rsid w:val="00BD5C01"/>
    <w:rsid w:val="00BD702B"/>
    <w:rsid w:val="00BF1824"/>
    <w:rsid w:val="00BF2781"/>
    <w:rsid w:val="00BF5921"/>
    <w:rsid w:val="00C12E32"/>
    <w:rsid w:val="00C21CF1"/>
    <w:rsid w:val="00C34208"/>
    <w:rsid w:val="00C40401"/>
    <w:rsid w:val="00C661C7"/>
    <w:rsid w:val="00C84C3A"/>
    <w:rsid w:val="00C855B1"/>
    <w:rsid w:val="00C86401"/>
    <w:rsid w:val="00C9755F"/>
    <w:rsid w:val="00CA1BE1"/>
    <w:rsid w:val="00CA2926"/>
    <w:rsid w:val="00CA7415"/>
    <w:rsid w:val="00CB5572"/>
    <w:rsid w:val="00CB5E38"/>
    <w:rsid w:val="00CC1BF2"/>
    <w:rsid w:val="00CC3585"/>
    <w:rsid w:val="00CC6CB5"/>
    <w:rsid w:val="00CE20A9"/>
    <w:rsid w:val="00CF0D40"/>
    <w:rsid w:val="00CF14E7"/>
    <w:rsid w:val="00CF5643"/>
    <w:rsid w:val="00D012CD"/>
    <w:rsid w:val="00D2075F"/>
    <w:rsid w:val="00D21DCC"/>
    <w:rsid w:val="00D251BE"/>
    <w:rsid w:val="00D44110"/>
    <w:rsid w:val="00D5000F"/>
    <w:rsid w:val="00D5267E"/>
    <w:rsid w:val="00D53805"/>
    <w:rsid w:val="00D61826"/>
    <w:rsid w:val="00D72D99"/>
    <w:rsid w:val="00D91259"/>
    <w:rsid w:val="00D978E8"/>
    <w:rsid w:val="00DA4207"/>
    <w:rsid w:val="00DB5074"/>
    <w:rsid w:val="00DC0E57"/>
    <w:rsid w:val="00DE55EE"/>
    <w:rsid w:val="00E07E8E"/>
    <w:rsid w:val="00E119DD"/>
    <w:rsid w:val="00E22EC8"/>
    <w:rsid w:val="00E331A4"/>
    <w:rsid w:val="00E33DE5"/>
    <w:rsid w:val="00E34389"/>
    <w:rsid w:val="00E401AB"/>
    <w:rsid w:val="00E43FB3"/>
    <w:rsid w:val="00E50E1E"/>
    <w:rsid w:val="00E65A06"/>
    <w:rsid w:val="00E66043"/>
    <w:rsid w:val="00E747DB"/>
    <w:rsid w:val="00E74EC6"/>
    <w:rsid w:val="00EA43A6"/>
    <w:rsid w:val="00EC4D3B"/>
    <w:rsid w:val="00ED60D0"/>
    <w:rsid w:val="00EE200F"/>
    <w:rsid w:val="00EE26CD"/>
    <w:rsid w:val="00EF5BA9"/>
    <w:rsid w:val="00F310D3"/>
    <w:rsid w:val="00F3371D"/>
    <w:rsid w:val="00F3738B"/>
    <w:rsid w:val="00F3794F"/>
    <w:rsid w:val="00F46159"/>
    <w:rsid w:val="00F6369E"/>
    <w:rsid w:val="00F64FD8"/>
    <w:rsid w:val="00F657A8"/>
    <w:rsid w:val="00F67BCC"/>
    <w:rsid w:val="00F70D97"/>
    <w:rsid w:val="00F8334F"/>
    <w:rsid w:val="00F84861"/>
    <w:rsid w:val="00F96788"/>
    <w:rsid w:val="00FA2F8A"/>
    <w:rsid w:val="00FC11CB"/>
    <w:rsid w:val="00FC5000"/>
    <w:rsid w:val="00FC588E"/>
    <w:rsid w:val="00FC69AB"/>
    <w:rsid w:val="00FD0A00"/>
    <w:rsid w:val="00FD161C"/>
    <w:rsid w:val="00FD4DEE"/>
    <w:rsid w:val="00FE403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4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9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D11F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D11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9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D11F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D11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627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3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65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5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68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602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856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82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47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93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9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79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38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4146-BFFE-4553-B358-3A7F1F2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2013.gada 26.februāra noteikumos Nr.112 „Emisijas kvotu piešķiršanas kārtība stacionāro tehnoloģisko iekārtu operatoriem”</vt:lpstr>
    </vt:vector>
  </TitlesOfParts>
  <Manager>Helena.Rimsa@varam.gov.lv</Manager>
  <Company>Vides aizsardzības un reģionālās attīstības ministrija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2013.gada 26.februāra noteikumos Nr.112 „Emisijas kvotu piešķiršanas kārtība stacionāro tehnoloģisko iekārtu operatoriem”</dc:title>
  <dc:subject>Ministru kabineta noteikumu projekts</dc:subject>
  <dc:creator>Helena Rimsa</dc:creator>
  <cp:lastModifiedBy>Leontīne Babkina</cp:lastModifiedBy>
  <cp:revision>7</cp:revision>
  <cp:lastPrinted>2015-01-13T06:56:00Z</cp:lastPrinted>
  <dcterms:created xsi:type="dcterms:W3CDTF">2014-12-22T11:27:00Z</dcterms:created>
  <dcterms:modified xsi:type="dcterms:W3CDTF">2015-01-28T11:47:00Z</dcterms:modified>
  <cp:category>Vides politika</cp:category>
  <cp:contentStatus/>
</cp:coreProperties>
</file>