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1C3C" w:rsidRPr="0043346E" w:rsidRDefault="0043346E" w:rsidP="00575B7F">
      <w:pPr>
        <w:pStyle w:val="naisc"/>
        <w:spacing w:before="0" w:after="0"/>
        <w:rPr>
          <w:b/>
          <w:sz w:val="28"/>
          <w:szCs w:val="28"/>
        </w:rPr>
      </w:pPr>
      <w:bookmarkStart w:id="0" w:name="OLE_LINK1"/>
      <w:bookmarkStart w:id="1" w:name="OLE_LINK2"/>
      <w:r w:rsidRPr="0043346E">
        <w:rPr>
          <w:b/>
          <w:sz w:val="28"/>
          <w:szCs w:val="28"/>
        </w:rPr>
        <w:t xml:space="preserve">Ministru kabineta noteikumu projekta </w:t>
      </w:r>
      <w:r w:rsidR="00E722C6">
        <w:rPr>
          <w:b/>
          <w:sz w:val="28"/>
          <w:szCs w:val="28"/>
        </w:rPr>
        <w:t>„</w:t>
      </w:r>
      <w:r w:rsidR="00E722C6" w:rsidRPr="00E722C6">
        <w:rPr>
          <w:b/>
          <w:sz w:val="28"/>
          <w:szCs w:val="28"/>
        </w:rPr>
        <w:t>Grozījumi Ministru kabineta 2000.gada 26.septembra noteikumos Nr.330 „Vakcinācijas noteikumi”</w:t>
      </w:r>
      <w:r w:rsidR="00E722C6">
        <w:rPr>
          <w:b/>
          <w:sz w:val="28"/>
          <w:szCs w:val="28"/>
        </w:rPr>
        <w:t>”</w:t>
      </w:r>
      <w:r w:rsidRPr="0043346E">
        <w:rPr>
          <w:b/>
          <w:sz w:val="28"/>
          <w:szCs w:val="28"/>
        </w:rPr>
        <w:t xml:space="preserve"> sākotnējās ietekmes novērtējuma ziņojums (anotācija)</w:t>
      </w:r>
    </w:p>
    <w:bookmarkEnd w:id="0"/>
    <w:bookmarkEnd w:id="1"/>
    <w:p w:rsidR="0043346E" w:rsidRPr="0043346E" w:rsidRDefault="0043346E" w:rsidP="00575B7F">
      <w:pPr>
        <w:pStyle w:val="naisc"/>
        <w:spacing w:before="0" w:after="0"/>
        <w:rPr>
          <w:b/>
          <w:bCs/>
          <w:sz w:val="28"/>
          <w:szCs w:val="28"/>
        </w:rPr>
      </w:pPr>
    </w:p>
    <w:tbl>
      <w:tblPr>
        <w:tblStyle w:val="TableGrid"/>
        <w:tblW w:w="0" w:type="auto"/>
        <w:tblLook w:val="0000"/>
      </w:tblPr>
      <w:tblGrid>
        <w:gridCol w:w="528"/>
        <w:gridCol w:w="2181"/>
        <w:gridCol w:w="6392"/>
      </w:tblGrid>
      <w:tr w:rsidR="00771C3C" w:rsidRPr="00610063" w:rsidTr="003812D2">
        <w:tc>
          <w:tcPr>
            <w:tcW w:w="9101" w:type="dxa"/>
            <w:gridSpan w:val="3"/>
          </w:tcPr>
          <w:p w:rsidR="00771C3C" w:rsidRPr="00610063" w:rsidRDefault="00771C3C" w:rsidP="0073447B">
            <w:pPr>
              <w:pStyle w:val="naisc"/>
              <w:spacing w:before="20" w:after="20"/>
              <w:rPr>
                <w:sz w:val="28"/>
                <w:szCs w:val="28"/>
              </w:rPr>
            </w:pPr>
            <w:r w:rsidRPr="00610063">
              <w:rPr>
                <w:b/>
                <w:bCs/>
                <w:sz w:val="28"/>
                <w:szCs w:val="28"/>
              </w:rPr>
              <w:t> I. Tiesību akta projekta izstrādes nepieciešamība</w:t>
            </w:r>
          </w:p>
        </w:tc>
      </w:tr>
      <w:tr w:rsidR="00771C3C" w:rsidRPr="00610063" w:rsidTr="003812D2">
        <w:trPr>
          <w:trHeight w:val="464"/>
        </w:trPr>
        <w:tc>
          <w:tcPr>
            <w:tcW w:w="528" w:type="dxa"/>
          </w:tcPr>
          <w:p w:rsidR="00771C3C" w:rsidRPr="00610063" w:rsidRDefault="00771C3C" w:rsidP="0073447B">
            <w:pPr>
              <w:pStyle w:val="naiskr"/>
              <w:spacing w:before="20" w:after="20"/>
              <w:jc w:val="center"/>
              <w:rPr>
                <w:sz w:val="28"/>
                <w:szCs w:val="28"/>
              </w:rPr>
            </w:pPr>
            <w:r w:rsidRPr="00610063">
              <w:rPr>
                <w:sz w:val="28"/>
                <w:szCs w:val="28"/>
              </w:rPr>
              <w:t>1.</w:t>
            </w:r>
          </w:p>
        </w:tc>
        <w:tc>
          <w:tcPr>
            <w:tcW w:w="2181" w:type="dxa"/>
          </w:tcPr>
          <w:p w:rsidR="00771C3C" w:rsidRPr="00610063" w:rsidRDefault="00771C3C" w:rsidP="0073447B">
            <w:pPr>
              <w:pStyle w:val="naislab"/>
              <w:spacing w:before="20" w:after="20"/>
              <w:jc w:val="left"/>
              <w:rPr>
                <w:sz w:val="28"/>
                <w:szCs w:val="28"/>
              </w:rPr>
            </w:pPr>
            <w:r w:rsidRPr="00610063">
              <w:rPr>
                <w:sz w:val="28"/>
                <w:szCs w:val="28"/>
              </w:rPr>
              <w:t>Pamatojums</w:t>
            </w:r>
          </w:p>
        </w:tc>
        <w:tc>
          <w:tcPr>
            <w:tcW w:w="6392" w:type="dxa"/>
          </w:tcPr>
          <w:p w:rsidR="004E0F14" w:rsidRDefault="007663BB" w:rsidP="00982BA2">
            <w:pPr>
              <w:pStyle w:val="naiskr"/>
              <w:spacing w:before="20" w:after="20"/>
              <w:jc w:val="both"/>
              <w:rPr>
                <w:sz w:val="28"/>
                <w:szCs w:val="28"/>
              </w:rPr>
            </w:pPr>
            <w:r>
              <w:rPr>
                <w:sz w:val="28"/>
                <w:szCs w:val="28"/>
              </w:rPr>
              <w:t xml:space="preserve">     </w:t>
            </w:r>
            <w:r w:rsidR="00982BA2" w:rsidRPr="00982BA2">
              <w:rPr>
                <w:sz w:val="28"/>
                <w:szCs w:val="28"/>
              </w:rPr>
              <w:t>Sabiedrības veselības pamatnostādn</w:t>
            </w:r>
            <w:r w:rsidR="004E0F14">
              <w:rPr>
                <w:sz w:val="28"/>
                <w:szCs w:val="28"/>
              </w:rPr>
              <w:t>ē</w:t>
            </w:r>
            <w:r w:rsidR="00982BA2" w:rsidRPr="00982BA2">
              <w:rPr>
                <w:sz w:val="28"/>
                <w:szCs w:val="28"/>
              </w:rPr>
              <w:t>s</w:t>
            </w:r>
            <w:r w:rsidR="00982BA2">
              <w:rPr>
                <w:sz w:val="28"/>
                <w:szCs w:val="28"/>
              </w:rPr>
              <w:t xml:space="preserve"> </w:t>
            </w:r>
            <w:r w:rsidR="004E0F14">
              <w:rPr>
                <w:sz w:val="28"/>
                <w:szCs w:val="28"/>
              </w:rPr>
              <w:t>201</w:t>
            </w:r>
            <w:r w:rsidR="00873087">
              <w:rPr>
                <w:sz w:val="28"/>
                <w:szCs w:val="28"/>
              </w:rPr>
              <w:t>4</w:t>
            </w:r>
            <w:r w:rsidR="004E0F14">
              <w:rPr>
                <w:sz w:val="28"/>
                <w:szCs w:val="28"/>
              </w:rPr>
              <w:t>.-</w:t>
            </w:r>
            <w:r w:rsidR="00982BA2" w:rsidRPr="00982BA2">
              <w:rPr>
                <w:sz w:val="28"/>
                <w:szCs w:val="28"/>
              </w:rPr>
              <w:t>20</w:t>
            </w:r>
            <w:r w:rsidR="00873087">
              <w:rPr>
                <w:sz w:val="28"/>
                <w:szCs w:val="28"/>
              </w:rPr>
              <w:t>20</w:t>
            </w:r>
            <w:r w:rsidR="00982BA2" w:rsidRPr="00982BA2">
              <w:rPr>
                <w:sz w:val="28"/>
                <w:szCs w:val="28"/>
              </w:rPr>
              <w:t>.gadam</w:t>
            </w:r>
            <w:r w:rsidR="00982BA2">
              <w:rPr>
                <w:sz w:val="28"/>
                <w:szCs w:val="28"/>
              </w:rPr>
              <w:t>, kas apstiprinātas ar</w:t>
            </w:r>
            <w:r w:rsidR="00982BA2" w:rsidRPr="00982BA2">
              <w:rPr>
                <w:sz w:val="28"/>
                <w:szCs w:val="28"/>
              </w:rPr>
              <w:t xml:space="preserve"> </w:t>
            </w:r>
            <w:r w:rsidR="00982BA2">
              <w:rPr>
                <w:sz w:val="28"/>
                <w:szCs w:val="28"/>
              </w:rPr>
              <w:t xml:space="preserve">Ministru kabineta </w:t>
            </w:r>
            <w:r w:rsidR="00873087" w:rsidRPr="00873087">
              <w:rPr>
                <w:sz w:val="28"/>
                <w:szCs w:val="28"/>
              </w:rPr>
              <w:t>2014.gada 14.oktobr</w:t>
            </w:r>
            <w:r w:rsidR="00873087">
              <w:rPr>
                <w:sz w:val="28"/>
                <w:szCs w:val="28"/>
              </w:rPr>
              <w:t>a</w:t>
            </w:r>
            <w:r w:rsidR="00873087" w:rsidRPr="00873087">
              <w:rPr>
                <w:sz w:val="28"/>
                <w:szCs w:val="28"/>
              </w:rPr>
              <w:t xml:space="preserve"> </w:t>
            </w:r>
            <w:r w:rsidR="00982BA2">
              <w:rPr>
                <w:sz w:val="28"/>
                <w:szCs w:val="28"/>
              </w:rPr>
              <w:t xml:space="preserve"> </w:t>
            </w:r>
            <w:r w:rsidR="00982BA2" w:rsidRPr="00982BA2">
              <w:rPr>
                <w:sz w:val="28"/>
                <w:szCs w:val="28"/>
              </w:rPr>
              <w:t>rīkojum</w:t>
            </w:r>
            <w:r w:rsidR="00982BA2">
              <w:rPr>
                <w:sz w:val="28"/>
                <w:szCs w:val="28"/>
              </w:rPr>
              <w:t>u</w:t>
            </w:r>
            <w:r w:rsidR="00893178">
              <w:rPr>
                <w:sz w:val="28"/>
                <w:szCs w:val="28"/>
              </w:rPr>
              <w:t xml:space="preserve"> Nr.</w:t>
            </w:r>
            <w:r w:rsidR="00873087">
              <w:t xml:space="preserve"> </w:t>
            </w:r>
            <w:r w:rsidR="00873087" w:rsidRPr="00873087">
              <w:rPr>
                <w:sz w:val="28"/>
                <w:szCs w:val="28"/>
              </w:rPr>
              <w:t>589</w:t>
            </w:r>
            <w:r w:rsidR="00982BA2">
              <w:rPr>
                <w:sz w:val="28"/>
                <w:szCs w:val="28"/>
              </w:rPr>
              <w:t xml:space="preserve">, </w:t>
            </w:r>
            <w:r w:rsidR="004E0F14">
              <w:rPr>
                <w:sz w:val="28"/>
                <w:szCs w:val="28"/>
              </w:rPr>
              <w:t xml:space="preserve">definētais apakšmērķis </w:t>
            </w:r>
            <w:r w:rsidR="004E0F14" w:rsidRPr="00295E54">
              <w:rPr>
                <w:sz w:val="28"/>
                <w:szCs w:val="28"/>
              </w:rPr>
              <w:t>–</w:t>
            </w:r>
            <w:r w:rsidR="004E0F14" w:rsidRPr="00982BA2">
              <w:rPr>
                <w:sz w:val="28"/>
                <w:szCs w:val="28"/>
              </w:rPr>
              <w:t xml:space="preserve"> </w:t>
            </w:r>
            <w:r w:rsidR="004E0F14">
              <w:rPr>
                <w:sz w:val="28"/>
                <w:szCs w:val="28"/>
              </w:rPr>
              <w:t>s</w:t>
            </w:r>
            <w:r w:rsidR="004E0F14" w:rsidRPr="00982BA2">
              <w:rPr>
                <w:sz w:val="28"/>
                <w:szCs w:val="28"/>
              </w:rPr>
              <w:t>amazināt iedzīvotāju saslimstību ar infekcijas slimībām.</w:t>
            </w:r>
          </w:p>
          <w:p w:rsidR="00F217E2" w:rsidRPr="00610063" w:rsidRDefault="001C3EB8" w:rsidP="001C3EB8">
            <w:pPr>
              <w:pStyle w:val="naiskr"/>
              <w:spacing w:before="20" w:after="20"/>
              <w:jc w:val="both"/>
              <w:rPr>
                <w:sz w:val="28"/>
                <w:szCs w:val="28"/>
              </w:rPr>
            </w:pPr>
            <w:r>
              <w:rPr>
                <w:sz w:val="28"/>
                <w:szCs w:val="28"/>
              </w:rPr>
              <w:t xml:space="preserve">     </w:t>
            </w:r>
            <w:r w:rsidRPr="001C3EB8">
              <w:rPr>
                <w:sz w:val="28"/>
                <w:szCs w:val="28"/>
              </w:rPr>
              <w:t xml:space="preserve">Epidemioloģiskās drošības </w:t>
            </w:r>
            <w:r>
              <w:rPr>
                <w:sz w:val="28"/>
                <w:szCs w:val="28"/>
              </w:rPr>
              <w:t xml:space="preserve">likuma </w:t>
            </w:r>
            <w:r w:rsidRPr="001C3EB8">
              <w:rPr>
                <w:sz w:val="28"/>
                <w:szCs w:val="28"/>
              </w:rPr>
              <w:t>30</w:t>
            </w:r>
            <w:r>
              <w:rPr>
                <w:sz w:val="28"/>
                <w:szCs w:val="28"/>
              </w:rPr>
              <w:t xml:space="preserve">.panta pirmā, otrā, trešā daļa </w:t>
            </w:r>
            <w:r w:rsidRPr="001C3EB8">
              <w:rPr>
                <w:sz w:val="28"/>
                <w:szCs w:val="28"/>
              </w:rPr>
              <w:t>un 31.panta piekt</w:t>
            </w:r>
            <w:r>
              <w:rPr>
                <w:sz w:val="28"/>
                <w:szCs w:val="28"/>
              </w:rPr>
              <w:t>ā</w:t>
            </w:r>
            <w:r w:rsidRPr="001C3EB8">
              <w:rPr>
                <w:sz w:val="28"/>
                <w:szCs w:val="28"/>
              </w:rPr>
              <w:t xml:space="preserve"> daļ</w:t>
            </w:r>
            <w:r>
              <w:rPr>
                <w:sz w:val="28"/>
                <w:szCs w:val="28"/>
              </w:rPr>
              <w:t>a</w:t>
            </w:r>
            <w:r w:rsidR="00C2182E">
              <w:rPr>
                <w:sz w:val="28"/>
                <w:szCs w:val="28"/>
              </w:rPr>
              <w:t>.</w:t>
            </w:r>
          </w:p>
        </w:tc>
      </w:tr>
      <w:tr w:rsidR="00771C3C" w:rsidRPr="00610063" w:rsidTr="00481B82">
        <w:trPr>
          <w:trHeight w:val="557"/>
        </w:trPr>
        <w:tc>
          <w:tcPr>
            <w:tcW w:w="528" w:type="dxa"/>
          </w:tcPr>
          <w:p w:rsidR="00771C3C" w:rsidRPr="00610063" w:rsidRDefault="00771C3C" w:rsidP="0073447B">
            <w:pPr>
              <w:pStyle w:val="naiskr"/>
              <w:spacing w:before="20" w:after="20"/>
              <w:jc w:val="center"/>
              <w:rPr>
                <w:sz w:val="28"/>
                <w:szCs w:val="28"/>
              </w:rPr>
            </w:pPr>
            <w:r w:rsidRPr="00610063">
              <w:rPr>
                <w:sz w:val="28"/>
                <w:szCs w:val="28"/>
              </w:rPr>
              <w:t>2.</w:t>
            </w:r>
          </w:p>
        </w:tc>
        <w:tc>
          <w:tcPr>
            <w:tcW w:w="2181" w:type="dxa"/>
          </w:tcPr>
          <w:p w:rsidR="00771C3C" w:rsidRPr="00610063" w:rsidRDefault="008F13D6" w:rsidP="0073447B">
            <w:pPr>
              <w:pStyle w:val="naiskr"/>
              <w:spacing w:before="20" w:after="20"/>
              <w:rPr>
                <w:sz w:val="28"/>
                <w:szCs w:val="28"/>
              </w:rPr>
            </w:pPr>
            <w:r w:rsidRPr="00610063">
              <w:rPr>
                <w:sz w:val="28"/>
                <w:szCs w:val="28"/>
              </w:rPr>
              <w:t>Pašreizējā situācija un problēmas, kuru risināšanai tiesību akta projekts izstrādāts, tiesiskā regulējuma mērķis un būtība</w:t>
            </w:r>
          </w:p>
        </w:tc>
        <w:tc>
          <w:tcPr>
            <w:tcW w:w="6392" w:type="dxa"/>
          </w:tcPr>
          <w:p w:rsidR="00D81692" w:rsidRDefault="00F57632" w:rsidP="00232053">
            <w:pPr>
              <w:pStyle w:val="naiskr"/>
              <w:spacing w:before="20" w:after="20"/>
              <w:jc w:val="both"/>
              <w:rPr>
                <w:sz w:val="28"/>
                <w:szCs w:val="28"/>
              </w:rPr>
            </w:pPr>
            <w:r>
              <w:rPr>
                <w:sz w:val="28"/>
                <w:szCs w:val="28"/>
              </w:rPr>
              <w:t xml:space="preserve">     </w:t>
            </w:r>
            <w:r w:rsidR="007D6A90">
              <w:rPr>
                <w:sz w:val="28"/>
                <w:szCs w:val="28"/>
              </w:rPr>
              <w:t>S</w:t>
            </w:r>
            <w:r w:rsidR="00A0015B" w:rsidRPr="00295E54">
              <w:rPr>
                <w:sz w:val="28"/>
                <w:szCs w:val="28"/>
              </w:rPr>
              <w:t>askaņā ar Ministru kabineta 200</w:t>
            </w:r>
            <w:r w:rsidR="00D81692">
              <w:rPr>
                <w:sz w:val="28"/>
                <w:szCs w:val="28"/>
              </w:rPr>
              <w:t>0</w:t>
            </w:r>
            <w:r w:rsidR="00A0015B" w:rsidRPr="00295E54">
              <w:rPr>
                <w:sz w:val="28"/>
                <w:szCs w:val="28"/>
              </w:rPr>
              <w:t xml:space="preserve">.gada </w:t>
            </w:r>
            <w:r w:rsidR="00D81692">
              <w:rPr>
                <w:sz w:val="28"/>
                <w:szCs w:val="28"/>
              </w:rPr>
              <w:t>26</w:t>
            </w:r>
            <w:r w:rsidR="00A0015B" w:rsidRPr="00295E54">
              <w:rPr>
                <w:sz w:val="28"/>
                <w:szCs w:val="28"/>
              </w:rPr>
              <w:t>.</w:t>
            </w:r>
            <w:r w:rsidR="00D81692">
              <w:rPr>
                <w:sz w:val="28"/>
                <w:szCs w:val="28"/>
              </w:rPr>
              <w:t>septembra</w:t>
            </w:r>
            <w:r w:rsidR="00A0015B" w:rsidRPr="00295E54">
              <w:rPr>
                <w:sz w:val="28"/>
                <w:szCs w:val="28"/>
              </w:rPr>
              <w:t xml:space="preserve"> noteikum</w:t>
            </w:r>
            <w:r w:rsidR="00893178">
              <w:rPr>
                <w:sz w:val="28"/>
                <w:szCs w:val="28"/>
              </w:rPr>
              <w:t>iem Nr.</w:t>
            </w:r>
            <w:r w:rsidR="00D81692">
              <w:rPr>
                <w:sz w:val="28"/>
                <w:szCs w:val="28"/>
              </w:rPr>
              <w:t>330</w:t>
            </w:r>
            <w:r w:rsidR="00A0015B" w:rsidRPr="00295E54">
              <w:rPr>
                <w:sz w:val="28"/>
                <w:szCs w:val="28"/>
              </w:rPr>
              <w:t xml:space="preserve"> „</w:t>
            </w:r>
            <w:r w:rsidR="00D81692">
              <w:rPr>
                <w:sz w:val="28"/>
                <w:szCs w:val="28"/>
              </w:rPr>
              <w:t>Vakcinācijas noteikumi”</w:t>
            </w:r>
            <w:r w:rsidR="00851117">
              <w:rPr>
                <w:sz w:val="28"/>
                <w:szCs w:val="28"/>
              </w:rPr>
              <w:t xml:space="preserve"> (turpmāk – MK noteikumi </w:t>
            </w:r>
            <w:r w:rsidR="00893178">
              <w:rPr>
                <w:sz w:val="28"/>
                <w:szCs w:val="28"/>
              </w:rPr>
              <w:t>Nr.</w:t>
            </w:r>
            <w:r w:rsidR="00851117">
              <w:rPr>
                <w:sz w:val="28"/>
                <w:szCs w:val="28"/>
              </w:rPr>
              <w:t>330)</w:t>
            </w:r>
            <w:r w:rsidR="007779CD">
              <w:rPr>
                <w:sz w:val="28"/>
                <w:szCs w:val="28"/>
              </w:rPr>
              <w:t xml:space="preserve"> 12 gadus vecas meitenes tiek vakcinētas pret cilvēka papilomas vīrusa infekciju</w:t>
            </w:r>
            <w:r w:rsidR="000C0511">
              <w:rPr>
                <w:sz w:val="28"/>
                <w:szCs w:val="28"/>
              </w:rPr>
              <w:t>,</w:t>
            </w:r>
            <w:r w:rsidR="007779CD">
              <w:rPr>
                <w:sz w:val="28"/>
                <w:szCs w:val="28"/>
              </w:rPr>
              <w:t xml:space="preserve"> ievadot trīs vakcīnas devas – CPV1, CPV2 un CPV3 (MK noteikumu Nr.330 1.pielikuma 8.punkts).</w:t>
            </w:r>
          </w:p>
          <w:p w:rsidR="000C0511" w:rsidRPr="00C6240F" w:rsidRDefault="00E101C1" w:rsidP="007E722D">
            <w:pPr>
              <w:pStyle w:val="naiskr"/>
              <w:spacing w:before="20" w:after="20"/>
              <w:jc w:val="both"/>
              <w:rPr>
                <w:sz w:val="28"/>
                <w:szCs w:val="28"/>
              </w:rPr>
            </w:pPr>
            <w:r>
              <w:rPr>
                <w:sz w:val="28"/>
                <w:szCs w:val="28"/>
              </w:rPr>
              <w:t xml:space="preserve">     </w:t>
            </w:r>
            <w:r w:rsidR="007E722D" w:rsidRPr="007E722D">
              <w:rPr>
                <w:sz w:val="28"/>
                <w:szCs w:val="28"/>
              </w:rPr>
              <w:t xml:space="preserve">Šobrīd esošie MK noteikumi </w:t>
            </w:r>
            <w:r w:rsidR="00772A01">
              <w:rPr>
                <w:sz w:val="28"/>
                <w:szCs w:val="28"/>
              </w:rPr>
              <w:t>Nr.</w:t>
            </w:r>
            <w:r w:rsidR="007E722D">
              <w:rPr>
                <w:sz w:val="28"/>
                <w:szCs w:val="28"/>
              </w:rPr>
              <w:t xml:space="preserve">330 </w:t>
            </w:r>
            <w:r w:rsidR="007E722D" w:rsidRPr="007E722D">
              <w:rPr>
                <w:sz w:val="28"/>
                <w:szCs w:val="28"/>
              </w:rPr>
              <w:t>nepared</w:t>
            </w:r>
            <w:r w:rsidR="008F7A11">
              <w:rPr>
                <w:sz w:val="28"/>
                <w:szCs w:val="28"/>
              </w:rPr>
              <w:t>z vakcināciju pret</w:t>
            </w:r>
            <w:r w:rsidR="0016520C">
              <w:rPr>
                <w:sz w:val="28"/>
                <w:szCs w:val="28"/>
              </w:rPr>
              <w:t xml:space="preserve"> cilvēka papilomas vīrusa infekciju, ievadot </w:t>
            </w:r>
            <w:r w:rsidR="00B10C04">
              <w:rPr>
                <w:sz w:val="28"/>
                <w:szCs w:val="28"/>
              </w:rPr>
              <w:t xml:space="preserve">tikai </w:t>
            </w:r>
            <w:r w:rsidR="0016520C">
              <w:rPr>
                <w:sz w:val="28"/>
                <w:szCs w:val="28"/>
              </w:rPr>
              <w:t xml:space="preserve">divas vakcīnas devas – CPV1 un CPV2, lai gan </w:t>
            </w:r>
            <w:r w:rsidR="002A577B">
              <w:rPr>
                <w:sz w:val="28"/>
                <w:szCs w:val="28"/>
              </w:rPr>
              <w:t>2014.gadā Eiropas zāļu aģentūra</w:t>
            </w:r>
            <w:r w:rsidR="001B2BC8">
              <w:rPr>
                <w:sz w:val="28"/>
                <w:szCs w:val="28"/>
              </w:rPr>
              <w:t xml:space="preserve"> </w:t>
            </w:r>
            <w:r w:rsidR="001B2BC8" w:rsidRPr="00C224BD">
              <w:rPr>
                <w:sz w:val="28"/>
                <w:szCs w:val="28"/>
              </w:rPr>
              <w:t>(</w:t>
            </w:r>
            <w:proofErr w:type="spellStart"/>
            <w:r w:rsidR="001B2BC8" w:rsidRPr="00C2182E">
              <w:rPr>
                <w:i/>
                <w:sz w:val="28"/>
                <w:szCs w:val="28"/>
              </w:rPr>
              <w:t>European</w:t>
            </w:r>
            <w:proofErr w:type="spellEnd"/>
            <w:r w:rsidR="001B2BC8" w:rsidRPr="00C2182E">
              <w:rPr>
                <w:i/>
                <w:sz w:val="28"/>
                <w:szCs w:val="28"/>
              </w:rPr>
              <w:t xml:space="preserve"> </w:t>
            </w:r>
            <w:proofErr w:type="spellStart"/>
            <w:r w:rsidR="001B2BC8" w:rsidRPr="00C2182E">
              <w:rPr>
                <w:i/>
                <w:sz w:val="28"/>
                <w:szCs w:val="28"/>
              </w:rPr>
              <w:t>Medicines</w:t>
            </w:r>
            <w:proofErr w:type="spellEnd"/>
            <w:r w:rsidR="001B2BC8" w:rsidRPr="00C2182E">
              <w:rPr>
                <w:i/>
                <w:sz w:val="28"/>
                <w:szCs w:val="28"/>
              </w:rPr>
              <w:t xml:space="preserve"> </w:t>
            </w:r>
            <w:proofErr w:type="spellStart"/>
            <w:r w:rsidR="001B2BC8" w:rsidRPr="00C2182E">
              <w:rPr>
                <w:i/>
                <w:sz w:val="28"/>
                <w:szCs w:val="28"/>
              </w:rPr>
              <w:t>Agency</w:t>
            </w:r>
            <w:proofErr w:type="spellEnd"/>
            <w:r w:rsidR="001B2BC8" w:rsidRPr="00C224BD">
              <w:rPr>
                <w:sz w:val="28"/>
                <w:szCs w:val="28"/>
              </w:rPr>
              <w:t>)</w:t>
            </w:r>
            <w:r w:rsidR="002A577B">
              <w:rPr>
                <w:sz w:val="28"/>
                <w:szCs w:val="28"/>
              </w:rPr>
              <w:t xml:space="preserve"> ir apstiprinājusi </w:t>
            </w:r>
            <w:r w:rsidR="009A57E1">
              <w:rPr>
                <w:sz w:val="28"/>
                <w:szCs w:val="28"/>
              </w:rPr>
              <w:t xml:space="preserve">izmaiņas </w:t>
            </w:r>
            <w:proofErr w:type="spellStart"/>
            <w:r w:rsidR="009A57E1" w:rsidRPr="009A57E1">
              <w:rPr>
                <w:i/>
                <w:sz w:val="28"/>
                <w:szCs w:val="28"/>
              </w:rPr>
              <w:t>Cervarix</w:t>
            </w:r>
            <w:proofErr w:type="spellEnd"/>
            <w:r w:rsidR="009A57E1">
              <w:rPr>
                <w:sz w:val="28"/>
                <w:szCs w:val="28"/>
              </w:rPr>
              <w:t xml:space="preserve"> zāļu aprakstā (valsts pašreiz kompensē vakcināciju pret cilvēka papilomas vīrusa infekciju, izmantojot </w:t>
            </w:r>
            <w:proofErr w:type="spellStart"/>
            <w:r w:rsidR="009A57E1" w:rsidRPr="009A57E1">
              <w:rPr>
                <w:i/>
                <w:sz w:val="28"/>
                <w:szCs w:val="28"/>
              </w:rPr>
              <w:t>Cervarix</w:t>
            </w:r>
            <w:proofErr w:type="spellEnd"/>
            <w:r w:rsidR="009A57E1">
              <w:rPr>
                <w:i/>
                <w:sz w:val="28"/>
                <w:szCs w:val="28"/>
              </w:rPr>
              <w:t xml:space="preserve"> </w:t>
            </w:r>
            <w:r w:rsidR="00C6240F" w:rsidRPr="00C6240F">
              <w:rPr>
                <w:sz w:val="28"/>
                <w:szCs w:val="28"/>
              </w:rPr>
              <w:t>cilvēka papilomas vīrusa vakcīn</w:t>
            </w:r>
            <w:r w:rsidR="00C6240F">
              <w:rPr>
                <w:sz w:val="28"/>
                <w:szCs w:val="28"/>
              </w:rPr>
              <w:t>u</w:t>
            </w:r>
            <w:r w:rsidR="009A57E1" w:rsidRPr="00C6240F">
              <w:rPr>
                <w:sz w:val="28"/>
                <w:szCs w:val="28"/>
              </w:rPr>
              <w:t>).</w:t>
            </w:r>
            <w:r w:rsidR="00DA3D95">
              <w:rPr>
                <w:sz w:val="28"/>
                <w:szCs w:val="28"/>
              </w:rPr>
              <w:t xml:space="preserve"> Saskaņā ar </w:t>
            </w:r>
            <w:r w:rsidR="00C06D38">
              <w:rPr>
                <w:sz w:val="28"/>
                <w:szCs w:val="28"/>
              </w:rPr>
              <w:t xml:space="preserve">jauno </w:t>
            </w:r>
            <w:proofErr w:type="spellStart"/>
            <w:r w:rsidR="00C06D38" w:rsidRPr="009A57E1">
              <w:rPr>
                <w:i/>
                <w:sz w:val="28"/>
                <w:szCs w:val="28"/>
              </w:rPr>
              <w:t>Cervarix</w:t>
            </w:r>
            <w:proofErr w:type="spellEnd"/>
            <w:r w:rsidR="00C06D38">
              <w:rPr>
                <w:sz w:val="28"/>
                <w:szCs w:val="28"/>
              </w:rPr>
              <w:t xml:space="preserve"> zāļu aprakstu, m</w:t>
            </w:r>
            <w:r w:rsidR="00C06D38" w:rsidRPr="00C06D38">
              <w:rPr>
                <w:sz w:val="28"/>
                <w:szCs w:val="28"/>
              </w:rPr>
              <w:t xml:space="preserve">eitenēm vecumā no </w:t>
            </w:r>
            <w:r w:rsidR="0000038F">
              <w:rPr>
                <w:sz w:val="28"/>
                <w:szCs w:val="28"/>
              </w:rPr>
              <w:t>9</w:t>
            </w:r>
            <w:r w:rsidR="00C06D38" w:rsidRPr="00C06D38">
              <w:rPr>
                <w:sz w:val="28"/>
                <w:szCs w:val="28"/>
              </w:rPr>
              <w:t xml:space="preserve"> līdz 14 gadiem var ievadīt divas devas ar sešu mēnešu starplaiku</w:t>
            </w:r>
            <w:r w:rsidR="00877FB1">
              <w:rPr>
                <w:sz w:val="28"/>
                <w:szCs w:val="28"/>
              </w:rPr>
              <w:t>, tādējādi panākot līdzvērtīgu imūno atbildi kā vakcinējot ar trīs devām</w:t>
            </w:r>
            <w:r w:rsidR="00C06D38" w:rsidRPr="00C06D38">
              <w:rPr>
                <w:sz w:val="28"/>
                <w:szCs w:val="28"/>
              </w:rPr>
              <w:t>.</w:t>
            </w:r>
          </w:p>
          <w:p w:rsidR="006628CF" w:rsidRPr="006D25A3" w:rsidRDefault="00C224BD" w:rsidP="007E722D">
            <w:pPr>
              <w:pStyle w:val="naiskr"/>
              <w:spacing w:before="20" w:after="20"/>
              <w:jc w:val="both"/>
              <w:rPr>
                <w:sz w:val="28"/>
                <w:szCs w:val="28"/>
              </w:rPr>
            </w:pPr>
            <w:r>
              <w:rPr>
                <w:sz w:val="28"/>
                <w:szCs w:val="28"/>
              </w:rPr>
              <w:t xml:space="preserve">     Eiropas </w:t>
            </w:r>
            <w:r w:rsidR="001B2BC8">
              <w:rPr>
                <w:sz w:val="28"/>
                <w:szCs w:val="28"/>
              </w:rPr>
              <w:t>zāļu</w:t>
            </w:r>
            <w:r w:rsidR="00362978">
              <w:rPr>
                <w:sz w:val="28"/>
                <w:szCs w:val="28"/>
              </w:rPr>
              <w:t xml:space="preserve"> aģentūrā</w:t>
            </w:r>
            <w:r w:rsidRPr="00C224BD">
              <w:rPr>
                <w:sz w:val="28"/>
                <w:szCs w:val="28"/>
              </w:rPr>
              <w:t xml:space="preserve"> ir reģistrēta </w:t>
            </w:r>
            <w:r>
              <w:rPr>
                <w:sz w:val="28"/>
                <w:szCs w:val="28"/>
              </w:rPr>
              <w:t>arī</w:t>
            </w:r>
            <w:r w:rsidRPr="00C224BD">
              <w:rPr>
                <w:sz w:val="28"/>
                <w:szCs w:val="28"/>
              </w:rPr>
              <w:t xml:space="preserve"> </w:t>
            </w:r>
            <w:proofErr w:type="spellStart"/>
            <w:r w:rsidR="001C1C11" w:rsidRPr="001C1C11">
              <w:rPr>
                <w:i/>
                <w:sz w:val="28"/>
                <w:szCs w:val="28"/>
              </w:rPr>
              <w:t>Gardasil</w:t>
            </w:r>
            <w:proofErr w:type="spellEnd"/>
            <w:r w:rsidR="001C1C11">
              <w:rPr>
                <w:sz w:val="28"/>
                <w:szCs w:val="28"/>
              </w:rPr>
              <w:t xml:space="preserve"> </w:t>
            </w:r>
            <w:r w:rsidR="00F878E1">
              <w:rPr>
                <w:sz w:val="28"/>
                <w:szCs w:val="28"/>
              </w:rPr>
              <w:t xml:space="preserve">un </w:t>
            </w:r>
            <w:proofErr w:type="spellStart"/>
            <w:r w:rsidR="00F878E1" w:rsidRPr="00896A8A">
              <w:rPr>
                <w:i/>
                <w:sz w:val="28"/>
                <w:szCs w:val="28"/>
              </w:rPr>
              <w:t>Silgard</w:t>
            </w:r>
            <w:proofErr w:type="spellEnd"/>
            <w:r w:rsidR="00F878E1">
              <w:rPr>
                <w:i/>
                <w:sz w:val="28"/>
                <w:szCs w:val="28"/>
              </w:rPr>
              <w:t xml:space="preserve"> </w:t>
            </w:r>
            <w:r w:rsidR="001C1C11">
              <w:rPr>
                <w:sz w:val="28"/>
                <w:szCs w:val="28"/>
              </w:rPr>
              <w:t xml:space="preserve">vakcīna pret cilvēka </w:t>
            </w:r>
            <w:r w:rsidR="00F878E1">
              <w:rPr>
                <w:sz w:val="28"/>
                <w:szCs w:val="28"/>
              </w:rPr>
              <w:t>papilomas vīrusa infekciju, kuru</w:t>
            </w:r>
            <w:r w:rsidR="001C1C11">
              <w:rPr>
                <w:sz w:val="28"/>
                <w:szCs w:val="28"/>
              </w:rPr>
              <w:t xml:space="preserve"> zāļu aprakstā ir norādīts, ka c</w:t>
            </w:r>
            <w:r w:rsidR="001C1C11" w:rsidRPr="001C1C11">
              <w:rPr>
                <w:sz w:val="28"/>
                <w:szCs w:val="28"/>
              </w:rPr>
              <w:t xml:space="preserve">ilvēkiem vecumā no deviņiem līdz trīspadsmit gadiem var ievadīt divas devas ar </w:t>
            </w:r>
            <w:r w:rsidR="00F878E1">
              <w:rPr>
                <w:sz w:val="28"/>
                <w:szCs w:val="28"/>
              </w:rPr>
              <w:t>sešu mēnešu intervālu.</w:t>
            </w:r>
          </w:p>
          <w:p w:rsidR="001C1C11" w:rsidRDefault="00EC5CF0" w:rsidP="007E722D">
            <w:pPr>
              <w:pStyle w:val="naiskr"/>
              <w:spacing w:before="20" w:after="20"/>
              <w:jc w:val="both"/>
              <w:rPr>
                <w:sz w:val="28"/>
                <w:szCs w:val="28"/>
              </w:rPr>
            </w:pPr>
            <w:r>
              <w:rPr>
                <w:sz w:val="28"/>
                <w:szCs w:val="28"/>
              </w:rPr>
              <w:t xml:space="preserve">     </w:t>
            </w:r>
            <w:r w:rsidR="003A5638">
              <w:rPr>
                <w:sz w:val="28"/>
                <w:szCs w:val="28"/>
              </w:rPr>
              <w:t>Noteikumu projekts paredz</w:t>
            </w:r>
            <w:r>
              <w:rPr>
                <w:sz w:val="28"/>
                <w:szCs w:val="28"/>
              </w:rPr>
              <w:t xml:space="preserve"> aizstāt trīs vakc</w:t>
            </w:r>
            <w:r w:rsidR="00B96D7E">
              <w:rPr>
                <w:sz w:val="28"/>
                <w:szCs w:val="28"/>
              </w:rPr>
              <w:t>inācijas</w:t>
            </w:r>
            <w:r>
              <w:rPr>
                <w:sz w:val="28"/>
                <w:szCs w:val="28"/>
              </w:rPr>
              <w:t xml:space="preserve"> devas pret cilvēka papilomas vīrusa infekciju</w:t>
            </w:r>
            <w:r w:rsidR="006F34BD">
              <w:rPr>
                <w:sz w:val="28"/>
                <w:szCs w:val="28"/>
              </w:rPr>
              <w:t xml:space="preserve"> ar divām </w:t>
            </w:r>
            <w:r w:rsidR="00667D27">
              <w:rPr>
                <w:sz w:val="28"/>
                <w:szCs w:val="28"/>
              </w:rPr>
              <w:t>vakcinācijas</w:t>
            </w:r>
            <w:r w:rsidR="006F34BD">
              <w:rPr>
                <w:sz w:val="28"/>
                <w:szCs w:val="28"/>
              </w:rPr>
              <w:t xml:space="preserve"> devām</w:t>
            </w:r>
            <w:r w:rsidR="00677D8D">
              <w:rPr>
                <w:sz w:val="28"/>
                <w:szCs w:val="28"/>
              </w:rPr>
              <w:t>.</w:t>
            </w:r>
            <w:r w:rsidR="00873087">
              <w:rPr>
                <w:sz w:val="28"/>
                <w:szCs w:val="28"/>
              </w:rPr>
              <w:t xml:space="preserve"> (</w:t>
            </w:r>
            <w:r w:rsidR="00873087" w:rsidRPr="001B4B49">
              <w:rPr>
                <w:b/>
                <w:sz w:val="28"/>
                <w:szCs w:val="28"/>
              </w:rPr>
              <w:t xml:space="preserve">MK noteikumu projekta </w:t>
            </w:r>
            <w:r w:rsidR="00E20343">
              <w:rPr>
                <w:b/>
                <w:sz w:val="28"/>
                <w:szCs w:val="28"/>
              </w:rPr>
              <w:t>3</w:t>
            </w:r>
            <w:r w:rsidR="00873087" w:rsidRPr="001B4B49">
              <w:rPr>
                <w:b/>
                <w:sz w:val="28"/>
                <w:szCs w:val="28"/>
              </w:rPr>
              <w:t xml:space="preserve">. un </w:t>
            </w:r>
            <w:r w:rsidR="00E20343">
              <w:rPr>
                <w:b/>
                <w:sz w:val="28"/>
                <w:szCs w:val="28"/>
              </w:rPr>
              <w:t>4</w:t>
            </w:r>
            <w:r w:rsidR="00873087" w:rsidRPr="001B4B49">
              <w:rPr>
                <w:b/>
                <w:sz w:val="28"/>
                <w:szCs w:val="28"/>
              </w:rPr>
              <w:t>.punkts</w:t>
            </w:r>
            <w:r w:rsidR="00873087">
              <w:rPr>
                <w:sz w:val="28"/>
                <w:szCs w:val="28"/>
              </w:rPr>
              <w:t>)</w:t>
            </w:r>
          </w:p>
          <w:p w:rsidR="001B4B49" w:rsidRDefault="001B4B49" w:rsidP="007E722D">
            <w:pPr>
              <w:pStyle w:val="naiskr"/>
              <w:spacing w:before="20" w:after="20"/>
              <w:jc w:val="both"/>
              <w:rPr>
                <w:sz w:val="28"/>
                <w:szCs w:val="28"/>
              </w:rPr>
            </w:pPr>
          </w:p>
          <w:p w:rsidR="001B4B49" w:rsidRDefault="00873087" w:rsidP="007E722D">
            <w:pPr>
              <w:pStyle w:val="naiskr"/>
              <w:spacing w:before="20" w:after="20"/>
              <w:jc w:val="both"/>
              <w:rPr>
                <w:sz w:val="28"/>
                <w:szCs w:val="28"/>
              </w:rPr>
            </w:pPr>
            <w:r>
              <w:rPr>
                <w:sz w:val="28"/>
                <w:szCs w:val="28"/>
              </w:rPr>
              <w:t xml:space="preserve">     </w:t>
            </w:r>
            <w:r w:rsidR="00160467" w:rsidRPr="001B4B49">
              <w:rPr>
                <w:sz w:val="28"/>
                <w:szCs w:val="28"/>
              </w:rPr>
              <w:t xml:space="preserve">Zāļu aprakstos ir norādīts, ka ar </w:t>
            </w:r>
            <w:proofErr w:type="spellStart"/>
            <w:r w:rsidR="00160467" w:rsidRPr="001B4B49">
              <w:rPr>
                <w:i/>
                <w:sz w:val="28"/>
                <w:szCs w:val="28"/>
              </w:rPr>
              <w:t>Cervarix</w:t>
            </w:r>
            <w:proofErr w:type="spellEnd"/>
            <w:r w:rsidR="00160467" w:rsidRPr="001B4B49">
              <w:rPr>
                <w:i/>
                <w:sz w:val="28"/>
                <w:szCs w:val="28"/>
              </w:rPr>
              <w:t xml:space="preserve"> </w:t>
            </w:r>
            <w:r w:rsidR="00160467" w:rsidRPr="001B4B49">
              <w:rPr>
                <w:sz w:val="28"/>
                <w:szCs w:val="28"/>
              </w:rPr>
              <w:t xml:space="preserve">vakcīnu, vakcinējot meitenes no 15 gadu vecuma un sievietes, </w:t>
            </w:r>
            <w:r w:rsidR="00160467" w:rsidRPr="001B4B49">
              <w:rPr>
                <w:sz w:val="28"/>
                <w:szCs w:val="28"/>
              </w:rPr>
              <w:lastRenderedPageBreak/>
              <w:t xml:space="preserve">ir jāievada trīs devas, vakcinējot ar </w:t>
            </w:r>
            <w:proofErr w:type="spellStart"/>
            <w:r w:rsidR="00160467" w:rsidRPr="001B4B49">
              <w:rPr>
                <w:i/>
                <w:sz w:val="28"/>
                <w:szCs w:val="28"/>
              </w:rPr>
              <w:t>Gardasil</w:t>
            </w:r>
            <w:proofErr w:type="spellEnd"/>
            <w:r w:rsidR="00160467" w:rsidRPr="001B4B49">
              <w:rPr>
                <w:i/>
                <w:sz w:val="28"/>
                <w:szCs w:val="28"/>
              </w:rPr>
              <w:t xml:space="preserve"> </w:t>
            </w:r>
            <w:r w:rsidR="00160467" w:rsidRPr="001B4B49">
              <w:rPr>
                <w:sz w:val="28"/>
                <w:szCs w:val="28"/>
              </w:rPr>
              <w:t>un</w:t>
            </w:r>
            <w:r w:rsidR="00160467" w:rsidRPr="001B4B49">
              <w:rPr>
                <w:i/>
                <w:sz w:val="28"/>
                <w:szCs w:val="28"/>
              </w:rPr>
              <w:t xml:space="preserve"> </w:t>
            </w:r>
            <w:proofErr w:type="spellStart"/>
            <w:r w:rsidR="00160467" w:rsidRPr="001B4B49">
              <w:rPr>
                <w:i/>
                <w:sz w:val="28"/>
                <w:szCs w:val="28"/>
              </w:rPr>
              <w:t>Silgard</w:t>
            </w:r>
            <w:proofErr w:type="spellEnd"/>
            <w:r w:rsidR="00160467" w:rsidRPr="001B4B49">
              <w:rPr>
                <w:i/>
                <w:sz w:val="28"/>
                <w:szCs w:val="28"/>
              </w:rPr>
              <w:t xml:space="preserve"> </w:t>
            </w:r>
            <w:r w:rsidR="00160467" w:rsidRPr="001B4B49">
              <w:rPr>
                <w:sz w:val="28"/>
                <w:szCs w:val="28"/>
              </w:rPr>
              <w:t>četrpadsmit gadus vecus vai vecākus cilvēkus arī tiek ievadītas trīs devas. Tas nozīmē, ka, uzsākot vakcināciju vēlākā dzīves periodā līdz 18 gadu vecuma sasniegšanai (ne 12 gadus vecām meitenēm, kā tas ir paredzēts vakcinācijas kalendārā)</w:t>
            </w:r>
            <w:r w:rsidR="00495EDB">
              <w:rPr>
                <w:sz w:val="28"/>
                <w:szCs w:val="28"/>
              </w:rPr>
              <w:t xml:space="preserve"> pošu skaits var atšķirties no MK noteikumu Nr.330 </w:t>
            </w:r>
            <w:r w:rsidR="00160467" w:rsidRPr="001B4B49">
              <w:rPr>
                <w:sz w:val="28"/>
                <w:szCs w:val="28"/>
              </w:rPr>
              <w:t xml:space="preserve"> </w:t>
            </w:r>
            <w:r w:rsidR="00495EDB">
              <w:rPr>
                <w:sz w:val="28"/>
                <w:szCs w:val="28"/>
              </w:rPr>
              <w:t xml:space="preserve">1.pielikumā noteiktā. </w:t>
            </w:r>
            <w:r w:rsidR="00492BAB">
              <w:rPr>
                <w:sz w:val="28"/>
                <w:szCs w:val="28"/>
              </w:rPr>
              <w:t xml:space="preserve">Lai šādos gadījumos nerastos pārpratumi, cik vakcinācijas devas no valsts budžeta līdzekļiem tiks apmaksātas, </w:t>
            </w:r>
            <w:r w:rsidR="00495EDB">
              <w:rPr>
                <w:sz w:val="28"/>
                <w:szCs w:val="28"/>
              </w:rPr>
              <w:t>MK noteikumu Nr.330 3.</w:t>
            </w:r>
            <w:r w:rsidR="00495EDB" w:rsidRPr="00495EDB">
              <w:rPr>
                <w:sz w:val="28"/>
                <w:szCs w:val="28"/>
                <w:vertAlign w:val="superscript"/>
              </w:rPr>
              <w:t>1</w:t>
            </w:r>
            <w:r w:rsidR="00495EDB">
              <w:rPr>
                <w:sz w:val="28"/>
                <w:szCs w:val="28"/>
              </w:rPr>
              <w:t xml:space="preserve"> punkts tiek papildināts</w:t>
            </w:r>
            <w:r w:rsidR="00520E5A">
              <w:rPr>
                <w:sz w:val="28"/>
                <w:szCs w:val="28"/>
              </w:rPr>
              <w:t xml:space="preserve"> nosakot, ka līdz </w:t>
            </w:r>
            <w:r w:rsidR="00520E5A" w:rsidRPr="00BE6029">
              <w:rPr>
                <w:sz w:val="28"/>
                <w:szCs w:val="28"/>
              </w:rPr>
              <w:t>18 gadu vecuma sasniegšanai</w:t>
            </w:r>
            <w:r w:rsidR="00520E5A">
              <w:rPr>
                <w:sz w:val="28"/>
                <w:szCs w:val="28"/>
              </w:rPr>
              <w:t xml:space="preserve"> </w:t>
            </w:r>
            <w:r w:rsidR="00495EDB">
              <w:rPr>
                <w:sz w:val="28"/>
                <w:szCs w:val="28"/>
              </w:rPr>
              <w:t xml:space="preserve"> </w:t>
            </w:r>
            <w:r w:rsidR="00520E5A">
              <w:rPr>
                <w:sz w:val="28"/>
                <w:szCs w:val="28"/>
              </w:rPr>
              <w:t xml:space="preserve">personas tiek vakcinētas atbilstoši vakcīnas lietošanas instrukcijā norādītajam, </w:t>
            </w:r>
            <w:r w:rsidR="00677D8D">
              <w:rPr>
                <w:sz w:val="28"/>
                <w:szCs w:val="28"/>
              </w:rPr>
              <w:t xml:space="preserve">kas nozīmē to, ka, piemēram, </w:t>
            </w:r>
            <w:r w:rsidR="00677D8D" w:rsidRPr="00677D8D">
              <w:rPr>
                <w:sz w:val="28"/>
                <w:szCs w:val="28"/>
              </w:rPr>
              <w:t>1</w:t>
            </w:r>
            <w:r w:rsidR="00677D8D">
              <w:rPr>
                <w:sz w:val="28"/>
                <w:szCs w:val="28"/>
              </w:rPr>
              <w:t>5</w:t>
            </w:r>
            <w:r w:rsidR="00677D8D" w:rsidRPr="00677D8D">
              <w:rPr>
                <w:sz w:val="28"/>
                <w:szCs w:val="28"/>
              </w:rPr>
              <w:t xml:space="preserve"> gadus vecas meitenes tiek vakcinētas pret cilvēka papilomas vīrusa infekci</w:t>
            </w:r>
            <w:r w:rsidR="00677D8D">
              <w:rPr>
                <w:sz w:val="28"/>
                <w:szCs w:val="28"/>
              </w:rPr>
              <w:t xml:space="preserve">ju, ievadot trīs vakcīnas devas, kuras </w:t>
            </w:r>
            <w:r w:rsidR="00520E5A">
              <w:rPr>
                <w:sz w:val="28"/>
                <w:szCs w:val="28"/>
              </w:rPr>
              <w:t xml:space="preserve">visas </w:t>
            </w:r>
            <w:r w:rsidR="00677D8D">
              <w:rPr>
                <w:sz w:val="28"/>
                <w:szCs w:val="28"/>
              </w:rPr>
              <w:t xml:space="preserve">tiks finansētas </w:t>
            </w:r>
            <w:r w:rsidR="00677D8D" w:rsidRPr="001B4B49">
              <w:rPr>
                <w:sz w:val="28"/>
                <w:szCs w:val="28"/>
              </w:rPr>
              <w:t>no valsts budžeta līdzekļiem</w:t>
            </w:r>
            <w:r w:rsidR="00495EDB">
              <w:rPr>
                <w:sz w:val="28"/>
                <w:szCs w:val="28"/>
              </w:rPr>
              <w:t>.</w:t>
            </w:r>
            <w:r w:rsidR="004A7F42">
              <w:rPr>
                <w:sz w:val="28"/>
                <w:szCs w:val="28"/>
              </w:rPr>
              <w:t xml:space="preserve"> (</w:t>
            </w:r>
            <w:r w:rsidR="004A7F42" w:rsidRPr="001B4B49">
              <w:rPr>
                <w:b/>
                <w:sz w:val="28"/>
                <w:szCs w:val="28"/>
              </w:rPr>
              <w:t xml:space="preserve">MK noteikumu projekta </w:t>
            </w:r>
            <w:r w:rsidR="004A7F42">
              <w:rPr>
                <w:b/>
                <w:sz w:val="28"/>
                <w:szCs w:val="28"/>
              </w:rPr>
              <w:t>1</w:t>
            </w:r>
            <w:r w:rsidR="004A7F42" w:rsidRPr="001B4B49">
              <w:rPr>
                <w:b/>
                <w:sz w:val="28"/>
                <w:szCs w:val="28"/>
              </w:rPr>
              <w:t>.punkts</w:t>
            </w:r>
            <w:r w:rsidR="004A7F42">
              <w:rPr>
                <w:sz w:val="28"/>
                <w:szCs w:val="28"/>
              </w:rPr>
              <w:t>)</w:t>
            </w:r>
          </w:p>
          <w:p w:rsidR="00750916" w:rsidRDefault="00750916" w:rsidP="007E722D">
            <w:pPr>
              <w:pStyle w:val="naiskr"/>
              <w:spacing w:before="20" w:after="20"/>
              <w:jc w:val="both"/>
              <w:rPr>
                <w:sz w:val="28"/>
                <w:szCs w:val="28"/>
              </w:rPr>
            </w:pPr>
          </w:p>
          <w:p w:rsidR="00FD6B36" w:rsidRDefault="00750916" w:rsidP="00FD6B36">
            <w:pPr>
              <w:pStyle w:val="naiskr"/>
              <w:spacing w:before="20" w:after="20"/>
              <w:jc w:val="both"/>
              <w:rPr>
                <w:sz w:val="28"/>
                <w:szCs w:val="28"/>
              </w:rPr>
            </w:pPr>
            <w:r>
              <w:rPr>
                <w:sz w:val="28"/>
                <w:szCs w:val="28"/>
              </w:rPr>
              <w:t xml:space="preserve">     Ņemot vērā, ka </w:t>
            </w:r>
            <w:r w:rsidRPr="00750916">
              <w:rPr>
                <w:sz w:val="28"/>
                <w:szCs w:val="28"/>
              </w:rPr>
              <w:t>vakcīna pret garo klepu, kas ietilpst kombinētajā vakcīnā</w:t>
            </w:r>
            <w:r>
              <w:rPr>
                <w:sz w:val="28"/>
                <w:szCs w:val="28"/>
              </w:rPr>
              <w:t xml:space="preserve">, ir tik tālu attīstīta, ka vairāk nav īpaša pamata to uzskatīt par īpaši alerģisku bērniem, </w:t>
            </w:r>
            <w:r w:rsidRPr="00750916">
              <w:rPr>
                <w:sz w:val="28"/>
                <w:szCs w:val="28"/>
              </w:rPr>
              <w:t>MK noteikumu Nr.330</w:t>
            </w:r>
            <w:r>
              <w:rPr>
                <w:sz w:val="28"/>
                <w:szCs w:val="28"/>
              </w:rPr>
              <w:t xml:space="preserve"> 1.pielikuma</w:t>
            </w:r>
            <w:r w:rsidR="00FD6B36">
              <w:rPr>
                <w:sz w:val="28"/>
                <w:szCs w:val="28"/>
              </w:rPr>
              <w:t xml:space="preserve"> </w:t>
            </w:r>
            <w:r w:rsidR="00FD6B36" w:rsidRPr="00FD6B36">
              <w:rPr>
                <w:sz w:val="28"/>
                <w:szCs w:val="28"/>
              </w:rPr>
              <w:t>3., 4., 5., 6. un 7.punktā</w:t>
            </w:r>
            <w:r>
              <w:rPr>
                <w:sz w:val="28"/>
                <w:szCs w:val="28"/>
              </w:rPr>
              <w:t xml:space="preserve"> </w:t>
            </w:r>
            <w:r w:rsidR="00FD6B36">
              <w:rPr>
                <w:sz w:val="28"/>
                <w:szCs w:val="28"/>
              </w:rPr>
              <w:t xml:space="preserve">nav nepieciešama piezīme ar norādi uz </w:t>
            </w:r>
            <w:r w:rsidR="00FD6B36" w:rsidRPr="00C43F22">
              <w:rPr>
                <w:sz w:val="28"/>
                <w:szCs w:val="28"/>
              </w:rPr>
              <w:t>alternatīv</w:t>
            </w:r>
            <w:r w:rsidR="00FD6B36">
              <w:rPr>
                <w:sz w:val="28"/>
                <w:szCs w:val="28"/>
              </w:rPr>
              <w:t>u</w:t>
            </w:r>
            <w:r w:rsidR="00FD6B36" w:rsidRPr="00C43F22">
              <w:rPr>
                <w:sz w:val="28"/>
                <w:szCs w:val="28"/>
              </w:rPr>
              <w:t xml:space="preserve"> vakcinācijas kurs</w:t>
            </w:r>
            <w:r w:rsidR="00FD6B36">
              <w:rPr>
                <w:sz w:val="28"/>
                <w:szCs w:val="28"/>
              </w:rPr>
              <w:t xml:space="preserve">u. </w:t>
            </w:r>
            <w:r w:rsidR="00D6645C">
              <w:rPr>
                <w:sz w:val="28"/>
                <w:szCs w:val="28"/>
              </w:rPr>
              <w:t>Šāda pieeja tiek pielietota arī citās Eiropas Savienības dalībvalstīs attiecībā uz minēto kombinēto vakcīnu.</w:t>
            </w:r>
            <w:r w:rsidR="006D7B4B">
              <w:rPr>
                <w:sz w:val="28"/>
                <w:szCs w:val="28"/>
              </w:rPr>
              <w:t xml:space="preserve"> Vakcinācijas līmenis 2013.gadā </w:t>
            </w:r>
            <w:r w:rsidR="006D7B4B" w:rsidRPr="006D7B4B">
              <w:rPr>
                <w:sz w:val="28"/>
                <w:szCs w:val="28"/>
              </w:rPr>
              <w:t>vakcīna</w:t>
            </w:r>
            <w:r w:rsidR="006D7B4B">
              <w:rPr>
                <w:sz w:val="28"/>
                <w:szCs w:val="28"/>
              </w:rPr>
              <w:t>i</w:t>
            </w:r>
            <w:r w:rsidR="006D7B4B" w:rsidRPr="006D7B4B">
              <w:rPr>
                <w:sz w:val="28"/>
                <w:szCs w:val="28"/>
              </w:rPr>
              <w:t xml:space="preserve"> pret difteriju, stingumkrampjiem, garo klepu, poliomielītu, b tipa </w:t>
            </w:r>
            <w:proofErr w:type="spellStart"/>
            <w:r w:rsidR="006D7B4B" w:rsidRPr="006D7B4B">
              <w:rPr>
                <w:i/>
                <w:sz w:val="28"/>
                <w:szCs w:val="28"/>
              </w:rPr>
              <w:t>Heamophilus</w:t>
            </w:r>
            <w:proofErr w:type="spellEnd"/>
            <w:r w:rsidR="006D7B4B" w:rsidRPr="006D7B4B">
              <w:rPr>
                <w:i/>
                <w:sz w:val="28"/>
                <w:szCs w:val="28"/>
              </w:rPr>
              <w:t xml:space="preserve"> influenzae</w:t>
            </w:r>
            <w:r w:rsidR="006D7B4B" w:rsidRPr="006D7B4B">
              <w:rPr>
                <w:sz w:val="28"/>
                <w:szCs w:val="28"/>
              </w:rPr>
              <w:t xml:space="preserve"> infekciju un B hepatītu</w:t>
            </w:r>
            <w:r w:rsidR="006D7B4B">
              <w:rPr>
                <w:sz w:val="28"/>
                <w:szCs w:val="28"/>
              </w:rPr>
              <w:t xml:space="preserve"> (3.pote) bija </w:t>
            </w:r>
            <w:r w:rsidR="007A7A10" w:rsidRPr="007A7A10">
              <w:rPr>
                <w:sz w:val="28"/>
                <w:szCs w:val="28"/>
              </w:rPr>
              <w:t>95,2%</w:t>
            </w:r>
            <w:r w:rsidR="007A7A10">
              <w:rPr>
                <w:sz w:val="28"/>
                <w:szCs w:val="28"/>
              </w:rPr>
              <w:t xml:space="preserve">, 2010.gadā </w:t>
            </w:r>
            <w:r w:rsidR="00476D96">
              <w:rPr>
                <w:sz w:val="28"/>
                <w:szCs w:val="28"/>
              </w:rPr>
              <w:t xml:space="preserve">– </w:t>
            </w:r>
            <w:r w:rsidR="007A7A10" w:rsidRPr="007A7A10">
              <w:rPr>
                <w:sz w:val="28"/>
                <w:szCs w:val="28"/>
              </w:rPr>
              <w:t>91,4%</w:t>
            </w:r>
            <w:r w:rsidR="005C2AA4">
              <w:rPr>
                <w:sz w:val="28"/>
                <w:szCs w:val="28"/>
              </w:rPr>
              <w:t xml:space="preserve">; </w:t>
            </w:r>
            <w:r w:rsidR="005C2AA4" w:rsidRPr="005C2AA4">
              <w:rPr>
                <w:sz w:val="28"/>
                <w:szCs w:val="28"/>
              </w:rPr>
              <w:t>vakcīna</w:t>
            </w:r>
            <w:r w:rsidR="005C2AA4">
              <w:rPr>
                <w:sz w:val="28"/>
                <w:szCs w:val="28"/>
              </w:rPr>
              <w:t>i</w:t>
            </w:r>
            <w:r w:rsidR="005C2AA4" w:rsidRPr="005C2AA4">
              <w:rPr>
                <w:sz w:val="28"/>
                <w:szCs w:val="28"/>
              </w:rPr>
              <w:t xml:space="preserve"> pret difteriju, stinguma krampjiem, garo klepu un poliomielītu</w:t>
            </w:r>
            <w:r w:rsidR="005C2AA4">
              <w:rPr>
                <w:sz w:val="28"/>
                <w:szCs w:val="28"/>
              </w:rPr>
              <w:t xml:space="preserve"> (4.pote) bija 9</w:t>
            </w:r>
            <w:r w:rsidR="005C2AA4" w:rsidRPr="007A7A10">
              <w:rPr>
                <w:sz w:val="28"/>
                <w:szCs w:val="28"/>
              </w:rPr>
              <w:t>2%</w:t>
            </w:r>
            <w:r w:rsidR="005C2AA4">
              <w:rPr>
                <w:sz w:val="28"/>
                <w:szCs w:val="28"/>
              </w:rPr>
              <w:t xml:space="preserve">, 2010.gadā – </w:t>
            </w:r>
            <w:r w:rsidR="005C2AA4" w:rsidRPr="005C2AA4">
              <w:rPr>
                <w:sz w:val="28"/>
                <w:szCs w:val="28"/>
              </w:rPr>
              <w:t>90,4</w:t>
            </w:r>
            <w:r w:rsidR="005C2AA4" w:rsidRPr="007A7A10">
              <w:rPr>
                <w:sz w:val="28"/>
                <w:szCs w:val="28"/>
              </w:rPr>
              <w:t>%</w:t>
            </w:r>
            <w:r w:rsidR="005C2AA4">
              <w:rPr>
                <w:sz w:val="28"/>
                <w:szCs w:val="28"/>
              </w:rPr>
              <w:t xml:space="preserve">. </w:t>
            </w:r>
            <w:r w:rsidR="00D6645C">
              <w:rPr>
                <w:sz w:val="28"/>
                <w:szCs w:val="28"/>
              </w:rPr>
              <w:t>(</w:t>
            </w:r>
            <w:r w:rsidR="00D6645C" w:rsidRPr="001B4B49">
              <w:rPr>
                <w:b/>
                <w:sz w:val="28"/>
                <w:szCs w:val="28"/>
              </w:rPr>
              <w:t xml:space="preserve">MK noteikumu projekta </w:t>
            </w:r>
            <w:r w:rsidR="00E20343">
              <w:rPr>
                <w:b/>
                <w:sz w:val="28"/>
                <w:szCs w:val="28"/>
              </w:rPr>
              <w:t>2</w:t>
            </w:r>
            <w:r w:rsidR="00D6645C" w:rsidRPr="001B4B49">
              <w:rPr>
                <w:b/>
                <w:sz w:val="28"/>
                <w:szCs w:val="28"/>
              </w:rPr>
              <w:t>.punkts</w:t>
            </w:r>
            <w:r w:rsidR="00D6645C">
              <w:rPr>
                <w:sz w:val="28"/>
                <w:szCs w:val="28"/>
              </w:rPr>
              <w:t>)</w:t>
            </w:r>
          </w:p>
          <w:p w:rsidR="00750916" w:rsidRDefault="00750916" w:rsidP="007E722D">
            <w:pPr>
              <w:pStyle w:val="naiskr"/>
              <w:spacing w:before="20" w:after="20"/>
              <w:jc w:val="both"/>
              <w:rPr>
                <w:sz w:val="28"/>
                <w:szCs w:val="28"/>
              </w:rPr>
            </w:pPr>
          </w:p>
          <w:p w:rsidR="006169A3" w:rsidRDefault="00367513" w:rsidP="00367513">
            <w:pPr>
              <w:pStyle w:val="naiskr"/>
              <w:spacing w:before="20" w:after="20"/>
              <w:jc w:val="both"/>
              <w:rPr>
                <w:sz w:val="28"/>
                <w:szCs w:val="28"/>
              </w:rPr>
            </w:pPr>
            <w:r>
              <w:rPr>
                <w:sz w:val="28"/>
                <w:szCs w:val="28"/>
              </w:rPr>
              <w:t xml:space="preserve">     </w:t>
            </w:r>
            <w:r w:rsidR="006169A3">
              <w:rPr>
                <w:sz w:val="28"/>
                <w:szCs w:val="28"/>
              </w:rPr>
              <w:t>Projekta mērķis ir:</w:t>
            </w:r>
          </w:p>
          <w:p w:rsidR="006169A3" w:rsidRPr="00CD29C9" w:rsidRDefault="00367513" w:rsidP="00CD29C9">
            <w:pPr>
              <w:pStyle w:val="naiskr"/>
              <w:numPr>
                <w:ilvl w:val="0"/>
                <w:numId w:val="18"/>
              </w:numPr>
              <w:spacing w:before="20" w:after="20"/>
              <w:jc w:val="both"/>
              <w:rPr>
                <w:sz w:val="28"/>
                <w:szCs w:val="28"/>
              </w:rPr>
            </w:pPr>
            <w:r w:rsidRPr="00367513">
              <w:rPr>
                <w:sz w:val="28"/>
                <w:szCs w:val="28"/>
              </w:rPr>
              <w:t>precizēt vakcinācijas</w:t>
            </w:r>
            <w:r>
              <w:rPr>
                <w:sz w:val="28"/>
                <w:szCs w:val="28"/>
              </w:rPr>
              <w:t xml:space="preserve"> kalendāru (</w:t>
            </w:r>
            <w:r w:rsidR="006169A3">
              <w:rPr>
                <w:sz w:val="28"/>
                <w:szCs w:val="28"/>
              </w:rPr>
              <w:t xml:space="preserve">vakcinācija pret cilvēka papilomas vīrusa infekciju, ievadot divas vakcīnas devas </w:t>
            </w:r>
            <w:r w:rsidR="006169A3" w:rsidRPr="001B4B49">
              <w:rPr>
                <w:sz w:val="28"/>
                <w:szCs w:val="28"/>
              </w:rPr>
              <w:t>12 gadus vecām meitenēm</w:t>
            </w:r>
            <w:r w:rsidR="00CD29C9">
              <w:rPr>
                <w:sz w:val="28"/>
                <w:szCs w:val="28"/>
              </w:rPr>
              <w:t>; svītrot piezīmes par vakcinācijas shēmu bērniem, kuriem kontrindicēta vakcīna pret garo klepu</w:t>
            </w:r>
            <w:r w:rsidRPr="00CD29C9">
              <w:rPr>
                <w:sz w:val="28"/>
                <w:szCs w:val="28"/>
              </w:rPr>
              <w:t>)</w:t>
            </w:r>
            <w:r w:rsidR="006169A3" w:rsidRPr="00CD29C9">
              <w:rPr>
                <w:sz w:val="28"/>
                <w:szCs w:val="28"/>
              </w:rPr>
              <w:t>;</w:t>
            </w:r>
          </w:p>
          <w:p w:rsidR="00367513" w:rsidRPr="00A265B7" w:rsidRDefault="006169A3" w:rsidP="00A265B7">
            <w:pPr>
              <w:pStyle w:val="naiskr"/>
              <w:numPr>
                <w:ilvl w:val="0"/>
                <w:numId w:val="18"/>
              </w:numPr>
              <w:spacing w:before="20" w:after="20"/>
              <w:jc w:val="both"/>
              <w:rPr>
                <w:sz w:val="28"/>
                <w:szCs w:val="28"/>
              </w:rPr>
            </w:pPr>
            <w:r w:rsidRPr="00367513">
              <w:rPr>
                <w:sz w:val="28"/>
                <w:szCs w:val="28"/>
              </w:rPr>
              <w:t>precizēt</w:t>
            </w:r>
            <w:r w:rsidRPr="006169A3">
              <w:rPr>
                <w:sz w:val="28"/>
                <w:szCs w:val="28"/>
              </w:rPr>
              <w:t xml:space="preserve"> MK noteikumu Nr.330 3.</w:t>
            </w:r>
            <w:r w:rsidRPr="006169A3">
              <w:rPr>
                <w:sz w:val="28"/>
                <w:szCs w:val="28"/>
                <w:vertAlign w:val="superscript"/>
              </w:rPr>
              <w:t>1</w:t>
            </w:r>
            <w:r w:rsidRPr="006169A3">
              <w:rPr>
                <w:sz w:val="28"/>
                <w:szCs w:val="28"/>
              </w:rPr>
              <w:t xml:space="preserve"> punkt</w:t>
            </w:r>
            <w:r>
              <w:rPr>
                <w:sz w:val="28"/>
                <w:szCs w:val="28"/>
              </w:rPr>
              <w:t>u (</w:t>
            </w:r>
            <w:r w:rsidRPr="006169A3">
              <w:rPr>
                <w:sz w:val="28"/>
                <w:szCs w:val="28"/>
              </w:rPr>
              <w:t xml:space="preserve">uzsākot vakcināciju vēlākā dzīves periodā līdz 18 gadu </w:t>
            </w:r>
            <w:r w:rsidRPr="006169A3">
              <w:rPr>
                <w:sz w:val="28"/>
                <w:szCs w:val="28"/>
              </w:rPr>
              <w:lastRenderedPageBreak/>
              <w:t>vecuma sasniegšanai, ievēro vakcīnas lietošanas instrukcijā norādīto vakcinācijas shēmu un pošu skaitu)</w:t>
            </w:r>
            <w:r w:rsidR="00367513" w:rsidRPr="00A265B7">
              <w:rPr>
                <w:sz w:val="28"/>
                <w:szCs w:val="28"/>
              </w:rPr>
              <w:t>.</w:t>
            </w:r>
          </w:p>
          <w:p w:rsidR="00367513" w:rsidRPr="00677D8D" w:rsidRDefault="00367513" w:rsidP="00367513">
            <w:pPr>
              <w:pStyle w:val="naiskr"/>
              <w:spacing w:before="20" w:after="20"/>
              <w:jc w:val="both"/>
              <w:rPr>
                <w:sz w:val="28"/>
                <w:szCs w:val="28"/>
              </w:rPr>
            </w:pPr>
          </w:p>
          <w:p w:rsidR="007050D7" w:rsidRPr="00EF7ED5" w:rsidRDefault="004C0DEC" w:rsidP="008913A1">
            <w:pPr>
              <w:pStyle w:val="naiskr"/>
              <w:spacing w:before="20" w:after="20"/>
              <w:jc w:val="both"/>
              <w:rPr>
                <w:sz w:val="28"/>
                <w:szCs w:val="28"/>
              </w:rPr>
            </w:pPr>
            <w:r w:rsidRPr="00EF7ED5">
              <w:rPr>
                <w:sz w:val="28"/>
                <w:szCs w:val="28"/>
              </w:rPr>
              <w:t xml:space="preserve">     Noteikumu projekts</w:t>
            </w:r>
            <w:r w:rsidR="00576D28" w:rsidRPr="00EF7ED5">
              <w:rPr>
                <w:sz w:val="28"/>
                <w:szCs w:val="28"/>
              </w:rPr>
              <w:t xml:space="preserve"> atrisinās identificēt</w:t>
            </w:r>
            <w:r w:rsidR="002011C1">
              <w:rPr>
                <w:sz w:val="28"/>
                <w:szCs w:val="28"/>
              </w:rPr>
              <w:t>ās</w:t>
            </w:r>
            <w:r w:rsidR="00576D28" w:rsidRPr="00EF7ED5">
              <w:rPr>
                <w:sz w:val="28"/>
                <w:szCs w:val="28"/>
              </w:rPr>
              <w:t xml:space="preserve"> problēm</w:t>
            </w:r>
            <w:r w:rsidR="002011C1">
              <w:rPr>
                <w:sz w:val="28"/>
                <w:szCs w:val="28"/>
              </w:rPr>
              <w:t>as</w:t>
            </w:r>
            <w:r w:rsidR="008913A1">
              <w:t xml:space="preserve"> </w:t>
            </w:r>
            <w:r w:rsidR="008913A1" w:rsidRPr="008913A1">
              <w:rPr>
                <w:sz w:val="28"/>
                <w:szCs w:val="28"/>
              </w:rPr>
              <w:t>un novēr</w:t>
            </w:r>
            <w:r w:rsidR="008913A1">
              <w:rPr>
                <w:sz w:val="28"/>
                <w:szCs w:val="28"/>
              </w:rPr>
              <w:t>sīs</w:t>
            </w:r>
            <w:r w:rsidR="008913A1" w:rsidRPr="008913A1">
              <w:rPr>
                <w:sz w:val="28"/>
                <w:szCs w:val="28"/>
              </w:rPr>
              <w:t xml:space="preserve"> tiesiskā regulējuma nepilnības</w:t>
            </w:r>
            <w:r w:rsidR="00EF7ED5" w:rsidRPr="00EF7ED5">
              <w:rPr>
                <w:sz w:val="28"/>
                <w:szCs w:val="28"/>
              </w:rPr>
              <w:t xml:space="preserve">. </w:t>
            </w:r>
          </w:p>
        </w:tc>
      </w:tr>
      <w:tr w:rsidR="00771C3C" w:rsidRPr="00610063" w:rsidTr="003812D2">
        <w:trPr>
          <w:trHeight w:val="650"/>
        </w:trPr>
        <w:tc>
          <w:tcPr>
            <w:tcW w:w="528" w:type="dxa"/>
          </w:tcPr>
          <w:p w:rsidR="00771C3C" w:rsidRPr="00610063" w:rsidRDefault="00771C3C" w:rsidP="0073447B">
            <w:pPr>
              <w:pStyle w:val="naiskr"/>
              <w:spacing w:before="20" w:after="20"/>
              <w:jc w:val="center"/>
              <w:rPr>
                <w:sz w:val="28"/>
                <w:szCs w:val="28"/>
              </w:rPr>
            </w:pPr>
            <w:r w:rsidRPr="00610063">
              <w:rPr>
                <w:sz w:val="28"/>
                <w:szCs w:val="28"/>
              </w:rPr>
              <w:lastRenderedPageBreak/>
              <w:t>3.</w:t>
            </w:r>
          </w:p>
        </w:tc>
        <w:tc>
          <w:tcPr>
            <w:tcW w:w="2181" w:type="dxa"/>
          </w:tcPr>
          <w:p w:rsidR="00771C3C" w:rsidRPr="00610063" w:rsidRDefault="00EE53E8" w:rsidP="0073447B">
            <w:pPr>
              <w:pStyle w:val="naiskr"/>
              <w:spacing w:before="20" w:after="20"/>
              <w:rPr>
                <w:sz w:val="28"/>
                <w:szCs w:val="28"/>
              </w:rPr>
            </w:pPr>
            <w:r w:rsidRPr="00610063">
              <w:rPr>
                <w:sz w:val="28"/>
                <w:szCs w:val="28"/>
              </w:rPr>
              <w:t>Projekta izstrādē iesaistītās institūcijas</w:t>
            </w:r>
          </w:p>
        </w:tc>
        <w:tc>
          <w:tcPr>
            <w:tcW w:w="6392" w:type="dxa"/>
          </w:tcPr>
          <w:p w:rsidR="001942B5" w:rsidRPr="005940F4" w:rsidRDefault="000D571E" w:rsidP="00FB2BFF">
            <w:pPr>
              <w:pStyle w:val="naiskr"/>
              <w:spacing w:before="20" w:after="20"/>
              <w:jc w:val="both"/>
              <w:rPr>
                <w:sz w:val="28"/>
                <w:szCs w:val="28"/>
              </w:rPr>
            </w:pPr>
            <w:r w:rsidRPr="005940F4">
              <w:rPr>
                <w:sz w:val="28"/>
                <w:szCs w:val="28"/>
              </w:rPr>
              <w:t>Noteikumu projekt</w:t>
            </w:r>
            <w:r w:rsidR="003B0CEA" w:rsidRPr="005940F4">
              <w:rPr>
                <w:sz w:val="28"/>
                <w:szCs w:val="28"/>
              </w:rPr>
              <w:t>a</w:t>
            </w:r>
            <w:r w:rsidRPr="005940F4">
              <w:rPr>
                <w:sz w:val="28"/>
                <w:szCs w:val="28"/>
              </w:rPr>
              <w:t xml:space="preserve"> izstrād</w:t>
            </w:r>
            <w:r w:rsidR="003B0CEA" w:rsidRPr="005940F4">
              <w:rPr>
                <w:sz w:val="28"/>
                <w:szCs w:val="28"/>
              </w:rPr>
              <w:t>ē</w:t>
            </w:r>
            <w:r w:rsidRPr="005940F4">
              <w:rPr>
                <w:sz w:val="28"/>
                <w:szCs w:val="28"/>
              </w:rPr>
              <w:t xml:space="preserve"> </w:t>
            </w:r>
            <w:r w:rsidR="003B0CEA" w:rsidRPr="005940F4">
              <w:rPr>
                <w:sz w:val="28"/>
                <w:szCs w:val="28"/>
              </w:rPr>
              <w:t xml:space="preserve">iesaistīts </w:t>
            </w:r>
            <w:r w:rsidR="005940F4" w:rsidRPr="005940F4">
              <w:rPr>
                <w:sz w:val="28"/>
                <w:szCs w:val="28"/>
              </w:rPr>
              <w:t>Slimību profilakses un kontroles</w:t>
            </w:r>
            <w:r w:rsidR="003B0CEA" w:rsidRPr="005940F4">
              <w:rPr>
                <w:sz w:val="28"/>
                <w:szCs w:val="28"/>
              </w:rPr>
              <w:t xml:space="preserve"> </w:t>
            </w:r>
            <w:r w:rsidR="005940F4" w:rsidRPr="005940F4">
              <w:rPr>
                <w:sz w:val="28"/>
                <w:szCs w:val="28"/>
              </w:rPr>
              <w:t>c</w:t>
            </w:r>
            <w:r w:rsidR="003B0CEA" w:rsidRPr="005940F4">
              <w:rPr>
                <w:sz w:val="28"/>
                <w:szCs w:val="28"/>
              </w:rPr>
              <w:t>entrs</w:t>
            </w:r>
            <w:r w:rsidR="009E4F8F">
              <w:rPr>
                <w:sz w:val="28"/>
                <w:szCs w:val="28"/>
              </w:rPr>
              <w:t xml:space="preserve"> un Nacionālais veselības dienests</w:t>
            </w:r>
            <w:r w:rsidRPr="005940F4">
              <w:rPr>
                <w:sz w:val="28"/>
                <w:szCs w:val="28"/>
              </w:rPr>
              <w:t>.</w:t>
            </w:r>
          </w:p>
        </w:tc>
      </w:tr>
      <w:tr w:rsidR="00771C3C" w:rsidRPr="00610063" w:rsidTr="003812D2">
        <w:tc>
          <w:tcPr>
            <w:tcW w:w="528" w:type="dxa"/>
          </w:tcPr>
          <w:p w:rsidR="00771C3C" w:rsidRPr="00610063" w:rsidRDefault="00331B42" w:rsidP="0073447B">
            <w:pPr>
              <w:pStyle w:val="naiskr"/>
              <w:spacing w:before="20" w:after="20"/>
              <w:jc w:val="center"/>
              <w:rPr>
                <w:sz w:val="28"/>
                <w:szCs w:val="28"/>
              </w:rPr>
            </w:pPr>
            <w:r w:rsidRPr="00610063">
              <w:rPr>
                <w:sz w:val="28"/>
                <w:szCs w:val="28"/>
              </w:rPr>
              <w:t>4</w:t>
            </w:r>
            <w:r w:rsidR="00771C3C" w:rsidRPr="00610063">
              <w:rPr>
                <w:sz w:val="28"/>
                <w:szCs w:val="28"/>
              </w:rPr>
              <w:t>.</w:t>
            </w:r>
          </w:p>
        </w:tc>
        <w:tc>
          <w:tcPr>
            <w:tcW w:w="2181" w:type="dxa"/>
          </w:tcPr>
          <w:p w:rsidR="00771C3C" w:rsidRPr="00610063" w:rsidRDefault="00771C3C" w:rsidP="0073447B">
            <w:pPr>
              <w:pStyle w:val="naiskr"/>
              <w:spacing w:before="20" w:after="20"/>
              <w:rPr>
                <w:sz w:val="28"/>
                <w:szCs w:val="28"/>
              </w:rPr>
            </w:pPr>
            <w:r w:rsidRPr="00610063">
              <w:rPr>
                <w:sz w:val="28"/>
                <w:szCs w:val="28"/>
              </w:rPr>
              <w:t> Cita informācija</w:t>
            </w:r>
          </w:p>
        </w:tc>
        <w:tc>
          <w:tcPr>
            <w:tcW w:w="6392" w:type="dxa"/>
          </w:tcPr>
          <w:p w:rsidR="00771C3C" w:rsidRPr="00610063" w:rsidRDefault="00771C3C" w:rsidP="00B1403B">
            <w:pPr>
              <w:pStyle w:val="naiskr"/>
              <w:spacing w:before="20" w:after="20"/>
              <w:jc w:val="both"/>
              <w:rPr>
                <w:sz w:val="28"/>
                <w:szCs w:val="28"/>
              </w:rPr>
            </w:pPr>
          </w:p>
        </w:tc>
      </w:tr>
    </w:tbl>
    <w:p w:rsidR="009A2357" w:rsidRDefault="009A2357" w:rsidP="009A2357">
      <w:pPr>
        <w:pStyle w:val="naisf"/>
        <w:jc w:val="center"/>
        <w:rPr>
          <w:sz w:val="28"/>
          <w:szCs w:val="28"/>
        </w:rPr>
      </w:pPr>
    </w:p>
    <w:tbl>
      <w:tblPr>
        <w:tblStyle w:val="TableGrid"/>
        <w:tblW w:w="4960" w:type="pct"/>
        <w:tblLook w:val="04A0"/>
      </w:tblPr>
      <w:tblGrid>
        <w:gridCol w:w="462"/>
        <w:gridCol w:w="2860"/>
        <w:gridCol w:w="5891"/>
      </w:tblGrid>
      <w:tr w:rsidR="00803E0A" w:rsidRPr="00803E0A" w:rsidTr="00803E0A">
        <w:trPr>
          <w:trHeight w:val="555"/>
        </w:trPr>
        <w:tc>
          <w:tcPr>
            <w:tcW w:w="4967" w:type="pct"/>
            <w:gridSpan w:val="3"/>
            <w:hideMark/>
          </w:tcPr>
          <w:p w:rsidR="00803E0A" w:rsidRPr="00803E0A" w:rsidRDefault="00803E0A" w:rsidP="005D64CB">
            <w:pPr>
              <w:spacing w:before="100" w:beforeAutospacing="1" w:after="100" w:afterAutospacing="1"/>
              <w:ind w:firstLine="272"/>
              <w:jc w:val="center"/>
              <w:rPr>
                <w:b/>
                <w:bCs/>
                <w:sz w:val="28"/>
                <w:szCs w:val="28"/>
              </w:rPr>
            </w:pPr>
            <w:r w:rsidRPr="00803E0A">
              <w:rPr>
                <w:b/>
                <w:bCs/>
                <w:sz w:val="28"/>
                <w:szCs w:val="28"/>
              </w:rPr>
              <w:t>II. Tiesību akta projekta ietekme uz sabiedrību, tautsaimniecības attīstību un administratīvo slogu</w:t>
            </w:r>
          </w:p>
        </w:tc>
      </w:tr>
      <w:tr w:rsidR="00803E0A" w:rsidRPr="00803E0A" w:rsidTr="00803E0A">
        <w:trPr>
          <w:trHeight w:val="465"/>
        </w:trPr>
        <w:tc>
          <w:tcPr>
            <w:tcW w:w="249" w:type="pct"/>
            <w:hideMark/>
          </w:tcPr>
          <w:p w:rsidR="00803E0A" w:rsidRPr="00803E0A" w:rsidRDefault="00803E0A" w:rsidP="00803E0A">
            <w:pPr>
              <w:rPr>
                <w:sz w:val="28"/>
                <w:szCs w:val="28"/>
              </w:rPr>
            </w:pPr>
            <w:r w:rsidRPr="00803E0A">
              <w:rPr>
                <w:sz w:val="28"/>
                <w:szCs w:val="28"/>
              </w:rPr>
              <w:t>1.</w:t>
            </w:r>
          </w:p>
        </w:tc>
        <w:tc>
          <w:tcPr>
            <w:tcW w:w="1542" w:type="pct"/>
            <w:hideMark/>
          </w:tcPr>
          <w:p w:rsidR="00803E0A" w:rsidRPr="00803E0A" w:rsidRDefault="00803E0A" w:rsidP="00803E0A">
            <w:pPr>
              <w:rPr>
                <w:sz w:val="28"/>
                <w:szCs w:val="28"/>
              </w:rPr>
            </w:pPr>
            <w:r w:rsidRPr="00803E0A">
              <w:rPr>
                <w:sz w:val="28"/>
                <w:szCs w:val="28"/>
              </w:rPr>
              <w:t>Sabiedrības mērķgrupas, kuras tiesiskais regulējums ietekmē vai varētu ietekmēt</w:t>
            </w:r>
          </w:p>
        </w:tc>
        <w:tc>
          <w:tcPr>
            <w:tcW w:w="3144" w:type="pct"/>
            <w:hideMark/>
          </w:tcPr>
          <w:p w:rsidR="00570457" w:rsidRPr="00570457" w:rsidRDefault="00EC5EEF" w:rsidP="00C8222D">
            <w:pPr>
              <w:jc w:val="both"/>
              <w:rPr>
                <w:sz w:val="28"/>
                <w:szCs w:val="28"/>
              </w:rPr>
            </w:pPr>
            <w:r>
              <w:rPr>
                <w:color w:val="C00000"/>
                <w:sz w:val="28"/>
                <w:szCs w:val="28"/>
              </w:rPr>
              <w:t xml:space="preserve">     </w:t>
            </w:r>
            <w:r w:rsidR="00460AF1">
              <w:rPr>
                <w:sz w:val="28"/>
                <w:szCs w:val="28"/>
              </w:rPr>
              <w:t xml:space="preserve">Noteikumu </w:t>
            </w:r>
            <w:r w:rsidR="002B17CD" w:rsidRPr="00570457">
              <w:rPr>
                <w:sz w:val="28"/>
                <w:szCs w:val="28"/>
              </w:rPr>
              <w:t>projektam ir pozitīva ietekme uz sabiedrības veselību – tiek aizstāvētas sabiedrības intereses kopumā</w:t>
            </w:r>
            <w:r w:rsidR="00570457" w:rsidRPr="00570457">
              <w:rPr>
                <w:sz w:val="28"/>
                <w:szCs w:val="28"/>
              </w:rPr>
              <w:t>.</w:t>
            </w:r>
          </w:p>
          <w:p w:rsidR="00FC541D" w:rsidRDefault="002B17CD" w:rsidP="00FC541D">
            <w:pPr>
              <w:jc w:val="both"/>
              <w:rPr>
                <w:sz w:val="28"/>
                <w:szCs w:val="28"/>
              </w:rPr>
            </w:pPr>
            <w:r w:rsidRPr="00570457">
              <w:rPr>
                <w:sz w:val="28"/>
                <w:szCs w:val="28"/>
              </w:rPr>
              <w:t xml:space="preserve">     </w:t>
            </w:r>
            <w:r w:rsidR="00570457" w:rsidRPr="00570457">
              <w:rPr>
                <w:sz w:val="28"/>
                <w:szCs w:val="28"/>
              </w:rPr>
              <w:t>Ģimenes ārsti</w:t>
            </w:r>
            <w:r w:rsidR="004B1F7D">
              <w:rPr>
                <w:sz w:val="28"/>
                <w:szCs w:val="28"/>
              </w:rPr>
              <w:t xml:space="preserve"> (~</w:t>
            </w:r>
            <w:r w:rsidR="004B1F7D" w:rsidRPr="004B1F7D">
              <w:rPr>
                <w:sz w:val="28"/>
                <w:szCs w:val="28"/>
              </w:rPr>
              <w:t>1368</w:t>
            </w:r>
            <w:r w:rsidR="004B1F7D">
              <w:rPr>
                <w:sz w:val="28"/>
                <w:szCs w:val="28"/>
              </w:rPr>
              <w:t xml:space="preserve">), kas sniedz valsts apmaksātos veselības aprūpes pakalpojumus, </w:t>
            </w:r>
            <w:r w:rsidR="00570457" w:rsidRPr="00570457">
              <w:rPr>
                <w:sz w:val="28"/>
                <w:szCs w:val="28"/>
              </w:rPr>
              <w:t>un t</w:t>
            </w:r>
            <w:r w:rsidR="00CE0262">
              <w:rPr>
                <w:sz w:val="28"/>
                <w:szCs w:val="28"/>
              </w:rPr>
              <w:t>ā</w:t>
            </w:r>
            <w:r w:rsidR="00570457" w:rsidRPr="00570457">
              <w:rPr>
                <w:sz w:val="28"/>
                <w:szCs w:val="28"/>
              </w:rPr>
              <w:t xml:space="preserve"> pacient</w:t>
            </w:r>
            <w:r w:rsidR="00CE0262">
              <w:rPr>
                <w:sz w:val="28"/>
                <w:szCs w:val="28"/>
              </w:rPr>
              <w:t>u grupa</w:t>
            </w:r>
            <w:r w:rsidR="00570457" w:rsidRPr="00570457">
              <w:rPr>
                <w:sz w:val="28"/>
                <w:szCs w:val="28"/>
              </w:rPr>
              <w:t>, kur</w:t>
            </w:r>
            <w:r w:rsidR="00450CE1">
              <w:rPr>
                <w:sz w:val="28"/>
                <w:szCs w:val="28"/>
              </w:rPr>
              <w:t>u</w:t>
            </w:r>
            <w:r w:rsidR="00570457" w:rsidRPr="00570457">
              <w:rPr>
                <w:sz w:val="28"/>
                <w:szCs w:val="28"/>
              </w:rPr>
              <w:t xml:space="preserve"> skar</w:t>
            </w:r>
            <w:r w:rsidR="00CE0262">
              <w:rPr>
                <w:sz w:val="28"/>
                <w:szCs w:val="28"/>
              </w:rPr>
              <w:t xml:space="preserve"> jautājums par vakcināciju</w:t>
            </w:r>
            <w:r w:rsidR="00123EAB" w:rsidRPr="001942B5">
              <w:rPr>
                <w:sz w:val="28"/>
                <w:szCs w:val="28"/>
              </w:rPr>
              <w:t xml:space="preserve"> pret </w:t>
            </w:r>
            <w:r w:rsidR="00FC541D">
              <w:rPr>
                <w:sz w:val="28"/>
                <w:szCs w:val="28"/>
              </w:rPr>
              <w:t>cilvēka papilomas vīrusa infekciju</w:t>
            </w:r>
            <w:r w:rsidR="00C8222D" w:rsidRPr="00570457">
              <w:rPr>
                <w:sz w:val="28"/>
                <w:szCs w:val="28"/>
              </w:rPr>
              <w:t>.</w:t>
            </w:r>
          </w:p>
          <w:p w:rsidR="00450CE1" w:rsidRDefault="00450CE1" w:rsidP="00FC541D">
            <w:pPr>
              <w:jc w:val="both"/>
              <w:rPr>
                <w:sz w:val="28"/>
                <w:szCs w:val="28"/>
              </w:rPr>
            </w:pPr>
            <w:r>
              <w:rPr>
                <w:sz w:val="28"/>
                <w:szCs w:val="28"/>
              </w:rPr>
              <w:t xml:space="preserve">     Aptuveni 7278 meitenes</w:t>
            </w:r>
            <w:r w:rsidRPr="00735207">
              <w:rPr>
                <w:sz w:val="28"/>
                <w:szCs w:val="28"/>
              </w:rPr>
              <w:t xml:space="preserve"> gadā</w:t>
            </w:r>
            <w:r>
              <w:rPr>
                <w:sz w:val="28"/>
                <w:szCs w:val="28"/>
              </w:rPr>
              <w:t>, kuras</w:t>
            </w:r>
            <w:r w:rsidRPr="003479F4">
              <w:rPr>
                <w:i/>
                <w:sz w:val="28"/>
                <w:szCs w:val="28"/>
              </w:rPr>
              <w:t xml:space="preserve"> </w:t>
            </w:r>
            <w:r w:rsidRPr="00735207">
              <w:rPr>
                <w:sz w:val="28"/>
                <w:szCs w:val="28"/>
              </w:rPr>
              <w:t xml:space="preserve">paredzēts vakcinēt </w:t>
            </w:r>
            <w:r>
              <w:rPr>
                <w:sz w:val="28"/>
                <w:szCs w:val="28"/>
              </w:rPr>
              <w:t>ar</w:t>
            </w:r>
            <w:r w:rsidRPr="00735207">
              <w:rPr>
                <w:sz w:val="28"/>
                <w:szCs w:val="28"/>
              </w:rPr>
              <w:t xml:space="preserve"> </w:t>
            </w:r>
            <w:proofErr w:type="spellStart"/>
            <w:r w:rsidRPr="003479F4">
              <w:rPr>
                <w:i/>
                <w:sz w:val="28"/>
                <w:szCs w:val="28"/>
              </w:rPr>
              <w:t>Cervarix</w:t>
            </w:r>
            <w:proofErr w:type="spellEnd"/>
            <w:r w:rsidRPr="00221CAE">
              <w:rPr>
                <w:sz w:val="28"/>
                <w:szCs w:val="28"/>
              </w:rPr>
              <w:t xml:space="preserve"> vakcīn</w:t>
            </w:r>
            <w:r>
              <w:rPr>
                <w:sz w:val="28"/>
                <w:szCs w:val="28"/>
              </w:rPr>
              <w:t>u</w:t>
            </w:r>
            <w:r w:rsidRPr="00221CAE">
              <w:rPr>
                <w:sz w:val="28"/>
                <w:szCs w:val="28"/>
              </w:rPr>
              <w:t xml:space="preserve"> 201</w:t>
            </w:r>
            <w:r>
              <w:rPr>
                <w:sz w:val="28"/>
                <w:szCs w:val="28"/>
              </w:rPr>
              <w:t>5.gadā.</w:t>
            </w:r>
          </w:p>
          <w:p w:rsidR="00450CE1" w:rsidRDefault="001857BA" w:rsidP="00450CE1">
            <w:pPr>
              <w:jc w:val="both"/>
              <w:rPr>
                <w:sz w:val="28"/>
                <w:szCs w:val="28"/>
              </w:rPr>
            </w:pPr>
            <w:r>
              <w:rPr>
                <w:sz w:val="28"/>
                <w:szCs w:val="28"/>
              </w:rPr>
              <w:t xml:space="preserve">     </w:t>
            </w:r>
            <w:r w:rsidRPr="001857BA">
              <w:rPr>
                <w:sz w:val="28"/>
                <w:szCs w:val="28"/>
              </w:rPr>
              <w:t>Slimību profilakses un kontroles centra epidemiologi, aptuveni 20 epidemiologi</w:t>
            </w:r>
            <w:r>
              <w:rPr>
                <w:sz w:val="28"/>
                <w:szCs w:val="28"/>
              </w:rPr>
              <w:t>,</w:t>
            </w:r>
            <w:r w:rsidRPr="001857BA">
              <w:rPr>
                <w:sz w:val="28"/>
                <w:szCs w:val="28"/>
              </w:rPr>
              <w:t xml:space="preserve"> un viņu palīgi, kuri apkopo datus par vakcināciju un gatavo vakcīnu pasūtījumus</w:t>
            </w:r>
            <w:r>
              <w:rPr>
                <w:sz w:val="28"/>
                <w:szCs w:val="28"/>
              </w:rPr>
              <w:t>.</w:t>
            </w:r>
          </w:p>
          <w:p w:rsidR="00C06125" w:rsidRPr="00FC541D" w:rsidRDefault="00D4737A" w:rsidP="00450CE1">
            <w:pPr>
              <w:jc w:val="both"/>
              <w:rPr>
                <w:sz w:val="28"/>
                <w:szCs w:val="28"/>
              </w:rPr>
            </w:pPr>
            <w:r>
              <w:rPr>
                <w:sz w:val="28"/>
                <w:szCs w:val="28"/>
              </w:rPr>
              <w:t xml:space="preserve">     Vakcinācijas iestādes, kas gatavo</w:t>
            </w:r>
            <w:r w:rsidR="00D62F05">
              <w:rPr>
                <w:sz w:val="28"/>
                <w:szCs w:val="28"/>
              </w:rPr>
              <w:t>s</w:t>
            </w:r>
            <w:r>
              <w:rPr>
                <w:sz w:val="28"/>
                <w:szCs w:val="28"/>
              </w:rPr>
              <w:t xml:space="preserve"> </w:t>
            </w:r>
            <w:r w:rsidR="00C06125">
              <w:rPr>
                <w:sz w:val="28"/>
                <w:szCs w:val="28"/>
              </w:rPr>
              <w:t xml:space="preserve">attiecīgo </w:t>
            </w:r>
            <w:r>
              <w:rPr>
                <w:sz w:val="28"/>
                <w:szCs w:val="28"/>
              </w:rPr>
              <w:t>vakcīnu pasūtījumu.</w:t>
            </w:r>
          </w:p>
        </w:tc>
      </w:tr>
      <w:tr w:rsidR="00803E0A" w:rsidRPr="00803E0A" w:rsidTr="00803E0A">
        <w:trPr>
          <w:trHeight w:val="510"/>
        </w:trPr>
        <w:tc>
          <w:tcPr>
            <w:tcW w:w="249" w:type="pct"/>
            <w:hideMark/>
          </w:tcPr>
          <w:p w:rsidR="00803E0A" w:rsidRPr="00803E0A" w:rsidRDefault="00803E0A" w:rsidP="00803E0A">
            <w:pPr>
              <w:rPr>
                <w:sz w:val="28"/>
                <w:szCs w:val="28"/>
              </w:rPr>
            </w:pPr>
            <w:r w:rsidRPr="00803E0A">
              <w:rPr>
                <w:sz w:val="28"/>
                <w:szCs w:val="28"/>
              </w:rPr>
              <w:t>2.</w:t>
            </w:r>
          </w:p>
        </w:tc>
        <w:tc>
          <w:tcPr>
            <w:tcW w:w="1542" w:type="pct"/>
            <w:hideMark/>
          </w:tcPr>
          <w:p w:rsidR="00803E0A" w:rsidRPr="00803E0A" w:rsidRDefault="00803E0A" w:rsidP="00803E0A">
            <w:pPr>
              <w:rPr>
                <w:sz w:val="28"/>
                <w:szCs w:val="28"/>
              </w:rPr>
            </w:pPr>
            <w:r w:rsidRPr="00803E0A">
              <w:rPr>
                <w:sz w:val="28"/>
                <w:szCs w:val="28"/>
              </w:rPr>
              <w:t>Tiesiskā regulējuma ietekme uz tautsaimniecību un administratīvo slogu</w:t>
            </w:r>
          </w:p>
        </w:tc>
        <w:tc>
          <w:tcPr>
            <w:tcW w:w="3144" w:type="pct"/>
            <w:hideMark/>
          </w:tcPr>
          <w:p w:rsidR="00CF28F8" w:rsidRDefault="00CF28F8" w:rsidP="00A2246F">
            <w:pPr>
              <w:jc w:val="both"/>
              <w:rPr>
                <w:sz w:val="28"/>
                <w:szCs w:val="28"/>
              </w:rPr>
            </w:pPr>
            <w:r>
              <w:rPr>
                <w:sz w:val="28"/>
                <w:szCs w:val="28"/>
              </w:rPr>
              <w:t xml:space="preserve">Tiesiskajam regulējumam nav ietekmes uz </w:t>
            </w:r>
            <w:r w:rsidRPr="00803E0A">
              <w:rPr>
                <w:sz w:val="28"/>
                <w:szCs w:val="28"/>
              </w:rPr>
              <w:t>tautsaimniecību un administratīvo slogu</w:t>
            </w:r>
            <w:r>
              <w:rPr>
                <w:sz w:val="28"/>
                <w:szCs w:val="28"/>
              </w:rPr>
              <w:t>.</w:t>
            </w:r>
          </w:p>
          <w:p w:rsidR="00C06125" w:rsidRPr="00A2246F" w:rsidRDefault="00C06125" w:rsidP="00C06125">
            <w:pPr>
              <w:jc w:val="both"/>
              <w:rPr>
                <w:sz w:val="28"/>
                <w:szCs w:val="28"/>
              </w:rPr>
            </w:pPr>
          </w:p>
        </w:tc>
      </w:tr>
      <w:tr w:rsidR="00803E0A" w:rsidRPr="00803E0A" w:rsidTr="00803E0A">
        <w:trPr>
          <w:trHeight w:val="510"/>
        </w:trPr>
        <w:tc>
          <w:tcPr>
            <w:tcW w:w="249" w:type="pct"/>
            <w:hideMark/>
          </w:tcPr>
          <w:p w:rsidR="00803E0A" w:rsidRPr="00803E0A" w:rsidRDefault="00803E0A" w:rsidP="00803E0A">
            <w:pPr>
              <w:rPr>
                <w:sz w:val="28"/>
                <w:szCs w:val="28"/>
              </w:rPr>
            </w:pPr>
            <w:r w:rsidRPr="00803E0A">
              <w:rPr>
                <w:sz w:val="28"/>
                <w:szCs w:val="28"/>
              </w:rPr>
              <w:t>3.</w:t>
            </w:r>
          </w:p>
        </w:tc>
        <w:tc>
          <w:tcPr>
            <w:tcW w:w="1542" w:type="pct"/>
            <w:hideMark/>
          </w:tcPr>
          <w:p w:rsidR="00803E0A" w:rsidRPr="00803E0A" w:rsidRDefault="00803E0A" w:rsidP="00803E0A">
            <w:pPr>
              <w:rPr>
                <w:sz w:val="28"/>
                <w:szCs w:val="28"/>
              </w:rPr>
            </w:pPr>
            <w:r w:rsidRPr="00803E0A">
              <w:rPr>
                <w:sz w:val="28"/>
                <w:szCs w:val="28"/>
              </w:rPr>
              <w:t>Administratīvo izmaksu monetārs novērtējums</w:t>
            </w:r>
          </w:p>
        </w:tc>
        <w:tc>
          <w:tcPr>
            <w:tcW w:w="3144" w:type="pct"/>
            <w:hideMark/>
          </w:tcPr>
          <w:p w:rsidR="00803E0A" w:rsidRPr="00AD5368" w:rsidRDefault="009004A8" w:rsidP="00803E0A">
            <w:pPr>
              <w:rPr>
                <w:sz w:val="28"/>
                <w:szCs w:val="28"/>
              </w:rPr>
            </w:pPr>
            <w:r w:rsidRPr="00AD5368">
              <w:rPr>
                <w:sz w:val="28"/>
                <w:szCs w:val="28"/>
              </w:rPr>
              <w:t>Nav</w:t>
            </w:r>
          </w:p>
        </w:tc>
      </w:tr>
      <w:tr w:rsidR="00803E0A" w:rsidRPr="00803E0A" w:rsidTr="00803E0A">
        <w:trPr>
          <w:trHeight w:val="345"/>
        </w:trPr>
        <w:tc>
          <w:tcPr>
            <w:tcW w:w="249" w:type="pct"/>
            <w:hideMark/>
          </w:tcPr>
          <w:p w:rsidR="00803E0A" w:rsidRPr="00803E0A" w:rsidRDefault="00803E0A" w:rsidP="00803E0A">
            <w:pPr>
              <w:rPr>
                <w:sz w:val="28"/>
                <w:szCs w:val="28"/>
              </w:rPr>
            </w:pPr>
            <w:r w:rsidRPr="00803E0A">
              <w:rPr>
                <w:sz w:val="28"/>
                <w:szCs w:val="28"/>
              </w:rPr>
              <w:t>4.</w:t>
            </w:r>
          </w:p>
        </w:tc>
        <w:tc>
          <w:tcPr>
            <w:tcW w:w="1542" w:type="pct"/>
            <w:hideMark/>
          </w:tcPr>
          <w:p w:rsidR="00803E0A" w:rsidRPr="00803E0A" w:rsidRDefault="00803E0A" w:rsidP="00803E0A">
            <w:pPr>
              <w:rPr>
                <w:sz w:val="28"/>
                <w:szCs w:val="28"/>
              </w:rPr>
            </w:pPr>
            <w:r w:rsidRPr="00803E0A">
              <w:rPr>
                <w:sz w:val="28"/>
                <w:szCs w:val="28"/>
              </w:rPr>
              <w:t>Cita informācija</w:t>
            </w:r>
          </w:p>
        </w:tc>
        <w:tc>
          <w:tcPr>
            <w:tcW w:w="3144" w:type="pct"/>
            <w:hideMark/>
          </w:tcPr>
          <w:p w:rsidR="00803E0A" w:rsidRPr="00AD5368" w:rsidRDefault="009004A8" w:rsidP="009004A8">
            <w:pPr>
              <w:spacing w:before="100" w:beforeAutospacing="1" w:after="100" w:afterAutospacing="1" w:line="360" w:lineRule="auto"/>
              <w:rPr>
                <w:sz w:val="28"/>
                <w:szCs w:val="28"/>
              </w:rPr>
            </w:pPr>
            <w:r w:rsidRPr="00AD5368">
              <w:rPr>
                <w:sz w:val="28"/>
                <w:szCs w:val="28"/>
              </w:rPr>
              <w:t>Nav</w:t>
            </w:r>
          </w:p>
        </w:tc>
      </w:tr>
    </w:tbl>
    <w:p w:rsidR="00803E0A" w:rsidRDefault="00803E0A" w:rsidP="009A2357">
      <w:pPr>
        <w:pStyle w:val="naisf"/>
        <w:jc w:val="center"/>
        <w:rPr>
          <w:sz w:val="28"/>
          <w:szCs w:val="28"/>
        </w:rPr>
      </w:pPr>
    </w:p>
    <w:tbl>
      <w:tblPr>
        <w:tblStyle w:val="TableGrid"/>
        <w:tblW w:w="0" w:type="auto"/>
        <w:tblInd w:w="-318" w:type="dxa"/>
        <w:tblLayout w:type="fixed"/>
        <w:tblLook w:val="04A0"/>
      </w:tblPr>
      <w:tblGrid>
        <w:gridCol w:w="2553"/>
        <w:gridCol w:w="1535"/>
        <w:gridCol w:w="1302"/>
        <w:gridCol w:w="1273"/>
        <w:gridCol w:w="1418"/>
        <w:gridCol w:w="1417"/>
      </w:tblGrid>
      <w:tr w:rsidR="00216DF5" w:rsidRPr="004522ED" w:rsidTr="003F5A0E">
        <w:trPr>
          <w:trHeight w:val="360"/>
        </w:trPr>
        <w:tc>
          <w:tcPr>
            <w:tcW w:w="9498" w:type="dxa"/>
            <w:gridSpan w:val="6"/>
            <w:hideMark/>
          </w:tcPr>
          <w:p w:rsidR="00216DF5" w:rsidRPr="004522ED" w:rsidRDefault="00216DF5" w:rsidP="003F5A0E">
            <w:pPr>
              <w:pStyle w:val="tvhtml"/>
              <w:spacing w:line="293" w:lineRule="atLeast"/>
              <w:jc w:val="center"/>
              <w:rPr>
                <w:b/>
                <w:bCs/>
                <w:sz w:val="28"/>
                <w:szCs w:val="28"/>
                <w:lang w:val="lv-LV"/>
              </w:rPr>
            </w:pPr>
            <w:r w:rsidRPr="004522ED">
              <w:rPr>
                <w:b/>
                <w:bCs/>
                <w:sz w:val="28"/>
                <w:szCs w:val="28"/>
                <w:lang w:val="lv-LV"/>
              </w:rPr>
              <w:t>III. Tiesību akta projekta ietekme uz valsts budžetu un pašvaldību budžetiem</w:t>
            </w:r>
          </w:p>
        </w:tc>
      </w:tr>
      <w:tr w:rsidR="00216DF5" w:rsidRPr="004522ED" w:rsidTr="003F5A0E">
        <w:tc>
          <w:tcPr>
            <w:tcW w:w="2553" w:type="dxa"/>
            <w:vMerge w:val="restart"/>
            <w:hideMark/>
          </w:tcPr>
          <w:p w:rsidR="00216DF5" w:rsidRPr="004522ED" w:rsidRDefault="00216DF5" w:rsidP="003F5A0E">
            <w:pPr>
              <w:pStyle w:val="tvhtml"/>
              <w:spacing w:line="293" w:lineRule="atLeast"/>
              <w:jc w:val="center"/>
              <w:rPr>
                <w:b/>
                <w:bCs/>
                <w:sz w:val="28"/>
                <w:szCs w:val="28"/>
                <w:lang w:val="lv-LV"/>
              </w:rPr>
            </w:pPr>
            <w:r w:rsidRPr="004522ED">
              <w:rPr>
                <w:b/>
                <w:bCs/>
                <w:sz w:val="28"/>
                <w:szCs w:val="28"/>
                <w:lang w:val="lv-LV"/>
              </w:rPr>
              <w:t>Rādītāji</w:t>
            </w:r>
          </w:p>
        </w:tc>
        <w:tc>
          <w:tcPr>
            <w:tcW w:w="2837" w:type="dxa"/>
            <w:gridSpan w:val="2"/>
            <w:vMerge w:val="restart"/>
            <w:hideMark/>
          </w:tcPr>
          <w:p w:rsidR="00216DF5" w:rsidRPr="004522ED" w:rsidRDefault="00216DF5" w:rsidP="003F5A0E">
            <w:pPr>
              <w:pStyle w:val="tvhtml"/>
              <w:spacing w:line="293" w:lineRule="atLeast"/>
              <w:jc w:val="center"/>
              <w:rPr>
                <w:b/>
                <w:bCs/>
                <w:sz w:val="28"/>
                <w:szCs w:val="28"/>
                <w:lang w:val="lv-LV"/>
              </w:rPr>
            </w:pPr>
            <w:r w:rsidRPr="004522ED">
              <w:rPr>
                <w:b/>
                <w:bCs/>
                <w:sz w:val="28"/>
                <w:szCs w:val="28"/>
                <w:lang w:val="lv-LV"/>
              </w:rPr>
              <w:t>2014</w:t>
            </w:r>
            <w:r>
              <w:rPr>
                <w:b/>
                <w:bCs/>
                <w:sz w:val="28"/>
                <w:szCs w:val="28"/>
                <w:lang w:val="lv-LV"/>
              </w:rPr>
              <w:t>.</w:t>
            </w:r>
            <w:r w:rsidRPr="004522ED">
              <w:rPr>
                <w:b/>
                <w:bCs/>
                <w:sz w:val="28"/>
                <w:szCs w:val="28"/>
                <w:lang w:val="lv-LV"/>
              </w:rPr>
              <w:t>gads</w:t>
            </w:r>
          </w:p>
        </w:tc>
        <w:tc>
          <w:tcPr>
            <w:tcW w:w="4108" w:type="dxa"/>
            <w:gridSpan w:val="3"/>
            <w:hideMark/>
          </w:tcPr>
          <w:p w:rsidR="00216DF5" w:rsidRPr="004522ED" w:rsidRDefault="00216DF5" w:rsidP="003F5A0E">
            <w:pPr>
              <w:pStyle w:val="tvhtml"/>
              <w:spacing w:line="293" w:lineRule="atLeast"/>
              <w:jc w:val="center"/>
              <w:rPr>
                <w:sz w:val="28"/>
                <w:szCs w:val="28"/>
                <w:lang w:val="lv-LV"/>
              </w:rPr>
            </w:pPr>
            <w:r w:rsidRPr="004522ED">
              <w:rPr>
                <w:sz w:val="28"/>
                <w:szCs w:val="28"/>
                <w:lang w:val="lv-LV"/>
              </w:rPr>
              <w:t>Turpmākie trīs gadi (</w:t>
            </w:r>
            <w:r w:rsidRPr="004522ED">
              <w:rPr>
                <w:i/>
                <w:iCs/>
                <w:sz w:val="28"/>
                <w:szCs w:val="28"/>
                <w:lang w:val="lv-LV"/>
              </w:rPr>
              <w:t>euro</w:t>
            </w:r>
            <w:r w:rsidRPr="004522ED">
              <w:rPr>
                <w:sz w:val="28"/>
                <w:szCs w:val="28"/>
                <w:lang w:val="lv-LV"/>
              </w:rPr>
              <w:t>)</w:t>
            </w:r>
          </w:p>
        </w:tc>
      </w:tr>
      <w:tr w:rsidR="00216DF5" w:rsidRPr="004522ED" w:rsidTr="003F5A0E">
        <w:tc>
          <w:tcPr>
            <w:tcW w:w="2553" w:type="dxa"/>
            <w:vMerge/>
            <w:hideMark/>
          </w:tcPr>
          <w:p w:rsidR="00216DF5" w:rsidRPr="004522ED" w:rsidRDefault="00216DF5" w:rsidP="003F5A0E">
            <w:pPr>
              <w:rPr>
                <w:b/>
                <w:bCs/>
                <w:sz w:val="28"/>
                <w:szCs w:val="28"/>
              </w:rPr>
            </w:pPr>
          </w:p>
        </w:tc>
        <w:tc>
          <w:tcPr>
            <w:tcW w:w="2837" w:type="dxa"/>
            <w:gridSpan w:val="2"/>
            <w:vMerge/>
            <w:hideMark/>
          </w:tcPr>
          <w:p w:rsidR="00216DF5" w:rsidRPr="004522ED" w:rsidRDefault="00216DF5" w:rsidP="003F5A0E">
            <w:pPr>
              <w:rPr>
                <w:b/>
                <w:bCs/>
                <w:sz w:val="28"/>
                <w:szCs w:val="28"/>
              </w:rPr>
            </w:pPr>
          </w:p>
        </w:tc>
        <w:tc>
          <w:tcPr>
            <w:tcW w:w="1273" w:type="dxa"/>
            <w:hideMark/>
          </w:tcPr>
          <w:p w:rsidR="00216DF5" w:rsidRPr="004522ED" w:rsidRDefault="00216DF5" w:rsidP="003F5A0E">
            <w:pPr>
              <w:pStyle w:val="tvhtml"/>
              <w:spacing w:line="293" w:lineRule="atLeast"/>
              <w:jc w:val="center"/>
              <w:rPr>
                <w:b/>
                <w:bCs/>
                <w:sz w:val="28"/>
                <w:szCs w:val="28"/>
                <w:lang w:val="lv-LV"/>
              </w:rPr>
            </w:pPr>
            <w:r w:rsidRPr="004522ED">
              <w:rPr>
                <w:b/>
                <w:bCs/>
                <w:sz w:val="28"/>
                <w:szCs w:val="28"/>
                <w:lang w:val="lv-LV"/>
              </w:rPr>
              <w:t>n+1</w:t>
            </w:r>
          </w:p>
        </w:tc>
        <w:tc>
          <w:tcPr>
            <w:tcW w:w="1418" w:type="dxa"/>
            <w:hideMark/>
          </w:tcPr>
          <w:p w:rsidR="00216DF5" w:rsidRPr="004522ED" w:rsidRDefault="00216DF5" w:rsidP="003F5A0E">
            <w:pPr>
              <w:pStyle w:val="tvhtml"/>
              <w:spacing w:line="293" w:lineRule="atLeast"/>
              <w:jc w:val="center"/>
              <w:rPr>
                <w:b/>
                <w:bCs/>
                <w:sz w:val="28"/>
                <w:szCs w:val="28"/>
                <w:lang w:val="lv-LV"/>
              </w:rPr>
            </w:pPr>
            <w:r w:rsidRPr="004522ED">
              <w:rPr>
                <w:b/>
                <w:bCs/>
                <w:sz w:val="28"/>
                <w:szCs w:val="28"/>
                <w:lang w:val="lv-LV"/>
              </w:rPr>
              <w:t>n+2</w:t>
            </w:r>
          </w:p>
        </w:tc>
        <w:tc>
          <w:tcPr>
            <w:tcW w:w="1417" w:type="dxa"/>
            <w:hideMark/>
          </w:tcPr>
          <w:p w:rsidR="00216DF5" w:rsidRPr="004522ED" w:rsidRDefault="00216DF5" w:rsidP="003F5A0E">
            <w:pPr>
              <w:pStyle w:val="tvhtml"/>
              <w:spacing w:line="293" w:lineRule="atLeast"/>
              <w:jc w:val="center"/>
              <w:rPr>
                <w:b/>
                <w:bCs/>
                <w:sz w:val="28"/>
                <w:szCs w:val="28"/>
                <w:lang w:val="lv-LV"/>
              </w:rPr>
            </w:pPr>
            <w:r w:rsidRPr="004522ED">
              <w:rPr>
                <w:b/>
                <w:bCs/>
                <w:sz w:val="28"/>
                <w:szCs w:val="28"/>
                <w:lang w:val="lv-LV"/>
              </w:rPr>
              <w:t>n+3</w:t>
            </w:r>
          </w:p>
        </w:tc>
      </w:tr>
      <w:tr w:rsidR="00216DF5" w:rsidRPr="004522ED" w:rsidTr="003F5A0E">
        <w:tc>
          <w:tcPr>
            <w:tcW w:w="2553" w:type="dxa"/>
            <w:vMerge/>
            <w:hideMark/>
          </w:tcPr>
          <w:p w:rsidR="00216DF5" w:rsidRPr="004522ED" w:rsidRDefault="00216DF5" w:rsidP="003F5A0E">
            <w:pPr>
              <w:rPr>
                <w:b/>
                <w:bCs/>
                <w:sz w:val="28"/>
                <w:szCs w:val="28"/>
              </w:rPr>
            </w:pPr>
          </w:p>
        </w:tc>
        <w:tc>
          <w:tcPr>
            <w:tcW w:w="1535" w:type="dxa"/>
            <w:hideMark/>
          </w:tcPr>
          <w:p w:rsidR="00216DF5" w:rsidRPr="004522ED" w:rsidRDefault="00216DF5" w:rsidP="003F5A0E">
            <w:pPr>
              <w:pStyle w:val="tvhtml"/>
              <w:spacing w:line="293" w:lineRule="atLeast"/>
              <w:jc w:val="center"/>
              <w:rPr>
                <w:sz w:val="28"/>
                <w:szCs w:val="28"/>
                <w:lang w:val="lv-LV"/>
              </w:rPr>
            </w:pPr>
            <w:r w:rsidRPr="004522ED">
              <w:rPr>
                <w:sz w:val="28"/>
                <w:szCs w:val="28"/>
                <w:lang w:val="lv-LV"/>
              </w:rPr>
              <w:t xml:space="preserve">saskaņā ar </w:t>
            </w:r>
            <w:r w:rsidRPr="004522ED">
              <w:rPr>
                <w:sz w:val="28"/>
                <w:szCs w:val="28"/>
                <w:lang w:val="lv-LV"/>
              </w:rPr>
              <w:lastRenderedPageBreak/>
              <w:t>valsts budžetu kārtējam gadam</w:t>
            </w:r>
          </w:p>
        </w:tc>
        <w:tc>
          <w:tcPr>
            <w:tcW w:w="1302" w:type="dxa"/>
            <w:hideMark/>
          </w:tcPr>
          <w:p w:rsidR="00216DF5" w:rsidRPr="004522ED" w:rsidRDefault="00216DF5" w:rsidP="003F5A0E">
            <w:pPr>
              <w:pStyle w:val="tvhtml"/>
              <w:spacing w:line="293" w:lineRule="atLeast"/>
              <w:jc w:val="center"/>
              <w:rPr>
                <w:sz w:val="28"/>
                <w:szCs w:val="28"/>
                <w:lang w:val="lv-LV"/>
              </w:rPr>
            </w:pPr>
            <w:r w:rsidRPr="004522ED">
              <w:rPr>
                <w:sz w:val="28"/>
                <w:szCs w:val="28"/>
                <w:lang w:val="lv-LV"/>
              </w:rPr>
              <w:lastRenderedPageBreak/>
              <w:t xml:space="preserve">izmaiņas </w:t>
            </w:r>
            <w:r w:rsidRPr="004522ED">
              <w:rPr>
                <w:sz w:val="28"/>
                <w:szCs w:val="28"/>
                <w:lang w:val="lv-LV"/>
              </w:rPr>
              <w:lastRenderedPageBreak/>
              <w:t>kārtējā gadā, salīdzinot ar valsts budžetu kārtējam gadam</w:t>
            </w:r>
          </w:p>
        </w:tc>
        <w:tc>
          <w:tcPr>
            <w:tcW w:w="1273" w:type="dxa"/>
            <w:hideMark/>
          </w:tcPr>
          <w:p w:rsidR="00216DF5" w:rsidRPr="004522ED" w:rsidRDefault="00216DF5" w:rsidP="003F5A0E">
            <w:pPr>
              <w:pStyle w:val="tvhtml"/>
              <w:spacing w:line="293" w:lineRule="atLeast"/>
              <w:jc w:val="center"/>
              <w:rPr>
                <w:sz w:val="28"/>
                <w:szCs w:val="28"/>
                <w:lang w:val="lv-LV"/>
              </w:rPr>
            </w:pPr>
            <w:r>
              <w:rPr>
                <w:sz w:val="28"/>
                <w:szCs w:val="28"/>
                <w:lang w:val="lv-LV"/>
              </w:rPr>
              <w:lastRenderedPageBreak/>
              <w:t>izmaiņa</w:t>
            </w:r>
            <w:r w:rsidRPr="004522ED">
              <w:rPr>
                <w:sz w:val="28"/>
                <w:szCs w:val="28"/>
                <w:lang w:val="lv-LV"/>
              </w:rPr>
              <w:t xml:space="preserve">, </w:t>
            </w:r>
            <w:r w:rsidRPr="004522ED">
              <w:rPr>
                <w:sz w:val="28"/>
                <w:szCs w:val="28"/>
                <w:lang w:val="lv-LV"/>
              </w:rPr>
              <w:lastRenderedPageBreak/>
              <w:t>salīdzinot ar kārtējo (n) gadu</w:t>
            </w:r>
          </w:p>
        </w:tc>
        <w:tc>
          <w:tcPr>
            <w:tcW w:w="1418" w:type="dxa"/>
            <w:hideMark/>
          </w:tcPr>
          <w:p w:rsidR="00216DF5" w:rsidRPr="004522ED" w:rsidRDefault="00216DF5" w:rsidP="003F5A0E">
            <w:pPr>
              <w:pStyle w:val="tvhtml"/>
              <w:spacing w:line="293" w:lineRule="atLeast"/>
              <w:jc w:val="center"/>
              <w:rPr>
                <w:sz w:val="28"/>
                <w:szCs w:val="28"/>
                <w:lang w:val="lv-LV"/>
              </w:rPr>
            </w:pPr>
            <w:r w:rsidRPr="004522ED">
              <w:rPr>
                <w:sz w:val="28"/>
                <w:szCs w:val="28"/>
                <w:lang w:val="lv-LV"/>
              </w:rPr>
              <w:lastRenderedPageBreak/>
              <w:t xml:space="preserve">izmaiņas, </w:t>
            </w:r>
            <w:r w:rsidRPr="004522ED">
              <w:rPr>
                <w:sz w:val="28"/>
                <w:szCs w:val="28"/>
                <w:lang w:val="lv-LV"/>
              </w:rPr>
              <w:lastRenderedPageBreak/>
              <w:t>salīdzinot ar kārtējo (n) gadu</w:t>
            </w:r>
          </w:p>
        </w:tc>
        <w:tc>
          <w:tcPr>
            <w:tcW w:w="1417" w:type="dxa"/>
            <w:hideMark/>
          </w:tcPr>
          <w:p w:rsidR="00216DF5" w:rsidRPr="004522ED" w:rsidRDefault="00216DF5" w:rsidP="003F5A0E">
            <w:pPr>
              <w:pStyle w:val="tvhtml"/>
              <w:spacing w:line="293" w:lineRule="atLeast"/>
              <w:jc w:val="center"/>
              <w:rPr>
                <w:sz w:val="28"/>
                <w:szCs w:val="28"/>
                <w:lang w:val="lv-LV"/>
              </w:rPr>
            </w:pPr>
            <w:r w:rsidRPr="004522ED">
              <w:rPr>
                <w:sz w:val="28"/>
                <w:szCs w:val="28"/>
                <w:lang w:val="lv-LV"/>
              </w:rPr>
              <w:lastRenderedPageBreak/>
              <w:t xml:space="preserve">izmaiņas, </w:t>
            </w:r>
            <w:r w:rsidRPr="004522ED">
              <w:rPr>
                <w:sz w:val="28"/>
                <w:szCs w:val="28"/>
                <w:lang w:val="lv-LV"/>
              </w:rPr>
              <w:lastRenderedPageBreak/>
              <w:t>salīdzinot ar kārtējo (n) gadu</w:t>
            </w:r>
          </w:p>
        </w:tc>
      </w:tr>
      <w:tr w:rsidR="00216DF5" w:rsidRPr="004522ED" w:rsidTr="003F5A0E">
        <w:tc>
          <w:tcPr>
            <w:tcW w:w="2553" w:type="dxa"/>
            <w:hideMark/>
          </w:tcPr>
          <w:p w:rsidR="00216DF5" w:rsidRPr="004522ED" w:rsidRDefault="00216DF5" w:rsidP="003F5A0E">
            <w:pPr>
              <w:pStyle w:val="tvhtml"/>
              <w:spacing w:line="293" w:lineRule="atLeast"/>
              <w:jc w:val="center"/>
              <w:rPr>
                <w:sz w:val="28"/>
                <w:szCs w:val="28"/>
                <w:lang w:val="lv-LV"/>
              </w:rPr>
            </w:pPr>
            <w:r w:rsidRPr="004522ED">
              <w:rPr>
                <w:sz w:val="28"/>
                <w:szCs w:val="28"/>
                <w:lang w:val="lv-LV"/>
              </w:rPr>
              <w:lastRenderedPageBreak/>
              <w:t>1</w:t>
            </w:r>
          </w:p>
        </w:tc>
        <w:tc>
          <w:tcPr>
            <w:tcW w:w="1535" w:type="dxa"/>
            <w:hideMark/>
          </w:tcPr>
          <w:p w:rsidR="00216DF5" w:rsidRPr="004522ED" w:rsidRDefault="00216DF5" w:rsidP="003F5A0E">
            <w:pPr>
              <w:pStyle w:val="tvhtml"/>
              <w:spacing w:line="293" w:lineRule="atLeast"/>
              <w:jc w:val="center"/>
              <w:rPr>
                <w:sz w:val="28"/>
                <w:szCs w:val="28"/>
                <w:lang w:val="lv-LV"/>
              </w:rPr>
            </w:pPr>
            <w:r w:rsidRPr="004522ED">
              <w:rPr>
                <w:sz w:val="28"/>
                <w:szCs w:val="28"/>
                <w:lang w:val="lv-LV"/>
              </w:rPr>
              <w:t>2</w:t>
            </w:r>
          </w:p>
        </w:tc>
        <w:tc>
          <w:tcPr>
            <w:tcW w:w="1302" w:type="dxa"/>
            <w:hideMark/>
          </w:tcPr>
          <w:p w:rsidR="00216DF5" w:rsidRPr="004522ED" w:rsidRDefault="00216DF5" w:rsidP="003F5A0E">
            <w:pPr>
              <w:pStyle w:val="tvhtml"/>
              <w:spacing w:line="293" w:lineRule="atLeast"/>
              <w:jc w:val="center"/>
              <w:rPr>
                <w:sz w:val="28"/>
                <w:szCs w:val="28"/>
                <w:lang w:val="lv-LV"/>
              </w:rPr>
            </w:pPr>
            <w:r w:rsidRPr="004522ED">
              <w:rPr>
                <w:sz w:val="28"/>
                <w:szCs w:val="28"/>
                <w:lang w:val="lv-LV"/>
              </w:rPr>
              <w:t>3</w:t>
            </w:r>
          </w:p>
        </w:tc>
        <w:tc>
          <w:tcPr>
            <w:tcW w:w="1273" w:type="dxa"/>
            <w:hideMark/>
          </w:tcPr>
          <w:p w:rsidR="00216DF5" w:rsidRPr="004522ED" w:rsidRDefault="00216DF5" w:rsidP="003F5A0E">
            <w:pPr>
              <w:pStyle w:val="tvhtml"/>
              <w:spacing w:line="293" w:lineRule="atLeast"/>
              <w:jc w:val="center"/>
              <w:rPr>
                <w:sz w:val="28"/>
                <w:szCs w:val="28"/>
                <w:lang w:val="lv-LV"/>
              </w:rPr>
            </w:pPr>
            <w:r w:rsidRPr="004522ED">
              <w:rPr>
                <w:sz w:val="28"/>
                <w:szCs w:val="28"/>
                <w:lang w:val="lv-LV"/>
              </w:rPr>
              <w:t>4</w:t>
            </w:r>
          </w:p>
        </w:tc>
        <w:tc>
          <w:tcPr>
            <w:tcW w:w="1418" w:type="dxa"/>
            <w:hideMark/>
          </w:tcPr>
          <w:p w:rsidR="00216DF5" w:rsidRPr="004522ED" w:rsidRDefault="00216DF5" w:rsidP="003F5A0E">
            <w:pPr>
              <w:pStyle w:val="tvhtml"/>
              <w:spacing w:line="293" w:lineRule="atLeast"/>
              <w:jc w:val="center"/>
              <w:rPr>
                <w:sz w:val="28"/>
                <w:szCs w:val="28"/>
                <w:lang w:val="lv-LV"/>
              </w:rPr>
            </w:pPr>
            <w:r w:rsidRPr="004522ED">
              <w:rPr>
                <w:sz w:val="28"/>
                <w:szCs w:val="28"/>
                <w:lang w:val="lv-LV"/>
              </w:rPr>
              <w:t>5</w:t>
            </w:r>
          </w:p>
        </w:tc>
        <w:tc>
          <w:tcPr>
            <w:tcW w:w="1417" w:type="dxa"/>
            <w:hideMark/>
          </w:tcPr>
          <w:p w:rsidR="00216DF5" w:rsidRPr="004522ED" w:rsidRDefault="00216DF5" w:rsidP="003F5A0E">
            <w:pPr>
              <w:pStyle w:val="tvhtml"/>
              <w:spacing w:line="293" w:lineRule="atLeast"/>
              <w:jc w:val="center"/>
              <w:rPr>
                <w:sz w:val="28"/>
                <w:szCs w:val="28"/>
                <w:lang w:val="lv-LV"/>
              </w:rPr>
            </w:pPr>
            <w:r w:rsidRPr="004522ED">
              <w:rPr>
                <w:sz w:val="28"/>
                <w:szCs w:val="28"/>
                <w:lang w:val="lv-LV"/>
              </w:rPr>
              <w:t>6</w:t>
            </w:r>
          </w:p>
        </w:tc>
      </w:tr>
      <w:tr w:rsidR="00216DF5" w:rsidRPr="004522ED" w:rsidTr="003F5A0E">
        <w:tc>
          <w:tcPr>
            <w:tcW w:w="2553" w:type="dxa"/>
            <w:hideMark/>
          </w:tcPr>
          <w:p w:rsidR="00216DF5" w:rsidRPr="004522ED" w:rsidRDefault="00216DF5" w:rsidP="003F5A0E">
            <w:pPr>
              <w:rPr>
                <w:sz w:val="28"/>
                <w:szCs w:val="28"/>
              </w:rPr>
            </w:pPr>
            <w:r w:rsidRPr="004522ED">
              <w:rPr>
                <w:sz w:val="28"/>
                <w:szCs w:val="28"/>
              </w:rPr>
              <w:t>1. Budžeta ieņēmumi:</w:t>
            </w:r>
          </w:p>
        </w:tc>
        <w:tc>
          <w:tcPr>
            <w:tcW w:w="1535" w:type="dxa"/>
            <w:vAlign w:val="center"/>
            <w:hideMark/>
          </w:tcPr>
          <w:p w:rsidR="00216DF5" w:rsidRPr="00C40F60" w:rsidRDefault="00216DF5" w:rsidP="003F5A0E">
            <w:pPr>
              <w:pStyle w:val="naisf"/>
              <w:spacing w:before="0" w:after="0"/>
              <w:ind w:left="-16" w:firstLine="0"/>
              <w:jc w:val="center"/>
              <w:rPr>
                <w:b/>
                <w:sz w:val="26"/>
                <w:szCs w:val="26"/>
              </w:rPr>
            </w:pPr>
            <w:r>
              <w:rPr>
                <w:b/>
                <w:sz w:val="26"/>
                <w:szCs w:val="26"/>
              </w:rPr>
              <w:t>10 248 361</w:t>
            </w:r>
          </w:p>
        </w:tc>
        <w:tc>
          <w:tcPr>
            <w:tcW w:w="1302" w:type="dxa"/>
            <w:vAlign w:val="center"/>
            <w:hideMark/>
          </w:tcPr>
          <w:p w:rsidR="00216DF5" w:rsidRPr="00795C5D" w:rsidRDefault="00216DF5" w:rsidP="003F5A0E">
            <w:pPr>
              <w:pStyle w:val="naisf"/>
              <w:spacing w:before="0" w:after="0"/>
              <w:ind w:firstLine="0"/>
              <w:jc w:val="center"/>
              <w:rPr>
                <w:b/>
                <w:sz w:val="26"/>
                <w:szCs w:val="26"/>
              </w:rPr>
            </w:pPr>
            <w:r w:rsidRPr="00795C5D">
              <w:rPr>
                <w:b/>
                <w:sz w:val="26"/>
                <w:szCs w:val="26"/>
              </w:rPr>
              <w:t>0</w:t>
            </w:r>
          </w:p>
        </w:tc>
        <w:tc>
          <w:tcPr>
            <w:tcW w:w="1273" w:type="dxa"/>
            <w:vAlign w:val="center"/>
            <w:hideMark/>
          </w:tcPr>
          <w:p w:rsidR="00216DF5" w:rsidRPr="00795C5D" w:rsidRDefault="00216DF5" w:rsidP="003F5A0E">
            <w:pPr>
              <w:pStyle w:val="naisf"/>
              <w:spacing w:before="0" w:after="0"/>
              <w:ind w:firstLine="0"/>
              <w:jc w:val="center"/>
              <w:rPr>
                <w:b/>
                <w:sz w:val="26"/>
                <w:szCs w:val="26"/>
              </w:rPr>
            </w:pPr>
            <w:r w:rsidRPr="00795C5D">
              <w:rPr>
                <w:b/>
                <w:sz w:val="26"/>
                <w:szCs w:val="26"/>
              </w:rPr>
              <w:t>0</w:t>
            </w:r>
          </w:p>
        </w:tc>
        <w:tc>
          <w:tcPr>
            <w:tcW w:w="1418" w:type="dxa"/>
            <w:vAlign w:val="center"/>
            <w:hideMark/>
          </w:tcPr>
          <w:p w:rsidR="00216DF5" w:rsidRPr="00795C5D" w:rsidRDefault="00216DF5" w:rsidP="003F5A0E">
            <w:pPr>
              <w:pStyle w:val="naisf"/>
              <w:spacing w:before="0" w:after="0"/>
              <w:ind w:firstLine="0"/>
              <w:jc w:val="center"/>
              <w:rPr>
                <w:b/>
                <w:sz w:val="26"/>
                <w:szCs w:val="26"/>
              </w:rPr>
            </w:pPr>
            <w:r w:rsidRPr="00795C5D">
              <w:rPr>
                <w:b/>
                <w:sz w:val="26"/>
                <w:szCs w:val="26"/>
              </w:rPr>
              <w:t>0</w:t>
            </w:r>
          </w:p>
        </w:tc>
        <w:tc>
          <w:tcPr>
            <w:tcW w:w="1417" w:type="dxa"/>
            <w:vAlign w:val="center"/>
            <w:hideMark/>
          </w:tcPr>
          <w:p w:rsidR="00216DF5" w:rsidRPr="00795C5D" w:rsidRDefault="00216DF5" w:rsidP="003F5A0E">
            <w:pPr>
              <w:pStyle w:val="naisf"/>
              <w:spacing w:before="0" w:after="0"/>
              <w:ind w:firstLine="0"/>
              <w:jc w:val="center"/>
              <w:rPr>
                <w:b/>
                <w:sz w:val="26"/>
                <w:szCs w:val="26"/>
              </w:rPr>
            </w:pPr>
            <w:r w:rsidRPr="00795C5D">
              <w:rPr>
                <w:b/>
                <w:sz w:val="26"/>
                <w:szCs w:val="26"/>
              </w:rPr>
              <w:t>0</w:t>
            </w:r>
          </w:p>
        </w:tc>
      </w:tr>
      <w:tr w:rsidR="00216DF5" w:rsidRPr="004522ED" w:rsidTr="003F5A0E">
        <w:tc>
          <w:tcPr>
            <w:tcW w:w="2553" w:type="dxa"/>
            <w:hideMark/>
          </w:tcPr>
          <w:p w:rsidR="00216DF5" w:rsidRPr="004522ED" w:rsidRDefault="00216DF5" w:rsidP="003F5A0E">
            <w:pPr>
              <w:rPr>
                <w:sz w:val="28"/>
                <w:szCs w:val="28"/>
              </w:rPr>
            </w:pPr>
            <w:r w:rsidRPr="004522ED">
              <w:rPr>
                <w:sz w:val="28"/>
                <w:szCs w:val="28"/>
              </w:rPr>
              <w:t>1.1. valsts pamatbudžets, tai skaitā ieņēmumi no maksas pakalpojumiem un citi pašu ieņēmumi</w:t>
            </w:r>
          </w:p>
        </w:tc>
        <w:tc>
          <w:tcPr>
            <w:tcW w:w="1535" w:type="dxa"/>
            <w:vAlign w:val="center"/>
            <w:hideMark/>
          </w:tcPr>
          <w:p w:rsidR="00216DF5" w:rsidRPr="00795C5D" w:rsidRDefault="00216DF5" w:rsidP="003F5A0E">
            <w:pPr>
              <w:pStyle w:val="naisf"/>
              <w:spacing w:before="0" w:after="0"/>
              <w:ind w:firstLine="0"/>
              <w:jc w:val="center"/>
              <w:rPr>
                <w:noProof/>
                <w:color w:val="000000"/>
                <w:sz w:val="26"/>
                <w:szCs w:val="26"/>
              </w:rPr>
            </w:pPr>
            <w:r>
              <w:rPr>
                <w:noProof/>
                <w:color w:val="000000"/>
                <w:sz w:val="26"/>
                <w:szCs w:val="26"/>
              </w:rPr>
              <w:t>10 248 361</w:t>
            </w:r>
          </w:p>
          <w:p w:rsidR="00216DF5" w:rsidRPr="00C40F60" w:rsidRDefault="00216DF5" w:rsidP="003F5A0E">
            <w:pPr>
              <w:pStyle w:val="naisf"/>
              <w:spacing w:before="0" w:after="0"/>
              <w:ind w:firstLine="0"/>
              <w:jc w:val="center"/>
              <w:rPr>
                <w:sz w:val="26"/>
                <w:szCs w:val="26"/>
              </w:rPr>
            </w:pPr>
            <w:r>
              <w:rPr>
                <w:noProof/>
                <w:color w:val="000000"/>
                <w:sz w:val="26"/>
                <w:szCs w:val="26"/>
              </w:rPr>
              <w:t>7 115</w:t>
            </w:r>
          </w:p>
          <w:p w:rsidR="00216DF5" w:rsidRPr="00C40F60" w:rsidRDefault="00216DF5" w:rsidP="003F5A0E">
            <w:pPr>
              <w:pStyle w:val="naisf"/>
              <w:spacing w:before="0" w:after="0"/>
              <w:ind w:firstLine="0"/>
              <w:jc w:val="center"/>
              <w:rPr>
                <w:sz w:val="26"/>
                <w:szCs w:val="26"/>
              </w:rPr>
            </w:pPr>
          </w:p>
          <w:p w:rsidR="00216DF5" w:rsidRPr="00C40F60" w:rsidRDefault="00216DF5" w:rsidP="003F5A0E">
            <w:pPr>
              <w:pStyle w:val="naisf"/>
              <w:spacing w:before="0" w:after="0"/>
              <w:ind w:firstLine="0"/>
              <w:jc w:val="center"/>
              <w:rPr>
                <w:sz w:val="26"/>
                <w:szCs w:val="26"/>
              </w:rPr>
            </w:pPr>
          </w:p>
          <w:p w:rsidR="00216DF5" w:rsidRPr="00C40F60" w:rsidRDefault="00216DF5" w:rsidP="003F5A0E">
            <w:pPr>
              <w:pStyle w:val="naisf"/>
              <w:spacing w:before="0" w:after="0"/>
              <w:ind w:firstLine="0"/>
              <w:jc w:val="center"/>
              <w:rPr>
                <w:sz w:val="26"/>
                <w:szCs w:val="26"/>
              </w:rPr>
            </w:pPr>
          </w:p>
        </w:tc>
        <w:tc>
          <w:tcPr>
            <w:tcW w:w="1302" w:type="dxa"/>
            <w:vAlign w:val="center"/>
            <w:hideMark/>
          </w:tcPr>
          <w:p w:rsidR="00216DF5" w:rsidRPr="00795C5D" w:rsidRDefault="00216DF5" w:rsidP="003F5A0E">
            <w:pPr>
              <w:pStyle w:val="naisf"/>
              <w:spacing w:before="0" w:after="0"/>
              <w:ind w:firstLine="0"/>
              <w:jc w:val="center"/>
              <w:rPr>
                <w:sz w:val="26"/>
                <w:szCs w:val="26"/>
              </w:rPr>
            </w:pPr>
            <w:r w:rsidRPr="00795C5D">
              <w:rPr>
                <w:sz w:val="26"/>
                <w:szCs w:val="26"/>
              </w:rPr>
              <w:t>0</w:t>
            </w:r>
          </w:p>
        </w:tc>
        <w:tc>
          <w:tcPr>
            <w:tcW w:w="1273" w:type="dxa"/>
            <w:vAlign w:val="center"/>
            <w:hideMark/>
          </w:tcPr>
          <w:p w:rsidR="00216DF5" w:rsidRPr="00795C5D" w:rsidRDefault="00216DF5" w:rsidP="003F5A0E">
            <w:pPr>
              <w:pStyle w:val="naisf"/>
              <w:spacing w:before="0" w:after="0"/>
              <w:ind w:firstLine="0"/>
              <w:jc w:val="center"/>
              <w:rPr>
                <w:sz w:val="26"/>
                <w:szCs w:val="26"/>
              </w:rPr>
            </w:pPr>
            <w:r w:rsidRPr="00795C5D">
              <w:rPr>
                <w:sz w:val="26"/>
                <w:szCs w:val="26"/>
              </w:rPr>
              <w:t>0</w:t>
            </w:r>
          </w:p>
        </w:tc>
        <w:tc>
          <w:tcPr>
            <w:tcW w:w="1418" w:type="dxa"/>
            <w:vAlign w:val="center"/>
            <w:hideMark/>
          </w:tcPr>
          <w:p w:rsidR="00216DF5" w:rsidRPr="00795C5D" w:rsidRDefault="00216DF5" w:rsidP="003F5A0E">
            <w:pPr>
              <w:pStyle w:val="naisf"/>
              <w:spacing w:before="0" w:after="0"/>
              <w:ind w:firstLine="0"/>
              <w:jc w:val="center"/>
              <w:rPr>
                <w:sz w:val="26"/>
                <w:szCs w:val="26"/>
              </w:rPr>
            </w:pPr>
            <w:r w:rsidRPr="00795C5D">
              <w:rPr>
                <w:sz w:val="26"/>
                <w:szCs w:val="26"/>
              </w:rPr>
              <w:t>0</w:t>
            </w:r>
          </w:p>
        </w:tc>
        <w:tc>
          <w:tcPr>
            <w:tcW w:w="1417" w:type="dxa"/>
            <w:vAlign w:val="center"/>
            <w:hideMark/>
          </w:tcPr>
          <w:p w:rsidR="00216DF5" w:rsidRPr="00795C5D" w:rsidRDefault="00216DF5" w:rsidP="003F5A0E">
            <w:pPr>
              <w:pStyle w:val="naisf"/>
              <w:spacing w:before="0" w:after="0"/>
              <w:ind w:firstLine="0"/>
              <w:jc w:val="center"/>
              <w:rPr>
                <w:sz w:val="26"/>
                <w:szCs w:val="26"/>
              </w:rPr>
            </w:pPr>
            <w:r w:rsidRPr="00795C5D">
              <w:rPr>
                <w:sz w:val="26"/>
                <w:szCs w:val="26"/>
              </w:rPr>
              <w:t>0</w:t>
            </w:r>
          </w:p>
        </w:tc>
      </w:tr>
      <w:tr w:rsidR="00216DF5" w:rsidRPr="004522ED" w:rsidTr="003F5A0E">
        <w:trPr>
          <w:trHeight w:val="680"/>
        </w:trPr>
        <w:tc>
          <w:tcPr>
            <w:tcW w:w="2553" w:type="dxa"/>
            <w:hideMark/>
          </w:tcPr>
          <w:p w:rsidR="00216DF5" w:rsidRPr="004522ED" w:rsidRDefault="00216DF5" w:rsidP="003F5A0E">
            <w:pPr>
              <w:rPr>
                <w:sz w:val="28"/>
                <w:szCs w:val="28"/>
              </w:rPr>
            </w:pPr>
            <w:r w:rsidRPr="004522ED">
              <w:rPr>
                <w:sz w:val="28"/>
                <w:szCs w:val="28"/>
              </w:rPr>
              <w:t>1.2. valsts speciālais budžets</w:t>
            </w:r>
          </w:p>
        </w:tc>
        <w:tc>
          <w:tcPr>
            <w:tcW w:w="1535" w:type="dxa"/>
            <w:vAlign w:val="center"/>
            <w:hideMark/>
          </w:tcPr>
          <w:p w:rsidR="00216DF5" w:rsidRPr="00795C5D" w:rsidRDefault="00216DF5" w:rsidP="003F5A0E">
            <w:pPr>
              <w:pStyle w:val="naisf"/>
              <w:spacing w:before="0" w:after="0"/>
              <w:ind w:firstLine="0"/>
              <w:jc w:val="center"/>
              <w:rPr>
                <w:sz w:val="26"/>
                <w:szCs w:val="26"/>
              </w:rPr>
            </w:pPr>
            <w:r w:rsidRPr="00795C5D">
              <w:rPr>
                <w:sz w:val="26"/>
                <w:szCs w:val="26"/>
              </w:rPr>
              <w:t>0</w:t>
            </w:r>
          </w:p>
        </w:tc>
        <w:tc>
          <w:tcPr>
            <w:tcW w:w="1302" w:type="dxa"/>
            <w:vAlign w:val="center"/>
            <w:hideMark/>
          </w:tcPr>
          <w:p w:rsidR="00216DF5" w:rsidRPr="00795C5D" w:rsidRDefault="00216DF5" w:rsidP="003F5A0E">
            <w:pPr>
              <w:pStyle w:val="naisf"/>
              <w:spacing w:before="0" w:after="0"/>
              <w:ind w:firstLine="0"/>
              <w:jc w:val="center"/>
              <w:rPr>
                <w:sz w:val="26"/>
                <w:szCs w:val="26"/>
              </w:rPr>
            </w:pPr>
            <w:r w:rsidRPr="00795C5D">
              <w:rPr>
                <w:sz w:val="26"/>
                <w:szCs w:val="26"/>
              </w:rPr>
              <w:t>0</w:t>
            </w:r>
          </w:p>
        </w:tc>
        <w:tc>
          <w:tcPr>
            <w:tcW w:w="1273" w:type="dxa"/>
            <w:vAlign w:val="center"/>
            <w:hideMark/>
          </w:tcPr>
          <w:p w:rsidR="00216DF5" w:rsidRPr="00795C5D" w:rsidRDefault="00216DF5" w:rsidP="003F5A0E">
            <w:pPr>
              <w:pStyle w:val="naisf"/>
              <w:spacing w:before="0" w:after="0"/>
              <w:ind w:firstLine="0"/>
              <w:jc w:val="center"/>
              <w:rPr>
                <w:sz w:val="26"/>
                <w:szCs w:val="26"/>
              </w:rPr>
            </w:pPr>
            <w:r w:rsidRPr="00795C5D">
              <w:rPr>
                <w:sz w:val="26"/>
                <w:szCs w:val="26"/>
              </w:rPr>
              <w:t>0</w:t>
            </w:r>
          </w:p>
        </w:tc>
        <w:tc>
          <w:tcPr>
            <w:tcW w:w="1418" w:type="dxa"/>
            <w:vAlign w:val="center"/>
            <w:hideMark/>
          </w:tcPr>
          <w:p w:rsidR="00216DF5" w:rsidRPr="00795C5D" w:rsidRDefault="00216DF5" w:rsidP="003F5A0E">
            <w:pPr>
              <w:pStyle w:val="naisf"/>
              <w:spacing w:before="0" w:after="0"/>
              <w:ind w:firstLine="0"/>
              <w:jc w:val="center"/>
              <w:rPr>
                <w:sz w:val="26"/>
                <w:szCs w:val="26"/>
              </w:rPr>
            </w:pPr>
            <w:r w:rsidRPr="00795C5D">
              <w:rPr>
                <w:sz w:val="26"/>
                <w:szCs w:val="26"/>
              </w:rPr>
              <w:t>0</w:t>
            </w:r>
          </w:p>
        </w:tc>
        <w:tc>
          <w:tcPr>
            <w:tcW w:w="1417" w:type="dxa"/>
            <w:vAlign w:val="center"/>
            <w:hideMark/>
          </w:tcPr>
          <w:p w:rsidR="00216DF5" w:rsidRPr="00795C5D" w:rsidRDefault="00216DF5" w:rsidP="003F5A0E">
            <w:pPr>
              <w:pStyle w:val="naisf"/>
              <w:spacing w:before="0" w:after="0"/>
              <w:ind w:firstLine="0"/>
              <w:jc w:val="center"/>
              <w:rPr>
                <w:sz w:val="26"/>
                <w:szCs w:val="26"/>
              </w:rPr>
            </w:pPr>
            <w:r w:rsidRPr="00795C5D">
              <w:rPr>
                <w:sz w:val="26"/>
                <w:szCs w:val="26"/>
              </w:rPr>
              <w:t>0</w:t>
            </w:r>
          </w:p>
        </w:tc>
      </w:tr>
      <w:tr w:rsidR="00216DF5" w:rsidRPr="004522ED" w:rsidTr="003F5A0E">
        <w:tc>
          <w:tcPr>
            <w:tcW w:w="2553" w:type="dxa"/>
            <w:hideMark/>
          </w:tcPr>
          <w:p w:rsidR="00216DF5" w:rsidRPr="004522ED" w:rsidRDefault="00216DF5" w:rsidP="003F5A0E">
            <w:pPr>
              <w:rPr>
                <w:sz w:val="28"/>
                <w:szCs w:val="28"/>
              </w:rPr>
            </w:pPr>
            <w:r w:rsidRPr="004522ED">
              <w:rPr>
                <w:sz w:val="28"/>
                <w:szCs w:val="28"/>
              </w:rPr>
              <w:t>1.3. pašvaldību budžets</w:t>
            </w:r>
          </w:p>
        </w:tc>
        <w:tc>
          <w:tcPr>
            <w:tcW w:w="1535" w:type="dxa"/>
            <w:vAlign w:val="center"/>
            <w:hideMark/>
          </w:tcPr>
          <w:p w:rsidR="00216DF5" w:rsidRPr="00795C5D" w:rsidRDefault="00216DF5" w:rsidP="003F5A0E">
            <w:pPr>
              <w:pStyle w:val="naisf"/>
              <w:spacing w:before="0" w:after="0"/>
              <w:ind w:firstLine="0"/>
              <w:jc w:val="center"/>
              <w:rPr>
                <w:sz w:val="26"/>
                <w:szCs w:val="26"/>
              </w:rPr>
            </w:pPr>
            <w:r w:rsidRPr="00795C5D">
              <w:rPr>
                <w:sz w:val="26"/>
                <w:szCs w:val="26"/>
              </w:rPr>
              <w:t>0</w:t>
            </w:r>
          </w:p>
        </w:tc>
        <w:tc>
          <w:tcPr>
            <w:tcW w:w="1302" w:type="dxa"/>
            <w:vAlign w:val="center"/>
            <w:hideMark/>
          </w:tcPr>
          <w:p w:rsidR="00216DF5" w:rsidRPr="00795C5D" w:rsidRDefault="00216DF5" w:rsidP="003F5A0E">
            <w:pPr>
              <w:pStyle w:val="naisf"/>
              <w:spacing w:before="0" w:after="0"/>
              <w:ind w:firstLine="0"/>
              <w:jc w:val="center"/>
              <w:rPr>
                <w:sz w:val="26"/>
                <w:szCs w:val="26"/>
              </w:rPr>
            </w:pPr>
            <w:r w:rsidRPr="00795C5D">
              <w:rPr>
                <w:sz w:val="26"/>
                <w:szCs w:val="26"/>
              </w:rPr>
              <w:t>0</w:t>
            </w:r>
          </w:p>
        </w:tc>
        <w:tc>
          <w:tcPr>
            <w:tcW w:w="1273" w:type="dxa"/>
            <w:vAlign w:val="center"/>
            <w:hideMark/>
          </w:tcPr>
          <w:p w:rsidR="00216DF5" w:rsidRPr="00795C5D" w:rsidRDefault="00216DF5" w:rsidP="003F5A0E">
            <w:pPr>
              <w:pStyle w:val="naisf"/>
              <w:spacing w:before="0" w:after="0"/>
              <w:ind w:firstLine="0"/>
              <w:jc w:val="center"/>
              <w:rPr>
                <w:sz w:val="26"/>
                <w:szCs w:val="26"/>
              </w:rPr>
            </w:pPr>
            <w:r w:rsidRPr="00795C5D">
              <w:rPr>
                <w:sz w:val="26"/>
                <w:szCs w:val="26"/>
              </w:rPr>
              <w:t>0</w:t>
            </w:r>
          </w:p>
        </w:tc>
        <w:tc>
          <w:tcPr>
            <w:tcW w:w="1418" w:type="dxa"/>
            <w:vAlign w:val="center"/>
            <w:hideMark/>
          </w:tcPr>
          <w:p w:rsidR="00216DF5" w:rsidRPr="00795C5D" w:rsidRDefault="00216DF5" w:rsidP="003F5A0E">
            <w:pPr>
              <w:pStyle w:val="naisf"/>
              <w:spacing w:before="0" w:after="0"/>
              <w:ind w:firstLine="0"/>
              <w:jc w:val="center"/>
              <w:rPr>
                <w:sz w:val="26"/>
                <w:szCs w:val="26"/>
              </w:rPr>
            </w:pPr>
            <w:r w:rsidRPr="00795C5D">
              <w:rPr>
                <w:sz w:val="26"/>
                <w:szCs w:val="26"/>
              </w:rPr>
              <w:t>0</w:t>
            </w:r>
          </w:p>
        </w:tc>
        <w:tc>
          <w:tcPr>
            <w:tcW w:w="1417" w:type="dxa"/>
            <w:vAlign w:val="center"/>
            <w:hideMark/>
          </w:tcPr>
          <w:p w:rsidR="00216DF5" w:rsidRPr="00795C5D" w:rsidRDefault="00216DF5" w:rsidP="003F5A0E">
            <w:pPr>
              <w:pStyle w:val="naisf"/>
              <w:spacing w:before="0" w:after="0"/>
              <w:ind w:firstLine="0"/>
              <w:jc w:val="center"/>
              <w:rPr>
                <w:sz w:val="26"/>
                <w:szCs w:val="26"/>
              </w:rPr>
            </w:pPr>
            <w:r w:rsidRPr="00795C5D">
              <w:rPr>
                <w:sz w:val="26"/>
                <w:szCs w:val="26"/>
              </w:rPr>
              <w:t>0</w:t>
            </w:r>
          </w:p>
        </w:tc>
      </w:tr>
      <w:tr w:rsidR="00216DF5" w:rsidRPr="004522ED" w:rsidTr="003F5A0E">
        <w:tc>
          <w:tcPr>
            <w:tcW w:w="2553" w:type="dxa"/>
            <w:hideMark/>
          </w:tcPr>
          <w:p w:rsidR="00216DF5" w:rsidRPr="004522ED" w:rsidRDefault="00216DF5" w:rsidP="003F5A0E">
            <w:pPr>
              <w:rPr>
                <w:sz w:val="28"/>
                <w:szCs w:val="28"/>
              </w:rPr>
            </w:pPr>
            <w:r w:rsidRPr="004522ED">
              <w:rPr>
                <w:sz w:val="28"/>
                <w:szCs w:val="28"/>
              </w:rPr>
              <w:t>2. Budžeta izdevumi:</w:t>
            </w:r>
          </w:p>
        </w:tc>
        <w:tc>
          <w:tcPr>
            <w:tcW w:w="1535" w:type="dxa"/>
            <w:vAlign w:val="center"/>
            <w:hideMark/>
          </w:tcPr>
          <w:p w:rsidR="00216DF5" w:rsidRPr="00C40F60" w:rsidRDefault="00216DF5" w:rsidP="003F5A0E">
            <w:pPr>
              <w:pStyle w:val="naisf"/>
              <w:spacing w:before="0" w:after="0"/>
              <w:ind w:firstLine="0"/>
              <w:jc w:val="center"/>
              <w:rPr>
                <w:b/>
                <w:sz w:val="26"/>
                <w:szCs w:val="26"/>
              </w:rPr>
            </w:pPr>
            <w:r>
              <w:rPr>
                <w:b/>
                <w:sz w:val="26"/>
                <w:szCs w:val="26"/>
              </w:rPr>
              <w:t>10 248 361</w:t>
            </w:r>
          </w:p>
        </w:tc>
        <w:tc>
          <w:tcPr>
            <w:tcW w:w="1302" w:type="dxa"/>
            <w:vAlign w:val="center"/>
            <w:hideMark/>
          </w:tcPr>
          <w:p w:rsidR="00216DF5" w:rsidRPr="00795C5D" w:rsidRDefault="00216DF5" w:rsidP="003F5A0E">
            <w:pPr>
              <w:pStyle w:val="naisf"/>
              <w:spacing w:before="0" w:after="0"/>
              <w:ind w:firstLine="0"/>
              <w:jc w:val="center"/>
              <w:rPr>
                <w:b/>
                <w:sz w:val="26"/>
                <w:szCs w:val="26"/>
              </w:rPr>
            </w:pPr>
            <w:r w:rsidRPr="00795C5D">
              <w:rPr>
                <w:b/>
                <w:sz w:val="26"/>
                <w:szCs w:val="26"/>
              </w:rPr>
              <w:t>0</w:t>
            </w:r>
          </w:p>
        </w:tc>
        <w:tc>
          <w:tcPr>
            <w:tcW w:w="1273" w:type="dxa"/>
            <w:vAlign w:val="center"/>
            <w:hideMark/>
          </w:tcPr>
          <w:p w:rsidR="00216DF5" w:rsidRPr="00795C5D" w:rsidRDefault="00216DF5" w:rsidP="003F5A0E">
            <w:pPr>
              <w:pStyle w:val="naisf"/>
              <w:spacing w:before="0" w:after="0"/>
              <w:ind w:firstLine="0"/>
              <w:jc w:val="center"/>
              <w:rPr>
                <w:b/>
                <w:sz w:val="26"/>
                <w:szCs w:val="26"/>
              </w:rPr>
            </w:pPr>
            <w:r w:rsidRPr="00795C5D">
              <w:rPr>
                <w:b/>
                <w:sz w:val="26"/>
                <w:szCs w:val="26"/>
              </w:rPr>
              <w:t>0</w:t>
            </w:r>
          </w:p>
        </w:tc>
        <w:tc>
          <w:tcPr>
            <w:tcW w:w="1418" w:type="dxa"/>
            <w:vAlign w:val="center"/>
            <w:hideMark/>
          </w:tcPr>
          <w:p w:rsidR="00216DF5" w:rsidRPr="00795C5D" w:rsidRDefault="00216DF5" w:rsidP="003F5A0E">
            <w:pPr>
              <w:pStyle w:val="naisf"/>
              <w:spacing w:before="0" w:after="0"/>
              <w:ind w:firstLine="0"/>
              <w:jc w:val="center"/>
              <w:rPr>
                <w:b/>
                <w:sz w:val="26"/>
                <w:szCs w:val="26"/>
              </w:rPr>
            </w:pPr>
            <w:r w:rsidRPr="00795C5D">
              <w:rPr>
                <w:b/>
                <w:sz w:val="26"/>
                <w:szCs w:val="26"/>
              </w:rPr>
              <w:t>0</w:t>
            </w:r>
          </w:p>
        </w:tc>
        <w:tc>
          <w:tcPr>
            <w:tcW w:w="1417" w:type="dxa"/>
            <w:vAlign w:val="center"/>
            <w:hideMark/>
          </w:tcPr>
          <w:p w:rsidR="00216DF5" w:rsidRPr="00795C5D" w:rsidRDefault="00216DF5" w:rsidP="003F5A0E">
            <w:pPr>
              <w:pStyle w:val="naisf"/>
              <w:spacing w:before="0" w:after="0"/>
              <w:ind w:firstLine="0"/>
              <w:jc w:val="center"/>
              <w:rPr>
                <w:b/>
                <w:sz w:val="26"/>
                <w:szCs w:val="26"/>
              </w:rPr>
            </w:pPr>
            <w:r w:rsidRPr="00795C5D">
              <w:rPr>
                <w:b/>
                <w:sz w:val="26"/>
                <w:szCs w:val="26"/>
              </w:rPr>
              <w:t>0</w:t>
            </w:r>
          </w:p>
        </w:tc>
      </w:tr>
      <w:tr w:rsidR="00216DF5" w:rsidRPr="004522ED" w:rsidTr="003F5A0E">
        <w:trPr>
          <w:trHeight w:val="510"/>
        </w:trPr>
        <w:tc>
          <w:tcPr>
            <w:tcW w:w="2553" w:type="dxa"/>
            <w:hideMark/>
          </w:tcPr>
          <w:p w:rsidR="00216DF5" w:rsidRPr="004522ED" w:rsidRDefault="00216DF5" w:rsidP="003F5A0E">
            <w:pPr>
              <w:rPr>
                <w:sz w:val="28"/>
                <w:szCs w:val="28"/>
              </w:rPr>
            </w:pPr>
            <w:r w:rsidRPr="004522ED">
              <w:rPr>
                <w:sz w:val="28"/>
                <w:szCs w:val="28"/>
              </w:rPr>
              <w:t>2.1. valsts pamatbudžets</w:t>
            </w:r>
          </w:p>
        </w:tc>
        <w:tc>
          <w:tcPr>
            <w:tcW w:w="1535" w:type="dxa"/>
            <w:vAlign w:val="center"/>
            <w:hideMark/>
          </w:tcPr>
          <w:p w:rsidR="00216DF5" w:rsidRPr="00C40F60" w:rsidRDefault="00216DF5" w:rsidP="003F5A0E">
            <w:pPr>
              <w:pStyle w:val="naisf"/>
              <w:spacing w:before="0" w:after="0" w:line="360" w:lineRule="auto"/>
              <w:ind w:firstLine="0"/>
              <w:jc w:val="center"/>
              <w:rPr>
                <w:sz w:val="26"/>
                <w:szCs w:val="26"/>
              </w:rPr>
            </w:pPr>
            <w:r>
              <w:rPr>
                <w:sz w:val="26"/>
                <w:szCs w:val="26"/>
              </w:rPr>
              <w:t>10 248 361</w:t>
            </w:r>
          </w:p>
        </w:tc>
        <w:tc>
          <w:tcPr>
            <w:tcW w:w="1302" w:type="dxa"/>
            <w:vAlign w:val="center"/>
            <w:hideMark/>
          </w:tcPr>
          <w:p w:rsidR="00216DF5" w:rsidRPr="00795C5D" w:rsidRDefault="00216DF5" w:rsidP="003F5A0E">
            <w:pPr>
              <w:pStyle w:val="naisf"/>
              <w:spacing w:before="0" w:after="0"/>
              <w:ind w:firstLine="0"/>
              <w:jc w:val="center"/>
              <w:rPr>
                <w:sz w:val="26"/>
                <w:szCs w:val="26"/>
              </w:rPr>
            </w:pPr>
            <w:r w:rsidRPr="00795C5D">
              <w:rPr>
                <w:sz w:val="26"/>
                <w:szCs w:val="26"/>
              </w:rPr>
              <w:t>0</w:t>
            </w:r>
          </w:p>
        </w:tc>
        <w:tc>
          <w:tcPr>
            <w:tcW w:w="1273" w:type="dxa"/>
            <w:vAlign w:val="center"/>
            <w:hideMark/>
          </w:tcPr>
          <w:p w:rsidR="00216DF5" w:rsidRPr="00795C5D" w:rsidRDefault="00216DF5" w:rsidP="003F5A0E">
            <w:pPr>
              <w:pStyle w:val="naisf"/>
              <w:spacing w:before="0" w:after="0"/>
              <w:ind w:firstLine="0"/>
              <w:jc w:val="center"/>
              <w:rPr>
                <w:sz w:val="26"/>
                <w:szCs w:val="26"/>
              </w:rPr>
            </w:pPr>
            <w:r w:rsidRPr="00795C5D">
              <w:rPr>
                <w:sz w:val="26"/>
                <w:szCs w:val="26"/>
              </w:rPr>
              <w:t>0</w:t>
            </w:r>
          </w:p>
        </w:tc>
        <w:tc>
          <w:tcPr>
            <w:tcW w:w="1418" w:type="dxa"/>
            <w:vAlign w:val="center"/>
            <w:hideMark/>
          </w:tcPr>
          <w:p w:rsidR="00216DF5" w:rsidRPr="00795C5D" w:rsidRDefault="00216DF5" w:rsidP="003F5A0E">
            <w:pPr>
              <w:pStyle w:val="naisf"/>
              <w:spacing w:before="0" w:after="0"/>
              <w:ind w:firstLine="0"/>
              <w:jc w:val="center"/>
              <w:rPr>
                <w:sz w:val="26"/>
                <w:szCs w:val="26"/>
              </w:rPr>
            </w:pPr>
            <w:r w:rsidRPr="00795C5D">
              <w:rPr>
                <w:sz w:val="26"/>
                <w:szCs w:val="26"/>
              </w:rPr>
              <w:t>0</w:t>
            </w:r>
          </w:p>
        </w:tc>
        <w:tc>
          <w:tcPr>
            <w:tcW w:w="1417" w:type="dxa"/>
            <w:vAlign w:val="center"/>
            <w:hideMark/>
          </w:tcPr>
          <w:p w:rsidR="00216DF5" w:rsidRPr="00795C5D" w:rsidRDefault="00216DF5" w:rsidP="003F5A0E">
            <w:pPr>
              <w:pStyle w:val="naisf"/>
              <w:spacing w:before="0" w:after="0"/>
              <w:ind w:firstLine="0"/>
              <w:jc w:val="center"/>
              <w:rPr>
                <w:sz w:val="26"/>
                <w:szCs w:val="26"/>
              </w:rPr>
            </w:pPr>
            <w:r w:rsidRPr="00795C5D">
              <w:rPr>
                <w:sz w:val="26"/>
                <w:szCs w:val="26"/>
              </w:rPr>
              <w:t>0</w:t>
            </w:r>
          </w:p>
        </w:tc>
      </w:tr>
      <w:tr w:rsidR="00216DF5" w:rsidRPr="004522ED" w:rsidTr="003F5A0E">
        <w:trPr>
          <w:trHeight w:val="510"/>
        </w:trPr>
        <w:tc>
          <w:tcPr>
            <w:tcW w:w="2553" w:type="dxa"/>
            <w:hideMark/>
          </w:tcPr>
          <w:p w:rsidR="00216DF5" w:rsidRPr="004522ED" w:rsidRDefault="00216DF5" w:rsidP="003F5A0E">
            <w:pPr>
              <w:rPr>
                <w:sz w:val="28"/>
                <w:szCs w:val="28"/>
              </w:rPr>
            </w:pPr>
            <w:r w:rsidRPr="004522ED">
              <w:rPr>
                <w:sz w:val="28"/>
                <w:szCs w:val="28"/>
              </w:rPr>
              <w:t>2.2. valsts speciālais budžets</w:t>
            </w:r>
          </w:p>
        </w:tc>
        <w:tc>
          <w:tcPr>
            <w:tcW w:w="1535" w:type="dxa"/>
            <w:vAlign w:val="center"/>
            <w:hideMark/>
          </w:tcPr>
          <w:p w:rsidR="00216DF5" w:rsidRPr="00795C5D" w:rsidRDefault="00216DF5" w:rsidP="003F5A0E">
            <w:pPr>
              <w:pStyle w:val="naisf"/>
              <w:spacing w:before="0" w:after="0"/>
              <w:ind w:firstLine="0"/>
              <w:jc w:val="center"/>
              <w:rPr>
                <w:sz w:val="26"/>
                <w:szCs w:val="26"/>
              </w:rPr>
            </w:pPr>
            <w:r w:rsidRPr="00795C5D">
              <w:rPr>
                <w:sz w:val="26"/>
                <w:szCs w:val="26"/>
              </w:rPr>
              <w:t>0</w:t>
            </w:r>
          </w:p>
        </w:tc>
        <w:tc>
          <w:tcPr>
            <w:tcW w:w="1302" w:type="dxa"/>
            <w:vAlign w:val="center"/>
            <w:hideMark/>
          </w:tcPr>
          <w:p w:rsidR="00216DF5" w:rsidRPr="00795C5D" w:rsidRDefault="00216DF5" w:rsidP="003F5A0E">
            <w:pPr>
              <w:pStyle w:val="naisf"/>
              <w:spacing w:before="0" w:after="0"/>
              <w:ind w:firstLine="0"/>
              <w:jc w:val="center"/>
              <w:rPr>
                <w:sz w:val="26"/>
                <w:szCs w:val="26"/>
              </w:rPr>
            </w:pPr>
            <w:r w:rsidRPr="00795C5D">
              <w:rPr>
                <w:sz w:val="26"/>
                <w:szCs w:val="26"/>
              </w:rPr>
              <w:t>0</w:t>
            </w:r>
          </w:p>
        </w:tc>
        <w:tc>
          <w:tcPr>
            <w:tcW w:w="1273" w:type="dxa"/>
            <w:vAlign w:val="center"/>
            <w:hideMark/>
          </w:tcPr>
          <w:p w:rsidR="00216DF5" w:rsidRPr="00795C5D" w:rsidRDefault="00216DF5" w:rsidP="003F5A0E">
            <w:pPr>
              <w:pStyle w:val="naisf"/>
              <w:spacing w:before="0" w:after="0"/>
              <w:ind w:firstLine="0"/>
              <w:jc w:val="center"/>
              <w:rPr>
                <w:sz w:val="26"/>
                <w:szCs w:val="26"/>
              </w:rPr>
            </w:pPr>
            <w:r w:rsidRPr="00795C5D">
              <w:rPr>
                <w:sz w:val="26"/>
                <w:szCs w:val="26"/>
              </w:rPr>
              <w:t>0</w:t>
            </w:r>
          </w:p>
        </w:tc>
        <w:tc>
          <w:tcPr>
            <w:tcW w:w="1418" w:type="dxa"/>
            <w:vAlign w:val="center"/>
            <w:hideMark/>
          </w:tcPr>
          <w:p w:rsidR="00216DF5" w:rsidRPr="00795C5D" w:rsidRDefault="00216DF5" w:rsidP="003F5A0E">
            <w:pPr>
              <w:pStyle w:val="naisf"/>
              <w:spacing w:before="0" w:after="0"/>
              <w:ind w:firstLine="0"/>
              <w:jc w:val="center"/>
              <w:rPr>
                <w:sz w:val="26"/>
                <w:szCs w:val="26"/>
              </w:rPr>
            </w:pPr>
            <w:r w:rsidRPr="00795C5D">
              <w:rPr>
                <w:sz w:val="26"/>
                <w:szCs w:val="26"/>
              </w:rPr>
              <w:t>0</w:t>
            </w:r>
          </w:p>
        </w:tc>
        <w:tc>
          <w:tcPr>
            <w:tcW w:w="1417" w:type="dxa"/>
            <w:vAlign w:val="center"/>
            <w:hideMark/>
          </w:tcPr>
          <w:p w:rsidR="00216DF5" w:rsidRPr="00795C5D" w:rsidRDefault="00216DF5" w:rsidP="003F5A0E">
            <w:pPr>
              <w:pStyle w:val="naisf"/>
              <w:spacing w:before="0" w:after="0"/>
              <w:ind w:firstLine="0"/>
              <w:jc w:val="center"/>
              <w:rPr>
                <w:sz w:val="26"/>
                <w:szCs w:val="26"/>
              </w:rPr>
            </w:pPr>
            <w:r w:rsidRPr="00795C5D">
              <w:rPr>
                <w:sz w:val="26"/>
                <w:szCs w:val="26"/>
              </w:rPr>
              <w:t>0</w:t>
            </w:r>
          </w:p>
        </w:tc>
      </w:tr>
      <w:tr w:rsidR="00216DF5" w:rsidRPr="004522ED" w:rsidTr="003F5A0E">
        <w:tc>
          <w:tcPr>
            <w:tcW w:w="2553" w:type="dxa"/>
            <w:hideMark/>
          </w:tcPr>
          <w:p w:rsidR="00216DF5" w:rsidRPr="004522ED" w:rsidRDefault="00216DF5" w:rsidP="003F5A0E">
            <w:pPr>
              <w:rPr>
                <w:sz w:val="28"/>
                <w:szCs w:val="28"/>
              </w:rPr>
            </w:pPr>
            <w:r w:rsidRPr="004522ED">
              <w:rPr>
                <w:sz w:val="28"/>
                <w:szCs w:val="28"/>
              </w:rPr>
              <w:t>2.3. pašvaldību budžets</w:t>
            </w:r>
          </w:p>
        </w:tc>
        <w:tc>
          <w:tcPr>
            <w:tcW w:w="1535" w:type="dxa"/>
            <w:vAlign w:val="center"/>
            <w:hideMark/>
          </w:tcPr>
          <w:p w:rsidR="00216DF5" w:rsidRPr="00795C5D" w:rsidRDefault="00216DF5" w:rsidP="003F5A0E">
            <w:pPr>
              <w:pStyle w:val="naisf"/>
              <w:spacing w:before="0" w:after="0"/>
              <w:ind w:firstLine="0"/>
              <w:jc w:val="center"/>
              <w:rPr>
                <w:sz w:val="26"/>
                <w:szCs w:val="26"/>
              </w:rPr>
            </w:pPr>
            <w:r w:rsidRPr="00795C5D">
              <w:rPr>
                <w:sz w:val="26"/>
                <w:szCs w:val="26"/>
              </w:rPr>
              <w:t>0</w:t>
            </w:r>
          </w:p>
        </w:tc>
        <w:tc>
          <w:tcPr>
            <w:tcW w:w="1302" w:type="dxa"/>
            <w:vAlign w:val="center"/>
            <w:hideMark/>
          </w:tcPr>
          <w:p w:rsidR="00216DF5" w:rsidRPr="00795C5D" w:rsidRDefault="00216DF5" w:rsidP="003F5A0E">
            <w:pPr>
              <w:pStyle w:val="naisf"/>
              <w:spacing w:before="0" w:after="0"/>
              <w:ind w:firstLine="0"/>
              <w:jc w:val="center"/>
              <w:rPr>
                <w:sz w:val="26"/>
                <w:szCs w:val="26"/>
              </w:rPr>
            </w:pPr>
            <w:r w:rsidRPr="00795C5D">
              <w:rPr>
                <w:sz w:val="26"/>
                <w:szCs w:val="26"/>
              </w:rPr>
              <w:t>0</w:t>
            </w:r>
          </w:p>
        </w:tc>
        <w:tc>
          <w:tcPr>
            <w:tcW w:w="1273" w:type="dxa"/>
            <w:vAlign w:val="center"/>
            <w:hideMark/>
          </w:tcPr>
          <w:p w:rsidR="00216DF5" w:rsidRPr="00795C5D" w:rsidRDefault="00216DF5" w:rsidP="003F5A0E">
            <w:pPr>
              <w:pStyle w:val="naisf"/>
              <w:spacing w:before="0" w:after="0"/>
              <w:ind w:firstLine="0"/>
              <w:jc w:val="center"/>
              <w:rPr>
                <w:sz w:val="26"/>
                <w:szCs w:val="26"/>
              </w:rPr>
            </w:pPr>
            <w:r w:rsidRPr="00795C5D">
              <w:rPr>
                <w:sz w:val="26"/>
                <w:szCs w:val="26"/>
              </w:rPr>
              <w:t>0</w:t>
            </w:r>
          </w:p>
        </w:tc>
        <w:tc>
          <w:tcPr>
            <w:tcW w:w="1418" w:type="dxa"/>
            <w:vAlign w:val="center"/>
            <w:hideMark/>
          </w:tcPr>
          <w:p w:rsidR="00216DF5" w:rsidRPr="00795C5D" w:rsidRDefault="00216DF5" w:rsidP="003F5A0E">
            <w:pPr>
              <w:pStyle w:val="naisf"/>
              <w:spacing w:before="0" w:after="0"/>
              <w:ind w:firstLine="0"/>
              <w:jc w:val="center"/>
              <w:rPr>
                <w:sz w:val="26"/>
                <w:szCs w:val="26"/>
              </w:rPr>
            </w:pPr>
            <w:r w:rsidRPr="00795C5D">
              <w:rPr>
                <w:sz w:val="26"/>
                <w:szCs w:val="26"/>
              </w:rPr>
              <w:t>0</w:t>
            </w:r>
          </w:p>
        </w:tc>
        <w:tc>
          <w:tcPr>
            <w:tcW w:w="1417" w:type="dxa"/>
            <w:vAlign w:val="center"/>
            <w:hideMark/>
          </w:tcPr>
          <w:p w:rsidR="00216DF5" w:rsidRPr="00795C5D" w:rsidRDefault="00216DF5" w:rsidP="003F5A0E">
            <w:pPr>
              <w:pStyle w:val="naisf"/>
              <w:spacing w:before="0" w:after="0"/>
              <w:ind w:firstLine="0"/>
              <w:jc w:val="center"/>
              <w:rPr>
                <w:sz w:val="26"/>
                <w:szCs w:val="26"/>
              </w:rPr>
            </w:pPr>
            <w:r w:rsidRPr="00795C5D">
              <w:rPr>
                <w:sz w:val="26"/>
                <w:szCs w:val="26"/>
              </w:rPr>
              <w:t>0</w:t>
            </w:r>
          </w:p>
        </w:tc>
      </w:tr>
      <w:tr w:rsidR="00216DF5" w:rsidRPr="004522ED" w:rsidTr="003F5A0E">
        <w:tc>
          <w:tcPr>
            <w:tcW w:w="2553" w:type="dxa"/>
            <w:hideMark/>
          </w:tcPr>
          <w:p w:rsidR="00216DF5" w:rsidRPr="004522ED" w:rsidRDefault="00216DF5" w:rsidP="003F5A0E">
            <w:pPr>
              <w:rPr>
                <w:sz w:val="28"/>
                <w:szCs w:val="28"/>
              </w:rPr>
            </w:pPr>
            <w:r w:rsidRPr="004522ED">
              <w:rPr>
                <w:sz w:val="28"/>
                <w:szCs w:val="28"/>
              </w:rPr>
              <w:t>3. Finansiālā ietekme:</w:t>
            </w:r>
          </w:p>
        </w:tc>
        <w:tc>
          <w:tcPr>
            <w:tcW w:w="1535" w:type="dxa"/>
            <w:vAlign w:val="center"/>
            <w:hideMark/>
          </w:tcPr>
          <w:p w:rsidR="00216DF5" w:rsidRPr="00795C5D" w:rsidRDefault="00216DF5" w:rsidP="003F5A0E">
            <w:pPr>
              <w:pStyle w:val="naisf"/>
              <w:spacing w:before="0" w:after="0"/>
              <w:ind w:firstLine="0"/>
              <w:jc w:val="center"/>
              <w:rPr>
                <w:b/>
                <w:sz w:val="26"/>
                <w:szCs w:val="26"/>
              </w:rPr>
            </w:pPr>
            <w:r>
              <w:rPr>
                <w:b/>
                <w:sz w:val="26"/>
                <w:szCs w:val="26"/>
              </w:rPr>
              <w:t>0</w:t>
            </w:r>
          </w:p>
        </w:tc>
        <w:tc>
          <w:tcPr>
            <w:tcW w:w="1302" w:type="dxa"/>
            <w:vAlign w:val="center"/>
            <w:hideMark/>
          </w:tcPr>
          <w:p w:rsidR="00216DF5" w:rsidRPr="00795C5D" w:rsidRDefault="00216DF5" w:rsidP="003F5A0E">
            <w:pPr>
              <w:pStyle w:val="naisf"/>
              <w:spacing w:before="0" w:after="0"/>
              <w:ind w:firstLine="0"/>
              <w:jc w:val="center"/>
              <w:rPr>
                <w:b/>
                <w:sz w:val="26"/>
                <w:szCs w:val="26"/>
              </w:rPr>
            </w:pPr>
            <w:r w:rsidRPr="00795C5D">
              <w:rPr>
                <w:b/>
                <w:sz w:val="26"/>
                <w:szCs w:val="26"/>
              </w:rPr>
              <w:t>0</w:t>
            </w:r>
          </w:p>
        </w:tc>
        <w:tc>
          <w:tcPr>
            <w:tcW w:w="1273" w:type="dxa"/>
            <w:vAlign w:val="center"/>
            <w:hideMark/>
          </w:tcPr>
          <w:p w:rsidR="00216DF5" w:rsidRPr="00795C5D" w:rsidRDefault="00216DF5" w:rsidP="003F5A0E">
            <w:pPr>
              <w:pStyle w:val="naisf"/>
              <w:spacing w:before="0" w:after="0"/>
              <w:ind w:firstLine="0"/>
              <w:jc w:val="center"/>
              <w:rPr>
                <w:b/>
                <w:sz w:val="26"/>
                <w:szCs w:val="26"/>
              </w:rPr>
            </w:pPr>
            <w:r w:rsidRPr="00795C5D">
              <w:rPr>
                <w:b/>
                <w:sz w:val="26"/>
                <w:szCs w:val="26"/>
              </w:rPr>
              <w:t>0</w:t>
            </w:r>
          </w:p>
        </w:tc>
        <w:tc>
          <w:tcPr>
            <w:tcW w:w="1418" w:type="dxa"/>
            <w:vAlign w:val="center"/>
            <w:hideMark/>
          </w:tcPr>
          <w:p w:rsidR="00216DF5" w:rsidRPr="00795C5D" w:rsidRDefault="00216DF5" w:rsidP="003F5A0E">
            <w:pPr>
              <w:pStyle w:val="naisf"/>
              <w:spacing w:before="0" w:after="0"/>
              <w:ind w:firstLine="0"/>
              <w:jc w:val="center"/>
              <w:rPr>
                <w:b/>
                <w:sz w:val="26"/>
                <w:szCs w:val="26"/>
              </w:rPr>
            </w:pPr>
            <w:r>
              <w:rPr>
                <w:b/>
                <w:sz w:val="26"/>
                <w:szCs w:val="26"/>
              </w:rPr>
              <w:t>0</w:t>
            </w:r>
          </w:p>
        </w:tc>
        <w:tc>
          <w:tcPr>
            <w:tcW w:w="1417" w:type="dxa"/>
            <w:vAlign w:val="center"/>
            <w:hideMark/>
          </w:tcPr>
          <w:p w:rsidR="00216DF5" w:rsidRPr="00795C5D" w:rsidRDefault="00216DF5" w:rsidP="003F5A0E">
            <w:pPr>
              <w:pStyle w:val="naisf"/>
              <w:spacing w:before="0" w:after="0"/>
              <w:ind w:firstLine="0"/>
              <w:jc w:val="center"/>
              <w:rPr>
                <w:b/>
                <w:sz w:val="26"/>
                <w:szCs w:val="26"/>
              </w:rPr>
            </w:pPr>
            <w:r>
              <w:rPr>
                <w:b/>
                <w:sz w:val="26"/>
                <w:szCs w:val="26"/>
              </w:rPr>
              <w:t>0</w:t>
            </w:r>
          </w:p>
        </w:tc>
      </w:tr>
      <w:tr w:rsidR="00216DF5" w:rsidRPr="004522ED" w:rsidTr="003F5A0E">
        <w:tc>
          <w:tcPr>
            <w:tcW w:w="2553" w:type="dxa"/>
            <w:hideMark/>
          </w:tcPr>
          <w:p w:rsidR="00216DF5" w:rsidRPr="004522ED" w:rsidRDefault="00216DF5" w:rsidP="003F5A0E">
            <w:pPr>
              <w:rPr>
                <w:sz w:val="28"/>
                <w:szCs w:val="28"/>
              </w:rPr>
            </w:pPr>
            <w:r w:rsidRPr="004522ED">
              <w:rPr>
                <w:sz w:val="28"/>
                <w:szCs w:val="28"/>
              </w:rPr>
              <w:t>3.1. valsts pamatbudžets</w:t>
            </w:r>
          </w:p>
        </w:tc>
        <w:tc>
          <w:tcPr>
            <w:tcW w:w="1535" w:type="dxa"/>
            <w:vAlign w:val="center"/>
            <w:hideMark/>
          </w:tcPr>
          <w:p w:rsidR="00216DF5" w:rsidRPr="00795C5D" w:rsidRDefault="00216DF5" w:rsidP="003F5A0E">
            <w:pPr>
              <w:pStyle w:val="naisf"/>
              <w:spacing w:before="0" w:after="0"/>
              <w:ind w:firstLine="0"/>
              <w:jc w:val="center"/>
              <w:rPr>
                <w:sz w:val="26"/>
                <w:szCs w:val="26"/>
              </w:rPr>
            </w:pPr>
            <w:r>
              <w:rPr>
                <w:sz w:val="26"/>
                <w:szCs w:val="26"/>
              </w:rPr>
              <w:t>0</w:t>
            </w:r>
          </w:p>
        </w:tc>
        <w:tc>
          <w:tcPr>
            <w:tcW w:w="1302" w:type="dxa"/>
            <w:vAlign w:val="center"/>
            <w:hideMark/>
          </w:tcPr>
          <w:p w:rsidR="00216DF5" w:rsidRPr="00795C5D" w:rsidRDefault="00216DF5" w:rsidP="003F5A0E">
            <w:pPr>
              <w:pStyle w:val="naisf"/>
              <w:spacing w:before="0" w:after="0"/>
              <w:ind w:firstLine="0"/>
              <w:jc w:val="center"/>
              <w:rPr>
                <w:sz w:val="26"/>
                <w:szCs w:val="26"/>
              </w:rPr>
            </w:pPr>
            <w:r w:rsidRPr="00795C5D">
              <w:rPr>
                <w:sz w:val="26"/>
                <w:szCs w:val="26"/>
              </w:rPr>
              <w:t>0</w:t>
            </w:r>
          </w:p>
        </w:tc>
        <w:tc>
          <w:tcPr>
            <w:tcW w:w="1273" w:type="dxa"/>
            <w:vAlign w:val="center"/>
            <w:hideMark/>
          </w:tcPr>
          <w:p w:rsidR="00216DF5" w:rsidRPr="00795C5D" w:rsidRDefault="00216DF5" w:rsidP="003F5A0E">
            <w:pPr>
              <w:pStyle w:val="naisf"/>
              <w:spacing w:before="0" w:after="0"/>
              <w:ind w:firstLine="0"/>
              <w:jc w:val="center"/>
              <w:rPr>
                <w:sz w:val="26"/>
                <w:szCs w:val="26"/>
              </w:rPr>
            </w:pPr>
            <w:r w:rsidRPr="00795C5D">
              <w:rPr>
                <w:sz w:val="26"/>
                <w:szCs w:val="26"/>
              </w:rPr>
              <w:t>0</w:t>
            </w:r>
          </w:p>
        </w:tc>
        <w:tc>
          <w:tcPr>
            <w:tcW w:w="1418" w:type="dxa"/>
            <w:vAlign w:val="center"/>
            <w:hideMark/>
          </w:tcPr>
          <w:p w:rsidR="00216DF5" w:rsidRPr="00795C5D" w:rsidRDefault="00216DF5" w:rsidP="003F5A0E">
            <w:pPr>
              <w:pStyle w:val="naisf"/>
              <w:spacing w:before="0" w:after="0"/>
              <w:ind w:firstLine="0"/>
              <w:jc w:val="center"/>
              <w:rPr>
                <w:sz w:val="26"/>
                <w:szCs w:val="26"/>
              </w:rPr>
            </w:pPr>
            <w:r>
              <w:rPr>
                <w:sz w:val="26"/>
                <w:szCs w:val="26"/>
              </w:rPr>
              <w:t>0</w:t>
            </w:r>
          </w:p>
        </w:tc>
        <w:tc>
          <w:tcPr>
            <w:tcW w:w="1417" w:type="dxa"/>
            <w:vAlign w:val="center"/>
            <w:hideMark/>
          </w:tcPr>
          <w:p w:rsidR="00216DF5" w:rsidRPr="00795C5D" w:rsidRDefault="00216DF5" w:rsidP="003F5A0E">
            <w:pPr>
              <w:pStyle w:val="naisf"/>
              <w:spacing w:before="0" w:after="0"/>
              <w:ind w:firstLine="0"/>
              <w:jc w:val="center"/>
              <w:rPr>
                <w:sz w:val="26"/>
                <w:szCs w:val="26"/>
              </w:rPr>
            </w:pPr>
            <w:r>
              <w:rPr>
                <w:sz w:val="26"/>
                <w:szCs w:val="26"/>
              </w:rPr>
              <w:t>0</w:t>
            </w:r>
          </w:p>
        </w:tc>
      </w:tr>
      <w:tr w:rsidR="00216DF5" w:rsidRPr="004522ED" w:rsidTr="003F5A0E">
        <w:tc>
          <w:tcPr>
            <w:tcW w:w="2553" w:type="dxa"/>
            <w:hideMark/>
          </w:tcPr>
          <w:p w:rsidR="00216DF5" w:rsidRPr="004522ED" w:rsidRDefault="00216DF5" w:rsidP="003F5A0E">
            <w:pPr>
              <w:rPr>
                <w:sz w:val="28"/>
                <w:szCs w:val="28"/>
              </w:rPr>
            </w:pPr>
            <w:r w:rsidRPr="004522ED">
              <w:rPr>
                <w:sz w:val="28"/>
                <w:szCs w:val="28"/>
              </w:rPr>
              <w:t>3.2. speciālais budžets</w:t>
            </w:r>
          </w:p>
        </w:tc>
        <w:tc>
          <w:tcPr>
            <w:tcW w:w="1535" w:type="dxa"/>
            <w:vAlign w:val="center"/>
            <w:hideMark/>
          </w:tcPr>
          <w:p w:rsidR="00216DF5" w:rsidRPr="00795C5D" w:rsidRDefault="00216DF5" w:rsidP="003F5A0E">
            <w:pPr>
              <w:pStyle w:val="naisf"/>
              <w:spacing w:before="0" w:after="0"/>
              <w:ind w:firstLine="0"/>
              <w:jc w:val="center"/>
              <w:rPr>
                <w:sz w:val="26"/>
                <w:szCs w:val="26"/>
              </w:rPr>
            </w:pPr>
            <w:r w:rsidRPr="00795C5D">
              <w:rPr>
                <w:sz w:val="26"/>
                <w:szCs w:val="26"/>
              </w:rPr>
              <w:t>0</w:t>
            </w:r>
          </w:p>
        </w:tc>
        <w:tc>
          <w:tcPr>
            <w:tcW w:w="1302" w:type="dxa"/>
            <w:vAlign w:val="center"/>
            <w:hideMark/>
          </w:tcPr>
          <w:p w:rsidR="00216DF5" w:rsidRPr="00795C5D" w:rsidRDefault="00216DF5" w:rsidP="003F5A0E">
            <w:pPr>
              <w:pStyle w:val="naisf"/>
              <w:spacing w:before="0" w:after="0"/>
              <w:ind w:firstLine="0"/>
              <w:jc w:val="center"/>
              <w:rPr>
                <w:sz w:val="26"/>
                <w:szCs w:val="26"/>
              </w:rPr>
            </w:pPr>
            <w:r w:rsidRPr="00795C5D">
              <w:rPr>
                <w:sz w:val="26"/>
                <w:szCs w:val="26"/>
              </w:rPr>
              <w:t>0</w:t>
            </w:r>
          </w:p>
        </w:tc>
        <w:tc>
          <w:tcPr>
            <w:tcW w:w="1273" w:type="dxa"/>
            <w:vAlign w:val="center"/>
            <w:hideMark/>
          </w:tcPr>
          <w:p w:rsidR="00216DF5" w:rsidRPr="00795C5D" w:rsidRDefault="00216DF5" w:rsidP="003F5A0E">
            <w:pPr>
              <w:pStyle w:val="naisf"/>
              <w:spacing w:before="0" w:after="0"/>
              <w:ind w:firstLine="0"/>
              <w:jc w:val="center"/>
              <w:rPr>
                <w:sz w:val="26"/>
                <w:szCs w:val="26"/>
              </w:rPr>
            </w:pPr>
            <w:r w:rsidRPr="00795C5D">
              <w:rPr>
                <w:sz w:val="26"/>
                <w:szCs w:val="26"/>
              </w:rPr>
              <w:t>0</w:t>
            </w:r>
          </w:p>
        </w:tc>
        <w:tc>
          <w:tcPr>
            <w:tcW w:w="1418" w:type="dxa"/>
            <w:vAlign w:val="center"/>
            <w:hideMark/>
          </w:tcPr>
          <w:p w:rsidR="00216DF5" w:rsidRPr="00795C5D" w:rsidRDefault="00216DF5" w:rsidP="003F5A0E">
            <w:pPr>
              <w:pStyle w:val="naisf"/>
              <w:spacing w:before="0" w:after="0"/>
              <w:ind w:firstLine="0"/>
              <w:jc w:val="center"/>
              <w:rPr>
                <w:sz w:val="26"/>
                <w:szCs w:val="26"/>
              </w:rPr>
            </w:pPr>
            <w:r w:rsidRPr="00795C5D">
              <w:rPr>
                <w:sz w:val="26"/>
                <w:szCs w:val="26"/>
              </w:rPr>
              <w:t>0</w:t>
            </w:r>
          </w:p>
        </w:tc>
        <w:tc>
          <w:tcPr>
            <w:tcW w:w="1417" w:type="dxa"/>
            <w:vAlign w:val="center"/>
            <w:hideMark/>
          </w:tcPr>
          <w:p w:rsidR="00216DF5" w:rsidRPr="00795C5D" w:rsidRDefault="00216DF5" w:rsidP="003F5A0E">
            <w:pPr>
              <w:pStyle w:val="naisf"/>
              <w:spacing w:before="0" w:after="0"/>
              <w:ind w:firstLine="0"/>
              <w:jc w:val="center"/>
              <w:rPr>
                <w:sz w:val="26"/>
                <w:szCs w:val="26"/>
              </w:rPr>
            </w:pPr>
            <w:r w:rsidRPr="00795C5D">
              <w:rPr>
                <w:sz w:val="26"/>
                <w:szCs w:val="26"/>
              </w:rPr>
              <w:t>0</w:t>
            </w:r>
          </w:p>
        </w:tc>
      </w:tr>
      <w:tr w:rsidR="00216DF5" w:rsidRPr="004522ED" w:rsidTr="003F5A0E">
        <w:tc>
          <w:tcPr>
            <w:tcW w:w="2553" w:type="dxa"/>
            <w:hideMark/>
          </w:tcPr>
          <w:p w:rsidR="00216DF5" w:rsidRPr="004522ED" w:rsidRDefault="00216DF5" w:rsidP="003F5A0E">
            <w:pPr>
              <w:rPr>
                <w:sz w:val="28"/>
                <w:szCs w:val="28"/>
              </w:rPr>
            </w:pPr>
            <w:r w:rsidRPr="004522ED">
              <w:rPr>
                <w:sz w:val="28"/>
                <w:szCs w:val="28"/>
              </w:rPr>
              <w:t>3.3. pašvaldību budžets</w:t>
            </w:r>
          </w:p>
        </w:tc>
        <w:tc>
          <w:tcPr>
            <w:tcW w:w="1535" w:type="dxa"/>
            <w:vAlign w:val="center"/>
            <w:hideMark/>
          </w:tcPr>
          <w:p w:rsidR="00216DF5" w:rsidRPr="00795C5D" w:rsidRDefault="00216DF5" w:rsidP="003F5A0E">
            <w:pPr>
              <w:pStyle w:val="naisf"/>
              <w:spacing w:before="0" w:after="0"/>
              <w:ind w:firstLine="0"/>
              <w:jc w:val="center"/>
              <w:rPr>
                <w:sz w:val="26"/>
                <w:szCs w:val="26"/>
              </w:rPr>
            </w:pPr>
            <w:r w:rsidRPr="00795C5D">
              <w:rPr>
                <w:sz w:val="26"/>
                <w:szCs w:val="26"/>
              </w:rPr>
              <w:t>0</w:t>
            </w:r>
          </w:p>
        </w:tc>
        <w:tc>
          <w:tcPr>
            <w:tcW w:w="1302" w:type="dxa"/>
            <w:vAlign w:val="center"/>
            <w:hideMark/>
          </w:tcPr>
          <w:p w:rsidR="00216DF5" w:rsidRPr="00795C5D" w:rsidRDefault="00216DF5" w:rsidP="003F5A0E">
            <w:pPr>
              <w:pStyle w:val="naisf"/>
              <w:spacing w:before="0" w:after="0"/>
              <w:ind w:firstLine="0"/>
              <w:jc w:val="center"/>
              <w:rPr>
                <w:sz w:val="26"/>
                <w:szCs w:val="26"/>
              </w:rPr>
            </w:pPr>
            <w:r w:rsidRPr="00795C5D">
              <w:rPr>
                <w:sz w:val="26"/>
                <w:szCs w:val="26"/>
              </w:rPr>
              <w:t>0</w:t>
            </w:r>
          </w:p>
        </w:tc>
        <w:tc>
          <w:tcPr>
            <w:tcW w:w="1273" w:type="dxa"/>
            <w:vAlign w:val="center"/>
            <w:hideMark/>
          </w:tcPr>
          <w:p w:rsidR="00216DF5" w:rsidRPr="00795C5D" w:rsidRDefault="00216DF5" w:rsidP="003F5A0E">
            <w:pPr>
              <w:pStyle w:val="naisf"/>
              <w:spacing w:before="0" w:after="0"/>
              <w:ind w:firstLine="0"/>
              <w:jc w:val="center"/>
              <w:rPr>
                <w:sz w:val="26"/>
                <w:szCs w:val="26"/>
              </w:rPr>
            </w:pPr>
            <w:r w:rsidRPr="00795C5D">
              <w:rPr>
                <w:sz w:val="26"/>
                <w:szCs w:val="26"/>
              </w:rPr>
              <w:t>0</w:t>
            </w:r>
          </w:p>
        </w:tc>
        <w:tc>
          <w:tcPr>
            <w:tcW w:w="1418" w:type="dxa"/>
            <w:vAlign w:val="center"/>
            <w:hideMark/>
          </w:tcPr>
          <w:p w:rsidR="00216DF5" w:rsidRPr="00795C5D" w:rsidRDefault="00216DF5" w:rsidP="003F5A0E">
            <w:pPr>
              <w:pStyle w:val="naisf"/>
              <w:spacing w:before="0" w:after="0"/>
              <w:ind w:firstLine="0"/>
              <w:jc w:val="center"/>
              <w:rPr>
                <w:sz w:val="26"/>
                <w:szCs w:val="26"/>
              </w:rPr>
            </w:pPr>
            <w:r w:rsidRPr="00795C5D">
              <w:rPr>
                <w:sz w:val="26"/>
                <w:szCs w:val="26"/>
              </w:rPr>
              <w:t>0</w:t>
            </w:r>
          </w:p>
        </w:tc>
        <w:tc>
          <w:tcPr>
            <w:tcW w:w="1417" w:type="dxa"/>
            <w:vAlign w:val="center"/>
            <w:hideMark/>
          </w:tcPr>
          <w:p w:rsidR="00216DF5" w:rsidRPr="00795C5D" w:rsidRDefault="00216DF5" w:rsidP="003F5A0E">
            <w:pPr>
              <w:pStyle w:val="naisf"/>
              <w:spacing w:before="0" w:after="0"/>
              <w:ind w:firstLine="0"/>
              <w:jc w:val="center"/>
              <w:rPr>
                <w:sz w:val="26"/>
                <w:szCs w:val="26"/>
              </w:rPr>
            </w:pPr>
            <w:r w:rsidRPr="00795C5D">
              <w:rPr>
                <w:sz w:val="26"/>
                <w:szCs w:val="26"/>
              </w:rPr>
              <w:t>0</w:t>
            </w:r>
          </w:p>
        </w:tc>
      </w:tr>
      <w:tr w:rsidR="00216DF5" w:rsidRPr="004522ED" w:rsidTr="003F5A0E">
        <w:tc>
          <w:tcPr>
            <w:tcW w:w="2553" w:type="dxa"/>
            <w:vMerge w:val="restart"/>
            <w:hideMark/>
          </w:tcPr>
          <w:p w:rsidR="00216DF5" w:rsidRPr="004522ED" w:rsidRDefault="00216DF5" w:rsidP="003F5A0E">
            <w:pPr>
              <w:rPr>
                <w:sz w:val="28"/>
                <w:szCs w:val="28"/>
              </w:rPr>
            </w:pPr>
            <w:r w:rsidRPr="004522ED">
              <w:rPr>
                <w:sz w:val="28"/>
                <w:szCs w:val="28"/>
              </w:rPr>
              <w:t>4. Finanšu līdzekļi papildu izdevumu finansēšanai (kompensējošu izdevumu samazinājumu norāda ar "+" zīmi)</w:t>
            </w:r>
          </w:p>
        </w:tc>
        <w:tc>
          <w:tcPr>
            <w:tcW w:w="1535" w:type="dxa"/>
            <w:vMerge w:val="restart"/>
            <w:hideMark/>
          </w:tcPr>
          <w:p w:rsidR="00216DF5" w:rsidRPr="004522ED" w:rsidRDefault="00216DF5" w:rsidP="003F5A0E">
            <w:pPr>
              <w:pStyle w:val="tvhtml"/>
              <w:spacing w:line="293" w:lineRule="atLeast"/>
              <w:jc w:val="center"/>
              <w:rPr>
                <w:sz w:val="28"/>
                <w:szCs w:val="28"/>
                <w:lang w:val="lv-LV"/>
              </w:rPr>
            </w:pPr>
            <w:r w:rsidRPr="004522ED">
              <w:rPr>
                <w:sz w:val="28"/>
                <w:szCs w:val="28"/>
                <w:lang w:val="lv-LV"/>
              </w:rPr>
              <w:t>X</w:t>
            </w:r>
          </w:p>
        </w:tc>
        <w:tc>
          <w:tcPr>
            <w:tcW w:w="1302" w:type="dxa"/>
            <w:vAlign w:val="center"/>
            <w:hideMark/>
          </w:tcPr>
          <w:p w:rsidR="00216DF5" w:rsidRPr="00795C5D" w:rsidRDefault="00216DF5" w:rsidP="003F5A0E">
            <w:pPr>
              <w:pStyle w:val="naisf"/>
              <w:spacing w:before="0" w:after="0"/>
              <w:ind w:firstLine="0"/>
              <w:jc w:val="center"/>
              <w:rPr>
                <w:i/>
                <w:sz w:val="26"/>
                <w:szCs w:val="26"/>
              </w:rPr>
            </w:pPr>
            <w:r w:rsidRPr="00795C5D">
              <w:rPr>
                <w:sz w:val="26"/>
                <w:szCs w:val="26"/>
              </w:rPr>
              <w:t>0</w:t>
            </w:r>
          </w:p>
        </w:tc>
        <w:tc>
          <w:tcPr>
            <w:tcW w:w="1273" w:type="dxa"/>
            <w:vAlign w:val="center"/>
            <w:hideMark/>
          </w:tcPr>
          <w:p w:rsidR="00216DF5" w:rsidRPr="00795C5D" w:rsidRDefault="00216DF5" w:rsidP="003F5A0E">
            <w:pPr>
              <w:pStyle w:val="naisf"/>
              <w:spacing w:before="0" w:after="0"/>
              <w:ind w:firstLine="0"/>
              <w:jc w:val="center"/>
              <w:rPr>
                <w:sz w:val="26"/>
                <w:szCs w:val="26"/>
              </w:rPr>
            </w:pPr>
            <w:r w:rsidRPr="00795C5D">
              <w:rPr>
                <w:sz w:val="26"/>
                <w:szCs w:val="26"/>
              </w:rPr>
              <w:t>0</w:t>
            </w:r>
          </w:p>
        </w:tc>
        <w:tc>
          <w:tcPr>
            <w:tcW w:w="1418" w:type="dxa"/>
            <w:vAlign w:val="center"/>
            <w:hideMark/>
          </w:tcPr>
          <w:p w:rsidR="00216DF5" w:rsidRPr="00795C5D" w:rsidRDefault="00216DF5" w:rsidP="003F5A0E">
            <w:pPr>
              <w:pStyle w:val="naisf"/>
              <w:spacing w:before="0" w:after="0"/>
              <w:ind w:firstLine="0"/>
              <w:jc w:val="center"/>
              <w:rPr>
                <w:sz w:val="26"/>
                <w:szCs w:val="26"/>
              </w:rPr>
            </w:pPr>
            <w:r w:rsidRPr="00795C5D">
              <w:rPr>
                <w:sz w:val="26"/>
                <w:szCs w:val="26"/>
              </w:rPr>
              <w:t>0</w:t>
            </w:r>
          </w:p>
        </w:tc>
        <w:tc>
          <w:tcPr>
            <w:tcW w:w="1417" w:type="dxa"/>
            <w:vAlign w:val="center"/>
            <w:hideMark/>
          </w:tcPr>
          <w:p w:rsidR="00216DF5" w:rsidRPr="00795C5D" w:rsidRDefault="00216DF5" w:rsidP="003F5A0E">
            <w:pPr>
              <w:pStyle w:val="naisf"/>
              <w:spacing w:before="0" w:after="0"/>
              <w:ind w:firstLine="0"/>
              <w:jc w:val="center"/>
              <w:rPr>
                <w:sz w:val="26"/>
                <w:szCs w:val="26"/>
              </w:rPr>
            </w:pPr>
            <w:r w:rsidRPr="00795C5D">
              <w:rPr>
                <w:sz w:val="26"/>
                <w:szCs w:val="26"/>
              </w:rPr>
              <w:t>0</w:t>
            </w:r>
          </w:p>
        </w:tc>
      </w:tr>
      <w:tr w:rsidR="00216DF5" w:rsidRPr="004522ED" w:rsidTr="003F5A0E">
        <w:tc>
          <w:tcPr>
            <w:tcW w:w="2553" w:type="dxa"/>
            <w:vMerge/>
            <w:hideMark/>
          </w:tcPr>
          <w:p w:rsidR="00216DF5" w:rsidRPr="004522ED" w:rsidRDefault="00216DF5" w:rsidP="003F5A0E">
            <w:pPr>
              <w:rPr>
                <w:sz w:val="28"/>
                <w:szCs w:val="28"/>
              </w:rPr>
            </w:pPr>
          </w:p>
        </w:tc>
        <w:tc>
          <w:tcPr>
            <w:tcW w:w="1535" w:type="dxa"/>
            <w:vMerge/>
            <w:hideMark/>
          </w:tcPr>
          <w:p w:rsidR="00216DF5" w:rsidRPr="004522ED" w:rsidRDefault="00216DF5" w:rsidP="003F5A0E">
            <w:pPr>
              <w:rPr>
                <w:sz w:val="28"/>
                <w:szCs w:val="28"/>
              </w:rPr>
            </w:pPr>
          </w:p>
        </w:tc>
        <w:tc>
          <w:tcPr>
            <w:tcW w:w="1302" w:type="dxa"/>
            <w:vAlign w:val="center"/>
            <w:hideMark/>
          </w:tcPr>
          <w:p w:rsidR="00216DF5" w:rsidRPr="00795C5D" w:rsidRDefault="00216DF5" w:rsidP="003F5A0E">
            <w:pPr>
              <w:pStyle w:val="naisf"/>
              <w:spacing w:before="0" w:after="0"/>
              <w:ind w:firstLine="0"/>
              <w:jc w:val="center"/>
              <w:rPr>
                <w:sz w:val="26"/>
                <w:szCs w:val="26"/>
              </w:rPr>
            </w:pPr>
            <w:r w:rsidRPr="00795C5D">
              <w:rPr>
                <w:sz w:val="26"/>
                <w:szCs w:val="26"/>
              </w:rPr>
              <w:t>0</w:t>
            </w:r>
          </w:p>
        </w:tc>
        <w:tc>
          <w:tcPr>
            <w:tcW w:w="1273" w:type="dxa"/>
            <w:vAlign w:val="center"/>
            <w:hideMark/>
          </w:tcPr>
          <w:p w:rsidR="00216DF5" w:rsidRPr="00795C5D" w:rsidRDefault="00216DF5" w:rsidP="003F5A0E">
            <w:pPr>
              <w:pStyle w:val="naisf"/>
              <w:spacing w:before="0" w:after="0"/>
              <w:ind w:firstLine="0"/>
              <w:jc w:val="center"/>
              <w:rPr>
                <w:sz w:val="26"/>
                <w:szCs w:val="26"/>
              </w:rPr>
            </w:pPr>
            <w:r w:rsidRPr="00795C5D">
              <w:rPr>
                <w:sz w:val="26"/>
                <w:szCs w:val="26"/>
              </w:rPr>
              <w:t>0</w:t>
            </w:r>
          </w:p>
        </w:tc>
        <w:tc>
          <w:tcPr>
            <w:tcW w:w="1418" w:type="dxa"/>
            <w:vAlign w:val="center"/>
            <w:hideMark/>
          </w:tcPr>
          <w:p w:rsidR="00216DF5" w:rsidRPr="00795C5D" w:rsidRDefault="00216DF5" w:rsidP="003F5A0E">
            <w:pPr>
              <w:pStyle w:val="naisf"/>
              <w:spacing w:before="0" w:after="0"/>
              <w:ind w:firstLine="0"/>
              <w:jc w:val="center"/>
              <w:rPr>
                <w:sz w:val="26"/>
                <w:szCs w:val="26"/>
              </w:rPr>
            </w:pPr>
            <w:r w:rsidRPr="00795C5D">
              <w:rPr>
                <w:sz w:val="26"/>
                <w:szCs w:val="26"/>
              </w:rPr>
              <w:t>0</w:t>
            </w:r>
          </w:p>
        </w:tc>
        <w:tc>
          <w:tcPr>
            <w:tcW w:w="1417" w:type="dxa"/>
            <w:vAlign w:val="center"/>
            <w:hideMark/>
          </w:tcPr>
          <w:p w:rsidR="00216DF5" w:rsidRPr="00795C5D" w:rsidRDefault="00216DF5" w:rsidP="003F5A0E">
            <w:pPr>
              <w:pStyle w:val="naisf"/>
              <w:spacing w:before="0" w:after="0"/>
              <w:ind w:firstLine="0"/>
              <w:jc w:val="center"/>
              <w:rPr>
                <w:sz w:val="26"/>
                <w:szCs w:val="26"/>
              </w:rPr>
            </w:pPr>
            <w:r w:rsidRPr="00795C5D">
              <w:rPr>
                <w:sz w:val="26"/>
                <w:szCs w:val="26"/>
              </w:rPr>
              <w:t>0</w:t>
            </w:r>
          </w:p>
        </w:tc>
      </w:tr>
      <w:tr w:rsidR="00216DF5" w:rsidRPr="004522ED" w:rsidTr="003F5A0E">
        <w:tc>
          <w:tcPr>
            <w:tcW w:w="2553" w:type="dxa"/>
            <w:vMerge/>
            <w:hideMark/>
          </w:tcPr>
          <w:p w:rsidR="00216DF5" w:rsidRPr="004522ED" w:rsidRDefault="00216DF5" w:rsidP="003F5A0E">
            <w:pPr>
              <w:rPr>
                <w:sz w:val="28"/>
                <w:szCs w:val="28"/>
              </w:rPr>
            </w:pPr>
          </w:p>
        </w:tc>
        <w:tc>
          <w:tcPr>
            <w:tcW w:w="1535" w:type="dxa"/>
            <w:vMerge/>
            <w:hideMark/>
          </w:tcPr>
          <w:p w:rsidR="00216DF5" w:rsidRPr="004522ED" w:rsidRDefault="00216DF5" w:rsidP="003F5A0E">
            <w:pPr>
              <w:rPr>
                <w:sz w:val="28"/>
                <w:szCs w:val="28"/>
              </w:rPr>
            </w:pPr>
          </w:p>
        </w:tc>
        <w:tc>
          <w:tcPr>
            <w:tcW w:w="1302" w:type="dxa"/>
            <w:vAlign w:val="center"/>
            <w:hideMark/>
          </w:tcPr>
          <w:p w:rsidR="00216DF5" w:rsidRPr="00795C5D" w:rsidRDefault="00216DF5" w:rsidP="003F5A0E">
            <w:pPr>
              <w:pStyle w:val="naisf"/>
              <w:spacing w:before="0" w:after="0"/>
              <w:ind w:firstLine="0"/>
              <w:jc w:val="center"/>
              <w:rPr>
                <w:sz w:val="26"/>
                <w:szCs w:val="26"/>
              </w:rPr>
            </w:pPr>
            <w:r w:rsidRPr="00795C5D">
              <w:rPr>
                <w:sz w:val="26"/>
                <w:szCs w:val="26"/>
              </w:rPr>
              <w:t>0</w:t>
            </w:r>
          </w:p>
        </w:tc>
        <w:tc>
          <w:tcPr>
            <w:tcW w:w="1273" w:type="dxa"/>
            <w:vAlign w:val="center"/>
            <w:hideMark/>
          </w:tcPr>
          <w:p w:rsidR="00216DF5" w:rsidRPr="00795C5D" w:rsidRDefault="00216DF5" w:rsidP="003F5A0E">
            <w:pPr>
              <w:pStyle w:val="naisf"/>
              <w:spacing w:before="0" w:after="0"/>
              <w:ind w:firstLine="0"/>
              <w:jc w:val="center"/>
              <w:rPr>
                <w:sz w:val="26"/>
                <w:szCs w:val="26"/>
              </w:rPr>
            </w:pPr>
            <w:r w:rsidRPr="00795C5D">
              <w:rPr>
                <w:sz w:val="26"/>
                <w:szCs w:val="26"/>
              </w:rPr>
              <w:t>0</w:t>
            </w:r>
          </w:p>
        </w:tc>
        <w:tc>
          <w:tcPr>
            <w:tcW w:w="1418" w:type="dxa"/>
            <w:vAlign w:val="center"/>
            <w:hideMark/>
          </w:tcPr>
          <w:p w:rsidR="00216DF5" w:rsidRPr="00795C5D" w:rsidRDefault="00216DF5" w:rsidP="003F5A0E">
            <w:pPr>
              <w:pStyle w:val="naisf"/>
              <w:spacing w:before="0" w:after="0"/>
              <w:ind w:firstLine="0"/>
              <w:jc w:val="center"/>
              <w:rPr>
                <w:sz w:val="26"/>
                <w:szCs w:val="26"/>
              </w:rPr>
            </w:pPr>
            <w:r w:rsidRPr="00795C5D">
              <w:rPr>
                <w:sz w:val="26"/>
                <w:szCs w:val="26"/>
              </w:rPr>
              <w:t>0</w:t>
            </w:r>
          </w:p>
        </w:tc>
        <w:tc>
          <w:tcPr>
            <w:tcW w:w="1417" w:type="dxa"/>
            <w:vAlign w:val="center"/>
            <w:hideMark/>
          </w:tcPr>
          <w:p w:rsidR="00216DF5" w:rsidRPr="00795C5D" w:rsidRDefault="00216DF5" w:rsidP="003F5A0E">
            <w:pPr>
              <w:pStyle w:val="naisf"/>
              <w:spacing w:before="0" w:after="0"/>
              <w:ind w:firstLine="0"/>
              <w:jc w:val="center"/>
              <w:rPr>
                <w:sz w:val="26"/>
                <w:szCs w:val="26"/>
              </w:rPr>
            </w:pPr>
            <w:r w:rsidRPr="00795C5D">
              <w:rPr>
                <w:sz w:val="26"/>
                <w:szCs w:val="26"/>
              </w:rPr>
              <w:t>0</w:t>
            </w:r>
          </w:p>
        </w:tc>
      </w:tr>
      <w:tr w:rsidR="00216DF5" w:rsidRPr="004522ED" w:rsidTr="003F5A0E">
        <w:tc>
          <w:tcPr>
            <w:tcW w:w="2553" w:type="dxa"/>
            <w:hideMark/>
          </w:tcPr>
          <w:p w:rsidR="00216DF5" w:rsidRPr="004522ED" w:rsidRDefault="00216DF5" w:rsidP="003F5A0E">
            <w:pPr>
              <w:rPr>
                <w:sz w:val="28"/>
                <w:szCs w:val="28"/>
              </w:rPr>
            </w:pPr>
            <w:r w:rsidRPr="004522ED">
              <w:rPr>
                <w:sz w:val="28"/>
                <w:szCs w:val="28"/>
              </w:rPr>
              <w:lastRenderedPageBreak/>
              <w:t>5. Precizēta finansiālā ietekme:</w:t>
            </w:r>
          </w:p>
        </w:tc>
        <w:tc>
          <w:tcPr>
            <w:tcW w:w="1535" w:type="dxa"/>
            <w:vMerge w:val="restart"/>
            <w:hideMark/>
          </w:tcPr>
          <w:p w:rsidR="00216DF5" w:rsidRPr="004522ED" w:rsidRDefault="00216DF5" w:rsidP="003F5A0E">
            <w:pPr>
              <w:pStyle w:val="tvhtml"/>
              <w:spacing w:line="293" w:lineRule="atLeast"/>
              <w:jc w:val="center"/>
              <w:rPr>
                <w:sz w:val="28"/>
                <w:szCs w:val="28"/>
                <w:lang w:val="lv-LV"/>
              </w:rPr>
            </w:pPr>
            <w:r w:rsidRPr="004522ED">
              <w:rPr>
                <w:sz w:val="28"/>
                <w:szCs w:val="28"/>
                <w:lang w:val="lv-LV"/>
              </w:rPr>
              <w:t>X</w:t>
            </w:r>
          </w:p>
        </w:tc>
        <w:tc>
          <w:tcPr>
            <w:tcW w:w="1302" w:type="dxa"/>
            <w:vAlign w:val="center"/>
            <w:hideMark/>
          </w:tcPr>
          <w:p w:rsidR="00216DF5" w:rsidRPr="00795C5D" w:rsidRDefault="00216DF5" w:rsidP="003F5A0E">
            <w:pPr>
              <w:pStyle w:val="naisf"/>
              <w:spacing w:before="0" w:after="0"/>
              <w:ind w:firstLine="0"/>
              <w:jc w:val="center"/>
              <w:rPr>
                <w:i/>
                <w:sz w:val="26"/>
                <w:szCs w:val="26"/>
              </w:rPr>
            </w:pPr>
            <w:r w:rsidRPr="00795C5D">
              <w:rPr>
                <w:sz w:val="26"/>
                <w:szCs w:val="26"/>
              </w:rPr>
              <w:t>0</w:t>
            </w:r>
          </w:p>
        </w:tc>
        <w:tc>
          <w:tcPr>
            <w:tcW w:w="1273" w:type="dxa"/>
            <w:vAlign w:val="center"/>
            <w:hideMark/>
          </w:tcPr>
          <w:p w:rsidR="00216DF5" w:rsidRPr="00795C5D" w:rsidRDefault="00216DF5" w:rsidP="003F5A0E">
            <w:pPr>
              <w:pStyle w:val="naisf"/>
              <w:spacing w:before="0" w:after="0"/>
              <w:ind w:firstLine="0"/>
              <w:jc w:val="center"/>
              <w:rPr>
                <w:sz w:val="26"/>
                <w:szCs w:val="26"/>
              </w:rPr>
            </w:pPr>
            <w:r w:rsidRPr="00795C5D">
              <w:rPr>
                <w:sz w:val="26"/>
                <w:szCs w:val="26"/>
              </w:rPr>
              <w:t>0</w:t>
            </w:r>
          </w:p>
        </w:tc>
        <w:tc>
          <w:tcPr>
            <w:tcW w:w="1418" w:type="dxa"/>
            <w:vAlign w:val="center"/>
            <w:hideMark/>
          </w:tcPr>
          <w:p w:rsidR="00216DF5" w:rsidRPr="00795C5D" w:rsidRDefault="00216DF5" w:rsidP="003F5A0E">
            <w:pPr>
              <w:pStyle w:val="naisf"/>
              <w:spacing w:before="0" w:after="0"/>
              <w:ind w:firstLine="0"/>
              <w:jc w:val="center"/>
              <w:rPr>
                <w:sz w:val="26"/>
                <w:szCs w:val="26"/>
              </w:rPr>
            </w:pPr>
            <w:r w:rsidRPr="00795C5D">
              <w:rPr>
                <w:sz w:val="26"/>
                <w:szCs w:val="26"/>
              </w:rPr>
              <w:t>0</w:t>
            </w:r>
          </w:p>
        </w:tc>
        <w:tc>
          <w:tcPr>
            <w:tcW w:w="1417" w:type="dxa"/>
            <w:vAlign w:val="center"/>
            <w:hideMark/>
          </w:tcPr>
          <w:p w:rsidR="00216DF5" w:rsidRPr="00795C5D" w:rsidRDefault="00216DF5" w:rsidP="003F5A0E">
            <w:pPr>
              <w:pStyle w:val="naisf"/>
              <w:spacing w:before="0" w:after="0"/>
              <w:ind w:firstLine="0"/>
              <w:jc w:val="center"/>
              <w:rPr>
                <w:sz w:val="26"/>
                <w:szCs w:val="26"/>
              </w:rPr>
            </w:pPr>
            <w:r w:rsidRPr="00795C5D">
              <w:rPr>
                <w:sz w:val="26"/>
                <w:szCs w:val="26"/>
              </w:rPr>
              <w:t>0</w:t>
            </w:r>
          </w:p>
        </w:tc>
      </w:tr>
      <w:tr w:rsidR="00216DF5" w:rsidRPr="004522ED" w:rsidTr="003F5A0E">
        <w:tc>
          <w:tcPr>
            <w:tcW w:w="2553" w:type="dxa"/>
            <w:hideMark/>
          </w:tcPr>
          <w:p w:rsidR="00216DF5" w:rsidRPr="004522ED" w:rsidRDefault="00216DF5" w:rsidP="003F5A0E">
            <w:pPr>
              <w:rPr>
                <w:sz w:val="28"/>
                <w:szCs w:val="28"/>
              </w:rPr>
            </w:pPr>
            <w:r w:rsidRPr="004522ED">
              <w:rPr>
                <w:sz w:val="28"/>
                <w:szCs w:val="28"/>
              </w:rPr>
              <w:t>5.1. valsts pamatbudžets</w:t>
            </w:r>
          </w:p>
        </w:tc>
        <w:tc>
          <w:tcPr>
            <w:tcW w:w="1535" w:type="dxa"/>
            <w:vMerge/>
            <w:hideMark/>
          </w:tcPr>
          <w:p w:rsidR="00216DF5" w:rsidRPr="004522ED" w:rsidRDefault="00216DF5" w:rsidP="003F5A0E">
            <w:pPr>
              <w:rPr>
                <w:sz w:val="28"/>
                <w:szCs w:val="28"/>
              </w:rPr>
            </w:pPr>
          </w:p>
        </w:tc>
        <w:tc>
          <w:tcPr>
            <w:tcW w:w="1302" w:type="dxa"/>
            <w:vAlign w:val="center"/>
            <w:hideMark/>
          </w:tcPr>
          <w:p w:rsidR="00216DF5" w:rsidRPr="00795C5D" w:rsidRDefault="00216DF5" w:rsidP="003F5A0E">
            <w:pPr>
              <w:pStyle w:val="naisf"/>
              <w:spacing w:before="0" w:after="0"/>
              <w:ind w:firstLine="0"/>
              <w:jc w:val="center"/>
              <w:rPr>
                <w:sz w:val="26"/>
                <w:szCs w:val="26"/>
              </w:rPr>
            </w:pPr>
            <w:r w:rsidRPr="00795C5D">
              <w:rPr>
                <w:sz w:val="26"/>
                <w:szCs w:val="26"/>
              </w:rPr>
              <w:t>0</w:t>
            </w:r>
          </w:p>
        </w:tc>
        <w:tc>
          <w:tcPr>
            <w:tcW w:w="1273" w:type="dxa"/>
            <w:vAlign w:val="center"/>
            <w:hideMark/>
          </w:tcPr>
          <w:p w:rsidR="00216DF5" w:rsidRPr="00795C5D" w:rsidRDefault="00216DF5" w:rsidP="003F5A0E">
            <w:pPr>
              <w:pStyle w:val="naisf"/>
              <w:spacing w:before="0" w:after="0"/>
              <w:ind w:firstLine="0"/>
              <w:jc w:val="center"/>
              <w:rPr>
                <w:sz w:val="26"/>
                <w:szCs w:val="26"/>
              </w:rPr>
            </w:pPr>
            <w:r w:rsidRPr="00795C5D">
              <w:rPr>
                <w:sz w:val="26"/>
                <w:szCs w:val="26"/>
              </w:rPr>
              <w:t>0</w:t>
            </w:r>
          </w:p>
        </w:tc>
        <w:tc>
          <w:tcPr>
            <w:tcW w:w="1418" w:type="dxa"/>
            <w:vAlign w:val="center"/>
            <w:hideMark/>
          </w:tcPr>
          <w:p w:rsidR="00216DF5" w:rsidRPr="00795C5D" w:rsidRDefault="00216DF5" w:rsidP="003F5A0E">
            <w:pPr>
              <w:pStyle w:val="naisf"/>
              <w:spacing w:before="0" w:after="0"/>
              <w:ind w:firstLine="0"/>
              <w:jc w:val="center"/>
              <w:rPr>
                <w:sz w:val="26"/>
                <w:szCs w:val="26"/>
              </w:rPr>
            </w:pPr>
            <w:r w:rsidRPr="00795C5D">
              <w:rPr>
                <w:sz w:val="26"/>
                <w:szCs w:val="26"/>
              </w:rPr>
              <w:t>0</w:t>
            </w:r>
          </w:p>
        </w:tc>
        <w:tc>
          <w:tcPr>
            <w:tcW w:w="1417" w:type="dxa"/>
            <w:vAlign w:val="center"/>
            <w:hideMark/>
          </w:tcPr>
          <w:p w:rsidR="00216DF5" w:rsidRPr="00795C5D" w:rsidRDefault="00216DF5" w:rsidP="003F5A0E">
            <w:pPr>
              <w:pStyle w:val="naisf"/>
              <w:spacing w:before="0" w:after="0"/>
              <w:ind w:firstLine="0"/>
              <w:jc w:val="center"/>
              <w:rPr>
                <w:sz w:val="26"/>
                <w:szCs w:val="26"/>
              </w:rPr>
            </w:pPr>
            <w:r w:rsidRPr="00795C5D">
              <w:rPr>
                <w:sz w:val="26"/>
                <w:szCs w:val="26"/>
              </w:rPr>
              <w:t>0</w:t>
            </w:r>
          </w:p>
        </w:tc>
      </w:tr>
      <w:tr w:rsidR="00216DF5" w:rsidRPr="004522ED" w:rsidTr="003F5A0E">
        <w:tc>
          <w:tcPr>
            <w:tcW w:w="2553" w:type="dxa"/>
            <w:hideMark/>
          </w:tcPr>
          <w:p w:rsidR="00216DF5" w:rsidRPr="004522ED" w:rsidRDefault="00216DF5" w:rsidP="003F5A0E">
            <w:pPr>
              <w:rPr>
                <w:sz w:val="28"/>
                <w:szCs w:val="28"/>
              </w:rPr>
            </w:pPr>
            <w:r w:rsidRPr="004522ED">
              <w:rPr>
                <w:sz w:val="28"/>
                <w:szCs w:val="28"/>
              </w:rPr>
              <w:t>5.2. speciālais budžets</w:t>
            </w:r>
          </w:p>
        </w:tc>
        <w:tc>
          <w:tcPr>
            <w:tcW w:w="1535" w:type="dxa"/>
            <w:vMerge/>
            <w:hideMark/>
          </w:tcPr>
          <w:p w:rsidR="00216DF5" w:rsidRPr="004522ED" w:rsidRDefault="00216DF5" w:rsidP="003F5A0E">
            <w:pPr>
              <w:rPr>
                <w:sz w:val="28"/>
                <w:szCs w:val="28"/>
              </w:rPr>
            </w:pPr>
          </w:p>
        </w:tc>
        <w:tc>
          <w:tcPr>
            <w:tcW w:w="1302" w:type="dxa"/>
            <w:vAlign w:val="center"/>
            <w:hideMark/>
          </w:tcPr>
          <w:p w:rsidR="00216DF5" w:rsidRPr="00795C5D" w:rsidRDefault="00216DF5" w:rsidP="003F5A0E">
            <w:pPr>
              <w:pStyle w:val="naisf"/>
              <w:spacing w:before="0" w:after="0"/>
              <w:ind w:firstLine="0"/>
              <w:jc w:val="center"/>
              <w:rPr>
                <w:sz w:val="26"/>
                <w:szCs w:val="26"/>
              </w:rPr>
            </w:pPr>
            <w:r w:rsidRPr="00795C5D">
              <w:rPr>
                <w:sz w:val="26"/>
                <w:szCs w:val="26"/>
              </w:rPr>
              <w:t>0</w:t>
            </w:r>
          </w:p>
        </w:tc>
        <w:tc>
          <w:tcPr>
            <w:tcW w:w="1273" w:type="dxa"/>
            <w:vAlign w:val="center"/>
            <w:hideMark/>
          </w:tcPr>
          <w:p w:rsidR="00216DF5" w:rsidRPr="00795C5D" w:rsidRDefault="00216DF5" w:rsidP="003F5A0E">
            <w:pPr>
              <w:pStyle w:val="naisf"/>
              <w:spacing w:before="0" w:after="0"/>
              <w:ind w:firstLine="0"/>
              <w:jc w:val="center"/>
              <w:rPr>
                <w:sz w:val="26"/>
                <w:szCs w:val="26"/>
              </w:rPr>
            </w:pPr>
            <w:r w:rsidRPr="00795C5D">
              <w:rPr>
                <w:sz w:val="26"/>
                <w:szCs w:val="26"/>
              </w:rPr>
              <w:t>0</w:t>
            </w:r>
          </w:p>
        </w:tc>
        <w:tc>
          <w:tcPr>
            <w:tcW w:w="1418" w:type="dxa"/>
            <w:vAlign w:val="center"/>
            <w:hideMark/>
          </w:tcPr>
          <w:p w:rsidR="00216DF5" w:rsidRPr="00795C5D" w:rsidRDefault="00216DF5" w:rsidP="003F5A0E">
            <w:pPr>
              <w:pStyle w:val="naisf"/>
              <w:spacing w:before="0" w:after="0"/>
              <w:ind w:firstLine="0"/>
              <w:jc w:val="center"/>
              <w:rPr>
                <w:sz w:val="26"/>
                <w:szCs w:val="26"/>
              </w:rPr>
            </w:pPr>
            <w:r w:rsidRPr="00795C5D">
              <w:rPr>
                <w:sz w:val="26"/>
                <w:szCs w:val="26"/>
              </w:rPr>
              <w:t>0</w:t>
            </w:r>
          </w:p>
        </w:tc>
        <w:tc>
          <w:tcPr>
            <w:tcW w:w="1417" w:type="dxa"/>
            <w:vAlign w:val="center"/>
            <w:hideMark/>
          </w:tcPr>
          <w:p w:rsidR="00216DF5" w:rsidRPr="00795C5D" w:rsidRDefault="00216DF5" w:rsidP="003F5A0E">
            <w:pPr>
              <w:pStyle w:val="naisf"/>
              <w:spacing w:before="0" w:after="0"/>
              <w:ind w:firstLine="0"/>
              <w:jc w:val="center"/>
              <w:rPr>
                <w:sz w:val="26"/>
                <w:szCs w:val="26"/>
              </w:rPr>
            </w:pPr>
            <w:r w:rsidRPr="00795C5D">
              <w:rPr>
                <w:sz w:val="26"/>
                <w:szCs w:val="26"/>
              </w:rPr>
              <w:t>0</w:t>
            </w:r>
          </w:p>
        </w:tc>
      </w:tr>
      <w:tr w:rsidR="00216DF5" w:rsidRPr="004522ED" w:rsidTr="003F5A0E">
        <w:tc>
          <w:tcPr>
            <w:tcW w:w="2553" w:type="dxa"/>
            <w:hideMark/>
          </w:tcPr>
          <w:p w:rsidR="00216DF5" w:rsidRPr="004522ED" w:rsidRDefault="00216DF5" w:rsidP="003F5A0E">
            <w:pPr>
              <w:rPr>
                <w:sz w:val="28"/>
                <w:szCs w:val="28"/>
              </w:rPr>
            </w:pPr>
            <w:r w:rsidRPr="004522ED">
              <w:rPr>
                <w:sz w:val="28"/>
                <w:szCs w:val="28"/>
              </w:rPr>
              <w:t>5.3. pašvaldību budžets</w:t>
            </w:r>
          </w:p>
        </w:tc>
        <w:tc>
          <w:tcPr>
            <w:tcW w:w="1535" w:type="dxa"/>
            <w:vMerge/>
            <w:hideMark/>
          </w:tcPr>
          <w:p w:rsidR="00216DF5" w:rsidRPr="004522ED" w:rsidRDefault="00216DF5" w:rsidP="003F5A0E">
            <w:pPr>
              <w:rPr>
                <w:sz w:val="28"/>
                <w:szCs w:val="28"/>
              </w:rPr>
            </w:pPr>
          </w:p>
        </w:tc>
        <w:tc>
          <w:tcPr>
            <w:tcW w:w="1302" w:type="dxa"/>
            <w:vAlign w:val="center"/>
            <w:hideMark/>
          </w:tcPr>
          <w:p w:rsidR="00216DF5" w:rsidRPr="00795C5D" w:rsidRDefault="00216DF5" w:rsidP="003F5A0E">
            <w:pPr>
              <w:pStyle w:val="naisf"/>
              <w:spacing w:before="0" w:after="0"/>
              <w:ind w:firstLine="0"/>
              <w:jc w:val="center"/>
              <w:rPr>
                <w:sz w:val="26"/>
                <w:szCs w:val="26"/>
              </w:rPr>
            </w:pPr>
            <w:r w:rsidRPr="00795C5D">
              <w:rPr>
                <w:sz w:val="26"/>
                <w:szCs w:val="26"/>
              </w:rPr>
              <w:t>0</w:t>
            </w:r>
          </w:p>
        </w:tc>
        <w:tc>
          <w:tcPr>
            <w:tcW w:w="1273" w:type="dxa"/>
            <w:vAlign w:val="center"/>
            <w:hideMark/>
          </w:tcPr>
          <w:p w:rsidR="00216DF5" w:rsidRPr="00795C5D" w:rsidRDefault="00216DF5" w:rsidP="003F5A0E">
            <w:pPr>
              <w:pStyle w:val="naisf"/>
              <w:spacing w:before="0" w:after="0"/>
              <w:ind w:firstLine="0"/>
              <w:jc w:val="center"/>
              <w:rPr>
                <w:sz w:val="26"/>
                <w:szCs w:val="26"/>
              </w:rPr>
            </w:pPr>
            <w:r w:rsidRPr="00795C5D">
              <w:rPr>
                <w:sz w:val="26"/>
                <w:szCs w:val="26"/>
              </w:rPr>
              <w:t>0</w:t>
            </w:r>
          </w:p>
        </w:tc>
        <w:tc>
          <w:tcPr>
            <w:tcW w:w="1418" w:type="dxa"/>
            <w:vAlign w:val="center"/>
            <w:hideMark/>
          </w:tcPr>
          <w:p w:rsidR="00216DF5" w:rsidRPr="00795C5D" w:rsidRDefault="00216DF5" w:rsidP="003F5A0E">
            <w:pPr>
              <w:pStyle w:val="naisf"/>
              <w:spacing w:before="0" w:after="0"/>
              <w:ind w:firstLine="0"/>
              <w:jc w:val="center"/>
              <w:rPr>
                <w:sz w:val="26"/>
                <w:szCs w:val="26"/>
              </w:rPr>
            </w:pPr>
            <w:r w:rsidRPr="00795C5D">
              <w:rPr>
                <w:sz w:val="26"/>
                <w:szCs w:val="26"/>
              </w:rPr>
              <w:t>0</w:t>
            </w:r>
          </w:p>
        </w:tc>
        <w:tc>
          <w:tcPr>
            <w:tcW w:w="1417" w:type="dxa"/>
            <w:vAlign w:val="center"/>
            <w:hideMark/>
          </w:tcPr>
          <w:p w:rsidR="00216DF5" w:rsidRPr="00795C5D" w:rsidRDefault="00216DF5" w:rsidP="003F5A0E">
            <w:pPr>
              <w:pStyle w:val="naisf"/>
              <w:spacing w:before="0" w:after="0"/>
              <w:ind w:firstLine="0"/>
              <w:jc w:val="center"/>
              <w:rPr>
                <w:sz w:val="26"/>
                <w:szCs w:val="26"/>
              </w:rPr>
            </w:pPr>
            <w:r w:rsidRPr="00795C5D">
              <w:rPr>
                <w:sz w:val="26"/>
                <w:szCs w:val="26"/>
              </w:rPr>
              <w:t>0</w:t>
            </w:r>
          </w:p>
        </w:tc>
      </w:tr>
      <w:tr w:rsidR="00216DF5" w:rsidRPr="004522ED" w:rsidTr="003F5A0E">
        <w:tc>
          <w:tcPr>
            <w:tcW w:w="2553" w:type="dxa"/>
            <w:hideMark/>
          </w:tcPr>
          <w:p w:rsidR="00216DF5" w:rsidRPr="004522ED" w:rsidRDefault="00216DF5" w:rsidP="003F5A0E">
            <w:pPr>
              <w:rPr>
                <w:sz w:val="28"/>
                <w:szCs w:val="28"/>
              </w:rPr>
            </w:pPr>
            <w:r w:rsidRPr="004522ED">
              <w:rPr>
                <w:sz w:val="28"/>
                <w:szCs w:val="28"/>
              </w:rPr>
              <w:t>6. Detalizēts ieņēmumu un izdevumu aprēķins (ja nepieciešams, detalizētu ieņēmumu un izdevumu aprēķinu var pievienot anotācijas pielikumā):</w:t>
            </w:r>
          </w:p>
        </w:tc>
        <w:tc>
          <w:tcPr>
            <w:tcW w:w="6945" w:type="dxa"/>
            <w:gridSpan w:val="5"/>
            <w:vMerge w:val="restart"/>
            <w:hideMark/>
          </w:tcPr>
          <w:p w:rsidR="00216DF5" w:rsidRPr="00262C1E" w:rsidRDefault="00216DF5" w:rsidP="003F5A0E">
            <w:pPr>
              <w:pStyle w:val="naisf"/>
              <w:spacing w:before="0" w:after="0"/>
              <w:ind w:firstLine="0"/>
              <w:rPr>
                <w:noProof/>
                <w:sz w:val="28"/>
                <w:szCs w:val="28"/>
              </w:rPr>
            </w:pPr>
            <w:r>
              <w:rPr>
                <w:sz w:val="28"/>
                <w:szCs w:val="28"/>
              </w:rPr>
              <w:t>F</w:t>
            </w:r>
            <w:r w:rsidRPr="00262C1E">
              <w:rPr>
                <w:noProof/>
                <w:sz w:val="28"/>
                <w:szCs w:val="28"/>
              </w:rPr>
              <w:t xml:space="preserve">inansējums </w:t>
            </w:r>
            <w:r>
              <w:rPr>
                <w:noProof/>
                <w:sz w:val="28"/>
                <w:szCs w:val="28"/>
              </w:rPr>
              <w:t xml:space="preserve">Veselības ministrijas budžeta apakšprogrammā 33.04.00 „Centralizēta medikamentu un materiālu iegāde” </w:t>
            </w:r>
            <w:r w:rsidRPr="00D23F08">
              <w:rPr>
                <w:noProof/>
                <w:sz w:val="28"/>
                <w:szCs w:val="28"/>
                <w:u w:val="single"/>
              </w:rPr>
              <w:t>šobrīd</w:t>
            </w:r>
            <w:r>
              <w:rPr>
                <w:noProof/>
                <w:sz w:val="28"/>
                <w:szCs w:val="28"/>
              </w:rPr>
              <w:t xml:space="preserve"> </w:t>
            </w:r>
            <w:r w:rsidRPr="00262C1E">
              <w:rPr>
                <w:noProof/>
                <w:sz w:val="28"/>
                <w:szCs w:val="28"/>
              </w:rPr>
              <w:t>atbilstoši likumam „</w:t>
            </w:r>
            <w:r w:rsidRPr="00262C1E">
              <w:rPr>
                <w:noProof/>
                <w:sz w:val="28"/>
                <w:szCs w:val="28"/>
                <w:u w:val="single"/>
              </w:rPr>
              <w:t>Par valsts budžetu 2014.gadam</w:t>
            </w:r>
            <w:r w:rsidRPr="00262C1E">
              <w:rPr>
                <w:noProof/>
                <w:sz w:val="28"/>
                <w:szCs w:val="28"/>
              </w:rPr>
              <w:t>” un Finanšu ministrijas rīkojum</w:t>
            </w:r>
            <w:r>
              <w:rPr>
                <w:noProof/>
                <w:sz w:val="28"/>
                <w:szCs w:val="28"/>
              </w:rPr>
              <w:t>u</w:t>
            </w:r>
            <w:r w:rsidRPr="00262C1E">
              <w:rPr>
                <w:sz w:val="28"/>
                <w:szCs w:val="28"/>
              </w:rPr>
              <w:t xml:space="preserve"> (</w:t>
            </w:r>
            <w:r w:rsidRPr="00262C1E">
              <w:rPr>
                <w:noProof/>
                <w:sz w:val="28"/>
                <w:szCs w:val="28"/>
              </w:rPr>
              <w:t xml:space="preserve">2014.gada </w:t>
            </w:r>
            <w:r>
              <w:rPr>
                <w:noProof/>
                <w:sz w:val="28"/>
                <w:szCs w:val="28"/>
              </w:rPr>
              <w:t>2.oktobra</w:t>
            </w:r>
            <w:r w:rsidRPr="00262C1E">
              <w:rPr>
                <w:noProof/>
                <w:sz w:val="28"/>
                <w:szCs w:val="28"/>
              </w:rPr>
              <w:t xml:space="preserve"> rīkojums Nr.</w:t>
            </w:r>
            <w:r>
              <w:rPr>
                <w:noProof/>
                <w:sz w:val="28"/>
                <w:szCs w:val="28"/>
              </w:rPr>
              <w:t>550</w:t>
            </w:r>
            <w:r w:rsidRPr="00262C1E">
              <w:rPr>
                <w:sz w:val="28"/>
                <w:szCs w:val="28"/>
              </w:rPr>
              <w:t>) par apropriācijas izmaiņām</w:t>
            </w:r>
            <w:r w:rsidRPr="00262C1E">
              <w:rPr>
                <w:noProof/>
                <w:sz w:val="28"/>
                <w:szCs w:val="28"/>
              </w:rPr>
              <w:t>:</w:t>
            </w:r>
          </w:p>
          <w:p w:rsidR="00216DF5" w:rsidRDefault="00216DF5" w:rsidP="003F5A0E">
            <w:pPr>
              <w:jc w:val="both"/>
              <w:rPr>
                <w:noProof/>
                <w:sz w:val="28"/>
                <w:szCs w:val="28"/>
              </w:rPr>
            </w:pPr>
            <w:r w:rsidRPr="00262C1E">
              <w:rPr>
                <w:noProof/>
                <w:sz w:val="28"/>
                <w:szCs w:val="28"/>
              </w:rPr>
              <w:t xml:space="preserve">Resursi izdevumu segšanai </w:t>
            </w:r>
            <w:r>
              <w:rPr>
                <w:noProof/>
                <w:sz w:val="28"/>
                <w:szCs w:val="28"/>
              </w:rPr>
              <w:t>10 248 361</w:t>
            </w:r>
            <w:r w:rsidRPr="00262C1E">
              <w:rPr>
                <w:noProof/>
                <w:sz w:val="28"/>
                <w:szCs w:val="28"/>
              </w:rPr>
              <w:t xml:space="preserve"> </w:t>
            </w:r>
            <w:r w:rsidRPr="00262C1E">
              <w:rPr>
                <w:i/>
                <w:noProof/>
                <w:sz w:val="28"/>
                <w:szCs w:val="28"/>
              </w:rPr>
              <w:t>euro</w:t>
            </w:r>
            <w:r w:rsidRPr="00262C1E">
              <w:rPr>
                <w:noProof/>
                <w:sz w:val="28"/>
                <w:szCs w:val="28"/>
              </w:rPr>
              <w:t xml:space="preserve">, tai skaitā: pašu ieņēmumi </w:t>
            </w:r>
            <w:r>
              <w:rPr>
                <w:sz w:val="28"/>
                <w:szCs w:val="28"/>
              </w:rPr>
              <w:t>7 115</w:t>
            </w:r>
            <w:r w:rsidRPr="00262C1E">
              <w:rPr>
                <w:sz w:val="28"/>
                <w:szCs w:val="28"/>
              </w:rPr>
              <w:t> </w:t>
            </w:r>
            <w:r w:rsidRPr="00262C1E">
              <w:rPr>
                <w:noProof/>
                <w:sz w:val="28"/>
                <w:szCs w:val="28"/>
              </w:rPr>
              <w:t xml:space="preserve"> </w:t>
            </w:r>
            <w:r w:rsidRPr="00262C1E">
              <w:rPr>
                <w:i/>
                <w:noProof/>
                <w:sz w:val="28"/>
                <w:szCs w:val="28"/>
              </w:rPr>
              <w:t>euro</w:t>
            </w:r>
            <w:r w:rsidRPr="00262C1E">
              <w:rPr>
                <w:noProof/>
                <w:sz w:val="28"/>
                <w:szCs w:val="28"/>
              </w:rPr>
              <w:t xml:space="preserve">, dotācija no vispārējiem ieņēmumiem </w:t>
            </w:r>
            <w:r>
              <w:rPr>
                <w:noProof/>
                <w:sz w:val="28"/>
                <w:szCs w:val="28"/>
              </w:rPr>
              <w:t xml:space="preserve">10 241 246 </w:t>
            </w:r>
            <w:r w:rsidRPr="00262C1E">
              <w:rPr>
                <w:i/>
                <w:noProof/>
                <w:sz w:val="28"/>
                <w:szCs w:val="28"/>
              </w:rPr>
              <w:t>euro</w:t>
            </w:r>
            <w:r w:rsidRPr="00262C1E">
              <w:rPr>
                <w:noProof/>
                <w:sz w:val="28"/>
                <w:szCs w:val="28"/>
              </w:rPr>
              <w:t xml:space="preserve">. Izdevumi </w:t>
            </w:r>
            <w:r>
              <w:rPr>
                <w:noProof/>
                <w:sz w:val="28"/>
                <w:szCs w:val="28"/>
              </w:rPr>
              <w:t xml:space="preserve">10 248 361 </w:t>
            </w:r>
            <w:r w:rsidRPr="00262C1E">
              <w:rPr>
                <w:i/>
                <w:noProof/>
                <w:sz w:val="28"/>
                <w:szCs w:val="28"/>
              </w:rPr>
              <w:t>euro</w:t>
            </w:r>
            <w:r w:rsidRPr="00262C1E">
              <w:rPr>
                <w:noProof/>
                <w:sz w:val="28"/>
                <w:szCs w:val="28"/>
              </w:rPr>
              <w:t xml:space="preserve">, tai </w:t>
            </w:r>
            <w:r>
              <w:rPr>
                <w:noProof/>
                <w:sz w:val="28"/>
                <w:szCs w:val="28"/>
              </w:rPr>
              <w:t>skaitā, subsīdijas un dotācijas 10 248 361</w:t>
            </w:r>
            <w:r w:rsidRPr="00262C1E">
              <w:rPr>
                <w:noProof/>
                <w:sz w:val="28"/>
                <w:szCs w:val="28"/>
              </w:rPr>
              <w:t xml:space="preserve"> </w:t>
            </w:r>
            <w:r w:rsidRPr="00262C1E">
              <w:rPr>
                <w:i/>
                <w:noProof/>
                <w:sz w:val="28"/>
                <w:szCs w:val="28"/>
              </w:rPr>
              <w:t>euro</w:t>
            </w:r>
            <w:r w:rsidRPr="00262C1E">
              <w:rPr>
                <w:noProof/>
                <w:sz w:val="28"/>
                <w:szCs w:val="28"/>
              </w:rPr>
              <w:t>.</w:t>
            </w:r>
          </w:p>
          <w:p w:rsidR="00216DF5" w:rsidRPr="00262C1E" w:rsidRDefault="00216DF5" w:rsidP="003F5A0E">
            <w:pPr>
              <w:pStyle w:val="NormalWeb"/>
              <w:spacing w:before="0" w:after="0"/>
              <w:jc w:val="both"/>
              <w:rPr>
                <w:sz w:val="28"/>
                <w:szCs w:val="28"/>
              </w:rPr>
            </w:pPr>
          </w:p>
          <w:p w:rsidR="00216DF5" w:rsidRPr="00733975" w:rsidRDefault="00216DF5" w:rsidP="003F5A0E">
            <w:pPr>
              <w:pStyle w:val="NormalWeb"/>
              <w:spacing w:before="0" w:after="0"/>
              <w:jc w:val="both"/>
              <w:rPr>
                <w:sz w:val="28"/>
                <w:szCs w:val="28"/>
                <w:u w:val="single"/>
              </w:rPr>
            </w:pPr>
            <w:r w:rsidRPr="00262C1E">
              <w:rPr>
                <w:sz w:val="28"/>
                <w:szCs w:val="28"/>
                <w:u w:val="single"/>
              </w:rPr>
              <w:t>2015.gadam</w:t>
            </w:r>
            <w:r>
              <w:rPr>
                <w:sz w:val="28"/>
                <w:szCs w:val="28"/>
                <w:u w:val="single"/>
              </w:rPr>
              <w:t xml:space="preserve"> (</w:t>
            </w:r>
            <w:r w:rsidRPr="00A1397E">
              <w:rPr>
                <w:sz w:val="28"/>
                <w:szCs w:val="28"/>
                <w:u w:val="single"/>
              </w:rPr>
              <w:t xml:space="preserve">atbilstoši 2014.gada 22.novembra Ministru kabineta sēdē </w:t>
            </w:r>
            <w:r>
              <w:rPr>
                <w:sz w:val="28"/>
                <w:szCs w:val="28"/>
                <w:u w:val="single"/>
              </w:rPr>
              <w:t>akceptētajam Veselības ministrijas maksimāli pieļaujamajam budžeta izdevumu apjomam)</w:t>
            </w:r>
            <w:r w:rsidRPr="00262C1E">
              <w:rPr>
                <w:sz w:val="28"/>
                <w:szCs w:val="28"/>
                <w:u w:val="single"/>
              </w:rPr>
              <w:t>:</w:t>
            </w:r>
          </w:p>
          <w:p w:rsidR="00216DF5" w:rsidRPr="00262C1E" w:rsidRDefault="00216DF5" w:rsidP="003F5A0E">
            <w:pPr>
              <w:pStyle w:val="NormalWeb"/>
              <w:spacing w:before="0" w:after="0"/>
              <w:jc w:val="both"/>
              <w:rPr>
                <w:sz w:val="28"/>
                <w:szCs w:val="28"/>
              </w:rPr>
            </w:pPr>
            <w:r w:rsidRPr="00262C1E">
              <w:rPr>
                <w:sz w:val="28"/>
                <w:szCs w:val="28"/>
              </w:rPr>
              <w:t xml:space="preserve"> </w:t>
            </w:r>
            <w:r>
              <w:rPr>
                <w:sz w:val="28"/>
                <w:szCs w:val="28"/>
              </w:rPr>
              <w:t>F</w:t>
            </w:r>
            <w:r w:rsidRPr="00262C1E">
              <w:rPr>
                <w:sz w:val="28"/>
                <w:szCs w:val="28"/>
              </w:rPr>
              <w:t xml:space="preserve">inansējums budžeta apakšprogrammā </w:t>
            </w:r>
            <w:r>
              <w:rPr>
                <w:sz w:val="28"/>
                <w:szCs w:val="28"/>
              </w:rPr>
              <w:t>33.04.00 „Centralizēta medikamentu un materiālu iegāde”</w:t>
            </w:r>
            <w:r w:rsidRPr="00262C1E">
              <w:rPr>
                <w:sz w:val="28"/>
                <w:szCs w:val="28"/>
              </w:rPr>
              <w:t xml:space="preserve">: </w:t>
            </w:r>
          </w:p>
          <w:p w:rsidR="00216DF5" w:rsidRDefault="00216DF5" w:rsidP="003F5A0E">
            <w:pPr>
              <w:jc w:val="both"/>
              <w:rPr>
                <w:noProof/>
                <w:sz w:val="28"/>
                <w:szCs w:val="28"/>
              </w:rPr>
            </w:pPr>
            <w:r w:rsidRPr="00262C1E">
              <w:rPr>
                <w:noProof/>
                <w:sz w:val="28"/>
                <w:szCs w:val="28"/>
              </w:rPr>
              <w:t xml:space="preserve">Resursi izdevumu segšanai </w:t>
            </w:r>
            <w:r>
              <w:rPr>
                <w:noProof/>
                <w:sz w:val="28"/>
                <w:szCs w:val="28"/>
              </w:rPr>
              <w:t>11 435 988</w:t>
            </w:r>
            <w:r w:rsidRPr="00262C1E">
              <w:rPr>
                <w:noProof/>
                <w:sz w:val="28"/>
                <w:szCs w:val="28"/>
              </w:rPr>
              <w:t xml:space="preserve"> </w:t>
            </w:r>
            <w:r w:rsidRPr="00262C1E">
              <w:rPr>
                <w:i/>
                <w:noProof/>
                <w:sz w:val="28"/>
                <w:szCs w:val="28"/>
              </w:rPr>
              <w:t>euro</w:t>
            </w:r>
            <w:r w:rsidRPr="00262C1E">
              <w:rPr>
                <w:noProof/>
                <w:sz w:val="28"/>
                <w:szCs w:val="28"/>
              </w:rPr>
              <w:t xml:space="preserve">, tai skaitā: pašu ieņēmumi </w:t>
            </w:r>
            <w:r>
              <w:rPr>
                <w:sz w:val="28"/>
                <w:szCs w:val="28"/>
              </w:rPr>
              <w:t>7 115</w:t>
            </w:r>
            <w:r w:rsidRPr="00262C1E">
              <w:rPr>
                <w:sz w:val="28"/>
                <w:szCs w:val="28"/>
              </w:rPr>
              <w:t> </w:t>
            </w:r>
            <w:r w:rsidRPr="00262C1E">
              <w:rPr>
                <w:noProof/>
                <w:sz w:val="28"/>
                <w:szCs w:val="28"/>
              </w:rPr>
              <w:t xml:space="preserve"> </w:t>
            </w:r>
            <w:r w:rsidRPr="00262C1E">
              <w:rPr>
                <w:i/>
                <w:noProof/>
                <w:sz w:val="28"/>
                <w:szCs w:val="28"/>
              </w:rPr>
              <w:t>euro</w:t>
            </w:r>
            <w:r w:rsidRPr="00262C1E">
              <w:rPr>
                <w:noProof/>
                <w:sz w:val="28"/>
                <w:szCs w:val="28"/>
              </w:rPr>
              <w:t xml:space="preserve">, dotācija no vispārējiem ieņēmumiem </w:t>
            </w:r>
            <w:r>
              <w:rPr>
                <w:noProof/>
                <w:sz w:val="28"/>
                <w:szCs w:val="28"/>
              </w:rPr>
              <w:t xml:space="preserve">11 428 873 </w:t>
            </w:r>
            <w:r w:rsidRPr="00262C1E">
              <w:rPr>
                <w:i/>
                <w:noProof/>
                <w:sz w:val="28"/>
                <w:szCs w:val="28"/>
              </w:rPr>
              <w:t>euro</w:t>
            </w:r>
            <w:r w:rsidRPr="00262C1E">
              <w:rPr>
                <w:noProof/>
                <w:sz w:val="28"/>
                <w:szCs w:val="28"/>
              </w:rPr>
              <w:t xml:space="preserve">. Izdevumi </w:t>
            </w:r>
            <w:r>
              <w:rPr>
                <w:noProof/>
                <w:sz w:val="28"/>
                <w:szCs w:val="28"/>
              </w:rPr>
              <w:t>11 435 988</w:t>
            </w:r>
            <w:r w:rsidRPr="00262C1E">
              <w:rPr>
                <w:noProof/>
                <w:sz w:val="28"/>
                <w:szCs w:val="28"/>
              </w:rPr>
              <w:t xml:space="preserve">  </w:t>
            </w:r>
            <w:r w:rsidRPr="00262C1E">
              <w:rPr>
                <w:i/>
                <w:noProof/>
                <w:sz w:val="28"/>
                <w:szCs w:val="28"/>
              </w:rPr>
              <w:t>euro</w:t>
            </w:r>
            <w:r w:rsidRPr="00262C1E">
              <w:rPr>
                <w:noProof/>
                <w:sz w:val="28"/>
                <w:szCs w:val="28"/>
              </w:rPr>
              <w:t xml:space="preserve">, tai skaitā, subsīdijas un dotācijas </w:t>
            </w:r>
            <w:r>
              <w:rPr>
                <w:noProof/>
                <w:sz w:val="28"/>
                <w:szCs w:val="28"/>
              </w:rPr>
              <w:t>11 435 988</w:t>
            </w:r>
            <w:r w:rsidRPr="00262C1E">
              <w:rPr>
                <w:noProof/>
                <w:sz w:val="28"/>
                <w:szCs w:val="28"/>
              </w:rPr>
              <w:t xml:space="preserve"> </w:t>
            </w:r>
            <w:r w:rsidRPr="00262C1E">
              <w:rPr>
                <w:i/>
                <w:noProof/>
                <w:sz w:val="28"/>
                <w:szCs w:val="28"/>
              </w:rPr>
              <w:t>euro</w:t>
            </w:r>
            <w:r w:rsidRPr="00262C1E">
              <w:rPr>
                <w:noProof/>
                <w:sz w:val="28"/>
                <w:szCs w:val="28"/>
              </w:rPr>
              <w:t>.</w:t>
            </w:r>
          </w:p>
          <w:p w:rsidR="00216DF5" w:rsidRPr="00262C1E" w:rsidRDefault="00216DF5" w:rsidP="003F5A0E">
            <w:pPr>
              <w:jc w:val="both"/>
              <w:rPr>
                <w:noProof/>
                <w:sz w:val="28"/>
                <w:szCs w:val="28"/>
              </w:rPr>
            </w:pPr>
          </w:p>
          <w:p w:rsidR="00216DF5" w:rsidRPr="00733975" w:rsidRDefault="00216DF5" w:rsidP="003F5A0E">
            <w:pPr>
              <w:pStyle w:val="NormalWeb"/>
              <w:spacing w:before="0" w:after="0"/>
              <w:jc w:val="both"/>
              <w:rPr>
                <w:sz w:val="28"/>
                <w:szCs w:val="28"/>
                <w:u w:val="single"/>
              </w:rPr>
            </w:pPr>
            <w:r w:rsidRPr="00262C1E">
              <w:rPr>
                <w:sz w:val="28"/>
                <w:szCs w:val="28"/>
                <w:u w:val="single"/>
              </w:rPr>
              <w:t>2016.gadam</w:t>
            </w:r>
            <w:r>
              <w:rPr>
                <w:sz w:val="28"/>
                <w:szCs w:val="28"/>
                <w:u w:val="single"/>
              </w:rPr>
              <w:t xml:space="preserve"> un 2017.gadam</w:t>
            </w:r>
            <w:r w:rsidRPr="00262C1E">
              <w:rPr>
                <w:sz w:val="28"/>
                <w:szCs w:val="28"/>
                <w:u w:val="single"/>
              </w:rPr>
              <w:t>:</w:t>
            </w:r>
          </w:p>
          <w:p w:rsidR="00216DF5" w:rsidRPr="00262C1E" w:rsidRDefault="00216DF5" w:rsidP="003F5A0E">
            <w:pPr>
              <w:pStyle w:val="NormalWeb"/>
              <w:spacing w:before="0" w:after="0"/>
              <w:jc w:val="both"/>
              <w:rPr>
                <w:sz w:val="28"/>
                <w:szCs w:val="28"/>
              </w:rPr>
            </w:pPr>
            <w:r>
              <w:rPr>
                <w:sz w:val="28"/>
                <w:szCs w:val="28"/>
              </w:rPr>
              <w:t>F</w:t>
            </w:r>
            <w:r w:rsidRPr="00262C1E">
              <w:rPr>
                <w:sz w:val="28"/>
                <w:szCs w:val="28"/>
              </w:rPr>
              <w:t xml:space="preserve">inansējums budžeta apakšprogrammā </w:t>
            </w:r>
            <w:r>
              <w:rPr>
                <w:sz w:val="28"/>
                <w:szCs w:val="28"/>
              </w:rPr>
              <w:t>33.04.00 „Centralizēta medikamentu un materiālu iegāde”</w:t>
            </w:r>
            <w:r w:rsidRPr="00262C1E">
              <w:rPr>
                <w:sz w:val="28"/>
                <w:szCs w:val="28"/>
              </w:rPr>
              <w:t xml:space="preserve">: </w:t>
            </w:r>
          </w:p>
          <w:p w:rsidR="00216DF5" w:rsidRDefault="00216DF5" w:rsidP="003F5A0E">
            <w:pPr>
              <w:jc w:val="both"/>
              <w:rPr>
                <w:noProof/>
                <w:sz w:val="28"/>
                <w:szCs w:val="28"/>
              </w:rPr>
            </w:pPr>
            <w:r w:rsidRPr="00262C1E">
              <w:rPr>
                <w:noProof/>
                <w:sz w:val="28"/>
                <w:szCs w:val="28"/>
              </w:rPr>
              <w:t xml:space="preserve">Resursi izdevumu segšanai </w:t>
            </w:r>
            <w:r>
              <w:rPr>
                <w:noProof/>
                <w:sz w:val="28"/>
                <w:szCs w:val="28"/>
              </w:rPr>
              <w:t>11 435 988</w:t>
            </w:r>
            <w:r w:rsidRPr="00262C1E">
              <w:rPr>
                <w:noProof/>
                <w:sz w:val="28"/>
                <w:szCs w:val="28"/>
              </w:rPr>
              <w:t xml:space="preserve"> </w:t>
            </w:r>
            <w:r w:rsidRPr="00262C1E">
              <w:rPr>
                <w:i/>
                <w:noProof/>
                <w:sz w:val="28"/>
                <w:szCs w:val="28"/>
              </w:rPr>
              <w:t>euro</w:t>
            </w:r>
            <w:r w:rsidRPr="00262C1E">
              <w:rPr>
                <w:noProof/>
                <w:sz w:val="28"/>
                <w:szCs w:val="28"/>
              </w:rPr>
              <w:t xml:space="preserve">, tai skaitā: pašu ieņēmumi </w:t>
            </w:r>
            <w:r>
              <w:rPr>
                <w:sz w:val="28"/>
                <w:szCs w:val="28"/>
              </w:rPr>
              <w:t>7 115</w:t>
            </w:r>
            <w:r w:rsidRPr="00262C1E">
              <w:rPr>
                <w:sz w:val="28"/>
                <w:szCs w:val="28"/>
              </w:rPr>
              <w:t> </w:t>
            </w:r>
            <w:r w:rsidRPr="00262C1E">
              <w:rPr>
                <w:noProof/>
                <w:sz w:val="28"/>
                <w:szCs w:val="28"/>
              </w:rPr>
              <w:t xml:space="preserve"> </w:t>
            </w:r>
            <w:r w:rsidRPr="00262C1E">
              <w:rPr>
                <w:i/>
                <w:noProof/>
                <w:sz w:val="28"/>
                <w:szCs w:val="28"/>
              </w:rPr>
              <w:t>euro</w:t>
            </w:r>
            <w:r w:rsidRPr="00262C1E">
              <w:rPr>
                <w:noProof/>
                <w:sz w:val="28"/>
                <w:szCs w:val="28"/>
              </w:rPr>
              <w:t xml:space="preserve">, dotācija no vispārējiem </w:t>
            </w:r>
          </w:p>
          <w:p w:rsidR="00216DF5" w:rsidRDefault="00216DF5" w:rsidP="003F5A0E">
            <w:pPr>
              <w:jc w:val="both"/>
              <w:rPr>
                <w:noProof/>
                <w:sz w:val="28"/>
                <w:szCs w:val="28"/>
              </w:rPr>
            </w:pPr>
          </w:p>
          <w:p w:rsidR="00216DF5" w:rsidRDefault="00216DF5" w:rsidP="003F5A0E">
            <w:pPr>
              <w:jc w:val="both"/>
              <w:rPr>
                <w:noProof/>
                <w:sz w:val="28"/>
                <w:szCs w:val="28"/>
              </w:rPr>
            </w:pPr>
            <w:r w:rsidRPr="00262C1E">
              <w:rPr>
                <w:noProof/>
                <w:sz w:val="28"/>
                <w:szCs w:val="28"/>
              </w:rPr>
              <w:t xml:space="preserve">ieņēmumiem </w:t>
            </w:r>
            <w:r>
              <w:rPr>
                <w:noProof/>
                <w:sz w:val="28"/>
                <w:szCs w:val="28"/>
              </w:rPr>
              <w:t xml:space="preserve">11 428 873 </w:t>
            </w:r>
            <w:r w:rsidRPr="00262C1E">
              <w:rPr>
                <w:i/>
                <w:noProof/>
                <w:sz w:val="28"/>
                <w:szCs w:val="28"/>
              </w:rPr>
              <w:t>euro</w:t>
            </w:r>
            <w:r w:rsidRPr="00262C1E">
              <w:rPr>
                <w:noProof/>
                <w:sz w:val="28"/>
                <w:szCs w:val="28"/>
              </w:rPr>
              <w:t xml:space="preserve">. Izdevumi </w:t>
            </w:r>
            <w:r>
              <w:rPr>
                <w:noProof/>
                <w:sz w:val="28"/>
                <w:szCs w:val="28"/>
              </w:rPr>
              <w:t>11 435 988</w:t>
            </w:r>
            <w:r w:rsidRPr="00262C1E">
              <w:rPr>
                <w:noProof/>
                <w:sz w:val="28"/>
                <w:szCs w:val="28"/>
              </w:rPr>
              <w:t xml:space="preserve">  </w:t>
            </w:r>
            <w:r w:rsidRPr="00262C1E">
              <w:rPr>
                <w:i/>
                <w:noProof/>
                <w:sz w:val="28"/>
                <w:szCs w:val="28"/>
              </w:rPr>
              <w:t>euro</w:t>
            </w:r>
            <w:r w:rsidRPr="00262C1E">
              <w:rPr>
                <w:noProof/>
                <w:sz w:val="28"/>
                <w:szCs w:val="28"/>
              </w:rPr>
              <w:t xml:space="preserve">, tai </w:t>
            </w:r>
            <w:r>
              <w:rPr>
                <w:noProof/>
                <w:sz w:val="28"/>
                <w:szCs w:val="28"/>
              </w:rPr>
              <w:t>skaitā, subsīdijas un dotācija 11 435 988</w:t>
            </w:r>
            <w:r w:rsidRPr="00262C1E">
              <w:rPr>
                <w:noProof/>
                <w:sz w:val="28"/>
                <w:szCs w:val="28"/>
              </w:rPr>
              <w:t xml:space="preserve"> </w:t>
            </w:r>
            <w:r w:rsidRPr="00262C1E">
              <w:rPr>
                <w:i/>
                <w:noProof/>
                <w:sz w:val="28"/>
                <w:szCs w:val="28"/>
              </w:rPr>
              <w:t>euro</w:t>
            </w:r>
            <w:r w:rsidRPr="00262C1E">
              <w:rPr>
                <w:noProof/>
                <w:sz w:val="28"/>
                <w:szCs w:val="28"/>
              </w:rPr>
              <w:t>.</w:t>
            </w:r>
          </w:p>
          <w:p w:rsidR="00216DF5" w:rsidRPr="00733975" w:rsidRDefault="00216DF5" w:rsidP="003F5A0E">
            <w:pPr>
              <w:jc w:val="both"/>
              <w:rPr>
                <w:noProof/>
                <w:sz w:val="28"/>
                <w:szCs w:val="28"/>
              </w:rPr>
            </w:pPr>
          </w:p>
          <w:p w:rsidR="00216DF5" w:rsidRPr="00435282" w:rsidRDefault="00216DF5" w:rsidP="003F5A0E">
            <w:pPr>
              <w:jc w:val="both"/>
              <w:rPr>
                <w:sz w:val="28"/>
                <w:szCs w:val="28"/>
                <w:u w:val="single"/>
              </w:rPr>
            </w:pPr>
            <w:r w:rsidRPr="00435282">
              <w:rPr>
                <w:sz w:val="28"/>
                <w:szCs w:val="28"/>
                <w:u w:val="single"/>
              </w:rPr>
              <w:t xml:space="preserve">Noteikuma projektā iekļautās izmaiņas attiecībā uz </w:t>
            </w:r>
            <w:r>
              <w:rPr>
                <w:sz w:val="28"/>
                <w:szCs w:val="28"/>
                <w:u w:val="single"/>
              </w:rPr>
              <w:t xml:space="preserve">vakcināciju pret </w:t>
            </w:r>
            <w:r w:rsidRPr="00435282">
              <w:rPr>
                <w:sz w:val="28"/>
                <w:szCs w:val="28"/>
                <w:u w:val="single"/>
              </w:rPr>
              <w:t xml:space="preserve">cilvēka papilomas vīrusa infekciju: </w:t>
            </w:r>
          </w:p>
          <w:p w:rsidR="00216DF5" w:rsidRDefault="00216DF5" w:rsidP="003F5A0E">
            <w:pPr>
              <w:pStyle w:val="tvhtml"/>
              <w:spacing w:before="0" w:beforeAutospacing="0" w:after="0" w:afterAutospacing="0"/>
              <w:jc w:val="both"/>
              <w:rPr>
                <w:sz w:val="28"/>
                <w:szCs w:val="28"/>
                <w:lang w:val="lv-LV"/>
              </w:rPr>
            </w:pPr>
          </w:p>
          <w:p w:rsidR="00216DF5" w:rsidRDefault="00216DF5" w:rsidP="003F5A0E">
            <w:pPr>
              <w:pStyle w:val="tvhtml"/>
              <w:spacing w:before="0" w:beforeAutospacing="0" w:after="0" w:afterAutospacing="0"/>
              <w:jc w:val="both"/>
              <w:rPr>
                <w:sz w:val="28"/>
                <w:szCs w:val="28"/>
                <w:lang w:val="lv-LV"/>
              </w:rPr>
            </w:pPr>
            <w:r w:rsidRPr="00585546">
              <w:rPr>
                <w:sz w:val="28"/>
                <w:szCs w:val="28"/>
                <w:lang w:val="lv-LV"/>
              </w:rPr>
              <w:t xml:space="preserve">Līgumā paredzētais </w:t>
            </w:r>
            <w:proofErr w:type="spellStart"/>
            <w:r w:rsidRPr="00585546">
              <w:rPr>
                <w:i/>
                <w:sz w:val="28"/>
                <w:szCs w:val="28"/>
                <w:lang w:val="lv-LV"/>
              </w:rPr>
              <w:t>Cervarix</w:t>
            </w:r>
            <w:proofErr w:type="spellEnd"/>
            <w:r w:rsidRPr="00585546">
              <w:rPr>
                <w:sz w:val="28"/>
                <w:szCs w:val="28"/>
                <w:lang w:val="lv-LV"/>
              </w:rPr>
              <w:t xml:space="preserve"> vakcīnas indikatīvais daudzums 2014.gadam ir 14 762 devas (aptuveni 4920 meitenēm, rēķinot pēc trīs devu vakcinācijas shēmas). Šā </w:t>
            </w:r>
            <w:r w:rsidRPr="00585546">
              <w:rPr>
                <w:sz w:val="28"/>
                <w:szCs w:val="28"/>
                <w:lang w:val="lv-LV"/>
              </w:rPr>
              <w:lastRenderedPageBreak/>
              <w:t xml:space="preserve">gada 10 mēnešos vidējam </w:t>
            </w:r>
            <w:proofErr w:type="spellStart"/>
            <w:r w:rsidRPr="00585546">
              <w:rPr>
                <w:i/>
                <w:sz w:val="28"/>
                <w:szCs w:val="28"/>
                <w:lang w:val="lv-LV"/>
              </w:rPr>
              <w:t>Cervarix</w:t>
            </w:r>
            <w:proofErr w:type="spellEnd"/>
            <w:r w:rsidRPr="00585546">
              <w:rPr>
                <w:sz w:val="28"/>
                <w:szCs w:val="28"/>
                <w:lang w:val="lv-LV"/>
              </w:rPr>
              <w:t xml:space="preserve"> patē</w:t>
            </w:r>
            <w:r>
              <w:rPr>
                <w:sz w:val="28"/>
                <w:szCs w:val="28"/>
                <w:lang w:val="lv-LV"/>
              </w:rPr>
              <w:t>riņam būtu jābūt 83,33% (10 mēneši/</w:t>
            </w:r>
            <w:r w:rsidRPr="00585546">
              <w:rPr>
                <w:sz w:val="28"/>
                <w:szCs w:val="28"/>
                <w:lang w:val="lv-LV"/>
              </w:rPr>
              <w:t>12 mēn</w:t>
            </w:r>
            <w:r>
              <w:rPr>
                <w:sz w:val="28"/>
                <w:szCs w:val="28"/>
                <w:lang w:val="lv-LV"/>
              </w:rPr>
              <w:t>eši</w:t>
            </w:r>
            <w:r w:rsidRPr="00585546">
              <w:rPr>
                <w:sz w:val="28"/>
                <w:szCs w:val="28"/>
                <w:lang w:val="lv-LV"/>
              </w:rPr>
              <w:t xml:space="preserve">) no gada apjoma. Kā liecina Nacionālā veselības dienesta un Slimību profilakses un kontroles centra sniegtie dati šā gada 10 mēnešos </w:t>
            </w:r>
            <w:proofErr w:type="spellStart"/>
            <w:r w:rsidRPr="00585546">
              <w:rPr>
                <w:i/>
                <w:sz w:val="28"/>
                <w:szCs w:val="28"/>
                <w:lang w:val="lv-LV"/>
              </w:rPr>
              <w:t>Cervarix</w:t>
            </w:r>
            <w:proofErr w:type="spellEnd"/>
            <w:r w:rsidRPr="00585546">
              <w:rPr>
                <w:sz w:val="28"/>
                <w:szCs w:val="28"/>
                <w:lang w:val="lv-LV"/>
              </w:rPr>
              <w:t xml:space="preserve"> izpilde ir 79,93% no plānotā apjoma gadam (11 799 devas; 317 024,97 </w:t>
            </w:r>
            <w:r>
              <w:rPr>
                <w:i/>
                <w:sz w:val="28"/>
                <w:szCs w:val="28"/>
                <w:lang w:val="lv-LV"/>
              </w:rPr>
              <w:t>e</w:t>
            </w:r>
            <w:r w:rsidRPr="00585546">
              <w:rPr>
                <w:i/>
                <w:sz w:val="28"/>
                <w:szCs w:val="28"/>
                <w:lang w:val="lv-LV"/>
              </w:rPr>
              <w:t>uro</w:t>
            </w:r>
            <w:r w:rsidRPr="00585546">
              <w:rPr>
                <w:sz w:val="28"/>
                <w:szCs w:val="28"/>
                <w:lang w:val="lv-LV"/>
              </w:rPr>
              <w:t xml:space="preserve">). </w:t>
            </w:r>
            <w:proofErr w:type="spellStart"/>
            <w:r w:rsidRPr="00585546">
              <w:rPr>
                <w:i/>
                <w:sz w:val="28"/>
                <w:szCs w:val="28"/>
                <w:lang w:val="lv-LV"/>
              </w:rPr>
              <w:t>Cervarix</w:t>
            </w:r>
            <w:proofErr w:type="spellEnd"/>
            <w:r w:rsidRPr="00585546">
              <w:rPr>
                <w:sz w:val="28"/>
                <w:szCs w:val="28"/>
                <w:lang w:val="lv-LV"/>
              </w:rPr>
              <w:t xml:space="preserve"> vakcīnas gada patēriņa prognoze ir 96% no gada apjoma, tas sastāda 380 435,34 </w:t>
            </w:r>
            <w:r>
              <w:rPr>
                <w:i/>
                <w:sz w:val="28"/>
                <w:szCs w:val="28"/>
                <w:lang w:val="lv-LV"/>
              </w:rPr>
              <w:t>e</w:t>
            </w:r>
            <w:r w:rsidRPr="00585546">
              <w:rPr>
                <w:i/>
                <w:sz w:val="28"/>
                <w:szCs w:val="28"/>
                <w:lang w:val="lv-LV"/>
              </w:rPr>
              <w:t>uro</w:t>
            </w:r>
            <w:r>
              <w:rPr>
                <w:sz w:val="28"/>
                <w:szCs w:val="28"/>
                <w:lang w:val="lv-LV"/>
              </w:rPr>
              <w:t xml:space="preserve"> (14 159 devas)</w:t>
            </w:r>
            <w:r w:rsidRPr="00585546">
              <w:rPr>
                <w:sz w:val="28"/>
                <w:szCs w:val="28"/>
                <w:lang w:val="lv-LV"/>
              </w:rPr>
              <w:t>.</w:t>
            </w:r>
          </w:p>
          <w:p w:rsidR="00216DF5" w:rsidRPr="00585546" w:rsidRDefault="00216DF5" w:rsidP="003F5A0E">
            <w:pPr>
              <w:pStyle w:val="tvhtml"/>
              <w:spacing w:before="0" w:beforeAutospacing="0" w:after="0" w:afterAutospacing="0"/>
              <w:jc w:val="both"/>
              <w:rPr>
                <w:sz w:val="28"/>
                <w:szCs w:val="28"/>
                <w:lang w:val="lv-LV"/>
              </w:rPr>
            </w:pPr>
            <w:r>
              <w:rPr>
                <w:sz w:val="28"/>
                <w:szCs w:val="28"/>
                <w:lang w:val="lv-LV"/>
              </w:rPr>
              <w:t xml:space="preserve">     2015.</w:t>
            </w:r>
            <w:r w:rsidRPr="00552F0D">
              <w:rPr>
                <w:sz w:val="28"/>
                <w:szCs w:val="28"/>
                <w:lang w:val="lv-LV"/>
              </w:rPr>
              <w:t xml:space="preserve">gadā pēc statistikas datiem 8 959 meitenes būs 12 gadu vecumā. Ņemot vērā vakcinācijas pret cilvēka papilomas vīrusu aptveri 2013.gadā – 58%, </w:t>
            </w:r>
            <w:r>
              <w:rPr>
                <w:sz w:val="28"/>
                <w:szCs w:val="28"/>
                <w:lang w:val="lv-LV"/>
              </w:rPr>
              <w:t xml:space="preserve">tad </w:t>
            </w:r>
            <w:r w:rsidRPr="00552F0D">
              <w:rPr>
                <w:sz w:val="28"/>
                <w:szCs w:val="28"/>
                <w:lang w:val="lv-LV"/>
              </w:rPr>
              <w:t>vakcinācija tiks veikta 5 196 meitenēm. Ievadot divas vakcīnas devas, būs nepieciešams 5 196 x 2 (devas) = 10 392 devas.</w:t>
            </w:r>
            <w:r>
              <w:rPr>
                <w:sz w:val="28"/>
                <w:szCs w:val="28"/>
                <w:lang w:val="lv-LV"/>
              </w:rPr>
              <w:t xml:space="preserve"> </w:t>
            </w:r>
            <w:r w:rsidRPr="00552F0D">
              <w:rPr>
                <w:sz w:val="28"/>
                <w:szCs w:val="28"/>
                <w:lang w:val="lv-LV"/>
              </w:rPr>
              <w:t>Savukārt 2</w:t>
            </w:r>
            <w:r>
              <w:rPr>
                <w:sz w:val="28"/>
                <w:szCs w:val="28"/>
                <w:lang w:val="lv-LV"/>
              </w:rPr>
              <w:t xml:space="preserve"> </w:t>
            </w:r>
            <w:r w:rsidRPr="00552F0D">
              <w:rPr>
                <w:sz w:val="28"/>
                <w:szCs w:val="28"/>
                <w:lang w:val="lv-LV"/>
              </w:rPr>
              <w:t xml:space="preserve">082 meitenēm, kuras sākot ar 2014.gada jūliju saņēma otro poti, būs nepieciešams veikt trešo poti pret cilvēka papilomas vīrusu infekciju pēc 6 mēnešiem t.i., sākot ar 2015.gada janvāri. </w:t>
            </w:r>
            <w:r w:rsidRPr="00467A5C">
              <w:rPr>
                <w:sz w:val="28"/>
                <w:szCs w:val="28"/>
                <w:lang w:val="lv-LV"/>
              </w:rPr>
              <w:t>Meiteņu skaits, kurām būs nepieciešama trešā pote, aprēķināts, ņemot vērā vidējo vakcinēto meiteņu skaitu š</w:t>
            </w:r>
            <w:r>
              <w:rPr>
                <w:sz w:val="28"/>
                <w:szCs w:val="28"/>
                <w:lang w:val="lv-LV"/>
              </w:rPr>
              <w:t>ī gada</w:t>
            </w:r>
            <w:r w:rsidRPr="00467A5C">
              <w:rPr>
                <w:sz w:val="28"/>
                <w:szCs w:val="28"/>
                <w:lang w:val="lv-LV"/>
              </w:rPr>
              <w:t xml:space="preserve"> jūlijā–oktobrī un attiecinot to uz novembri-decembri.</w:t>
            </w:r>
            <w:r>
              <w:rPr>
                <w:sz w:val="28"/>
                <w:szCs w:val="28"/>
                <w:lang w:val="lv-LV"/>
              </w:rPr>
              <w:t xml:space="preserve"> </w:t>
            </w:r>
            <w:r w:rsidRPr="003D30D5">
              <w:rPr>
                <w:sz w:val="28"/>
                <w:szCs w:val="28"/>
                <w:lang w:val="lv-LV"/>
              </w:rPr>
              <w:t xml:space="preserve">Līdz ar to 2015.gadā būs nepieciešamas 12 474 vakcīnas devas </w:t>
            </w:r>
            <w:r>
              <w:rPr>
                <w:sz w:val="28"/>
                <w:szCs w:val="28"/>
                <w:lang w:val="lv-LV"/>
              </w:rPr>
              <w:t>(10 392 + 2 082)</w:t>
            </w:r>
            <w:r w:rsidRPr="003D30D5">
              <w:rPr>
                <w:sz w:val="28"/>
                <w:szCs w:val="28"/>
                <w:lang w:val="lv-LV"/>
              </w:rPr>
              <w:t>.</w:t>
            </w:r>
          </w:p>
          <w:p w:rsidR="00216DF5" w:rsidRPr="00FE4AB5" w:rsidRDefault="00216DF5" w:rsidP="003F5A0E">
            <w:pPr>
              <w:pStyle w:val="tvhtml"/>
              <w:spacing w:before="0" w:beforeAutospacing="0" w:after="0" w:afterAutospacing="0"/>
              <w:jc w:val="both"/>
              <w:rPr>
                <w:sz w:val="28"/>
                <w:szCs w:val="28"/>
                <w:lang w:val="lv-LV"/>
              </w:rPr>
            </w:pPr>
            <w:r w:rsidRPr="00E12C60">
              <w:rPr>
                <w:sz w:val="28"/>
                <w:szCs w:val="28"/>
                <w:lang w:val="lv-LV"/>
              </w:rPr>
              <w:t xml:space="preserve">     Viena </w:t>
            </w:r>
            <w:proofErr w:type="spellStart"/>
            <w:r w:rsidRPr="00E12C60">
              <w:rPr>
                <w:i/>
                <w:sz w:val="28"/>
                <w:szCs w:val="28"/>
                <w:lang w:val="lv-LV"/>
              </w:rPr>
              <w:t>Cervarix</w:t>
            </w:r>
            <w:proofErr w:type="spellEnd"/>
            <w:r w:rsidRPr="00E12C60">
              <w:rPr>
                <w:sz w:val="28"/>
                <w:szCs w:val="28"/>
                <w:lang w:val="lv-LV"/>
              </w:rPr>
              <w:t xml:space="preserve"> vakcīnas deva</w:t>
            </w:r>
            <w:r>
              <w:rPr>
                <w:sz w:val="28"/>
                <w:szCs w:val="28"/>
                <w:lang w:val="lv-LV"/>
              </w:rPr>
              <w:t>s cena</w:t>
            </w:r>
            <w:r w:rsidRPr="00E12C60">
              <w:rPr>
                <w:sz w:val="28"/>
                <w:szCs w:val="28"/>
                <w:lang w:val="lv-LV"/>
              </w:rPr>
              <w:t xml:space="preserve"> 2014. un 2015.gadam saskaņā ar noslēgto līgumu ir </w:t>
            </w:r>
            <w:r>
              <w:rPr>
                <w:sz w:val="28"/>
                <w:szCs w:val="28"/>
                <w:lang w:val="lv-LV"/>
              </w:rPr>
              <w:t>23,</w:t>
            </w:r>
            <w:r w:rsidRPr="00E12C60">
              <w:rPr>
                <w:sz w:val="28"/>
                <w:szCs w:val="28"/>
                <w:lang w:val="lv-LV"/>
              </w:rPr>
              <w:t>99</w:t>
            </w:r>
            <w:r w:rsidRPr="00E12C60">
              <w:rPr>
                <w:i/>
                <w:sz w:val="28"/>
                <w:szCs w:val="28"/>
                <w:lang w:val="lv-LV"/>
              </w:rPr>
              <w:t xml:space="preserve"> </w:t>
            </w:r>
            <w:r>
              <w:rPr>
                <w:i/>
                <w:sz w:val="28"/>
                <w:szCs w:val="28"/>
                <w:lang w:val="lv-LV"/>
              </w:rPr>
              <w:t>e</w:t>
            </w:r>
            <w:r w:rsidRPr="00E12C60">
              <w:rPr>
                <w:i/>
                <w:sz w:val="28"/>
                <w:szCs w:val="28"/>
                <w:lang w:val="lv-LV"/>
              </w:rPr>
              <w:t xml:space="preserve">uro </w:t>
            </w:r>
            <w:r w:rsidRPr="00E12C60">
              <w:rPr>
                <w:sz w:val="28"/>
                <w:szCs w:val="28"/>
                <w:lang w:val="lv-LV"/>
              </w:rPr>
              <w:t xml:space="preserve">bez PVN. </w:t>
            </w:r>
            <w:r>
              <w:rPr>
                <w:sz w:val="28"/>
                <w:szCs w:val="28"/>
                <w:lang w:val="lv-LV"/>
              </w:rPr>
              <w:t xml:space="preserve">Ar PVN: </w:t>
            </w:r>
            <w:r w:rsidRPr="00E12C60">
              <w:rPr>
                <w:sz w:val="28"/>
                <w:szCs w:val="28"/>
                <w:lang w:val="lv-LV"/>
              </w:rPr>
              <w:t>23</w:t>
            </w:r>
            <w:r>
              <w:rPr>
                <w:sz w:val="28"/>
                <w:szCs w:val="28"/>
                <w:lang w:val="lv-LV"/>
              </w:rPr>
              <w:t>,</w:t>
            </w:r>
            <w:r w:rsidRPr="00E12C60">
              <w:rPr>
                <w:sz w:val="28"/>
                <w:szCs w:val="28"/>
                <w:lang w:val="lv-LV"/>
              </w:rPr>
              <w:t xml:space="preserve">99 x 12% PVN = 26,86 </w:t>
            </w:r>
            <w:r>
              <w:rPr>
                <w:i/>
                <w:sz w:val="28"/>
                <w:szCs w:val="28"/>
                <w:lang w:val="lv-LV"/>
              </w:rPr>
              <w:t>e</w:t>
            </w:r>
            <w:r w:rsidRPr="00E12C60">
              <w:rPr>
                <w:i/>
                <w:sz w:val="28"/>
                <w:szCs w:val="28"/>
                <w:lang w:val="lv-LV"/>
              </w:rPr>
              <w:t>uro</w:t>
            </w:r>
            <w:r>
              <w:rPr>
                <w:sz w:val="28"/>
                <w:szCs w:val="28"/>
                <w:lang w:val="lv-LV"/>
              </w:rPr>
              <w:t>.</w:t>
            </w:r>
          </w:p>
          <w:p w:rsidR="00216DF5" w:rsidRPr="00E12C60" w:rsidRDefault="00216DF5" w:rsidP="003F5A0E">
            <w:pPr>
              <w:pStyle w:val="tvhtml"/>
              <w:spacing w:before="0" w:beforeAutospacing="0" w:after="0" w:afterAutospacing="0"/>
              <w:jc w:val="both"/>
              <w:rPr>
                <w:sz w:val="28"/>
                <w:szCs w:val="28"/>
                <w:lang w:val="lv-LV"/>
              </w:rPr>
            </w:pPr>
            <w:r w:rsidRPr="00E12C60">
              <w:rPr>
                <w:sz w:val="28"/>
                <w:szCs w:val="28"/>
                <w:lang w:val="lv-LV"/>
              </w:rPr>
              <w:t xml:space="preserve">     Tādējādi viens vakcinācijas kurss, kas sastāv no divām devām ir 53,72</w:t>
            </w:r>
            <w:r w:rsidRPr="00E12C60">
              <w:rPr>
                <w:i/>
                <w:sz w:val="28"/>
                <w:szCs w:val="28"/>
                <w:lang w:val="lv-LV"/>
              </w:rPr>
              <w:t xml:space="preserve"> </w:t>
            </w:r>
            <w:r>
              <w:rPr>
                <w:i/>
                <w:sz w:val="28"/>
                <w:szCs w:val="28"/>
                <w:lang w:val="lv-LV"/>
              </w:rPr>
              <w:t>e</w:t>
            </w:r>
            <w:r w:rsidRPr="00E12C60">
              <w:rPr>
                <w:i/>
                <w:sz w:val="28"/>
                <w:szCs w:val="28"/>
                <w:lang w:val="lv-LV"/>
              </w:rPr>
              <w:t>uro</w:t>
            </w:r>
            <w:r>
              <w:rPr>
                <w:sz w:val="28"/>
                <w:szCs w:val="28"/>
                <w:lang w:val="lv-LV"/>
              </w:rPr>
              <w:t xml:space="preserve"> (26,86x2)</w:t>
            </w:r>
            <w:r w:rsidRPr="00E12C60">
              <w:rPr>
                <w:sz w:val="28"/>
                <w:szCs w:val="28"/>
                <w:lang w:val="lv-LV"/>
              </w:rPr>
              <w:t>,</w:t>
            </w:r>
            <w:r w:rsidRPr="00E12C60">
              <w:rPr>
                <w:i/>
                <w:sz w:val="28"/>
                <w:szCs w:val="28"/>
                <w:lang w:val="lv-LV"/>
              </w:rPr>
              <w:t xml:space="preserve"> </w:t>
            </w:r>
            <w:r w:rsidRPr="00E12C60">
              <w:rPr>
                <w:sz w:val="28"/>
                <w:szCs w:val="28"/>
                <w:lang w:val="lv-LV"/>
              </w:rPr>
              <w:t xml:space="preserve">bet vakcinācijas kurss, kas sastāv no trīs devām ir 80,58 </w:t>
            </w:r>
            <w:r>
              <w:rPr>
                <w:i/>
                <w:sz w:val="28"/>
                <w:szCs w:val="28"/>
                <w:lang w:val="lv-LV"/>
              </w:rPr>
              <w:t>e</w:t>
            </w:r>
            <w:r w:rsidRPr="00E12C60">
              <w:rPr>
                <w:i/>
                <w:sz w:val="28"/>
                <w:szCs w:val="28"/>
                <w:lang w:val="lv-LV"/>
              </w:rPr>
              <w:t>uro</w:t>
            </w:r>
            <w:r>
              <w:rPr>
                <w:sz w:val="28"/>
                <w:szCs w:val="28"/>
                <w:lang w:val="lv-LV"/>
              </w:rPr>
              <w:t xml:space="preserve"> (26,86x3)</w:t>
            </w:r>
            <w:r w:rsidRPr="00E12C60">
              <w:rPr>
                <w:sz w:val="28"/>
                <w:szCs w:val="28"/>
                <w:lang w:val="lv-LV"/>
              </w:rPr>
              <w:t>.</w:t>
            </w:r>
          </w:p>
          <w:p w:rsidR="00216DF5" w:rsidRPr="00E12C60" w:rsidRDefault="00216DF5" w:rsidP="003F5A0E">
            <w:pPr>
              <w:pStyle w:val="tvhtml"/>
              <w:spacing w:before="0" w:beforeAutospacing="0" w:after="0" w:afterAutospacing="0"/>
              <w:jc w:val="both"/>
              <w:rPr>
                <w:sz w:val="28"/>
                <w:szCs w:val="28"/>
                <w:lang w:val="lv-LV"/>
              </w:rPr>
            </w:pPr>
            <w:r w:rsidRPr="00E12C60">
              <w:rPr>
                <w:sz w:val="28"/>
                <w:szCs w:val="28"/>
                <w:lang w:val="lv-LV"/>
              </w:rPr>
              <w:t xml:space="preserve">     Vakcinācijas kursa izmaksas nākotnē</w:t>
            </w:r>
            <w:r>
              <w:rPr>
                <w:sz w:val="28"/>
                <w:szCs w:val="28"/>
                <w:lang w:val="lv-LV"/>
              </w:rPr>
              <w:t xml:space="preserve"> (sākot ar 2016.gadu)</w:t>
            </w:r>
            <w:r w:rsidRPr="00E12C60">
              <w:rPr>
                <w:sz w:val="28"/>
                <w:szCs w:val="28"/>
                <w:lang w:val="lv-LV"/>
              </w:rPr>
              <w:t xml:space="preserve"> un  prognozējamais vakci</w:t>
            </w:r>
            <w:r>
              <w:rPr>
                <w:sz w:val="28"/>
                <w:szCs w:val="28"/>
                <w:lang w:val="lv-LV"/>
              </w:rPr>
              <w:t>nējamo meiteņu skaits nav zinām</w:t>
            </w:r>
            <w:r w:rsidRPr="00E12C60">
              <w:rPr>
                <w:sz w:val="28"/>
                <w:szCs w:val="28"/>
                <w:lang w:val="lv-LV"/>
              </w:rPr>
              <w:t>s, jo</w:t>
            </w:r>
            <w:r w:rsidRPr="00E12C60">
              <w:rPr>
                <w:i/>
                <w:sz w:val="28"/>
                <w:szCs w:val="28"/>
                <w:lang w:val="lv-LV"/>
              </w:rPr>
              <w:t xml:space="preserve"> </w:t>
            </w:r>
            <w:proofErr w:type="spellStart"/>
            <w:r w:rsidRPr="00E12C60">
              <w:rPr>
                <w:i/>
                <w:sz w:val="28"/>
                <w:szCs w:val="28"/>
                <w:lang w:val="lv-LV"/>
              </w:rPr>
              <w:t>Cervarix</w:t>
            </w:r>
            <w:proofErr w:type="spellEnd"/>
            <w:r w:rsidRPr="00E12C60">
              <w:rPr>
                <w:sz w:val="28"/>
                <w:szCs w:val="28"/>
                <w:lang w:val="lv-LV"/>
              </w:rPr>
              <w:t xml:space="preserve"> vienas vakcīnas devas summa būs zināma tikai veidojot nākošo iepirkumu turpmākajiem diviem gadiem, kad arī tiks aprēķināts prognozējamais vakcinējamo meiteņu skaits.</w:t>
            </w:r>
          </w:p>
          <w:p w:rsidR="00216DF5" w:rsidRPr="00E12C60" w:rsidRDefault="00216DF5" w:rsidP="003F5A0E">
            <w:pPr>
              <w:pStyle w:val="tvhtml"/>
              <w:spacing w:before="0" w:beforeAutospacing="0" w:after="0" w:afterAutospacing="0"/>
              <w:jc w:val="both"/>
              <w:rPr>
                <w:sz w:val="28"/>
                <w:szCs w:val="28"/>
                <w:lang w:val="lv-LV"/>
              </w:rPr>
            </w:pPr>
            <w:r w:rsidRPr="00E12C60">
              <w:rPr>
                <w:sz w:val="28"/>
                <w:szCs w:val="28"/>
                <w:lang w:val="lv-LV"/>
              </w:rPr>
              <w:t xml:space="preserve">     Neskatoties uz to, ka </w:t>
            </w:r>
            <w:proofErr w:type="spellStart"/>
            <w:r w:rsidRPr="00E12C60">
              <w:rPr>
                <w:i/>
                <w:sz w:val="28"/>
                <w:szCs w:val="28"/>
                <w:lang w:val="lv-LV"/>
              </w:rPr>
              <w:t>Cervarix</w:t>
            </w:r>
            <w:proofErr w:type="spellEnd"/>
            <w:r w:rsidRPr="00E12C60">
              <w:rPr>
                <w:sz w:val="28"/>
                <w:szCs w:val="28"/>
                <w:lang w:val="lv-LV"/>
              </w:rPr>
              <w:t xml:space="preserve"> vakcinācijas izpilde ir zemāka par plānoto, pārējo vakcīnu piegāžu apjoms šā gada 10 mēnešos ir lielāks (85,71%)</w:t>
            </w:r>
            <w:r>
              <w:rPr>
                <w:sz w:val="28"/>
                <w:szCs w:val="28"/>
                <w:lang w:val="lv-LV"/>
              </w:rPr>
              <w:t xml:space="preserve"> nekā vidējais</w:t>
            </w:r>
            <w:r w:rsidRPr="00E12C60">
              <w:rPr>
                <w:sz w:val="28"/>
                <w:szCs w:val="28"/>
                <w:lang w:val="lv-LV"/>
              </w:rPr>
              <w:t xml:space="preserve"> 83,33% no gada apjoma, tā piemēram, atsevišķām vakcīnām pārsniedzot pat 90% no gada apjoma. Tādējādi līdzekļu ekonomija no </w:t>
            </w:r>
            <w:proofErr w:type="spellStart"/>
            <w:r w:rsidRPr="00E12C60">
              <w:rPr>
                <w:i/>
                <w:sz w:val="28"/>
                <w:szCs w:val="28"/>
                <w:lang w:val="lv-LV"/>
              </w:rPr>
              <w:t>Cervarix</w:t>
            </w:r>
            <w:proofErr w:type="spellEnd"/>
            <w:r w:rsidRPr="00E12C60">
              <w:rPr>
                <w:sz w:val="28"/>
                <w:szCs w:val="28"/>
                <w:lang w:val="lv-LV"/>
              </w:rPr>
              <w:t xml:space="preserve"> vakcīnas tiek izlietota pārējo vakcīnu pieprasījuma nodrošinājumam</w:t>
            </w:r>
            <w:r>
              <w:rPr>
                <w:sz w:val="28"/>
                <w:szCs w:val="28"/>
                <w:lang w:val="lv-LV"/>
              </w:rPr>
              <w:t xml:space="preserve">, jo </w:t>
            </w:r>
            <w:r w:rsidRPr="00E12C60">
              <w:rPr>
                <w:sz w:val="28"/>
                <w:szCs w:val="28"/>
                <w:lang w:val="lv-LV"/>
              </w:rPr>
              <w:t>līgumos, kurus noslēdz</w:t>
            </w:r>
            <w:r>
              <w:rPr>
                <w:sz w:val="28"/>
                <w:szCs w:val="28"/>
                <w:lang w:val="lv-LV"/>
              </w:rPr>
              <w:t xml:space="preserve"> Nacionālais veselības dienests</w:t>
            </w:r>
            <w:r w:rsidRPr="00E12C60">
              <w:rPr>
                <w:sz w:val="28"/>
                <w:szCs w:val="28"/>
                <w:lang w:val="lv-LV"/>
              </w:rPr>
              <w:t xml:space="preserve"> par vakcīnu iegādi</w:t>
            </w:r>
            <w:r>
              <w:rPr>
                <w:sz w:val="28"/>
                <w:szCs w:val="28"/>
                <w:lang w:val="lv-LV"/>
              </w:rPr>
              <w:t>,</w:t>
            </w:r>
            <w:r w:rsidRPr="00E12C60">
              <w:rPr>
                <w:sz w:val="28"/>
                <w:szCs w:val="28"/>
                <w:lang w:val="lv-LV"/>
              </w:rPr>
              <w:t xml:space="preserve"> ir noteikts, ka līgumā norādītie vakcīnu daudzumi var tikt mainīti atbilstoši faktiskajam izlietojumam.</w:t>
            </w:r>
          </w:p>
          <w:p w:rsidR="00216DF5" w:rsidRDefault="00216DF5" w:rsidP="003F5A0E">
            <w:pPr>
              <w:pStyle w:val="tvhtml"/>
              <w:spacing w:before="0" w:beforeAutospacing="0" w:after="0" w:afterAutospacing="0"/>
              <w:jc w:val="both"/>
              <w:rPr>
                <w:sz w:val="28"/>
                <w:szCs w:val="28"/>
                <w:lang w:val="lv-LV"/>
              </w:rPr>
            </w:pPr>
            <w:r w:rsidRPr="00801B42">
              <w:rPr>
                <w:sz w:val="28"/>
                <w:szCs w:val="28"/>
                <w:lang w:val="lv-LV"/>
              </w:rPr>
              <w:t xml:space="preserve">     Ņemot vērā vakcīnu patēriņa pieaugumu 2014.gadā, tika </w:t>
            </w:r>
            <w:r w:rsidRPr="00801B42">
              <w:rPr>
                <w:sz w:val="28"/>
                <w:szCs w:val="28"/>
                <w:lang w:val="lv-LV"/>
              </w:rPr>
              <w:lastRenderedPageBreak/>
              <w:t>veikti grozījumi līgumos, atsevišķām vakcīnām palielinot 2014.gadā piegādājamo daudzumu un attiecīgi samazinot piegādājamo vakcīnu daudzumu 2015.gadā. Tā rezultātā vakcīnu līgumu summa 2015.gadā pēc grozījumiem ir samazinājusies par 267 163</w:t>
            </w:r>
            <w:r w:rsidRPr="00801B42">
              <w:rPr>
                <w:i/>
                <w:sz w:val="28"/>
                <w:szCs w:val="28"/>
                <w:lang w:val="lv-LV"/>
              </w:rPr>
              <w:t xml:space="preserve"> </w:t>
            </w:r>
            <w:r>
              <w:rPr>
                <w:i/>
                <w:sz w:val="28"/>
                <w:szCs w:val="28"/>
                <w:lang w:val="lv-LV"/>
              </w:rPr>
              <w:t>e</w:t>
            </w:r>
            <w:r w:rsidRPr="00801B42">
              <w:rPr>
                <w:i/>
                <w:sz w:val="28"/>
                <w:szCs w:val="28"/>
                <w:lang w:val="lv-LV"/>
              </w:rPr>
              <w:t>uro</w:t>
            </w:r>
            <w:r w:rsidRPr="00801B42">
              <w:rPr>
                <w:sz w:val="28"/>
                <w:szCs w:val="28"/>
                <w:lang w:val="lv-LV"/>
              </w:rPr>
              <w:t>, t.i. no 7 949 095</w:t>
            </w:r>
            <w:r w:rsidRPr="00801B42">
              <w:rPr>
                <w:i/>
                <w:sz w:val="28"/>
                <w:szCs w:val="28"/>
                <w:lang w:val="lv-LV"/>
              </w:rPr>
              <w:t xml:space="preserve"> </w:t>
            </w:r>
            <w:r>
              <w:rPr>
                <w:i/>
                <w:sz w:val="28"/>
                <w:szCs w:val="28"/>
                <w:lang w:val="lv-LV"/>
              </w:rPr>
              <w:t>e</w:t>
            </w:r>
            <w:r w:rsidRPr="00801B42">
              <w:rPr>
                <w:i/>
                <w:sz w:val="28"/>
                <w:szCs w:val="28"/>
                <w:lang w:val="lv-LV"/>
              </w:rPr>
              <w:t>uro</w:t>
            </w:r>
            <w:r>
              <w:rPr>
                <w:sz w:val="28"/>
                <w:szCs w:val="28"/>
                <w:lang w:val="lv-LV"/>
              </w:rPr>
              <w:t xml:space="preserve"> līdz </w:t>
            </w:r>
            <w:r w:rsidRPr="00801B42">
              <w:rPr>
                <w:sz w:val="28"/>
                <w:szCs w:val="28"/>
                <w:lang w:val="lv-LV"/>
              </w:rPr>
              <w:t>7 681 932</w:t>
            </w:r>
            <w:r w:rsidRPr="00801B42">
              <w:rPr>
                <w:i/>
                <w:sz w:val="28"/>
                <w:szCs w:val="28"/>
                <w:lang w:val="lv-LV"/>
              </w:rPr>
              <w:t xml:space="preserve"> </w:t>
            </w:r>
            <w:r>
              <w:rPr>
                <w:i/>
                <w:sz w:val="28"/>
                <w:szCs w:val="28"/>
                <w:lang w:val="lv-LV"/>
              </w:rPr>
              <w:t>e</w:t>
            </w:r>
            <w:r w:rsidRPr="00801B42">
              <w:rPr>
                <w:i/>
                <w:sz w:val="28"/>
                <w:szCs w:val="28"/>
                <w:lang w:val="lv-LV"/>
              </w:rPr>
              <w:t>uro</w:t>
            </w:r>
            <w:r w:rsidRPr="00801B42">
              <w:rPr>
                <w:sz w:val="28"/>
                <w:szCs w:val="28"/>
                <w:lang w:val="lv-LV"/>
              </w:rPr>
              <w:t xml:space="preserve">. Tas nozīmē, ja 2015.gadā pieprasījums pēc vakcīnām saglabāsies 2014.gada līmenī, līgumu 2015.gada apjomi nenodrošinās piegādes līdz gada beigām, tādējādi nāksies organizēt nākošo vakcīnu iepirkumu, lai nodrošinātu vakcīnu piegādi 2015.gada atlikušajiem mēnešiem, kam nepieciešami līdzekļi. Ja </w:t>
            </w:r>
            <w:proofErr w:type="spellStart"/>
            <w:r w:rsidRPr="00801B42">
              <w:rPr>
                <w:i/>
                <w:sz w:val="28"/>
                <w:szCs w:val="28"/>
                <w:lang w:val="lv-LV"/>
              </w:rPr>
              <w:t>Cervarix</w:t>
            </w:r>
            <w:proofErr w:type="spellEnd"/>
            <w:r w:rsidRPr="00801B42">
              <w:rPr>
                <w:sz w:val="28"/>
                <w:szCs w:val="28"/>
                <w:lang w:val="lv-LV"/>
              </w:rPr>
              <w:t xml:space="preserve"> vakcinācijas devu izmaiņu rezultātā veidosies līdzekļu ietaupījums, tas tiks izlietots jaunajam vakcīnu iepirkumam, lai nodrošinātu vakcīnu piegādi līdz 2015.gada beigām.</w:t>
            </w:r>
          </w:p>
          <w:p w:rsidR="00216DF5" w:rsidRDefault="00216DF5" w:rsidP="003F5A0E">
            <w:pPr>
              <w:pStyle w:val="naiskr"/>
              <w:spacing w:before="20" w:after="20"/>
              <w:jc w:val="both"/>
              <w:rPr>
                <w:sz w:val="28"/>
                <w:szCs w:val="28"/>
              </w:rPr>
            </w:pPr>
          </w:p>
          <w:p w:rsidR="00216DF5" w:rsidRPr="00801B42" w:rsidRDefault="00216DF5" w:rsidP="003F5A0E">
            <w:pPr>
              <w:pStyle w:val="tvhtml"/>
              <w:spacing w:before="0" w:beforeAutospacing="0" w:after="0" w:afterAutospacing="0"/>
              <w:jc w:val="center"/>
              <w:rPr>
                <w:sz w:val="28"/>
                <w:szCs w:val="28"/>
                <w:lang w:val="lv-LV"/>
              </w:rPr>
            </w:pPr>
            <w:r w:rsidRPr="00801B42">
              <w:rPr>
                <w:sz w:val="28"/>
                <w:szCs w:val="28"/>
                <w:lang w:val="lv-LV"/>
              </w:rPr>
              <w:t>Meiteņu vakcinācija pret CPV infekciju 2013.-2014.gadā</w:t>
            </w:r>
            <w:r w:rsidRPr="00801B42">
              <w:rPr>
                <w:rStyle w:val="FootnoteReference"/>
                <w:sz w:val="28"/>
                <w:szCs w:val="28"/>
                <w:lang w:val="lv-LV"/>
              </w:rPr>
              <w:footnoteReference w:id="1"/>
            </w:r>
          </w:p>
          <w:tbl>
            <w:tblPr>
              <w:tblStyle w:val="TableGrid"/>
              <w:tblW w:w="0" w:type="auto"/>
              <w:tblLayout w:type="fixed"/>
              <w:tblLook w:val="04A0"/>
            </w:tblPr>
            <w:tblGrid>
              <w:gridCol w:w="2102"/>
              <w:gridCol w:w="2102"/>
              <w:gridCol w:w="2102"/>
            </w:tblGrid>
            <w:tr w:rsidR="00216DF5" w:rsidRPr="00801B42" w:rsidTr="003F5A0E">
              <w:tc>
                <w:tcPr>
                  <w:tcW w:w="2102" w:type="dxa"/>
                </w:tcPr>
                <w:p w:rsidR="00216DF5" w:rsidRPr="00801B42" w:rsidRDefault="00216DF5" w:rsidP="003F5A0E">
                  <w:pPr>
                    <w:pStyle w:val="tvhtml"/>
                    <w:spacing w:before="0" w:beforeAutospacing="0" w:after="0" w:afterAutospacing="0"/>
                    <w:jc w:val="center"/>
                    <w:rPr>
                      <w:b/>
                      <w:sz w:val="28"/>
                      <w:szCs w:val="28"/>
                      <w:lang w:val="lv-LV"/>
                    </w:rPr>
                  </w:pPr>
                  <w:r w:rsidRPr="00801B42">
                    <w:rPr>
                      <w:b/>
                      <w:sz w:val="28"/>
                      <w:szCs w:val="28"/>
                      <w:lang w:val="lv-LV"/>
                    </w:rPr>
                    <w:t>Potes</w:t>
                  </w:r>
                </w:p>
              </w:tc>
              <w:tc>
                <w:tcPr>
                  <w:tcW w:w="2102" w:type="dxa"/>
                </w:tcPr>
                <w:p w:rsidR="00216DF5" w:rsidRPr="00801B42" w:rsidRDefault="00216DF5" w:rsidP="003F5A0E">
                  <w:pPr>
                    <w:pStyle w:val="tvhtml"/>
                    <w:spacing w:before="0" w:beforeAutospacing="0" w:after="0" w:afterAutospacing="0"/>
                    <w:jc w:val="center"/>
                    <w:rPr>
                      <w:b/>
                      <w:sz w:val="28"/>
                      <w:szCs w:val="28"/>
                      <w:lang w:val="lv-LV"/>
                    </w:rPr>
                  </w:pPr>
                  <w:r w:rsidRPr="00801B42">
                    <w:rPr>
                      <w:b/>
                      <w:sz w:val="28"/>
                      <w:szCs w:val="28"/>
                      <w:lang w:val="lv-LV"/>
                    </w:rPr>
                    <w:t>2013.gads</w:t>
                  </w:r>
                </w:p>
              </w:tc>
              <w:tc>
                <w:tcPr>
                  <w:tcW w:w="2102" w:type="dxa"/>
                </w:tcPr>
                <w:p w:rsidR="00216DF5" w:rsidRPr="00801B42" w:rsidRDefault="00216DF5" w:rsidP="003F5A0E">
                  <w:pPr>
                    <w:pStyle w:val="tvhtml"/>
                    <w:spacing w:before="0" w:beforeAutospacing="0" w:after="0" w:afterAutospacing="0"/>
                    <w:jc w:val="center"/>
                    <w:rPr>
                      <w:b/>
                      <w:sz w:val="28"/>
                      <w:szCs w:val="28"/>
                      <w:lang w:val="lv-LV"/>
                    </w:rPr>
                  </w:pPr>
                  <w:r w:rsidRPr="00801B42">
                    <w:rPr>
                      <w:b/>
                      <w:sz w:val="28"/>
                      <w:szCs w:val="28"/>
                      <w:lang w:val="lv-LV"/>
                    </w:rPr>
                    <w:t>2014.gada janvāris - oktobris</w:t>
                  </w:r>
                </w:p>
              </w:tc>
            </w:tr>
            <w:tr w:rsidR="00216DF5" w:rsidRPr="00801B42" w:rsidTr="003F5A0E">
              <w:tc>
                <w:tcPr>
                  <w:tcW w:w="2102" w:type="dxa"/>
                </w:tcPr>
                <w:p w:rsidR="00216DF5" w:rsidRPr="00801B42" w:rsidRDefault="00216DF5" w:rsidP="003F5A0E">
                  <w:pPr>
                    <w:pStyle w:val="tvhtml"/>
                    <w:spacing w:before="0" w:beforeAutospacing="0" w:after="0" w:afterAutospacing="0"/>
                    <w:jc w:val="center"/>
                    <w:rPr>
                      <w:sz w:val="28"/>
                      <w:szCs w:val="28"/>
                      <w:lang w:val="lv-LV"/>
                    </w:rPr>
                  </w:pPr>
                  <w:r w:rsidRPr="00801B42">
                    <w:rPr>
                      <w:sz w:val="28"/>
                      <w:szCs w:val="28"/>
                      <w:lang w:val="lv-LV"/>
                    </w:rPr>
                    <w:t>1. pote</w:t>
                  </w:r>
                </w:p>
              </w:tc>
              <w:tc>
                <w:tcPr>
                  <w:tcW w:w="2102" w:type="dxa"/>
                </w:tcPr>
                <w:p w:rsidR="00216DF5" w:rsidRPr="00801B42" w:rsidRDefault="00216DF5" w:rsidP="003F5A0E">
                  <w:pPr>
                    <w:pStyle w:val="tvhtml"/>
                    <w:spacing w:before="0" w:beforeAutospacing="0" w:after="0" w:afterAutospacing="0"/>
                    <w:jc w:val="center"/>
                    <w:rPr>
                      <w:sz w:val="28"/>
                      <w:szCs w:val="28"/>
                      <w:lang w:val="lv-LV"/>
                    </w:rPr>
                  </w:pPr>
                  <w:r w:rsidRPr="00801B42">
                    <w:rPr>
                      <w:sz w:val="28"/>
                      <w:szCs w:val="28"/>
                      <w:lang w:val="lv-LV"/>
                    </w:rPr>
                    <w:t>5 228</w:t>
                  </w:r>
                </w:p>
              </w:tc>
              <w:tc>
                <w:tcPr>
                  <w:tcW w:w="2102" w:type="dxa"/>
                </w:tcPr>
                <w:p w:rsidR="00216DF5" w:rsidRPr="00801B42" w:rsidRDefault="00216DF5" w:rsidP="003F5A0E">
                  <w:pPr>
                    <w:pStyle w:val="tvhtml"/>
                    <w:spacing w:before="0" w:beforeAutospacing="0" w:after="0" w:afterAutospacing="0"/>
                    <w:jc w:val="center"/>
                    <w:rPr>
                      <w:sz w:val="28"/>
                      <w:szCs w:val="28"/>
                      <w:lang w:val="lv-LV"/>
                    </w:rPr>
                  </w:pPr>
                  <w:r w:rsidRPr="00801B42">
                    <w:rPr>
                      <w:sz w:val="28"/>
                      <w:szCs w:val="28"/>
                      <w:lang w:val="lv-LV"/>
                    </w:rPr>
                    <w:t>3 774</w:t>
                  </w:r>
                </w:p>
              </w:tc>
            </w:tr>
            <w:tr w:rsidR="00216DF5" w:rsidRPr="00801B42" w:rsidTr="003F5A0E">
              <w:tc>
                <w:tcPr>
                  <w:tcW w:w="2102" w:type="dxa"/>
                </w:tcPr>
                <w:p w:rsidR="00216DF5" w:rsidRPr="00801B42" w:rsidRDefault="00216DF5" w:rsidP="003F5A0E">
                  <w:pPr>
                    <w:pStyle w:val="tvhtml"/>
                    <w:spacing w:before="0" w:beforeAutospacing="0" w:after="0" w:afterAutospacing="0"/>
                    <w:jc w:val="center"/>
                    <w:rPr>
                      <w:sz w:val="28"/>
                      <w:szCs w:val="28"/>
                      <w:lang w:val="lv-LV"/>
                    </w:rPr>
                  </w:pPr>
                  <w:r w:rsidRPr="00801B42">
                    <w:rPr>
                      <w:sz w:val="28"/>
                      <w:szCs w:val="28"/>
                      <w:lang w:val="lv-LV"/>
                    </w:rPr>
                    <w:t>2. pote</w:t>
                  </w:r>
                </w:p>
              </w:tc>
              <w:tc>
                <w:tcPr>
                  <w:tcW w:w="2102" w:type="dxa"/>
                </w:tcPr>
                <w:p w:rsidR="00216DF5" w:rsidRPr="00801B42" w:rsidRDefault="00216DF5" w:rsidP="003F5A0E">
                  <w:pPr>
                    <w:pStyle w:val="tvhtml"/>
                    <w:spacing w:before="0" w:beforeAutospacing="0" w:after="0" w:afterAutospacing="0"/>
                    <w:jc w:val="center"/>
                    <w:rPr>
                      <w:sz w:val="28"/>
                      <w:szCs w:val="28"/>
                      <w:lang w:val="lv-LV"/>
                    </w:rPr>
                  </w:pPr>
                  <w:r w:rsidRPr="00801B42">
                    <w:rPr>
                      <w:sz w:val="28"/>
                      <w:szCs w:val="28"/>
                      <w:lang w:val="lv-LV"/>
                    </w:rPr>
                    <w:t>5 192</w:t>
                  </w:r>
                </w:p>
              </w:tc>
              <w:tc>
                <w:tcPr>
                  <w:tcW w:w="2102" w:type="dxa"/>
                </w:tcPr>
                <w:p w:rsidR="00216DF5" w:rsidRPr="00801B42" w:rsidRDefault="00216DF5" w:rsidP="003F5A0E">
                  <w:pPr>
                    <w:pStyle w:val="tvhtml"/>
                    <w:spacing w:before="0" w:beforeAutospacing="0" w:after="0" w:afterAutospacing="0"/>
                    <w:jc w:val="center"/>
                    <w:rPr>
                      <w:sz w:val="28"/>
                      <w:szCs w:val="28"/>
                      <w:lang w:val="lv-LV"/>
                    </w:rPr>
                  </w:pPr>
                  <w:r w:rsidRPr="00801B42">
                    <w:rPr>
                      <w:sz w:val="28"/>
                      <w:szCs w:val="28"/>
                      <w:lang w:val="lv-LV"/>
                    </w:rPr>
                    <w:t>3 504</w:t>
                  </w:r>
                </w:p>
              </w:tc>
            </w:tr>
            <w:tr w:rsidR="00216DF5" w:rsidRPr="00801B42" w:rsidTr="003F5A0E">
              <w:tc>
                <w:tcPr>
                  <w:tcW w:w="2102" w:type="dxa"/>
                </w:tcPr>
                <w:p w:rsidR="00216DF5" w:rsidRPr="00801B42" w:rsidRDefault="00216DF5" w:rsidP="003F5A0E">
                  <w:pPr>
                    <w:pStyle w:val="tvhtml"/>
                    <w:spacing w:before="0" w:beforeAutospacing="0" w:after="0" w:afterAutospacing="0"/>
                    <w:jc w:val="center"/>
                    <w:rPr>
                      <w:sz w:val="28"/>
                      <w:szCs w:val="28"/>
                      <w:lang w:val="lv-LV"/>
                    </w:rPr>
                  </w:pPr>
                  <w:r w:rsidRPr="00801B42">
                    <w:rPr>
                      <w:sz w:val="28"/>
                      <w:szCs w:val="28"/>
                      <w:lang w:val="lv-LV"/>
                    </w:rPr>
                    <w:t>3. pote</w:t>
                  </w:r>
                </w:p>
              </w:tc>
              <w:tc>
                <w:tcPr>
                  <w:tcW w:w="2102" w:type="dxa"/>
                </w:tcPr>
                <w:p w:rsidR="00216DF5" w:rsidRPr="00801B42" w:rsidRDefault="00216DF5" w:rsidP="003F5A0E">
                  <w:pPr>
                    <w:pStyle w:val="tvhtml"/>
                    <w:spacing w:before="0" w:beforeAutospacing="0" w:after="0" w:afterAutospacing="0"/>
                    <w:jc w:val="center"/>
                    <w:rPr>
                      <w:sz w:val="28"/>
                      <w:szCs w:val="28"/>
                      <w:lang w:val="lv-LV"/>
                    </w:rPr>
                  </w:pPr>
                  <w:r w:rsidRPr="00801B42">
                    <w:rPr>
                      <w:sz w:val="28"/>
                      <w:szCs w:val="28"/>
                      <w:lang w:val="lv-LV"/>
                    </w:rPr>
                    <w:t>5 069</w:t>
                  </w:r>
                </w:p>
              </w:tc>
              <w:tc>
                <w:tcPr>
                  <w:tcW w:w="2102" w:type="dxa"/>
                </w:tcPr>
                <w:p w:rsidR="00216DF5" w:rsidRPr="00801B42" w:rsidRDefault="00216DF5" w:rsidP="003F5A0E">
                  <w:pPr>
                    <w:pStyle w:val="tvhtml"/>
                    <w:spacing w:before="0" w:beforeAutospacing="0" w:after="0" w:afterAutospacing="0"/>
                    <w:jc w:val="center"/>
                    <w:rPr>
                      <w:sz w:val="28"/>
                      <w:szCs w:val="28"/>
                      <w:lang w:val="lv-LV"/>
                    </w:rPr>
                  </w:pPr>
                  <w:r w:rsidRPr="00801B42">
                    <w:rPr>
                      <w:sz w:val="28"/>
                      <w:szCs w:val="28"/>
                      <w:lang w:val="lv-LV"/>
                    </w:rPr>
                    <w:t>4 169</w:t>
                  </w:r>
                </w:p>
              </w:tc>
            </w:tr>
            <w:tr w:rsidR="00216DF5" w:rsidRPr="00801B42" w:rsidTr="003F5A0E">
              <w:tc>
                <w:tcPr>
                  <w:tcW w:w="2102" w:type="dxa"/>
                </w:tcPr>
                <w:p w:rsidR="00216DF5" w:rsidRPr="00801B42" w:rsidRDefault="00216DF5" w:rsidP="003F5A0E">
                  <w:pPr>
                    <w:pStyle w:val="tvhtml"/>
                    <w:spacing w:before="0" w:beforeAutospacing="0" w:after="0" w:afterAutospacing="0"/>
                    <w:jc w:val="center"/>
                    <w:rPr>
                      <w:sz w:val="28"/>
                      <w:szCs w:val="28"/>
                      <w:lang w:val="lv-LV"/>
                    </w:rPr>
                  </w:pPr>
                  <w:r w:rsidRPr="00801B42">
                    <w:rPr>
                      <w:sz w:val="28"/>
                      <w:szCs w:val="28"/>
                      <w:lang w:val="lv-LV"/>
                    </w:rPr>
                    <w:t>Kopā</w:t>
                  </w:r>
                </w:p>
              </w:tc>
              <w:tc>
                <w:tcPr>
                  <w:tcW w:w="2102" w:type="dxa"/>
                </w:tcPr>
                <w:p w:rsidR="00216DF5" w:rsidRPr="00801B42" w:rsidRDefault="00216DF5" w:rsidP="003F5A0E">
                  <w:pPr>
                    <w:pStyle w:val="tvhtml"/>
                    <w:spacing w:before="0" w:beforeAutospacing="0" w:after="0" w:afterAutospacing="0"/>
                    <w:jc w:val="center"/>
                    <w:rPr>
                      <w:sz w:val="28"/>
                      <w:szCs w:val="28"/>
                      <w:lang w:val="lv-LV"/>
                    </w:rPr>
                  </w:pPr>
                  <w:r w:rsidRPr="00801B42">
                    <w:rPr>
                      <w:sz w:val="28"/>
                      <w:szCs w:val="28"/>
                      <w:lang w:val="lv-LV"/>
                    </w:rPr>
                    <w:t>15 489</w:t>
                  </w:r>
                </w:p>
              </w:tc>
              <w:tc>
                <w:tcPr>
                  <w:tcW w:w="2102" w:type="dxa"/>
                </w:tcPr>
                <w:p w:rsidR="00216DF5" w:rsidRPr="00801B42" w:rsidRDefault="00216DF5" w:rsidP="003F5A0E">
                  <w:pPr>
                    <w:pStyle w:val="tvhtml"/>
                    <w:spacing w:before="0" w:beforeAutospacing="0" w:after="0" w:afterAutospacing="0"/>
                    <w:jc w:val="center"/>
                    <w:rPr>
                      <w:sz w:val="28"/>
                      <w:szCs w:val="28"/>
                      <w:lang w:val="lv-LV"/>
                    </w:rPr>
                  </w:pPr>
                  <w:r w:rsidRPr="00801B42">
                    <w:rPr>
                      <w:sz w:val="28"/>
                      <w:szCs w:val="28"/>
                      <w:lang w:val="lv-LV"/>
                    </w:rPr>
                    <w:t>11 447</w:t>
                  </w:r>
                </w:p>
              </w:tc>
            </w:tr>
          </w:tbl>
          <w:p w:rsidR="00216DF5" w:rsidRPr="003E0953" w:rsidRDefault="00216DF5" w:rsidP="003F5A0E">
            <w:pPr>
              <w:pStyle w:val="naiskr"/>
              <w:spacing w:before="20" w:after="20"/>
              <w:jc w:val="both"/>
              <w:rPr>
                <w:sz w:val="28"/>
                <w:szCs w:val="28"/>
              </w:rPr>
            </w:pPr>
            <w:r w:rsidRPr="00801B42">
              <w:rPr>
                <w:sz w:val="28"/>
                <w:szCs w:val="28"/>
              </w:rPr>
              <w:t xml:space="preserve">     Salīdzinot </w:t>
            </w:r>
            <w:proofErr w:type="spellStart"/>
            <w:r w:rsidRPr="00801B42">
              <w:rPr>
                <w:i/>
                <w:sz w:val="28"/>
                <w:szCs w:val="28"/>
              </w:rPr>
              <w:t>Cervarix</w:t>
            </w:r>
            <w:proofErr w:type="spellEnd"/>
            <w:r w:rsidRPr="00801B42">
              <w:rPr>
                <w:sz w:val="28"/>
                <w:szCs w:val="28"/>
              </w:rPr>
              <w:t xml:space="preserve"> vakcīnas patēriņu 2014.gada 10 mēnešos ar iepriekšējā gada attiecīgo periodu, samazinājums </w:t>
            </w:r>
            <w:proofErr w:type="spellStart"/>
            <w:r w:rsidRPr="00801B42">
              <w:rPr>
                <w:i/>
                <w:sz w:val="28"/>
                <w:szCs w:val="28"/>
              </w:rPr>
              <w:t>Cervarix</w:t>
            </w:r>
            <w:proofErr w:type="spellEnd"/>
            <w:r w:rsidRPr="00801B42">
              <w:rPr>
                <w:sz w:val="28"/>
                <w:szCs w:val="28"/>
              </w:rPr>
              <w:t xml:space="preserve"> vakcīnas devām ir par 12,24% (2014.gada 9 mēnešos – samazinājums vakcīnas devām ir par 7,15%). Nav korekti veikt salīdzinājumu attiecīgajos periodos neiztērēto valsts budžeta līdzekļu veidā (kā tas ir norādīts 2014.gada 24.oktobra </w:t>
            </w:r>
            <w:r w:rsidRPr="003258F6">
              <w:rPr>
                <w:sz w:val="28"/>
                <w:szCs w:val="28"/>
              </w:rPr>
              <w:t xml:space="preserve">SIA </w:t>
            </w:r>
            <w:r>
              <w:rPr>
                <w:sz w:val="28"/>
                <w:szCs w:val="28"/>
              </w:rPr>
              <w:t>„</w:t>
            </w:r>
            <w:proofErr w:type="spellStart"/>
            <w:r w:rsidRPr="003258F6">
              <w:rPr>
                <w:sz w:val="28"/>
                <w:szCs w:val="28"/>
              </w:rPr>
              <w:t>GlaxoSmithKline</w:t>
            </w:r>
            <w:proofErr w:type="spellEnd"/>
            <w:r w:rsidRPr="003258F6">
              <w:rPr>
                <w:sz w:val="28"/>
                <w:szCs w:val="28"/>
              </w:rPr>
              <w:t xml:space="preserve"> </w:t>
            </w:r>
            <w:proofErr w:type="spellStart"/>
            <w:r w:rsidRPr="003258F6">
              <w:rPr>
                <w:sz w:val="28"/>
                <w:szCs w:val="28"/>
              </w:rPr>
              <w:t>Latvia</w:t>
            </w:r>
            <w:proofErr w:type="spellEnd"/>
            <w:r>
              <w:rPr>
                <w:sz w:val="28"/>
                <w:szCs w:val="28"/>
              </w:rPr>
              <w:t>”</w:t>
            </w:r>
            <w:r w:rsidRPr="00801B42">
              <w:rPr>
                <w:sz w:val="28"/>
                <w:szCs w:val="28"/>
              </w:rPr>
              <w:t xml:space="preserve"> vēstulē), jo </w:t>
            </w:r>
            <w:r>
              <w:rPr>
                <w:sz w:val="28"/>
                <w:szCs w:val="28"/>
              </w:rPr>
              <w:t>iepirkumā 2013.gadam</w:t>
            </w:r>
            <w:r w:rsidRPr="00801B42">
              <w:rPr>
                <w:sz w:val="28"/>
                <w:szCs w:val="28"/>
              </w:rPr>
              <w:t xml:space="preserve"> </w:t>
            </w:r>
            <w:proofErr w:type="spellStart"/>
            <w:r w:rsidRPr="00801B42">
              <w:rPr>
                <w:i/>
                <w:sz w:val="28"/>
                <w:szCs w:val="28"/>
              </w:rPr>
              <w:t>Cervarix</w:t>
            </w:r>
            <w:proofErr w:type="spellEnd"/>
            <w:r w:rsidRPr="00801B42">
              <w:rPr>
                <w:sz w:val="28"/>
                <w:szCs w:val="28"/>
              </w:rPr>
              <w:t xml:space="preserve"> vakcīnas tika iepirktas par citu cenu.</w:t>
            </w:r>
          </w:p>
        </w:tc>
      </w:tr>
      <w:tr w:rsidR="00216DF5" w:rsidRPr="004522ED" w:rsidTr="003F5A0E">
        <w:tc>
          <w:tcPr>
            <w:tcW w:w="2553" w:type="dxa"/>
            <w:hideMark/>
          </w:tcPr>
          <w:p w:rsidR="00216DF5" w:rsidRPr="004522ED" w:rsidRDefault="00216DF5" w:rsidP="003F5A0E">
            <w:pPr>
              <w:rPr>
                <w:sz w:val="28"/>
                <w:szCs w:val="28"/>
              </w:rPr>
            </w:pPr>
            <w:r w:rsidRPr="004522ED">
              <w:rPr>
                <w:sz w:val="28"/>
                <w:szCs w:val="28"/>
              </w:rPr>
              <w:t>6.1. detalizēts ieņēmumu aprēķins</w:t>
            </w:r>
          </w:p>
        </w:tc>
        <w:tc>
          <w:tcPr>
            <w:tcW w:w="6945" w:type="dxa"/>
            <w:gridSpan w:val="5"/>
            <w:vMerge/>
            <w:hideMark/>
          </w:tcPr>
          <w:p w:rsidR="00216DF5" w:rsidRPr="004522ED" w:rsidRDefault="00216DF5" w:rsidP="003F5A0E">
            <w:pPr>
              <w:rPr>
                <w:sz w:val="28"/>
                <w:szCs w:val="28"/>
              </w:rPr>
            </w:pPr>
          </w:p>
        </w:tc>
      </w:tr>
      <w:tr w:rsidR="00216DF5" w:rsidRPr="004522ED" w:rsidTr="003F5A0E">
        <w:tc>
          <w:tcPr>
            <w:tcW w:w="2553" w:type="dxa"/>
            <w:hideMark/>
          </w:tcPr>
          <w:p w:rsidR="00216DF5" w:rsidRPr="004522ED" w:rsidRDefault="00216DF5" w:rsidP="003F5A0E">
            <w:pPr>
              <w:rPr>
                <w:sz w:val="28"/>
                <w:szCs w:val="28"/>
              </w:rPr>
            </w:pPr>
            <w:r w:rsidRPr="004522ED">
              <w:rPr>
                <w:sz w:val="28"/>
                <w:szCs w:val="28"/>
              </w:rPr>
              <w:t>6.2. detalizēts izdevumu aprēķins</w:t>
            </w:r>
          </w:p>
        </w:tc>
        <w:tc>
          <w:tcPr>
            <w:tcW w:w="6945" w:type="dxa"/>
            <w:gridSpan w:val="5"/>
            <w:vMerge/>
            <w:hideMark/>
          </w:tcPr>
          <w:p w:rsidR="00216DF5" w:rsidRPr="004522ED" w:rsidRDefault="00216DF5" w:rsidP="003F5A0E">
            <w:pPr>
              <w:rPr>
                <w:sz w:val="28"/>
                <w:szCs w:val="28"/>
              </w:rPr>
            </w:pPr>
          </w:p>
        </w:tc>
      </w:tr>
      <w:tr w:rsidR="00216DF5" w:rsidRPr="004522ED" w:rsidTr="003F5A0E">
        <w:trPr>
          <w:trHeight w:val="555"/>
        </w:trPr>
        <w:tc>
          <w:tcPr>
            <w:tcW w:w="2553" w:type="dxa"/>
            <w:hideMark/>
          </w:tcPr>
          <w:p w:rsidR="00216DF5" w:rsidRPr="004522ED" w:rsidRDefault="00216DF5" w:rsidP="003F5A0E">
            <w:pPr>
              <w:rPr>
                <w:sz w:val="28"/>
                <w:szCs w:val="28"/>
              </w:rPr>
            </w:pPr>
            <w:r w:rsidRPr="004522ED">
              <w:rPr>
                <w:sz w:val="28"/>
                <w:szCs w:val="28"/>
              </w:rPr>
              <w:lastRenderedPageBreak/>
              <w:t>7. Cita informācija</w:t>
            </w:r>
          </w:p>
        </w:tc>
        <w:tc>
          <w:tcPr>
            <w:tcW w:w="6945" w:type="dxa"/>
            <w:gridSpan w:val="5"/>
            <w:hideMark/>
          </w:tcPr>
          <w:p w:rsidR="00216DF5" w:rsidRPr="00262C1E" w:rsidRDefault="00216DF5" w:rsidP="00216DF5">
            <w:pPr>
              <w:tabs>
                <w:tab w:val="left" w:pos="5940"/>
              </w:tabs>
              <w:jc w:val="both"/>
              <w:rPr>
                <w:sz w:val="28"/>
                <w:szCs w:val="28"/>
              </w:rPr>
            </w:pPr>
            <w:r>
              <w:rPr>
                <w:sz w:val="28"/>
                <w:szCs w:val="28"/>
              </w:rPr>
              <w:t xml:space="preserve">     </w:t>
            </w:r>
            <w:r w:rsidRPr="00262C1E">
              <w:rPr>
                <w:sz w:val="28"/>
                <w:szCs w:val="28"/>
              </w:rPr>
              <w:t>Rīkojuma projekts nerada tiešu ietekmi uz valsts budžetu.</w:t>
            </w:r>
          </w:p>
          <w:p w:rsidR="00216DF5" w:rsidRPr="004522ED" w:rsidRDefault="00216DF5" w:rsidP="00216DF5">
            <w:pPr>
              <w:spacing w:before="40" w:after="40"/>
              <w:ind w:right="135"/>
              <w:jc w:val="both"/>
              <w:rPr>
                <w:sz w:val="28"/>
                <w:szCs w:val="28"/>
              </w:rPr>
            </w:pPr>
            <w:r>
              <w:rPr>
                <w:sz w:val="28"/>
                <w:szCs w:val="28"/>
              </w:rPr>
              <w:t xml:space="preserve">     </w:t>
            </w:r>
            <w:r w:rsidRPr="00262C1E">
              <w:rPr>
                <w:sz w:val="28"/>
                <w:szCs w:val="28"/>
              </w:rPr>
              <w:t>Rīkojuma projekta īstenošana tiks nodrošināta ministrijas nozarei piešķirto valsts budžeta finanšu līdzekļu ietvaros.</w:t>
            </w:r>
          </w:p>
        </w:tc>
      </w:tr>
    </w:tbl>
    <w:p w:rsidR="00442222" w:rsidRPr="007663BB" w:rsidRDefault="00442222" w:rsidP="00796C59">
      <w:pPr>
        <w:pStyle w:val="naisf"/>
        <w:rPr>
          <w:sz w:val="28"/>
          <w:szCs w:val="28"/>
        </w:rPr>
      </w:pPr>
    </w:p>
    <w:p w:rsidR="00B95D98" w:rsidRDefault="00A114B1" w:rsidP="00B95D98">
      <w:pPr>
        <w:jc w:val="both"/>
        <w:rPr>
          <w:b/>
          <w:sz w:val="28"/>
          <w:szCs w:val="28"/>
        </w:rPr>
      </w:pPr>
      <w:r>
        <w:rPr>
          <w:b/>
          <w:sz w:val="28"/>
          <w:szCs w:val="28"/>
        </w:rPr>
        <w:t xml:space="preserve">Anotācijas </w:t>
      </w:r>
      <w:r w:rsidR="00F56BA2">
        <w:rPr>
          <w:b/>
          <w:sz w:val="28"/>
          <w:szCs w:val="28"/>
        </w:rPr>
        <w:t xml:space="preserve">IV, </w:t>
      </w:r>
      <w:r>
        <w:rPr>
          <w:b/>
          <w:sz w:val="28"/>
          <w:szCs w:val="28"/>
        </w:rPr>
        <w:t xml:space="preserve">V </w:t>
      </w:r>
      <w:r w:rsidR="00B95D98" w:rsidRPr="00610063">
        <w:rPr>
          <w:b/>
          <w:sz w:val="28"/>
          <w:szCs w:val="28"/>
        </w:rPr>
        <w:t xml:space="preserve">sadaļa – </w:t>
      </w:r>
      <w:r w:rsidR="00C6758B" w:rsidRPr="00610063">
        <w:rPr>
          <w:b/>
          <w:sz w:val="28"/>
          <w:szCs w:val="28"/>
        </w:rPr>
        <w:t>projekts š</w:t>
      </w:r>
      <w:r>
        <w:rPr>
          <w:b/>
          <w:sz w:val="28"/>
          <w:szCs w:val="28"/>
        </w:rPr>
        <w:t>o</w:t>
      </w:r>
      <w:r w:rsidR="00C6758B" w:rsidRPr="00610063">
        <w:rPr>
          <w:b/>
          <w:sz w:val="28"/>
          <w:szCs w:val="28"/>
        </w:rPr>
        <w:t xml:space="preserve"> jom</w:t>
      </w:r>
      <w:r>
        <w:rPr>
          <w:b/>
          <w:sz w:val="28"/>
          <w:szCs w:val="28"/>
        </w:rPr>
        <w:t>u</w:t>
      </w:r>
      <w:r w:rsidR="00C6758B" w:rsidRPr="00610063">
        <w:rPr>
          <w:b/>
          <w:sz w:val="28"/>
          <w:szCs w:val="28"/>
        </w:rPr>
        <w:t xml:space="preserve"> neskar</w:t>
      </w:r>
      <w:r w:rsidR="00B95D98" w:rsidRPr="00610063">
        <w:rPr>
          <w:b/>
          <w:sz w:val="28"/>
          <w:szCs w:val="28"/>
        </w:rPr>
        <w:t>.</w:t>
      </w:r>
    </w:p>
    <w:p w:rsidR="00A114B1" w:rsidRPr="00A3682E" w:rsidRDefault="00A114B1" w:rsidP="00B95D98">
      <w:pPr>
        <w:jc w:val="both"/>
        <w:rPr>
          <w:sz w:val="28"/>
          <w:szCs w:val="28"/>
        </w:rPr>
      </w:pPr>
    </w:p>
    <w:tbl>
      <w:tblPr>
        <w:tblStyle w:val="TableGrid"/>
        <w:tblW w:w="5000" w:type="pct"/>
        <w:tblLook w:val="04A0"/>
      </w:tblPr>
      <w:tblGrid>
        <w:gridCol w:w="464"/>
        <w:gridCol w:w="2786"/>
        <w:gridCol w:w="6037"/>
      </w:tblGrid>
      <w:tr w:rsidR="006414CC" w:rsidRPr="006414CC" w:rsidTr="00C8222D">
        <w:trPr>
          <w:trHeight w:val="246"/>
        </w:trPr>
        <w:tc>
          <w:tcPr>
            <w:tcW w:w="0" w:type="auto"/>
            <w:gridSpan w:val="3"/>
            <w:hideMark/>
          </w:tcPr>
          <w:p w:rsidR="006414CC" w:rsidRPr="006414CC" w:rsidRDefault="006414CC" w:rsidP="006414CC">
            <w:pPr>
              <w:pStyle w:val="tvhtml"/>
              <w:spacing w:line="293" w:lineRule="atLeast"/>
              <w:jc w:val="center"/>
              <w:rPr>
                <w:b/>
                <w:bCs/>
                <w:sz w:val="28"/>
                <w:szCs w:val="28"/>
                <w:lang w:val="lv-LV"/>
              </w:rPr>
            </w:pPr>
            <w:r w:rsidRPr="006414CC">
              <w:rPr>
                <w:b/>
                <w:bCs/>
                <w:sz w:val="28"/>
                <w:szCs w:val="28"/>
                <w:lang w:val="lv-LV"/>
              </w:rPr>
              <w:lastRenderedPageBreak/>
              <w:t>VI. Sabiedrības līdzdalība un komunikācijas aktivitātes</w:t>
            </w:r>
          </w:p>
        </w:tc>
      </w:tr>
      <w:tr w:rsidR="006414CC" w:rsidRPr="006414CC" w:rsidTr="006414CC">
        <w:trPr>
          <w:trHeight w:val="540"/>
        </w:trPr>
        <w:tc>
          <w:tcPr>
            <w:tcW w:w="250" w:type="pct"/>
            <w:hideMark/>
          </w:tcPr>
          <w:p w:rsidR="006414CC" w:rsidRPr="006414CC" w:rsidRDefault="006414CC" w:rsidP="006414CC">
            <w:pPr>
              <w:rPr>
                <w:sz w:val="28"/>
                <w:szCs w:val="28"/>
              </w:rPr>
            </w:pPr>
            <w:r w:rsidRPr="006414CC">
              <w:rPr>
                <w:sz w:val="28"/>
                <w:szCs w:val="28"/>
              </w:rPr>
              <w:t>1.</w:t>
            </w:r>
          </w:p>
        </w:tc>
        <w:tc>
          <w:tcPr>
            <w:tcW w:w="1500" w:type="pct"/>
            <w:hideMark/>
          </w:tcPr>
          <w:p w:rsidR="006414CC" w:rsidRPr="006414CC" w:rsidRDefault="006414CC" w:rsidP="006414CC">
            <w:pPr>
              <w:rPr>
                <w:sz w:val="28"/>
                <w:szCs w:val="28"/>
              </w:rPr>
            </w:pPr>
            <w:r w:rsidRPr="006414CC">
              <w:rPr>
                <w:sz w:val="28"/>
                <w:szCs w:val="28"/>
              </w:rPr>
              <w:t>Plānotās sabiedrības līdzdalības un komunikācijas aktivitātes saistībā ar projektu</w:t>
            </w:r>
          </w:p>
        </w:tc>
        <w:tc>
          <w:tcPr>
            <w:tcW w:w="3250" w:type="pct"/>
            <w:hideMark/>
          </w:tcPr>
          <w:p w:rsidR="00C5437C" w:rsidRPr="005B462C" w:rsidRDefault="00C5437C" w:rsidP="00130647">
            <w:pPr>
              <w:jc w:val="both"/>
              <w:rPr>
                <w:sz w:val="28"/>
                <w:szCs w:val="28"/>
              </w:rPr>
            </w:pPr>
            <w:r w:rsidRPr="005B462C">
              <w:rPr>
                <w:sz w:val="28"/>
                <w:szCs w:val="28"/>
              </w:rPr>
              <w:t xml:space="preserve">     S</w:t>
            </w:r>
            <w:r w:rsidR="00056DA0" w:rsidRPr="005B462C">
              <w:rPr>
                <w:sz w:val="28"/>
                <w:szCs w:val="28"/>
              </w:rPr>
              <w:t>abiedrība</w:t>
            </w:r>
            <w:r w:rsidRPr="005B462C">
              <w:rPr>
                <w:sz w:val="28"/>
                <w:szCs w:val="28"/>
              </w:rPr>
              <w:t xml:space="preserve"> </w:t>
            </w:r>
            <w:r w:rsidR="0081475C">
              <w:rPr>
                <w:sz w:val="28"/>
                <w:szCs w:val="28"/>
              </w:rPr>
              <w:t>ir</w:t>
            </w:r>
            <w:r w:rsidR="00056DA0" w:rsidRPr="005B462C">
              <w:rPr>
                <w:sz w:val="28"/>
                <w:szCs w:val="28"/>
              </w:rPr>
              <w:t xml:space="preserve"> informē</w:t>
            </w:r>
            <w:r w:rsidRPr="005B462C">
              <w:rPr>
                <w:sz w:val="28"/>
                <w:szCs w:val="28"/>
              </w:rPr>
              <w:t>ta</w:t>
            </w:r>
            <w:r w:rsidR="00056DA0" w:rsidRPr="005B462C">
              <w:rPr>
                <w:sz w:val="28"/>
                <w:szCs w:val="28"/>
              </w:rPr>
              <w:t xml:space="preserve"> </w:t>
            </w:r>
            <w:r w:rsidRPr="005B462C">
              <w:rPr>
                <w:sz w:val="28"/>
                <w:szCs w:val="28"/>
              </w:rPr>
              <w:t>p</w:t>
            </w:r>
            <w:r w:rsidR="00056DA0" w:rsidRPr="005B462C">
              <w:rPr>
                <w:sz w:val="28"/>
                <w:szCs w:val="28"/>
              </w:rPr>
              <w:t xml:space="preserve">ar </w:t>
            </w:r>
            <w:r w:rsidRPr="005B462C">
              <w:rPr>
                <w:sz w:val="28"/>
                <w:szCs w:val="28"/>
              </w:rPr>
              <w:t xml:space="preserve">noteikumu </w:t>
            </w:r>
            <w:r w:rsidR="00056DA0" w:rsidRPr="005B462C">
              <w:rPr>
                <w:sz w:val="28"/>
                <w:szCs w:val="28"/>
              </w:rPr>
              <w:t>projekta izstrādi</w:t>
            </w:r>
            <w:r w:rsidRPr="005B462C">
              <w:rPr>
                <w:sz w:val="28"/>
                <w:szCs w:val="28"/>
              </w:rPr>
              <w:t xml:space="preserve">. </w:t>
            </w:r>
          </w:p>
          <w:p w:rsidR="006414CC" w:rsidRPr="005B462C" w:rsidRDefault="00C5437C" w:rsidP="0081475C">
            <w:pPr>
              <w:jc w:val="both"/>
              <w:rPr>
                <w:sz w:val="28"/>
                <w:szCs w:val="28"/>
              </w:rPr>
            </w:pPr>
            <w:r w:rsidRPr="005B462C">
              <w:rPr>
                <w:sz w:val="28"/>
                <w:szCs w:val="28"/>
              </w:rPr>
              <w:t xml:space="preserve">     </w:t>
            </w:r>
            <w:r w:rsidR="00130647" w:rsidRPr="005B462C">
              <w:rPr>
                <w:sz w:val="28"/>
                <w:szCs w:val="28"/>
              </w:rPr>
              <w:t xml:space="preserve">Noteikumu projekts </w:t>
            </w:r>
            <w:r w:rsidR="0081475C">
              <w:rPr>
                <w:sz w:val="28"/>
                <w:szCs w:val="28"/>
              </w:rPr>
              <w:t>ir</w:t>
            </w:r>
            <w:r w:rsidR="00130647" w:rsidRPr="005B462C">
              <w:rPr>
                <w:sz w:val="28"/>
                <w:szCs w:val="28"/>
              </w:rPr>
              <w:t xml:space="preserve"> ievietots </w:t>
            </w:r>
            <w:r w:rsidR="00B552B8" w:rsidRPr="005B462C">
              <w:rPr>
                <w:sz w:val="28"/>
                <w:szCs w:val="28"/>
              </w:rPr>
              <w:t>Veselības</w:t>
            </w:r>
            <w:r w:rsidR="00130647" w:rsidRPr="005B462C">
              <w:rPr>
                <w:sz w:val="28"/>
                <w:szCs w:val="28"/>
              </w:rPr>
              <w:t xml:space="preserve"> ministrijas tīmekļa vietnes sadaļā</w:t>
            </w:r>
            <w:r w:rsidR="00D64997" w:rsidRPr="005B462C">
              <w:rPr>
                <w:sz w:val="28"/>
                <w:szCs w:val="28"/>
              </w:rPr>
              <w:t>:</w:t>
            </w:r>
            <w:r w:rsidR="00130647" w:rsidRPr="005B462C">
              <w:rPr>
                <w:sz w:val="28"/>
                <w:szCs w:val="28"/>
              </w:rPr>
              <w:t xml:space="preserve"> </w:t>
            </w:r>
            <w:r w:rsidR="00903814" w:rsidRPr="005B462C">
              <w:rPr>
                <w:sz w:val="28"/>
                <w:szCs w:val="28"/>
              </w:rPr>
              <w:t xml:space="preserve">Aktualitātes &gt; Sabiedrības līdzdalība &gt; </w:t>
            </w:r>
            <w:r w:rsidR="00905C47">
              <w:rPr>
                <w:sz w:val="28"/>
                <w:szCs w:val="28"/>
              </w:rPr>
              <w:t>Tiesību aktu projekti</w:t>
            </w:r>
            <w:r w:rsidR="00B552B8" w:rsidRPr="005B462C">
              <w:rPr>
                <w:sz w:val="28"/>
                <w:szCs w:val="28"/>
              </w:rPr>
              <w:t>.</w:t>
            </w:r>
          </w:p>
        </w:tc>
      </w:tr>
      <w:tr w:rsidR="006414CC" w:rsidRPr="006414CC" w:rsidTr="006414CC">
        <w:trPr>
          <w:trHeight w:val="330"/>
        </w:trPr>
        <w:tc>
          <w:tcPr>
            <w:tcW w:w="250" w:type="pct"/>
            <w:hideMark/>
          </w:tcPr>
          <w:p w:rsidR="006414CC" w:rsidRPr="006414CC" w:rsidRDefault="006414CC" w:rsidP="006414CC">
            <w:pPr>
              <w:rPr>
                <w:sz w:val="28"/>
                <w:szCs w:val="28"/>
              </w:rPr>
            </w:pPr>
            <w:r w:rsidRPr="006414CC">
              <w:rPr>
                <w:sz w:val="28"/>
                <w:szCs w:val="28"/>
              </w:rPr>
              <w:t>2.</w:t>
            </w:r>
          </w:p>
        </w:tc>
        <w:tc>
          <w:tcPr>
            <w:tcW w:w="1500" w:type="pct"/>
            <w:hideMark/>
          </w:tcPr>
          <w:p w:rsidR="006414CC" w:rsidRPr="006414CC" w:rsidRDefault="006414CC" w:rsidP="006414CC">
            <w:pPr>
              <w:rPr>
                <w:sz w:val="28"/>
                <w:szCs w:val="28"/>
              </w:rPr>
            </w:pPr>
            <w:r w:rsidRPr="006414CC">
              <w:rPr>
                <w:sz w:val="28"/>
                <w:szCs w:val="28"/>
              </w:rPr>
              <w:t>Sabiedrības līdzdalība projekta izstrādē</w:t>
            </w:r>
          </w:p>
        </w:tc>
        <w:tc>
          <w:tcPr>
            <w:tcW w:w="3250" w:type="pct"/>
            <w:hideMark/>
          </w:tcPr>
          <w:p w:rsidR="006414CC" w:rsidRPr="00BA7A3D" w:rsidRDefault="003258F6" w:rsidP="00FB49B1">
            <w:pPr>
              <w:jc w:val="both"/>
              <w:rPr>
                <w:sz w:val="28"/>
                <w:szCs w:val="28"/>
              </w:rPr>
            </w:pPr>
            <w:r w:rsidRPr="003258F6">
              <w:rPr>
                <w:sz w:val="28"/>
                <w:szCs w:val="28"/>
              </w:rPr>
              <w:t xml:space="preserve">SIA </w:t>
            </w:r>
            <w:r>
              <w:rPr>
                <w:sz w:val="28"/>
                <w:szCs w:val="28"/>
              </w:rPr>
              <w:t>„</w:t>
            </w:r>
            <w:proofErr w:type="spellStart"/>
            <w:r w:rsidRPr="003258F6">
              <w:rPr>
                <w:sz w:val="28"/>
                <w:szCs w:val="28"/>
              </w:rPr>
              <w:t>GlaxoSmithKline</w:t>
            </w:r>
            <w:proofErr w:type="spellEnd"/>
            <w:r w:rsidRPr="003258F6">
              <w:rPr>
                <w:sz w:val="28"/>
                <w:szCs w:val="28"/>
              </w:rPr>
              <w:t xml:space="preserve"> </w:t>
            </w:r>
            <w:proofErr w:type="spellStart"/>
            <w:r w:rsidRPr="003258F6">
              <w:rPr>
                <w:sz w:val="28"/>
                <w:szCs w:val="28"/>
              </w:rPr>
              <w:t>Latvia</w:t>
            </w:r>
            <w:proofErr w:type="spellEnd"/>
            <w:r>
              <w:rPr>
                <w:sz w:val="28"/>
                <w:szCs w:val="28"/>
              </w:rPr>
              <w:t xml:space="preserve">” </w:t>
            </w:r>
            <w:r w:rsidRPr="003258F6">
              <w:rPr>
                <w:sz w:val="28"/>
                <w:szCs w:val="28"/>
              </w:rPr>
              <w:t>2014.gada 27.maija vēstul</w:t>
            </w:r>
            <w:r>
              <w:rPr>
                <w:sz w:val="28"/>
                <w:szCs w:val="28"/>
              </w:rPr>
              <w:t>ē</w:t>
            </w:r>
            <w:r w:rsidR="00FB49B1">
              <w:rPr>
                <w:sz w:val="28"/>
                <w:szCs w:val="28"/>
              </w:rPr>
              <w:t xml:space="preserve"> Nr.</w:t>
            </w:r>
            <w:r>
              <w:rPr>
                <w:sz w:val="28"/>
                <w:szCs w:val="28"/>
              </w:rPr>
              <w:t>3-1/31 ir</w:t>
            </w:r>
            <w:r w:rsidRPr="003258F6">
              <w:rPr>
                <w:sz w:val="28"/>
                <w:szCs w:val="28"/>
              </w:rPr>
              <w:t xml:space="preserve"> izt</w:t>
            </w:r>
            <w:r>
              <w:rPr>
                <w:sz w:val="28"/>
                <w:szCs w:val="28"/>
              </w:rPr>
              <w:t>eicis</w:t>
            </w:r>
            <w:r w:rsidRPr="003258F6">
              <w:rPr>
                <w:sz w:val="28"/>
                <w:szCs w:val="28"/>
              </w:rPr>
              <w:t xml:space="preserve"> priekšlikumus izmaiņām vakcinācijas kalendārā</w:t>
            </w:r>
            <w:r>
              <w:rPr>
                <w:sz w:val="28"/>
                <w:szCs w:val="28"/>
              </w:rPr>
              <w:t xml:space="preserve">, tajā skaitā </w:t>
            </w:r>
            <w:r w:rsidR="00FB49B1">
              <w:rPr>
                <w:sz w:val="28"/>
                <w:szCs w:val="28"/>
              </w:rPr>
              <w:t xml:space="preserve">par vakcīnas </w:t>
            </w:r>
            <w:proofErr w:type="spellStart"/>
            <w:r w:rsidR="00FB49B1" w:rsidRPr="009A57E1">
              <w:rPr>
                <w:i/>
                <w:sz w:val="28"/>
                <w:szCs w:val="28"/>
              </w:rPr>
              <w:t>Cervarix</w:t>
            </w:r>
            <w:proofErr w:type="spellEnd"/>
            <w:r w:rsidR="00FB49B1">
              <w:rPr>
                <w:i/>
                <w:sz w:val="28"/>
                <w:szCs w:val="28"/>
              </w:rPr>
              <w:t xml:space="preserve"> </w:t>
            </w:r>
            <w:r w:rsidR="00FB49B1">
              <w:rPr>
                <w:sz w:val="28"/>
                <w:szCs w:val="28"/>
              </w:rPr>
              <w:t>vakcinācijas kursa samazināšanu no trim līdz divām vakcinācijas devām.</w:t>
            </w:r>
          </w:p>
        </w:tc>
      </w:tr>
      <w:tr w:rsidR="006414CC" w:rsidRPr="006414CC" w:rsidTr="006414CC">
        <w:trPr>
          <w:trHeight w:val="465"/>
        </w:trPr>
        <w:tc>
          <w:tcPr>
            <w:tcW w:w="250" w:type="pct"/>
            <w:hideMark/>
          </w:tcPr>
          <w:p w:rsidR="006414CC" w:rsidRPr="006414CC" w:rsidRDefault="006414CC" w:rsidP="006414CC">
            <w:pPr>
              <w:rPr>
                <w:sz w:val="28"/>
                <w:szCs w:val="28"/>
              </w:rPr>
            </w:pPr>
            <w:r w:rsidRPr="006414CC">
              <w:rPr>
                <w:sz w:val="28"/>
                <w:szCs w:val="28"/>
              </w:rPr>
              <w:t>3.</w:t>
            </w:r>
          </w:p>
        </w:tc>
        <w:tc>
          <w:tcPr>
            <w:tcW w:w="1500" w:type="pct"/>
            <w:hideMark/>
          </w:tcPr>
          <w:p w:rsidR="006414CC" w:rsidRPr="006414CC" w:rsidRDefault="006414CC" w:rsidP="006414CC">
            <w:pPr>
              <w:rPr>
                <w:sz w:val="28"/>
                <w:szCs w:val="28"/>
              </w:rPr>
            </w:pPr>
            <w:r w:rsidRPr="006414CC">
              <w:rPr>
                <w:sz w:val="28"/>
                <w:szCs w:val="28"/>
              </w:rPr>
              <w:t>Sabiedrības līdzdalības rezultāti</w:t>
            </w:r>
          </w:p>
        </w:tc>
        <w:tc>
          <w:tcPr>
            <w:tcW w:w="3250" w:type="pct"/>
            <w:hideMark/>
          </w:tcPr>
          <w:p w:rsidR="006414CC" w:rsidRDefault="000E0D06" w:rsidP="001E647D">
            <w:pPr>
              <w:jc w:val="both"/>
              <w:rPr>
                <w:sz w:val="28"/>
                <w:szCs w:val="28"/>
              </w:rPr>
            </w:pPr>
            <w:r>
              <w:rPr>
                <w:sz w:val="28"/>
                <w:szCs w:val="28"/>
              </w:rPr>
              <w:t xml:space="preserve">     </w:t>
            </w:r>
            <w:r w:rsidR="001376FF">
              <w:rPr>
                <w:sz w:val="28"/>
                <w:szCs w:val="28"/>
              </w:rPr>
              <w:t xml:space="preserve">Jautājums par izmaiņām vakcīnas </w:t>
            </w:r>
            <w:proofErr w:type="spellStart"/>
            <w:r w:rsidR="001376FF" w:rsidRPr="009A57E1">
              <w:rPr>
                <w:i/>
                <w:sz w:val="28"/>
                <w:szCs w:val="28"/>
              </w:rPr>
              <w:t>Cervarix</w:t>
            </w:r>
            <w:proofErr w:type="spellEnd"/>
            <w:r w:rsidR="001376FF">
              <w:rPr>
                <w:i/>
                <w:sz w:val="28"/>
                <w:szCs w:val="28"/>
              </w:rPr>
              <w:t xml:space="preserve"> </w:t>
            </w:r>
            <w:r w:rsidR="001376FF" w:rsidRPr="00094B5F">
              <w:rPr>
                <w:sz w:val="28"/>
                <w:szCs w:val="28"/>
              </w:rPr>
              <w:t>lietošanas instrukcijā</w:t>
            </w:r>
            <w:r w:rsidR="001376FF">
              <w:rPr>
                <w:sz w:val="28"/>
                <w:szCs w:val="28"/>
              </w:rPr>
              <w:t>, samazinot vakcinācijas kursu no trim līdz divām devām,</w:t>
            </w:r>
            <w:r w:rsidR="001376FF">
              <w:rPr>
                <w:i/>
                <w:sz w:val="28"/>
                <w:szCs w:val="28"/>
              </w:rPr>
              <w:t xml:space="preserve"> </w:t>
            </w:r>
            <w:r w:rsidR="001376FF">
              <w:rPr>
                <w:sz w:val="28"/>
                <w:szCs w:val="28"/>
              </w:rPr>
              <w:t xml:space="preserve">ir </w:t>
            </w:r>
            <w:r w:rsidR="001376FF" w:rsidRPr="00094B5F">
              <w:rPr>
                <w:sz w:val="28"/>
                <w:szCs w:val="28"/>
              </w:rPr>
              <w:t xml:space="preserve">izskatīts </w:t>
            </w:r>
            <w:r w:rsidR="001376FF">
              <w:rPr>
                <w:sz w:val="28"/>
                <w:szCs w:val="28"/>
              </w:rPr>
              <w:t xml:space="preserve">10.07.2014. </w:t>
            </w:r>
            <w:r w:rsidR="001376FF" w:rsidRPr="00094B5F">
              <w:rPr>
                <w:sz w:val="28"/>
                <w:szCs w:val="28"/>
              </w:rPr>
              <w:t xml:space="preserve">Imunizācijas valsts padomes </w:t>
            </w:r>
            <w:r w:rsidR="001376FF" w:rsidRPr="00D330A1">
              <w:rPr>
                <w:sz w:val="28"/>
                <w:szCs w:val="28"/>
              </w:rPr>
              <w:t xml:space="preserve">(turpmāk – Padome) </w:t>
            </w:r>
            <w:r w:rsidR="001376FF" w:rsidRPr="00094B5F">
              <w:rPr>
                <w:sz w:val="28"/>
                <w:szCs w:val="28"/>
              </w:rPr>
              <w:t>sēdē</w:t>
            </w:r>
            <w:r w:rsidR="001376FF">
              <w:rPr>
                <w:sz w:val="28"/>
                <w:szCs w:val="28"/>
              </w:rPr>
              <w:t xml:space="preserve"> (protokols Nr.45)</w:t>
            </w:r>
            <w:r w:rsidR="001376FF" w:rsidRPr="00094B5F">
              <w:rPr>
                <w:sz w:val="28"/>
                <w:szCs w:val="28"/>
              </w:rPr>
              <w:t>,</w:t>
            </w:r>
            <w:r w:rsidR="001376FF">
              <w:rPr>
                <w:sz w:val="28"/>
                <w:szCs w:val="28"/>
              </w:rPr>
              <w:t xml:space="preserve"> kura pieņēma lēmumu veikt grozījumus MK noteikumos Nr.330, lai noteiktu vakcinācijas shēmu vakcīnai pret cilvēka papilomas vīrusa infekciju atbilstoši zāļu lietošanas instrukcijai.</w:t>
            </w:r>
          </w:p>
          <w:p w:rsidR="000E0D06" w:rsidRPr="005B462C" w:rsidRDefault="000E0D06" w:rsidP="00520E5A">
            <w:pPr>
              <w:jc w:val="both"/>
              <w:rPr>
                <w:sz w:val="28"/>
                <w:szCs w:val="28"/>
              </w:rPr>
            </w:pPr>
            <w:r>
              <w:rPr>
                <w:sz w:val="28"/>
                <w:szCs w:val="28"/>
              </w:rPr>
              <w:t xml:space="preserve">     2014.gada 24.oktobra </w:t>
            </w:r>
            <w:r w:rsidRPr="003258F6">
              <w:rPr>
                <w:sz w:val="28"/>
                <w:szCs w:val="28"/>
              </w:rPr>
              <w:t xml:space="preserve">SIA </w:t>
            </w:r>
            <w:r>
              <w:rPr>
                <w:sz w:val="28"/>
                <w:szCs w:val="28"/>
              </w:rPr>
              <w:t>„</w:t>
            </w:r>
            <w:proofErr w:type="spellStart"/>
            <w:r w:rsidRPr="003258F6">
              <w:rPr>
                <w:sz w:val="28"/>
                <w:szCs w:val="28"/>
              </w:rPr>
              <w:t>GlaxoSmithKline</w:t>
            </w:r>
            <w:proofErr w:type="spellEnd"/>
            <w:r w:rsidRPr="003258F6">
              <w:rPr>
                <w:sz w:val="28"/>
                <w:szCs w:val="28"/>
              </w:rPr>
              <w:t xml:space="preserve"> </w:t>
            </w:r>
            <w:proofErr w:type="spellStart"/>
            <w:r w:rsidRPr="003258F6">
              <w:rPr>
                <w:sz w:val="28"/>
                <w:szCs w:val="28"/>
              </w:rPr>
              <w:t>Latvia</w:t>
            </w:r>
            <w:proofErr w:type="spellEnd"/>
            <w:r>
              <w:rPr>
                <w:sz w:val="28"/>
                <w:szCs w:val="28"/>
              </w:rPr>
              <w:t>” vēstulē Nr. Nr.3-1/48 ir lūgts precizēt Ministru kabineta noteikumu projektu un tā anotāciju. Minēt</w:t>
            </w:r>
            <w:r w:rsidR="00520E5A">
              <w:rPr>
                <w:sz w:val="28"/>
                <w:szCs w:val="28"/>
              </w:rPr>
              <w:t>ie</w:t>
            </w:r>
            <w:r>
              <w:rPr>
                <w:sz w:val="28"/>
                <w:szCs w:val="28"/>
              </w:rPr>
              <w:t xml:space="preserve"> </w:t>
            </w:r>
            <w:r w:rsidRPr="003258F6">
              <w:rPr>
                <w:sz w:val="28"/>
                <w:szCs w:val="28"/>
              </w:rPr>
              <w:t xml:space="preserve">SIA </w:t>
            </w:r>
            <w:r>
              <w:rPr>
                <w:sz w:val="28"/>
                <w:szCs w:val="28"/>
              </w:rPr>
              <w:t>„</w:t>
            </w:r>
            <w:proofErr w:type="spellStart"/>
            <w:r w:rsidRPr="003258F6">
              <w:rPr>
                <w:sz w:val="28"/>
                <w:szCs w:val="28"/>
              </w:rPr>
              <w:t>GlaxoSmithKline</w:t>
            </w:r>
            <w:proofErr w:type="spellEnd"/>
            <w:r w:rsidRPr="003258F6">
              <w:rPr>
                <w:sz w:val="28"/>
                <w:szCs w:val="28"/>
              </w:rPr>
              <w:t xml:space="preserve"> </w:t>
            </w:r>
            <w:proofErr w:type="spellStart"/>
            <w:r w:rsidRPr="003258F6">
              <w:rPr>
                <w:sz w:val="28"/>
                <w:szCs w:val="28"/>
              </w:rPr>
              <w:t>Latvia</w:t>
            </w:r>
            <w:proofErr w:type="spellEnd"/>
            <w:r>
              <w:rPr>
                <w:sz w:val="28"/>
                <w:szCs w:val="28"/>
              </w:rPr>
              <w:t>”</w:t>
            </w:r>
            <w:r w:rsidR="00520E5A">
              <w:rPr>
                <w:sz w:val="28"/>
                <w:szCs w:val="28"/>
              </w:rPr>
              <w:t xml:space="preserve"> priekšlikumi</w:t>
            </w:r>
            <w:r>
              <w:rPr>
                <w:sz w:val="28"/>
                <w:szCs w:val="28"/>
              </w:rPr>
              <w:t xml:space="preserve"> ir ņemt</w:t>
            </w:r>
            <w:r w:rsidR="00520E5A">
              <w:rPr>
                <w:sz w:val="28"/>
                <w:szCs w:val="28"/>
              </w:rPr>
              <w:t>i</w:t>
            </w:r>
            <w:r>
              <w:rPr>
                <w:sz w:val="28"/>
                <w:szCs w:val="28"/>
              </w:rPr>
              <w:t xml:space="preserve"> vērā.</w:t>
            </w:r>
          </w:p>
        </w:tc>
      </w:tr>
      <w:tr w:rsidR="006414CC" w:rsidRPr="006414CC" w:rsidTr="006414CC">
        <w:trPr>
          <w:trHeight w:val="465"/>
        </w:trPr>
        <w:tc>
          <w:tcPr>
            <w:tcW w:w="250" w:type="pct"/>
            <w:hideMark/>
          </w:tcPr>
          <w:p w:rsidR="006414CC" w:rsidRPr="006414CC" w:rsidRDefault="006414CC" w:rsidP="006414CC">
            <w:pPr>
              <w:rPr>
                <w:sz w:val="28"/>
                <w:szCs w:val="28"/>
              </w:rPr>
            </w:pPr>
            <w:r w:rsidRPr="006414CC">
              <w:rPr>
                <w:sz w:val="28"/>
                <w:szCs w:val="28"/>
              </w:rPr>
              <w:t>4.</w:t>
            </w:r>
          </w:p>
        </w:tc>
        <w:tc>
          <w:tcPr>
            <w:tcW w:w="1500" w:type="pct"/>
            <w:hideMark/>
          </w:tcPr>
          <w:p w:rsidR="006414CC" w:rsidRPr="006414CC" w:rsidRDefault="006414CC" w:rsidP="006414CC">
            <w:pPr>
              <w:rPr>
                <w:sz w:val="28"/>
                <w:szCs w:val="28"/>
              </w:rPr>
            </w:pPr>
            <w:r w:rsidRPr="006414CC">
              <w:rPr>
                <w:sz w:val="28"/>
                <w:szCs w:val="28"/>
              </w:rPr>
              <w:t>Cita informācija</w:t>
            </w:r>
          </w:p>
        </w:tc>
        <w:tc>
          <w:tcPr>
            <w:tcW w:w="3250" w:type="pct"/>
            <w:hideMark/>
          </w:tcPr>
          <w:p w:rsidR="006414CC" w:rsidRPr="005B462C" w:rsidRDefault="004E56A9" w:rsidP="00367858">
            <w:pPr>
              <w:pStyle w:val="naiskr"/>
              <w:spacing w:before="20" w:after="20"/>
              <w:jc w:val="both"/>
              <w:rPr>
                <w:sz w:val="28"/>
                <w:szCs w:val="28"/>
              </w:rPr>
            </w:pPr>
            <w:r>
              <w:rPr>
                <w:sz w:val="28"/>
                <w:szCs w:val="28"/>
              </w:rPr>
              <w:t>P</w:t>
            </w:r>
            <w:r w:rsidRPr="00094B5F">
              <w:rPr>
                <w:sz w:val="28"/>
                <w:szCs w:val="28"/>
              </w:rPr>
              <w:t>adome</w:t>
            </w:r>
            <w:r>
              <w:rPr>
                <w:sz w:val="28"/>
                <w:szCs w:val="28"/>
              </w:rPr>
              <w:t xml:space="preserve">s nolikums ir apstiprināts ar </w:t>
            </w:r>
            <w:r w:rsidRPr="00D84F95">
              <w:rPr>
                <w:sz w:val="28"/>
                <w:szCs w:val="28"/>
              </w:rPr>
              <w:t xml:space="preserve">24.05.2012. </w:t>
            </w:r>
            <w:r>
              <w:rPr>
                <w:sz w:val="28"/>
                <w:szCs w:val="28"/>
              </w:rPr>
              <w:t>Veselības ministrijas i</w:t>
            </w:r>
            <w:r w:rsidRPr="00D84F95">
              <w:rPr>
                <w:sz w:val="28"/>
                <w:szCs w:val="28"/>
              </w:rPr>
              <w:t>ekšēj</w:t>
            </w:r>
            <w:r>
              <w:rPr>
                <w:sz w:val="28"/>
                <w:szCs w:val="28"/>
              </w:rPr>
              <w:t>o</w:t>
            </w:r>
            <w:r w:rsidRPr="00D84F95">
              <w:rPr>
                <w:sz w:val="28"/>
                <w:szCs w:val="28"/>
              </w:rPr>
              <w:t xml:space="preserve"> normatīv</w:t>
            </w:r>
            <w:r>
              <w:rPr>
                <w:sz w:val="28"/>
                <w:szCs w:val="28"/>
              </w:rPr>
              <w:t>o</w:t>
            </w:r>
            <w:r w:rsidRPr="00D84F95">
              <w:rPr>
                <w:sz w:val="28"/>
                <w:szCs w:val="28"/>
              </w:rPr>
              <w:t xml:space="preserve"> akt</w:t>
            </w:r>
            <w:r>
              <w:rPr>
                <w:sz w:val="28"/>
                <w:szCs w:val="28"/>
              </w:rPr>
              <w:t>u</w:t>
            </w:r>
            <w:r w:rsidRPr="00D84F95">
              <w:rPr>
                <w:sz w:val="28"/>
                <w:szCs w:val="28"/>
              </w:rPr>
              <w:t xml:space="preserve"> </w:t>
            </w:r>
            <w:proofErr w:type="spellStart"/>
            <w:r>
              <w:rPr>
                <w:sz w:val="28"/>
                <w:szCs w:val="28"/>
              </w:rPr>
              <w:t>Nr.</w:t>
            </w:r>
            <w:r w:rsidRPr="00D84F95">
              <w:rPr>
                <w:sz w:val="28"/>
                <w:szCs w:val="28"/>
              </w:rPr>
              <w:t>IeNA</w:t>
            </w:r>
            <w:proofErr w:type="spellEnd"/>
            <w:r w:rsidRPr="00D84F95">
              <w:rPr>
                <w:sz w:val="28"/>
                <w:szCs w:val="28"/>
              </w:rPr>
              <w:t>/3</w:t>
            </w:r>
            <w:r>
              <w:rPr>
                <w:sz w:val="28"/>
                <w:szCs w:val="28"/>
              </w:rPr>
              <w:t>.</w:t>
            </w:r>
            <w:r>
              <w:t xml:space="preserve"> </w:t>
            </w:r>
            <w:r>
              <w:rPr>
                <w:sz w:val="28"/>
                <w:szCs w:val="28"/>
              </w:rPr>
              <w:t>P</w:t>
            </w:r>
            <w:r w:rsidRPr="00D330A1">
              <w:rPr>
                <w:sz w:val="28"/>
                <w:szCs w:val="28"/>
              </w:rPr>
              <w:t>adome ir konsultatīva institūcija, kuras galvenais mērķis ir izvērtēt ar vakcināciju un Imunizācijas valsts programmu (plānu) saistītos jautājumus un sniegt priekšlikumus to risināšanai.</w:t>
            </w:r>
            <w:r>
              <w:rPr>
                <w:sz w:val="28"/>
                <w:szCs w:val="28"/>
              </w:rPr>
              <w:t xml:space="preserve"> P</w:t>
            </w:r>
            <w:r w:rsidRPr="00094B5F">
              <w:rPr>
                <w:sz w:val="28"/>
                <w:szCs w:val="28"/>
              </w:rPr>
              <w:t>adome</w:t>
            </w:r>
            <w:r>
              <w:rPr>
                <w:sz w:val="28"/>
                <w:szCs w:val="28"/>
              </w:rPr>
              <w:t xml:space="preserve">s </w:t>
            </w:r>
            <w:r w:rsidRPr="002D721A">
              <w:rPr>
                <w:sz w:val="28"/>
                <w:szCs w:val="28"/>
              </w:rPr>
              <w:t>sastāv</w:t>
            </w:r>
            <w:r>
              <w:rPr>
                <w:sz w:val="28"/>
                <w:szCs w:val="28"/>
              </w:rPr>
              <w:t xml:space="preserve">ā (apstiprināts ar </w:t>
            </w:r>
            <w:r w:rsidRPr="00EC0F13">
              <w:rPr>
                <w:sz w:val="28"/>
                <w:szCs w:val="28"/>
              </w:rPr>
              <w:t>0</w:t>
            </w:r>
            <w:r>
              <w:rPr>
                <w:sz w:val="28"/>
                <w:szCs w:val="28"/>
              </w:rPr>
              <w:t>2</w:t>
            </w:r>
            <w:r w:rsidRPr="00EC0F13">
              <w:rPr>
                <w:sz w:val="28"/>
                <w:szCs w:val="28"/>
              </w:rPr>
              <w:t>.</w:t>
            </w:r>
            <w:r>
              <w:rPr>
                <w:sz w:val="28"/>
                <w:szCs w:val="28"/>
              </w:rPr>
              <w:t>1</w:t>
            </w:r>
            <w:r w:rsidRPr="00EC0F13">
              <w:rPr>
                <w:sz w:val="28"/>
                <w:szCs w:val="28"/>
              </w:rPr>
              <w:t>1.20</w:t>
            </w:r>
            <w:r>
              <w:rPr>
                <w:sz w:val="28"/>
                <w:szCs w:val="28"/>
              </w:rPr>
              <w:t>09</w:t>
            </w:r>
            <w:r w:rsidRPr="00EC0F13">
              <w:rPr>
                <w:sz w:val="28"/>
                <w:szCs w:val="28"/>
              </w:rPr>
              <w:t>.</w:t>
            </w:r>
            <w:r>
              <w:rPr>
                <w:sz w:val="28"/>
                <w:szCs w:val="28"/>
              </w:rPr>
              <w:t xml:space="preserve"> Veselības ministrijas rīkojumu Nr.252) </w:t>
            </w:r>
            <w:r w:rsidRPr="002D721A">
              <w:rPr>
                <w:sz w:val="28"/>
                <w:szCs w:val="28"/>
              </w:rPr>
              <w:t>iekļaut</w:t>
            </w:r>
            <w:r>
              <w:rPr>
                <w:sz w:val="28"/>
                <w:szCs w:val="28"/>
              </w:rPr>
              <w:t xml:space="preserve">i </w:t>
            </w:r>
            <w:r w:rsidRPr="00465782">
              <w:rPr>
                <w:sz w:val="28"/>
                <w:szCs w:val="28"/>
              </w:rPr>
              <w:t>Slimību profilakses un kontroles centra</w:t>
            </w:r>
            <w:r>
              <w:rPr>
                <w:sz w:val="28"/>
                <w:szCs w:val="28"/>
              </w:rPr>
              <w:t xml:space="preserve">, </w:t>
            </w:r>
            <w:r w:rsidRPr="00073A43">
              <w:rPr>
                <w:sz w:val="28"/>
                <w:szCs w:val="28"/>
              </w:rPr>
              <w:t>Zāļu valsts aģentūras</w:t>
            </w:r>
            <w:r>
              <w:rPr>
                <w:sz w:val="28"/>
                <w:szCs w:val="28"/>
              </w:rPr>
              <w:t xml:space="preserve">, </w:t>
            </w:r>
            <w:r w:rsidRPr="00A67487">
              <w:rPr>
                <w:sz w:val="28"/>
                <w:szCs w:val="28"/>
              </w:rPr>
              <w:t>Labklājības ministrijas</w:t>
            </w:r>
            <w:r>
              <w:rPr>
                <w:sz w:val="28"/>
                <w:szCs w:val="28"/>
              </w:rPr>
              <w:t>, v</w:t>
            </w:r>
            <w:r w:rsidRPr="009C3EBB">
              <w:rPr>
                <w:sz w:val="28"/>
                <w:szCs w:val="28"/>
              </w:rPr>
              <w:t>alsts akciju sabiedrības „Paula Stradiņa</w:t>
            </w:r>
            <w:r>
              <w:rPr>
                <w:sz w:val="28"/>
                <w:szCs w:val="28"/>
              </w:rPr>
              <w:t xml:space="preserve"> </w:t>
            </w:r>
            <w:r w:rsidRPr="009C3EBB">
              <w:rPr>
                <w:sz w:val="28"/>
                <w:szCs w:val="28"/>
              </w:rPr>
              <w:t>klīniskā universitātes slimnīca” Infekciju</w:t>
            </w:r>
            <w:r>
              <w:rPr>
                <w:sz w:val="28"/>
                <w:szCs w:val="28"/>
              </w:rPr>
              <w:t xml:space="preserve"> </w:t>
            </w:r>
            <w:r w:rsidRPr="009C3EBB">
              <w:rPr>
                <w:sz w:val="28"/>
                <w:szCs w:val="28"/>
              </w:rPr>
              <w:t>uzraudzības dienesta</w:t>
            </w:r>
            <w:r>
              <w:rPr>
                <w:sz w:val="28"/>
                <w:szCs w:val="28"/>
              </w:rPr>
              <w:t xml:space="preserve">, </w:t>
            </w:r>
            <w:r w:rsidRPr="00DD1802">
              <w:rPr>
                <w:sz w:val="28"/>
                <w:szCs w:val="28"/>
              </w:rPr>
              <w:t>Veselības ministrijas</w:t>
            </w:r>
            <w:r>
              <w:rPr>
                <w:sz w:val="28"/>
                <w:szCs w:val="28"/>
              </w:rPr>
              <w:t xml:space="preserve">, </w:t>
            </w:r>
            <w:r w:rsidRPr="00003472">
              <w:rPr>
                <w:sz w:val="28"/>
                <w:szCs w:val="28"/>
              </w:rPr>
              <w:t>Nacionālā veselības dienesta</w:t>
            </w:r>
            <w:r>
              <w:rPr>
                <w:sz w:val="28"/>
                <w:szCs w:val="28"/>
              </w:rPr>
              <w:t xml:space="preserve">, </w:t>
            </w:r>
            <w:r w:rsidRPr="009B2E33">
              <w:rPr>
                <w:sz w:val="28"/>
                <w:szCs w:val="28"/>
              </w:rPr>
              <w:t>Rīgas Stradiņa universitātes Pediatrijas</w:t>
            </w:r>
            <w:r>
              <w:rPr>
                <w:sz w:val="28"/>
                <w:szCs w:val="28"/>
              </w:rPr>
              <w:t xml:space="preserve"> </w:t>
            </w:r>
            <w:r w:rsidRPr="009B2E33">
              <w:rPr>
                <w:sz w:val="28"/>
                <w:szCs w:val="28"/>
              </w:rPr>
              <w:t>katedras</w:t>
            </w:r>
            <w:r>
              <w:rPr>
                <w:sz w:val="28"/>
                <w:szCs w:val="28"/>
              </w:rPr>
              <w:t xml:space="preserve">, </w:t>
            </w:r>
            <w:r w:rsidRPr="00813C5A">
              <w:rPr>
                <w:sz w:val="28"/>
                <w:szCs w:val="28"/>
              </w:rPr>
              <w:t>Latvijas Lauku ģimenes ārstu asociācijas</w:t>
            </w:r>
            <w:r>
              <w:rPr>
                <w:sz w:val="28"/>
                <w:szCs w:val="28"/>
              </w:rPr>
              <w:t xml:space="preserve">, </w:t>
            </w:r>
            <w:r w:rsidRPr="00A21CE7">
              <w:rPr>
                <w:sz w:val="28"/>
                <w:szCs w:val="28"/>
              </w:rPr>
              <w:t>Latvijas Ģimenes ārstu asociācijas</w:t>
            </w:r>
            <w:r>
              <w:rPr>
                <w:sz w:val="28"/>
                <w:szCs w:val="28"/>
              </w:rPr>
              <w:t>, v</w:t>
            </w:r>
            <w:r w:rsidRPr="00700047">
              <w:rPr>
                <w:sz w:val="28"/>
                <w:szCs w:val="28"/>
              </w:rPr>
              <w:t>alsts akciju sabiedrības „Bērnu klīniskā</w:t>
            </w:r>
            <w:r>
              <w:rPr>
                <w:sz w:val="28"/>
                <w:szCs w:val="28"/>
              </w:rPr>
              <w:t xml:space="preserve"> </w:t>
            </w:r>
            <w:r w:rsidRPr="00700047">
              <w:rPr>
                <w:sz w:val="28"/>
                <w:szCs w:val="28"/>
              </w:rPr>
              <w:t>universitātes slimnīca” Ambulatori</w:t>
            </w:r>
            <w:r>
              <w:rPr>
                <w:sz w:val="28"/>
                <w:szCs w:val="28"/>
              </w:rPr>
              <w:t xml:space="preserve"> </w:t>
            </w:r>
            <w:r w:rsidRPr="00700047">
              <w:rPr>
                <w:sz w:val="28"/>
                <w:szCs w:val="28"/>
              </w:rPr>
              <w:t>konsultatīvās nodaļas</w:t>
            </w:r>
            <w:r>
              <w:rPr>
                <w:sz w:val="28"/>
                <w:szCs w:val="28"/>
              </w:rPr>
              <w:t xml:space="preserve">, </w:t>
            </w:r>
            <w:r w:rsidRPr="00B75F52">
              <w:rPr>
                <w:sz w:val="28"/>
                <w:szCs w:val="28"/>
              </w:rPr>
              <w:t>Māmiņu kluba Latvijā</w:t>
            </w:r>
            <w:r>
              <w:rPr>
                <w:sz w:val="28"/>
                <w:szCs w:val="28"/>
              </w:rPr>
              <w:t xml:space="preserve">, </w:t>
            </w:r>
            <w:r w:rsidRPr="00C90339">
              <w:rPr>
                <w:sz w:val="28"/>
                <w:szCs w:val="28"/>
              </w:rPr>
              <w:t xml:space="preserve">Rīgas domes Labklājības </w:t>
            </w:r>
            <w:r w:rsidRPr="00674B55">
              <w:rPr>
                <w:sz w:val="28"/>
                <w:szCs w:val="28"/>
              </w:rPr>
              <w:t>departamenta un</w:t>
            </w:r>
            <w:r>
              <w:t xml:space="preserve"> </w:t>
            </w:r>
            <w:r w:rsidRPr="00045435">
              <w:rPr>
                <w:sz w:val="28"/>
                <w:szCs w:val="28"/>
              </w:rPr>
              <w:t xml:space="preserve">Rīgas </w:t>
            </w:r>
            <w:r w:rsidRPr="00045435">
              <w:rPr>
                <w:sz w:val="28"/>
                <w:szCs w:val="28"/>
              </w:rPr>
              <w:lastRenderedPageBreak/>
              <w:t>Stradiņa universitātes Infektoloģijas</w:t>
            </w:r>
            <w:r>
              <w:rPr>
                <w:sz w:val="28"/>
                <w:szCs w:val="28"/>
              </w:rPr>
              <w:t xml:space="preserve"> </w:t>
            </w:r>
            <w:r w:rsidRPr="00045435">
              <w:rPr>
                <w:sz w:val="28"/>
                <w:szCs w:val="28"/>
              </w:rPr>
              <w:t>un dermatoloģijas katedras</w:t>
            </w:r>
            <w:r>
              <w:rPr>
                <w:sz w:val="28"/>
                <w:szCs w:val="28"/>
              </w:rPr>
              <w:t xml:space="preserve"> pārstāvji.</w:t>
            </w:r>
          </w:p>
        </w:tc>
      </w:tr>
    </w:tbl>
    <w:p w:rsidR="00C6758B" w:rsidRPr="007663BB" w:rsidRDefault="00C6758B" w:rsidP="007663BB">
      <w:pPr>
        <w:pStyle w:val="naisf"/>
        <w:jc w:val="center"/>
        <w:rPr>
          <w:sz w:val="28"/>
          <w:szCs w:val="28"/>
        </w:rPr>
      </w:pPr>
    </w:p>
    <w:tbl>
      <w:tblPr>
        <w:tblStyle w:val="TableGrid"/>
        <w:tblW w:w="5000" w:type="pct"/>
        <w:tblLook w:val="04A0"/>
      </w:tblPr>
      <w:tblGrid>
        <w:gridCol w:w="464"/>
        <w:gridCol w:w="3529"/>
        <w:gridCol w:w="5294"/>
      </w:tblGrid>
      <w:tr w:rsidR="00C6758B" w:rsidRPr="00610063" w:rsidTr="00610063">
        <w:trPr>
          <w:trHeight w:val="375"/>
        </w:trPr>
        <w:tc>
          <w:tcPr>
            <w:tcW w:w="0" w:type="auto"/>
            <w:gridSpan w:val="3"/>
            <w:hideMark/>
          </w:tcPr>
          <w:p w:rsidR="00C6758B" w:rsidRPr="00610063" w:rsidRDefault="00C6758B">
            <w:pPr>
              <w:pStyle w:val="tvhtml"/>
              <w:spacing w:line="293" w:lineRule="atLeast"/>
              <w:jc w:val="center"/>
              <w:rPr>
                <w:b/>
                <w:bCs/>
                <w:sz w:val="28"/>
                <w:szCs w:val="28"/>
                <w:lang w:val="lv-LV"/>
              </w:rPr>
            </w:pPr>
            <w:r w:rsidRPr="00610063">
              <w:rPr>
                <w:b/>
                <w:bCs/>
                <w:sz w:val="28"/>
                <w:szCs w:val="28"/>
                <w:lang w:val="lv-LV"/>
              </w:rPr>
              <w:t>VII. Tiesību akta projekta izpildes nodrošināšana un tās ietekme uz institūcijām</w:t>
            </w:r>
          </w:p>
        </w:tc>
      </w:tr>
      <w:tr w:rsidR="00C6758B" w:rsidRPr="00610063" w:rsidTr="00610063">
        <w:trPr>
          <w:trHeight w:val="420"/>
        </w:trPr>
        <w:tc>
          <w:tcPr>
            <w:tcW w:w="250" w:type="pct"/>
            <w:hideMark/>
          </w:tcPr>
          <w:p w:rsidR="00C6758B" w:rsidRPr="00610063" w:rsidRDefault="00C6758B">
            <w:pPr>
              <w:rPr>
                <w:sz w:val="28"/>
                <w:szCs w:val="28"/>
              </w:rPr>
            </w:pPr>
            <w:r w:rsidRPr="00610063">
              <w:rPr>
                <w:sz w:val="28"/>
                <w:szCs w:val="28"/>
              </w:rPr>
              <w:t>1.</w:t>
            </w:r>
          </w:p>
        </w:tc>
        <w:tc>
          <w:tcPr>
            <w:tcW w:w="1900" w:type="pct"/>
            <w:hideMark/>
          </w:tcPr>
          <w:p w:rsidR="00C6758B" w:rsidRPr="00610063" w:rsidRDefault="00C6758B">
            <w:pPr>
              <w:rPr>
                <w:sz w:val="28"/>
                <w:szCs w:val="28"/>
              </w:rPr>
            </w:pPr>
            <w:r w:rsidRPr="00610063">
              <w:rPr>
                <w:sz w:val="28"/>
                <w:szCs w:val="28"/>
              </w:rPr>
              <w:t>Projekta izpildē iesaistītās institūcijas</w:t>
            </w:r>
          </w:p>
        </w:tc>
        <w:tc>
          <w:tcPr>
            <w:tcW w:w="2850" w:type="pct"/>
            <w:hideMark/>
          </w:tcPr>
          <w:p w:rsidR="00C6758B" w:rsidRDefault="00850F2E">
            <w:pPr>
              <w:rPr>
                <w:sz w:val="28"/>
                <w:szCs w:val="28"/>
              </w:rPr>
            </w:pPr>
            <w:r>
              <w:rPr>
                <w:sz w:val="28"/>
                <w:szCs w:val="28"/>
              </w:rPr>
              <w:t>Slimību profilakses un kontroles centrs</w:t>
            </w:r>
          </w:p>
          <w:p w:rsidR="00EC1155" w:rsidRPr="00610063" w:rsidRDefault="00EC1155">
            <w:pPr>
              <w:rPr>
                <w:sz w:val="28"/>
                <w:szCs w:val="28"/>
              </w:rPr>
            </w:pPr>
            <w:r>
              <w:rPr>
                <w:sz w:val="28"/>
                <w:szCs w:val="28"/>
              </w:rPr>
              <w:t>Nacionālais veselības dienests</w:t>
            </w:r>
          </w:p>
        </w:tc>
      </w:tr>
      <w:tr w:rsidR="00C6758B" w:rsidRPr="00610063" w:rsidTr="00610063">
        <w:trPr>
          <w:trHeight w:val="450"/>
        </w:trPr>
        <w:tc>
          <w:tcPr>
            <w:tcW w:w="250" w:type="pct"/>
            <w:hideMark/>
          </w:tcPr>
          <w:p w:rsidR="00C6758B" w:rsidRPr="00610063" w:rsidRDefault="00C6758B">
            <w:pPr>
              <w:rPr>
                <w:sz w:val="28"/>
                <w:szCs w:val="28"/>
              </w:rPr>
            </w:pPr>
            <w:r w:rsidRPr="00610063">
              <w:rPr>
                <w:sz w:val="28"/>
                <w:szCs w:val="28"/>
              </w:rPr>
              <w:t>2.</w:t>
            </w:r>
          </w:p>
        </w:tc>
        <w:tc>
          <w:tcPr>
            <w:tcW w:w="1900" w:type="pct"/>
            <w:hideMark/>
          </w:tcPr>
          <w:p w:rsidR="00C6758B" w:rsidRPr="00610063" w:rsidRDefault="00C6758B" w:rsidP="00E20843">
            <w:pPr>
              <w:rPr>
                <w:sz w:val="28"/>
                <w:szCs w:val="28"/>
              </w:rPr>
            </w:pPr>
            <w:r w:rsidRPr="00610063">
              <w:rPr>
                <w:sz w:val="28"/>
                <w:szCs w:val="28"/>
              </w:rPr>
              <w:t>Projekta izpildes ietekme uz pārvaldes funkcijām un institucionālo struktūru.</w:t>
            </w:r>
          </w:p>
          <w:p w:rsidR="00C6758B" w:rsidRPr="00610063" w:rsidRDefault="00C6758B" w:rsidP="00E20843">
            <w:pPr>
              <w:pStyle w:val="tvhtml"/>
              <w:spacing w:before="0" w:beforeAutospacing="0" w:after="0" w:afterAutospacing="0"/>
              <w:rPr>
                <w:sz w:val="28"/>
                <w:szCs w:val="28"/>
                <w:lang w:val="lv-LV"/>
              </w:rPr>
            </w:pPr>
            <w:r w:rsidRPr="00610063">
              <w:rPr>
                <w:sz w:val="28"/>
                <w:szCs w:val="28"/>
                <w:lang w:val="lv-LV"/>
              </w:rPr>
              <w:t>Jaunu institūciju izveide, esošu institūciju likvidācija vai reorganizācija, to ietekme uz institūcijas cilvēkresursiem</w:t>
            </w:r>
          </w:p>
        </w:tc>
        <w:tc>
          <w:tcPr>
            <w:tcW w:w="2850" w:type="pct"/>
            <w:hideMark/>
          </w:tcPr>
          <w:p w:rsidR="00C6758B" w:rsidRPr="003F0EA9" w:rsidRDefault="00766945" w:rsidP="00C8662D">
            <w:pPr>
              <w:jc w:val="both"/>
              <w:rPr>
                <w:sz w:val="28"/>
                <w:szCs w:val="28"/>
              </w:rPr>
            </w:pPr>
            <w:r w:rsidRPr="003F0EA9">
              <w:rPr>
                <w:sz w:val="28"/>
                <w:szCs w:val="28"/>
              </w:rPr>
              <w:t>Saistībā ar noteikumu projekta izpildi nav nepieciešams veidot jaunas institūcijas, likvidēt vai reorganizēt esošās.</w:t>
            </w:r>
          </w:p>
        </w:tc>
      </w:tr>
      <w:tr w:rsidR="00C6758B" w:rsidRPr="00610063" w:rsidTr="00610063">
        <w:trPr>
          <w:trHeight w:val="390"/>
        </w:trPr>
        <w:tc>
          <w:tcPr>
            <w:tcW w:w="250" w:type="pct"/>
            <w:hideMark/>
          </w:tcPr>
          <w:p w:rsidR="00C6758B" w:rsidRPr="00610063" w:rsidRDefault="00C6758B">
            <w:pPr>
              <w:rPr>
                <w:sz w:val="28"/>
                <w:szCs w:val="28"/>
              </w:rPr>
            </w:pPr>
            <w:r w:rsidRPr="00610063">
              <w:rPr>
                <w:sz w:val="28"/>
                <w:szCs w:val="28"/>
              </w:rPr>
              <w:t>3.</w:t>
            </w:r>
          </w:p>
        </w:tc>
        <w:tc>
          <w:tcPr>
            <w:tcW w:w="1900" w:type="pct"/>
            <w:hideMark/>
          </w:tcPr>
          <w:p w:rsidR="00C6758B" w:rsidRPr="00610063" w:rsidRDefault="00C6758B" w:rsidP="00E20843">
            <w:pPr>
              <w:rPr>
                <w:sz w:val="28"/>
                <w:szCs w:val="28"/>
              </w:rPr>
            </w:pPr>
            <w:r w:rsidRPr="00610063">
              <w:rPr>
                <w:sz w:val="28"/>
                <w:szCs w:val="28"/>
              </w:rPr>
              <w:t>Cita informācija</w:t>
            </w:r>
          </w:p>
        </w:tc>
        <w:tc>
          <w:tcPr>
            <w:tcW w:w="2850" w:type="pct"/>
            <w:hideMark/>
          </w:tcPr>
          <w:p w:rsidR="00C6758B" w:rsidRPr="008F588F" w:rsidRDefault="008F588F" w:rsidP="00E20843">
            <w:pPr>
              <w:pStyle w:val="tvhtml"/>
              <w:spacing w:before="0" w:beforeAutospacing="0" w:after="0" w:afterAutospacing="0"/>
              <w:rPr>
                <w:sz w:val="28"/>
                <w:szCs w:val="28"/>
                <w:lang w:val="lv-LV"/>
              </w:rPr>
            </w:pPr>
            <w:r>
              <w:rPr>
                <w:sz w:val="28"/>
                <w:szCs w:val="28"/>
                <w:lang w:val="lv-LV"/>
              </w:rPr>
              <w:t>Nav</w:t>
            </w:r>
          </w:p>
        </w:tc>
      </w:tr>
    </w:tbl>
    <w:p w:rsidR="00397D48" w:rsidRDefault="00397D48" w:rsidP="005A201A">
      <w:pPr>
        <w:jc w:val="both"/>
        <w:rPr>
          <w:b/>
          <w:sz w:val="28"/>
          <w:szCs w:val="28"/>
        </w:rPr>
      </w:pPr>
    </w:p>
    <w:p w:rsidR="00CD1784" w:rsidRPr="00397D48" w:rsidRDefault="00CD1784" w:rsidP="005A201A">
      <w:pPr>
        <w:jc w:val="both"/>
        <w:rPr>
          <w:b/>
          <w:sz w:val="28"/>
          <w:szCs w:val="28"/>
        </w:rPr>
      </w:pPr>
    </w:p>
    <w:p w:rsidR="00367513" w:rsidRDefault="00EA2BBD" w:rsidP="00367513">
      <w:pPr>
        <w:pStyle w:val="naisf"/>
        <w:ind w:firstLine="0"/>
        <w:rPr>
          <w:noProof/>
          <w:sz w:val="28"/>
          <w:szCs w:val="28"/>
        </w:rPr>
      </w:pPr>
      <w:r w:rsidRPr="00EA2BBD">
        <w:rPr>
          <w:color w:val="000000"/>
          <w:sz w:val="28"/>
          <w:szCs w:val="28"/>
          <w:lang w:bidi="lo-LA"/>
        </w:rPr>
        <w:t>Veselības ministr</w:t>
      </w:r>
      <w:r w:rsidR="00367513">
        <w:rPr>
          <w:color w:val="000000"/>
          <w:sz w:val="28"/>
          <w:szCs w:val="28"/>
          <w:lang w:bidi="lo-LA"/>
        </w:rPr>
        <w:t xml:space="preserve">s </w:t>
      </w:r>
      <w:r w:rsidR="00367513">
        <w:rPr>
          <w:color w:val="000000"/>
          <w:sz w:val="28"/>
          <w:szCs w:val="28"/>
          <w:lang w:bidi="lo-LA"/>
        </w:rPr>
        <w:tab/>
      </w:r>
      <w:r w:rsidR="00367513">
        <w:rPr>
          <w:color w:val="000000"/>
          <w:sz w:val="28"/>
          <w:szCs w:val="28"/>
          <w:lang w:bidi="lo-LA"/>
        </w:rPr>
        <w:tab/>
      </w:r>
      <w:r w:rsidR="00367513">
        <w:rPr>
          <w:color w:val="000000"/>
          <w:sz w:val="28"/>
          <w:szCs w:val="28"/>
          <w:lang w:bidi="lo-LA"/>
        </w:rPr>
        <w:tab/>
      </w:r>
      <w:r w:rsidR="00367513">
        <w:rPr>
          <w:color w:val="000000"/>
          <w:sz w:val="28"/>
          <w:szCs w:val="28"/>
          <w:lang w:bidi="lo-LA"/>
        </w:rPr>
        <w:tab/>
      </w:r>
      <w:r w:rsidR="00367513">
        <w:rPr>
          <w:color w:val="000000"/>
          <w:sz w:val="28"/>
          <w:szCs w:val="28"/>
          <w:lang w:bidi="lo-LA"/>
        </w:rPr>
        <w:tab/>
      </w:r>
      <w:r w:rsidR="00367513">
        <w:rPr>
          <w:color w:val="000000"/>
          <w:sz w:val="28"/>
          <w:szCs w:val="28"/>
          <w:lang w:bidi="lo-LA"/>
        </w:rPr>
        <w:tab/>
      </w:r>
      <w:r w:rsidR="00367513">
        <w:rPr>
          <w:color w:val="000000"/>
          <w:sz w:val="28"/>
          <w:szCs w:val="28"/>
          <w:lang w:bidi="lo-LA"/>
        </w:rPr>
        <w:tab/>
      </w:r>
      <w:r w:rsidR="00367513">
        <w:rPr>
          <w:color w:val="000000"/>
          <w:sz w:val="28"/>
          <w:szCs w:val="28"/>
          <w:lang w:bidi="lo-LA"/>
        </w:rPr>
        <w:tab/>
        <w:t xml:space="preserve">         G.Belēvičs</w:t>
      </w:r>
    </w:p>
    <w:p w:rsidR="00CD1784" w:rsidRDefault="00CD1784" w:rsidP="00367513">
      <w:pPr>
        <w:pStyle w:val="naisf"/>
        <w:ind w:firstLine="0"/>
        <w:rPr>
          <w:sz w:val="20"/>
          <w:szCs w:val="20"/>
          <w:highlight w:val="green"/>
        </w:rPr>
      </w:pPr>
    </w:p>
    <w:p w:rsidR="00CD1784" w:rsidRDefault="00CD1784" w:rsidP="00367513">
      <w:pPr>
        <w:pStyle w:val="naisf"/>
        <w:ind w:firstLine="0"/>
        <w:rPr>
          <w:sz w:val="20"/>
          <w:szCs w:val="20"/>
          <w:highlight w:val="green"/>
        </w:rPr>
      </w:pPr>
    </w:p>
    <w:p w:rsidR="00CD1784" w:rsidRDefault="00CD1784" w:rsidP="00367513">
      <w:pPr>
        <w:pStyle w:val="naisf"/>
        <w:ind w:firstLine="0"/>
        <w:rPr>
          <w:sz w:val="20"/>
          <w:szCs w:val="20"/>
          <w:highlight w:val="green"/>
        </w:rPr>
      </w:pPr>
    </w:p>
    <w:p w:rsidR="00397D48" w:rsidRPr="00520E5A" w:rsidRDefault="00492DBF" w:rsidP="00367513">
      <w:pPr>
        <w:pStyle w:val="naisf"/>
        <w:ind w:firstLine="0"/>
        <w:rPr>
          <w:color w:val="000000"/>
          <w:sz w:val="28"/>
          <w:szCs w:val="28"/>
          <w:lang w:bidi="lo-LA"/>
        </w:rPr>
      </w:pPr>
      <w:r>
        <w:rPr>
          <w:sz w:val="20"/>
          <w:szCs w:val="20"/>
        </w:rPr>
        <w:t>16</w:t>
      </w:r>
      <w:r w:rsidR="00397D48" w:rsidRPr="00520E5A">
        <w:rPr>
          <w:sz w:val="20"/>
          <w:szCs w:val="20"/>
        </w:rPr>
        <w:t>.</w:t>
      </w:r>
      <w:r w:rsidR="00AA36D7" w:rsidRPr="00520E5A">
        <w:rPr>
          <w:sz w:val="20"/>
          <w:szCs w:val="20"/>
        </w:rPr>
        <w:t>1</w:t>
      </w:r>
      <w:r w:rsidR="00520E5A">
        <w:rPr>
          <w:sz w:val="20"/>
          <w:szCs w:val="20"/>
        </w:rPr>
        <w:t>2</w:t>
      </w:r>
      <w:r w:rsidR="00397D48" w:rsidRPr="00520E5A">
        <w:rPr>
          <w:sz w:val="20"/>
          <w:szCs w:val="20"/>
        </w:rPr>
        <w:t>.2014. 1</w:t>
      </w:r>
      <w:r w:rsidR="0017428E">
        <w:rPr>
          <w:sz w:val="20"/>
          <w:szCs w:val="20"/>
        </w:rPr>
        <w:t>0</w:t>
      </w:r>
      <w:r w:rsidR="00397D48" w:rsidRPr="00520E5A">
        <w:rPr>
          <w:sz w:val="20"/>
          <w:szCs w:val="20"/>
        </w:rPr>
        <w:t>:</w:t>
      </w:r>
      <w:r w:rsidR="0017428E">
        <w:rPr>
          <w:sz w:val="20"/>
          <w:szCs w:val="20"/>
        </w:rPr>
        <w:t>49</w:t>
      </w:r>
    </w:p>
    <w:p w:rsidR="00397D48" w:rsidRPr="00520E5A" w:rsidRDefault="00BF51AC" w:rsidP="00397D48">
      <w:pPr>
        <w:jc w:val="both"/>
        <w:rPr>
          <w:sz w:val="20"/>
          <w:szCs w:val="20"/>
        </w:rPr>
      </w:pPr>
      <w:r>
        <w:rPr>
          <w:sz w:val="20"/>
          <w:szCs w:val="20"/>
        </w:rPr>
        <w:t>2</w:t>
      </w:r>
      <w:r w:rsidR="00D10C10" w:rsidRPr="00520E5A">
        <w:rPr>
          <w:sz w:val="20"/>
          <w:szCs w:val="20"/>
        </w:rPr>
        <w:t xml:space="preserve"> </w:t>
      </w:r>
      <w:r w:rsidR="0017428E">
        <w:rPr>
          <w:sz w:val="20"/>
          <w:szCs w:val="20"/>
        </w:rPr>
        <w:t>080</w:t>
      </w:r>
    </w:p>
    <w:p w:rsidR="00D13EBC" w:rsidRPr="00520E5A" w:rsidRDefault="00D13EBC" w:rsidP="00D13EBC">
      <w:pPr>
        <w:rPr>
          <w:sz w:val="20"/>
          <w:szCs w:val="20"/>
        </w:rPr>
      </w:pPr>
      <w:r w:rsidRPr="00520E5A">
        <w:rPr>
          <w:sz w:val="20"/>
          <w:szCs w:val="20"/>
        </w:rPr>
        <w:t>I.Liepiņa 6787080</w:t>
      </w:r>
    </w:p>
    <w:p w:rsidR="00397D48" w:rsidRDefault="00FC4B6C" w:rsidP="00397D48">
      <w:pPr>
        <w:rPr>
          <w:sz w:val="20"/>
          <w:szCs w:val="20"/>
        </w:rPr>
      </w:pPr>
      <w:hyperlink r:id="rId8" w:history="1">
        <w:r w:rsidR="00BF51AC" w:rsidRPr="000A44FF">
          <w:rPr>
            <w:rStyle w:val="Hyperlink"/>
            <w:sz w:val="20"/>
            <w:szCs w:val="20"/>
          </w:rPr>
          <w:t>Inga.Liepina@vm.gov.lv</w:t>
        </w:r>
      </w:hyperlink>
    </w:p>
    <w:p w:rsidR="00BF51AC" w:rsidRDefault="00BF51AC" w:rsidP="00397D48">
      <w:pPr>
        <w:rPr>
          <w:sz w:val="20"/>
          <w:szCs w:val="20"/>
        </w:rPr>
      </w:pPr>
    </w:p>
    <w:p w:rsidR="00BF51AC" w:rsidRDefault="00BF51AC" w:rsidP="00397D48">
      <w:pPr>
        <w:rPr>
          <w:sz w:val="20"/>
          <w:szCs w:val="20"/>
        </w:rPr>
      </w:pPr>
    </w:p>
    <w:p w:rsidR="00BF51AC" w:rsidRPr="00520E5A" w:rsidRDefault="00BF51AC" w:rsidP="00BF51AC">
      <w:pPr>
        <w:rPr>
          <w:sz w:val="20"/>
          <w:szCs w:val="20"/>
        </w:rPr>
      </w:pPr>
      <w:r>
        <w:rPr>
          <w:sz w:val="20"/>
          <w:szCs w:val="20"/>
        </w:rPr>
        <w:t>L</w:t>
      </w:r>
      <w:r w:rsidRPr="00520E5A">
        <w:rPr>
          <w:sz w:val="20"/>
          <w:szCs w:val="20"/>
        </w:rPr>
        <w:t>.</w:t>
      </w:r>
      <w:r>
        <w:rPr>
          <w:sz w:val="20"/>
          <w:szCs w:val="20"/>
        </w:rPr>
        <w:t>Ābola</w:t>
      </w:r>
      <w:r w:rsidRPr="00520E5A">
        <w:rPr>
          <w:sz w:val="20"/>
          <w:szCs w:val="20"/>
        </w:rPr>
        <w:t xml:space="preserve"> </w:t>
      </w:r>
      <w:r w:rsidRPr="00BF51AC">
        <w:rPr>
          <w:sz w:val="20"/>
          <w:szCs w:val="20"/>
        </w:rPr>
        <w:t>67876041</w:t>
      </w:r>
    </w:p>
    <w:p w:rsidR="00BF51AC" w:rsidRDefault="00FC4B6C" w:rsidP="00BF51AC">
      <w:pPr>
        <w:rPr>
          <w:sz w:val="20"/>
          <w:szCs w:val="20"/>
        </w:rPr>
      </w:pPr>
      <w:hyperlink r:id="rId9" w:history="1">
        <w:r w:rsidR="00BF51AC" w:rsidRPr="000A44FF">
          <w:rPr>
            <w:rStyle w:val="Hyperlink"/>
            <w:sz w:val="20"/>
            <w:szCs w:val="20"/>
          </w:rPr>
          <w:t>Liene.Abola@vm.gov.lv</w:t>
        </w:r>
      </w:hyperlink>
    </w:p>
    <w:p w:rsidR="00BF51AC" w:rsidRPr="00397D48" w:rsidRDefault="00BF51AC" w:rsidP="00397D48">
      <w:pPr>
        <w:rPr>
          <w:sz w:val="20"/>
          <w:szCs w:val="20"/>
        </w:rPr>
      </w:pPr>
    </w:p>
    <w:sectPr w:rsidR="00BF51AC" w:rsidRPr="00397D48" w:rsidSect="009E6CB2">
      <w:headerReference w:type="even" r:id="rId10"/>
      <w:headerReference w:type="default" r:id="rId11"/>
      <w:footerReference w:type="default" r:id="rId12"/>
      <w:footerReference w:type="first" r:id="rId13"/>
      <w:pgSz w:w="11906" w:h="16838"/>
      <w:pgMar w:top="1134" w:right="1134" w:bottom="899"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6C59" w:rsidRDefault="00796C59">
      <w:r>
        <w:separator/>
      </w:r>
    </w:p>
  </w:endnote>
  <w:endnote w:type="continuationSeparator" w:id="0">
    <w:p w:rsidR="00796C59" w:rsidRDefault="00796C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C59" w:rsidRPr="009F4FDB" w:rsidRDefault="00796C59" w:rsidP="009F4FDB">
    <w:pPr>
      <w:jc w:val="both"/>
      <w:rPr>
        <w:b/>
        <w:bCs/>
        <w:sz w:val="20"/>
        <w:szCs w:val="20"/>
      </w:rPr>
    </w:pPr>
    <w:r>
      <w:rPr>
        <w:sz w:val="20"/>
        <w:szCs w:val="20"/>
      </w:rPr>
      <w:t>VMA</w:t>
    </w:r>
    <w:r w:rsidRPr="006F240A">
      <w:rPr>
        <w:sz w:val="20"/>
        <w:szCs w:val="20"/>
      </w:rPr>
      <w:t>not_</w:t>
    </w:r>
    <w:r w:rsidR="00C84CCE">
      <w:rPr>
        <w:sz w:val="20"/>
        <w:szCs w:val="20"/>
      </w:rPr>
      <w:t>16</w:t>
    </w:r>
    <w:r>
      <w:rPr>
        <w:sz w:val="20"/>
        <w:szCs w:val="20"/>
      </w:rPr>
      <w:t>1214_vakcin_CPV</w:t>
    </w:r>
    <w:r w:rsidRPr="009F4FDB">
      <w:rPr>
        <w:sz w:val="20"/>
        <w:szCs w:val="20"/>
      </w:rPr>
      <w:t>; Ministru kabineta noteikumu projekt</w:t>
    </w:r>
    <w:r>
      <w:rPr>
        <w:sz w:val="20"/>
        <w:szCs w:val="20"/>
      </w:rPr>
      <w:t>a</w:t>
    </w:r>
    <w:r w:rsidRPr="009F4FDB">
      <w:rPr>
        <w:sz w:val="20"/>
        <w:szCs w:val="20"/>
      </w:rPr>
      <w:t xml:space="preserve"> „Grozījumi Ministru kabineta 2000.gada 26.septembra noteikumos Nr.330 „Vakcinācijas noteikumi”</w:t>
    </w:r>
    <w:r w:rsidRPr="009F4FDB">
      <w:rPr>
        <w:bCs/>
        <w:sz w:val="20"/>
        <w:szCs w:val="20"/>
      </w:rPr>
      <w:t>”</w:t>
    </w:r>
    <w:r w:rsidRPr="00D80C4B">
      <w:rPr>
        <w:sz w:val="20"/>
        <w:szCs w:val="20"/>
      </w:rPr>
      <w:t xml:space="preserve">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C59" w:rsidRPr="006F240A" w:rsidRDefault="00796C59" w:rsidP="006F240A">
    <w:pPr>
      <w:jc w:val="both"/>
      <w:rPr>
        <w:b/>
        <w:bCs/>
        <w:sz w:val="20"/>
        <w:szCs w:val="20"/>
      </w:rPr>
    </w:pPr>
    <w:r>
      <w:rPr>
        <w:sz w:val="20"/>
        <w:szCs w:val="20"/>
      </w:rPr>
      <w:t>VMA</w:t>
    </w:r>
    <w:r w:rsidRPr="006F240A">
      <w:rPr>
        <w:sz w:val="20"/>
        <w:szCs w:val="20"/>
      </w:rPr>
      <w:t>not_</w:t>
    </w:r>
    <w:r w:rsidR="00C84CCE">
      <w:rPr>
        <w:sz w:val="20"/>
        <w:szCs w:val="20"/>
      </w:rPr>
      <w:t>16</w:t>
    </w:r>
    <w:r>
      <w:rPr>
        <w:sz w:val="20"/>
        <w:szCs w:val="20"/>
      </w:rPr>
      <w:t>1214_vakcin_CPV</w:t>
    </w:r>
    <w:r w:rsidRPr="009F4FDB">
      <w:rPr>
        <w:sz w:val="20"/>
        <w:szCs w:val="20"/>
      </w:rPr>
      <w:t>; Ministru kabineta noteikumu projekt</w:t>
    </w:r>
    <w:r>
      <w:rPr>
        <w:sz w:val="20"/>
        <w:szCs w:val="20"/>
      </w:rPr>
      <w:t>a</w:t>
    </w:r>
    <w:r w:rsidRPr="009F4FDB">
      <w:rPr>
        <w:sz w:val="20"/>
        <w:szCs w:val="20"/>
      </w:rPr>
      <w:t xml:space="preserve"> „Grozījumi Ministru kabineta 2000.gada 26.septembra noteikumos Nr.330 „Vakcinācijas noteikumi”</w:t>
    </w:r>
    <w:r w:rsidRPr="009F4FDB">
      <w:rPr>
        <w:bCs/>
        <w:sz w:val="20"/>
        <w:szCs w:val="20"/>
      </w:rPr>
      <w:t>”</w:t>
    </w:r>
    <w:r w:rsidRPr="00D80C4B">
      <w:rPr>
        <w:sz w:val="20"/>
        <w:szCs w:val="20"/>
      </w:rPr>
      <w:t xml:space="preserve">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6C59" w:rsidRDefault="00796C59">
      <w:r>
        <w:separator/>
      </w:r>
    </w:p>
  </w:footnote>
  <w:footnote w:type="continuationSeparator" w:id="0">
    <w:p w:rsidR="00796C59" w:rsidRDefault="00796C59">
      <w:r>
        <w:continuationSeparator/>
      </w:r>
    </w:p>
  </w:footnote>
  <w:footnote w:id="1">
    <w:p w:rsidR="00216DF5" w:rsidRDefault="00216DF5" w:rsidP="00216DF5">
      <w:pPr>
        <w:pStyle w:val="FootnoteText"/>
      </w:pPr>
      <w:r>
        <w:rPr>
          <w:rStyle w:val="FootnoteReference"/>
        </w:rPr>
        <w:footnoteRef/>
      </w:r>
      <w:r>
        <w:t xml:space="preserve"> Slimību profilakses un kontroles centra dati</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C59" w:rsidRDefault="00FC4B6C" w:rsidP="007F59CB">
    <w:pPr>
      <w:pStyle w:val="Header"/>
      <w:framePr w:wrap="around" w:vAnchor="text" w:hAnchor="margin" w:xAlign="center" w:y="1"/>
      <w:rPr>
        <w:rStyle w:val="PageNumber"/>
      </w:rPr>
    </w:pPr>
    <w:r>
      <w:rPr>
        <w:rStyle w:val="PageNumber"/>
      </w:rPr>
      <w:fldChar w:fldCharType="begin"/>
    </w:r>
    <w:r w:rsidR="00796C59">
      <w:rPr>
        <w:rStyle w:val="PageNumber"/>
      </w:rPr>
      <w:instrText xml:space="preserve">PAGE  </w:instrText>
    </w:r>
    <w:r>
      <w:rPr>
        <w:rStyle w:val="PageNumber"/>
      </w:rPr>
      <w:fldChar w:fldCharType="end"/>
    </w:r>
  </w:p>
  <w:p w:rsidR="00796C59" w:rsidRDefault="00796C5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6C59" w:rsidRDefault="00FC4B6C" w:rsidP="007F59CB">
    <w:pPr>
      <w:pStyle w:val="Header"/>
      <w:framePr w:wrap="around" w:vAnchor="text" w:hAnchor="margin" w:xAlign="center" w:y="1"/>
      <w:rPr>
        <w:rStyle w:val="PageNumber"/>
      </w:rPr>
    </w:pPr>
    <w:r>
      <w:rPr>
        <w:rStyle w:val="PageNumber"/>
      </w:rPr>
      <w:fldChar w:fldCharType="begin"/>
    </w:r>
    <w:r w:rsidR="00796C59">
      <w:rPr>
        <w:rStyle w:val="PageNumber"/>
      </w:rPr>
      <w:instrText xml:space="preserve">PAGE  </w:instrText>
    </w:r>
    <w:r>
      <w:rPr>
        <w:rStyle w:val="PageNumber"/>
      </w:rPr>
      <w:fldChar w:fldCharType="separate"/>
    </w:r>
    <w:r w:rsidR="0017428E">
      <w:rPr>
        <w:rStyle w:val="PageNumber"/>
        <w:noProof/>
      </w:rPr>
      <w:t>9</w:t>
    </w:r>
    <w:r>
      <w:rPr>
        <w:rStyle w:val="PageNumber"/>
      </w:rPr>
      <w:fldChar w:fldCharType="end"/>
    </w:r>
  </w:p>
  <w:p w:rsidR="00796C59" w:rsidRDefault="00796C5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E7B9C"/>
    <w:multiLevelType w:val="hybridMultilevel"/>
    <w:tmpl w:val="19AACE14"/>
    <w:lvl w:ilvl="0" w:tplc="7C80A98E">
      <w:start w:val="1"/>
      <w:numFmt w:val="decimal"/>
      <w:lvlText w:val="%1."/>
      <w:lvlJc w:val="left"/>
      <w:pPr>
        <w:tabs>
          <w:tab w:val="num" w:pos="720"/>
        </w:tabs>
        <w:ind w:left="720" w:hanging="360"/>
      </w:pPr>
      <w:rPr>
        <w:rFonts w:ascii="Times New Roman" w:hAnsi="Times New Roman" w:hint="default"/>
        <w:sz w:val="24"/>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nsid w:val="08526458"/>
    <w:multiLevelType w:val="hybridMultilevel"/>
    <w:tmpl w:val="409AD908"/>
    <w:lvl w:ilvl="0" w:tplc="076AD04A">
      <w:start w:val="1"/>
      <w:numFmt w:val="decimal"/>
      <w:lvlText w:val="%1)"/>
      <w:lvlJc w:val="left"/>
      <w:pPr>
        <w:ind w:left="1497" w:hanging="930"/>
      </w:pPr>
      <w:rPr>
        <w:rFonts w:cs="Times New Roman" w:hint="default"/>
      </w:rPr>
    </w:lvl>
    <w:lvl w:ilvl="1" w:tplc="04260019" w:tentative="1">
      <w:start w:val="1"/>
      <w:numFmt w:val="lowerLetter"/>
      <w:lvlText w:val="%2."/>
      <w:lvlJc w:val="left"/>
      <w:pPr>
        <w:ind w:left="1647" w:hanging="360"/>
      </w:pPr>
      <w:rPr>
        <w:rFonts w:cs="Times New Roman"/>
      </w:rPr>
    </w:lvl>
    <w:lvl w:ilvl="2" w:tplc="0426001B" w:tentative="1">
      <w:start w:val="1"/>
      <w:numFmt w:val="lowerRoman"/>
      <w:lvlText w:val="%3."/>
      <w:lvlJc w:val="right"/>
      <w:pPr>
        <w:ind w:left="2367" w:hanging="180"/>
      </w:pPr>
      <w:rPr>
        <w:rFonts w:cs="Times New Roman"/>
      </w:rPr>
    </w:lvl>
    <w:lvl w:ilvl="3" w:tplc="0426000F" w:tentative="1">
      <w:start w:val="1"/>
      <w:numFmt w:val="decimal"/>
      <w:lvlText w:val="%4."/>
      <w:lvlJc w:val="left"/>
      <w:pPr>
        <w:ind w:left="3087" w:hanging="360"/>
      </w:pPr>
      <w:rPr>
        <w:rFonts w:cs="Times New Roman"/>
      </w:rPr>
    </w:lvl>
    <w:lvl w:ilvl="4" w:tplc="04260019" w:tentative="1">
      <w:start w:val="1"/>
      <w:numFmt w:val="lowerLetter"/>
      <w:lvlText w:val="%5."/>
      <w:lvlJc w:val="left"/>
      <w:pPr>
        <w:ind w:left="3807" w:hanging="360"/>
      </w:pPr>
      <w:rPr>
        <w:rFonts w:cs="Times New Roman"/>
      </w:rPr>
    </w:lvl>
    <w:lvl w:ilvl="5" w:tplc="0426001B" w:tentative="1">
      <w:start w:val="1"/>
      <w:numFmt w:val="lowerRoman"/>
      <w:lvlText w:val="%6."/>
      <w:lvlJc w:val="right"/>
      <w:pPr>
        <w:ind w:left="4527" w:hanging="180"/>
      </w:pPr>
      <w:rPr>
        <w:rFonts w:cs="Times New Roman"/>
      </w:rPr>
    </w:lvl>
    <w:lvl w:ilvl="6" w:tplc="0426000F" w:tentative="1">
      <w:start w:val="1"/>
      <w:numFmt w:val="decimal"/>
      <w:lvlText w:val="%7."/>
      <w:lvlJc w:val="left"/>
      <w:pPr>
        <w:ind w:left="5247" w:hanging="360"/>
      </w:pPr>
      <w:rPr>
        <w:rFonts w:cs="Times New Roman"/>
      </w:rPr>
    </w:lvl>
    <w:lvl w:ilvl="7" w:tplc="04260019" w:tentative="1">
      <w:start w:val="1"/>
      <w:numFmt w:val="lowerLetter"/>
      <w:lvlText w:val="%8."/>
      <w:lvlJc w:val="left"/>
      <w:pPr>
        <w:ind w:left="5967" w:hanging="360"/>
      </w:pPr>
      <w:rPr>
        <w:rFonts w:cs="Times New Roman"/>
      </w:rPr>
    </w:lvl>
    <w:lvl w:ilvl="8" w:tplc="0426001B" w:tentative="1">
      <w:start w:val="1"/>
      <w:numFmt w:val="lowerRoman"/>
      <w:lvlText w:val="%9."/>
      <w:lvlJc w:val="right"/>
      <w:pPr>
        <w:ind w:left="6687" w:hanging="180"/>
      </w:pPr>
      <w:rPr>
        <w:rFonts w:cs="Times New Roman"/>
      </w:rPr>
    </w:lvl>
  </w:abstractNum>
  <w:abstractNum w:abstractNumId="2">
    <w:nsid w:val="0EC675B6"/>
    <w:multiLevelType w:val="hybridMultilevel"/>
    <w:tmpl w:val="3064D4BA"/>
    <w:lvl w:ilvl="0" w:tplc="9DCE4EA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11175647"/>
    <w:multiLevelType w:val="hybridMultilevel"/>
    <w:tmpl w:val="0CD826A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11632B72"/>
    <w:multiLevelType w:val="hybridMultilevel"/>
    <w:tmpl w:val="8AC405EA"/>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5">
    <w:nsid w:val="13252E22"/>
    <w:multiLevelType w:val="hybridMultilevel"/>
    <w:tmpl w:val="3342BFD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nsid w:val="16101F58"/>
    <w:multiLevelType w:val="hybridMultilevel"/>
    <w:tmpl w:val="657CBA40"/>
    <w:lvl w:ilvl="0" w:tplc="0409000F">
      <w:start w:val="1"/>
      <w:numFmt w:val="decimal"/>
      <w:lvlText w:val="%1."/>
      <w:lvlJc w:val="left"/>
      <w:pPr>
        <w:tabs>
          <w:tab w:val="num" w:pos="555"/>
        </w:tabs>
        <w:ind w:left="555" w:hanging="360"/>
      </w:pPr>
      <w:rPr>
        <w:rFonts w:cs="Times New Roman"/>
      </w:rPr>
    </w:lvl>
    <w:lvl w:ilvl="1" w:tplc="04090019" w:tentative="1">
      <w:start w:val="1"/>
      <w:numFmt w:val="lowerLetter"/>
      <w:lvlText w:val="%2."/>
      <w:lvlJc w:val="left"/>
      <w:pPr>
        <w:tabs>
          <w:tab w:val="num" w:pos="1275"/>
        </w:tabs>
        <w:ind w:left="1275" w:hanging="360"/>
      </w:pPr>
      <w:rPr>
        <w:rFonts w:cs="Times New Roman"/>
      </w:rPr>
    </w:lvl>
    <w:lvl w:ilvl="2" w:tplc="0409001B" w:tentative="1">
      <w:start w:val="1"/>
      <w:numFmt w:val="lowerRoman"/>
      <w:lvlText w:val="%3."/>
      <w:lvlJc w:val="right"/>
      <w:pPr>
        <w:tabs>
          <w:tab w:val="num" w:pos="1995"/>
        </w:tabs>
        <w:ind w:left="1995" w:hanging="180"/>
      </w:pPr>
      <w:rPr>
        <w:rFonts w:cs="Times New Roman"/>
      </w:rPr>
    </w:lvl>
    <w:lvl w:ilvl="3" w:tplc="0409000F" w:tentative="1">
      <w:start w:val="1"/>
      <w:numFmt w:val="decimal"/>
      <w:lvlText w:val="%4."/>
      <w:lvlJc w:val="left"/>
      <w:pPr>
        <w:tabs>
          <w:tab w:val="num" w:pos="2715"/>
        </w:tabs>
        <w:ind w:left="2715" w:hanging="360"/>
      </w:pPr>
      <w:rPr>
        <w:rFonts w:cs="Times New Roman"/>
      </w:rPr>
    </w:lvl>
    <w:lvl w:ilvl="4" w:tplc="04090019" w:tentative="1">
      <w:start w:val="1"/>
      <w:numFmt w:val="lowerLetter"/>
      <w:lvlText w:val="%5."/>
      <w:lvlJc w:val="left"/>
      <w:pPr>
        <w:tabs>
          <w:tab w:val="num" w:pos="3435"/>
        </w:tabs>
        <w:ind w:left="3435" w:hanging="360"/>
      </w:pPr>
      <w:rPr>
        <w:rFonts w:cs="Times New Roman"/>
      </w:rPr>
    </w:lvl>
    <w:lvl w:ilvl="5" w:tplc="0409001B" w:tentative="1">
      <w:start w:val="1"/>
      <w:numFmt w:val="lowerRoman"/>
      <w:lvlText w:val="%6."/>
      <w:lvlJc w:val="right"/>
      <w:pPr>
        <w:tabs>
          <w:tab w:val="num" w:pos="4155"/>
        </w:tabs>
        <w:ind w:left="4155" w:hanging="180"/>
      </w:pPr>
      <w:rPr>
        <w:rFonts w:cs="Times New Roman"/>
      </w:rPr>
    </w:lvl>
    <w:lvl w:ilvl="6" w:tplc="0409000F" w:tentative="1">
      <w:start w:val="1"/>
      <w:numFmt w:val="decimal"/>
      <w:lvlText w:val="%7."/>
      <w:lvlJc w:val="left"/>
      <w:pPr>
        <w:tabs>
          <w:tab w:val="num" w:pos="4875"/>
        </w:tabs>
        <w:ind w:left="4875" w:hanging="360"/>
      </w:pPr>
      <w:rPr>
        <w:rFonts w:cs="Times New Roman"/>
      </w:rPr>
    </w:lvl>
    <w:lvl w:ilvl="7" w:tplc="04090019" w:tentative="1">
      <w:start w:val="1"/>
      <w:numFmt w:val="lowerLetter"/>
      <w:lvlText w:val="%8."/>
      <w:lvlJc w:val="left"/>
      <w:pPr>
        <w:tabs>
          <w:tab w:val="num" w:pos="5595"/>
        </w:tabs>
        <w:ind w:left="5595" w:hanging="360"/>
      </w:pPr>
      <w:rPr>
        <w:rFonts w:cs="Times New Roman"/>
      </w:rPr>
    </w:lvl>
    <w:lvl w:ilvl="8" w:tplc="0409001B" w:tentative="1">
      <w:start w:val="1"/>
      <w:numFmt w:val="lowerRoman"/>
      <w:lvlText w:val="%9."/>
      <w:lvlJc w:val="right"/>
      <w:pPr>
        <w:tabs>
          <w:tab w:val="num" w:pos="6315"/>
        </w:tabs>
        <w:ind w:left="6315" w:hanging="180"/>
      </w:pPr>
      <w:rPr>
        <w:rFonts w:cs="Times New Roman"/>
      </w:rPr>
    </w:lvl>
  </w:abstractNum>
  <w:abstractNum w:abstractNumId="7">
    <w:nsid w:val="1C4118B4"/>
    <w:multiLevelType w:val="hybridMultilevel"/>
    <w:tmpl w:val="47589044"/>
    <w:lvl w:ilvl="0" w:tplc="C3F4F78C">
      <w:start w:val="1"/>
      <w:numFmt w:val="decimal"/>
      <w:lvlText w:val="%1)"/>
      <w:lvlJc w:val="left"/>
      <w:pPr>
        <w:ind w:left="420" w:hanging="4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nsid w:val="1E955FD5"/>
    <w:multiLevelType w:val="hybridMultilevel"/>
    <w:tmpl w:val="180019B2"/>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41F7868"/>
    <w:multiLevelType w:val="hybridMultilevel"/>
    <w:tmpl w:val="6CB27810"/>
    <w:lvl w:ilvl="0" w:tplc="0B96B404">
      <w:start w:val="1"/>
      <w:numFmt w:val="decimal"/>
      <w:lvlText w:val="%1)"/>
      <w:lvlJc w:val="left"/>
      <w:pPr>
        <w:ind w:left="720" w:hanging="72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nsid w:val="29711295"/>
    <w:multiLevelType w:val="hybridMultilevel"/>
    <w:tmpl w:val="E13C77BE"/>
    <w:lvl w:ilvl="0" w:tplc="DFAED640">
      <w:start w:val="1"/>
      <w:numFmt w:val="bullet"/>
      <w:lvlText w:val="-"/>
      <w:lvlJc w:val="left"/>
      <w:pPr>
        <w:ind w:left="927" w:hanging="360"/>
      </w:pPr>
      <w:rPr>
        <w:rFonts w:ascii="Times New Roman" w:eastAsia="Times New Roman" w:hAnsi="Times New Roman" w:hint="default"/>
      </w:rPr>
    </w:lvl>
    <w:lvl w:ilvl="1" w:tplc="04260003" w:tentative="1">
      <w:start w:val="1"/>
      <w:numFmt w:val="bullet"/>
      <w:lvlText w:val="o"/>
      <w:lvlJc w:val="left"/>
      <w:pPr>
        <w:ind w:left="1647" w:hanging="360"/>
      </w:pPr>
      <w:rPr>
        <w:rFonts w:ascii="Courier New" w:hAnsi="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11">
    <w:nsid w:val="3E451098"/>
    <w:multiLevelType w:val="hybridMultilevel"/>
    <w:tmpl w:val="1FB6EC44"/>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2">
    <w:nsid w:val="42340D09"/>
    <w:multiLevelType w:val="hybridMultilevel"/>
    <w:tmpl w:val="966C1386"/>
    <w:lvl w:ilvl="0" w:tplc="0B96B404">
      <w:start w:val="1"/>
      <w:numFmt w:val="decimal"/>
      <w:lvlText w:val="%1)"/>
      <w:lvlJc w:val="left"/>
      <w:pPr>
        <w:ind w:left="72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nsid w:val="496C0446"/>
    <w:multiLevelType w:val="hybridMultilevel"/>
    <w:tmpl w:val="E7147AEA"/>
    <w:lvl w:ilvl="0" w:tplc="2652768A">
      <w:start w:val="5000"/>
      <w:numFmt w:val="decimal"/>
      <w:lvlText w:val="%1"/>
      <w:lvlJc w:val="left"/>
      <w:pPr>
        <w:ind w:left="517" w:hanging="480"/>
      </w:pPr>
      <w:rPr>
        <w:rFonts w:hint="default"/>
      </w:rPr>
    </w:lvl>
    <w:lvl w:ilvl="1" w:tplc="04260019" w:tentative="1">
      <w:start w:val="1"/>
      <w:numFmt w:val="lowerLetter"/>
      <w:lvlText w:val="%2."/>
      <w:lvlJc w:val="left"/>
      <w:pPr>
        <w:ind w:left="1117" w:hanging="360"/>
      </w:pPr>
    </w:lvl>
    <w:lvl w:ilvl="2" w:tplc="0426001B" w:tentative="1">
      <w:start w:val="1"/>
      <w:numFmt w:val="lowerRoman"/>
      <w:lvlText w:val="%3."/>
      <w:lvlJc w:val="right"/>
      <w:pPr>
        <w:ind w:left="1837" w:hanging="180"/>
      </w:pPr>
    </w:lvl>
    <w:lvl w:ilvl="3" w:tplc="0426000F" w:tentative="1">
      <w:start w:val="1"/>
      <w:numFmt w:val="decimal"/>
      <w:lvlText w:val="%4."/>
      <w:lvlJc w:val="left"/>
      <w:pPr>
        <w:ind w:left="2557" w:hanging="360"/>
      </w:pPr>
    </w:lvl>
    <w:lvl w:ilvl="4" w:tplc="04260019" w:tentative="1">
      <w:start w:val="1"/>
      <w:numFmt w:val="lowerLetter"/>
      <w:lvlText w:val="%5."/>
      <w:lvlJc w:val="left"/>
      <w:pPr>
        <w:ind w:left="3277" w:hanging="360"/>
      </w:pPr>
    </w:lvl>
    <w:lvl w:ilvl="5" w:tplc="0426001B" w:tentative="1">
      <w:start w:val="1"/>
      <w:numFmt w:val="lowerRoman"/>
      <w:lvlText w:val="%6."/>
      <w:lvlJc w:val="right"/>
      <w:pPr>
        <w:ind w:left="3997" w:hanging="180"/>
      </w:pPr>
    </w:lvl>
    <w:lvl w:ilvl="6" w:tplc="0426000F" w:tentative="1">
      <w:start w:val="1"/>
      <w:numFmt w:val="decimal"/>
      <w:lvlText w:val="%7."/>
      <w:lvlJc w:val="left"/>
      <w:pPr>
        <w:ind w:left="4717" w:hanging="360"/>
      </w:pPr>
    </w:lvl>
    <w:lvl w:ilvl="7" w:tplc="04260019" w:tentative="1">
      <w:start w:val="1"/>
      <w:numFmt w:val="lowerLetter"/>
      <w:lvlText w:val="%8."/>
      <w:lvlJc w:val="left"/>
      <w:pPr>
        <w:ind w:left="5437" w:hanging="360"/>
      </w:pPr>
    </w:lvl>
    <w:lvl w:ilvl="8" w:tplc="0426001B" w:tentative="1">
      <w:start w:val="1"/>
      <w:numFmt w:val="lowerRoman"/>
      <w:lvlText w:val="%9."/>
      <w:lvlJc w:val="right"/>
      <w:pPr>
        <w:ind w:left="6157" w:hanging="180"/>
      </w:pPr>
    </w:lvl>
  </w:abstractNum>
  <w:abstractNum w:abstractNumId="14">
    <w:nsid w:val="4D207B44"/>
    <w:multiLevelType w:val="hybridMultilevel"/>
    <w:tmpl w:val="A4B65A62"/>
    <w:lvl w:ilvl="0" w:tplc="0426000F">
      <w:start w:val="1"/>
      <w:numFmt w:val="decimal"/>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5">
    <w:nsid w:val="538009E1"/>
    <w:multiLevelType w:val="hybridMultilevel"/>
    <w:tmpl w:val="FC1412BC"/>
    <w:lvl w:ilvl="0" w:tplc="E360647A">
      <w:start w:val="46"/>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63A45335"/>
    <w:multiLevelType w:val="hybridMultilevel"/>
    <w:tmpl w:val="CAA4914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AC55BA8"/>
    <w:multiLevelType w:val="hybridMultilevel"/>
    <w:tmpl w:val="FAE6E1B2"/>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8">
    <w:nsid w:val="75161080"/>
    <w:multiLevelType w:val="hybridMultilevel"/>
    <w:tmpl w:val="24AC258A"/>
    <w:lvl w:ilvl="0" w:tplc="04090001">
      <w:start w:val="1"/>
      <w:numFmt w:val="bullet"/>
      <w:lvlText w:val=""/>
      <w:lvlJc w:val="left"/>
      <w:pPr>
        <w:ind w:left="986" w:hanging="360"/>
      </w:pPr>
      <w:rPr>
        <w:rFonts w:ascii="Symbol" w:hAnsi="Symbol" w:hint="default"/>
      </w:rPr>
    </w:lvl>
    <w:lvl w:ilvl="1" w:tplc="04090003" w:tentative="1">
      <w:start w:val="1"/>
      <w:numFmt w:val="bullet"/>
      <w:lvlText w:val="o"/>
      <w:lvlJc w:val="left"/>
      <w:pPr>
        <w:ind w:left="1706" w:hanging="360"/>
      </w:pPr>
      <w:rPr>
        <w:rFonts w:ascii="Courier New" w:hAnsi="Courier New" w:cs="Courier New" w:hint="default"/>
      </w:rPr>
    </w:lvl>
    <w:lvl w:ilvl="2" w:tplc="04090005" w:tentative="1">
      <w:start w:val="1"/>
      <w:numFmt w:val="bullet"/>
      <w:lvlText w:val=""/>
      <w:lvlJc w:val="left"/>
      <w:pPr>
        <w:ind w:left="2426" w:hanging="360"/>
      </w:pPr>
      <w:rPr>
        <w:rFonts w:ascii="Wingdings" w:hAnsi="Wingdings" w:hint="default"/>
      </w:rPr>
    </w:lvl>
    <w:lvl w:ilvl="3" w:tplc="04090001" w:tentative="1">
      <w:start w:val="1"/>
      <w:numFmt w:val="bullet"/>
      <w:lvlText w:val=""/>
      <w:lvlJc w:val="left"/>
      <w:pPr>
        <w:ind w:left="3146" w:hanging="360"/>
      </w:pPr>
      <w:rPr>
        <w:rFonts w:ascii="Symbol" w:hAnsi="Symbol" w:hint="default"/>
      </w:rPr>
    </w:lvl>
    <w:lvl w:ilvl="4" w:tplc="04090003" w:tentative="1">
      <w:start w:val="1"/>
      <w:numFmt w:val="bullet"/>
      <w:lvlText w:val="o"/>
      <w:lvlJc w:val="left"/>
      <w:pPr>
        <w:ind w:left="3866" w:hanging="360"/>
      </w:pPr>
      <w:rPr>
        <w:rFonts w:ascii="Courier New" w:hAnsi="Courier New" w:cs="Courier New" w:hint="default"/>
      </w:rPr>
    </w:lvl>
    <w:lvl w:ilvl="5" w:tplc="04090005" w:tentative="1">
      <w:start w:val="1"/>
      <w:numFmt w:val="bullet"/>
      <w:lvlText w:val=""/>
      <w:lvlJc w:val="left"/>
      <w:pPr>
        <w:ind w:left="4586" w:hanging="360"/>
      </w:pPr>
      <w:rPr>
        <w:rFonts w:ascii="Wingdings" w:hAnsi="Wingdings" w:hint="default"/>
      </w:rPr>
    </w:lvl>
    <w:lvl w:ilvl="6" w:tplc="04090001" w:tentative="1">
      <w:start w:val="1"/>
      <w:numFmt w:val="bullet"/>
      <w:lvlText w:val=""/>
      <w:lvlJc w:val="left"/>
      <w:pPr>
        <w:ind w:left="5306" w:hanging="360"/>
      </w:pPr>
      <w:rPr>
        <w:rFonts w:ascii="Symbol" w:hAnsi="Symbol" w:hint="default"/>
      </w:rPr>
    </w:lvl>
    <w:lvl w:ilvl="7" w:tplc="04090003" w:tentative="1">
      <w:start w:val="1"/>
      <w:numFmt w:val="bullet"/>
      <w:lvlText w:val="o"/>
      <w:lvlJc w:val="left"/>
      <w:pPr>
        <w:ind w:left="6026" w:hanging="360"/>
      </w:pPr>
      <w:rPr>
        <w:rFonts w:ascii="Courier New" w:hAnsi="Courier New" w:cs="Courier New" w:hint="default"/>
      </w:rPr>
    </w:lvl>
    <w:lvl w:ilvl="8" w:tplc="04090005" w:tentative="1">
      <w:start w:val="1"/>
      <w:numFmt w:val="bullet"/>
      <w:lvlText w:val=""/>
      <w:lvlJc w:val="left"/>
      <w:pPr>
        <w:ind w:left="6746" w:hanging="360"/>
      </w:pPr>
      <w:rPr>
        <w:rFonts w:ascii="Wingdings" w:hAnsi="Wingdings" w:hint="default"/>
      </w:rPr>
    </w:lvl>
  </w:abstractNum>
  <w:num w:numId="1">
    <w:abstractNumId w:val="6"/>
  </w:num>
  <w:num w:numId="2">
    <w:abstractNumId w:val="1"/>
  </w:num>
  <w:num w:numId="3">
    <w:abstractNumId w:val="10"/>
  </w:num>
  <w:num w:numId="4">
    <w:abstractNumId w:val="14"/>
  </w:num>
  <w:num w:numId="5">
    <w:abstractNumId w:val="11"/>
  </w:num>
  <w:num w:numId="6">
    <w:abstractNumId w:val="2"/>
  </w:num>
  <w:num w:numId="7">
    <w:abstractNumId w:val="0"/>
  </w:num>
  <w:num w:numId="8">
    <w:abstractNumId w:val="8"/>
  </w:num>
  <w:num w:numId="9">
    <w:abstractNumId w:val="15"/>
  </w:num>
  <w:num w:numId="10">
    <w:abstractNumId w:val="13"/>
  </w:num>
  <w:num w:numId="11">
    <w:abstractNumId w:val="16"/>
  </w:num>
  <w:num w:numId="12">
    <w:abstractNumId w:val="9"/>
  </w:num>
  <w:num w:numId="13">
    <w:abstractNumId w:val="12"/>
  </w:num>
  <w:num w:numId="14">
    <w:abstractNumId w:val="7"/>
  </w:num>
  <w:num w:numId="15">
    <w:abstractNumId w:val="5"/>
  </w:num>
  <w:num w:numId="16">
    <w:abstractNumId w:val="3"/>
  </w:num>
  <w:num w:numId="17">
    <w:abstractNumId w:val="4"/>
  </w:num>
  <w:num w:numId="18">
    <w:abstractNumId w:val="17"/>
  </w:num>
  <w:num w:numId="19">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575B7F"/>
    <w:rsid w:val="0000038F"/>
    <w:rsid w:val="00003472"/>
    <w:rsid w:val="000065F5"/>
    <w:rsid w:val="00011709"/>
    <w:rsid w:val="00013BC0"/>
    <w:rsid w:val="000172AF"/>
    <w:rsid w:val="00017779"/>
    <w:rsid w:val="00021498"/>
    <w:rsid w:val="000245E5"/>
    <w:rsid w:val="000254FA"/>
    <w:rsid w:val="0002692D"/>
    <w:rsid w:val="00026EED"/>
    <w:rsid w:val="00030ABB"/>
    <w:rsid w:val="00031C78"/>
    <w:rsid w:val="00034357"/>
    <w:rsid w:val="00035045"/>
    <w:rsid w:val="00036B04"/>
    <w:rsid w:val="00037F83"/>
    <w:rsid w:val="00040228"/>
    <w:rsid w:val="00042B6F"/>
    <w:rsid w:val="00043575"/>
    <w:rsid w:val="00043E73"/>
    <w:rsid w:val="00045435"/>
    <w:rsid w:val="0004569F"/>
    <w:rsid w:val="00045F1B"/>
    <w:rsid w:val="000465BB"/>
    <w:rsid w:val="0004723E"/>
    <w:rsid w:val="00050CF4"/>
    <w:rsid w:val="00054EFC"/>
    <w:rsid w:val="00054FE6"/>
    <w:rsid w:val="000561E6"/>
    <w:rsid w:val="00056DA0"/>
    <w:rsid w:val="000579D6"/>
    <w:rsid w:val="00061770"/>
    <w:rsid w:val="00061C93"/>
    <w:rsid w:val="00066F08"/>
    <w:rsid w:val="00071444"/>
    <w:rsid w:val="00073971"/>
    <w:rsid w:val="00073A43"/>
    <w:rsid w:val="000747AF"/>
    <w:rsid w:val="00074CEC"/>
    <w:rsid w:val="00075D0A"/>
    <w:rsid w:val="00076197"/>
    <w:rsid w:val="0007701E"/>
    <w:rsid w:val="00080AD4"/>
    <w:rsid w:val="0008336A"/>
    <w:rsid w:val="00086DD2"/>
    <w:rsid w:val="00087590"/>
    <w:rsid w:val="000931A6"/>
    <w:rsid w:val="00093DD1"/>
    <w:rsid w:val="00094B5F"/>
    <w:rsid w:val="00095181"/>
    <w:rsid w:val="000A0639"/>
    <w:rsid w:val="000A64BB"/>
    <w:rsid w:val="000B0921"/>
    <w:rsid w:val="000B251A"/>
    <w:rsid w:val="000B2728"/>
    <w:rsid w:val="000B276A"/>
    <w:rsid w:val="000B406A"/>
    <w:rsid w:val="000B4CB6"/>
    <w:rsid w:val="000B7202"/>
    <w:rsid w:val="000C0511"/>
    <w:rsid w:val="000C240E"/>
    <w:rsid w:val="000C68EE"/>
    <w:rsid w:val="000C744D"/>
    <w:rsid w:val="000C75C7"/>
    <w:rsid w:val="000D453D"/>
    <w:rsid w:val="000D571E"/>
    <w:rsid w:val="000D680A"/>
    <w:rsid w:val="000E0D06"/>
    <w:rsid w:val="000E1211"/>
    <w:rsid w:val="000E2594"/>
    <w:rsid w:val="000E4031"/>
    <w:rsid w:val="000E4E1C"/>
    <w:rsid w:val="000F5A27"/>
    <w:rsid w:val="000F7CE7"/>
    <w:rsid w:val="00101A0B"/>
    <w:rsid w:val="00102343"/>
    <w:rsid w:val="001037F2"/>
    <w:rsid w:val="00111051"/>
    <w:rsid w:val="00111C1F"/>
    <w:rsid w:val="00113901"/>
    <w:rsid w:val="00113AD1"/>
    <w:rsid w:val="00117784"/>
    <w:rsid w:val="00122A9A"/>
    <w:rsid w:val="00123EAB"/>
    <w:rsid w:val="00124123"/>
    <w:rsid w:val="00124AC1"/>
    <w:rsid w:val="001265EB"/>
    <w:rsid w:val="00126CA6"/>
    <w:rsid w:val="0012760C"/>
    <w:rsid w:val="00127E24"/>
    <w:rsid w:val="00127FE7"/>
    <w:rsid w:val="00130647"/>
    <w:rsid w:val="00131B3D"/>
    <w:rsid w:val="00134FFA"/>
    <w:rsid w:val="00136D08"/>
    <w:rsid w:val="0013734C"/>
    <w:rsid w:val="001376FF"/>
    <w:rsid w:val="0013797F"/>
    <w:rsid w:val="00141AD1"/>
    <w:rsid w:val="00143778"/>
    <w:rsid w:val="0014456A"/>
    <w:rsid w:val="001534B5"/>
    <w:rsid w:val="001545FA"/>
    <w:rsid w:val="0015777E"/>
    <w:rsid w:val="00160467"/>
    <w:rsid w:val="00160811"/>
    <w:rsid w:val="0016196C"/>
    <w:rsid w:val="00162DA0"/>
    <w:rsid w:val="00163018"/>
    <w:rsid w:val="0016520C"/>
    <w:rsid w:val="001656C8"/>
    <w:rsid w:val="0017428E"/>
    <w:rsid w:val="001802EA"/>
    <w:rsid w:val="00182307"/>
    <w:rsid w:val="001857BA"/>
    <w:rsid w:val="00186BCC"/>
    <w:rsid w:val="00186DFB"/>
    <w:rsid w:val="001912FA"/>
    <w:rsid w:val="001913DD"/>
    <w:rsid w:val="001942B5"/>
    <w:rsid w:val="00194515"/>
    <w:rsid w:val="001A1BCD"/>
    <w:rsid w:val="001A1DB8"/>
    <w:rsid w:val="001A54C4"/>
    <w:rsid w:val="001A69CE"/>
    <w:rsid w:val="001A6BF1"/>
    <w:rsid w:val="001A6E00"/>
    <w:rsid w:val="001B2BC8"/>
    <w:rsid w:val="001B2BDB"/>
    <w:rsid w:val="001B4B49"/>
    <w:rsid w:val="001B4F98"/>
    <w:rsid w:val="001B7214"/>
    <w:rsid w:val="001C1873"/>
    <w:rsid w:val="001C1C11"/>
    <w:rsid w:val="001C3708"/>
    <w:rsid w:val="001C3EB8"/>
    <w:rsid w:val="001D02F7"/>
    <w:rsid w:val="001D0566"/>
    <w:rsid w:val="001D0852"/>
    <w:rsid w:val="001D3970"/>
    <w:rsid w:val="001D444E"/>
    <w:rsid w:val="001E2CEF"/>
    <w:rsid w:val="001E647D"/>
    <w:rsid w:val="001E670D"/>
    <w:rsid w:val="001F61B2"/>
    <w:rsid w:val="002011C1"/>
    <w:rsid w:val="00201594"/>
    <w:rsid w:val="00201766"/>
    <w:rsid w:val="0020523F"/>
    <w:rsid w:val="00205F02"/>
    <w:rsid w:val="00206B32"/>
    <w:rsid w:val="00207015"/>
    <w:rsid w:val="00207FE0"/>
    <w:rsid w:val="0021047A"/>
    <w:rsid w:val="00216DF5"/>
    <w:rsid w:val="00217A0E"/>
    <w:rsid w:val="00221CAE"/>
    <w:rsid w:val="00232053"/>
    <w:rsid w:val="0023250C"/>
    <w:rsid w:val="002325B8"/>
    <w:rsid w:val="00234889"/>
    <w:rsid w:val="00234F9F"/>
    <w:rsid w:val="00236BC3"/>
    <w:rsid w:val="002406D4"/>
    <w:rsid w:val="00240F58"/>
    <w:rsid w:val="002432DC"/>
    <w:rsid w:val="00244990"/>
    <w:rsid w:val="0025012E"/>
    <w:rsid w:val="002513E8"/>
    <w:rsid w:val="00253C2D"/>
    <w:rsid w:val="002660C2"/>
    <w:rsid w:val="002662A3"/>
    <w:rsid w:val="00267D74"/>
    <w:rsid w:val="00280A8C"/>
    <w:rsid w:val="0028487C"/>
    <w:rsid w:val="00284E72"/>
    <w:rsid w:val="0028539B"/>
    <w:rsid w:val="002916BA"/>
    <w:rsid w:val="00292B65"/>
    <w:rsid w:val="00293B7B"/>
    <w:rsid w:val="00295E54"/>
    <w:rsid w:val="002A511F"/>
    <w:rsid w:val="002A52AD"/>
    <w:rsid w:val="002A577B"/>
    <w:rsid w:val="002A5A9B"/>
    <w:rsid w:val="002A66CE"/>
    <w:rsid w:val="002A6AEC"/>
    <w:rsid w:val="002A6C2F"/>
    <w:rsid w:val="002B0261"/>
    <w:rsid w:val="002B17CD"/>
    <w:rsid w:val="002B22F4"/>
    <w:rsid w:val="002B2E36"/>
    <w:rsid w:val="002B2EB2"/>
    <w:rsid w:val="002B3DC1"/>
    <w:rsid w:val="002B69A0"/>
    <w:rsid w:val="002C0145"/>
    <w:rsid w:val="002C07F9"/>
    <w:rsid w:val="002C1B0E"/>
    <w:rsid w:val="002C2EF2"/>
    <w:rsid w:val="002D0B3E"/>
    <w:rsid w:val="002D0F73"/>
    <w:rsid w:val="002D6542"/>
    <w:rsid w:val="002D721A"/>
    <w:rsid w:val="002E0790"/>
    <w:rsid w:val="002E2657"/>
    <w:rsid w:val="002E4D3B"/>
    <w:rsid w:val="002F0785"/>
    <w:rsid w:val="002F13CB"/>
    <w:rsid w:val="002F5005"/>
    <w:rsid w:val="00300881"/>
    <w:rsid w:val="0030185E"/>
    <w:rsid w:val="003026A9"/>
    <w:rsid w:val="00304AFF"/>
    <w:rsid w:val="00304D1A"/>
    <w:rsid w:val="00304FBB"/>
    <w:rsid w:val="003118DD"/>
    <w:rsid w:val="00315FD8"/>
    <w:rsid w:val="00316054"/>
    <w:rsid w:val="00316763"/>
    <w:rsid w:val="003212DF"/>
    <w:rsid w:val="00324029"/>
    <w:rsid w:val="0032406D"/>
    <w:rsid w:val="003246A0"/>
    <w:rsid w:val="003258F6"/>
    <w:rsid w:val="00331B10"/>
    <w:rsid w:val="00331B42"/>
    <w:rsid w:val="0033295B"/>
    <w:rsid w:val="00332E39"/>
    <w:rsid w:val="0033304E"/>
    <w:rsid w:val="003379A9"/>
    <w:rsid w:val="00341025"/>
    <w:rsid w:val="003419FA"/>
    <w:rsid w:val="003430A9"/>
    <w:rsid w:val="00345FBB"/>
    <w:rsid w:val="00346DCA"/>
    <w:rsid w:val="00347011"/>
    <w:rsid w:val="003479F4"/>
    <w:rsid w:val="00347B5B"/>
    <w:rsid w:val="00350B4F"/>
    <w:rsid w:val="00352704"/>
    <w:rsid w:val="003527BE"/>
    <w:rsid w:val="003542ED"/>
    <w:rsid w:val="003555CB"/>
    <w:rsid w:val="0035700A"/>
    <w:rsid w:val="00362978"/>
    <w:rsid w:val="00364655"/>
    <w:rsid w:val="0036478C"/>
    <w:rsid w:val="00365885"/>
    <w:rsid w:val="00367513"/>
    <w:rsid w:val="00367858"/>
    <w:rsid w:val="003729DA"/>
    <w:rsid w:val="00372E3B"/>
    <w:rsid w:val="00373AD6"/>
    <w:rsid w:val="00374EF3"/>
    <w:rsid w:val="00377500"/>
    <w:rsid w:val="00380199"/>
    <w:rsid w:val="003812D2"/>
    <w:rsid w:val="003820A7"/>
    <w:rsid w:val="003826C1"/>
    <w:rsid w:val="003841C1"/>
    <w:rsid w:val="0038459F"/>
    <w:rsid w:val="003861EF"/>
    <w:rsid w:val="003866E7"/>
    <w:rsid w:val="0038683C"/>
    <w:rsid w:val="003868CE"/>
    <w:rsid w:val="00387221"/>
    <w:rsid w:val="0039227B"/>
    <w:rsid w:val="003942BD"/>
    <w:rsid w:val="00396119"/>
    <w:rsid w:val="00397D48"/>
    <w:rsid w:val="003A2E66"/>
    <w:rsid w:val="003A5638"/>
    <w:rsid w:val="003A61D8"/>
    <w:rsid w:val="003A65FC"/>
    <w:rsid w:val="003B0CEA"/>
    <w:rsid w:val="003B6569"/>
    <w:rsid w:val="003B7687"/>
    <w:rsid w:val="003C1162"/>
    <w:rsid w:val="003C5B94"/>
    <w:rsid w:val="003C7321"/>
    <w:rsid w:val="003D30D5"/>
    <w:rsid w:val="003D46F3"/>
    <w:rsid w:val="003D6A2E"/>
    <w:rsid w:val="003D72E0"/>
    <w:rsid w:val="003D735F"/>
    <w:rsid w:val="003D766A"/>
    <w:rsid w:val="003E2E1F"/>
    <w:rsid w:val="003E681E"/>
    <w:rsid w:val="003F0EA9"/>
    <w:rsid w:val="003F24EB"/>
    <w:rsid w:val="003F4AC1"/>
    <w:rsid w:val="003F4CD8"/>
    <w:rsid w:val="00402052"/>
    <w:rsid w:val="004026ED"/>
    <w:rsid w:val="004100DD"/>
    <w:rsid w:val="00413A82"/>
    <w:rsid w:val="004141EC"/>
    <w:rsid w:val="00417457"/>
    <w:rsid w:val="00420647"/>
    <w:rsid w:val="004236B9"/>
    <w:rsid w:val="004258AE"/>
    <w:rsid w:val="00425B93"/>
    <w:rsid w:val="00426C2A"/>
    <w:rsid w:val="0042715D"/>
    <w:rsid w:val="00427178"/>
    <w:rsid w:val="00430145"/>
    <w:rsid w:val="00431188"/>
    <w:rsid w:val="0043346E"/>
    <w:rsid w:val="0043384F"/>
    <w:rsid w:val="00433A22"/>
    <w:rsid w:val="00437FF5"/>
    <w:rsid w:val="00442222"/>
    <w:rsid w:val="0044254C"/>
    <w:rsid w:val="00442653"/>
    <w:rsid w:val="004432B3"/>
    <w:rsid w:val="004469EF"/>
    <w:rsid w:val="00450615"/>
    <w:rsid w:val="00450CE1"/>
    <w:rsid w:val="00451284"/>
    <w:rsid w:val="004516A0"/>
    <w:rsid w:val="004522ED"/>
    <w:rsid w:val="0045254B"/>
    <w:rsid w:val="00453870"/>
    <w:rsid w:val="00453C67"/>
    <w:rsid w:val="0045581E"/>
    <w:rsid w:val="004574A6"/>
    <w:rsid w:val="00457C95"/>
    <w:rsid w:val="004601AA"/>
    <w:rsid w:val="00460AF1"/>
    <w:rsid w:val="00465782"/>
    <w:rsid w:val="00465C07"/>
    <w:rsid w:val="00466975"/>
    <w:rsid w:val="00467A5C"/>
    <w:rsid w:val="00470590"/>
    <w:rsid w:val="0047171E"/>
    <w:rsid w:val="004720E0"/>
    <w:rsid w:val="004726BE"/>
    <w:rsid w:val="004731C6"/>
    <w:rsid w:val="00473B51"/>
    <w:rsid w:val="0047495C"/>
    <w:rsid w:val="00475542"/>
    <w:rsid w:val="00476D96"/>
    <w:rsid w:val="004777A2"/>
    <w:rsid w:val="004809F5"/>
    <w:rsid w:val="00481B82"/>
    <w:rsid w:val="004845A7"/>
    <w:rsid w:val="00485AF3"/>
    <w:rsid w:val="00492BAB"/>
    <w:rsid w:val="00492DBF"/>
    <w:rsid w:val="0049443A"/>
    <w:rsid w:val="00494DAA"/>
    <w:rsid w:val="00495EDB"/>
    <w:rsid w:val="004A1975"/>
    <w:rsid w:val="004A1AF9"/>
    <w:rsid w:val="004A5075"/>
    <w:rsid w:val="004A7F42"/>
    <w:rsid w:val="004B1F7D"/>
    <w:rsid w:val="004B3C5C"/>
    <w:rsid w:val="004B47AD"/>
    <w:rsid w:val="004C0DEC"/>
    <w:rsid w:val="004C1707"/>
    <w:rsid w:val="004C1A08"/>
    <w:rsid w:val="004C356F"/>
    <w:rsid w:val="004C51A8"/>
    <w:rsid w:val="004D07B3"/>
    <w:rsid w:val="004D1AFC"/>
    <w:rsid w:val="004D1F9A"/>
    <w:rsid w:val="004D20C9"/>
    <w:rsid w:val="004D2EB6"/>
    <w:rsid w:val="004D322A"/>
    <w:rsid w:val="004D60F9"/>
    <w:rsid w:val="004D694B"/>
    <w:rsid w:val="004E0646"/>
    <w:rsid w:val="004E0F14"/>
    <w:rsid w:val="004E235D"/>
    <w:rsid w:val="004E56A9"/>
    <w:rsid w:val="004F7F05"/>
    <w:rsid w:val="005026F4"/>
    <w:rsid w:val="0050545E"/>
    <w:rsid w:val="0051443D"/>
    <w:rsid w:val="00515383"/>
    <w:rsid w:val="00515A37"/>
    <w:rsid w:val="005162AF"/>
    <w:rsid w:val="00516752"/>
    <w:rsid w:val="00520E5A"/>
    <w:rsid w:val="00521239"/>
    <w:rsid w:val="00522184"/>
    <w:rsid w:val="005226A3"/>
    <w:rsid w:val="00523C12"/>
    <w:rsid w:val="00525077"/>
    <w:rsid w:val="005274C2"/>
    <w:rsid w:val="0053210B"/>
    <w:rsid w:val="00532E2C"/>
    <w:rsid w:val="00536D4E"/>
    <w:rsid w:val="00537E88"/>
    <w:rsid w:val="00540A89"/>
    <w:rsid w:val="0054329E"/>
    <w:rsid w:val="00546610"/>
    <w:rsid w:val="005469BB"/>
    <w:rsid w:val="005513FC"/>
    <w:rsid w:val="00552F0D"/>
    <w:rsid w:val="00560B17"/>
    <w:rsid w:val="00561C90"/>
    <w:rsid w:val="00563574"/>
    <w:rsid w:val="00563B1F"/>
    <w:rsid w:val="00563F77"/>
    <w:rsid w:val="0056451A"/>
    <w:rsid w:val="0056565D"/>
    <w:rsid w:val="00570457"/>
    <w:rsid w:val="00571589"/>
    <w:rsid w:val="00575B7F"/>
    <w:rsid w:val="00576D28"/>
    <w:rsid w:val="00580ACF"/>
    <w:rsid w:val="005824AA"/>
    <w:rsid w:val="00582BDB"/>
    <w:rsid w:val="00585546"/>
    <w:rsid w:val="00590CAF"/>
    <w:rsid w:val="00592438"/>
    <w:rsid w:val="0059329D"/>
    <w:rsid w:val="005940F4"/>
    <w:rsid w:val="0059678B"/>
    <w:rsid w:val="005A1FB9"/>
    <w:rsid w:val="005A201A"/>
    <w:rsid w:val="005A32D1"/>
    <w:rsid w:val="005A686A"/>
    <w:rsid w:val="005A719A"/>
    <w:rsid w:val="005B064B"/>
    <w:rsid w:val="005B3AE8"/>
    <w:rsid w:val="005B462C"/>
    <w:rsid w:val="005C0344"/>
    <w:rsid w:val="005C2AA4"/>
    <w:rsid w:val="005C3AFC"/>
    <w:rsid w:val="005C43D2"/>
    <w:rsid w:val="005C5288"/>
    <w:rsid w:val="005C75D7"/>
    <w:rsid w:val="005D1063"/>
    <w:rsid w:val="005D4B4E"/>
    <w:rsid w:val="005D4C23"/>
    <w:rsid w:val="005D64CB"/>
    <w:rsid w:val="005E3D6A"/>
    <w:rsid w:val="005E5FE6"/>
    <w:rsid w:val="005E64FE"/>
    <w:rsid w:val="005E72BB"/>
    <w:rsid w:val="005E742F"/>
    <w:rsid w:val="005E74A2"/>
    <w:rsid w:val="005F31A9"/>
    <w:rsid w:val="005F686E"/>
    <w:rsid w:val="005F6D99"/>
    <w:rsid w:val="005F7ED6"/>
    <w:rsid w:val="00601B38"/>
    <w:rsid w:val="00603944"/>
    <w:rsid w:val="0060552E"/>
    <w:rsid w:val="0060650F"/>
    <w:rsid w:val="00606AAD"/>
    <w:rsid w:val="00607FE3"/>
    <w:rsid w:val="00610063"/>
    <w:rsid w:val="00610F13"/>
    <w:rsid w:val="00611047"/>
    <w:rsid w:val="006169A3"/>
    <w:rsid w:val="00621176"/>
    <w:rsid w:val="006214CF"/>
    <w:rsid w:val="006234B1"/>
    <w:rsid w:val="0062351F"/>
    <w:rsid w:val="00625244"/>
    <w:rsid w:val="00625FF8"/>
    <w:rsid w:val="00626130"/>
    <w:rsid w:val="00627135"/>
    <w:rsid w:val="00630F07"/>
    <w:rsid w:val="00633B7F"/>
    <w:rsid w:val="00636641"/>
    <w:rsid w:val="00640702"/>
    <w:rsid w:val="0064115C"/>
    <w:rsid w:val="006414CC"/>
    <w:rsid w:val="0064347E"/>
    <w:rsid w:val="00643B96"/>
    <w:rsid w:val="0065041B"/>
    <w:rsid w:val="00651F2C"/>
    <w:rsid w:val="006532C0"/>
    <w:rsid w:val="006549C7"/>
    <w:rsid w:val="00655B00"/>
    <w:rsid w:val="006578DA"/>
    <w:rsid w:val="006628CF"/>
    <w:rsid w:val="0066403E"/>
    <w:rsid w:val="00665EED"/>
    <w:rsid w:val="00667D27"/>
    <w:rsid w:val="0067019E"/>
    <w:rsid w:val="0067484B"/>
    <w:rsid w:val="00674B55"/>
    <w:rsid w:val="00674D22"/>
    <w:rsid w:val="0067668D"/>
    <w:rsid w:val="00677D8D"/>
    <w:rsid w:val="0068323F"/>
    <w:rsid w:val="006833DE"/>
    <w:rsid w:val="00683DA9"/>
    <w:rsid w:val="006859E2"/>
    <w:rsid w:val="00686AAF"/>
    <w:rsid w:val="00686BAC"/>
    <w:rsid w:val="006911D3"/>
    <w:rsid w:val="00692F31"/>
    <w:rsid w:val="006A2892"/>
    <w:rsid w:val="006A2B6F"/>
    <w:rsid w:val="006A59C7"/>
    <w:rsid w:val="006A64D9"/>
    <w:rsid w:val="006B1942"/>
    <w:rsid w:val="006B243C"/>
    <w:rsid w:val="006B36D5"/>
    <w:rsid w:val="006B3883"/>
    <w:rsid w:val="006B3BCC"/>
    <w:rsid w:val="006B66AE"/>
    <w:rsid w:val="006B73A8"/>
    <w:rsid w:val="006C3F34"/>
    <w:rsid w:val="006C4E9E"/>
    <w:rsid w:val="006C5464"/>
    <w:rsid w:val="006C5F7B"/>
    <w:rsid w:val="006C6180"/>
    <w:rsid w:val="006C6BD9"/>
    <w:rsid w:val="006C75CB"/>
    <w:rsid w:val="006C778E"/>
    <w:rsid w:val="006D0519"/>
    <w:rsid w:val="006D25A3"/>
    <w:rsid w:val="006D4DBA"/>
    <w:rsid w:val="006D676C"/>
    <w:rsid w:val="006D7B4B"/>
    <w:rsid w:val="006E3844"/>
    <w:rsid w:val="006E5EF8"/>
    <w:rsid w:val="006E669B"/>
    <w:rsid w:val="006F240A"/>
    <w:rsid w:val="006F316E"/>
    <w:rsid w:val="006F34BD"/>
    <w:rsid w:val="006F6B57"/>
    <w:rsid w:val="00700047"/>
    <w:rsid w:val="00700051"/>
    <w:rsid w:val="007042B7"/>
    <w:rsid w:val="007050D7"/>
    <w:rsid w:val="00710655"/>
    <w:rsid w:val="00711A7F"/>
    <w:rsid w:val="00712225"/>
    <w:rsid w:val="007132DB"/>
    <w:rsid w:val="00713C69"/>
    <w:rsid w:val="00716D8E"/>
    <w:rsid w:val="00721E21"/>
    <w:rsid w:val="00726195"/>
    <w:rsid w:val="00731036"/>
    <w:rsid w:val="0073447B"/>
    <w:rsid w:val="00735207"/>
    <w:rsid w:val="007365C1"/>
    <w:rsid w:val="00750916"/>
    <w:rsid w:val="007512BA"/>
    <w:rsid w:val="00751FA7"/>
    <w:rsid w:val="00752E17"/>
    <w:rsid w:val="00754247"/>
    <w:rsid w:val="0075470F"/>
    <w:rsid w:val="00755828"/>
    <w:rsid w:val="00755F4C"/>
    <w:rsid w:val="00757F79"/>
    <w:rsid w:val="007605F3"/>
    <w:rsid w:val="00760B58"/>
    <w:rsid w:val="0076248D"/>
    <w:rsid w:val="007630E9"/>
    <w:rsid w:val="0076338E"/>
    <w:rsid w:val="00765223"/>
    <w:rsid w:val="007663BB"/>
    <w:rsid w:val="00766945"/>
    <w:rsid w:val="00771C3C"/>
    <w:rsid w:val="007728E6"/>
    <w:rsid w:val="00772A01"/>
    <w:rsid w:val="007779CD"/>
    <w:rsid w:val="00780EA4"/>
    <w:rsid w:val="00781282"/>
    <w:rsid w:val="0078257B"/>
    <w:rsid w:val="007850B5"/>
    <w:rsid w:val="00786120"/>
    <w:rsid w:val="007874EA"/>
    <w:rsid w:val="00790636"/>
    <w:rsid w:val="00793401"/>
    <w:rsid w:val="00796C59"/>
    <w:rsid w:val="007A0DA1"/>
    <w:rsid w:val="007A5D45"/>
    <w:rsid w:val="007A7A10"/>
    <w:rsid w:val="007B08D7"/>
    <w:rsid w:val="007B645B"/>
    <w:rsid w:val="007C0DCD"/>
    <w:rsid w:val="007C2FFD"/>
    <w:rsid w:val="007C5AD1"/>
    <w:rsid w:val="007D1652"/>
    <w:rsid w:val="007D51B2"/>
    <w:rsid w:val="007D5400"/>
    <w:rsid w:val="007D6A90"/>
    <w:rsid w:val="007D7AEE"/>
    <w:rsid w:val="007E024F"/>
    <w:rsid w:val="007E3351"/>
    <w:rsid w:val="007E5814"/>
    <w:rsid w:val="007E722D"/>
    <w:rsid w:val="007F0C85"/>
    <w:rsid w:val="007F59CB"/>
    <w:rsid w:val="007F5BD3"/>
    <w:rsid w:val="007F6F8A"/>
    <w:rsid w:val="00800649"/>
    <w:rsid w:val="0080102F"/>
    <w:rsid w:val="0080153B"/>
    <w:rsid w:val="00801B42"/>
    <w:rsid w:val="008039C4"/>
    <w:rsid w:val="00803E0A"/>
    <w:rsid w:val="008054B8"/>
    <w:rsid w:val="00813C5A"/>
    <w:rsid w:val="0081475C"/>
    <w:rsid w:val="00825E2E"/>
    <w:rsid w:val="00826165"/>
    <w:rsid w:val="008264D3"/>
    <w:rsid w:val="00826C40"/>
    <w:rsid w:val="00827D30"/>
    <w:rsid w:val="00836F8F"/>
    <w:rsid w:val="00840275"/>
    <w:rsid w:val="00840543"/>
    <w:rsid w:val="008407AB"/>
    <w:rsid w:val="008410FE"/>
    <w:rsid w:val="00846396"/>
    <w:rsid w:val="00850F2E"/>
    <w:rsid w:val="00851117"/>
    <w:rsid w:val="0085378F"/>
    <w:rsid w:val="00873087"/>
    <w:rsid w:val="00873271"/>
    <w:rsid w:val="008745E3"/>
    <w:rsid w:val="00874764"/>
    <w:rsid w:val="008774C3"/>
    <w:rsid w:val="00877F17"/>
    <w:rsid w:val="00877FB1"/>
    <w:rsid w:val="008808B7"/>
    <w:rsid w:val="00885BB3"/>
    <w:rsid w:val="0088600B"/>
    <w:rsid w:val="00887979"/>
    <w:rsid w:val="008906B7"/>
    <w:rsid w:val="008913A1"/>
    <w:rsid w:val="0089236B"/>
    <w:rsid w:val="0089250D"/>
    <w:rsid w:val="00893178"/>
    <w:rsid w:val="00893B20"/>
    <w:rsid w:val="00896A8A"/>
    <w:rsid w:val="008A118E"/>
    <w:rsid w:val="008A122A"/>
    <w:rsid w:val="008A15ED"/>
    <w:rsid w:val="008A4330"/>
    <w:rsid w:val="008A4BC9"/>
    <w:rsid w:val="008B2D51"/>
    <w:rsid w:val="008C357E"/>
    <w:rsid w:val="008C49B4"/>
    <w:rsid w:val="008C5105"/>
    <w:rsid w:val="008C6EE3"/>
    <w:rsid w:val="008D0A4F"/>
    <w:rsid w:val="008D1173"/>
    <w:rsid w:val="008D7B99"/>
    <w:rsid w:val="008E2D1F"/>
    <w:rsid w:val="008E3E9C"/>
    <w:rsid w:val="008E5839"/>
    <w:rsid w:val="008F13D6"/>
    <w:rsid w:val="008F3CB9"/>
    <w:rsid w:val="008F4B16"/>
    <w:rsid w:val="008F5717"/>
    <w:rsid w:val="008F588F"/>
    <w:rsid w:val="008F732C"/>
    <w:rsid w:val="008F7A11"/>
    <w:rsid w:val="009004A8"/>
    <w:rsid w:val="009027D5"/>
    <w:rsid w:val="00903814"/>
    <w:rsid w:val="00903885"/>
    <w:rsid w:val="00905C47"/>
    <w:rsid w:val="009100E7"/>
    <w:rsid w:val="00910177"/>
    <w:rsid w:val="00911003"/>
    <w:rsid w:val="009121BD"/>
    <w:rsid w:val="0091297A"/>
    <w:rsid w:val="0091535D"/>
    <w:rsid w:val="009163C0"/>
    <w:rsid w:val="00916F98"/>
    <w:rsid w:val="009172F3"/>
    <w:rsid w:val="00921D41"/>
    <w:rsid w:val="0092530C"/>
    <w:rsid w:val="0093322F"/>
    <w:rsid w:val="0093340F"/>
    <w:rsid w:val="00933715"/>
    <w:rsid w:val="0093397C"/>
    <w:rsid w:val="00934C3F"/>
    <w:rsid w:val="00935064"/>
    <w:rsid w:val="00947153"/>
    <w:rsid w:val="00950A41"/>
    <w:rsid w:val="0096385C"/>
    <w:rsid w:val="00965B17"/>
    <w:rsid w:val="00966610"/>
    <w:rsid w:val="00967730"/>
    <w:rsid w:val="00967C51"/>
    <w:rsid w:val="0097194A"/>
    <w:rsid w:val="009733FE"/>
    <w:rsid w:val="0097370A"/>
    <w:rsid w:val="009761C8"/>
    <w:rsid w:val="00976891"/>
    <w:rsid w:val="00982BA2"/>
    <w:rsid w:val="00984CBA"/>
    <w:rsid w:val="009865D6"/>
    <w:rsid w:val="00986C82"/>
    <w:rsid w:val="00986CD4"/>
    <w:rsid w:val="00986F0B"/>
    <w:rsid w:val="009873DF"/>
    <w:rsid w:val="00991B19"/>
    <w:rsid w:val="0099262F"/>
    <w:rsid w:val="00992871"/>
    <w:rsid w:val="009932A3"/>
    <w:rsid w:val="00993E9D"/>
    <w:rsid w:val="009948B7"/>
    <w:rsid w:val="009959CD"/>
    <w:rsid w:val="00995DE6"/>
    <w:rsid w:val="009970C2"/>
    <w:rsid w:val="009A2357"/>
    <w:rsid w:val="009A54C7"/>
    <w:rsid w:val="009A57E1"/>
    <w:rsid w:val="009B1173"/>
    <w:rsid w:val="009B187D"/>
    <w:rsid w:val="009B2B6E"/>
    <w:rsid w:val="009B2E33"/>
    <w:rsid w:val="009B362D"/>
    <w:rsid w:val="009B58F4"/>
    <w:rsid w:val="009B591F"/>
    <w:rsid w:val="009C093A"/>
    <w:rsid w:val="009C1172"/>
    <w:rsid w:val="009C2C88"/>
    <w:rsid w:val="009C3B4E"/>
    <w:rsid w:val="009C3EBB"/>
    <w:rsid w:val="009C483D"/>
    <w:rsid w:val="009C5CC3"/>
    <w:rsid w:val="009C74FB"/>
    <w:rsid w:val="009C7A52"/>
    <w:rsid w:val="009D1680"/>
    <w:rsid w:val="009D5CE3"/>
    <w:rsid w:val="009D6719"/>
    <w:rsid w:val="009E2661"/>
    <w:rsid w:val="009E37B5"/>
    <w:rsid w:val="009E40B0"/>
    <w:rsid w:val="009E4F8F"/>
    <w:rsid w:val="009E6CB2"/>
    <w:rsid w:val="009F1CB7"/>
    <w:rsid w:val="009F4B8F"/>
    <w:rsid w:val="009F4FDB"/>
    <w:rsid w:val="009F7A5B"/>
    <w:rsid w:val="00A0015B"/>
    <w:rsid w:val="00A0344D"/>
    <w:rsid w:val="00A04A47"/>
    <w:rsid w:val="00A050DA"/>
    <w:rsid w:val="00A051C1"/>
    <w:rsid w:val="00A06A94"/>
    <w:rsid w:val="00A114B1"/>
    <w:rsid w:val="00A12DA6"/>
    <w:rsid w:val="00A14556"/>
    <w:rsid w:val="00A15819"/>
    <w:rsid w:val="00A21465"/>
    <w:rsid w:val="00A21CE7"/>
    <w:rsid w:val="00A2246F"/>
    <w:rsid w:val="00A265B7"/>
    <w:rsid w:val="00A26F24"/>
    <w:rsid w:val="00A27FB2"/>
    <w:rsid w:val="00A30D84"/>
    <w:rsid w:val="00A330AB"/>
    <w:rsid w:val="00A36125"/>
    <w:rsid w:val="00A365BC"/>
    <w:rsid w:val="00A3682E"/>
    <w:rsid w:val="00A40F40"/>
    <w:rsid w:val="00A44363"/>
    <w:rsid w:val="00A4562B"/>
    <w:rsid w:val="00A50053"/>
    <w:rsid w:val="00A502A9"/>
    <w:rsid w:val="00A555B6"/>
    <w:rsid w:val="00A60EC3"/>
    <w:rsid w:val="00A61A7A"/>
    <w:rsid w:val="00A64255"/>
    <w:rsid w:val="00A64B50"/>
    <w:rsid w:val="00A64C98"/>
    <w:rsid w:val="00A67487"/>
    <w:rsid w:val="00A67CEE"/>
    <w:rsid w:val="00A7101B"/>
    <w:rsid w:val="00A720EA"/>
    <w:rsid w:val="00A817BB"/>
    <w:rsid w:val="00A82769"/>
    <w:rsid w:val="00A82BBF"/>
    <w:rsid w:val="00A83E37"/>
    <w:rsid w:val="00A84688"/>
    <w:rsid w:val="00A84A8F"/>
    <w:rsid w:val="00A915FE"/>
    <w:rsid w:val="00A932A9"/>
    <w:rsid w:val="00A93829"/>
    <w:rsid w:val="00A93BEF"/>
    <w:rsid w:val="00A95D05"/>
    <w:rsid w:val="00A9725C"/>
    <w:rsid w:val="00AA0446"/>
    <w:rsid w:val="00AA0752"/>
    <w:rsid w:val="00AA36D7"/>
    <w:rsid w:val="00AA5F16"/>
    <w:rsid w:val="00AA72F7"/>
    <w:rsid w:val="00AB3340"/>
    <w:rsid w:val="00AC106D"/>
    <w:rsid w:val="00AC6B1F"/>
    <w:rsid w:val="00AC72D4"/>
    <w:rsid w:val="00AD0697"/>
    <w:rsid w:val="00AD0E97"/>
    <w:rsid w:val="00AD20E7"/>
    <w:rsid w:val="00AD2EAD"/>
    <w:rsid w:val="00AD30FE"/>
    <w:rsid w:val="00AD5368"/>
    <w:rsid w:val="00AD67F1"/>
    <w:rsid w:val="00AE348F"/>
    <w:rsid w:val="00AE5EEF"/>
    <w:rsid w:val="00AF2026"/>
    <w:rsid w:val="00AF46AA"/>
    <w:rsid w:val="00AF4D8A"/>
    <w:rsid w:val="00AF5548"/>
    <w:rsid w:val="00AF5D4C"/>
    <w:rsid w:val="00B010BE"/>
    <w:rsid w:val="00B06314"/>
    <w:rsid w:val="00B06C1F"/>
    <w:rsid w:val="00B07458"/>
    <w:rsid w:val="00B10C04"/>
    <w:rsid w:val="00B129D9"/>
    <w:rsid w:val="00B13CE2"/>
    <w:rsid w:val="00B13E72"/>
    <w:rsid w:val="00B1403B"/>
    <w:rsid w:val="00B15F49"/>
    <w:rsid w:val="00B1765C"/>
    <w:rsid w:val="00B2032B"/>
    <w:rsid w:val="00B216E5"/>
    <w:rsid w:val="00B21ED0"/>
    <w:rsid w:val="00B26AE4"/>
    <w:rsid w:val="00B32D16"/>
    <w:rsid w:val="00B3311D"/>
    <w:rsid w:val="00B345D6"/>
    <w:rsid w:val="00B3671E"/>
    <w:rsid w:val="00B40740"/>
    <w:rsid w:val="00B40CD8"/>
    <w:rsid w:val="00B40E39"/>
    <w:rsid w:val="00B4388F"/>
    <w:rsid w:val="00B44720"/>
    <w:rsid w:val="00B44C73"/>
    <w:rsid w:val="00B4644B"/>
    <w:rsid w:val="00B473A7"/>
    <w:rsid w:val="00B51674"/>
    <w:rsid w:val="00B52A1D"/>
    <w:rsid w:val="00B52E81"/>
    <w:rsid w:val="00B539B9"/>
    <w:rsid w:val="00B550E4"/>
    <w:rsid w:val="00B55209"/>
    <w:rsid w:val="00B552B8"/>
    <w:rsid w:val="00B55B03"/>
    <w:rsid w:val="00B56CF1"/>
    <w:rsid w:val="00B604EE"/>
    <w:rsid w:val="00B61252"/>
    <w:rsid w:val="00B6283B"/>
    <w:rsid w:val="00B63102"/>
    <w:rsid w:val="00B6327E"/>
    <w:rsid w:val="00B660E7"/>
    <w:rsid w:val="00B72380"/>
    <w:rsid w:val="00B7449E"/>
    <w:rsid w:val="00B74886"/>
    <w:rsid w:val="00B759AA"/>
    <w:rsid w:val="00B75F52"/>
    <w:rsid w:val="00B75FCB"/>
    <w:rsid w:val="00B7614C"/>
    <w:rsid w:val="00B77968"/>
    <w:rsid w:val="00B801C2"/>
    <w:rsid w:val="00B80CCB"/>
    <w:rsid w:val="00B85CE4"/>
    <w:rsid w:val="00B86402"/>
    <w:rsid w:val="00B869AB"/>
    <w:rsid w:val="00B8748E"/>
    <w:rsid w:val="00B875F7"/>
    <w:rsid w:val="00B93F77"/>
    <w:rsid w:val="00B95D98"/>
    <w:rsid w:val="00B96D7E"/>
    <w:rsid w:val="00BA2F4C"/>
    <w:rsid w:val="00BA3013"/>
    <w:rsid w:val="00BA555E"/>
    <w:rsid w:val="00BA5C6E"/>
    <w:rsid w:val="00BA7A3D"/>
    <w:rsid w:val="00BB0A7C"/>
    <w:rsid w:val="00BB3510"/>
    <w:rsid w:val="00BB3A6C"/>
    <w:rsid w:val="00BB7C93"/>
    <w:rsid w:val="00BB7E28"/>
    <w:rsid w:val="00BC33AD"/>
    <w:rsid w:val="00BC34F1"/>
    <w:rsid w:val="00BC4498"/>
    <w:rsid w:val="00BD1A67"/>
    <w:rsid w:val="00BD42DF"/>
    <w:rsid w:val="00BD5C9B"/>
    <w:rsid w:val="00BD7A4E"/>
    <w:rsid w:val="00BD7C3E"/>
    <w:rsid w:val="00BE04E6"/>
    <w:rsid w:val="00BE058B"/>
    <w:rsid w:val="00BE23B8"/>
    <w:rsid w:val="00BE33A3"/>
    <w:rsid w:val="00BE3E71"/>
    <w:rsid w:val="00BE42D5"/>
    <w:rsid w:val="00BE508E"/>
    <w:rsid w:val="00BE5622"/>
    <w:rsid w:val="00BE6029"/>
    <w:rsid w:val="00BF0E25"/>
    <w:rsid w:val="00BF29FC"/>
    <w:rsid w:val="00BF3192"/>
    <w:rsid w:val="00BF4376"/>
    <w:rsid w:val="00BF51AC"/>
    <w:rsid w:val="00C004E3"/>
    <w:rsid w:val="00C034DC"/>
    <w:rsid w:val="00C03E2E"/>
    <w:rsid w:val="00C06125"/>
    <w:rsid w:val="00C06B1E"/>
    <w:rsid w:val="00C06D38"/>
    <w:rsid w:val="00C0748C"/>
    <w:rsid w:val="00C10DBF"/>
    <w:rsid w:val="00C13543"/>
    <w:rsid w:val="00C14A2B"/>
    <w:rsid w:val="00C15962"/>
    <w:rsid w:val="00C2182E"/>
    <w:rsid w:val="00C224BD"/>
    <w:rsid w:val="00C22D49"/>
    <w:rsid w:val="00C2347B"/>
    <w:rsid w:val="00C235D7"/>
    <w:rsid w:val="00C257D8"/>
    <w:rsid w:val="00C2709D"/>
    <w:rsid w:val="00C332B6"/>
    <w:rsid w:val="00C346EF"/>
    <w:rsid w:val="00C351BE"/>
    <w:rsid w:val="00C37B9E"/>
    <w:rsid w:val="00C41336"/>
    <w:rsid w:val="00C41DA7"/>
    <w:rsid w:val="00C424C3"/>
    <w:rsid w:val="00C43F22"/>
    <w:rsid w:val="00C454A9"/>
    <w:rsid w:val="00C5141D"/>
    <w:rsid w:val="00C525F8"/>
    <w:rsid w:val="00C5437C"/>
    <w:rsid w:val="00C6240F"/>
    <w:rsid w:val="00C6269B"/>
    <w:rsid w:val="00C630B9"/>
    <w:rsid w:val="00C6758B"/>
    <w:rsid w:val="00C679E8"/>
    <w:rsid w:val="00C7005B"/>
    <w:rsid w:val="00C70385"/>
    <w:rsid w:val="00C74AE6"/>
    <w:rsid w:val="00C75E17"/>
    <w:rsid w:val="00C76F22"/>
    <w:rsid w:val="00C77B21"/>
    <w:rsid w:val="00C8222D"/>
    <w:rsid w:val="00C82302"/>
    <w:rsid w:val="00C84CCE"/>
    <w:rsid w:val="00C8662D"/>
    <w:rsid w:val="00C86B01"/>
    <w:rsid w:val="00C90339"/>
    <w:rsid w:val="00C936C8"/>
    <w:rsid w:val="00C97B32"/>
    <w:rsid w:val="00CA2D94"/>
    <w:rsid w:val="00CB019F"/>
    <w:rsid w:val="00CB15E9"/>
    <w:rsid w:val="00CB2055"/>
    <w:rsid w:val="00CB472A"/>
    <w:rsid w:val="00CB5CC0"/>
    <w:rsid w:val="00CB640A"/>
    <w:rsid w:val="00CB7191"/>
    <w:rsid w:val="00CC459A"/>
    <w:rsid w:val="00CC54CD"/>
    <w:rsid w:val="00CC6D83"/>
    <w:rsid w:val="00CC7429"/>
    <w:rsid w:val="00CC7677"/>
    <w:rsid w:val="00CD0E31"/>
    <w:rsid w:val="00CD1774"/>
    <w:rsid w:val="00CD1784"/>
    <w:rsid w:val="00CD29C9"/>
    <w:rsid w:val="00CD5763"/>
    <w:rsid w:val="00CE0262"/>
    <w:rsid w:val="00CE086A"/>
    <w:rsid w:val="00CE0E26"/>
    <w:rsid w:val="00CE3B7C"/>
    <w:rsid w:val="00CE5B25"/>
    <w:rsid w:val="00CE5B46"/>
    <w:rsid w:val="00CE63D3"/>
    <w:rsid w:val="00CE6AC1"/>
    <w:rsid w:val="00CE700B"/>
    <w:rsid w:val="00CE7830"/>
    <w:rsid w:val="00CF28F8"/>
    <w:rsid w:val="00D01A8F"/>
    <w:rsid w:val="00D02B3A"/>
    <w:rsid w:val="00D07F9B"/>
    <w:rsid w:val="00D107BE"/>
    <w:rsid w:val="00D10C10"/>
    <w:rsid w:val="00D1283E"/>
    <w:rsid w:val="00D13C58"/>
    <w:rsid w:val="00D13EBC"/>
    <w:rsid w:val="00D14125"/>
    <w:rsid w:val="00D25A59"/>
    <w:rsid w:val="00D26272"/>
    <w:rsid w:val="00D31C54"/>
    <w:rsid w:val="00D330A1"/>
    <w:rsid w:val="00D330B7"/>
    <w:rsid w:val="00D33720"/>
    <w:rsid w:val="00D438DE"/>
    <w:rsid w:val="00D467D4"/>
    <w:rsid w:val="00D4737A"/>
    <w:rsid w:val="00D47B38"/>
    <w:rsid w:val="00D54E5F"/>
    <w:rsid w:val="00D55DF5"/>
    <w:rsid w:val="00D55F42"/>
    <w:rsid w:val="00D61DDC"/>
    <w:rsid w:val="00D61E67"/>
    <w:rsid w:val="00D62F05"/>
    <w:rsid w:val="00D64997"/>
    <w:rsid w:val="00D65B00"/>
    <w:rsid w:val="00D65B96"/>
    <w:rsid w:val="00D6645C"/>
    <w:rsid w:val="00D673A9"/>
    <w:rsid w:val="00D70377"/>
    <w:rsid w:val="00D70474"/>
    <w:rsid w:val="00D73038"/>
    <w:rsid w:val="00D738F7"/>
    <w:rsid w:val="00D75A18"/>
    <w:rsid w:val="00D760CE"/>
    <w:rsid w:val="00D771CE"/>
    <w:rsid w:val="00D8055F"/>
    <w:rsid w:val="00D80C4B"/>
    <w:rsid w:val="00D80FFE"/>
    <w:rsid w:val="00D81692"/>
    <w:rsid w:val="00D82917"/>
    <w:rsid w:val="00D84F95"/>
    <w:rsid w:val="00D85235"/>
    <w:rsid w:val="00D85BB9"/>
    <w:rsid w:val="00D90575"/>
    <w:rsid w:val="00D92344"/>
    <w:rsid w:val="00DA0FD7"/>
    <w:rsid w:val="00DA2F45"/>
    <w:rsid w:val="00DA3D95"/>
    <w:rsid w:val="00DA6D13"/>
    <w:rsid w:val="00DA78BB"/>
    <w:rsid w:val="00DA7C06"/>
    <w:rsid w:val="00DB2D65"/>
    <w:rsid w:val="00DB38AB"/>
    <w:rsid w:val="00DB58DE"/>
    <w:rsid w:val="00DB65C5"/>
    <w:rsid w:val="00DB6B01"/>
    <w:rsid w:val="00DC62B9"/>
    <w:rsid w:val="00DC681A"/>
    <w:rsid w:val="00DD1802"/>
    <w:rsid w:val="00DD2DCB"/>
    <w:rsid w:val="00DD37E3"/>
    <w:rsid w:val="00DD7D02"/>
    <w:rsid w:val="00DE2911"/>
    <w:rsid w:val="00DE2D9B"/>
    <w:rsid w:val="00DE2FCD"/>
    <w:rsid w:val="00DE393A"/>
    <w:rsid w:val="00DE4AF8"/>
    <w:rsid w:val="00DE765A"/>
    <w:rsid w:val="00DF011B"/>
    <w:rsid w:val="00DF239D"/>
    <w:rsid w:val="00DF54C4"/>
    <w:rsid w:val="00DF74FE"/>
    <w:rsid w:val="00E067E4"/>
    <w:rsid w:val="00E073E9"/>
    <w:rsid w:val="00E101C1"/>
    <w:rsid w:val="00E12C60"/>
    <w:rsid w:val="00E17C3F"/>
    <w:rsid w:val="00E17D1D"/>
    <w:rsid w:val="00E20167"/>
    <w:rsid w:val="00E20343"/>
    <w:rsid w:val="00E20843"/>
    <w:rsid w:val="00E2417D"/>
    <w:rsid w:val="00E24D38"/>
    <w:rsid w:val="00E317F8"/>
    <w:rsid w:val="00E319C6"/>
    <w:rsid w:val="00E3247A"/>
    <w:rsid w:val="00E33FBD"/>
    <w:rsid w:val="00E421A6"/>
    <w:rsid w:val="00E44B4B"/>
    <w:rsid w:val="00E520D6"/>
    <w:rsid w:val="00E53129"/>
    <w:rsid w:val="00E55EF4"/>
    <w:rsid w:val="00E5692F"/>
    <w:rsid w:val="00E572A8"/>
    <w:rsid w:val="00E604CD"/>
    <w:rsid w:val="00E62502"/>
    <w:rsid w:val="00E62A7C"/>
    <w:rsid w:val="00E62BFF"/>
    <w:rsid w:val="00E67B75"/>
    <w:rsid w:val="00E705A5"/>
    <w:rsid w:val="00E70D9D"/>
    <w:rsid w:val="00E717F9"/>
    <w:rsid w:val="00E71946"/>
    <w:rsid w:val="00E719CF"/>
    <w:rsid w:val="00E722C6"/>
    <w:rsid w:val="00E727BF"/>
    <w:rsid w:val="00E73F6E"/>
    <w:rsid w:val="00E7527F"/>
    <w:rsid w:val="00E75E0C"/>
    <w:rsid w:val="00E76671"/>
    <w:rsid w:val="00E77D7E"/>
    <w:rsid w:val="00E82D42"/>
    <w:rsid w:val="00E9020B"/>
    <w:rsid w:val="00EA2412"/>
    <w:rsid w:val="00EA2BBD"/>
    <w:rsid w:val="00EA323C"/>
    <w:rsid w:val="00EA4B14"/>
    <w:rsid w:val="00EB0442"/>
    <w:rsid w:val="00EB1F5C"/>
    <w:rsid w:val="00EB63B6"/>
    <w:rsid w:val="00EB6B11"/>
    <w:rsid w:val="00EB6CDD"/>
    <w:rsid w:val="00EC0F13"/>
    <w:rsid w:val="00EC1155"/>
    <w:rsid w:val="00EC1818"/>
    <w:rsid w:val="00EC238B"/>
    <w:rsid w:val="00EC5CF0"/>
    <w:rsid w:val="00EC5EEF"/>
    <w:rsid w:val="00EC630D"/>
    <w:rsid w:val="00ED0D72"/>
    <w:rsid w:val="00ED127D"/>
    <w:rsid w:val="00ED2CFA"/>
    <w:rsid w:val="00ED339E"/>
    <w:rsid w:val="00ED5983"/>
    <w:rsid w:val="00ED7B4F"/>
    <w:rsid w:val="00EE53E8"/>
    <w:rsid w:val="00EF181B"/>
    <w:rsid w:val="00EF20D0"/>
    <w:rsid w:val="00EF7ED5"/>
    <w:rsid w:val="00F00AB6"/>
    <w:rsid w:val="00F01AA0"/>
    <w:rsid w:val="00F03129"/>
    <w:rsid w:val="00F0379E"/>
    <w:rsid w:val="00F056DD"/>
    <w:rsid w:val="00F06995"/>
    <w:rsid w:val="00F06D87"/>
    <w:rsid w:val="00F10763"/>
    <w:rsid w:val="00F10940"/>
    <w:rsid w:val="00F11919"/>
    <w:rsid w:val="00F200F9"/>
    <w:rsid w:val="00F20584"/>
    <w:rsid w:val="00F2166D"/>
    <w:rsid w:val="00F217E2"/>
    <w:rsid w:val="00F23232"/>
    <w:rsid w:val="00F30570"/>
    <w:rsid w:val="00F3452A"/>
    <w:rsid w:val="00F353A1"/>
    <w:rsid w:val="00F3575D"/>
    <w:rsid w:val="00F40805"/>
    <w:rsid w:val="00F41B15"/>
    <w:rsid w:val="00F46380"/>
    <w:rsid w:val="00F5241A"/>
    <w:rsid w:val="00F54B02"/>
    <w:rsid w:val="00F552C2"/>
    <w:rsid w:val="00F56BA2"/>
    <w:rsid w:val="00F56D24"/>
    <w:rsid w:val="00F57632"/>
    <w:rsid w:val="00F579EF"/>
    <w:rsid w:val="00F62A72"/>
    <w:rsid w:val="00F62D78"/>
    <w:rsid w:val="00F6486B"/>
    <w:rsid w:val="00F70483"/>
    <w:rsid w:val="00F73E11"/>
    <w:rsid w:val="00F76661"/>
    <w:rsid w:val="00F77A70"/>
    <w:rsid w:val="00F83ABC"/>
    <w:rsid w:val="00F862D9"/>
    <w:rsid w:val="00F878E1"/>
    <w:rsid w:val="00F95A0F"/>
    <w:rsid w:val="00FA4FA1"/>
    <w:rsid w:val="00FA6861"/>
    <w:rsid w:val="00FB1BF3"/>
    <w:rsid w:val="00FB2BFF"/>
    <w:rsid w:val="00FB3602"/>
    <w:rsid w:val="00FB3F4C"/>
    <w:rsid w:val="00FB49B1"/>
    <w:rsid w:val="00FC047C"/>
    <w:rsid w:val="00FC0491"/>
    <w:rsid w:val="00FC0F00"/>
    <w:rsid w:val="00FC36FB"/>
    <w:rsid w:val="00FC4B6C"/>
    <w:rsid w:val="00FC541D"/>
    <w:rsid w:val="00FC7587"/>
    <w:rsid w:val="00FC78CC"/>
    <w:rsid w:val="00FC7F22"/>
    <w:rsid w:val="00FD551F"/>
    <w:rsid w:val="00FD6B36"/>
    <w:rsid w:val="00FE31CC"/>
    <w:rsid w:val="00FE522B"/>
    <w:rsid w:val="00FE535E"/>
    <w:rsid w:val="00FE7DA0"/>
    <w:rsid w:val="00FF0ABA"/>
    <w:rsid w:val="00FF17F8"/>
    <w:rsid w:val="00FF387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B7F"/>
    <w:rPr>
      <w:sz w:val="24"/>
      <w:szCs w:val="24"/>
    </w:rPr>
  </w:style>
  <w:style w:type="paragraph" w:styleId="Heading1">
    <w:name w:val="heading 1"/>
    <w:basedOn w:val="Normal"/>
    <w:next w:val="Normal"/>
    <w:link w:val="Heading1Char"/>
    <w:uiPriority w:val="99"/>
    <w:qFormat/>
    <w:rsid w:val="00CE7830"/>
    <w:pPr>
      <w:keepNext/>
      <w:suppressAutoHyphens/>
      <w:spacing w:before="240" w:after="60"/>
      <w:outlineLvl w:val="0"/>
    </w:pPr>
    <w:rPr>
      <w:rFonts w:ascii="Arial" w:hAnsi="Arial" w:cs="Arial"/>
      <w:b/>
      <w:bCs/>
      <w:kern w:val="32"/>
      <w:sz w:val="32"/>
      <w:szCs w:val="32"/>
      <w:lang w:val="en-US" w:eastAsia="ar-SA"/>
    </w:rPr>
  </w:style>
  <w:style w:type="paragraph" w:styleId="Heading2">
    <w:name w:val="heading 2"/>
    <w:basedOn w:val="Normal"/>
    <w:next w:val="Normal"/>
    <w:link w:val="Heading2Char"/>
    <w:uiPriority w:val="99"/>
    <w:qFormat/>
    <w:rsid w:val="00C2347B"/>
    <w:pPr>
      <w:keepNext/>
      <w:spacing w:before="240" w:after="60"/>
      <w:outlineLvl w:val="1"/>
    </w:pPr>
    <w:rPr>
      <w:rFonts w:ascii="Arial" w:hAnsi="Arial" w:cs="Arial"/>
      <w:b/>
      <w:bCs/>
      <w:i/>
      <w:sz w:val="28"/>
      <w:szCs w:val="28"/>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0523F"/>
    <w:rPr>
      <w:rFonts w:ascii="Cambria" w:hAnsi="Cambria" w:cs="Times New Roman"/>
      <w:b/>
      <w:bCs/>
      <w:kern w:val="32"/>
      <w:sz w:val="32"/>
      <w:szCs w:val="32"/>
    </w:rPr>
  </w:style>
  <w:style w:type="character" w:customStyle="1" w:styleId="Heading2Char">
    <w:name w:val="Heading 2 Char"/>
    <w:link w:val="Heading2"/>
    <w:uiPriority w:val="99"/>
    <w:semiHidden/>
    <w:locked/>
    <w:rsid w:val="0020523F"/>
    <w:rPr>
      <w:rFonts w:ascii="Cambria" w:hAnsi="Cambria" w:cs="Times New Roman"/>
      <w:b/>
      <w:bCs/>
      <w:i/>
      <w:iCs/>
      <w:sz w:val="28"/>
      <w:szCs w:val="28"/>
    </w:rPr>
  </w:style>
  <w:style w:type="paragraph" w:customStyle="1" w:styleId="naisc">
    <w:name w:val="naisc"/>
    <w:basedOn w:val="Normal"/>
    <w:uiPriority w:val="99"/>
    <w:rsid w:val="00575B7F"/>
    <w:pPr>
      <w:spacing w:before="75" w:after="75"/>
      <w:jc w:val="center"/>
    </w:pPr>
  </w:style>
  <w:style w:type="paragraph" w:styleId="Header">
    <w:name w:val="header"/>
    <w:basedOn w:val="Normal"/>
    <w:link w:val="HeaderChar"/>
    <w:uiPriority w:val="99"/>
    <w:rsid w:val="00575B7F"/>
    <w:pPr>
      <w:tabs>
        <w:tab w:val="center" w:pos="4153"/>
        <w:tab w:val="right" w:pos="8306"/>
      </w:tabs>
    </w:pPr>
  </w:style>
  <w:style w:type="character" w:customStyle="1" w:styleId="HeaderChar">
    <w:name w:val="Header Char"/>
    <w:link w:val="Header"/>
    <w:uiPriority w:val="99"/>
    <w:semiHidden/>
    <w:locked/>
    <w:rsid w:val="0020523F"/>
    <w:rPr>
      <w:rFonts w:cs="Times New Roman"/>
      <w:sz w:val="24"/>
      <w:szCs w:val="24"/>
    </w:rPr>
  </w:style>
  <w:style w:type="character" w:styleId="PageNumber">
    <w:name w:val="page number"/>
    <w:uiPriority w:val="99"/>
    <w:rsid w:val="00575B7F"/>
    <w:rPr>
      <w:rFonts w:cs="Times New Roman"/>
    </w:rPr>
  </w:style>
  <w:style w:type="paragraph" w:styleId="Footer">
    <w:name w:val="footer"/>
    <w:basedOn w:val="Normal"/>
    <w:link w:val="FooterChar1"/>
    <w:uiPriority w:val="99"/>
    <w:rsid w:val="00575B7F"/>
    <w:pPr>
      <w:tabs>
        <w:tab w:val="center" w:pos="4153"/>
        <w:tab w:val="right" w:pos="8306"/>
      </w:tabs>
    </w:pPr>
  </w:style>
  <w:style w:type="character" w:customStyle="1" w:styleId="FooterChar1">
    <w:name w:val="Footer Char1"/>
    <w:link w:val="Footer"/>
    <w:uiPriority w:val="99"/>
    <w:semiHidden/>
    <w:locked/>
    <w:rsid w:val="0020523F"/>
    <w:rPr>
      <w:rFonts w:cs="Times New Roman"/>
      <w:sz w:val="24"/>
      <w:szCs w:val="24"/>
    </w:rPr>
  </w:style>
  <w:style w:type="paragraph" w:styleId="NormalWeb">
    <w:name w:val="Normal (Web)"/>
    <w:basedOn w:val="Normal"/>
    <w:link w:val="NormalWebChar"/>
    <w:rsid w:val="00575B7F"/>
    <w:pPr>
      <w:spacing w:before="75" w:after="75"/>
    </w:pPr>
    <w:rPr>
      <w:rFonts w:eastAsia="SimSun"/>
      <w:noProof/>
      <w:lang w:eastAsia="zh-CN"/>
    </w:rPr>
  </w:style>
  <w:style w:type="paragraph" w:customStyle="1" w:styleId="naiskr">
    <w:name w:val="naiskr"/>
    <w:basedOn w:val="Normal"/>
    <w:uiPriority w:val="99"/>
    <w:rsid w:val="00470590"/>
    <w:pPr>
      <w:spacing w:before="75" w:after="75"/>
    </w:pPr>
  </w:style>
  <w:style w:type="character" w:styleId="Hyperlink">
    <w:name w:val="Hyperlink"/>
    <w:uiPriority w:val="99"/>
    <w:rsid w:val="009F1CB7"/>
    <w:rPr>
      <w:rFonts w:cs="Times New Roman"/>
      <w:color w:val="0000FF"/>
      <w:u w:val="single"/>
    </w:rPr>
  </w:style>
  <w:style w:type="paragraph" w:customStyle="1" w:styleId="naisf">
    <w:name w:val="naisf"/>
    <w:basedOn w:val="Normal"/>
    <w:rsid w:val="008410FE"/>
    <w:pPr>
      <w:spacing w:before="58" w:after="58"/>
      <w:ind w:firstLine="288"/>
      <w:jc w:val="both"/>
    </w:pPr>
  </w:style>
  <w:style w:type="paragraph" w:customStyle="1" w:styleId="naisnod">
    <w:name w:val="naisnod"/>
    <w:basedOn w:val="Normal"/>
    <w:uiPriority w:val="99"/>
    <w:rsid w:val="008410FE"/>
    <w:pPr>
      <w:spacing w:before="115" w:after="115"/>
      <w:jc w:val="center"/>
    </w:pPr>
    <w:rPr>
      <w:b/>
      <w:bCs/>
    </w:rPr>
  </w:style>
  <w:style w:type="paragraph" w:customStyle="1" w:styleId="naislab">
    <w:name w:val="naislab"/>
    <w:basedOn w:val="Normal"/>
    <w:uiPriority w:val="99"/>
    <w:rsid w:val="008410FE"/>
    <w:pPr>
      <w:spacing w:before="58" w:after="58"/>
      <w:jc w:val="right"/>
    </w:pPr>
  </w:style>
  <w:style w:type="paragraph" w:styleId="BodyTextIndent">
    <w:name w:val="Body Text Indent"/>
    <w:basedOn w:val="Normal"/>
    <w:link w:val="BodyTextIndentChar"/>
    <w:uiPriority w:val="99"/>
    <w:rsid w:val="008410FE"/>
    <w:pPr>
      <w:spacing w:after="120"/>
      <w:ind w:left="283"/>
    </w:pPr>
  </w:style>
  <w:style w:type="character" w:customStyle="1" w:styleId="BodyTextIndentChar">
    <w:name w:val="Body Text Indent Char"/>
    <w:link w:val="BodyTextIndent"/>
    <w:uiPriority w:val="99"/>
    <w:semiHidden/>
    <w:locked/>
    <w:rsid w:val="0020523F"/>
    <w:rPr>
      <w:rFonts w:cs="Times New Roman"/>
      <w:sz w:val="24"/>
      <w:szCs w:val="24"/>
    </w:rPr>
  </w:style>
  <w:style w:type="paragraph" w:customStyle="1" w:styleId="naispant">
    <w:name w:val="naispant"/>
    <w:basedOn w:val="Normal"/>
    <w:uiPriority w:val="99"/>
    <w:rsid w:val="00BF0E25"/>
    <w:pPr>
      <w:spacing w:before="75" w:after="75"/>
      <w:ind w:left="375" w:firstLine="375"/>
      <w:jc w:val="both"/>
    </w:pPr>
    <w:rPr>
      <w:b/>
      <w:bCs/>
    </w:rPr>
  </w:style>
  <w:style w:type="paragraph" w:customStyle="1" w:styleId="CharCharCharCharCharCharChar">
    <w:name w:val="Char Char Char Char Char Char Char"/>
    <w:basedOn w:val="Normal"/>
    <w:uiPriority w:val="99"/>
    <w:rsid w:val="00633B7F"/>
    <w:pPr>
      <w:spacing w:before="40"/>
    </w:pPr>
    <w:rPr>
      <w:lang w:val="pl-PL" w:eastAsia="pl-PL"/>
    </w:rPr>
  </w:style>
  <w:style w:type="paragraph" w:styleId="BalloonText">
    <w:name w:val="Balloon Text"/>
    <w:basedOn w:val="Normal"/>
    <w:link w:val="BalloonTextChar"/>
    <w:uiPriority w:val="99"/>
    <w:semiHidden/>
    <w:rsid w:val="00C2347B"/>
    <w:rPr>
      <w:rFonts w:ascii="Tahoma" w:hAnsi="Tahoma" w:cs="Tahoma"/>
      <w:sz w:val="16"/>
      <w:szCs w:val="16"/>
    </w:rPr>
  </w:style>
  <w:style w:type="character" w:customStyle="1" w:styleId="BalloonTextChar">
    <w:name w:val="Balloon Text Char"/>
    <w:link w:val="BalloonText"/>
    <w:uiPriority w:val="99"/>
    <w:semiHidden/>
    <w:locked/>
    <w:rsid w:val="0020523F"/>
    <w:rPr>
      <w:rFonts w:cs="Times New Roman"/>
      <w:sz w:val="2"/>
    </w:rPr>
  </w:style>
  <w:style w:type="paragraph" w:customStyle="1" w:styleId="Default">
    <w:name w:val="Default"/>
    <w:uiPriority w:val="99"/>
    <w:rsid w:val="006C75CB"/>
    <w:pPr>
      <w:autoSpaceDE w:val="0"/>
      <w:autoSpaceDN w:val="0"/>
      <w:adjustRightInd w:val="0"/>
    </w:pPr>
    <w:rPr>
      <w:rFonts w:ascii="EUAlbertina" w:hAnsi="EUAlbertina" w:cs="EUAlbertina"/>
      <w:color w:val="000000"/>
      <w:sz w:val="24"/>
      <w:szCs w:val="24"/>
    </w:rPr>
  </w:style>
  <w:style w:type="paragraph" w:styleId="EnvelopeReturn">
    <w:name w:val="envelope return"/>
    <w:basedOn w:val="Normal"/>
    <w:semiHidden/>
    <w:unhideWhenUsed/>
    <w:rsid w:val="00B95D98"/>
    <w:pPr>
      <w:keepLines/>
      <w:widowControl w:val="0"/>
      <w:spacing w:before="600"/>
    </w:pPr>
    <w:rPr>
      <w:sz w:val="26"/>
      <w:szCs w:val="20"/>
      <w:lang w:val="en-AU" w:eastAsia="en-US"/>
    </w:rPr>
  </w:style>
  <w:style w:type="character" w:customStyle="1" w:styleId="FooterChar">
    <w:name w:val="Footer Char"/>
    <w:semiHidden/>
    <w:locked/>
    <w:rsid w:val="00826165"/>
    <w:rPr>
      <w:sz w:val="24"/>
      <w:szCs w:val="24"/>
      <w:lang w:val="en-GB" w:eastAsia="en-US" w:bidi="ar-SA"/>
    </w:rPr>
  </w:style>
  <w:style w:type="character" w:customStyle="1" w:styleId="st1">
    <w:name w:val="st1"/>
    <w:rsid w:val="00966610"/>
  </w:style>
  <w:style w:type="character" w:customStyle="1" w:styleId="pers12">
    <w:name w:val="pers12"/>
    <w:rsid w:val="004A1AF9"/>
    <w:rPr>
      <w:vanish w:val="0"/>
      <w:webHidden w:val="0"/>
      <w:color w:val="2DF18E"/>
      <w:specVanish w:val="0"/>
    </w:rPr>
  </w:style>
  <w:style w:type="character" w:customStyle="1" w:styleId="pers22">
    <w:name w:val="pers22"/>
    <w:rsid w:val="004A1AF9"/>
    <w:rPr>
      <w:vanish w:val="0"/>
      <w:webHidden w:val="0"/>
      <w:color w:val="FAE559"/>
      <w:specVanish w:val="0"/>
    </w:rPr>
  </w:style>
  <w:style w:type="character" w:customStyle="1" w:styleId="pers11">
    <w:name w:val="pers11"/>
    <w:rsid w:val="00BD7C3E"/>
    <w:rPr>
      <w:color w:val="2DF18E"/>
    </w:rPr>
  </w:style>
  <w:style w:type="character" w:customStyle="1" w:styleId="pers21">
    <w:name w:val="pers21"/>
    <w:rsid w:val="00BD7C3E"/>
    <w:rPr>
      <w:color w:val="FAE559"/>
    </w:rPr>
  </w:style>
  <w:style w:type="character" w:styleId="CommentReference">
    <w:name w:val="annotation reference"/>
    <w:uiPriority w:val="99"/>
    <w:semiHidden/>
    <w:unhideWhenUsed/>
    <w:rsid w:val="00B1765C"/>
    <w:rPr>
      <w:sz w:val="16"/>
      <w:szCs w:val="16"/>
    </w:rPr>
  </w:style>
  <w:style w:type="paragraph" w:styleId="CommentText">
    <w:name w:val="annotation text"/>
    <w:basedOn w:val="Normal"/>
    <w:link w:val="CommentTextChar"/>
    <w:uiPriority w:val="99"/>
    <w:semiHidden/>
    <w:unhideWhenUsed/>
    <w:rsid w:val="00B1765C"/>
    <w:rPr>
      <w:sz w:val="20"/>
      <w:szCs w:val="20"/>
    </w:rPr>
  </w:style>
  <w:style w:type="character" w:customStyle="1" w:styleId="CommentTextChar">
    <w:name w:val="Comment Text Char"/>
    <w:link w:val="CommentText"/>
    <w:uiPriority w:val="99"/>
    <w:semiHidden/>
    <w:rsid w:val="00B1765C"/>
    <w:rPr>
      <w:lang w:val="lv-LV" w:eastAsia="lv-LV"/>
    </w:rPr>
  </w:style>
  <w:style w:type="paragraph" w:styleId="CommentSubject">
    <w:name w:val="annotation subject"/>
    <w:basedOn w:val="CommentText"/>
    <w:next w:val="CommentText"/>
    <w:link w:val="CommentSubjectChar"/>
    <w:uiPriority w:val="99"/>
    <w:semiHidden/>
    <w:unhideWhenUsed/>
    <w:rsid w:val="00B1765C"/>
    <w:rPr>
      <w:b/>
      <w:bCs/>
    </w:rPr>
  </w:style>
  <w:style w:type="character" w:customStyle="1" w:styleId="CommentSubjectChar">
    <w:name w:val="Comment Subject Char"/>
    <w:link w:val="CommentSubject"/>
    <w:uiPriority w:val="99"/>
    <w:semiHidden/>
    <w:rsid w:val="00B1765C"/>
    <w:rPr>
      <w:b/>
      <w:bCs/>
      <w:lang w:val="lv-LV" w:eastAsia="lv-LV"/>
    </w:rPr>
  </w:style>
  <w:style w:type="paragraph" w:customStyle="1" w:styleId="tvhtml">
    <w:name w:val="tv_html"/>
    <w:basedOn w:val="Normal"/>
    <w:rsid w:val="00442222"/>
    <w:pPr>
      <w:spacing w:before="100" w:beforeAutospacing="1" w:after="100" w:afterAutospacing="1"/>
    </w:pPr>
    <w:rPr>
      <w:lang w:val="en-US" w:eastAsia="en-US"/>
    </w:rPr>
  </w:style>
  <w:style w:type="table" w:styleId="TableGrid">
    <w:name w:val="Table Grid"/>
    <w:basedOn w:val="TableNormal"/>
    <w:locked/>
    <w:rsid w:val="003812D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F4AC1"/>
    <w:pPr>
      <w:ind w:left="720"/>
      <w:contextualSpacing/>
    </w:pPr>
  </w:style>
  <w:style w:type="paragraph" w:styleId="FootnoteText">
    <w:name w:val="footnote text"/>
    <w:basedOn w:val="Normal"/>
    <w:link w:val="FootnoteTextChar"/>
    <w:uiPriority w:val="99"/>
    <w:semiHidden/>
    <w:unhideWhenUsed/>
    <w:rsid w:val="00F77A70"/>
    <w:rPr>
      <w:sz w:val="20"/>
      <w:szCs w:val="20"/>
    </w:rPr>
  </w:style>
  <w:style w:type="character" w:customStyle="1" w:styleId="FootnoteTextChar">
    <w:name w:val="Footnote Text Char"/>
    <w:basedOn w:val="DefaultParagraphFont"/>
    <w:link w:val="FootnoteText"/>
    <w:uiPriority w:val="99"/>
    <w:semiHidden/>
    <w:rsid w:val="00F77A70"/>
  </w:style>
  <w:style w:type="character" w:styleId="FootnoteReference">
    <w:name w:val="footnote reference"/>
    <w:basedOn w:val="DefaultParagraphFont"/>
    <w:uiPriority w:val="99"/>
    <w:semiHidden/>
    <w:unhideWhenUsed/>
    <w:rsid w:val="00F77A70"/>
    <w:rPr>
      <w:vertAlign w:val="superscript"/>
    </w:rPr>
  </w:style>
  <w:style w:type="character" w:customStyle="1" w:styleId="NormalWebChar">
    <w:name w:val="Normal (Web) Char"/>
    <w:basedOn w:val="DefaultParagraphFont"/>
    <w:link w:val="NormalWeb"/>
    <w:rsid w:val="00796C59"/>
    <w:rPr>
      <w:rFonts w:eastAsia="SimSun"/>
      <w:noProof/>
      <w:sz w:val="24"/>
      <w:szCs w:val="24"/>
      <w:lang w:eastAsia="zh-CN"/>
    </w:rPr>
  </w:style>
</w:styles>
</file>

<file path=word/webSettings.xml><?xml version="1.0" encoding="utf-8"?>
<w:webSettings xmlns:r="http://schemas.openxmlformats.org/officeDocument/2006/relationships" xmlns:w="http://schemas.openxmlformats.org/wordprocessingml/2006/main">
  <w:divs>
    <w:div w:id="8605100">
      <w:bodyDiv w:val="1"/>
      <w:marLeft w:val="0"/>
      <w:marRight w:val="0"/>
      <w:marTop w:val="0"/>
      <w:marBottom w:val="0"/>
      <w:divBdr>
        <w:top w:val="none" w:sz="0" w:space="0" w:color="auto"/>
        <w:left w:val="none" w:sz="0" w:space="0" w:color="auto"/>
        <w:bottom w:val="none" w:sz="0" w:space="0" w:color="auto"/>
        <w:right w:val="none" w:sz="0" w:space="0" w:color="auto"/>
      </w:divBdr>
    </w:div>
    <w:div w:id="68426556">
      <w:bodyDiv w:val="1"/>
      <w:marLeft w:val="0"/>
      <w:marRight w:val="0"/>
      <w:marTop w:val="0"/>
      <w:marBottom w:val="0"/>
      <w:divBdr>
        <w:top w:val="none" w:sz="0" w:space="0" w:color="auto"/>
        <w:left w:val="none" w:sz="0" w:space="0" w:color="auto"/>
        <w:bottom w:val="none" w:sz="0" w:space="0" w:color="auto"/>
        <w:right w:val="none" w:sz="0" w:space="0" w:color="auto"/>
      </w:divBdr>
    </w:div>
    <w:div w:id="257568314">
      <w:bodyDiv w:val="1"/>
      <w:marLeft w:val="0"/>
      <w:marRight w:val="0"/>
      <w:marTop w:val="0"/>
      <w:marBottom w:val="0"/>
      <w:divBdr>
        <w:top w:val="none" w:sz="0" w:space="0" w:color="auto"/>
        <w:left w:val="none" w:sz="0" w:space="0" w:color="auto"/>
        <w:bottom w:val="none" w:sz="0" w:space="0" w:color="auto"/>
        <w:right w:val="none" w:sz="0" w:space="0" w:color="auto"/>
      </w:divBdr>
    </w:div>
    <w:div w:id="453719708">
      <w:bodyDiv w:val="1"/>
      <w:marLeft w:val="0"/>
      <w:marRight w:val="0"/>
      <w:marTop w:val="0"/>
      <w:marBottom w:val="0"/>
      <w:divBdr>
        <w:top w:val="none" w:sz="0" w:space="0" w:color="auto"/>
        <w:left w:val="none" w:sz="0" w:space="0" w:color="auto"/>
        <w:bottom w:val="none" w:sz="0" w:space="0" w:color="auto"/>
        <w:right w:val="none" w:sz="0" w:space="0" w:color="auto"/>
      </w:divBdr>
      <w:divsChild>
        <w:div w:id="1594893782">
          <w:marLeft w:val="0"/>
          <w:marRight w:val="0"/>
          <w:marTop w:val="0"/>
          <w:marBottom w:val="0"/>
          <w:divBdr>
            <w:top w:val="none" w:sz="0" w:space="0" w:color="auto"/>
            <w:left w:val="none" w:sz="0" w:space="0" w:color="auto"/>
            <w:bottom w:val="none" w:sz="0" w:space="0" w:color="auto"/>
            <w:right w:val="none" w:sz="0" w:space="0" w:color="auto"/>
          </w:divBdr>
          <w:divsChild>
            <w:div w:id="1455902871">
              <w:marLeft w:val="0"/>
              <w:marRight w:val="0"/>
              <w:marTop w:val="0"/>
              <w:marBottom w:val="0"/>
              <w:divBdr>
                <w:top w:val="none" w:sz="0" w:space="0" w:color="auto"/>
                <w:left w:val="none" w:sz="0" w:space="0" w:color="auto"/>
                <w:bottom w:val="none" w:sz="0" w:space="0" w:color="auto"/>
                <w:right w:val="none" w:sz="0" w:space="0" w:color="auto"/>
              </w:divBdr>
              <w:divsChild>
                <w:div w:id="1164737313">
                  <w:marLeft w:val="0"/>
                  <w:marRight w:val="0"/>
                  <w:marTop w:val="0"/>
                  <w:marBottom w:val="0"/>
                  <w:divBdr>
                    <w:top w:val="none" w:sz="0" w:space="0" w:color="auto"/>
                    <w:left w:val="none" w:sz="0" w:space="0" w:color="auto"/>
                    <w:bottom w:val="none" w:sz="0" w:space="0" w:color="auto"/>
                    <w:right w:val="none" w:sz="0" w:space="0" w:color="auto"/>
                  </w:divBdr>
                  <w:divsChild>
                    <w:div w:id="38360719">
                      <w:marLeft w:val="0"/>
                      <w:marRight w:val="0"/>
                      <w:marTop w:val="0"/>
                      <w:marBottom w:val="0"/>
                      <w:divBdr>
                        <w:top w:val="none" w:sz="0" w:space="0" w:color="auto"/>
                        <w:left w:val="none" w:sz="0" w:space="0" w:color="auto"/>
                        <w:bottom w:val="none" w:sz="0" w:space="0" w:color="auto"/>
                        <w:right w:val="none" w:sz="0" w:space="0" w:color="auto"/>
                      </w:divBdr>
                      <w:divsChild>
                        <w:div w:id="705907437">
                          <w:marLeft w:val="0"/>
                          <w:marRight w:val="0"/>
                          <w:marTop w:val="0"/>
                          <w:marBottom w:val="0"/>
                          <w:divBdr>
                            <w:top w:val="none" w:sz="0" w:space="0" w:color="auto"/>
                            <w:left w:val="none" w:sz="0" w:space="0" w:color="auto"/>
                            <w:bottom w:val="none" w:sz="0" w:space="0" w:color="auto"/>
                            <w:right w:val="none" w:sz="0" w:space="0" w:color="auto"/>
                          </w:divBdr>
                          <w:divsChild>
                            <w:div w:id="177093334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8026273">
      <w:bodyDiv w:val="1"/>
      <w:marLeft w:val="0"/>
      <w:marRight w:val="0"/>
      <w:marTop w:val="0"/>
      <w:marBottom w:val="0"/>
      <w:divBdr>
        <w:top w:val="none" w:sz="0" w:space="0" w:color="auto"/>
        <w:left w:val="none" w:sz="0" w:space="0" w:color="auto"/>
        <w:bottom w:val="none" w:sz="0" w:space="0" w:color="auto"/>
        <w:right w:val="none" w:sz="0" w:space="0" w:color="auto"/>
      </w:divBdr>
    </w:div>
    <w:div w:id="1055424286">
      <w:bodyDiv w:val="1"/>
      <w:marLeft w:val="0"/>
      <w:marRight w:val="0"/>
      <w:marTop w:val="0"/>
      <w:marBottom w:val="0"/>
      <w:divBdr>
        <w:top w:val="none" w:sz="0" w:space="0" w:color="auto"/>
        <w:left w:val="none" w:sz="0" w:space="0" w:color="auto"/>
        <w:bottom w:val="none" w:sz="0" w:space="0" w:color="auto"/>
        <w:right w:val="none" w:sz="0" w:space="0" w:color="auto"/>
      </w:divBdr>
      <w:divsChild>
        <w:div w:id="1075662955">
          <w:marLeft w:val="0"/>
          <w:marRight w:val="0"/>
          <w:marTop w:val="0"/>
          <w:marBottom w:val="0"/>
          <w:divBdr>
            <w:top w:val="none" w:sz="0" w:space="0" w:color="auto"/>
            <w:left w:val="none" w:sz="0" w:space="0" w:color="auto"/>
            <w:bottom w:val="none" w:sz="0" w:space="0" w:color="auto"/>
            <w:right w:val="none" w:sz="0" w:space="0" w:color="auto"/>
          </w:divBdr>
          <w:divsChild>
            <w:div w:id="2053721782">
              <w:marLeft w:val="0"/>
              <w:marRight w:val="0"/>
              <w:marTop w:val="0"/>
              <w:marBottom w:val="0"/>
              <w:divBdr>
                <w:top w:val="none" w:sz="0" w:space="0" w:color="auto"/>
                <w:left w:val="none" w:sz="0" w:space="0" w:color="auto"/>
                <w:bottom w:val="none" w:sz="0" w:space="0" w:color="auto"/>
                <w:right w:val="none" w:sz="0" w:space="0" w:color="auto"/>
              </w:divBdr>
              <w:divsChild>
                <w:div w:id="667244577">
                  <w:marLeft w:val="0"/>
                  <w:marRight w:val="0"/>
                  <w:marTop w:val="0"/>
                  <w:marBottom w:val="0"/>
                  <w:divBdr>
                    <w:top w:val="none" w:sz="0" w:space="0" w:color="auto"/>
                    <w:left w:val="none" w:sz="0" w:space="0" w:color="auto"/>
                    <w:bottom w:val="none" w:sz="0" w:space="0" w:color="auto"/>
                    <w:right w:val="none" w:sz="0" w:space="0" w:color="auto"/>
                  </w:divBdr>
                  <w:divsChild>
                    <w:div w:id="751394417">
                      <w:marLeft w:val="0"/>
                      <w:marRight w:val="0"/>
                      <w:marTop w:val="120"/>
                      <w:marBottom w:val="150"/>
                      <w:divBdr>
                        <w:top w:val="none" w:sz="0" w:space="0" w:color="auto"/>
                        <w:left w:val="none" w:sz="0" w:space="0" w:color="auto"/>
                        <w:bottom w:val="none" w:sz="0" w:space="0" w:color="auto"/>
                        <w:right w:val="none" w:sz="0" w:space="0" w:color="auto"/>
                      </w:divBdr>
                      <w:divsChild>
                        <w:div w:id="592134023">
                          <w:marLeft w:val="345"/>
                          <w:marRight w:val="0"/>
                          <w:marTop w:val="300"/>
                          <w:marBottom w:val="0"/>
                          <w:divBdr>
                            <w:top w:val="none" w:sz="0" w:space="0" w:color="auto"/>
                            <w:left w:val="none" w:sz="0" w:space="0" w:color="auto"/>
                            <w:bottom w:val="none" w:sz="0" w:space="0" w:color="auto"/>
                            <w:right w:val="none" w:sz="0" w:space="0" w:color="auto"/>
                          </w:divBdr>
                          <w:divsChild>
                            <w:div w:id="820998877">
                              <w:marLeft w:val="2400"/>
                              <w:marRight w:val="0"/>
                              <w:marTop w:val="300"/>
                              <w:marBottom w:val="375"/>
                              <w:divBdr>
                                <w:top w:val="none" w:sz="0" w:space="0" w:color="auto"/>
                                <w:left w:val="none" w:sz="0" w:space="0" w:color="auto"/>
                                <w:bottom w:val="none" w:sz="0" w:space="0" w:color="auto"/>
                                <w:right w:val="none" w:sz="0" w:space="0" w:color="auto"/>
                              </w:divBdr>
                              <w:divsChild>
                                <w:div w:id="182839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2796024">
      <w:marLeft w:val="35"/>
      <w:marRight w:val="35"/>
      <w:marTop w:val="69"/>
      <w:marBottom w:val="69"/>
      <w:divBdr>
        <w:top w:val="none" w:sz="0" w:space="0" w:color="auto"/>
        <w:left w:val="none" w:sz="0" w:space="0" w:color="auto"/>
        <w:bottom w:val="none" w:sz="0" w:space="0" w:color="auto"/>
        <w:right w:val="none" w:sz="0" w:space="0" w:color="auto"/>
      </w:divBdr>
    </w:div>
    <w:div w:id="1102796025">
      <w:marLeft w:val="0"/>
      <w:marRight w:val="0"/>
      <w:marTop w:val="0"/>
      <w:marBottom w:val="0"/>
      <w:divBdr>
        <w:top w:val="none" w:sz="0" w:space="0" w:color="auto"/>
        <w:left w:val="none" w:sz="0" w:space="0" w:color="auto"/>
        <w:bottom w:val="none" w:sz="0" w:space="0" w:color="auto"/>
        <w:right w:val="none" w:sz="0" w:space="0" w:color="auto"/>
      </w:divBdr>
    </w:div>
    <w:div w:id="1185170786">
      <w:bodyDiv w:val="1"/>
      <w:marLeft w:val="0"/>
      <w:marRight w:val="0"/>
      <w:marTop w:val="0"/>
      <w:marBottom w:val="0"/>
      <w:divBdr>
        <w:top w:val="none" w:sz="0" w:space="0" w:color="auto"/>
        <w:left w:val="none" w:sz="0" w:space="0" w:color="auto"/>
        <w:bottom w:val="none" w:sz="0" w:space="0" w:color="auto"/>
        <w:right w:val="none" w:sz="0" w:space="0" w:color="auto"/>
      </w:divBdr>
    </w:div>
    <w:div w:id="1253710066">
      <w:bodyDiv w:val="1"/>
      <w:marLeft w:val="0"/>
      <w:marRight w:val="0"/>
      <w:marTop w:val="0"/>
      <w:marBottom w:val="0"/>
      <w:divBdr>
        <w:top w:val="none" w:sz="0" w:space="0" w:color="auto"/>
        <w:left w:val="none" w:sz="0" w:space="0" w:color="auto"/>
        <w:bottom w:val="none" w:sz="0" w:space="0" w:color="auto"/>
        <w:right w:val="none" w:sz="0" w:space="0" w:color="auto"/>
      </w:divBdr>
    </w:div>
    <w:div w:id="1431319904">
      <w:bodyDiv w:val="1"/>
      <w:marLeft w:val="0"/>
      <w:marRight w:val="0"/>
      <w:marTop w:val="0"/>
      <w:marBottom w:val="0"/>
      <w:divBdr>
        <w:top w:val="none" w:sz="0" w:space="0" w:color="auto"/>
        <w:left w:val="none" w:sz="0" w:space="0" w:color="auto"/>
        <w:bottom w:val="none" w:sz="0" w:space="0" w:color="auto"/>
        <w:right w:val="none" w:sz="0" w:space="0" w:color="auto"/>
      </w:divBdr>
    </w:div>
    <w:div w:id="1476409504">
      <w:bodyDiv w:val="1"/>
      <w:marLeft w:val="0"/>
      <w:marRight w:val="0"/>
      <w:marTop w:val="0"/>
      <w:marBottom w:val="0"/>
      <w:divBdr>
        <w:top w:val="none" w:sz="0" w:space="0" w:color="auto"/>
        <w:left w:val="none" w:sz="0" w:space="0" w:color="auto"/>
        <w:bottom w:val="none" w:sz="0" w:space="0" w:color="auto"/>
        <w:right w:val="none" w:sz="0" w:space="0" w:color="auto"/>
      </w:divBdr>
    </w:div>
    <w:div w:id="1508246839">
      <w:bodyDiv w:val="1"/>
      <w:marLeft w:val="0"/>
      <w:marRight w:val="0"/>
      <w:marTop w:val="0"/>
      <w:marBottom w:val="0"/>
      <w:divBdr>
        <w:top w:val="none" w:sz="0" w:space="0" w:color="auto"/>
        <w:left w:val="none" w:sz="0" w:space="0" w:color="auto"/>
        <w:bottom w:val="none" w:sz="0" w:space="0" w:color="auto"/>
        <w:right w:val="none" w:sz="0" w:space="0" w:color="auto"/>
      </w:divBdr>
    </w:div>
    <w:div w:id="157766257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882404919">
          <w:marLeft w:val="0"/>
          <w:marRight w:val="0"/>
          <w:marTop w:val="0"/>
          <w:marBottom w:val="0"/>
          <w:divBdr>
            <w:top w:val="none" w:sz="0" w:space="0" w:color="auto"/>
            <w:left w:val="none" w:sz="0" w:space="0" w:color="auto"/>
            <w:bottom w:val="none" w:sz="0" w:space="0" w:color="auto"/>
            <w:right w:val="none" w:sz="0" w:space="0" w:color="auto"/>
          </w:divBdr>
        </w:div>
      </w:divsChild>
    </w:div>
    <w:div w:id="1946112113">
      <w:bodyDiv w:val="1"/>
      <w:marLeft w:val="0"/>
      <w:marRight w:val="0"/>
      <w:marTop w:val="0"/>
      <w:marBottom w:val="0"/>
      <w:divBdr>
        <w:top w:val="none" w:sz="0" w:space="0" w:color="auto"/>
        <w:left w:val="none" w:sz="0" w:space="0" w:color="auto"/>
        <w:bottom w:val="none" w:sz="0" w:space="0" w:color="auto"/>
        <w:right w:val="none" w:sz="0" w:space="0" w:color="auto"/>
      </w:divBdr>
      <w:divsChild>
        <w:div w:id="361590982">
          <w:marLeft w:val="0"/>
          <w:marRight w:val="0"/>
          <w:marTop w:val="0"/>
          <w:marBottom w:val="0"/>
          <w:divBdr>
            <w:top w:val="none" w:sz="0" w:space="0" w:color="auto"/>
            <w:left w:val="none" w:sz="0" w:space="0" w:color="auto"/>
            <w:bottom w:val="none" w:sz="0" w:space="0" w:color="auto"/>
            <w:right w:val="none" w:sz="0" w:space="0" w:color="auto"/>
          </w:divBdr>
          <w:divsChild>
            <w:div w:id="654381341">
              <w:marLeft w:val="0"/>
              <w:marRight w:val="0"/>
              <w:marTop w:val="0"/>
              <w:marBottom w:val="0"/>
              <w:divBdr>
                <w:top w:val="none" w:sz="0" w:space="0" w:color="auto"/>
                <w:left w:val="none" w:sz="0" w:space="0" w:color="auto"/>
                <w:bottom w:val="none" w:sz="0" w:space="0" w:color="auto"/>
                <w:right w:val="none" w:sz="0" w:space="0" w:color="auto"/>
              </w:divBdr>
              <w:divsChild>
                <w:div w:id="439493425">
                  <w:marLeft w:val="0"/>
                  <w:marRight w:val="0"/>
                  <w:marTop w:val="0"/>
                  <w:marBottom w:val="0"/>
                  <w:divBdr>
                    <w:top w:val="none" w:sz="0" w:space="0" w:color="auto"/>
                    <w:left w:val="none" w:sz="0" w:space="0" w:color="auto"/>
                    <w:bottom w:val="none" w:sz="0" w:space="0" w:color="auto"/>
                    <w:right w:val="none" w:sz="0" w:space="0" w:color="auto"/>
                  </w:divBdr>
                  <w:divsChild>
                    <w:div w:id="1428110361">
                      <w:marLeft w:val="0"/>
                      <w:marRight w:val="0"/>
                      <w:marTop w:val="120"/>
                      <w:marBottom w:val="150"/>
                      <w:divBdr>
                        <w:top w:val="none" w:sz="0" w:space="0" w:color="auto"/>
                        <w:left w:val="none" w:sz="0" w:space="0" w:color="auto"/>
                        <w:bottom w:val="none" w:sz="0" w:space="0" w:color="auto"/>
                        <w:right w:val="none" w:sz="0" w:space="0" w:color="auto"/>
                      </w:divBdr>
                      <w:divsChild>
                        <w:div w:id="1530141670">
                          <w:marLeft w:val="345"/>
                          <w:marRight w:val="0"/>
                          <w:marTop w:val="300"/>
                          <w:marBottom w:val="0"/>
                          <w:divBdr>
                            <w:top w:val="none" w:sz="0" w:space="0" w:color="auto"/>
                            <w:left w:val="none" w:sz="0" w:space="0" w:color="auto"/>
                            <w:bottom w:val="none" w:sz="0" w:space="0" w:color="auto"/>
                            <w:right w:val="none" w:sz="0" w:space="0" w:color="auto"/>
                          </w:divBdr>
                          <w:divsChild>
                            <w:div w:id="1494103980">
                              <w:marLeft w:val="2400"/>
                              <w:marRight w:val="0"/>
                              <w:marTop w:val="300"/>
                              <w:marBottom w:val="375"/>
                              <w:divBdr>
                                <w:top w:val="none" w:sz="0" w:space="0" w:color="auto"/>
                                <w:left w:val="none" w:sz="0" w:space="0" w:color="auto"/>
                                <w:bottom w:val="none" w:sz="0" w:space="0" w:color="auto"/>
                                <w:right w:val="none" w:sz="0" w:space="0" w:color="auto"/>
                              </w:divBdr>
                              <w:divsChild>
                                <w:div w:id="899679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7926625">
      <w:bodyDiv w:val="1"/>
      <w:marLeft w:val="0"/>
      <w:marRight w:val="0"/>
      <w:marTop w:val="0"/>
      <w:marBottom w:val="0"/>
      <w:divBdr>
        <w:top w:val="none" w:sz="0" w:space="0" w:color="auto"/>
        <w:left w:val="none" w:sz="0" w:space="0" w:color="auto"/>
        <w:bottom w:val="none" w:sz="0" w:space="0" w:color="auto"/>
        <w:right w:val="none" w:sz="0" w:space="0" w:color="auto"/>
      </w:divBdr>
    </w:div>
    <w:div w:id="2091150082">
      <w:bodyDiv w:val="1"/>
      <w:marLeft w:val="0"/>
      <w:marRight w:val="0"/>
      <w:marTop w:val="0"/>
      <w:marBottom w:val="0"/>
      <w:divBdr>
        <w:top w:val="none" w:sz="0" w:space="0" w:color="auto"/>
        <w:left w:val="none" w:sz="0" w:space="0" w:color="auto"/>
        <w:bottom w:val="none" w:sz="0" w:space="0" w:color="auto"/>
        <w:right w:val="none" w:sz="0" w:space="0" w:color="auto"/>
      </w:divBdr>
      <w:divsChild>
        <w:div w:id="204755446">
          <w:marLeft w:val="0"/>
          <w:marRight w:val="0"/>
          <w:marTop w:val="0"/>
          <w:marBottom w:val="0"/>
          <w:divBdr>
            <w:top w:val="none" w:sz="0" w:space="0" w:color="auto"/>
            <w:left w:val="none" w:sz="0" w:space="0" w:color="auto"/>
            <w:bottom w:val="none" w:sz="0" w:space="0" w:color="auto"/>
            <w:right w:val="none" w:sz="0" w:space="0" w:color="auto"/>
          </w:divBdr>
          <w:divsChild>
            <w:div w:id="705719617">
              <w:marLeft w:val="0"/>
              <w:marRight w:val="0"/>
              <w:marTop w:val="0"/>
              <w:marBottom w:val="0"/>
              <w:divBdr>
                <w:top w:val="none" w:sz="0" w:space="0" w:color="auto"/>
                <w:left w:val="none" w:sz="0" w:space="0" w:color="auto"/>
                <w:bottom w:val="none" w:sz="0" w:space="0" w:color="auto"/>
                <w:right w:val="none" w:sz="0" w:space="0" w:color="auto"/>
              </w:divBdr>
              <w:divsChild>
                <w:div w:id="1066077006">
                  <w:marLeft w:val="0"/>
                  <w:marRight w:val="0"/>
                  <w:marTop w:val="0"/>
                  <w:marBottom w:val="0"/>
                  <w:divBdr>
                    <w:top w:val="none" w:sz="0" w:space="0" w:color="auto"/>
                    <w:left w:val="none" w:sz="0" w:space="0" w:color="auto"/>
                    <w:bottom w:val="none" w:sz="0" w:space="0" w:color="auto"/>
                    <w:right w:val="none" w:sz="0" w:space="0" w:color="auto"/>
                  </w:divBdr>
                  <w:divsChild>
                    <w:div w:id="391542650">
                      <w:marLeft w:val="0"/>
                      <w:marRight w:val="0"/>
                      <w:marTop w:val="0"/>
                      <w:marBottom w:val="0"/>
                      <w:divBdr>
                        <w:top w:val="none" w:sz="0" w:space="0" w:color="auto"/>
                        <w:left w:val="none" w:sz="0" w:space="0" w:color="auto"/>
                        <w:bottom w:val="none" w:sz="0" w:space="0" w:color="auto"/>
                        <w:right w:val="none" w:sz="0" w:space="0" w:color="auto"/>
                      </w:divBdr>
                      <w:divsChild>
                        <w:div w:id="1557279418">
                          <w:marLeft w:val="0"/>
                          <w:marRight w:val="0"/>
                          <w:marTop w:val="0"/>
                          <w:marBottom w:val="0"/>
                          <w:divBdr>
                            <w:top w:val="none" w:sz="0" w:space="0" w:color="auto"/>
                            <w:left w:val="none" w:sz="0" w:space="0" w:color="auto"/>
                            <w:bottom w:val="none" w:sz="0" w:space="0" w:color="auto"/>
                            <w:right w:val="none" w:sz="0" w:space="0" w:color="auto"/>
                          </w:divBdr>
                          <w:divsChild>
                            <w:div w:id="53674019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ga.Liepina@vm.gov.l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Liene.Abola@vm.gov.lv"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09D93A-A211-4274-947A-3E4E9B24E7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9</Pages>
  <Words>2080</Words>
  <Characters>13590</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2009.gada 15.decembra noteikumos Nr.1480 „Neatliekamās medicīniskās palīdzības dienesta nolikums”” sākotnējās ietekmes novērtējuma ziņojums (anotācija)</vt:lpstr>
    </vt:vector>
  </TitlesOfParts>
  <Company>Veselības ministrija</Company>
  <LinksUpToDate>false</LinksUpToDate>
  <CharactersWithSpaces>15639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2009.gada 15.decembra noteikumos Nr.1480 „Neatliekamās medicīniskās palīdzības dienesta nolikums”” sākotnējās ietekmes novērtējuma ziņojums (anotācija)</dc:title>
  <dc:subject>Anotācija</dc:subject>
  <dc:creator>Veselības ministrija</dc:creator>
  <dc:description>Inga Liepiņa, 67876080
Inga.Liepina@vm.gov.lv</dc:description>
  <cp:lastModifiedBy>iliepina</cp:lastModifiedBy>
  <cp:revision>8</cp:revision>
  <cp:lastPrinted>2014-11-26T11:08:00Z</cp:lastPrinted>
  <dcterms:created xsi:type="dcterms:W3CDTF">2014-12-16T07:54:00Z</dcterms:created>
  <dcterms:modified xsi:type="dcterms:W3CDTF">2014-12-16T08:49:00Z</dcterms:modified>
</cp:coreProperties>
</file>