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74DD" w14:textId="77777777" w:rsidR="003924C8" w:rsidRDefault="003924C8" w:rsidP="00883366">
      <w:pPr>
        <w:jc w:val="center"/>
        <w:rPr>
          <w:b/>
          <w:sz w:val="28"/>
        </w:rPr>
      </w:pPr>
      <w:bookmarkStart w:id="0" w:name="OLE_LINK5"/>
      <w:bookmarkStart w:id="1" w:name="OLE_LINK6"/>
    </w:p>
    <w:p w14:paraId="28657743" w14:textId="77777777" w:rsidR="00C10932" w:rsidRDefault="008156E7" w:rsidP="00883366">
      <w:pPr>
        <w:jc w:val="center"/>
        <w:rPr>
          <w:b/>
          <w:sz w:val="28"/>
        </w:rPr>
      </w:pPr>
      <w:r>
        <w:rPr>
          <w:b/>
          <w:sz w:val="28"/>
        </w:rPr>
        <w:t>Likumprojekta „</w:t>
      </w:r>
      <w:r w:rsidRPr="008156E7">
        <w:rPr>
          <w:b/>
          <w:sz w:val="28"/>
        </w:rPr>
        <w:t xml:space="preserve">Grozījumi </w:t>
      </w:r>
      <w:r w:rsidR="00C10932">
        <w:rPr>
          <w:b/>
          <w:sz w:val="28"/>
        </w:rPr>
        <w:t xml:space="preserve">Latvijas </w:t>
      </w:r>
      <w:r w:rsidRPr="008156E7">
        <w:rPr>
          <w:b/>
          <w:sz w:val="28"/>
        </w:rPr>
        <w:t>Administratīvo pārkāpumu kodeks</w:t>
      </w:r>
      <w:r w:rsidR="00C10932">
        <w:rPr>
          <w:b/>
          <w:sz w:val="28"/>
        </w:rPr>
        <w:t>ā”</w:t>
      </w:r>
    </w:p>
    <w:p w14:paraId="28657744" w14:textId="77777777" w:rsidR="008F03CF" w:rsidRPr="003D2A75" w:rsidRDefault="008F03CF" w:rsidP="00883366">
      <w:pPr>
        <w:jc w:val="center"/>
        <w:rPr>
          <w:b/>
          <w:sz w:val="28"/>
        </w:rPr>
      </w:pPr>
      <w:r w:rsidRPr="003D2A75">
        <w:rPr>
          <w:b/>
          <w:sz w:val="28"/>
        </w:rPr>
        <w:t xml:space="preserve"> </w:t>
      </w:r>
      <w:r w:rsidR="008156E7">
        <w:rPr>
          <w:b/>
          <w:sz w:val="28"/>
        </w:rPr>
        <w:t xml:space="preserve">sākotnējās </w:t>
      </w:r>
      <w:r w:rsidR="00AB5C28">
        <w:rPr>
          <w:b/>
          <w:sz w:val="28"/>
        </w:rPr>
        <w:t xml:space="preserve">ietekmes novērtējuma ziņojums </w:t>
      </w:r>
      <w:r w:rsidRPr="003D2A75">
        <w:rPr>
          <w:b/>
          <w:sz w:val="28"/>
        </w:rPr>
        <w:t>(anotācija)</w:t>
      </w:r>
      <w:bookmarkEnd w:id="0"/>
      <w:bookmarkEnd w:id="1"/>
    </w:p>
    <w:p w14:paraId="28657745" w14:textId="77777777" w:rsidR="008F03CF" w:rsidRDefault="008F03CF" w:rsidP="008C0C16">
      <w:pPr>
        <w:pStyle w:val="naislab"/>
        <w:spacing w:before="0" w:after="0"/>
        <w:jc w:val="center"/>
        <w:outlineLvl w:val="0"/>
        <w:rPr>
          <w:sz w:val="28"/>
          <w:szCs w:val="28"/>
        </w:rPr>
      </w:pPr>
    </w:p>
    <w:p w14:paraId="28657746" w14:textId="77777777" w:rsidR="008F03CF" w:rsidRDefault="008F03CF" w:rsidP="008C0C16">
      <w:pPr>
        <w:pStyle w:val="naislab"/>
        <w:spacing w:before="0" w:after="0"/>
        <w:jc w:val="center"/>
        <w:outlineLvl w:val="0"/>
        <w:rPr>
          <w:sz w:val="28"/>
          <w:szCs w:val="28"/>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365"/>
        <w:gridCol w:w="5849"/>
      </w:tblGrid>
      <w:tr w:rsidR="008F03CF" w:rsidRPr="00446A3B" w14:paraId="28657748" w14:textId="77777777" w:rsidTr="005654C8">
        <w:trPr>
          <w:jc w:val="center"/>
        </w:trPr>
        <w:tc>
          <w:tcPr>
            <w:tcW w:w="9716" w:type="dxa"/>
            <w:gridSpan w:val="3"/>
          </w:tcPr>
          <w:p w14:paraId="28657747" w14:textId="77777777" w:rsidR="008F03CF" w:rsidRPr="00446A3B" w:rsidRDefault="008F03CF" w:rsidP="003074D4">
            <w:pPr>
              <w:pStyle w:val="naislab"/>
              <w:spacing w:before="0" w:after="0"/>
              <w:jc w:val="center"/>
              <w:outlineLvl w:val="0"/>
              <w:rPr>
                <w:b/>
                <w:sz w:val="28"/>
                <w:szCs w:val="28"/>
              </w:rPr>
            </w:pPr>
            <w:r w:rsidRPr="00446A3B">
              <w:rPr>
                <w:b/>
                <w:sz w:val="28"/>
                <w:szCs w:val="28"/>
              </w:rPr>
              <w:t>I. Tiesību akta projekta izstrādes nepieciešamība</w:t>
            </w:r>
          </w:p>
        </w:tc>
      </w:tr>
      <w:tr w:rsidR="008F03CF" w:rsidRPr="00446A3B" w14:paraId="2865774C" w14:textId="77777777" w:rsidTr="009D71DA">
        <w:trPr>
          <w:jc w:val="center"/>
        </w:trPr>
        <w:tc>
          <w:tcPr>
            <w:tcW w:w="502" w:type="dxa"/>
          </w:tcPr>
          <w:p w14:paraId="28657749" w14:textId="77777777" w:rsidR="008F03CF" w:rsidRPr="00446A3B" w:rsidRDefault="008F03CF" w:rsidP="003074D4">
            <w:pPr>
              <w:pStyle w:val="naislab"/>
              <w:spacing w:before="0" w:after="0"/>
              <w:jc w:val="center"/>
              <w:outlineLvl w:val="0"/>
              <w:rPr>
                <w:sz w:val="28"/>
                <w:szCs w:val="28"/>
              </w:rPr>
            </w:pPr>
            <w:r w:rsidRPr="00446A3B">
              <w:rPr>
                <w:sz w:val="28"/>
                <w:szCs w:val="28"/>
              </w:rPr>
              <w:t>1.</w:t>
            </w:r>
          </w:p>
        </w:tc>
        <w:tc>
          <w:tcPr>
            <w:tcW w:w="3365" w:type="dxa"/>
          </w:tcPr>
          <w:p w14:paraId="2865774A" w14:textId="77777777" w:rsidR="008F03CF" w:rsidRPr="00446A3B" w:rsidRDefault="008F03CF" w:rsidP="003074D4">
            <w:pPr>
              <w:pStyle w:val="naislab"/>
              <w:spacing w:before="0" w:after="0"/>
              <w:jc w:val="both"/>
              <w:outlineLvl w:val="0"/>
              <w:rPr>
                <w:sz w:val="28"/>
                <w:szCs w:val="28"/>
              </w:rPr>
            </w:pPr>
            <w:r w:rsidRPr="00446A3B">
              <w:rPr>
                <w:sz w:val="28"/>
                <w:szCs w:val="28"/>
              </w:rPr>
              <w:t>Pamatojums</w:t>
            </w:r>
          </w:p>
        </w:tc>
        <w:tc>
          <w:tcPr>
            <w:tcW w:w="5849" w:type="dxa"/>
          </w:tcPr>
          <w:p w14:paraId="321AA21D" w14:textId="4A9CA24A" w:rsidR="008F03CF" w:rsidRDefault="00AB5C28" w:rsidP="005A5B54">
            <w:pPr>
              <w:pStyle w:val="naislab"/>
              <w:spacing w:before="0" w:after="0"/>
              <w:jc w:val="both"/>
              <w:outlineLvl w:val="0"/>
              <w:rPr>
                <w:iCs/>
                <w:sz w:val="28"/>
                <w:szCs w:val="28"/>
              </w:rPr>
            </w:pPr>
            <w:r w:rsidRPr="00AB5C28">
              <w:rPr>
                <w:iCs/>
                <w:sz w:val="28"/>
                <w:szCs w:val="28"/>
              </w:rPr>
              <w:t xml:space="preserve">Eiropas Parlamenta un Padomes </w:t>
            </w:r>
            <w:r w:rsidR="0081459F">
              <w:rPr>
                <w:iCs/>
                <w:sz w:val="28"/>
                <w:szCs w:val="28"/>
              </w:rPr>
              <w:t>2010.gada 20.oktobra R</w:t>
            </w:r>
            <w:r w:rsidRPr="00AB5C28">
              <w:rPr>
                <w:iCs/>
                <w:sz w:val="28"/>
                <w:szCs w:val="28"/>
              </w:rPr>
              <w:t>egula</w:t>
            </w:r>
            <w:r>
              <w:rPr>
                <w:iCs/>
                <w:sz w:val="28"/>
                <w:szCs w:val="28"/>
              </w:rPr>
              <w:t>s</w:t>
            </w:r>
            <w:r w:rsidRPr="00AB5C28">
              <w:rPr>
                <w:iCs/>
                <w:sz w:val="28"/>
                <w:szCs w:val="28"/>
              </w:rPr>
              <w:t xml:space="preserve"> Nr.995/2010</w:t>
            </w:r>
            <w:r w:rsidR="003D496C">
              <w:rPr>
                <w:iCs/>
                <w:sz w:val="28"/>
                <w:szCs w:val="28"/>
              </w:rPr>
              <w:t>,</w:t>
            </w:r>
            <w:r w:rsidRPr="00AB5C28">
              <w:rPr>
                <w:iCs/>
                <w:sz w:val="28"/>
                <w:szCs w:val="28"/>
              </w:rPr>
              <w:t xml:space="preserve"> ar ko nosaka pienākumus tirgus dalībniekiem, kas laiž tirgū kokmateriālus un koka izstrādājumus</w:t>
            </w:r>
            <w:r w:rsidR="00C85EC0">
              <w:rPr>
                <w:iCs/>
                <w:sz w:val="28"/>
                <w:szCs w:val="28"/>
              </w:rPr>
              <w:t>,</w:t>
            </w:r>
            <w:r w:rsidR="00C3576D">
              <w:rPr>
                <w:iCs/>
                <w:sz w:val="28"/>
                <w:szCs w:val="28"/>
              </w:rPr>
              <w:t xml:space="preserve"> (turpmāk – regula)</w:t>
            </w:r>
            <w:r>
              <w:rPr>
                <w:iCs/>
                <w:sz w:val="28"/>
                <w:szCs w:val="28"/>
              </w:rPr>
              <w:t xml:space="preserve"> 19.pants.</w:t>
            </w:r>
          </w:p>
          <w:p w14:paraId="2865774B" w14:textId="1E78AA24" w:rsidR="00077D09" w:rsidRPr="00AB5C28" w:rsidRDefault="00077D09" w:rsidP="00077D09">
            <w:pPr>
              <w:pStyle w:val="naislab"/>
              <w:spacing w:before="0" w:after="0"/>
              <w:jc w:val="both"/>
              <w:outlineLvl w:val="0"/>
              <w:rPr>
                <w:sz w:val="28"/>
                <w:szCs w:val="28"/>
              </w:rPr>
            </w:pPr>
            <w:r w:rsidRPr="00CE2D05">
              <w:rPr>
                <w:iCs/>
                <w:sz w:val="28"/>
                <w:szCs w:val="28"/>
              </w:rPr>
              <w:t>Zemkopības ministrijas iniciatīva Ministru kabineta 2013.gada 17.decembra noteikumu Nr.1483 „Savvaļā dzīvojošo medījamo dzīvnieku piebarošanas noteikumi” tiesiskās slodzes nodrošināšanai.</w:t>
            </w:r>
          </w:p>
        </w:tc>
      </w:tr>
      <w:tr w:rsidR="008F03CF" w:rsidRPr="00446A3B" w14:paraId="28657754" w14:textId="77777777" w:rsidTr="009D71DA">
        <w:trPr>
          <w:jc w:val="center"/>
        </w:trPr>
        <w:tc>
          <w:tcPr>
            <w:tcW w:w="502" w:type="dxa"/>
          </w:tcPr>
          <w:p w14:paraId="2865774D" w14:textId="77777777" w:rsidR="008F03CF" w:rsidRPr="00446A3B" w:rsidRDefault="008F03CF" w:rsidP="003074D4">
            <w:pPr>
              <w:pStyle w:val="naislab"/>
              <w:spacing w:before="0" w:after="0"/>
              <w:jc w:val="center"/>
              <w:outlineLvl w:val="0"/>
              <w:rPr>
                <w:sz w:val="28"/>
                <w:szCs w:val="28"/>
              </w:rPr>
            </w:pPr>
            <w:r w:rsidRPr="00446A3B">
              <w:rPr>
                <w:sz w:val="28"/>
                <w:szCs w:val="28"/>
              </w:rPr>
              <w:t>2.</w:t>
            </w:r>
          </w:p>
        </w:tc>
        <w:tc>
          <w:tcPr>
            <w:tcW w:w="3365" w:type="dxa"/>
          </w:tcPr>
          <w:p w14:paraId="2865774E" w14:textId="77777777" w:rsidR="008F03CF" w:rsidRPr="00446A3B" w:rsidRDefault="00A53EC3" w:rsidP="009F581B">
            <w:pPr>
              <w:pStyle w:val="naislab"/>
              <w:spacing w:before="0" w:after="0"/>
              <w:jc w:val="both"/>
              <w:outlineLvl w:val="0"/>
              <w:rPr>
                <w:sz w:val="28"/>
                <w:szCs w:val="28"/>
              </w:rPr>
            </w:pPr>
            <w:r w:rsidRPr="00A53EC3">
              <w:rPr>
                <w:sz w:val="28"/>
                <w:szCs w:val="28"/>
              </w:rPr>
              <w:t>Pašreizējā situācija un problēmas, kuru risināšanai tiesību akta projekts izstrādāts, tiesiskā regulējuma mērķis un būtība</w:t>
            </w:r>
          </w:p>
        </w:tc>
        <w:tc>
          <w:tcPr>
            <w:tcW w:w="5849" w:type="dxa"/>
          </w:tcPr>
          <w:p w14:paraId="2865774F" w14:textId="760AD85B" w:rsidR="003D496C" w:rsidRDefault="00C3576D" w:rsidP="008E62A2">
            <w:pPr>
              <w:pStyle w:val="Default"/>
              <w:jc w:val="both"/>
              <w:rPr>
                <w:sz w:val="28"/>
                <w:szCs w:val="28"/>
              </w:rPr>
            </w:pPr>
            <w:r w:rsidRPr="00C3576D">
              <w:rPr>
                <w:sz w:val="28"/>
                <w:szCs w:val="28"/>
              </w:rPr>
              <w:t>Regulas mērķis ir samazināt nelikumīgi iegūtas koksnes apriti</w:t>
            </w:r>
            <w:r w:rsidR="00C85EC0">
              <w:rPr>
                <w:sz w:val="28"/>
                <w:szCs w:val="28"/>
              </w:rPr>
              <w:t>,</w:t>
            </w:r>
            <w:r w:rsidRPr="00C3576D">
              <w:rPr>
                <w:sz w:val="28"/>
                <w:szCs w:val="28"/>
              </w:rPr>
              <w:t xml:space="preserve"> pieprasot tirgus dalībniekiem veikt riska vadības pasākumus attiecībā uz kokmateriāliem un koka izstrādājumiem, kas tiek pirmo reizi laisti Eiropas Savienības tirgū</w:t>
            </w:r>
            <w:r w:rsidR="009044E4">
              <w:rPr>
                <w:sz w:val="28"/>
                <w:szCs w:val="28"/>
              </w:rPr>
              <w:t>.</w:t>
            </w:r>
            <w:r>
              <w:rPr>
                <w:sz w:val="28"/>
                <w:szCs w:val="28"/>
              </w:rPr>
              <w:t xml:space="preserve"> </w:t>
            </w:r>
            <w:r w:rsidR="009044E4">
              <w:rPr>
                <w:sz w:val="28"/>
                <w:szCs w:val="28"/>
              </w:rPr>
              <w:t>T</w:t>
            </w:r>
            <w:r>
              <w:rPr>
                <w:sz w:val="28"/>
                <w:szCs w:val="28"/>
              </w:rPr>
              <w:t xml:space="preserve">ā </w:t>
            </w:r>
            <w:r w:rsidR="009044E4">
              <w:rPr>
                <w:sz w:val="28"/>
                <w:szCs w:val="28"/>
              </w:rPr>
              <w:t xml:space="preserve">nosaka </w:t>
            </w:r>
            <w:r w:rsidR="007C52C6">
              <w:rPr>
                <w:sz w:val="28"/>
                <w:szCs w:val="28"/>
              </w:rPr>
              <w:t>arī</w:t>
            </w:r>
            <w:r>
              <w:rPr>
                <w:sz w:val="28"/>
                <w:szCs w:val="28"/>
              </w:rPr>
              <w:t xml:space="preserve"> nelikumīgi iegūtu kokmateriālu un no tādiem iegūtu koka izstrādājumu tirdzniecības aizliegumu</w:t>
            </w:r>
            <w:r w:rsidR="008F2F58">
              <w:rPr>
                <w:sz w:val="28"/>
                <w:szCs w:val="28"/>
              </w:rPr>
              <w:t>.</w:t>
            </w:r>
          </w:p>
          <w:p w14:paraId="358A9F06" w14:textId="7DEE7773" w:rsidR="008F2F58" w:rsidRPr="008F2F58" w:rsidRDefault="008F2F58" w:rsidP="008E62A2">
            <w:pPr>
              <w:pStyle w:val="Default"/>
              <w:jc w:val="both"/>
              <w:rPr>
                <w:b/>
                <w:sz w:val="28"/>
                <w:szCs w:val="28"/>
              </w:rPr>
            </w:pPr>
            <w:r w:rsidRPr="008F2F58">
              <w:rPr>
                <w:b/>
                <w:sz w:val="28"/>
                <w:szCs w:val="28"/>
              </w:rPr>
              <w:t xml:space="preserve">Regulā </w:t>
            </w:r>
            <w:r w:rsidR="00C85EC0">
              <w:rPr>
                <w:b/>
                <w:sz w:val="28"/>
                <w:szCs w:val="28"/>
              </w:rPr>
              <w:t>no</w:t>
            </w:r>
            <w:r w:rsidRPr="008F2F58">
              <w:rPr>
                <w:b/>
                <w:sz w:val="28"/>
                <w:szCs w:val="28"/>
              </w:rPr>
              <w:t>teikt</w:t>
            </w:r>
            <w:r w:rsidR="00C85EC0">
              <w:rPr>
                <w:b/>
                <w:sz w:val="28"/>
                <w:szCs w:val="28"/>
              </w:rPr>
              <w:t>s, ka</w:t>
            </w:r>
            <w:r w:rsidRPr="008F2F58">
              <w:rPr>
                <w:b/>
                <w:sz w:val="28"/>
                <w:szCs w:val="28"/>
              </w:rPr>
              <w:t xml:space="preserve"> tirgus dalībnieks ir jebkura fiziska vai juridiska persona, kas </w:t>
            </w:r>
            <w:r w:rsidR="00051C92">
              <w:rPr>
                <w:b/>
                <w:sz w:val="28"/>
                <w:szCs w:val="28"/>
              </w:rPr>
              <w:t>l</w:t>
            </w:r>
            <w:r w:rsidRPr="008F2F58">
              <w:rPr>
                <w:b/>
                <w:sz w:val="28"/>
                <w:szCs w:val="28"/>
              </w:rPr>
              <w:t xml:space="preserve">aiž tirgū kokmateriālus </w:t>
            </w:r>
            <w:r w:rsidR="00051C92">
              <w:rPr>
                <w:b/>
                <w:sz w:val="28"/>
                <w:szCs w:val="28"/>
              </w:rPr>
              <w:t>vai</w:t>
            </w:r>
            <w:r w:rsidRPr="008F2F58">
              <w:rPr>
                <w:b/>
                <w:sz w:val="28"/>
                <w:szCs w:val="28"/>
              </w:rPr>
              <w:t xml:space="preserve"> koka izstrādājumus. Tirgus dalībniekam ir šādi pienākumi:</w:t>
            </w:r>
          </w:p>
          <w:p w14:paraId="65008EF7" w14:textId="49A68951" w:rsidR="008F2F58" w:rsidRPr="008F2F58" w:rsidRDefault="008F2F58" w:rsidP="008F2F58">
            <w:pPr>
              <w:pStyle w:val="Default"/>
              <w:numPr>
                <w:ilvl w:val="0"/>
                <w:numId w:val="7"/>
              </w:numPr>
              <w:ind w:left="317"/>
              <w:jc w:val="both"/>
              <w:rPr>
                <w:b/>
                <w:sz w:val="28"/>
                <w:szCs w:val="28"/>
              </w:rPr>
            </w:pPr>
            <w:r w:rsidRPr="008F2F58">
              <w:rPr>
                <w:b/>
                <w:sz w:val="28"/>
                <w:szCs w:val="28"/>
              </w:rPr>
              <w:t>aizliegts laist tirgū kokmateriālus un koka izstrādājumus, kas ražoti no šādiem kokmateriāliem;</w:t>
            </w:r>
          </w:p>
          <w:p w14:paraId="0F4D3599" w14:textId="68FD3CE8" w:rsidR="008F2F58" w:rsidRPr="008F2F58" w:rsidRDefault="008F2F58" w:rsidP="008F2F58">
            <w:pPr>
              <w:pStyle w:val="Default"/>
              <w:numPr>
                <w:ilvl w:val="0"/>
                <w:numId w:val="7"/>
              </w:numPr>
              <w:ind w:left="317"/>
              <w:jc w:val="both"/>
              <w:rPr>
                <w:b/>
                <w:sz w:val="28"/>
                <w:szCs w:val="28"/>
              </w:rPr>
            </w:pPr>
            <w:r w:rsidRPr="008F2F58">
              <w:rPr>
                <w:b/>
                <w:sz w:val="28"/>
                <w:szCs w:val="28"/>
              </w:rPr>
              <w:t>veikt izcelsmes likumības pārbaudes, laižot tirgū kokmateriālus un koka izstrādājumus;</w:t>
            </w:r>
          </w:p>
          <w:p w14:paraId="561678CE" w14:textId="1122E828" w:rsidR="008F2F58" w:rsidRDefault="008F2F58" w:rsidP="008F2F58">
            <w:pPr>
              <w:pStyle w:val="Default"/>
              <w:numPr>
                <w:ilvl w:val="0"/>
                <w:numId w:val="7"/>
              </w:numPr>
              <w:ind w:left="317"/>
              <w:jc w:val="both"/>
              <w:rPr>
                <w:b/>
                <w:sz w:val="28"/>
                <w:szCs w:val="28"/>
              </w:rPr>
            </w:pPr>
            <w:r w:rsidRPr="008F2F58">
              <w:rPr>
                <w:b/>
                <w:sz w:val="28"/>
                <w:szCs w:val="28"/>
              </w:rPr>
              <w:t>uzturēt un regulāri izvērtēt izcelsmes likumības pārbaužu sistēmu, ko tas izmanto.</w:t>
            </w:r>
          </w:p>
          <w:p w14:paraId="52512563" w14:textId="096BC377" w:rsidR="00051C92" w:rsidRPr="008F2F58" w:rsidRDefault="00051C92" w:rsidP="00051C92">
            <w:pPr>
              <w:pStyle w:val="Default"/>
              <w:ind w:left="-43"/>
              <w:jc w:val="both"/>
              <w:rPr>
                <w:b/>
                <w:sz w:val="28"/>
                <w:szCs w:val="28"/>
              </w:rPr>
            </w:pPr>
            <w:r>
              <w:rPr>
                <w:b/>
                <w:sz w:val="28"/>
                <w:szCs w:val="28"/>
              </w:rPr>
              <w:t>Regulā definēt</w:t>
            </w:r>
            <w:r w:rsidR="00C85EC0">
              <w:rPr>
                <w:b/>
                <w:sz w:val="28"/>
                <w:szCs w:val="28"/>
              </w:rPr>
              <w:t>s</w:t>
            </w:r>
            <w:r>
              <w:rPr>
                <w:b/>
                <w:sz w:val="28"/>
                <w:szCs w:val="28"/>
              </w:rPr>
              <w:t xml:space="preserve"> arī </w:t>
            </w:r>
            <w:r w:rsidR="00C85EC0">
              <w:rPr>
                <w:b/>
                <w:sz w:val="28"/>
                <w:szCs w:val="28"/>
              </w:rPr>
              <w:t xml:space="preserve">termins </w:t>
            </w:r>
            <w:r>
              <w:rPr>
                <w:b/>
                <w:sz w:val="28"/>
                <w:szCs w:val="28"/>
              </w:rPr>
              <w:t>„laišana tirgū”</w:t>
            </w:r>
            <w:r w:rsidR="00C85EC0">
              <w:rPr>
                <w:b/>
                <w:sz w:val="28"/>
                <w:szCs w:val="28"/>
              </w:rPr>
              <w:t>, proti, tā</w:t>
            </w:r>
            <w:r>
              <w:rPr>
                <w:b/>
                <w:sz w:val="28"/>
                <w:szCs w:val="28"/>
              </w:rPr>
              <w:t xml:space="preserve"> </w:t>
            </w:r>
            <w:r w:rsidR="00C85EC0">
              <w:rPr>
                <w:b/>
                <w:sz w:val="28"/>
                <w:szCs w:val="28"/>
              </w:rPr>
              <w:t xml:space="preserve">ir </w:t>
            </w:r>
            <w:r>
              <w:rPr>
                <w:b/>
                <w:sz w:val="28"/>
                <w:szCs w:val="28"/>
              </w:rPr>
              <w:t>jebkāda kokmateriālu un koka izstrādājumu piegāde iekšējā tirgū, k</w:t>
            </w:r>
            <w:r w:rsidR="00C85EC0">
              <w:rPr>
                <w:b/>
                <w:sz w:val="28"/>
                <w:szCs w:val="28"/>
              </w:rPr>
              <w:t>ura</w:t>
            </w:r>
            <w:r>
              <w:rPr>
                <w:b/>
                <w:sz w:val="28"/>
                <w:szCs w:val="28"/>
              </w:rPr>
              <w:t xml:space="preserve"> notiek pirmo reizi, lai tos par samaksu vai bez maksas izplatītu vai izmantotu komerciālās darbībās.</w:t>
            </w:r>
          </w:p>
          <w:p w14:paraId="28657750" w14:textId="063671D8" w:rsidR="00A53EC3" w:rsidRDefault="00A53EC3" w:rsidP="00A53EC3">
            <w:pPr>
              <w:pStyle w:val="Default"/>
              <w:jc w:val="both"/>
              <w:rPr>
                <w:sz w:val="28"/>
                <w:szCs w:val="28"/>
              </w:rPr>
            </w:pPr>
            <w:r>
              <w:rPr>
                <w:sz w:val="28"/>
                <w:szCs w:val="28"/>
              </w:rPr>
              <w:t xml:space="preserve">Šobrīd nav </w:t>
            </w:r>
            <w:r w:rsidR="00C85EC0">
              <w:rPr>
                <w:sz w:val="28"/>
                <w:szCs w:val="28"/>
              </w:rPr>
              <w:t>paredzētas</w:t>
            </w:r>
            <w:r>
              <w:rPr>
                <w:sz w:val="28"/>
                <w:szCs w:val="28"/>
              </w:rPr>
              <w:t xml:space="preserve"> sankcijas par regulas prasību pārkāpumiem </w:t>
            </w:r>
            <w:r w:rsidRPr="008D5ABF">
              <w:rPr>
                <w:sz w:val="28"/>
                <w:szCs w:val="28"/>
              </w:rPr>
              <w:t xml:space="preserve">attiecībā uz importētajiem </w:t>
            </w:r>
            <w:r w:rsidRPr="008D5ABF">
              <w:rPr>
                <w:sz w:val="28"/>
                <w:szCs w:val="28"/>
              </w:rPr>
              <w:lastRenderedPageBreak/>
              <w:t>kokmateriāliem vai koka izstrādājumiem.</w:t>
            </w:r>
          </w:p>
          <w:p w14:paraId="28657751" w14:textId="15DB2B7D" w:rsidR="008F03CF" w:rsidRDefault="00C85EC0" w:rsidP="008E62A2">
            <w:pPr>
              <w:pStyle w:val="Default"/>
              <w:jc w:val="both"/>
              <w:rPr>
                <w:sz w:val="28"/>
                <w:szCs w:val="28"/>
              </w:rPr>
            </w:pPr>
            <w:r>
              <w:rPr>
                <w:sz w:val="28"/>
                <w:szCs w:val="28"/>
              </w:rPr>
              <w:t xml:space="preserve">Latvijā </w:t>
            </w:r>
            <w:r w:rsidRPr="00EA2D0E">
              <w:rPr>
                <w:sz w:val="28"/>
                <w:szCs w:val="28"/>
              </w:rPr>
              <w:t xml:space="preserve">jau pastāv </w:t>
            </w:r>
            <w:r>
              <w:rPr>
                <w:sz w:val="28"/>
                <w:szCs w:val="28"/>
              </w:rPr>
              <w:t>n</w:t>
            </w:r>
            <w:r w:rsidR="00C3576D" w:rsidRPr="00EA2D0E">
              <w:rPr>
                <w:sz w:val="28"/>
                <w:szCs w:val="28"/>
              </w:rPr>
              <w:t>acionāl</w:t>
            </w:r>
            <w:r>
              <w:rPr>
                <w:sz w:val="28"/>
                <w:szCs w:val="28"/>
              </w:rPr>
              <w:t>ais</w:t>
            </w:r>
            <w:r w:rsidR="00C3576D" w:rsidRPr="00EA2D0E">
              <w:rPr>
                <w:sz w:val="28"/>
                <w:szCs w:val="28"/>
              </w:rPr>
              <w:t xml:space="preserve"> regulējums </w:t>
            </w:r>
            <w:r w:rsidR="003D496C" w:rsidRPr="00EA2D0E">
              <w:rPr>
                <w:sz w:val="28"/>
                <w:szCs w:val="28"/>
              </w:rPr>
              <w:t>valsts teritorijā</w:t>
            </w:r>
            <w:r w:rsidR="007F3AFF" w:rsidRPr="00EA2D0E">
              <w:rPr>
                <w:sz w:val="28"/>
                <w:szCs w:val="28"/>
              </w:rPr>
              <w:t xml:space="preserve"> attiecībā uz nelikumīgu kokmateriālu ieguvi</w:t>
            </w:r>
            <w:r w:rsidR="000D60B4" w:rsidRPr="00EA2D0E">
              <w:rPr>
                <w:sz w:val="28"/>
                <w:szCs w:val="28"/>
              </w:rPr>
              <w:t>.</w:t>
            </w:r>
            <w:r w:rsidR="000D60B4">
              <w:rPr>
                <w:sz w:val="28"/>
                <w:szCs w:val="28"/>
              </w:rPr>
              <w:t xml:space="preserve"> </w:t>
            </w:r>
            <w:r w:rsidR="002F5222">
              <w:rPr>
                <w:sz w:val="28"/>
                <w:szCs w:val="28"/>
              </w:rPr>
              <w:t>Administratīvo pārkāpumu kodeksa 67.pantā i</w:t>
            </w:r>
            <w:r w:rsidR="007C52C6">
              <w:rPr>
                <w:sz w:val="28"/>
                <w:szCs w:val="28"/>
              </w:rPr>
              <w:t>r noteikts sods par nelikumīgu koku ciršanu un koku ciršanas noteikumu pārkāpšanu. Par nelikumīgu koku ciršanu ir noteikta arī kriminālatbildība. Turklāt</w:t>
            </w:r>
            <w:r>
              <w:rPr>
                <w:sz w:val="28"/>
                <w:szCs w:val="28"/>
              </w:rPr>
              <w:t xml:space="preserve"> to</w:t>
            </w:r>
            <w:r w:rsidR="007C52C6">
              <w:t xml:space="preserve"> </w:t>
            </w:r>
            <w:r w:rsidR="007C52C6">
              <w:rPr>
                <w:sz w:val="28"/>
                <w:szCs w:val="28"/>
              </w:rPr>
              <w:t>p</w:t>
            </w:r>
            <w:r w:rsidR="007C52C6" w:rsidRPr="007C52C6">
              <w:rPr>
                <w:sz w:val="28"/>
                <w:szCs w:val="28"/>
              </w:rPr>
              <w:t>ersonu</w:t>
            </w:r>
            <w:r w:rsidRPr="007C52C6">
              <w:rPr>
                <w:sz w:val="28"/>
                <w:szCs w:val="28"/>
              </w:rPr>
              <w:t xml:space="preserve"> pienākums</w:t>
            </w:r>
            <w:r w:rsidR="007C52C6" w:rsidRPr="007C52C6">
              <w:rPr>
                <w:sz w:val="28"/>
                <w:szCs w:val="28"/>
              </w:rPr>
              <w:t>, kuras sauktas pie administratīvās vai kriminālās atbildības, ir atlīdzināt normatīvo aktu pārkāpumu rezultātā nodarītos zaudējumus.</w:t>
            </w:r>
          </w:p>
          <w:p w14:paraId="28120B30" w14:textId="0C98542C" w:rsidR="00EA2D0E" w:rsidRPr="00EA2D0E" w:rsidRDefault="00EA2D0E" w:rsidP="008E62A2">
            <w:pPr>
              <w:pStyle w:val="Default"/>
              <w:jc w:val="both"/>
              <w:rPr>
                <w:b/>
                <w:sz w:val="28"/>
                <w:szCs w:val="28"/>
              </w:rPr>
            </w:pPr>
            <w:r>
              <w:rPr>
                <w:b/>
                <w:sz w:val="28"/>
                <w:szCs w:val="28"/>
              </w:rPr>
              <w:t>Prasības koku un apaļo kokmateriālu uzskaitei darījumos un atbildīb</w:t>
            </w:r>
            <w:r w:rsidR="00C85EC0">
              <w:rPr>
                <w:b/>
                <w:sz w:val="28"/>
                <w:szCs w:val="28"/>
              </w:rPr>
              <w:t>a</w:t>
            </w:r>
            <w:r>
              <w:rPr>
                <w:b/>
                <w:sz w:val="28"/>
                <w:szCs w:val="28"/>
              </w:rPr>
              <w:t xml:space="preserve"> par pārkāpumiem no</w:t>
            </w:r>
            <w:r w:rsidR="00C85EC0">
              <w:rPr>
                <w:b/>
                <w:sz w:val="28"/>
                <w:szCs w:val="28"/>
              </w:rPr>
              <w:t>teikta</w:t>
            </w:r>
            <w:r>
              <w:rPr>
                <w:b/>
                <w:sz w:val="28"/>
                <w:szCs w:val="28"/>
              </w:rPr>
              <w:t xml:space="preserve"> arī likum</w:t>
            </w:r>
            <w:r w:rsidR="00C85EC0">
              <w:rPr>
                <w:b/>
                <w:sz w:val="28"/>
                <w:szCs w:val="28"/>
              </w:rPr>
              <w:t>ā</w:t>
            </w:r>
            <w:r>
              <w:rPr>
                <w:b/>
                <w:sz w:val="28"/>
                <w:szCs w:val="28"/>
              </w:rPr>
              <w:t xml:space="preserve"> „Par koku un apaļo kokmateriālu uzskaiti darījumos” un Latvijas Administratīvo pārkāpumu kodeksa 155.</w:t>
            </w:r>
            <w:r>
              <w:rPr>
                <w:b/>
                <w:sz w:val="28"/>
                <w:szCs w:val="28"/>
                <w:vertAlign w:val="superscript"/>
              </w:rPr>
              <w:t>13</w:t>
            </w:r>
            <w:r>
              <w:rPr>
                <w:b/>
                <w:sz w:val="28"/>
                <w:szCs w:val="28"/>
              </w:rPr>
              <w:t xml:space="preserve"> pant</w:t>
            </w:r>
            <w:r w:rsidR="00C85EC0">
              <w:rPr>
                <w:b/>
                <w:sz w:val="28"/>
                <w:szCs w:val="28"/>
              </w:rPr>
              <w:t>ā</w:t>
            </w:r>
            <w:r>
              <w:rPr>
                <w:b/>
                <w:sz w:val="28"/>
                <w:szCs w:val="28"/>
              </w:rPr>
              <w:t xml:space="preserve"> </w:t>
            </w:r>
            <w:r w:rsidR="00C85EC0">
              <w:rPr>
                <w:b/>
                <w:sz w:val="28"/>
                <w:szCs w:val="28"/>
              </w:rPr>
              <w:t>“</w:t>
            </w:r>
            <w:r>
              <w:rPr>
                <w:b/>
                <w:sz w:val="28"/>
                <w:szCs w:val="28"/>
              </w:rPr>
              <w:t>Koku un apaļo kokmateriālu uzskaites noteikumu pārkāpšana darījumos</w:t>
            </w:r>
            <w:r w:rsidR="00C85EC0">
              <w:rPr>
                <w:b/>
                <w:sz w:val="28"/>
                <w:szCs w:val="28"/>
              </w:rPr>
              <w:t>”</w:t>
            </w:r>
            <w:r>
              <w:rPr>
                <w:b/>
                <w:sz w:val="28"/>
                <w:szCs w:val="28"/>
              </w:rPr>
              <w:t>.</w:t>
            </w:r>
          </w:p>
          <w:p w14:paraId="28657752" w14:textId="7BC5A4D1" w:rsidR="002767D4" w:rsidRDefault="00C85EC0" w:rsidP="00A53EC3">
            <w:pPr>
              <w:pStyle w:val="Default"/>
              <w:jc w:val="both"/>
              <w:rPr>
                <w:bCs/>
                <w:sz w:val="28"/>
                <w:szCs w:val="28"/>
              </w:rPr>
            </w:pPr>
            <w:r>
              <w:rPr>
                <w:sz w:val="28"/>
                <w:szCs w:val="28"/>
              </w:rPr>
              <w:t xml:space="preserve">Tā kā </w:t>
            </w:r>
            <w:r w:rsidR="001B03F1" w:rsidRPr="001B03F1">
              <w:rPr>
                <w:sz w:val="28"/>
                <w:szCs w:val="28"/>
              </w:rPr>
              <w:t>Ministru kabineta 2012.gada 2.maija noteikumu Nr.309 „Noteikumi par koku ciršanu ārpus meža” 2.punkts nosaka, ka šo noteikumu ievērošanu atbilstoši kompetencei kontrolē vietējā pašvaldība, Dabas aizsardzības pārvalde, Valsts kultūras pieminekļu aizsardzības inspekcija un Valsts vides dienests</w:t>
            </w:r>
            <w:r>
              <w:rPr>
                <w:sz w:val="28"/>
                <w:szCs w:val="28"/>
              </w:rPr>
              <w:t>, ir</w:t>
            </w:r>
            <w:r w:rsidR="001B03F1" w:rsidRPr="001B03F1">
              <w:rPr>
                <w:sz w:val="28"/>
                <w:szCs w:val="28"/>
              </w:rPr>
              <w:t xml:space="preserve"> </w:t>
            </w:r>
            <w:r w:rsidR="00A53EC3">
              <w:rPr>
                <w:sz w:val="28"/>
                <w:szCs w:val="28"/>
              </w:rPr>
              <w:t>nepieciešams papildināt</w:t>
            </w:r>
            <w:r w:rsidR="002F5222">
              <w:rPr>
                <w:sz w:val="28"/>
                <w:szCs w:val="28"/>
              </w:rPr>
              <w:t xml:space="preserve"> Administratīvo pārkāpumu kodeksa </w:t>
            </w:r>
            <w:r w:rsidR="002F5222" w:rsidRPr="008D5ABF">
              <w:rPr>
                <w:sz w:val="28"/>
                <w:szCs w:val="28"/>
              </w:rPr>
              <w:t>210.pant</w:t>
            </w:r>
            <w:r w:rsidR="00051C92">
              <w:rPr>
                <w:sz w:val="28"/>
                <w:szCs w:val="28"/>
              </w:rPr>
              <w:t>u, paredzot,</w:t>
            </w:r>
            <w:r w:rsidR="00A53EC3" w:rsidRPr="008D5ABF">
              <w:rPr>
                <w:sz w:val="28"/>
                <w:szCs w:val="28"/>
              </w:rPr>
              <w:t xml:space="preserve"> ka p</w:t>
            </w:r>
            <w:r w:rsidR="002F5222" w:rsidRPr="008D5ABF">
              <w:rPr>
                <w:bCs/>
                <w:sz w:val="28"/>
                <w:szCs w:val="28"/>
              </w:rPr>
              <w:t>ašvaldību administratīv</w:t>
            </w:r>
            <w:r w:rsidR="00A53EC3" w:rsidRPr="008D5ABF">
              <w:rPr>
                <w:bCs/>
                <w:sz w:val="28"/>
                <w:szCs w:val="28"/>
              </w:rPr>
              <w:t>ās</w:t>
            </w:r>
            <w:r w:rsidR="002F5222" w:rsidRPr="008D5ABF">
              <w:rPr>
                <w:bCs/>
                <w:sz w:val="28"/>
                <w:szCs w:val="28"/>
              </w:rPr>
              <w:t xml:space="preserve"> komisij</w:t>
            </w:r>
            <w:r w:rsidR="00A53EC3" w:rsidRPr="008D5ABF">
              <w:rPr>
                <w:bCs/>
                <w:sz w:val="28"/>
                <w:szCs w:val="28"/>
              </w:rPr>
              <w:t xml:space="preserve">as </w:t>
            </w:r>
            <w:r w:rsidR="001B03F1" w:rsidRPr="008D5ABF">
              <w:rPr>
                <w:sz w:val="28"/>
                <w:szCs w:val="28"/>
              </w:rPr>
              <w:t>piemēro administratīvo sodu par koku patvaļīgu ciršanu un bojāšanu ārpus meža.</w:t>
            </w:r>
            <w:r w:rsidR="002767D4" w:rsidRPr="00186F99">
              <w:rPr>
                <w:bCs/>
                <w:sz w:val="28"/>
                <w:szCs w:val="28"/>
              </w:rPr>
              <w:t xml:space="preserve"> </w:t>
            </w:r>
          </w:p>
          <w:p w14:paraId="3B522E9F" w14:textId="29C862B1" w:rsidR="001B03F1" w:rsidRPr="001627B8" w:rsidRDefault="002767D4" w:rsidP="00A53EC3">
            <w:pPr>
              <w:pStyle w:val="Default"/>
              <w:jc w:val="both"/>
              <w:rPr>
                <w:b/>
                <w:bCs/>
                <w:sz w:val="28"/>
                <w:szCs w:val="28"/>
              </w:rPr>
            </w:pPr>
            <w:r w:rsidRPr="00186F99">
              <w:rPr>
                <w:bCs/>
                <w:sz w:val="28"/>
                <w:szCs w:val="28"/>
              </w:rPr>
              <w:t>Likumprojekts paredz pilnībā nodrošināt regulas prasību izpildi – noteikt nacionāla līmeņa sankcijas par regulas prasību pārkāpumiem.</w:t>
            </w:r>
            <w:r>
              <w:rPr>
                <w:bCs/>
                <w:sz w:val="28"/>
                <w:szCs w:val="28"/>
              </w:rPr>
              <w:t xml:space="preserve"> Projektā paredzēts sods par nelikumīgi iegūtu kokmateriālu vai no tiem iegūtu koka izstrādājumu laišanu tirgū, kā arī sods par </w:t>
            </w:r>
            <w:r w:rsidR="00785BCA" w:rsidRPr="00FA0919">
              <w:rPr>
                <w:bCs/>
                <w:sz w:val="28"/>
                <w:szCs w:val="28"/>
              </w:rPr>
              <w:t xml:space="preserve">izcelsmes </w:t>
            </w:r>
            <w:r w:rsidRPr="00FA0919">
              <w:rPr>
                <w:bCs/>
                <w:sz w:val="28"/>
                <w:szCs w:val="28"/>
              </w:rPr>
              <w:t>likumības pārbaužu sistēmas nenodrošināšanu</w:t>
            </w:r>
            <w:r w:rsidR="00EF24DA">
              <w:rPr>
                <w:bCs/>
                <w:sz w:val="28"/>
                <w:szCs w:val="28"/>
              </w:rPr>
              <w:t xml:space="preserve">. </w:t>
            </w:r>
            <w:r w:rsidR="00EF24DA">
              <w:rPr>
                <w:b/>
                <w:bCs/>
                <w:sz w:val="28"/>
                <w:szCs w:val="28"/>
              </w:rPr>
              <w:t>P</w:t>
            </w:r>
            <w:r w:rsidR="00260190" w:rsidRPr="00FA0919">
              <w:rPr>
                <w:b/>
                <w:bCs/>
                <w:sz w:val="28"/>
                <w:szCs w:val="28"/>
              </w:rPr>
              <w:t>aredzēta plaša sankciju amplitūda, augstākos naudas sodus piemērojot gada laikā atkārtotu pārkāpumu gadījumos</w:t>
            </w:r>
            <w:r w:rsidR="001627B8">
              <w:rPr>
                <w:b/>
                <w:bCs/>
                <w:sz w:val="28"/>
                <w:szCs w:val="28"/>
              </w:rPr>
              <w:t xml:space="preserve">, kā arī atkarībā no darījuma (darījumu) apjoma </w:t>
            </w:r>
            <w:r w:rsidR="001627B8">
              <w:rPr>
                <w:b/>
                <w:bCs/>
                <w:i/>
                <w:sz w:val="28"/>
                <w:szCs w:val="28"/>
              </w:rPr>
              <w:t>euro</w:t>
            </w:r>
            <w:r w:rsidR="001627B8">
              <w:rPr>
                <w:b/>
                <w:bCs/>
                <w:sz w:val="28"/>
                <w:szCs w:val="28"/>
              </w:rPr>
              <w:t>, kokmateriālu tirgus vērtības, darījuma (darījumu) apjoma m</w:t>
            </w:r>
            <w:r w:rsidR="001627B8">
              <w:rPr>
                <w:b/>
                <w:bCs/>
                <w:sz w:val="28"/>
                <w:szCs w:val="28"/>
                <w:vertAlign w:val="superscript"/>
              </w:rPr>
              <w:t>3</w:t>
            </w:r>
            <w:r w:rsidR="001627B8">
              <w:rPr>
                <w:b/>
                <w:bCs/>
                <w:sz w:val="28"/>
                <w:szCs w:val="28"/>
              </w:rPr>
              <w:t>, svara kg vai vienību skaita, produkta koku sugas apdraudētības statusa (</w:t>
            </w:r>
            <w:r w:rsidR="001627B8" w:rsidRPr="001627B8">
              <w:rPr>
                <w:b/>
                <w:bCs/>
                <w:sz w:val="28"/>
                <w:szCs w:val="28"/>
              </w:rPr>
              <w:t xml:space="preserve">pēc </w:t>
            </w:r>
            <w:r w:rsidR="001E3E1A">
              <w:rPr>
                <w:b/>
                <w:bCs/>
                <w:sz w:val="28"/>
                <w:szCs w:val="28"/>
              </w:rPr>
              <w:t xml:space="preserve">konvencijas par </w:t>
            </w:r>
            <w:r w:rsidR="001E3E1A">
              <w:rPr>
                <w:b/>
                <w:bCs/>
                <w:sz w:val="28"/>
                <w:szCs w:val="28"/>
              </w:rPr>
              <w:lastRenderedPageBreak/>
              <w:t xml:space="preserve">starptautisko tirdzniecību ar apdraudētajām savvaļas dzīvnieku un augu sugām </w:t>
            </w:r>
            <w:r w:rsidR="001E3E1A">
              <w:rPr>
                <w:b/>
                <w:bCs/>
                <w:i/>
                <w:sz w:val="28"/>
                <w:szCs w:val="28"/>
              </w:rPr>
              <w:t>(</w:t>
            </w:r>
            <w:r w:rsidR="001627B8" w:rsidRPr="001E3E1A">
              <w:rPr>
                <w:b/>
                <w:bCs/>
                <w:i/>
                <w:sz w:val="28"/>
                <w:szCs w:val="28"/>
              </w:rPr>
              <w:t>CITES</w:t>
            </w:r>
            <w:r w:rsidR="001E3E1A">
              <w:rPr>
                <w:b/>
                <w:bCs/>
                <w:i/>
                <w:sz w:val="28"/>
                <w:szCs w:val="28"/>
              </w:rPr>
              <w:t>)</w:t>
            </w:r>
            <w:r w:rsidR="001627B8" w:rsidRPr="001627B8">
              <w:rPr>
                <w:b/>
                <w:bCs/>
                <w:sz w:val="28"/>
                <w:szCs w:val="28"/>
              </w:rPr>
              <w:t xml:space="preserve"> un Eiropas Savienības </w:t>
            </w:r>
            <w:r w:rsidR="00C85EC0">
              <w:rPr>
                <w:b/>
                <w:bCs/>
                <w:sz w:val="28"/>
                <w:szCs w:val="28"/>
              </w:rPr>
              <w:t>s</w:t>
            </w:r>
            <w:r w:rsidR="001627B8" w:rsidRPr="001627B8">
              <w:rPr>
                <w:b/>
                <w:bCs/>
                <w:sz w:val="28"/>
                <w:szCs w:val="28"/>
              </w:rPr>
              <w:t>avvaļas dzīvnieku un augu sugu tirdzniecības regulu pielikumiem</w:t>
            </w:r>
            <w:r w:rsidR="001627B8">
              <w:rPr>
                <w:b/>
                <w:bCs/>
                <w:sz w:val="28"/>
                <w:szCs w:val="28"/>
              </w:rPr>
              <w:t>)</w:t>
            </w:r>
            <w:r w:rsidRPr="00FA0919">
              <w:rPr>
                <w:b/>
                <w:bCs/>
                <w:sz w:val="28"/>
                <w:szCs w:val="28"/>
              </w:rPr>
              <w:t>.</w:t>
            </w:r>
            <w:r w:rsidR="00260190">
              <w:rPr>
                <w:bCs/>
                <w:sz w:val="28"/>
                <w:szCs w:val="28"/>
              </w:rPr>
              <w:t xml:space="preserve"> </w:t>
            </w:r>
          </w:p>
          <w:p w14:paraId="28E93681" w14:textId="04014E80" w:rsidR="00077D09" w:rsidRPr="00CE2D05" w:rsidRDefault="00077D09" w:rsidP="00A53EC3">
            <w:pPr>
              <w:pStyle w:val="Default"/>
              <w:jc w:val="both"/>
              <w:rPr>
                <w:sz w:val="28"/>
                <w:szCs w:val="28"/>
              </w:rPr>
            </w:pPr>
            <w:r w:rsidRPr="00CE2D05">
              <w:rPr>
                <w:sz w:val="28"/>
                <w:szCs w:val="28"/>
              </w:rPr>
              <w:t>Ministru kabineta 2013.gada 17.decembra noteikumi Nr.1483 „Savvaļā dzīvojošo medījamo dzīvnieku piebarošanas noteikumi”</w:t>
            </w:r>
            <w:r w:rsidR="001F656A" w:rsidRPr="00CE2D05">
              <w:rPr>
                <w:sz w:val="28"/>
                <w:szCs w:val="28"/>
              </w:rPr>
              <w:t xml:space="preserve"> </w:t>
            </w:r>
            <w:r w:rsidR="00C85EC0">
              <w:rPr>
                <w:sz w:val="28"/>
                <w:szCs w:val="28"/>
              </w:rPr>
              <w:t xml:space="preserve">par </w:t>
            </w:r>
            <w:r w:rsidR="001F656A" w:rsidRPr="00CE2D05">
              <w:rPr>
                <w:sz w:val="28"/>
                <w:szCs w:val="28"/>
              </w:rPr>
              <w:t xml:space="preserve">kārtību, kādā pieļaujama savvaļā dzīvojošo medījamo dzīvnieku piebarošana, </w:t>
            </w:r>
            <w:r w:rsidRPr="00CE2D05">
              <w:rPr>
                <w:sz w:val="28"/>
                <w:szCs w:val="28"/>
              </w:rPr>
              <w:t>stājās spēkā 2014.gada 1.janvārī</w:t>
            </w:r>
            <w:r w:rsidR="001F656A" w:rsidRPr="00CE2D05">
              <w:rPr>
                <w:sz w:val="28"/>
                <w:szCs w:val="28"/>
              </w:rPr>
              <w:t>. Š</w:t>
            </w:r>
            <w:r w:rsidRPr="00CE2D05">
              <w:rPr>
                <w:sz w:val="28"/>
                <w:szCs w:val="28"/>
              </w:rPr>
              <w:t xml:space="preserve">obrīd </w:t>
            </w:r>
            <w:r w:rsidR="00C85EC0" w:rsidRPr="00CE2D05">
              <w:rPr>
                <w:sz w:val="28"/>
                <w:szCs w:val="28"/>
              </w:rPr>
              <w:t xml:space="preserve">Latvijas Administratīvo pārkāpumu kodeksā </w:t>
            </w:r>
            <w:r w:rsidRPr="00CE2D05">
              <w:rPr>
                <w:sz w:val="28"/>
                <w:szCs w:val="28"/>
              </w:rPr>
              <w:t>nav attiecīga tiesiskā regulējuma</w:t>
            </w:r>
            <w:r w:rsidR="001F656A" w:rsidRPr="00CE2D05">
              <w:rPr>
                <w:sz w:val="28"/>
                <w:szCs w:val="28"/>
              </w:rPr>
              <w:t>, kas noteiktu sankcijas par savvaļā dzīvojošo medījamo dzīvnieku piebarošanas noteikumu pārkāpšanu</w:t>
            </w:r>
            <w:r w:rsidRPr="00CE2D05">
              <w:rPr>
                <w:sz w:val="28"/>
                <w:szCs w:val="28"/>
              </w:rPr>
              <w:t>.</w:t>
            </w:r>
            <w:r w:rsidR="001F656A" w:rsidRPr="00CE2D05">
              <w:rPr>
                <w:sz w:val="28"/>
                <w:szCs w:val="28"/>
              </w:rPr>
              <w:t xml:space="preserve"> </w:t>
            </w:r>
            <w:r w:rsidR="00B7444C" w:rsidRPr="00CE2D05">
              <w:rPr>
                <w:sz w:val="28"/>
                <w:szCs w:val="28"/>
              </w:rPr>
              <w:t>Administratīvo</w:t>
            </w:r>
            <w:r w:rsidR="00FE366B">
              <w:rPr>
                <w:sz w:val="28"/>
                <w:szCs w:val="28"/>
              </w:rPr>
              <w:t xml:space="preserve"> pārkāpumu kodeksa 80.panta treš</w:t>
            </w:r>
            <w:r w:rsidR="00B7444C" w:rsidRPr="00CE2D05">
              <w:rPr>
                <w:sz w:val="28"/>
                <w:szCs w:val="28"/>
              </w:rPr>
              <w:t xml:space="preserve">ā daļa </w:t>
            </w:r>
            <w:r w:rsidR="00C85EC0">
              <w:rPr>
                <w:sz w:val="28"/>
                <w:szCs w:val="28"/>
              </w:rPr>
              <w:t>paredz</w:t>
            </w:r>
            <w:r w:rsidR="00B7444C" w:rsidRPr="00CE2D05">
              <w:rPr>
                <w:sz w:val="28"/>
                <w:szCs w:val="28"/>
              </w:rPr>
              <w:t xml:space="preserve"> sodu par medību noteikumu vai cita veida dzīvnieku izmantošanas noteikumu pārkāpšanu, tomēr tā nav izmantojam</w:t>
            </w:r>
            <w:r w:rsidR="00DB1C14" w:rsidRPr="00CE2D05">
              <w:rPr>
                <w:sz w:val="28"/>
                <w:szCs w:val="28"/>
              </w:rPr>
              <w:t>a</w:t>
            </w:r>
            <w:r w:rsidR="00B7444C" w:rsidRPr="00CE2D05">
              <w:rPr>
                <w:sz w:val="28"/>
                <w:szCs w:val="28"/>
              </w:rPr>
              <w:t xml:space="preserve"> attiecībā uz savvaļā dzīvojošo medījamo dzīvnieku piebarošanas noteikumu pārkāpšanu. </w:t>
            </w:r>
            <w:r w:rsidR="00F11BC9" w:rsidRPr="00CE2D05">
              <w:rPr>
                <w:sz w:val="28"/>
                <w:szCs w:val="28"/>
              </w:rPr>
              <w:t>Tāpēc ir nepieciešams</w:t>
            </w:r>
            <w:r w:rsidR="00B7444C" w:rsidRPr="00CE2D05">
              <w:rPr>
                <w:sz w:val="28"/>
                <w:szCs w:val="28"/>
              </w:rPr>
              <w:t xml:space="preserve"> precizēt Administratīvo pārkāpumu kodeksa 80.panta </w:t>
            </w:r>
            <w:r w:rsidR="00F047EC">
              <w:rPr>
                <w:sz w:val="28"/>
                <w:szCs w:val="28"/>
              </w:rPr>
              <w:t>trešo</w:t>
            </w:r>
            <w:r w:rsidR="00B7444C" w:rsidRPr="00CE2D05">
              <w:rPr>
                <w:sz w:val="28"/>
                <w:szCs w:val="28"/>
              </w:rPr>
              <w:t xml:space="preserve"> daļu tā, lai to varētu piemērot arī attiecībā uz savvaļā dzīvojošo medījamo dzīvnieku piebarošanas noteikumu pārkāpšanu. Īpaši būtiski tas ir </w:t>
            </w:r>
            <w:r w:rsidR="00C85EC0">
              <w:rPr>
                <w:sz w:val="28"/>
                <w:szCs w:val="28"/>
              </w:rPr>
              <w:t>situācijā</w:t>
            </w:r>
            <w:r w:rsidR="00B7444C" w:rsidRPr="00CE2D05">
              <w:rPr>
                <w:sz w:val="28"/>
                <w:szCs w:val="28"/>
              </w:rPr>
              <w:t xml:space="preserve">, kad piebarošanas noteikumu kontrole </w:t>
            </w:r>
            <w:r w:rsidR="00C85EC0" w:rsidRPr="00CE2D05">
              <w:rPr>
                <w:sz w:val="28"/>
                <w:szCs w:val="28"/>
              </w:rPr>
              <w:t xml:space="preserve">Latvijā </w:t>
            </w:r>
            <w:r w:rsidR="00B7444C" w:rsidRPr="00CE2D05">
              <w:rPr>
                <w:sz w:val="28"/>
                <w:szCs w:val="28"/>
              </w:rPr>
              <w:t xml:space="preserve">nepieciešama </w:t>
            </w:r>
            <w:r w:rsidR="00DB1C14" w:rsidRPr="00CE2D05">
              <w:rPr>
                <w:sz w:val="28"/>
                <w:szCs w:val="28"/>
              </w:rPr>
              <w:t xml:space="preserve">Āfrikas cūku mēra izplatības </w:t>
            </w:r>
            <w:r w:rsidR="00C85EC0" w:rsidRPr="00CE2D05">
              <w:rPr>
                <w:sz w:val="28"/>
                <w:szCs w:val="28"/>
              </w:rPr>
              <w:t>dēļ</w:t>
            </w:r>
            <w:r w:rsidR="00DB1C14" w:rsidRPr="00CE2D05">
              <w:rPr>
                <w:sz w:val="28"/>
                <w:szCs w:val="28"/>
              </w:rPr>
              <w:t>.</w:t>
            </w:r>
            <w:r w:rsidR="00B7444C" w:rsidRPr="00CE2D05">
              <w:rPr>
                <w:sz w:val="28"/>
                <w:szCs w:val="28"/>
              </w:rPr>
              <w:t xml:space="preserve"> </w:t>
            </w:r>
          </w:p>
          <w:p w14:paraId="28657753" w14:textId="558E2C7E" w:rsidR="00077D09" w:rsidRPr="00446A3B" w:rsidRDefault="00077D09" w:rsidP="00077D09">
            <w:pPr>
              <w:pStyle w:val="Default"/>
              <w:jc w:val="both"/>
              <w:rPr>
                <w:sz w:val="28"/>
                <w:szCs w:val="28"/>
              </w:rPr>
            </w:pPr>
            <w:r w:rsidRPr="00CE2D05">
              <w:rPr>
                <w:sz w:val="28"/>
                <w:szCs w:val="28"/>
              </w:rPr>
              <w:t>Likumprojekts nerada negatīvu ietekmi uz valsts budžetu. Līdz ar likumprojekta pieņemšanu anotācijas I sadaļas 2.punktā minētās problēmas tiks atrisinātas pilnībā.</w:t>
            </w:r>
          </w:p>
        </w:tc>
      </w:tr>
      <w:tr w:rsidR="008F03CF" w:rsidRPr="00446A3B" w14:paraId="28657759" w14:textId="77777777" w:rsidTr="009D71DA">
        <w:trPr>
          <w:jc w:val="center"/>
        </w:trPr>
        <w:tc>
          <w:tcPr>
            <w:tcW w:w="502" w:type="dxa"/>
          </w:tcPr>
          <w:p w14:paraId="28657755" w14:textId="37255F96" w:rsidR="008F03CF" w:rsidRPr="00446A3B" w:rsidRDefault="0023104F" w:rsidP="003074D4">
            <w:pPr>
              <w:pStyle w:val="naislab"/>
              <w:spacing w:before="0" w:after="0"/>
              <w:jc w:val="center"/>
              <w:outlineLvl w:val="0"/>
              <w:rPr>
                <w:sz w:val="28"/>
                <w:szCs w:val="28"/>
              </w:rPr>
            </w:pPr>
            <w:r>
              <w:rPr>
                <w:sz w:val="28"/>
                <w:szCs w:val="28"/>
              </w:rPr>
              <w:lastRenderedPageBreak/>
              <w:t>3</w:t>
            </w:r>
            <w:r w:rsidR="008F03CF" w:rsidRPr="00446A3B">
              <w:rPr>
                <w:sz w:val="28"/>
                <w:szCs w:val="28"/>
              </w:rPr>
              <w:t>.</w:t>
            </w:r>
          </w:p>
        </w:tc>
        <w:tc>
          <w:tcPr>
            <w:tcW w:w="3365" w:type="dxa"/>
          </w:tcPr>
          <w:p w14:paraId="28657756" w14:textId="77777777" w:rsidR="008F03CF" w:rsidRPr="00446A3B" w:rsidRDefault="008F03CF" w:rsidP="003074D4">
            <w:pPr>
              <w:pStyle w:val="naislab"/>
              <w:spacing w:before="0" w:after="0"/>
              <w:jc w:val="both"/>
              <w:outlineLvl w:val="0"/>
              <w:rPr>
                <w:sz w:val="28"/>
                <w:szCs w:val="28"/>
              </w:rPr>
            </w:pPr>
            <w:r w:rsidRPr="00446A3B">
              <w:rPr>
                <w:sz w:val="28"/>
                <w:szCs w:val="28"/>
              </w:rPr>
              <w:t>Projekta izstrādē iesaistītās institūcijas</w:t>
            </w:r>
          </w:p>
        </w:tc>
        <w:tc>
          <w:tcPr>
            <w:tcW w:w="5849" w:type="dxa"/>
          </w:tcPr>
          <w:p w14:paraId="28657757" w14:textId="412D2DDC" w:rsidR="008F03CF" w:rsidRDefault="008F03CF" w:rsidP="008504BE">
            <w:pPr>
              <w:pStyle w:val="naiskr"/>
              <w:spacing w:before="0" w:after="0"/>
              <w:jc w:val="both"/>
              <w:rPr>
                <w:iCs/>
                <w:sz w:val="28"/>
                <w:szCs w:val="28"/>
              </w:rPr>
            </w:pPr>
            <w:r w:rsidRPr="00446A3B">
              <w:rPr>
                <w:iCs/>
                <w:sz w:val="28"/>
                <w:szCs w:val="28"/>
              </w:rPr>
              <w:t>Zemkopības ministrija</w:t>
            </w:r>
            <w:r w:rsidR="00C85EC0">
              <w:rPr>
                <w:iCs/>
                <w:sz w:val="28"/>
                <w:szCs w:val="28"/>
              </w:rPr>
              <w:t xml:space="preserve"> un</w:t>
            </w:r>
            <w:r w:rsidR="00186F99">
              <w:rPr>
                <w:iCs/>
                <w:sz w:val="28"/>
                <w:szCs w:val="28"/>
              </w:rPr>
              <w:t xml:space="preserve"> Valsts meža dienests</w:t>
            </w:r>
            <w:r w:rsidR="001B03F1">
              <w:rPr>
                <w:iCs/>
                <w:sz w:val="28"/>
                <w:szCs w:val="28"/>
              </w:rPr>
              <w:t>.</w:t>
            </w:r>
          </w:p>
          <w:p w14:paraId="28657758" w14:textId="0D9A581D" w:rsidR="001B03F1" w:rsidRPr="00446A3B" w:rsidRDefault="00C85EC0" w:rsidP="00C85EC0">
            <w:pPr>
              <w:pStyle w:val="naiskr"/>
              <w:spacing w:before="0" w:after="0"/>
              <w:jc w:val="both"/>
              <w:rPr>
                <w:iCs/>
                <w:sz w:val="28"/>
                <w:szCs w:val="28"/>
              </w:rPr>
            </w:pPr>
            <w:r>
              <w:rPr>
                <w:iCs/>
                <w:sz w:val="28"/>
                <w:szCs w:val="28"/>
              </w:rPr>
              <w:t>Likuma g</w:t>
            </w:r>
            <w:r w:rsidR="001B03F1" w:rsidRPr="001B03F1">
              <w:rPr>
                <w:iCs/>
                <w:sz w:val="28"/>
                <w:szCs w:val="28"/>
              </w:rPr>
              <w:t xml:space="preserve">rozījumu izstrādi, ar ko </w:t>
            </w:r>
            <w:r w:rsidRPr="001B03F1">
              <w:rPr>
                <w:iCs/>
                <w:sz w:val="28"/>
                <w:szCs w:val="28"/>
              </w:rPr>
              <w:t xml:space="preserve">pašvaldību administratīvajām komisijām </w:t>
            </w:r>
            <w:r w:rsidR="001B03F1" w:rsidRPr="001B03F1">
              <w:rPr>
                <w:iCs/>
                <w:sz w:val="28"/>
                <w:szCs w:val="28"/>
              </w:rPr>
              <w:t xml:space="preserve">tiktu radīts tiesiskais pamats nodrošināt kontroli par Ministru kabineta 2012. gada 2. maija noteikumu Nr.309 „Noteikumi par koku ciršanu ārpus meža” ievērošanu, </w:t>
            </w:r>
            <w:r>
              <w:rPr>
                <w:iCs/>
                <w:sz w:val="28"/>
                <w:szCs w:val="28"/>
              </w:rPr>
              <w:t xml:space="preserve">minētā </w:t>
            </w:r>
            <w:r w:rsidR="001B03F1" w:rsidRPr="001B03F1">
              <w:rPr>
                <w:iCs/>
                <w:sz w:val="28"/>
                <w:szCs w:val="28"/>
              </w:rPr>
              <w:t xml:space="preserve">noteikumu projekta </w:t>
            </w:r>
            <w:r>
              <w:rPr>
                <w:iCs/>
                <w:sz w:val="28"/>
                <w:szCs w:val="28"/>
              </w:rPr>
              <w:t>sagatavošanas</w:t>
            </w:r>
            <w:r w:rsidR="001B03F1" w:rsidRPr="001B03F1">
              <w:rPr>
                <w:iCs/>
                <w:sz w:val="28"/>
                <w:szCs w:val="28"/>
              </w:rPr>
              <w:t xml:space="preserve"> laikā ierosināja Latvijas Pašvaldību savienība un Vides aizsardzības un reģionālās attīstības ministrija.</w:t>
            </w:r>
          </w:p>
        </w:tc>
      </w:tr>
      <w:tr w:rsidR="008F03CF" w:rsidRPr="00446A3B" w14:paraId="2865775D" w14:textId="77777777" w:rsidTr="009D71DA">
        <w:trPr>
          <w:jc w:val="center"/>
        </w:trPr>
        <w:tc>
          <w:tcPr>
            <w:tcW w:w="502" w:type="dxa"/>
          </w:tcPr>
          <w:p w14:paraId="2865775A" w14:textId="77777777" w:rsidR="008F03CF" w:rsidRPr="00446A3B" w:rsidRDefault="0023104F" w:rsidP="003074D4">
            <w:pPr>
              <w:pStyle w:val="naislab"/>
              <w:spacing w:before="0" w:after="0"/>
              <w:jc w:val="center"/>
              <w:outlineLvl w:val="0"/>
              <w:rPr>
                <w:sz w:val="28"/>
                <w:szCs w:val="28"/>
              </w:rPr>
            </w:pPr>
            <w:r>
              <w:rPr>
                <w:sz w:val="28"/>
                <w:szCs w:val="28"/>
              </w:rPr>
              <w:t>4</w:t>
            </w:r>
            <w:r w:rsidR="008F03CF" w:rsidRPr="00446A3B">
              <w:rPr>
                <w:sz w:val="28"/>
                <w:szCs w:val="28"/>
              </w:rPr>
              <w:t>.</w:t>
            </w:r>
          </w:p>
        </w:tc>
        <w:tc>
          <w:tcPr>
            <w:tcW w:w="3365" w:type="dxa"/>
          </w:tcPr>
          <w:p w14:paraId="2865775B" w14:textId="77777777" w:rsidR="008F03CF" w:rsidRPr="00446A3B" w:rsidRDefault="008F03CF" w:rsidP="003074D4">
            <w:pPr>
              <w:pStyle w:val="naislab"/>
              <w:spacing w:before="0" w:after="0"/>
              <w:jc w:val="both"/>
              <w:outlineLvl w:val="0"/>
              <w:rPr>
                <w:sz w:val="28"/>
                <w:szCs w:val="28"/>
              </w:rPr>
            </w:pPr>
            <w:r w:rsidRPr="00446A3B">
              <w:rPr>
                <w:sz w:val="28"/>
                <w:szCs w:val="28"/>
              </w:rPr>
              <w:t>Cita informācija</w:t>
            </w:r>
          </w:p>
        </w:tc>
        <w:tc>
          <w:tcPr>
            <w:tcW w:w="5849" w:type="dxa"/>
          </w:tcPr>
          <w:p w14:paraId="2865775C" w14:textId="77777777" w:rsidR="008F03CF" w:rsidRPr="00446A3B" w:rsidRDefault="00877DFC" w:rsidP="00CF5D3D">
            <w:pPr>
              <w:pStyle w:val="naiskr"/>
              <w:spacing w:before="0" w:after="0"/>
              <w:jc w:val="both"/>
              <w:rPr>
                <w:sz w:val="28"/>
                <w:szCs w:val="28"/>
              </w:rPr>
            </w:pPr>
            <w:r>
              <w:rPr>
                <w:sz w:val="28"/>
                <w:szCs w:val="28"/>
              </w:rPr>
              <w:t>Likump</w:t>
            </w:r>
            <w:r w:rsidR="008F03CF" w:rsidRPr="003E47F5">
              <w:rPr>
                <w:sz w:val="28"/>
                <w:szCs w:val="28"/>
              </w:rPr>
              <w:t>rojekts šo jomu neskar.</w:t>
            </w:r>
          </w:p>
        </w:tc>
      </w:tr>
    </w:tbl>
    <w:p w14:paraId="2865775E" w14:textId="77777777" w:rsidR="008F03CF" w:rsidRDefault="008F03CF" w:rsidP="008C0C16"/>
    <w:p w14:paraId="65503CAC" w14:textId="77777777" w:rsidR="003924C8" w:rsidRDefault="003924C8" w:rsidP="008C0C16"/>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7"/>
        <w:gridCol w:w="6809"/>
      </w:tblGrid>
      <w:tr w:rsidR="00101529" w:rsidRPr="00101529" w14:paraId="28657760" w14:textId="77777777" w:rsidTr="00E90A17">
        <w:tc>
          <w:tcPr>
            <w:tcW w:w="9786" w:type="dxa"/>
            <w:gridSpan w:val="2"/>
            <w:vAlign w:val="center"/>
          </w:tcPr>
          <w:p w14:paraId="2865775F" w14:textId="77777777" w:rsidR="00101529" w:rsidRPr="003924C8" w:rsidRDefault="00101529" w:rsidP="002D18AB">
            <w:pPr>
              <w:jc w:val="center"/>
              <w:rPr>
                <w:b/>
                <w:bCs/>
                <w:sz w:val="28"/>
                <w:szCs w:val="28"/>
              </w:rPr>
            </w:pPr>
            <w:r w:rsidRPr="003924C8">
              <w:rPr>
                <w:b/>
                <w:bCs/>
                <w:sz w:val="28"/>
                <w:szCs w:val="28"/>
              </w:rPr>
              <w:lastRenderedPageBreak/>
              <w:t>II. Tiesību akta projekta ietekme uz sabiedrību, tautsaimniecības attīstību un administratīvo slogu</w:t>
            </w:r>
          </w:p>
        </w:tc>
      </w:tr>
      <w:tr w:rsidR="00101529" w:rsidRPr="00101529" w14:paraId="28657763" w14:textId="77777777" w:rsidTr="002D18AB">
        <w:trPr>
          <w:trHeight w:val="467"/>
        </w:trPr>
        <w:tc>
          <w:tcPr>
            <w:tcW w:w="2977" w:type="dxa"/>
          </w:tcPr>
          <w:p w14:paraId="28657761" w14:textId="77777777" w:rsidR="00101529" w:rsidRPr="003924C8" w:rsidRDefault="00101529" w:rsidP="00101529">
            <w:pPr>
              <w:rPr>
                <w:sz w:val="28"/>
                <w:szCs w:val="28"/>
              </w:rPr>
            </w:pPr>
            <w:r w:rsidRPr="003924C8">
              <w:rPr>
                <w:sz w:val="28"/>
                <w:szCs w:val="28"/>
              </w:rPr>
              <w:t>Sabiedrības mērķgrupas, kuras tiesiskais regulējums ietekmē vai varētu ietekmēt</w:t>
            </w:r>
          </w:p>
        </w:tc>
        <w:tc>
          <w:tcPr>
            <w:tcW w:w="6809" w:type="dxa"/>
          </w:tcPr>
          <w:p w14:paraId="28657762" w14:textId="2D3B718C" w:rsidR="00101529" w:rsidRPr="003924C8" w:rsidRDefault="004B3EF3" w:rsidP="004B3EF3">
            <w:pPr>
              <w:rPr>
                <w:b/>
                <w:sz w:val="28"/>
                <w:szCs w:val="28"/>
              </w:rPr>
            </w:pPr>
            <w:r w:rsidRPr="003924C8">
              <w:rPr>
                <w:b/>
                <w:sz w:val="28"/>
                <w:szCs w:val="28"/>
              </w:rPr>
              <w:t>Kokmateriālu un koka izstrādājumu tirgotāji.</w:t>
            </w:r>
          </w:p>
        </w:tc>
      </w:tr>
      <w:tr w:rsidR="00101529" w:rsidRPr="00101529" w14:paraId="28657766" w14:textId="77777777" w:rsidTr="002D18AB">
        <w:trPr>
          <w:trHeight w:val="523"/>
        </w:trPr>
        <w:tc>
          <w:tcPr>
            <w:tcW w:w="2977" w:type="dxa"/>
          </w:tcPr>
          <w:p w14:paraId="28657764" w14:textId="77777777" w:rsidR="00101529" w:rsidRPr="003924C8" w:rsidRDefault="00101529" w:rsidP="00101529">
            <w:pPr>
              <w:rPr>
                <w:sz w:val="28"/>
                <w:szCs w:val="28"/>
              </w:rPr>
            </w:pPr>
            <w:r w:rsidRPr="003924C8">
              <w:rPr>
                <w:sz w:val="28"/>
                <w:szCs w:val="28"/>
              </w:rPr>
              <w:t>Tiesiskā regulējuma ietekme uz tautsaimniecību un administratīvo slogu</w:t>
            </w:r>
          </w:p>
        </w:tc>
        <w:tc>
          <w:tcPr>
            <w:tcW w:w="6809" w:type="dxa"/>
          </w:tcPr>
          <w:p w14:paraId="28657765" w14:textId="3FB70B39" w:rsidR="00101529" w:rsidRPr="003924C8" w:rsidRDefault="004B3EF3" w:rsidP="00101529">
            <w:pPr>
              <w:rPr>
                <w:b/>
                <w:sz w:val="28"/>
                <w:szCs w:val="28"/>
              </w:rPr>
            </w:pPr>
            <w:r w:rsidRPr="003924C8">
              <w:rPr>
                <w:b/>
                <w:sz w:val="28"/>
                <w:szCs w:val="28"/>
              </w:rPr>
              <w:t xml:space="preserve">Administratīvais slogs palielinās minimāli – jāveic kokmateriālu un koka izstrādājumu izcelsmes likumības pārbaudes, jāuztur </w:t>
            </w:r>
            <w:r w:rsidR="007F3AFF" w:rsidRPr="003924C8">
              <w:rPr>
                <w:b/>
                <w:sz w:val="28"/>
                <w:szCs w:val="28"/>
              </w:rPr>
              <w:t xml:space="preserve">izcelsmes </w:t>
            </w:r>
            <w:r w:rsidRPr="003924C8">
              <w:rPr>
                <w:b/>
                <w:sz w:val="28"/>
                <w:szCs w:val="28"/>
              </w:rPr>
              <w:t>likumības pārbaužu sistēma.</w:t>
            </w:r>
          </w:p>
        </w:tc>
      </w:tr>
      <w:tr w:rsidR="00101529" w:rsidRPr="00101529" w14:paraId="28657769" w14:textId="77777777" w:rsidTr="002D18AB">
        <w:trPr>
          <w:trHeight w:val="357"/>
        </w:trPr>
        <w:tc>
          <w:tcPr>
            <w:tcW w:w="2977" w:type="dxa"/>
          </w:tcPr>
          <w:p w14:paraId="28657767" w14:textId="77777777" w:rsidR="00101529" w:rsidRPr="003924C8" w:rsidRDefault="00101529" w:rsidP="00101529">
            <w:pPr>
              <w:rPr>
                <w:sz w:val="28"/>
                <w:szCs w:val="28"/>
              </w:rPr>
            </w:pPr>
            <w:r w:rsidRPr="003924C8">
              <w:rPr>
                <w:sz w:val="28"/>
                <w:szCs w:val="28"/>
              </w:rPr>
              <w:t>Administratīvo izmaksu monetārs novērtējums</w:t>
            </w:r>
          </w:p>
        </w:tc>
        <w:tc>
          <w:tcPr>
            <w:tcW w:w="6809" w:type="dxa"/>
          </w:tcPr>
          <w:p w14:paraId="28657768" w14:textId="4190D143" w:rsidR="00101529" w:rsidRPr="003924C8" w:rsidRDefault="00BF1E36" w:rsidP="00101529">
            <w:pPr>
              <w:rPr>
                <w:b/>
                <w:sz w:val="28"/>
                <w:szCs w:val="28"/>
              </w:rPr>
            </w:pPr>
            <w:r w:rsidRPr="003924C8">
              <w:rPr>
                <w:b/>
                <w:sz w:val="28"/>
                <w:szCs w:val="28"/>
              </w:rPr>
              <w:t xml:space="preserve">Administratīvās izmaksas gada laikā nepārsniedz 200 </w:t>
            </w:r>
            <w:r w:rsidRPr="003924C8">
              <w:rPr>
                <w:b/>
                <w:i/>
                <w:sz w:val="28"/>
                <w:szCs w:val="28"/>
              </w:rPr>
              <w:t>euro</w:t>
            </w:r>
            <w:r w:rsidRPr="003924C8">
              <w:rPr>
                <w:b/>
                <w:sz w:val="28"/>
                <w:szCs w:val="28"/>
              </w:rPr>
              <w:t xml:space="preserve"> fiziskām personām un 2000 </w:t>
            </w:r>
            <w:r w:rsidRPr="003924C8">
              <w:rPr>
                <w:b/>
                <w:i/>
                <w:sz w:val="28"/>
                <w:szCs w:val="28"/>
              </w:rPr>
              <w:t>euro</w:t>
            </w:r>
            <w:r w:rsidRPr="003924C8">
              <w:rPr>
                <w:b/>
                <w:sz w:val="28"/>
                <w:szCs w:val="28"/>
              </w:rPr>
              <w:t xml:space="preserve"> juridiskām personām.</w:t>
            </w:r>
          </w:p>
        </w:tc>
      </w:tr>
      <w:tr w:rsidR="00101529" w:rsidRPr="00101529" w14:paraId="2865776C" w14:textId="77777777" w:rsidTr="002D18AB">
        <w:trPr>
          <w:trHeight w:val="288"/>
        </w:trPr>
        <w:tc>
          <w:tcPr>
            <w:tcW w:w="2977" w:type="dxa"/>
          </w:tcPr>
          <w:p w14:paraId="2865776A" w14:textId="77777777" w:rsidR="00101529" w:rsidRPr="003924C8" w:rsidRDefault="00101529" w:rsidP="00101529">
            <w:pPr>
              <w:rPr>
                <w:sz w:val="28"/>
                <w:szCs w:val="28"/>
              </w:rPr>
            </w:pPr>
            <w:r w:rsidRPr="003924C8">
              <w:rPr>
                <w:sz w:val="28"/>
                <w:szCs w:val="28"/>
              </w:rPr>
              <w:t>Cita informācija</w:t>
            </w:r>
          </w:p>
        </w:tc>
        <w:tc>
          <w:tcPr>
            <w:tcW w:w="6809" w:type="dxa"/>
          </w:tcPr>
          <w:p w14:paraId="2865776B" w14:textId="1793A62B" w:rsidR="00101529" w:rsidRPr="003924C8" w:rsidRDefault="007F3AFF" w:rsidP="00D26476">
            <w:pPr>
              <w:rPr>
                <w:b/>
                <w:sz w:val="28"/>
                <w:szCs w:val="28"/>
              </w:rPr>
            </w:pPr>
            <w:r w:rsidRPr="003924C8">
              <w:rPr>
                <w:b/>
                <w:sz w:val="28"/>
                <w:szCs w:val="28"/>
              </w:rPr>
              <w:t xml:space="preserve">Līdzīgas un dažkārt </w:t>
            </w:r>
            <w:r w:rsidR="00C85EC0" w:rsidRPr="003924C8">
              <w:rPr>
                <w:b/>
                <w:sz w:val="28"/>
                <w:szCs w:val="28"/>
              </w:rPr>
              <w:t>vienādas</w:t>
            </w:r>
            <w:r w:rsidRPr="003924C8">
              <w:rPr>
                <w:b/>
                <w:sz w:val="28"/>
                <w:szCs w:val="28"/>
              </w:rPr>
              <w:t xml:space="preserve"> administratīvās darbības jau tiek </w:t>
            </w:r>
            <w:r w:rsidR="00C85EC0" w:rsidRPr="003924C8">
              <w:rPr>
                <w:b/>
                <w:sz w:val="28"/>
                <w:szCs w:val="28"/>
              </w:rPr>
              <w:t>izmantotas</w:t>
            </w:r>
            <w:r w:rsidRPr="003924C8">
              <w:rPr>
                <w:b/>
                <w:sz w:val="28"/>
                <w:szCs w:val="28"/>
              </w:rPr>
              <w:t xml:space="preserve"> cit</w:t>
            </w:r>
            <w:r w:rsidR="00C85EC0" w:rsidRPr="003924C8">
              <w:rPr>
                <w:b/>
                <w:sz w:val="28"/>
                <w:szCs w:val="28"/>
              </w:rPr>
              <w:t>u</w:t>
            </w:r>
            <w:r w:rsidRPr="003924C8">
              <w:rPr>
                <w:b/>
                <w:sz w:val="28"/>
                <w:szCs w:val="28"/>
              </w:rPr>
              <w:t xml:space="preserve"> uzdevum</w:t>
            </w:r>
            <w:r w:rsidR="00C85EC0" w:rsidRPr="003924C8">
              <w:rPr>
                <w:b/>
                <w:sz w:val="28"/>
                <w:szCs w:val="28"/>
              </w:rPr>
              <w:t>u izpildē</w:t>
            </w:r>
            <w:r w:rsidRPr="003924C8">
              <w:rPr>
                <w:b/>
                <w:sz w:val="28"/>
                <w:szCs w:val="28"/>
              </w:rPr>
              <w:t xml:space="preserve">, piemēram, </w:t>
            </w:r>
            <w:r w:rsidR="00D26476" w:rsidRPr="003924C8">
              <w:rPr>
                <w:b/>
                <w:sz w:val="28"/>
                <w:szCs w:val="28"/>
              </w:rPr>
              <w:t>veicot sertifikāciju</w:t>
            </w:r>
            <w:r w:rsidRPr="003924C8">
              <w:rPr>
                <w:b/>
                <w:sz w:val="28"/>
                <w:szCs w:val="28"/>
              </w:rPr>
              <w:t>.</w:t>
            </w:r>
            <w:r w:rsidR="00D26476" w:rsidRPr="003924C8">
              <w:rPr>
                <w:b/>
                <w:sz w:val="28"/>
                <w:szCs w:val="28"/>
              </w:rPr>
              <w:t xml:space="preserve"> Pazīstamākās no tām ir Meža uzraudzības padomes (</w:t>
            </w:r>
            <w:r w:rsidR="00D26476" w:rsidRPr="003924C8">
              <w:rPr>
                <w:b/>
                <w:i/>
                <w:sz w:val="28"/>
                <w:szCs w:val="28"/>
              </w:rPr>
              <w:t>FSC</w:t>
            </w:r>
            <w:r w:rsidR="00D26476" w:rsidRPr="003924C8">
              <w:rPr>
                <w:b/>
                <w:sz w:val="28"/>
                <w:szCs w:val="28"/>
              </w:rPr>
              <w:t>) sertifikācija, kā arī Meža sertifikācijas shēmu novērtēšanas programma</w:t>
            </w:r>
            <w:r w:rsidR="001E3E1A" w:rsidRPr="003924C8">
              <w:rPr>
                <w:b/>
                <w:sz w:val="28"/>
                <w:szCs w:val="28"/>
              </w:rPr>
              <w:t xml:space="preserve"> </w:t>
            </w:r>
            <w:r w:rsidR="00D26476" w:rsidRPr="003924C8">
              <w:rPr>
                <w:b/>
                <w:sz w:val="28"/>
                <w:szCs w:val="28"/>
              </w:rPr>
              <w:t>(</w:t>
            </w:r>
            <w:r w:rsidR="00D26476" w:rsidRPr="003924C8">
              <w:rPr>
                <w:b/>
                <w:i/>
                <w:sz w:val="28"/>
                <w:szCs w:val="28"/>
              </w:rPr>
              <w:t>PEFC</w:t>
            </w:r>
            <w:r w:rsidR="00D26476" w:rsidRPr="003924C8">
              <w:rPr>
                <w:b/>
                <w:sz w:val="28"/>
                <w:szCs w:val="28"/>
              </w:rPr>
              <w:t>), kas apliecina videi draudzīgu, ekonomiski pamatotu un sociāli atbildīgu meža apsaimniekošanu.</w:t>
            </w:r>
          </w:p>
        </w:tc>
      </w:tr>
    </w:tbl>
    <w:p w14:paraId="2865776D" w14:textId="77777777" w:rsidR="00101529" w:rsidRDefault="00101529" w:rsidP="008C0C16"/>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1702"/>
        <w:gridCol w:w="1702"/>
        <w:gridCol w:w="1702"/>
        <w:gridCol w:w="1702"/>
        <w:gridCol w:w="1702"/>
      </w:tblGrid>
      <w:tr w:rsidR="008F03CF" w:rsidRPr="006B10F4" w14:paraId="2865776F" w14:textId="77777777" w:rsidTr="00E16C64">
        <w:trPr>
          <w:trHeight w:val="652"/>
          <w:jc w:val="center"/>
        </w:trPr>
        <w:tc>
          <w:tcPr>
            <w:tcW w:w="9416" w:type="dxa"/>
            <w:gridSpan w:val="6"/>
          </w:tcPr>
          <w:p w14:paraId="2865776E" w14:textId="77777777" w:rsidR="008F03CF" w:rsidRPr="006B10F4" w:rsidRDefault="008F03CF" w:rsidP="00E16C64">
            <w:pPr>
              <w:pStyle w:val="naisnod"/>
              <w:spacing w:before="0" w:after="0"/>
              <w:rPr>
                <w:i/>
                <w:color w:val="000000"/>
                <w:sz w:val="28"/>
                <w:szCs w:val="28"/>
              </w:rPr>
            </w:pPr>
            <w:r w:rsidRPr="006B10F4">
              <w:rPr>
                <w:color w:val="000000"/>
                <w:sz w:val="28"/>
                <w:szCs w:val="28"/>
              </w:rPr>
              <w:br w:type="page"/>
              <w:t>III. Tiesību akta projekta ietekme uz valsts budžetu un pašvaldību budžetiem</w:t>
            </w:r>
          </w:p>
        </w:tc>
      </w:tr>
      <w:tr w:rsidR="008F03CF" w:rsidRPr="006B10F4" w14:paraId="28657773" w14:textId="77777777" w:rsidTr="006B10F4">
        <w:trPr>
          <w:jc w:val="center"/>
        </w:trPr>
        <w:tc>
          <w:tcPr>
            <w:tcW w:w="2611" w:type="dxa"/>
            <w:vMerge w:val="restart"/>
            <w:vAlign w:val="center"/>
          </w:tcPr>
          <w:p w14:paraId="28657770" w14:textId="77777777" w:rsidR="008F03CF" w:rsidRPr="006B10F4" w:rsidRDefault="008F03CF" w:rsidP="00E16C64">
            <w:pPr>
              <w:pStyle w:val="naisf"/>
              <w:spacing w:before="0" w:after="0"/>
              <w:ind w:firstLine="0"/>
              <w:jc w:val="center"/>
              <w:rPr>
                <w:b/>
                <w:color w:val="000000"/>
                <w:sz w:val="28"/>
                <w:szCs w:val="28"/>
              </w:rPr>
            </w:pPr>
            <w:r w:rsidRPr="006B10F4">
              <w:rPr>
                <w:b/>
                <w:color w:val="000000"/>
                <w:sz w:val="28"/>
                <w:szCs w:val="28"/>
              </w:rPr>
              <w:t>Rādītāji</w:t>
            </w:r>
          </w:p>
        </w:tc>
        <w:tc>
          <w:tcPr>
            <w:tcW w:w="2632" w:type="dxa"/>
            <w:gridSpan w:val="2"/>
            <w:vMerge w:val="restart"/>
            <w:vAlign w:val="center"/>
          </w:tcPr>
          <w:p w14:paraId="28657771" w14:textId="77777777" w:rsidR="008F03CF" w:rsidRPr="006B10F4" w:rsidRDefault="008F03CF" w:rsidP="00E16C64">
            <w:pPr>
              <w:pStyle w:val="naisf"/>
              <w:spacing w:before="0" w:after="0"/>
              <w:ind w:firstLine="0"/>
              <w:jc w:val="center"/>
              <w:rPr>
                <w:b/>
                <w:color w:val="000000"/>
                <w:sz w:val="28"/>
                <w:szCs w:val="28"/>
              </w:rPr>
            </w:pPr>
            <w:r w:rsidRPr="006B10F4">
              <w:rPr>
                <w:b/>
                <w:color w:val="000000"/>
                <w:sz w:val="28"/>
                <w:szCs w:val="28"/>
              </w:rPr>
              <w:t>201</w:t>
            </w:r>
            <w:r w:rsidR="00101529">
              <w:rPr>
                <w:b/>
                <w:color w:val="000000"/>
                <w:sz w:val="28"/>
                <w:szCs w:val="28"/>
              </w:rPr>
              <w:t>4</w:t>
            </w:r>
            <w:r w:rsidRPr="006B10F4">
              <w:rPr>
                <w:b/>
                <w:color w:val="000000"/>
                <w:sz w:val="28"/>
                <w:szCs w:val="28"/>
              </w:rPr>
              <w:t>.gads</w:t>
            </w:r>
          </w:p>
        </w:tc>
        <w:tc>
          <w:tcPr>
            <w:tcW w:w="4173" w:type="dxa"/>
            <w:gridSpan w:val="3"/>
            <w:vAlign w:val="center"/>
          </w:tcPr>
          <w:p w14:paraId="28657772" w14:textId="77777777" w:rsidR="008F03CF" w:rsidRPr="006B10F4" w:rsidRDefault="008F03CF" w:rsidP="00101529">
            <w:pPr>
              <w:pStyle w:val="naisf"/>
              <w:spacing w:before="0" w:after="0"/>
              <w:ind w:firstLine="0"/>
              <w:jc w:val="center"/>
              <w:rPr>
                <w:b/>
                <w:i/>
                <w:color w:val="000000"/>
                <w:sz w:val="28"/>
                <w:szCs w:val="28"/>
              </w:rPr>
            </w:pPr>
            <w:r w:rsidRPr="006B10F4">
              <w:rPr>
                <w:color w:val="000000"/>
                <w:sz w:val="28"/>
                <w:szCs w:val="28"/>
              </w:rPr>
              <w:t>Turpmākie trīs gadi (</w:t>
            </w:r>
            <w:r w:rsidRPr="006B10F4">
              <w:rPr>
                <w:i/>
                <w:color w:val="000000"/>
                <w:sz w:val="28"/>
                <w:szCs w:val="28"/>
              </w:rPr>
              <w:t>euro</w:t>
            </w:r>
            <w:r w:rsidRPr="006B10F4">
              <w:rPr>
                <w:color w:val="000000"/>
                <w:sz w:val="28"/>
                <w:szCs w:val="28"/>
              </w:rPr>
              <w:t>)</w:t>
            </w:r>
          </w:p>
        </w:tc>
      </w:tr>
      <w:tr w:rsidR="008F03CF" w:rsidRPr="006B10F4" w14:paraId="28657779" w14:textId="77777777" w:rsidTr="006B10F4">
        <w:trPr>
          <w:jc w:val="center"/>
        </w:trPr>
        <w:tc>
          <w:tcPr>
            <w:tcW w:w="2611" w:type="dxa"/>
            <w:vMerge/>
            <w:vAlign w:val="center"/>
          </w:tcPr>
          <w:p w14:paraId="28657774" w14:textId="77777777" w:rsidR="008F03CF" w:rsidRPr="006B10F4" w:rsidRDefault="008F03CF" w:rsidP="00E16C64">
            <w:pPr>
              <w:pStyle w:val="naisf"/>
              <w:spacing w:before="0" w:after="0"/>
              <w:ind w:firstLine="0"/>
              <w:jc w:val="center"/>
              <w:rPr>
                <w:b/>
                <w:i/>
                <w:color w:val="000000"/>
                <w:sz w:val="28"/>
                <w:szCs w:val="28"/>
              </w:rPr>
            </w:pPr>
          </w:p>
        </w:tc>
        <w:tc>
          <w:tcPr>
            <w:tcW w:w="2632" w:type="dxa"/>
            <w:gridSpan w:val="2"/>
            <w:vMerge/>
            <w:vAlign w:val="center"/>
          </w:tcPr>
          <w:p w14:paraId="28657775" w14:textId="77777777" w:rsidR="008F03CF" w:rsidRPr="006B10F4" w:rsidRDefault="008F03CF" w:rsidP="00E16C64">
            <w:pPr>
              <w:pStyle w:val="naisf"/>
              <w:spacing w:before="0" w:after="0"/>
              <w:ind w:firstLine="0"/>
              <w:jc w:val="center"/>
              <w:rPr>
                <w:b/>
                <w:i/>
                <w:color w:val="000000"/>
                <w:sz w:val="28"/>
                <w:szCs w:val="28"/>
              </w:rPr>
            </w:pPr>
          </w:p>
        </w:tc>
        <w:tc>
          <w:tcPr>
            <w:tcW w:w="1391" w:type="dxa"/>
            <w:vAlign w:val="center"/>
          </w:tcPr>
          <w:p w14:paraId="28657776" w14:textId="77777777" w:rsidR="008F03CF" w:rsidRPr="006B10F4" w:rsidRDefault="008F03CF" w:rsidP="00E16C64">
            <w:pPr>
              <w:pStyle w:val="naisf"/>
              <w:spacing w:before="0" w:after="0"/>
              <w:ind w:firstLine="0"/>
              <w:jc w:val="center"/>
              <w:rPr>
                <w:b/>
                <w:i/>
                <w:color w:val="000000"/>
                <w:sz w:val="28"/>
                <w:szCs w:val="28"/>
              </w:rPr>
            </w:pPr>
            <w:r w:rsidRPr="006B10F4">
              <w:rPr>
                <w:b/>
                <w:color w:val="000000"/>
                <w:sz w:val="28"/>
                <w:szCs w:val="28"/>
              </w:rPr>
              <w:t>201</w:t>
            </w:r>
            <w:r w:rsidR="00101529">
              <w:rPr>
                <w:b/>
                <w:color w:val="000000"/>
                <w:sz w:val="28"/>
                <w:szCs w:val="28"/>
              </w:rPr>
              <w:t>5</w:t>
            </w:r>
            <w:r w:rsidRPr="006B10F4">
              <w:rPr>
                <w:b/>
                <w:color w:val="000000"/>
                <w:sz w:val="28"/>
                <w:szCs w:val="28"/>
              </w:rPr>
              <w:t>.gads</w:t>
            </w:r>
          </w:p>
        </w:tc>
        <w:tc>
          <w:tcPr>
            <w:tcW w:w="1391" w:type="dxa"/>
            <w:vAlign w:val="center"/>
          </w:tcPr>
          <w:p w14:paraId="28657777" w14:textId="77777777" w:rsidR="008F03CF" w:rsidRPr="006B10F4" w:rsidRDefault="008F03CF" w:rsidP="00E16C64">
            <w:pPr>
              <w:pStyle w:val="naisf"/>
              <w:spacing w:before="0" w:after="0"/>
              <w:ind w:firstLine="0"/>
              <w:jc w:val="center"/>
              <w:rPr>
                <w:b/>
                <w:i/>
                <w:color w:val="000000"/>
                <w:sz w:val="28"/>
                <w:szCs w:val="28"/>
              </w:rPr>
            </w:pPr>
            <w:r w:rsidRPr="006B10F4">
              <w:rPr>
                <w:b/>
                <w:color w:val="000000"/>
                <w:sz w:val="28"/>
                <w:szCs w:val="28"/>
              </w:rPr>
              <w:t>201</w:t>
            </w:r>
            <w:r w:rsidR="00101529">
              <w:rPr>
                <w:b/>
                <w:color w:val="000000"/>
                <w:sz w:val="28"/>
                <w:szCs w:val="28"/>
              </w:rPr>
              <w:t>6</w:t>
            </w:r>
            <w:r w:rsidRPr="006B10F4">
              <w:rPr>
                <w:b/>
                <w:color w:val="000000"/>
                <w:sz w:val="28"/>
                <w:szCs w:val="28"/>
              </w:rPr>
              <w:t>.gads</w:t>
            </w:r>
          </w:p>
        </w:tc>
        <w:tc>
          <w:tcPr>
            <w:tcW w:w="1391" w:type="dxa"/>
            <w:vAlign w:val="center"/>
          </w:tcPr>
          <w:p w14:paraId="28657778" w14:textId="77777777" w:rsidR="008F03CF" w:rsidRPr="006B10F4" w:rsidRDefault="008F03CF" w:rsidP="00E16C64">
            <w:pPr>
              <w:pStyle w:val="naisf"/>
              <w:spacing w:before="0" w:after="0"/>
              <w:ind w:firstLine="0"/>
              <w:jc w:val="center"/>
              <w:rPr>
                <w:b/>
                <w:i/>
                <w:color w:val="000000"/>
                <w:sz w:val="28"/>
                <w:szCs w:val="28"/>
              </w:rPr>
            </w:pPr>
            <w:r w:rsidRPr="006B10F4">
              <w:rPr>
                <w:b/>
                <w:color w:val="000000"/>
                <w:sz w:val="28"/>
                <w:szCs w:val="28"/>
              </w:rPr>
              <w:t>201</w:t>
            </w:r>
            <w:r w:rsidR="00101529">
              <w:rPr>
                <w:b/>
                <w:color w:val="000000"/>
                <w:sz w:val="28"/>
                <w:szCs w:val="28"/>
              </w:rPr>
              <w:t>7</w:t>
            </w:r>
            <w:r w:rsidRPr="006B10F4">
              <w:rPr>
                <w:b/>
                <w:color w:val="000000"/>
                <w:sz w:val="28"/>
                <w:szCs w:val="28"/>
              </w:rPr>
              <w:t>.gads</w:t>
            </w:r>
          </w:p>
        </w:tc>
      </w:tr>
      <w:tr w:rsidR="008F03CF" w:rsidRPr="006B10F4" w14:paraId="28657780" w14:textId="77777777" w:rsidTr="006B10F4">
        <w:trPr>
          <w:jc w:val="center"/>
        </w:trPr>
        <w:tc>
          <w:tcPr>
            <w:tcW w:w="2611" w:type="dxa"/>
            <w:vMerge/>
            <w:vAlign w:val="center"/>
          </w:tcPr>
          <w:p w14:paraId="2865777A" w14:textId="77777777" w:rsidR="008F03CF" w:rsidRPr="006B10F4" w:rsidRDefault="008F03CF" w:rsidP="00E16C64">
            <w:pPr>
              <w:pStyle w:val="naisf"/>
              <w:spacing w:before="0" w:after="0"/>
              <w:ind w:firstLine="0"/>
              <w:jc w:val="center"/>
              <w:rPr>
                <w:b/>
                <w:i/>
                <w:color w:val="000000"/>
                <w:sz w:val="28"/>
                <w:szCs w:val="28"/>
              </w:rPr>
            </w:pPr>
          </w:p>
        </w:tc>
        <w:tc>
          <w:tcPr>
            <w:tcW w:w="1292" w:type="dxa"/>
            <w:vAlign w:val="center"/>
          </w:tcPr>
          <w:p w14:paraId="2865777B" w14:textId="77777777" w:rsidR="008F03CF" w:rsidRPr="006B10F4" w:rsidRDefault="008F03CF" w:rsidP="00E16C64">
            <w:pPr>
              <w:pStyle w:val="naisf"/>
              <w:spacing w:before="0" w:after="0"/>
              <w:ind w:firstLine="0"/>
              <w:jc w:val="center"/>
              <w:rPr>
                <w:b/>
                <w:i/>
                <w:color w:val="000000"/>
                <w:sz w:val="28"/>
                <w:szCs w:val="28"/>
              </w:rPr>
            </w:pPr>
            <w:r w:rsidRPr="006B10F4">
              <w:rPr>
                <w:color w:val="000000"/>
                <w:sz w:val="28"/>
                <w:szCs w:val="28"/>
              </w:rPr>
              <w:t>Saskaņā ar valsts budžetu kārtējam gadam</w:t>
            </w:r>
          </w:p>
        </w:tc>
        <w:tc>
          <w:tcPr>
            <w:tcW w:w="1340" w:type="dxa"/>
            <w:vAlign w:val="center"/>
          </w:tcPr>
          <w:p w14:paraId="2865777C" w14:textId="77777777" w:rsidR="008F03CF" w:rsidRPr="006B10F4" w:rsidRDefault="008F03CF" w:rsidP="00E16C64">
            <w:pPr>
              <w:pStyle w:val="naisf"/>
              <w:spacing w:before="0" w:after="0"/>
              <w:ind w:firstLine="0"/>
              <w:jc w:val="center"/>
              <w:rPr>
                <w:b/>
                <w:i/>
                <w:color w:val="000000"/>
                <w:sz w:val="28"/>
                <w:szCs w:val="28"/>
              </w:rPr>
            </w:pPr>
            <w:r w:rsidRPr="006B10F4">
              <w:rPr>
                <w:color w:val="000000"/>
                <w:sz w:val="28"/>
                <w:szCs w:val="28"/>
              </w:rPr>
              <w:t>Izmaiņas kārtējā gadā, salīdzinot ar budžetu kārtējam gadam</w:t>
            </w:r>
          </w:p>
        </w:tc>
        <w:tc>
          <w:tcPr>
            <w:tcW w:w="1391" w:type="dxa"/>
            <w:vAlign w:val="center"/>
          </w:tcPr>
          <w:p w14:paraId="2865777D" w14:textId="77777777" w:rsidR="008F03CF" w:rsidRPr="006B10F4" w:rsidRDefault="008F03CF" w:rsidP="00E16C64">
            <w:pPr>
              <w:pStyle w:val="naisf"/>
              <w:spacing w:before="0" w:after="0"/>
              <w:ind w:firstLine="0"/>
              <w:jc w:val="center"/>
              <w:rPr>
                <w:b/>
                <w:i/>
                <w:color w:val="000000"/>
                <w:sz w:val="28"/>
                <w:szCs w:val="28"/>
              </w:rPr>
            </w:pPr>
            <w:r w:rsidRPr="006B10F4">
              <w:rPr>
                <w:color w:val="000000"/>
                <w:sz w:val="28"/>
                <w:szCs w:val="28"/>
              </w:rPr>
              <w:t>Izmaiņas, salīdzinot ar kārtējo 2013.gadu</w:t>
            </w:r>
          </w:p>
        </w:tc>
        <w:tc>
          <w:tcPr>
            <w:tcW w:w="1391" w:type="dxa"/>
            <w:vAlign w:val="center"/>
          </w:tcPr>
          <w:p w14:paraId="2865777E" w14:textId="77777777" w:rsidR="008F03CF" w:rsidRPr="006B10F4" w:rsidRDefault="008F03CF" w:rsidP="00E16C64">
            <w:pPr>
              <w:pStyle w:val="naisf"/>
              <w:spacing w:before="0" w:after="0"/>
              <w:ind w:firstLine="0"/>
              <w:jc w:val="center"/>
              <w:rPr>
                <w:b/>
                <w:i/>
                <w:color w:val="000000"/>
                <w:sz w:val="28"/>
                <w:szCs w:val="28"/>
              </w:rPr>
            </w:pPr>
            <w:r w:rsidRPr="006B10F4">
              <w:rPr>
                <w:color w:val="000000"/>
                <w:sz w:val="28"/>
                <w:szCs w:val="28"/>
              </w:rPr>
              <w:t>Izmaiņas, salīdzinot ar kārtējo 2013.gadu</w:t>
            </w:r>
          </w:p>
        </w:tc>
        <w:tc>
          <w:tcPr>
            <w:tcW w:w="1391" w:type="dxa"/>
            <w:vAlign w:val="center"/>
          </w:tcPr>
          <w:p w14:paraId="2865777F" w14:textId="77777777" w:rsidR="008F03CF" w:rsidRPr="006B10F4" w:rsidRDefault="008F03CF" w:rsidP="00E16C64">
            <w:pPr>
              <w:pStyle w:val="naisf"/>
              <w:spacing w:before="0" w:after="0"/>
              <w:ind w:firstLine="0"/>
              <w:jc w:val="center"/>
              <w:rPr>
                <w:b/>
                <w:i/>
                <w:color w:val="000000"/>
                <w:sz w:val="28"/>
                <w:szCs w:val="28"/>
              </w:rPr>
            </w:pPr>
            <w:r w:rsidRPr="006B10F4">
              <w:rPr>
                <w:color w:val="000000"/>
                <w:sz w:val="28"/>
                <w:szCs w:val="28"/>
              </w:rPr>
              <w:t>Izmaiņas, salīdzinot ar kārtējo 2013.gadu</w:t>
            </w:r>
          </w:p>
        </w:tc>
      </w:tr>
      <w:tr w:rsidR="008F03CF" w:rsidRPr="006B10F4" w14:paraId="28657787" w14:textId="77777777" w:rsidTr="006B10F4">
        <w:trPr>
          <w:jc w:val="center"/>
        </w:trPr>
        <w:tc>
          <w:tcPr>
            <w:tcW w:w="2611" w:type="dxa"/>
            <w:vAlign w:val="center"/>
          </w:tcPr>
          <w:p w14:paraId="28657781" w14:textId="77777777" w:rsidR="008F03CF" w:rsidRPr="006B10F4" w:rsidRDefault="008F03CF" w:rsidP="00E16C64">
            <w:pPr>
              <w:pStyle w:val="naisf"/>
              <w:spacing w:before="0" w:after="0"/>
              <w:ind w:firstLine="0"/>
              <w:jc w:val="center"/>
              <w:rPr>
                <w:bCs/>
                <w:color w:val="000000"/>
                <w:sz w:val="28"/>
                <w:szCs w:val="28"/>
              </w:rPr>
            </w:pPr>
            <w:r w:rsidRPr="006B10F4">
              <w:rPr>
                <w:bCs/>
                <w:color w:val="000000"/>
                <w:sz w:val="28"/>
                <w:szCs w:val="28"/>
              </w:rPr>
              <w:t>1</w:t>
            </w:r>
          </w:p>
        </w:tc>
        <w:tc>
          <w:tcPr>
            <w:tcW w:w="1292" w:type="dxa"/>
            <w:vAlign w:val="center"/>
          </w:tcPr>
          <w:p w14:paraId="28657782" w14:textId="77777777" w:rsidR="008F03CF" w:rsidRPr="006B10F4" w:rsidRDefault="008F03CF" w:rsidP="00E16C64">
            <w:pPr>
              <w:pStyle w:val="naisf"/>
              <w:spacing w:before="0" w:after="0"/>
              <w:ind w:firstLine="0"/>
              <w:jc w:val="center"/>
              <w:rPr>
                <w:bCs/>
                <w:color w:val="000000"/>
                <w:sz w:val="28"/>
                <w:szCs w:val="28"/>
              </w:rPr>
            </w:pPr>
            <w:r w:rsidRPr="006B10F4">
              <w:rPr>
                <w:bCs/>
                <w:color w:val="000000"/>
                <w:sz w:val="28"/>
                <w:szCs w:val="28"/>
              </w:rPr>
              <w:t>2</w:t>
            </w:r>
          </w:p>
        </w:tc>
        <w:tc>
          <w:tcPr>
            <w:tcW w:w="1340" w:type="dxa"/>
            <w:vAlign w:val="center"/>
          </w:tcPr>
          <w:p w14:paraId="28657783" w14:textId="77777777" w:rsidR="008F03CF" w:rsidRPr="006B10F4" w:rsidRDefault="008F03CF" w:rsidP="00E16C64">
            <w:pPr>
              <w:pStyle w:val="naisf"/>
              <w:spacing w:before="0" w:after="0"/>
              <w:ind w:firstLine="0"/>
              <w:jc w:val="center"/>
              <w:rPr>
                <w:bCs/>
                <w:color w:val="000000"/>
                <w:sz w:val="28"/>
                <w:szCs w:val="28"/>
              </w:rPr>
            </w:pPr>
            <w:r w:rsidRPr="006B10F4">
              <w:rPr>
                <w:bCs/>
                <w:color w:val="000000"/>
                <w:sz w:val="28"/>
                <w:szCs w:val="28"/>
              </w:rPr>
              <w:t>3</w:t>
            </w:r>
          </w:p>
        </w:tc>
        <w:tc>
          <w:tcPr>
            <w:tcW w:w="1391" w:type="dxa"/>
            <w:vAlign w:val="center"/>
          </w:tcPr>
          <w:p w14:paraId="28657784" w14:textId="77777777" w:rsidR="008F03CF" w:rsidRPr="006B10F4" w:rsidRDefault="008F03CF" w:rsidP="00E16C64">
            <w:pPr>
              <w:pStyle w:val="naisf"/>
              <w:spacing w:before="0" w:after="0"/>
              <w:ind w:firstLine="0"/>
              <w:jc w:val="center"/>
              <w:rPr>
                <w:bCs/>
                <w:color w:val="000000"/>
                <w:sz w:val="28"/>
                <w:szCs w:val="28"/>
              </w:rPr>
            </w:pPr>
            <w:r w:rsidRPr="006B10F4">
              <w:rPr>
                <w:bCs/>
                <w:color w:val="000000"/>
                <w:sz w:val="28"/>
                <w:szCs w:val="28"/>
              </w:rPr>
              <w:t>4</w:t>
            </w:r>
          </w:p>
        </w:tc>
        <w:tc>
          <w:tcPr>
            <w:tcW w:w="1391" w:type="dxa"/>
            <w:vAlign w:val="center"/>
          </w:tcPr>
          <w:p w14:paraId="28657785" w14:textId="77777777" w:rsidR="008F03CF" w:rsidRPr="006B10F4" w:rsidRDefault="008F03CF" w:rsidP="00E16C64">
            <w:pPr>
              <w:pStyle w:val="naisf"/>
              <w:spacing w:before="0" w:after="0"/>
              <w:ind w:firstLine="0"/>
              <w:jc w:val="center"/>
              <w:rPr>
                <w:bCs/>
                <w:color w:val="000000"/>
                <w:sz w:val="28"/>
                <w:szCs w:val="28"/>
              </w:rPr>
            </w:pPr>
            <w:r w:rsidRPr="006B10F4">
              <w:rPr>
                <w:bCs/>
                <w:color w:val="000000"/>
                <w:sz w:val="28"/>
                <w:szCs w:val="28"/>
              </w:rPr>
              <w:t>5</w:t>
            </w:r>
          </w:p>
        </w:tc>
        <w:tc>
          <w:tcPr>
            <w:tcW w:w="1391" w:type="dxa"/>
            <w:vAlign w:val="center"/>
          </w:tcPr>
          <w:p w14:paraId="28657786" w14:textId="77777777" w:rsidR="008F03CF" w:rsidRPr="006B10F4" w:rsidRDefault="008F03CF" w:rsidP="00E16C64">
            <w:pPr>
              <w:pStyle w:val="naisf"/>
              <w:spacing w:before="0" w:after="0"/>
              <w:ind w:firstLine="0"/>
              <w:jc w:val="center"/>
              <w:rPr>
                <w:bCs/>
                <w:color w:val="000000"/>
                <w:sz w:val="28"/>
                <w:szCs w:val="28"/>
              </w:rPr>
            </w:pPr>
            <w:r w:rsidRPr="006B10F4">
              <w:rPr>
                <w:bCs/>
                <w:color w:val="000000"/>
                <w:sz w:val="28"/>
                <w:szCs w:val="28"/>
              </w:rPr>
              <w:t>6</w:t>
            </w:r>
          </w:p>
        </w:tc>
      </w:tr>
      <w:tr w:rsidR="008F03CF" w:rsidRPr="006B10F4" w14:paraId="2865778E" w14:textId="77777777" w:rsidTr="006B10F4">
        <w:trPr>
          <w:jc w:val="center"/>
        </w:trPr>
        <w:tc>
          <w:tcPr>
            <w:tcW w:w="2611" w:type="dxa"/>
          </w:tcPr>
          <w:p w14:paraId="28657788" w14:textId="77777777" w:rsidR="008F03CF" w:rsidRPr="006B10F4" w:rsidRDefault="008F03CF" w:rsidP="00E16C64">
            <w:pPr>
              <w:pStyle w:val="naisf"/>
              <w:spacing w:before="0" w:after="0"/>
              <w:ind w:firstLine="0"/>
              <w:rPr>
                <w:i/>
                <w:color w:val="000000"/>
                <w:sz w:val="28"/>
                <w:szCs w:val="28"/>
              </w:rPr>
            </w:pPr>
            <w:r w:rsidRPr="006B10F4">
              <w:rPr>
                <w:color w:val="000000"/>
                <w:sz w:val="28"/>
                <w:szCs w:val="28"/>
              </w:rPr>
              <w:t>1. Budžeta ieņēmumi:</w:t>
            </w:r>
          </w:p>
        </w:tc>
        <w:tc>
          <w:tcPr>
            <w:tcW w:w="1292" w:type="dxa"/>
          </w:tcPr>
          <w:p w14:paraId="28657789"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8A"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8B"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8C"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8D"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95" w14:textId="77777777" w:rsidTr="006B10F4">
        <w:trPr>
          <w:jc w:val="center"/>
        </w:trPr>
        <w:tc>
          <w:tcPr>
            <w:tcW w:w="2611" w:type="dxa"/>
          </w:tcPr>
          <w:p w14:paraId="2865778F" w14:textId="77777777" w:rsidR="008F03CF" w:rsidRPr="006B10F4" w:rsidRDefault="008F03CF" w:rsidP="00E16C64">
            <w:pPr>
              <w:pStyle w:val="naisf"/>
              <w:spacing w:before="0" w:after="0"/>
              <w:ind w:firstLine="0"/>
              <w:rPr>
                <w:i/>
                <w:color w:val="000000"/>
                <w:sz w:val="28"/>
                <w:szCs w:val="28"/>
              </w:rPr>
            </w:pPr>
            <w:r w:rsidRPr="006B10F4">
              <w:rPr>
                <w:color w:val="000000"/>
                <w:sz w:val="28"/>
                <w:szCs w:val="28"/>
              </w:rPr>
              <w:t>1.1. valsts pamatbudžets, tai skaitā ieņēmumi no maksas pakalpojumiem un citi pašu ieņēmumi</w:t>
            </w:r>
          </w:p>
        </w:tc>
        <w:tc>
          <w:tcPr>
            <w:tcW w:w="1292" w:type="dxa"/>
          </w:tcPr>
          <w:p w14:paraId="28657790" w14:textId="344AA815"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40" w:type="dxa"/>
          </w:tcPr>
          <w:p w14:paraId="28657791" w14:textId="2F1F07FE"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91" w:type="dxa"/>
          </w:tcPr>
          <w:p w14:paraId="28657792" w14:textId="5482775C"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91" w:type="dxa"/>
          </w:tcPr>
          <w:p w14:paraId="28657793" w14:textId="2C29E754"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91" w:type="dxa"/>
          </w:tcPr>
          <w:p w14:paraId="28657794" w14:textId="5E9C525D"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r>
      <w:tr w:rsidR="008F03CF" w:rsidRPr="006B10F4" w14:paraId="2865779C" w14:textId="77777777" w:rsidTr="006B10F4">
        <w:trPr>
          <w:jc w:val="center"/>
        </w:trPr>
        <w:tc>
          <w:tcPr>
            <w:tcW w:w="2611" w:type="dxa"/>
          </w:tcPr>
          <w:p w14:paraId="28657796" w14:textId="77777777" w:rsidR="008F03CF" w:rsidRPr="006B10F4" w:rsidRDefault="008F03CF" w:rsidP="00E16C64">
            <w:pPr>
              <w:pStyle w:val="naisf"/>
              <w:spacing w:before="0" w:after="0"/>
              <w:ind w:firstLine="0"/>
              <w:rPr>
                <w:i/>
                <w:color w:val="000000"/>
                <w:sz w:val="28"/>
                <w:szCs w:val="28"/>
              </w:rPr>
            </w:pPr>
            <w:r w:rsidRPr="006B10F4">
              <w:rPr>
                <w:color w:val="000000"/>
                <w:sz w:val="28"/>
                <w:szCs w:val="28"/>
              </w:rPr>
              <w:t xml:space="preserve">1.2. valsts </w:t>
            </w:r>
            <w:r w:rsidRPr="006B10F4">
              <w:rPr>
                <w:color w:val="000000"/>
                <w:sz w:val="28"/>
                <w:szCs w:val="28"/>
              </w:rPr>
              <w:lastRenderedPageBreak/>
              <w:t>speciālais budžets</w:t>
            </w:r>
          </w:p>
        </w:tc>
        <w:tc>
          <w:tcPr>
            <w:tcW w:w="1292" w:type="dxa"/>
          </w:tcPr>
          <w:p w14:paraId="28657797"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98"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99"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9A"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9B"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A3" w14:textId="77777777" w:rsidTr="006B10F4">
        <w:trPr>
          <w:jc w:val="center"/>
        </w:trPr>
        <w:tc>
          <w:tcPr>
            <w:tcW w:w="2611" w:type="dxa"/>
          </w:tcPr>
          <w:p w14:paraId="2865779D" w14:textId="77777777" w:rsidR="008F03CF" w:rsidRPr="006B10F4" w:rsidRDefault="008F03CF" w:rsidP="00E16C64">
            <w:pPr>
              <w:pStyle w:val="naisf"/>
              <w:spacing w:before="0" w:after="0"/>
              <w:ind w:firstLine="0"/>
              <w:rPr>
                <w:i/>
                <w:color w:val="000000"/>
                <w:sz w:val="28"/>
                <w:szCs w:val="28"/>
              </w:rPr>
            </w:pPr>
            <w:r w:rsidRPr="006B10F4">
              <w:rPr>
                <w:color w:val="000000"/>
                <w:sz w:val="28"/>
                <w:szCs w:val="28"/>
              </w:rPr>
              <w:lastRenderedPageBreak/>
              <w:t>1.3. pašvaldību budžets</w:t>
            </w:r>
          </w:p>
        </w:tc>
        <w:tc>
          <w:tcPr>
            <w:tcW w:w="1292" w:type="dxa"/>
          </w:tcPr>
          <w:p w14:paraId="2865779E"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9F"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A0"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A1"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A2"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AA" w14:textId="77777777" w:rsidTr="006B10F4">
        <w:trPr>
          <w:jc w:val="center"/>
        </w:trPr>
        <w:tc>
          <w:tcPr>
            <w:tcW w:w="2611" w:type="dxa"/>
          </w:tcPr>
          <w:p w14:paraId="286577A4" w14:textId="77777777" w:rsidR="008F03CF" w:rsidRPr="006B10F4" w:rsidRDefault="008F03CF" w:rsidP="00E16C64">
            <w:pPr>
              <w:jc w:val="both"/>
              <w:rPr>
                <w:color w:val="000000"/>
                <w:sz w:val="28"/>
                <w:szCs w:val="28"/>
              </w:rPr>
            </w:pPr>
            <w:r w:rsidRPr="006B10F4">
              <w:rPr>
                <w:color w:val="000000"/>
                <w:sz w:val="28"/>
                <w:szCs w:val="28"/>
              </w:rPr>
              <w:t>2. Budžeta izdevumi:</w:t>
            </w:r>
          </w:p>
        </w:tc>
        <w:tc>
          <w:tcPr>
            <w:tcW w:w="1292" w:type="dxa"/>
          </w:tcPr>
          <w:p w14:paraId="286577A5"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A6"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A7"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A8"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A9" w14:textId="77777777" w:rsidR="008F03CF" w:rsidRPr="000779E8" w:rsidRDefault="008F03CF" w:rsidP="000779E8">
            <w:pPr>
              <w:pStyle w:val="naisf"/>
              <w:spacing w:before="0" w:after="0"/>
              <w:ind w:firstLine="0"/>
              <w:jc w:val="center"/>
              <w:rPr>
                <w:color w:val="000000"/>
                <w:sz w:val="28"/>
                <w:szCs w:val="28"/>
              </w:rPr>
            </w:pPr>
          </w:p>
        </w:tc>
      </w:tr>
      <w:tr w:rsidR="008F03CF" w:rsidRPr="00472DA9" w14:paraId="286577B1" w14:textId="77777777" w:rsidTr="006B10F4">
        <w:trPr>
          <w:jc w:val="center"/>
        </w:trPr>
        <w:tc>
          <w:tcPr>
            <w:tcW w:w="2611" w:type="dxa"/>
          </w:tcPr>
          <w:p w14:paraId="286577AB" w14:textId="77777777" w:rsidR="008F03CF" w:rsidRPr="006B10F4" w:rsidRDefault="008F03CF" w:rsidP="00E16C64">
            <w:pPr>
              <w:jc w:val="both"/>
              <w:rPr>
                <w:color w:val="000000"/>
                <w:sz w:val="28"/>
                <w:szCs w:val="28"/>
              </w:rPr>
            </w:pPr>
            <w:r w:rsidRPr="006B10F4">
              <w:rPr>
                <w:color w:val="000000"/>
                <w:sz w:val="28"/>
                <w:szCs w:val="28"/>
              </w:rPr>
              <w:t>2.1. valsts pamatbudžets</w:t>
            </w:r>
          </w:p>
        </w:tc>
        <w:tc>
          <w:tcPr>
            <w:tcW w:w="1292" w:type="dxa"/>
          </w:tcPr>
          <w:p w14:paraId="286577AC" w14:textId="7F31368B" w:rsidR="008F03CF" w:rsidRPr="00FA0919" w:rsidRDefault="000779E8" w:rsidP="000779E8">
            <w:pPr>
              <w:pStyle w:val="naisf"/>
              <w:spacing w:before="0" w:after="0"/>
              <w:ind w:firstLine="0"/>
              <w:jc w:val="center"/>
              <w:rPr>
                <w:b/>
                <w:color w:val="000000"/>
                <w:sz w:val="28"/>
                <w:szCs w:val="28"/>
              </w:rPr>
            </w:pPr>
            <w:r w:rsidRPr="00FA0919">
              <w:rPr>
                <w:b/>
                <w:color w:val="000000"/>
                <w:sz w:val="28"/>
                <w:szCs w:val="28"/>
              </w:rPr>
              <w:t>0</w:t>
            </w:r>
          </w:p>
        </w:tc>
        <w:tc>
          <w:tcPr>
            <w:tcW w:w="1340" w:type="dxa"/>
          </w:tcPr>
          <w:p w14:paraId="286577AD" w14:textId="1E066870" w:rsidR="008F03CF" w:rsidRPr="00FA0919" w:rsidRDefault="000779E8" w:rsidP="000779E8">
            <w:pPr>
              <w:pStyle w:val="naisf"/>
              <w:spacing w:before="0" w:after="0"/>
              <w:ind w:firstLine="0"/>
              <w:jc w:val="center"/>
              <w:rPr>
                <w:b/>
                <w:color w:val="000000"/>
                <w:sz w:val="28"/>
                <w:szCs w:val="28"/>
              </w:rPr>
            </w:pPr>
            <w:r w:rsidRPr="00FA0919">
              <w:rPr>
                <w:b/>
                <w:color w:val="000000"/>
                <w:sz w:val="28"/>
                <w:szCs w:val="28"/>
              </w:rPr>
              <w:t>0</w:t>
            </w:r>
          </w:p>
        </w:tc>
        <w:tc>
          <w:tcPr>
            <w:tcW w:w="1391" w:type="dxa"/>
          </w:tcPr>
          <w:p w14:paraId="286577AE" w14:textId="76E1406A" w:rsidR="008F03CF" w:rsidRPr="00FA0919" w:rsidRDefault="000779E8" w:rsidP="000779E8">
            <w:pPr>
              <w:pStyle w:val="naisf"/>
              <w:spacing w:before="0" w:after="0"/>
              <w:ind w:firstLine="0"/>
              <w:jc w:val="center"/>
              <w:rPr>
                <w:b/>
                <w:color w:val="000000"/>
                <w:sz w:val="28"/>
                <w:szCs w:val="28"/>
              </w:rPr>
            </w:pPr>
            <w:r w:rsidRPr="00FA0919">
              <w:rPr>
                <w:b/>
                <w:color w:val="000000"/>
                <w:sz w:val="28"/>
                <w:szCs w:val="28"/>
              </w:rPr>
              <w:t>0</w:t>
            </w:r>
          </w:p>
        </w:tc>
        <w:tc>
          <w:tcPr>
            <w:tcW w:w="1391" w:type="dxa"/>
          </w:tcPr>
          <w:p w14:paraId="286577AF" w14:textId="3A711766" w:rsidR="008F03CF" w:rsidRPr="00FA0919" w:rsidRDefault="000779E8" w:rsidP="000779E8">
            <w:pPr>
              <w:pStyle w:val="naisf"/>
              <w:spacing w:before="0" w:after="0"/>
              <w:ind w:firstLine="0"/>
              <w:jc w:val="center"/>
              <w:rPr>
                <w:b/>
                <w:color w:val="000000"/>
                <w:sz w:val="28"/>
                <w:szCs w:val="28"/>
              </w:rPr>
            </w:pPr>
            <w:r w:rsidRPr="00FA0919">
              <w:rPr>
                <w:b/>
                <w:color w:val="000000"/>
                <w:sz w:val="28"/>
                <w:szCs w:val="28"/>
              </w:rPr>
              <w:t>0</w:t>
            </w:r>
          </w:p>
        </w:tc>
        <w:tc>
          <w:tcPr>
            <w:tcW w:w="1391" w:type="dxa"/>
          </w:tcPr>
          <w:p w14:paraId="286577B0" w14:textId="1F9B6552" w:rsidR="008F03CF" w:rsidRPr="00FA0919" w:rsidRDefault="000779E8" w:rsidP="000779E8">
            <w:pPr>
              <w:pStyle w:val="naisf"/>
              <w:spacing w:before="0" w:after="0"/>
              <w:ind w:firstLine="0"/>
              <w:jc w:val="center"/>
              <w:rPr>
                <w:b/>
                <w:color w:val="000000"/>
                <w:sz w:val="28"/>
                <w:szCs w:val="28"/>
              </w:rPr>
            </w:pPr>
            <w:r w:rsidRPr="00FA0919">
              <w:rPr>
                <w:b/>
                <w:color w:val="000000"/>
                <w:sz w:val="28"/>
                <w:szCs w:val="28"/>
              </w:rPr>
              <w:t>0</w:t>
            </w:r>
          </w:p>
        </w:tc>
      </w:tr>
      <w:tr w:rsidR="008F03CF" w:rsidRPr="006B10F4" w14:paraId="286577B8" w14:textId="77777777" w:rsidTr="006B10F4">
        <w:trPr>
          <w:jc w:val="center"/>
        </w:trPr>
        <w:tc>
          <w:tcPr>
            <w:tcW w:w="2611" w:type="dxa"/>
          </w:tcPr>
          <w:p w14:paraId="286577B2" w14:textId="77777777" w:rsidR="008F03CF" w:rsidRPr="006B10F4" w:rsidRDefault="008F03CF" w:rsidP="00E16C64">
            <w:pPr>
              <w:jc w:val="both"/>
              <w:rPr>
                <w:color w:val="000000"/>
                <w:sz w:val="28"/>
                <w:szCs w:val="28"/>
              </w:rPr>
            </w:pPr>
            <w:r w:rsidRPr="006B10F4">
              <w:rPr>
                <w:color w:val="000000"/>
                <w:sz w:val="28"/>
                <w:szCs w:val="28"/>
              </w:rPr>
              <w:t>2.2. valsts speciālais budžets</w:t>
            </w:r>
          </w:p>
        </w:tc>
        <w:tc>
          <w:tcPr>
            <w:tcW w:w="1292" w:type="dxa"/>
          </w:tcPr>
          <w:p w14:paraId="286577B3"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B4"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B5"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B6"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B7"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BF" w14:textId="77777777" w:rsidTr="006B10F4">
        <w:trPr>
          <w:jc w:val="center"/>
        </w:trPr>
        <w:tc>
          <w:tcPr>
            <w:tcW w:w="2611" w:type="dxa"/>
          </w:tcPr>
          <w:p w14:paraId="286577B9" w14:textId="77777777" w:rsidR="008F03CF" w:rsidRPr="006B10F4" w:rsidRDefault="008F03CF" w:rsidP="00E16C64">
            <w:pPr>
              <w:jc w:val="both"/>
              <w:rPr>
                <w:color w:val="000000"/>
                <w:sz w:val="28"/>
                <w:szCs w:val="28"/>
              </w:rPr>
            </w:pPr>
            <w:r w:rsidRPr="006B10F4">
              <w:rPr>
                <w:color w:val="000000"/>
                <w:sz w:val="28"/>
                <w:szCs w:val="28"/>
              </w:rPr>
              <w:t xml:space="preserve">2.3. pašvaldību budžets </w:t>
            </w:r>
          </w:p>
        </w:tc>
        <w:tc>
          <w:tcPr>
            <w:tcW w:w="1292" w:type="dxa"/>
          </w:tcPr>
          <w:p w14:paraId="286577BA"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BB"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BC"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BD"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BE"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C6" w14:textId="77777777" w:rsidTr="006B10F4">
        <w:trPr>
          <w:jc w:val="center"/>
        </w:trPr>
        <w:tc>
          <w:tcPr>
            <w:tcW w:w="2611" w:type="dxa"/>
          </w:tcPr>
          <w:p w14:paraId="286577C0" w14:textId="77777777" w:rsidR="008F03CF" w:rsidRPr="006B10F4" w:rsidRDefault="008F03CF" w:rsidP="00E16C64">
            <w:pPr>
              <w:jc w:val="both"/>
              <w:rPr>
                <w:color w:val="000000"/>
                <w:sz w:val="28"/>
                <w:szCs w:val="28"/>
              </w:rPr>
            </w:pPr>
            <w:r w:rsidRPr="006B10F4">
              <w:rPr>
                <w:color w:val="000000"/>
                <w:sz w:val="28"/>
                <w:szCs w:val="28"/>
              </w:rPr>
              <w:t>3. Finansiālā ietekme:</w:t>
            </w:r>
          </w:p>
        </w:tc>
        <w:tc>
          <w:tcPr>
            <w:tcW w:w="1292" w:type="dxa"/>
            <w:vAlign w:val="center"/>
          </w:tcPr>
          <w:p w14:paraId="286577C1"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C2"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C3"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C4"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C5"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CD" w14:textId="77777777" w:rsidTr="006B10F4">
        <w:trPr>
          <w:jc w:val="center"/>
        </w:trPr>
        <w:tc>
          <w:tcPr>
            <w:tcW w:w="2611" w:type="dxa"/>
          </w:tcPr>
          <w:p w14:paraId="286577C7" w14:textId="77777777" w:rsidR="008F03CF" w:rsidRPr="006B10F4" w:rsidRDefault="008F03CF" w:rsidP="00E16C64">
            <w:pPr>
              <w:jc w:val="both"/>
              <w:rPr>
                <w:color w:val="000000"/>
                <w:sz w:val="28"/>
                <w:szCs w:val="28"/>
              </w:rPr>
            </w:pPr>
            <w:r w:rsidRPr="006B10F4">
              <w:rPr>
                <w:color w:val="000000"/>
                <w:sz w:val="28"/>
                <w:szCs w:val="28"/>
              </w:rPr>
              <w:t>3.1. valsts pamatbudžets</w:t>
            </w:r>
          </w:p>
        </w:tc>
        <w:tc>
          <w:tcPr>
            <w:tcW w:w="1292" w:type="dxa"/>
          </w:tcPr>
          <w:p w14:paraId="286577C8" w14:textId="2E109340"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40" w:type="dxa"/>
          </w:tcPr>
          <w:p w14:paraId="286577C9" w14:textId="4CEDD371"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91" w:type="dxa"/>
          </w:tcPr>
          <w:p w14:paraId="286577CA" w14:textId="5AD5840B"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91" w:type="dxa"/>
          </w:tcPr>
          <w:p w14:paraId="286577CB" w14:textId="4C378CB6"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c>
          <w:tcPr>
            <w:tcW w:w="1391" w:type="dxa"/>
          </w:tcPr>
          <w:p w14:paraId="286577CC" w14:textId="0A1DFF7B" w:rsidR="008F03CF" w:rsidRPr="00FA0919" w:rsidRDefault="00A30FD8" w:rsidP="000779E8">
            <w:pPr>
              <w:pStyle w:val="naisf"/>
              <w:spacing w:before="0" w:after="0"/>
              <w:ind w:firstLine="0"/>
              <w:jc w:val="center"/>
              <w:rPr>
                <w:b/>
                <w:color w:val="000000"/>
                <w:sz w:val="28"/>
                <w:szCs w:val="28"/>
              </w:rPr>
            </w:pPr>
            <w:r>
              <w:rPr>
                <w:b/>
                <w:color w:val="000000"/>
                <w:sz w:val="28"/>
                <w:szCs w:val="28"/>
              </w:rPr>
              <w:t>Nav precīzi aprēķināms</w:t>
            </w:r>
            <w:r w:rsidR="004359D1">
              <w:rPr>
                <w:b/>
                <w:color w:val="000000"/>
                <w:sz w:val="28"/>
                <w:szCs w:val="28"/>
              </w:rPr>
              <w:t>.</w:t>
            </w:r>
          </w:p>
        </w:tc>
      </w:tr>
      <w:tr w:rsidR="008F03CF" w:rsidRPr="006B10F4" w14:paraId="286577D4" w14:textId="77777777" w:rsidTr="006B10F4">
        <w:trPr>
          <w:jc w:val="center"/>
        </w:trPr>
        <w:tc>
          <w:tcPr>
            <w:tcW w:w="2611" w:type="dxa"/>
          </w:tcPr>
          <w:p w14:paraId="286577CE" w14:textId="77777777" w:rsidR="008F03CF" w:rsidRPr="006B10F4" w:rsidRDefault="008F03CF" w:rsidP="00E16C64">
            <w:pPr>
              <w:jc w:val="both"/>
              <w:rPr>
                <w:color w:val="000000"/>
                <w:sz w:val="28"/>
                <w:szCs w:val="28"/>
              </w:rPr>
            </w:pPr>
            <w:r w:rsidRPr="006B10F4">
              <w:rPr>
                <w:color w:val="000000"/>
                <w:sz w:val="28"/>
                <w:szCs w:val="28"/>
              </w:rPr>
              <w:t>3.2. speciālais budžets</w:t>
            </w:r>
          </w:p>
        </w:tc>
        <w:tc>
          <w:tcPr>
            <w:tcW w:w="1292" w:type="dxa"/>
          </w:tcPr>
          <w:p w14:paraId="286577CF"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D0"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D1"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D2"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D3"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DB" w14:textId="77777777" w:rsidTr="006B10F4">
        <w:trPr>
          <w:jc w:val="center"/>
        </w:trPr>
        <w:tc>
          <w:tcPr>
            <w:tcW w:w="2611" w:type="dxa"/>
          </w:tcPr>
          <w:p w14:paraId="286577D5" w14:textId="77777777" w:rsidR="008F03CF" w:rsidRPr="006B10F4" w:rsidRDefault="008F03CF" w:rsidP="00E16C64">
            <w:pPr>
              <w:jc w:val="both"/>
              <w:rPr>
                <w:color w:val="000000"/>
                <w:sz w:val="28"/>
                <w:szCs w:val="28"/>
              </w:rPr>
            </w:pPr>
            <w:r w:rsidRPr="006B10F4">
              <w:rPr>
                <w:color w:val="000000"/>
                <w:sz w:val="28"/>
                <w:szCs w:val="28"/>
              </w:rPr>
              <w:t xml:space="preserve">3.3. pašvaldību budžets </w:t>
            </w:r>
          </w:p>
        </w:tc>
        <w:tc>
          <w:tcPr>
            <w:tcW w:w="1292" w:type="dxa"/>
          </w:tcPr>
          <w:p w14:paraId="286577D6"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D7"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D8"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D9"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DA"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E2" w14:textId="77777777" w:rsidTr="006B10F4">
        <w:trPr>
          <w:jc w:val="center"/>
        </w:trPr>
        <w:tc>
          <w:tcPr>
            <w:tcW w:w="2611" w:type="dxa"/>
            <w:vMerge w:val="restart"/>
          </w:tcPr>
          <w:p w14:paraId="286577DC" w14:textId="77777777" w:rsidR="008F03CF" w:rsidRPr="006B10F4" w:rsidRDefault="008F03CF" w:rsidP="00E16C64">
            <w:pPr>
              <w:jc w:val="both"/>
              <w:rPr>
                <w:color w:val="000000"/>
                <w:sz w:val="28"/>
                <w:szCs w:val="28"/>
              </w:rPr>
            </w:pPr>
            <w:r w:rsidRPr="006B10F4">
              <w:rPr>
                <w:color w:val="000000"/>
                <w:sz w:val="28"/>
                <w:szCs w:val="28"/>
              </w:rPr>
              <w:t>4. Finanšu līdzekļi papildu izde</w:t>
            </w:r>
            <w:r w:rsidRPr="006B10F4">
              <w:rPr>
                <w:color w:val="000000"/>
                <w:sz w:val="28"/>
                <w:szCs w:val="28"/>
              </w:rPr>
              <w:softHyphen/>
              <w:t>vumu finansēšanai (kompensējošu izdevumu samazinājumu norāda ar "+" zīmi)</w:t>
            </w:r>
          </w:p>
        </w:tc>
        <w:tc>
          <w:tcPr>
            <w:tcW w:w="1292" w:type="dxa"/>
            <w:vMerge w:val="restart"/>
          </w:tcPr>
          <w:p w14:paraId="286577DD" w14:textId="77777777" w:rsidR="008F03CF" w:rsidRPr="000779E8" w:rsidRDefault="008F03CF" w:rsidP="000779E8">
            <w:pPr>
              <w:pStyle w:val="naisf"/>
              <w:spacing w:before="0" w:after="0"/>
              <w:ind w:firstLine="0"/>
              <w:jc w:val="center"/>
              <w:rPr>
                <w:color w:val="000000"/>
                <w:sz w:val="28"/>
                <w:szCs w:val="28"/>
              </w:rPr>
            </w:pPr>
            <w:r w:rsidRPr="000779E8">
              <w:rPr>
                <w:color w:val="000000"/>
                <w:sz w:val="28"/>
                <w:szCs w:val="28"/>
              </w:rPr>
              <w:t>X</w:t>
            </w:r>
          </w:p>
        </w:tc>
        <w:tc>
          <w:tcPr>
            <w:tcW w:w="1340" w:type="dxa"/>
          </w:tcPr>
          <w:p w14:paraId="286577DE" w14:textId="3BDED199" w:rsidR="008F03CF" w:rsidRPr="008C481D"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c>
          <w:tcPr>
            <w:tcW w:w="1391" w:type="dxa"/>
          </w:tcPr>
          <w:p w14:paraId="286577DF" w14:textId="1BD61F23" w:rsidR="008F03CF" w:rsidRPr="008C481D"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c>
          <w:tcPr>
            <w:tcW w:w="1391" w:type="dxa"/>
          </w:tcPr>
          <w:p w14:paraId="286577E0" w14:textId="71D38317" w:rsidR="008F03CF" w:rsidRPr="008C481D"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c>
          <w:tcPr>
            <w:tcW w:w="1391" w:type="dxa"/>
          </w:tcPr>
          <w:p w14:paraId="286577E1" w14:textId="024A570E" w:rsidR="008F03CF" w:rsidRPr="008C481D"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r>
      <w:tr w:rsidR="008F03CF" w:rsidRPr="006B10F4" w14:paraId="286577E9" w14:textId="77777777" w:rsidTr="006B10F4">
        <w:trPr>
          <w:jc w:val="center"/>
        </w:trPr>
        <w:tc>
          <w:tcPr>
            <w:tcW w:w="2611" w:type="dxa"/>
            <w:vMerge/>
          </w:tcPr>
          <w:p w14:paraId="286577E3" w14:textId="77777777" w:rsidR="008F03CF" w:rsidRPr="006B10F4" w:rsidRDefault="008F03CF" w:rsidP="00E16C64">
            <w:pPr>
              <w:jc w:val="both"/>
              <w:rPr>
                <w:color w:val="000000"/>
                <w:sz w:val="28"/>
                <w:szCs w:val="28"/>
              </w:rPr>
            </w:pPr>
          </w:p>
        </w:tc>
        <w:tc>
          <w:tcPr>
            <w:tcW w:w="1292" w:type="dxa"/>
            <w:vMerge/>
          </w:tcPr>
          <w:p w14:paraId="286577E4"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E5" w14:textId="6E1BB219"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c>
          <w:tcPr>
            <w:tcW w:w="1391" w:type="dxa"/>
          </w:tcPr>
          <w:p w14:paraId="286577E6" w14:textId="00754B4C"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c>
          <w:tcPr>
            <w:tcW w:w="1391" w:type="dxa"/>
          </w:tcPr>
          <w:p w14:paraId="286577E7" w14:textId="5A5904E0"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c>
          <w:tcPr>
            <w:tcW w:w="1391" w:type="dxa"/>
          </w:tcPr>
          <w:p w14:paraId="286577E8" w14:textId="78FA59C6"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r>
      <w:tr w:rsidR="008F03CF" w:rsidRPr="006B10F4" w14:paraId="286577F0" w14:textId="77777777" w:rsidTr="006B10F4">
        <w:trPr>
          <w:jc w:val="center"/>
        </w:trPr>
        <w:tc>
          <w:tcPr>
            <w:tcW w:w="2611" w:type="dxa"/>
            <w:vMerge/>
          </w:tcPr>
          <w:p w14:paraId="286577EA" w14:textId="77777777" w:rsidR="008F03CF" w:rsidRPr="006B10F4" w:rsidRDefault="008F03CF" w:rsidP="00E16C64">
            <w:pPr>
              <w:jc w:val="both"/>
              <w:rPr>
                <w:color w:val="000000"/>
                <w:sz w:val="28"/>
                <w:szCs w:val="28"/>
              </w:rPr>
            </w:pPr>
          </w:p>
        </w:tc>
        <w:tc>
          <w:tcPr>
            <w:tcW w:w="1292" w:type="dxa"/>
            <w:vMerge/>
          </w:tcPr>
          <w:p w14:paraId="286577EB"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EC" w14:textId="378C48EB"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c>
          <w:tcPr>
            <w:tcW w:w="1391" w:type="dxa"/>
          </w:tcPr>
          <w:p w14:paraId="286577ED" w14:textId="2ED66453"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c>
          <w:tcPr>
            <w:tcW w:w="1391" w:type="dxa"/>
          </w:tcPr>
          <w:p w14:paraId="286577EE" w14:textId="241CDCAB"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c>
          <w:tcPr>
            <w:tcW w:w="1391" w:type="dxa"/>
          </w:tcPr>
          <w:p w14:paraId="286577EF" w14:textId="3752E8C9" w:rsidR="008F03CF" w:rsidRPr="000779E8" w:rsidRDefault="00AF2BE1" w:rsidP="000779E8">
            <w:pPr>
              <w:pStyle w:val="naisf"/>
              <w:spacing w:before="0" w:after="0"/>
              <w:ind w:firstLine="0"/>
              <w:jc w:val="center"/>
              <w:rPr>
                <w:color w:val="000000"/>
                <w:sz w:val="28"/>
                <w:szCs w:val="28"/>
              </w:rPr>
            </w:pPr>
            <w:r>
              <w:rPr>
                <w:b/>
                <w:color w:val="000000"/>
                <w:sz w:val="28"/>
                <w:szCs w:val="28"/>
              </w:rPr>
              <w:t>Nav attiecināms</w:t>
            </w:r>
            <w:r w:rsidR="004359D1">
              <w:rPr>
                <w:b/>
                <w:color w:val="000000"/>
                <w:sz w:val="28"/>
                <w:szCs w:val="28"/>
              </w:rPr>
              <w:t>.</w:t>
            </w:r>
          </w:p>
        </w:tc>
      </w:tr>
      <w:tr w:rsidR="008F03CF" w:rsidRPr="006B10F4" w14:paraId="286577F7" w14:textId="77777777" w:rsidTr="006B10F4">
        <w:trPr>
          <w:jc w:val="center"/>
        </w:trPr>
        <w:tc>
          <w:tcPr>
            <w:tcW w:w="2611" w:type="dxa"/>
          </w:tcPr>
          <w:p w14:paraId="286577F1" w14:textId="77777777" w:rsidR="008F03CF" w:rsidRPr="006B10F4" w:rsidRDefault="008F03CF" w:rsidP="00E16C64">
            <w:pPr>
              <w:jc w:val="both"/>
              <w:rPr>
                <w:color w:val="000000"/>
                <w:sz w:val="28"/>
                <w:szCs w:val="28"/>
              </w:rPr>
            </w:pPr>
            <w:r w:rsidRPr="006B10F4">
              <w:rPr>
                <w:color w:val="000000"/>
                <w:sz w:val="28"/>
                <w:szCs w:val="28"/>
              </w:rPr>
              <w:t>5. Precizēta finansiālā ietekme:</w:t>
            </w:r>
          </w:p>
        </w:tc>
        <w:tc>
          <w:tcPr>
            <w:tcW w:w="1292" w:type="dxa"/>
            <w:vMerge w:val="restart"/>
          </w:tcPr>
          <w:p w14:paraId="286577F2" w14:textId="77777777" w:rsidR="008F03CF" w:rsidRPr="000779E8" w:rsidRDefault="008F03CF" w:rsidP="000779E8">
            <w:pPr>
              <w:pStyle w:val="naisf"/>
              <w:spacing w:before="0" w:after="0"/>
              <w:ind w:firstLine="0"/>
              <w:jc w:val="center"/>
              <w:rPr>
                <w:color w:val="000000"/>
                <w:sz w:val="28"/>
                <w:szCs w:val="28"/>
              </w:rPr>
            </w:pPr>
            <w:r w:rsidRPr="000779E8">
              <w:rPr>
                <w:color w:val="000000"/>
                <w:sz w:val="28"/>
                <w:szCs w:val="28"/>
              </w:rPr>
              <w:t>X</w:t>
            </w:r>
          </w:p>
        </w:tc>
        <w:tc>
          <w:tcPr>
            <w:tcW w:w="1340" w:type="dxa"/>
          </w:tcPr>
          <w:p w14:paraId="286577F3"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F4"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F5" w14:textId="77777777" w:rsidR="008F03CF" w:rsidRPr="000779E8" w:rsidRDefault="008F03CF" w:rsidP="000779E8">
            <w:pPr>
              <w:pStyle w:val="naisf"/>
              <w:spacing w:before="0" w:after="0"/>
              <w:ind w:firstLine="0"/>
              <w:jc w:val="center"/>
              <w:rPr>
                <w:color w:val="000000"/>
                <w:sz w:val="28"/>
                <w:szCs w:val="28"/>
              </w:rPr>
            </w:pPr>
          </w:p>
        </w:tc>
        <w:tc>
          <w:tcPr>
            <w:tcW w:w="1391" w:type="dxa"/>
          </w:tcPr>
          <w:p w14:paraId="286577F6" w14:textId="77777777" w:rsidR="008F03CF" w:rsidRPr="000779E8" w:rsidRDefault="008F03CF" w:rsidP="000779E8">
            <w:pPr>
              <w:pStyle w:val="naisf"/>
              <w:spacing w:before="0" w:after="0"/>
              <w:ind w:firstLine="0"/>
              <w:jc w:val="center"/>
              <w:rPr>
                <w:color w:val="000000"/>
                <w:sz w:val="28"/>
                <w:szCs w:val="28"/>
              </w:rPr>
            </w:pPr>
          </w:p>
        </w:tc>
      </w:tr>
      <w:tr w:rsidR="008F03CF" w:rsidRPr="006B10F4" w14:paraId="286577FE" w14:textId="77777777" w:rsidTr="006B10F4">
        <w:trPr>
          <w:jc w:val="center"/>
        </w:trPr>
        <w:tc>
          <w:tcPr>
            <w:tcW w:w="2611" w:type="dxa"/>
          </w:tcPr>
          <w:p w14:paraId="286577F8" w14:textId="77777777" w:rsidR="008F03CF" w:rsidRPr="006B10F4" w:rsidRDefault="008F03CF" w:rsidP="00E16C64">
            <w:pPr>
              <w:jc w:val="both"/>
              <w:rPr>
                <w:color w:val="000000"/>
                <w:sz w:val="28"/>
                <w:szCs w:val="28"/>
              </w:rPr>
            </w:pPr>
            <w:r w:rsidRPr="006B10F4">
              <w:rPr>
                <w:color w:val="000000"/>
                <w:sz w:val="28"/>
                <w:szCs w:val="28"/>
              </w:rPr>
              <w:t>5.1. valsts pamatbudžets</w:t>
            </w:r>
          </w:p>
        </w:tc>
        <w:tc>
          <w:tcPr>
            <w:tcW w:w="1292" w:type="dxa"/>
            <w:vMerge/>
            <w:vAlign w:val="center"/>
          </w:tcPr>
          <w:p w14:paraId="286577F9"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7FA" w14:textId="1CD37396" w:rsidR="008F03CF" w:rsidRPr="00FA0919"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c>
          <w:tcPr>
            <w:tcW w:w="1391" w:type="dxa"/>
          </w:tcPr>
          <w:p w14:paraId="286577FB" w14:textId="6AFD91E8" w:rsidR="008F03CF" w:rsidRPr="00FA0919"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c>
          <w:tcPr>
            <w:tcW w:w="1391" w:type="dxa"/>
          </w:tcPr>
          <w:p w14:paraId="286577FC" w14:textId="143FB488" w:rsidR="008F03CF" w:rsidRPr="00FA0919"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c>
          <w:tcPr>
            <w:tcW w:w="1391" w:type="dxa"/>
          </w:tcPr>
          <w:p w14:paraId="286577FD" w14:textId="02B927FD" w:rsidR="008F03CF" w:rsidRPr="00FA0919" w:rsidRDefault="00AF2BE1" w:rsidP="000779E8">
            <w:pPr>
              <w:pStyle w:val="naisf"/>
              <w:spacing w:before="0" w:after="0"/>
              <w:ind w:firstLine="0"/>
              <w:jc w:val="center"/>
              <w:rPr>
                <w:b/>
                <w:color w:val="000000"/>
                <w:sz w:val="28"/>
                <w:szCs w:val="28"/>
              </w:rPr>
            </w:pPr>
            <w:r>
              <w:rPr>
                <w:b/>
                <w:color w:val="000000"/>
                <w:sz w:val="28"/>
                <w:szCs w:val="28"/>
              </w:rPr>
              <w:t>Nav attiecināms</w:t>
            </w:r>
            <w:r w:rsidR="004359D1">
              <w:rPr>
                <w:b/>
                <w:color w:val="000000"/>
                <w:sz w:val="28"/>
                <w:szCs w:val="28"/>
              </w:rPr>
              <w:t>.</w:t>
            </w:r>
          </w:p>
        </w:tc>
      </w:tr>
      <w:tr w:rsidR="008F03CF" w:rsidRPr="006B10F4" w14:paraId="28657805" w14:textId="77777777" w:rsidTr="006B10F4">
        <w:trPr>
          <w:jc w:val="center"/>
        </w:trPr>
        <w:tc>
          <w:tcPr>
            <w:tcW w:w="2611" w:type="dxa"/>
          </w:tcPr>
          <w:p w14:paraId="286577FF" w14:textId="77777777" w:rsidR="008F03CF" w:rsidRPr="006B10F4" w:rsidRDefault="008F03CF" w:rsidP="00E16C64">
            <w:pPr>
              <w:jc w:val="both"/>
              <w:rPr>
                <w:color w:val="000000"/>
                <w:sz w:val="28"/>
                <w:szCs w:val="28"/>
              </w:rPr>
            </w:pPr>
            <w:r w:rsidRPr="006B10F4">
              <w:rPr>
                <w:color w:val="000000"/>
                <w:sz w:val="28"/>
                <w:szCs w:val="28"/>
              </w:rPr>
              <w:t>5.2. speciālais budžets</w:t>
            </w:r>
          </w:p>
        </w:tc>
        <w:tc>
          <w:tcPr>
            <w:tcW w:w="1292" w:type="dxa"/>
            <w:vMerge/>
            <w:vAlign w:val="center"/>
          </w:tcPr>
          <w:p w14:paraId="28657800"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801" w14:textId="1AFBE4B0" w:rsidR="008F03CF" w:rsidRPr="000779E8" w:rsidRDefault="008F03CF" w:rsidP="000779E8">
            <w:pPr>
              <w:pStyle w:val="naisf"/>
              <w:spacing w:before="0" w:after="0"/>
              <w:ind w:firstLine="0"/>
              <w:jc w:val="center"/>
              <w:rPr>
                <w:color w:val="000000"/>
                <w:sz w:val="28"/>
                <w:szCs w:val="28"/>
              </w:rPr>
            </w:pPr>
          </w:p>
        </w:tc>
        <w:tc>
          <w:tcPr>
            <w:tcW w:w="1391" w:type="dxa"/>
          </w:tcPr>
          <w:p w14:paraId="28657802" w14:textId="17FE89DF" w:rsidR="008F03CF" w:rsidRPr="000779E8" w:rsidRDefault="008F03CF" w:rsidP="000779E8">
            <w:pPr>
              <w:pStyle w:val="naisf"/>
              <w:spacing w:before="0" w:after="0"/>
              <w:ind w:firstLine="0"/>
              <w:jc w:val="center"/>
              <w:rPr>
                <w:color w:val="000000"/>
                <w:sz w:val="28"/>
                <w:szCs w:val="28"/>
              </w:rPr>
            </w:pPr>
          </w:p>
        </w:tc>
        <w:tc>
          <w:tcPr>
            <w:tcW w:w="1391" w:type="dxa"/>
          </w:tcPr>
          <w:p w14:paraId="28657803" w14:textId="5EE52663" w:rsidR="008F03CF" w:rsidRPr="000779E8" w:rsidRDefault="008F03CF" w:rsidP="000779E8">
            <w:pPr>
              <w:pStyle w:val="naisf"/>
              <w:spacing w:before="0" w:after="0"/>
              <w:ind w:firstLine="0"/>
              <w:jc w:val="center"/>
              <w:rPr>
                <w:color w:val="000000"/>
                <w:sz w:val="28"/>
                <w:szCs w:val="28"/>
              </w:rPr>
            </w:pPr>
          </w:p>
        </w:tc>
        <w:tc>
          <w:tcPr>
            <w:tcW w:w="1391" w:type="dxa"/>
          </w:tcPr>
          <w:p w14:paraId="28657804" w14:textId="695E3A08" w:rsidR="008F03CF" w:rsidRPr="000779E8" w:rsidRDefault="008F03CF" w:rsidP="000779E8">
            <w:pPr>
              <w:pStyle w:val="naisf"/>
              <w:spacing w:before="0" w:after="0"/>
              <w:ind w:firstLine="0"/>
              <w:jc w:val="center"/>
              <w:rPr>
                <w:color w:val="000000"/>
                <w:sz w:val="28"/>
                <w:szCs w:val="28"/>
              </w:rPr>
            </w:pPr>
          </w:p>
        </w:tc>
      </w:tr>
      <w:tr w:rsidR="008F03CF" w:rsidRPr="006B10F4" w14:paraId="2865780C" w14:textId="77777777" w:rsidTr="006B10F4">
        <w:trPr>
          <w:jc w:val="center"/>
        </w:trPr>
        <w:tc>
          <w:tcPr>
            <w:tcW w:w="2611" w:type="dxa"/>
          </w:tcPr>
          <w:p w14:paraId="28657806" w14:textId="77777777" w:rsidR="008F03CF" w:rsidRPr="006B10F4" w:rsidRDefault="008F03CF" w:rsidP="00E16C64">
            <w:pPr>
              <w:jc w:val="both"/>
              <w:rPr>
                <w:color w:val="000000"/>
                <w:sz w:val="28"/>
                <w:szCs w:val="28"/>
              </w:rPr>
            </w:pPr>
            <w:r w:rsidRPr="006B10F4">
              <w:rPr>
                <w:color w:val="000000"/>
                <w:sz w:val="28"/>
                <w:szCs w:val="28"/>
              </w:rPr>
              <w:t xml:space="preserve">5.3. pašvaldību budžets </w:t>
            </w:r>
          </w:p>
        </w:tc>
        <w:tc>
          <w:tcPr>
            <w:tcW w:w="1292" w:type="dxa"/>
            <w:vMerge/>
            <w:vAlign w:val="center"/>
          </w:tcPr>
          <w:p w14:paraId="28657807" w14:textId="77777777" w:rsidR="008F03CF" w:rsidRPr="000779E8" w:rsidRDefault="008F03CF" w:rsidP="000779E8">
            <w:pPr>
              <w:pStyle w:val="naisf"/>
              <w:spacing w:before="0" w:after="0"/>
              <w:ind w:firstLine="0"/>
              <w:jc w:val="center"/>
              <w:rPr>
                <w:color w:val="000000"/>
                <w:sz w:val="28"/>
                <w:szCs w:val="28"/>
              </w:rPr>
            </w:pPr>
          </w:p>
        </w:tc>
        <w:tc>
          <w:tcPr>
            <w:tcW w:w="1340" w:type="dxa"/>
          </w:tcPr>
          <w:p w14:paraId="28657808" w14:textId="50ADC8A7" w:rsidR="008F03CF" w:rsidRPr="000779E8" w:rsidRDefault="008F03CF" w:rsidP="000779E8">
            <w:pPr>
              <w:pStyle w:val="naisf"/>
              <w:spacing w:before="0" w:after="0"/>
              <w:ind w:firstLine="0"/>
              <w:jc w:val="center"/>
              <w:rPr>
                <w:color w:val="000000"/>
                <w:sz w:val="28"/>
                <w:szCs w:val="28"/>
              </w:rPr>
            </w:pPr>
          </w:p>
        </w:tc>
        <w:tc>
          <w:tcPr>
            <w:tcW w:w="1391" w:type="dxa"/>
          </w:tcPr>
          <w:p w14:paraId="28657809" w14:textId="379E5849" w:rsidR="008F03CF" w:rsidRPr="000779E8" w:rsidRDefault="008F03CF" w:rsidP="000779E8">
            <w:pPr>
              <w:pStyle w:val="naisf"/>
              <w:spacing w:before="0" w:after="0"/>
              <w:ind w:firstLine="0"/>
              <w:jc w:val="center"/>
              <w:rPr>
                <w:color w:val="000000"/>
                <w:sz w:val="28"/>
                <w:szCs w:val="28"/>
              </w:rPr>
            </w:pPr>
          </w:p>
        </w:tc>
        <w:tc>
          <w:tcPr>
            <w:tcW w:w="1391" w:type="dxa"/>
          </w:tcPr>
          <w:p w14:paraId="2865780A" w14:textId="0C371146" w:rsidR="008F03CF" w:rsidRPr="000779E8" w:rsidRDefault="008F03CF" w:rsidP="000779E8">
            <w:pPr>
              <w:pStyle w:val="naisf"/>
              <w:spacing w:before="0" w:after="0"/>
              <w:ind w:firstLine="0"/>
              <w:jc w:val="center"/>
              <w:rPr>
                <w:color w:val="000000"/>
                <w:sz w:val="28"/>
                <w:szCs w:val="28"/>
              </w:rPr>
            </w:pPr>
          </w:p>
        </w:tc>
        <w:tc>
          <w:tcPr>
            <w:tcW w:w="1391" w:type="dxa"/>
          </w:tcPr>
          <w:p w14:paraId="2865780B" w14:textId="4C810203" w:rsidR="008F03CF" w:rsidRPr="000779E8" w:rsidRDefault="008F03CF" w:rsidP="000779E8">
            <w:pPr>
              <w:pStyle w:val="naisf"/>
              <w:spacing w:before="0" w:after="0"/>
              <w:ind w:firstLine="0"/>
              <w:jc w:val="center"/>
              <w:rPr>
                <w:color w:val="000000"/>
                <w:sz w:val="28"/>
                <w:szCs w:val="28"/>
              </w:rPr>
            </w:pPr>
          </w:p>
        </w:tc>
      </w:tr>
      <w:tr w:rsidR="008F03CF" w:rsidRPr="006B10F4" w14:paraId="2865780F" w14:textId="77777777" w:rsidTr="006B10F4">
        <w:trPr>
          <w:jc w:val="center"/>
        </w:trPr>
        <w:tc>
          <w:tcPr>
            <w:tcW w:w="2611" w:type="dxa"/>
          </w:tcPr>
          <w:p w14:paraId="2865780D" w14:textId="77777777" w:rsidR="008F03CF" w:rsidRPr="006B10F4" w:rsidRDefault="008F03CF" w:rsidP="00E16C64">
            <w:pPr>
              <w:jc w:val="both"/>
              <w:rPr>
                <w:color w:val="000000"/>
                <w:sz w:val="28"/>
                <w:szCs w:val="28"/>
              </w:rPr>
            </w:pPr>
            <w:r w:rsidRPr="006B10F4">
              <w:rPr>
                <w:color w:val="000000"/>
                <w:sz w:val="28"/>
                <w:szCs w:val="28"/>
              </w:rPr>
              <w:t>6. Detalizēts ieņēmumu un izdevu</w:t>
            </w:r>
            <w:r w:rsidRPr="006B10F4">
              <w:rPr>
                <w:color w:val="000000"/>
                <w:sz w:val="28"/>
                <w:szCs w:val="28"/>
              </w:rPr>
              <w:softHyphen/>
              <w:t xml:space="preserve">mu </w:t>
            </w:r>
            <w:r w:rsidRPr="006B10F4">
              <w:rPr>
                <w:color w:val="000000"/>
                <w:sz w:val="28"/>
                <w:szCs w:val="28"/>
              </w:rPr>
              <w:lastRenderedPageBreak/>
              <w:t>aprēķins (ja nepieciešams, detalizētu ieņēmumu un izdevumu aprēķinu var pievienot anotācijas pielikumā):</w:t>
            </w:r>
          </w:p>
        </w:tc>
        <w:tc>
          <w:tcPr>
            <w:tcW w:w="6805" w:type="dxa"/>
            <w:gridSpan w:val="5"/>
          </w:tcPr>
          <w:p w14:paraId="2865780E" w14:textId="7705F02B" w:rsidR="008F03CF" w:rsidRPr="00AF2BE1" w:rsidRDefault="00AF2BE1" w:rsidP="00E77301">
            <w:pPr>
              <w:pStyle w:val="naisf"/>
              <w:spacing w:before="0" w:after="0"/>
              <w:ind w:firstLine="0"/>
              <w:rPr>
                <w:b/>
                <w:color w:val="000000"/>
                <w:sz w:val="28"/>
                <w:szCs w:val="28"/>
              </w:rPr>
            </w:pPr>
            <w:r>
              <w:rPr>
                <w:b/>
                <w:color w:val="000000"/>
                <w:sz w:val="28"/>
                <w:szCs w:val="28"/>
              </w:rPr>
              <w:lastRenderedPageBreak/>
              <w:t>Nav</w:t>
            </w:r>
            <w:r w:rsidR="004359D1">
              <w:rPr>
                <w:b/>
                <w:color w:val="000000"/>
                <w:sz w:val="28"/>
                <w:szCs w:val="28"/>
              </w:rPr>
              <w:t>.</w:t>
            </w:r>
          </w:p>
        </w:tc>
      </w:tr>
      <w:tr w:rsidR="008F03CF" w:rsidRPr="006B10F4" w14:paraId="28657812" w14:textId="77777777" w:rsidTr="006B10F4">
        <w:trPr>
          <w:jc w:val="center"/>
        </w:trPr>
        <w:tc>
          <w:tcPr>
            <w:tcW w:w="2611" w:type="dxa"/>
          </w:tcPr>
          <w:p w14:paraId="28657810" w14:textId="77777777" w:rsidR="008F03CF" w:rsidRPr="006B10F4" w:rsidRDefault="008F03CF" w:rsidP="00E16C64">
            <w:pPr>
              <w:jc w:val="both"/>
              <w:rPr>
                <w:color w:val="000000"/>
                <w:sz w:val="28"/>
                <w:szCs w:val="28"/>
              </w:rPr>
            </w:pPr>
            <w:r w:rsidRPr="006B10F4">
              <w:rPr>
                <w:color w:val="000000"/>
                <w:sz w:val="28"/>
                <w:szCs w:val="28"/>
              </w:rPr>
              <w:lastRenderedPageBreak/>
              <w:t>6.1. detalizēts ieņēmumu aprēķins</w:t>
            </w:r>
          </w:p>
        </w:tc>
        <w:tc>
          <w:tcPr>
            <w:tcW w:w="6805" w:type="dxa"/>
            <w:gridSpan w:val="5"/>
          </w:tcPr>
          <w:p w14:paraId="28657811" w14:textId="77777777" w:rsidR="008F03CF" w:rsidRPr="006B10F4" w:rsidRDefault="008F03CF" w:rsidP="00E16C64">
            <w:pPr>
              <w:pStyle w:val="naisf"/>
              <w:spacing w:before="0" w:after="0"/>
              <w:ind w:firstLine="0"/>
              <w:rPr>
                <w:b/>
                <w:i/>
                <w:color w:val="000000"/>
                <w:sz w:val="28"/>
                <w:szCs w:val="28"/>
              </w:rPr>
            </w:pPr>
          </w:p>
        </w:tc>
      </w:tr>
      <w:tr w:rsidR="008F03CF" w:rsidRPr="006B10F4" w14:paraId="28657815" w14:textId="77777777" w:rsidTr="006B10F4">
        <w:trPr>
          <w:jc w:val="center"/>
        </w:trPr>
        <w:tc>
          <w:tcPr>
            <w:tcW w:w="2611" w:type="dxa"/>
          </w:tcPr>
          <w:p w14:paraId="28657813" w14:textId="77777777" w:rsidR="008F03CF" w:rsidRPr="006B10F4" w:rsidRDefault="008F03CF" w:rsidP="00E16C64">
            <w:pPr>
              <w:jc w:val="both"/>
              <w:rPr>
                <w:color w:val="000000"/>
                <w:sz w:val="28"/>
                <w:szCs w:val="28"/>
              </w:rPr>
            </w:pPr>
            <w:r w:rsidRPr="006B10F4">
              <w:rPr>
                <w:color w:val="000000"/>
                <w:sz w:val="28"/>
                <w:szCs w:val="28"/>
              </w:rPr>
              <w:t>6.2. detalizēts izdevumu aprēķins</w:t>
            </w:r>
          </w:p>
        </w:tc>
        <w:tc>
          <w:tcPr>
            <w:tcW w:w="6805" w:type="dxa"/>
            <w:gridSpan w:val="5"/>
          </w:tcPr>
          <w:p w14:paraId="28657814" w14:textId="77777777" w:rsidR="008F03CF" w:rsidRPr="006B10F4" w:rsidRDefault="008F03CF" w:rsidP="00E16C64">
            <w:pPr>
              <w:pStyle w:val="naisf"/>
              <w:spacing w:before="0" w:after="0"/>
              <w:ind w:firstLine="0"/>
              <w:rPr>
                <w:b/>
                <w:i/>
                <w:color w:val="000000"/>
                <w:sz w:val="28"/>
                <w:szCs w:val="28"/>
              </w:rPr>
            </w:pPr>
          </w:p>
        </w:tc>
      </w:tr>
      <w:tr w:rsidR="008F03CF" w:rsidRPr="006B10F4" w14:paraId="28657818" w14:textId="77777777" w:rsidTr="006B10F4">
        <w:trPr>
          <w:jc w:val="center"/>
        </w:trPr>
        <w:tc>
          <w:tcPr>
            <w:tcW w:w="2611" w:type="dxa"/>
          </w:tcPr>
          <w:p w14:paraId="28657816" w14:textId="77777777" w:rsidR="008F03CF" w:rsidRPr="006B10F4" w:rsidRDefault="008F03CF" w:rsidP="00E16C64">
            <w:pPr>
              <w:jc w:val="both"/>
              <w:rPr>
                <w:color w:val="000000"/>
                <w:sz w:val="28"/>
                <w:szCs w:val="28"/>
              </w:rPr>
            </w:pPr>
            <w:r w:rsidRPr="006B10F4">
              <w:rPr>
                <w:color w:val="000000"/>
                <w:sz w:val="28"/>
                <w:szCs w:val="28"/>
              </w:rPr>
              <w:t>7. Cita informācija</w:t>
            </w:r>
          </w:p>
        </w:tc>
        <w:tc>
          <w:tcPr>
            <w:tcW w:w="6805" w:type="dxa"/>
            <w:gridSpan w:val="5"/>
          </w:tcPr>
          <w:p w14:paraId="28657817" w14:textId="2734BF7E" w:rsidR="008F03CF" w:rsidRPr="00A30FD8" w:rsidRDefault="00A30FD8" w:rsidP="00A30FD8">
            <w:pPr>
              <w:pStyle w:val="naisf"/>
              <w:spacing w:before="0" w:after="0"/>
              <w:ind w:firstLine="0"/>
              <w:rPr>
                <w:b/>
                <w:color w:val="000000"/>
                <w:sz w:val="28"/>
                <w:szCs w:val="28"/>
                <w:highlight w:val="yellow"/>
              </w:rPr>
            </w:pPr>
            <w:r>
              <w:rPr>
                <w:b/>
                <w:color w:val="000000"/>
                <w:sz w:val="28"/>
                <w:szCs w:val="28"/>
              </w:rPr>
              <w:t>Budžeta papildu ienākumi nav precīzi aprēķināmi, jo nav zināms, cik liels būs sodāmo skaits.</w:t>
            </w:r>
          </w:p>
        </w:tc>
      </w:tr>
    </w:tbl>
    <w:p w14:paraId="28657819" w14:textId="77777777" w:rsidR="007E57F4" w:rsidRDefault="007E57F4" w:rsidP="007E57F4">
      <w:pPr>
        <w:rPr>
          <w:iCs/>
          <w:sz w:val="28"/>
          <w:szCs w:val="28"/>
        </w:rPr>
      </w:pP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101529" w:rsidRPr="00101529" w14:paraId="2865781B" w14:textId="77777777" w:rsidTr="002D18AB">
        <w:trPr>
          <w:jc w:val="center"/>
        </w:trPr>
        <w:tc>
          <w:tcPr>
            <w:tcW w:w="9402" w:type="dxa"/>
          </w:tcPr>
          <w:p w14:paraId="2865781A" w14:textId="77777777" w:rsidR="00101529" w:rsidRPr="003924C8" w:rsidRDefault="00101529" w:rsidP="00101529">
            <w:pPr>
              <w:jc w:val="center"/>
              <w:rPr>
                <w:b/>
                <w:bCs/>
                <w:sz w:val="28"/>
                <w:szCs w:val="28"/>
              </w:rPr>
            </w:pPr>
            <w:r w:rsidRPr="003924C8">
              <w:rPr>
                <w:b/>
                <w:bCs/>
                <w:sz w:val="28"/>
                <w:szCs w:val="28"/>
              </w:rPr>
              <w:t>IV. Tiesību akta projekta ietekme uz spēkā esošo tiesību normu sistēmu</w:t>
            </w:r>
          </w:p>
        </w:tc>
      </w:tr>
      <w:tr w:rsidR="00101529" w:rsidRPr="00101529" w14:paraId="2865781D" w14:textId="77777777" w:rsidTr="008A2E01">
        <w:trPr>
          <w:trHeight w:val="1047"/>
          <w:jc w:val="center"/>
        </w:trPr>
        <w:tc>
          <w:tcPr>
            <w:tcW w:w="9402" w:type="dxa"/>
          </w:tcPr>
          <w:p w14:paraId="2865781C" w14:textId="77777777" w:rsidR="00101529" w:rsidRPr="003924C8" w:rsidRDefault="00101529" w:rsidP="002D18AB">
            <w:pPr>
              <w:ind w:left="-108" w:firstLine="284"/>
              <w:jc w:val="center"/>
              <w:rPr>
                <w:sz w:val="28"/>
                <w:szCs w:val="28"/>
              </w:rPr>
            </w:pPr>
            <w:r w:rsidRPr="003924C8">
              <w:rPr>
                <w:sz w:val="28"/>
                <w:szCs w:val="28"/>
              </w:rPr>
              <w:t>Likumprojekts šo jomu neskar.</w:t>
            </w:r>
          </w:p>
        </w:tc>
      </w:tr>
    </w:tbl>
    <w:p w14:paraId="2865781E" w14:textId="77777777" w:rsidR="00101529" w:rsidRDefault="00101529" w:rsidP="007E57F4">
      <w:pPr>
        <w:rPr>
          <w:iCs/>
          <w:sz w:val="28"/>
          <w:szCs w:val="28"/>
        </w:rPr>
      </w:pPr>
    </w:p>
    <w:tbl>
      <w:tblPr>
        <w:tblStyle w:val="Reatabula"/>
        <w:tblW w:w="0" w:type="auto"/>
        <w:tblLook w:val="04A0" w:firstRow="1" w:lastRow="0" w:firstColumn="1" w:lastColumn="0" w:noHBand="0" w:noVBand="1"/>
      </w:tblPr>
      <w:tblGrid>
        <w:gridCol w:w="534"/>
        <w:gridCol w:w="4110"/>
        <w:gridCol w:w="4643"/>
      </w:tblGrid>
      <w:tr w:rsidR="00D12B6E" w14:paraId="28657821" w14:textId="77777777" w:rsidTr="004524FD">
        <w:tc>
          <w:tcPr>
            <w:tcW w:w="9287" w:type="dxa"/>
            <w:gridSpan w:val="3"/>
          </w:tcPr>
          <w:p w14:paraId="28657820" w14:textId="77777777" w:rsidR="00D12B6E" w:rsidRPr="00D12B6E" w:rsidRDefault="00D12B6E" w:rsidP="007E57F4">
            <w:pPr>
              <w:rPr>
                <w:b/>
                <w:iCs/>
                <w:sz w:val="28"/>
                <w:szCs w:val="28"/>
              </w:rPr>
            </w:pPr>
            <w:r w:rsidRPr="00D12B6E">
              <w:rPr>
                <w:b/>
                <w:bCs/>
                <w:iCs/>
                <w:sz w:val="28"/>
                <w:szCs w:val="28"/>
              </w:rPr>
              <w:t>V. Tiesību akta projekta atbilstība Latvijas Republikas starptautiskajām saistībām</w:t>
            </w:r>
          </w:p>
        </w:tc>
      </w:tr>
      <w:tr w:rsidR="00D12B6E" w14:paraId="28657825" w14:textId="77777777" w:rsidTr="00D12B6E">
        <w:tc>
          <w:tcPr>
            <w:tcW w:w="534" w:type="dxa"/>
          </w:tcPr>
          <w:p w14:paraId="28657822" w14:textId="77777777" w:rsidR="00D12B6E" w:rsidRPr="00D12B6E" w:rsidRDefault="00D12B6E" w:rsidP="007E57F4">
            <w:pPr>
              <w:rPr>
                <w:iCs/>
                <w:sz w:val="28"/>
                <w:szCs w:val="28"/>
              </w:rPr>
            </w:pPr>
            <w:r w:rsidRPr="00D12B6E">
              <w:rPr>
                <w:iCs/>
                <w:sz w:val="28"/>
                <w:szCs w:val="28"/>
              </w:rPr>
              <w:t>1.</w:t>
            </w:r>
          </w:p>
        </w:tc>
        <w:tc>
          <w:tcPr>
            <w:tcW w:w="4110" w:type="dxa"/>
          </w:tcPr>
          <w:p w14:paraId="28657823" w14:textId="77777777" w:rsidR="00D12B6E" w:rsidRPr="00D12B6E" w:rsidRDefault="00D12B6E" w:rsidP="007E57F4">
            <w:pPr>
              <w:rPr>
                <w:iCs/>
                <w:sz w:val="28"/>
                <w:szCs w:val="28"/>
              </w:rPr>
            </w:pPr>
            <w:r w:rsidRPr="00D12B6E">
              <w:rPr>
                <w:iCs/>
                <w:sz w:val="28"/>
                <w:szCs w:val="28"/>
              </w:rPr>
              <w:t>Saistības pret Eiropas Savienību</w:t>
            </w:r>
          </w:p>
        </w:tc>
        <w:tc>
          <w:tcPr>
            <w:tcW w:w="4643" w:type="dxa"/>
          </w:tcPr>
          <w:p w14:paraId="28657824" w14:textId="232E62C8" w:rsidR="00D12B6E" w:rsidRPr="00D12B6E" w:rsidRDefault="00D12B6E" w:rsidP="008504BE">
            <w:pPr>
              <w:jc w:val="both"/>
              <w:rPr>
                <w:iCs/>
                <w:sz w:val="28"/>
                <w:szCs w:val="28"/>
              </w:rPr>
            </w:pPr>
            <w:r w:rsidRPr="00D12B6E">
              <w:rPr>
                <w:iCs/>
                <w:sz w:val="28"/>
                <w:szCs w:val="28"/>
              </w:rPr>
              <w:t xml:space="preserve">Eiropas Parlamenta un Padomes </w:t>
            </w:r>
            <w:r w:rsidR="003D496C" w:rsidRPr="00D12B6E">
              <w:rPr>
                <w:iCs/>
                <w:sz w:val="28"/>
                <w:szCs w:val="28"/>
              </w:rPr>
              <w:t xml:space="preserve">2010.gada 20.oktobra </w:t>
            </w:r>
            <w:r w:rsidR="004359D1">
              <w:rPr>
                <w:iCs/>
                <w:sz w:val="28"/>
                <w:szCs w:val="28"/>
              </w:rPr>
              <w:t>R</w:t>
            </w:r>
            <w:r w:rsidRPr="00D12B6E">
              <w:rPr>
                <w:iCs/>
                <w:sz w:val="28"/>
                <w:szCs w:val="28"/>
              </w:rPr>
              <w:t>egulas Nr.995/2010</w:t>
            </w:r>
            <w:r w:rsidR="00101529">
              <w:rPr>
                <w:iCs/>
                <w:sz w:val="28"/>
                <w:szCs w:val="28"/>
              </w:rPr>
              <w:t>,</w:t>
            </w:r>
            <w:r w:rsidRPr="00D12B6E">
              <w:rPr>
                <w:iCs/>
                <w:sz w:val="28"/>
                <w:szCs w:val="28"/>
              </w:rPr>
              <w:t xml:space="preserve"> ar ko nosaka pienākumus tirgus dalībniekiem, kas laiž tirgū kokmateriālus un koka i</w:t>
            </w:r>
            <w:r w:rsidR="00707B28">
              <w:rPr>
                <w:iCs/>
                <w:sz w:val="28"/>
                <w:szCs w:val="28"/>
              </w:rPr>
              <w:t>zstrādājumus</w:t>
            </w:r>
            <w:r w:rsidR="004359D1">
              <w:rPr>
                <w:iCs/>
                <w:sz w:val="28"/>
                <w:szCs w:val="28"/>
              </w:rPr>
              <w:t>,</w:t>
            </w:r>
            <w:r w:rsidR="00707B28">
              <w:rPr>
                <w:iCs/>
                <w:sz w:val="28"/>
                <w:szCs w:val="28"/>
              </w:rPr>
              <w:t xml:space="preserve"> </w:t>
            </w:r>
            <w:r w:rsidRPr="00D12B6E">
              <w:rPr>
                <w:iCs/>
                <w:sz w:val="28"/>
                <w:szCs w:val="28"/>
              </w:rPr>
              <w:t>19.pant</w:t>
            </w:r>
            <w:r w:rsidR="004359D1">
              <w:rPr>
                <w:iCs/>
                <w:sz w:val="28"/>
                <w:szCs w:val="28"/>
              </w:rPr>
              <w:t>ā</w:t>
            </w:r>
            <w:r w:rsidR="00707B28">
              <w:rPr>
                <w:iCs/>
                <w:sz w:val="28"/>
                <w:szCs w:val="28"/>
              </w:rPr>
              <w:t xml:space="preserve"> no</w:t>
            </w:r>
            <w:r w:rsidR="004359D1">
              <w:rPr>
                <w:iCs/>
                <w:sz w:val="28"/>
                <w:szCs w:val="28"/>
              </w:rPr>
              <w:t>teikts</w:t>
            </w:r>
            <w:r w:rsidR="00707B28">
              <w:rPr>
                <w:iCs/>
                <w:sz w:val="28"/>
                <w:szCs w:val="28"/>
              </w:rPr>
              <w:t>, ka dalībvalstīm jānosaka sankcijas par regulas prasību pārkāpumiem</w:t>
            </w:r>
            <w:r w:rsidRPr="00D12B6E">
              <w:rPr>
                <w:iCs/>
                <w:sz w:val="28"/>
                <w:szCs w:val="28"/>
              </w:rPr>
              <w:t>.</w:t>
            </w:r>
          </w:p>
        </w:tc>
      </w:tr>
      <w:tr w:rsidR="00D12B6E" w14:paraId="28657829" w14:textId="77777777" w:rsidTr="00D12B6E">
        <w:tc>
          <w:tcPr>
            <w:tcW w:w="534" w:type="dxa"/>
          </w:tcPr>
          <w:p w14:paraId="28657826" w14:textId="77777777" w:rsidR="00D12B6E" w:rsidRPr="00D12B6E" w:rsidRDefault="00D12B6E" w:rsidP="007E57F4">
            <w:pPr>
              <w:rPr>
                <w:iCs/>
                <w:sz w:val="28"/>
                <w:szCs w:val="28"/>
              </w:rPr>
            </w:pPr>
            <w:r w:rsidRPr="00D12B6E">
              <w:rPr>
                <w:iCs/>
                <w:sz w:val="28"/>
                <w:szCs w:val="28"/>
              </w:rPr>
              <w:t>2.</w:t>
            </w:r>
          </w:p>
        </w:tc>
        <w:tc>
          <w:tcPr>
            <w:tcW w:w="4110" w:type="dxa"/>
          </w:tcPr>
          <w:p w14:paraId="28657827" w14:textId="77777777" w:rsidR="00D12B6E" w:rsidRPr="00D12B6E" w:rsidRDefault="00D12B6E" w:rsidP="007E57F4">
            <w:pPr>
              <w:rPr>
                <w:iCs/>
                <w:sz w:val="28"/>
                <w:szCs w:val="28"/>
              </w:rPr>
            </w:pPr>
            <w:r w:rsidRPr="00D12B6E">
              <w:rPr>
                <w:iCs/>
                <w:sz w:val="28"/>
                <w:szCs w:val="28"/>
              </w:rPr>
              <w:t>Citas starptautiskās saistības</w:t>
            </w:r>
          </w:p>
        </w:tc>
        <w:tc>
          <w:tcPr>
            <w:tcW w:w="4643" w:type="dxa"/>
          </w:tcPr>
          <w:p w14:paraId="28657828" w14:textId="77777777" w:rsidR="00D12B6E" w:rsidRPr="00D12B6E" w:rsidRDefault="00D12B6E" w:rsidP="008504BE">
            <w:pPr>
              <w:jc w:val="both"/>
              <w:rPr>
                <w:iCs/>
                <w:sz w:val="28"/>
                <w:szCs w:val="28"/>
              </w:rPr>
            </w:pPr>
            <w:r>
              <w:rPr>
                <w:iCs/>
                <w:sz w:val="28"/>
                <w:szCs w:val="28"/>
              </w:rPr>
              <w:t>Nav</w:t>
            </w:r>
          </w:p>
        </w:tc>
      </w:tr>
      <w:tr w:rsidR="00D12B6E" w14:paraId="2865782D" w14:textId="77777777" w:rsidTr="00D12B6E">
        <w:tc>
          <w:tcPr>
            <w:tcW w:w="534" w:type="dxa"/>
          </w:tcPr>
          <w:p w14:paraId="2865782A" w14:textId="77777777" w:rsidR="00D12B6E" w:rsidRPr="00D12B6E" w:rsidRDefault="00D12B6E" w:rsidP="007E57F4">
            <w:pPr>
              <w:rPr>
                <w:iCs/>
                <w:sz w:val="28"/>
                <w:szCs w:val="28"/>
              </w:rPr>
            </w:pPr>
            <w:r w:rsidRPr="00D12B6E">
              <w:rPr>
                <w:iCs/>
                <w:sz w:val="28"/>
                <w:szCs w:val="28"/>
              </w:rPr>
              <w:t>3.</w:t>
            </w:r>
          </w:p>
        </w:tc>
        <w:tc>
          <w:tcPr>
            <w:tcW w:w="4110" w:type="dxa"/>
          </w:tcPr>
          <w:p w14:paraId="2865782B" w14:textId="77777777" w:rsidR="00D12B6E" w:rsidRPr="00D12B6E" w:rsidRDefault="00D12B6E" w:rsidP="007E57F4">
            <w:pPr>
              <w:rPr>
                <w:iCs/>
                <w:sz w:val="28"/>
                <w:szCs w:val="28"/>
              </w:rPr>
            </w:pPr>
            <w:r w:rsidRPr="00D12B6E">
              <w:rPr>
                <w:iCs/>
                <w:sz w:val="28"/>
                <w:szCs w:val="28"/>
              </w:rPr>
              <w:t>Cita informācija</w:t>
            </w:r>
          </w:p>
        </w:tc>
        <w:tc>
          <w:tcPr>
            <w:tcW w:w="4643" w:type="dxa"/>
          </w:tcPr>
          <w:p w14:paraId="2865782C" w14:textId="77777777" w:rsidR="00D12B6E" w:rsidRPr="00D12B6E" w:rsidRDefault="00D12B6E" w:rsidP="007E57F4">
            <w:pPr>
              <w:rPr>
                <w:iCs/>
                <w:sz w:val="28"/>
                <w:szCs w:val="28"/>
              </w:rPr>
            </w:pPr>
            <w:r>
              <w:rPr>
                <w:iCs/>
                <w:sz w:val="28"/>
                <w:szCs w:val="28"/>
              </w:rPr>
              <w:t>Nav</w:t>
            </w:r>
          </w:p>
        </w:tc>
      </w:tr>
    </w:tbl>
    <w:p w14:paraId="2865782E" w14:textId="77777777" w:rsidR="001E125B" w:rsidRPr="00707B28" w:rsidRDefault="001E125B" w:rsidP="00D10F81">
      <w:pPr>
        <w:rPr>
          <w:iCs/>
          <w:sz w:val="28"/>
          <w:szCs w:val="28"/>
        </w:rPr>
      </w:pPr>
    </w:p>
    <w:tbl>
      <w:tblPr>
        <w:tblStyle w:val="Reatabula"/>
        <w:tblW w:w="0" w:type="auto"/>
        <w:tblLook w:val="04A0" w:firstRow="1" w:lastRow="0" w:firstColumn="1" w:lastColumn="0" w:noHBand="0" w:noVBand="1"/>
      </w:tblPr>
      <w:tblGrid>
        <w:gridCol w:w="2321"/>
        <w:gridCol w:w="2322"/>
        <w:gridCol w:w="2322"/>
        <w:gridCol w:w="2322"/>
      </w:tblGrid>
      <w:tr w:rsidR="00707B28" w14:paraId="28657830" w14:textId="77777777" w:rsidTr="002D7EF7">
        <w:tc>
          <w:tcPr>
            <w:tcW w:w="9287" w:type="dxa"/>
            <w:gridSpan w:val="4"/>
          </w:tcPr>
          <w:p w14:paraId="2865782F" w14:textId="77777777" w:rsidR="00707B28" w:rsidRPr="00707B28" w:rsidRDefault="00707B28" w:rsidP="00D10F81">
            <w:pPr>
              <w:rPr>
                <w:iCs/>
                <w:sz w:val="28"/>
                <w:szCs w:val="28"/>
              </w:rPr>
            </w:pPr>
            <w:r w:rsidRPr="00707B28">
              <w:rPr>
                <w:b/>
                <w:bCs/>
                <w:iCs/>
                <w:sz w:val="28"/>
                <w:szCs w:val="28"/>
              </w:rPr>
              <w:t>1.tabula</w:t>
            </w:r>
            <w:r w:rsidRPr="00707B28">
              <w:rPr>
                <w:b/>
                <w:bCs/>
                <w:iCs/>
                <w:sz w:val="28"/>
                <w:szCs w:val="28"/>
              </w:rPr>
              <w:br/>
              <w:t>Tiesību akta projekta atbilstība ES tiesību aktiem</w:t>
            </w:r>
          </w:p>
        </w:tc>
      </w:tr>
      <w:tr w:rsidR="00707B28" w14:paraId="28657833" w14:textId="77777777" w:rsidTr="00020010">
        <w:tc>
          <w:tcPr>
            <w:tcW w:w="2321" w:type="dxa"/>
          </w:tcPr>
          <w:p w14:paraId="28657831" w14:textId="77777777" w:rsidR="00707B28" w:rsidRPr="00707B28" w:rsidRDefault="00707B28" w:rsidP="00D10F81">
            <w:pPr>
              <w:rPr>
                <w:iCs/>
                <w:sz w:val="28"/>
                <w:szCs w:val="28"/>
              </w:rPr>
            </w:pPr>
            <w:r w:rsidRPr="00707B28">
              <w:rPr>
                <w:iCs/>
                <w:sz w:val="28"/>
                <w:szCs w:val="28"/>
              </w:rPr>
              <w:t>Attiecīgā ES tiesību akta datums, numurs un nosaukums</w:t>
            </w:r>
          </w:p>
        </w:tc>
        <w:tc>
          <w:tcPr>
            <w:tcW w:w="6966" w:type="dxa"/>
            <w:gridSpan w:val="3"/>
          </w:tcPr>
          <w:p w14:paraId="28657832" w14:textId="77777777" w:rsidR="00707B28" w:rsidRDefault="00707B28" w:rsidP="008504BE">
            <w:pPr>
              <w:jc w:val="both"/>
              <w:rPr>
                <w:iCs/>
                <w:sz w:val="28"/>
                <w:szCs w:val="28"/>
              </w:rPr>
            </w:pPr>
            <w:r w:rsidRPr="00707B28">
              <w:rPr>
                <w:iCs/>
                <w:sz w:val="28"/>
                <w:szCs w:val="28"/>
              </w:rPr>
              <w:t xml:space="preserve">Eiropas Parlamenta un Padomes </w:t>
            </w:r>
            <w:r w:rsidR="00101529" w:rsidRPr="00707B28">
              <w:rPr>
                <w:iCs/>
                <w:sz w:val="28"/>
                <w:szCs w:val="28"/>
              </w:rPr>
              <w:t xml:space="preserve">2010.gada 20.oktobra </w:t>
            </w:r>
            <w:r w:rsidRPr="00707B28">
              <w:rPr>
                <w:iCs/>
                <w:sz w:val="28"/>
                <w:szCs w:val="28"/>
              </w:rPr>
              <w:t>regula Nr.995/2010</w:t>
            </w:r>
            <w:r w:rsidR="00101529">
              <w:rPr>
                <w:iCs/>
                <w:sz w:val="28"/>
                <w:szCs w:val="28"/>
              </w:rPr>
              <w:t>,</w:t>
            </w:r>
            <w:r w:rsidRPr="00707B28">
              <w:rPr>
                <w:iCs/>
                <w:sz w:val="28"/>
                <w:szCs w:val="28"/>
              </w:rPr>
              <w:t xml:space="preserve"> ar ko nosaka pienākumus tirgus dalībniekiem, kas laiž tirgū kokmateriālus un koka izstrādājumus</w:t>
            </w:r>
          </w:p>
        </w:tc>
      </w:tr>
      <w:tr w:rsidR="00707B28" w14:paraId="28657838" w14:textId="77777777" w:rsidTr="00707B28">
        <w:tc>
          <w:tcPr>
            <w:tcW w:w="2321" w:type="dxa"/>
          </w:tcPr>
          <w:p w14:paraId="28657834" w14:textId="77777777" w:rsidR="00707B28" w:rsidRPr="00707B28" w:rsidRDefault="00707B28" w:rsidP="00D10F81">
            <w:pPr>
              <w:rPr>
                <w:iCs/>
                <w:sz w:val="28"/>
                <w:szCs w:val="28"/>
              </w:rPr>
            </w:pPr>
            <w:r w:rsidRPr="00707B28">
              <w:rPr>
                <w:iCs/>
                <w:sz w:val="28"/>
                <w:szCs w:val="28"/>
              </w:rPr>
              <w:t>A</w:t>
            </w:r>
          </w:p>
        </w:tc>
        <w:tc>
          <w:tcPr>
            <w:tcW w:w="2322" w:type="dxa"/>
          </w:tcPr>
          <w:p w14:paraId="28657835" w14:textId="77777777" w:rsidR="00707B28" w:rsidRPr="00707B28" w:rsidRDefault="00707B28" w:rsidP="00D10F81">
            <w:pPr>
              <w:rPr>
                <w:iCs/>
                <w:sz w:val="28"/>
                <w:szCs w:val="28"/>
              </w:rPr>
            </w:pPr>
            <w:r w:rsidRPr="00707B28">
              <w:rPr>
                <w:iCs/>
                <w:sz w:val="28"/>
                <w:szCs w:val="28"/>
              </w:rPr>
              <w:t>B</w:t>
            </w:r>
          </w:p>
        </w:tc>
        <w:tc>
          <w:tcPr>
            <w:tcW w:w="2322" w:type="dxa"/>
          </w:tcPr>
          <w:p w14:paraId="28657836" w14:textId="77777777" w:rsidR="00707B28" w:rsidRPr="00707B28" w:rsidRDefault="00707B28" w:rsidP="00D10F81">
            <w:pPr>
              <w:rPr>
                <w:iCs/>
                <w:sz w:val="28"/>
                <w:szCs w:val="28"/>
              </w:rPr>
            </w:pPr>
            <w:r w:rsidRPr="00707B28">
              <w:rPr>
                <w:iCs/>
                <w:sz w:val="28"/>
                <w:szCs w:val="28"/>
              </w:rPr>
              <w:t>C</w:t>
            </w:r>
          </w:p>
        </w:tc>
        <w:tc>
          <w:tcPr>
            <w:tcW w:w="2322" w:type="dxa"/>
          </w:tcPr>
          <w:p w14:paraId="28657837" w14:textId="77777777" w:rsidR="00707B28" w:rsidRPr="00707B28" w:rsidRDefault="00707B28" w:rsidP="00D10F81">
            <w:pPr>
              <w:rPr>
                <w:iCs/>
                <w:sz w:val="28"/>
                <w:szCs w:val="28"/>
              </w:rPr>
            </w:pPr>
            <w:r w:rsidRPr="00707B28">
              <w:rPr>
                <w:iCs/>
                <w:sz w:val="28"/>
                <w:szCs w:val="28"/>
              </w:rPr>
              <w:t>D</w:t>
            </w:r>
          </w:p>
        </w:tc>
      </w:tr>
      <w:tr w:rsidR="00707B28" w14:paraId="28657841" w14:textId="77777777" w:rsidTr="00707B28">
        <w:tc>
          <w:tcPr>
            <w:tcW w:w="2321" w:type="dxa"/>
          </w:tcPr>
          <w:p w14:paraId="28657839" w14:textId="77777777" w:rsidR="00707B28" w:rsidRPr="00707B28" w:rsidRDefault="00707B28" w:rsidP="00D10F81">
            <w:pPr>
              <w:rPr>
                <w:iCs/>
                <w:sz w:val="28"/>
                <w:szCs w:val="28"/>
              </w:rPr>
            </w:pPr>
            <w:r w:rsidRPr="00707B28">
              <w:rPr>
                <w:iCs/>
                <w:sz w:val="28"/>
                <w:szCs w:val="28"/>
              </w:rPr>
              <w:lastRenderedPageBreak/>
              <w:t>Attiecīgā ES tiesību akta panta numurs (uzskaitot katru tiesību akta vienību – pantu, daļu, punktu, apakšpunktu)</w:t>
            </w:r>
          </w:p>
        </w:tc>
        <w:tc>
          <w:tcPr>
            <w:tcW w:w="2322" w:type="dxa"/>
          </w:tcPr>
          <w:p w14:paraId="2865783A" w14:textId="77777777" w:rsidR="00707B28" w:rsidRPr="00707B28" w:rsidRDefault="00707B28" w:rsidP="00D10F81">
            <w:pPr>
              <w:rPr>
                <w:iCs/>
                <w:sz w:val="28"/>
                <w:szCs w:val="28"/>
              </w:rPr>
            </w:pPr>
            <w:r w:rsidRPr="00707B28">
              <w:rPr>
                <w:iCs/>
                <w:sz w:val="28"/>
                <w:szCs w:val="28"/>
              </w:rPr>
              <w:t>Projekta vienība, kas pārņem vai ievieš katru šīs tabulas A ailē minēto ES tiesību akta vienību, vai tiesību akts, kur attiecīgā ES tiesību akta vienība pārņemta vai ieviesta</w:t>
            </w:r>
          </w:p>
        </w:tc>
        <w:tc>
          <w:tcPr>
            <w:tcW w:w="2322" w:type="dxa"/>
          </w:tcPr>
          <w:p w14:paraId="2865783B" w14:textId="77777777" w:rsidR="00707B28" w:rsidRPr="00707B28" w:rsidRDefault="00707B28" w:rsidP="00707B28">
            <w:pPr>
              <w:rPr>
                <w:iCs/>
                <w:sz w:val="28"/>
                <w:szCs w:val="28"/>
              </w:rPr>
            </w:pPr>
            <w:r w:rsidRPr="00707B28">
              <w:rPr>
                <w:iCs/>
                <w:sz w:val="28"/>
                <w:szCs w:val="28"/>
              </w:rPr>
              <w:t xml:space="preserve">Informācija par to, vai šīs tabulas A ailē minētās ES tiesību akta vienības tiek pārņemtas vai ieviestas pilnībā vai daļēji. </w:t>
            </w:r>
          </w:p>
          <w:p w14:paraId="2865783C" w14:textId="77777777" w:rsidR="00707B28" w:rsidRPr="00707B28" w:rsidRDefault="00707B28" w:rsidP="00707B28">
            <w:pPr>
              <w:rPr>
                <w:iCs/>
                <w:sz w:val="28"/>
                <w:szCs w:val="28"/>
              </w:rPr>
            </w:pPr>
            <w:r w:rsidRPr="00707B28">
              <w:rPr>
                <w:iCs/>
                <w:sz w:val="28"/>
                <w:szCs w:val="28"/>
              </w:rPr>
              <w:t>Ja attiecīgā ES tiesību akta vienība tiek pārņemta vai ieviesta daļēji, sniedz attiecīgu skaidrojumu, kā arī precīzi norāda, kad un kādā veidā ES tiesību akta vienība tiks pārņemta vai ieviesta pilnībā.</w:t>
            </w:r>
          </w:p>
          <w:p w14:paraId="2865783D" w14:textId="77777777" w:rsidR="00707B28" w:rsidRPr="00707B28" w:rsidRDefault="00707B28" w:rsidP="00707B28">
            <w:pPr>
              <w:rPr>
                <w:iCs/>
                <w:sz w:val="28"/>
                <w:szCs w:val="28"/>
              </w:rPr>
            </w:pPr>
            <w:r w:rsidRPr="00707B28">
              <w:rPr>
                <w:iCs/>
                <w:sz w:val="28"/>
                <w:szCs w:val="28"/>
              </w:rPr>
              <w:t>Norāda institūciju, kas ir atbildīga par šo saistību izpildi pilnībā</w:t>
            </w:r>
          </w:p>
        </w:tc>
        <w:tc>
          <w:tcPr>
            <w:tcW w:w="2322" w:type="dxa"/>
          </w:tcPr>
          <w:p w14:paraId="2865783E" w14:textId="77777777" w:rsidR="00707B28" w:rsidRPr="00707B28" w:rsidRDefault="00707B28" w:rsidP="00707B28">
            <w:pPr>
              <w:rPr>
                <w:iCs/>
                <w:sz w:val="28"/>
                <w:szCs w:val="28"/>
              </w:rPr>
            </w:pPr>
            <w:r w:rsidRPr="00707B28">
              <w:rPr>
                <w:iCs/>
                <w:sz w:val="28"/>
                <w:szCs w:val="28"/>
              </w:rPr>
              <w:t xml:space="preserve">Informācija par to, vai šīs tabulas B ailē minētās projekta vienības paredz stingrākas prasības nekā šīs tabulas A ailē minētās ES tiesību akta vienības. </w:t>
            </w:r>
          </w:p>
          <w:p w14:paraId="2865783F" w14:textId="77777777" w:rsidR="00707B28" w:rsidRPr="00707B28" w:rsidRDefault="00707B28" w:rsidP="00707B28">
            <w:pPr>
              <w:rPr>
                <w:iCs/>
                <w:sz w:val="28"/>
                <w:szCs w:val="28"/>
              </w:rPr>
            </w:pPr>
            <w:r w:rsidRPr="00707B28">
              <w:rPr>
                <w:iCs/>
                <w:sz w:val="28"/>
                <w:szCs w:val="28"/>
              </w:rPr>
              <w:t>Ja projekts satur stingrākas prasības nekā attiecīgais ES tiesību akts, norāda pamatojumu un samērīgumu.</w:t>
            </w:r>
          </w:p>
          <w:p w14:paraId="28657840" w14:textId="77777777" w:rsidR="00707B28" w:rsidRPr="00707B28" w:rsidRDefault="00707B28" w:rsidP="00707B28">
            <w:pPr>
              <w:rPr>
                <w:iCs/>
                <w:sz w:val="28"/>
                <w:szCs w:val="28"/>
              </w:rPr>
            </w:pPr>
            <w:r w:rsidRPr="00707B28">
              <w:rPr>
                <w:iCs/>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707B28" w14:paraId="28657848" w14:textId="77777777" w:rsidTr="00707B28">
        <w:tc>
          <w:tcPr>
            <w:tcW w:w="2321" w:type="dxa"/>
          </w:tcPr>
          <w:p w14:paraId="28657842" w14:textId="77777777" w:rsidR="009F7058" w:rsidRPr="00877DFC" w:rsidRDefault="009F7058" w:rsidP="009F7058">
            <w:pPr>
              <w:rPr>
                <w:iCs/>
                <w:sz w:val="28"/>
                <w:szCs w:val="28"/>
              </w:rPr>
            </w:pPr>
            <w:r w:rsidRPr="00877DFC">
              <w:rPr>
                <w:iCs/>
                <w:sz w:val="28"/>
                <w:szCs w:val="28"/>
              </w:rPr>
              <w:t>19. pants</w:t>
            </w:r>
          </w:p>
          <w:p w14:paraId="28657843" w14:textId="77777777" w:rsidR="009F7058" w:rsidRDefault="009F7058" w:rsidP="00553300">
            <w:pPr>
              <w:rPr>
                <w:iCs/>
                <w:sz w:val="28"/>
                <w:szCs w:val="28"/>
              </w:rPr>
            </w:pPr>
          </w:p>
        </w:tc>
        <w:tc>
          <w:tcPr>
            <w:tcW w:w="2322" w:type="dxa"/>
          </w:tcPr>
          <w:p w14:paraId="28657844" w14:textId="19E489BE" w:rsidR="00553300" w:rsidRPr="00FA0919" w:rsidRDefault="00785BCA" w:rsidP="00AD064A">
            <w:pPr>
              <w:rPr>
                <w:b/>
                <w:iCs/>
                <w:sz w:val="28"/>
                <w:szCs w:val="28"/>
              </w:rPr>
            </w:pPr>
            <w:r w:rsidRPr="00FA0919">
              <w:rPr>
                <w:b/>
                <w:iCs/>
                <w:sz w:val="28"/>
                <w:szCs w:val="28"/>
              </w:rPr>
              <w:t>2</w:t>
            </w:r>
            <w:r w:rsidR="00553300" w:rsidRPr="00FA0919">
              <w:rPr>
                <w:b/>
                <w:iCs/>
                <w:sz w:val="28"/>
                <w:szCs w:val="28"/>
              </w:rPr>
              <w:t>.pants</w:t>
            </w:r>
          </w:p>
          <w:p w14:paraId="28657845" w14:textId="77777777" w:rsidR="00707B28" w:rsidRDefault="00707B28" w:rsidP="00AD064A">
            <w:pPr>
              <w:rPr>
                <w:iCs/>
                <w:sz w:val="28"/>
                <w:szCs w:val="28"/>
              </w:rPr>
            </w:pPr>
          </w:p>
        </w:tc>
        <w:tc>
          <w:tcPr>
            <w:tcW w:w="2322" w:type="dxa"/>
          </w:tcPr>
          <w:p w14:paraId="28657846" w14:textId="77777777" w:rsidR="00707B28" w:rsidRDefault="00AD064A" w:rsidP="00A972FE">
            <w:pPr>
              <w:rPr>
                <w:iCs/>
                <w:sz w:val="28"/>
                <w:szCs w:val="28"/>
              </w:rPr>
            </w:pPr>
            <w:r>
              <w:rPr>
                <w:iCs/>
                <w:sz w:val="28"/>
                <w:szCs w:val="28"/>
              </w:rPr>
              <w:t xml:space="preserve">Likumprojektā paredzētās sankcijas </w:t>
            </w:r>
            <w:r w:rsidR="00A972FE">
              <w:rPr>
                <w:iCs/>
                <w:sz w:val="28"/>
                <w:szCs w:val="28"/>
              </w:rPr>
              <w:t>kopā ar jau spēkā esošajos normatīvajos aktos noteiktajām sankcijām attiecībā uz nelikumīgu koku ciršanu pilnībā nodrošina r</w:t>
            </w:r>
            <w:r>
              <w:rPr>
                <w:iCs/>
                <w:sz w:val="28"/>
                <w:szCs w:val="28"/>
              </w:rPr>
              <w:t>egulas prasīb</w:t>
            </w:r>
            <w:r w:rsidR="00A972FE">
              <w:rPr>
                <w:iCs/>
                <w:sz w:val="28"/>
                <w:szCs w:val="28"/>
              </w:rPr>
              <w:t>u ieviešanu</w:t>
            </w:r>
            <w:r>
              <w:rPr>
                <w:iCs/>
                <w:sz w:val="28"/>
                <w:szCs w:val="28"/>
              </w:rPr>
              <w:t>.</w:t>
            </w:r>
          </w:p>
        </w:tc>
        <w:tc>
          <w:tcPr>
            <w:tcW w:w="2322" w:type="dxa"/>
          </w:tcPr>
          <w:p w14:paraId="28657847" w14:textId="0ADC7905" w:rsidR="009C7BAE" w:rsidRDefault="009F7058" w:rsidP="004359D1">
            <w:pPr>
              <w:rPr>
                <w:iCs/>
                <w:sz w:val="28"/>
                <w:szCs w:val="28"/>
              </w:rPr>
            </w:pPr>
            <w:r>
              <w:rPr>
                <w:iCs/>
                <w:sz w:val="28"/>
                <w:szCs w:val="28"/>
              </w:rPr>
              <w:t>Regula nenosaka konkrētu sankciju līmeni</w:t>
            </w:r>
            <w:r w:rsidR="004359D1">
              <w:rPr>
                <w:iCs/>
                <w:sz w:val="28"/>
                <w:szCs w:val="28"/>
              </w:rPr>
              <w:t>, bet</w:t>
            </w:r>
            <w:r>
              <w:rPr>
                <w:iCs/>
                <w:sz w:val="28"/>
                <w:szCs w:val="28"/>
              </w:rPr>
              <w:t xml:space="preserve"> tikai dod piemērus, k</w:t>
            </w:r>
            <w:r w:rsidR="004359D1">
              <w:rPr>
                <w:iCs/>
                <w:sz w:val="28"/>
                <w:szCs w:val="28"/>
              </w:rPr>
              <w:t>ur</w:t>
            </w:r>
            <w:r>
              <w:rPr>
                <w:iCs/>
                <w:sz w:val="28"/>
                <w:szCs w:val="28"/>
              </w:rPr>
              <w:t>as sankcijas varētu būt</w:t>
            </w:r>
            <w:r w:rsidR="004359D1">
              <w:rPr>
                <w:iCs/>
                <w:sz w:val="28"/>
                <w:szCs w:val="28"/>
              </w:rPr>
              <w:t>,</w:t>
            </w:r>
            <w:r w:rsidR="009C7BAE">
              <w:rPr>
                <w:iCs/>
                <w:sz w:val="28"/>
                <w:szCs w:val="28"/>
              </w:rPr>
              <w:t xml:space="preserve"> un nosaka, ka tām jābūt iedarbīgām, samērīgām un atturošām</w:t>
            </w:r>
            <w:r>
              <w:rPr>
                <w:iCs/>
                <w:sz w:val="28"/>
                <w:szCs w:val="28"/>
              </w:rPr>
              <w:t xml:space="preserve">. </w:t>
            </w:r>
            <w:r w:rsidR="004359D1">
              <w:rPr>
                <w:iCs/>
                <w:sz w:val="28"/>
                <w:szCs w:val="28"/>
              </w:rPr>
              <w:t>Tā kā</w:t>
            </w:r>
            <w:r>
              <w:rPr>
                <w:iCs/>
                <w:sz w:val="28"/>
                <w:szCs w:val="28"/>
              </w:rPr>
              <w:t xml:space="preserve"> pārkāpumi var būt dažādi, </w:t>
            </w:r>
            <w:r>
              <w:rPr>
                <w:iCs/>
                <w:sz w:val="28"/>
                <w:szCs w:val="28"/>
              </w:rPr>
              <w:lastRenderedPageBreak/>
              <w:t xml:space="preserve">likumprojekts paredz </w:t>
            </w:r>
            <w:r w:rsidR="009C7BAE">
              <w:rPr>
                <w:iCs/>
                <w:sz w:val="28"/>
                <w:szCs w:val="28"/>
              </w:rPr>
              <w:t xml:space="preserve">elastīgu sodu apmēru, kas </w:t>
            </w:r>
            <w:r w:rsidR="004359D1">
              <w:rPr>
                <w:iCs/>
                <w:sz w:val="28"/>
                <w:szCs w:val="28"/>
              </w:rPr>
              <w:t xml:space="preserve">katrā situācijā </w:t>
            </w:r>
            <w:r w:rsidR="009C7BAE">
              <w:rPr>
                <w:iCs/>
                <w:sz w:val="28"/>
                <w:szCs w:val="28"/>
              </w:rPr>
              <w:t>vērtējams atsevišķi.</w:t>
            </w:r>
          </w:p>
        </w:tc>
      </w:tr>
      <w:tr w:rsidR="00801EC4" w14:paraId="2865784B" w14:textId="77777777" w:rsidTr="0076150C">
        <w:tc>
          <w:tcPr>
            <w:tcW w:w="2321" w:type="dxa"/>
          </w:tcPr>
          <w:p w14:paraId="28657849" w14:textId="77777777" w:rsidR="00801EC4" w:rsidRPr="00801EC4" w:rsidRDefault="00801EC4" w:rsidP="00D10F81">
            <w:pPr>
              <w:rPr>
                <w:iCs/>
                <w:sz w:val="28"/>
                <w:szCs w:val="28"/>
              </w:rPr>
            </w:pPr>
            <w:r w:rsidRPr="00801EC4">
              <w:rPr>
                <w:iCs/>
                <w:sz w:val="28"/>
                <w:szCs w:val="28"/>
              </w:rPr>
              <w:lastRenderedPageBreak/>
              <w:t>Kā ir izmantota ES tiesību aktā paredzētā rīcības brīvība dalībvalstij pārņemt vai ieviest noteiktas ES tiesību akta normas?</w:t>
            </w:r>
            <w:r w:rsidRPr="00801EC4">
              <w:rPr>
                <w:iCs/>
                <w:sz w:val="28"/>
                <w:szCs w:val="28"/>
              </w:rPr>
              <w:br/>
              <w:t>Kādēļ?</w:t>
            </w:r>
          </w:p>
        </w:tc>
        <w:tc>
          <w:tcPr>
            <w:tcW w:w="6966" w:type="dxa"/>
            <w:gridSpan w:val="3"/>
          </w:tcPr>
          <w:p w14:paraId="2865784A" w14:textId="0BB8DB7C" w:rsidR="00801EC4" w:rsidRDefault="004642C0" w:rsidP="004359D1">
            <w:pPr>
              <w:jc w:val="both"/>
              <w:rPr>
                <w:iCs/>
                <w:sz w:val="28"/>
                <w:szCs w:val="28"/>
              </w:rPr>
            </w:pPr>
            <w:r>
              <w:rPr>
                <w:iCs/>
                <w:sz w:val="28"/>
                <w:szCs w:val="28"/>
              </w:rPr>
              <w:t xml:space="preserve">Ir izvērtētas </w:t>
            </w:r>
            <w:r w:rsidR="004359D1">
              <w:rPr>
                <w:iCs/>
                <w:sz w:val="28"/>
                <w:szCs w:val="28"/>
              </w:rPr>
              <w:t>valstī</w:t>
            </w:r>
            <w:r>
              <w:rPr>
                <w:iCs/>
                <w:sz w:val="28"/>
                <w:szCs w:val="28"/>
              </w:rPr>
              <w:t xml:space="preserve"> noteiktās sankcijas par nelikumīgu koku ciršanu un konstatēts, ka tās ir </w:t>
            </w:r>
            <w:r w:rsidRPr="004642C0">
              <w:rPr>
                <w:iCs/>
                <w:sz w:val="28"/>
                <w:szCs w:val="28"/>
              </w:rPr>
              <w:t>iedarbīg</w:t>
            </w:r>
            <w:r>
              <w:rPr>
                <w:iCs/>
                <w:sz w:val="28"/>
                <w:szCs w:val="28"/>
              </w:rPr>
              <w:t>as</w:t>
            </w:r>
            <w:r w:rsidRPr="004642C0">
              <w:rPr>
                <w:iCs/>
                <w:sz w:val="28"/>
                <w:szCs w:val="28"/>
              </w:rPr>
              <w:t>, samērīg</w:t>
            </w:r>
            <w:r>
              <w:rPr>
                <w:iCs/>
                <w:sz w:val="28"/>
                <w:szCs w:val="28"/>
              </w:rPr>
              <w:t>as</w:t>
            </w:r>
            <w:r w:rsidRPr="004642C0">
              <w:rPr>
                <w:iCs/>
                <w:sz w:val="28"/>
                <w:szCs w:val="28"/>
              </w:rPr>
              <w:t xml:space="preserve"> un atturoš</w:t>
            </w:r>
            <w:r>
              <w:rPr>
                <w:iCs/>
                <w:sz w:val="28"/>
                <w:szCs w:val="28"/>
              </w:rPr>
              <w:t>as</w:t>
            </w:r>
            <w:r w:rsidR="004359D1">
              <w:rPr>
                <w:iCs/>
                <w:sz w:val="28"/>
                <w:szCs w:val="28"/>
              </w:rPr>
              <w:t>,</w:t>
            </w:r>
            <w:r>
              <w:rPr>
                <w:iCs/>
                <w:sz w:val="28"/>
                <w:szCs w:val="28"/>
              </w:rPr>
              <w:t xml:space="preserve"> – nelikumīgas koku ciršanas apjoms pēc šo sankciju noteikšanas ir būtiski samazinājies.</w:t>
            </w:r>
            <w:r w:rsidR="00955AFA">
              <w:rPr>
                <w:iCs/>
                <w:sz w:val="28"/>
                <w:szCs w:val="28"/>
              </w:rPr>
              <w:t xml:space="preserve"> </w:t>
            </w:r>
            <w:r w:rsidR="004359D1">
              <w:rPr>
                <w:iCs/>
                <w:sz w:val="28"/>
                <w:szCs w:val="28"/>
              </w:rPr>
              <w:t>Paredzot</w:t>
            </w:r>
            <w:r>
              <w:rPr>
                <w:iCs/>
                <w:sz w:val="28"/>
                <w:szCs w:val="28"/>
              </w:rPr>
              <w:t xml:space="preserve"> </w:t>
            </w:r>
            <w:r w:rsidR="004359D1">
              <w:rPr>
                <w:iCs/>
                <w:sz w:val="28"/>
                <w:szCs w:val="28"/>
              </w:rPr>
              <w:t>sankcijas likum</w:t>
            </w:r>
            <w:r>
              <w:rPr>
                <w:iCs/>
                <w:sz w:val="28"/>
                <w:szCs w:val="28"/>
              </w:rPr>
              <w:t>projektā, ņemts vērā tas, ka kontrolējošajai institūcijai nav iespēja pārbaudīt koksnes ieguves likumību dabā (izcelsmes valst</w:t>
            </w:r>
            <w:r w:rsidR="000751B5">
              <w:rPr>
                <w:iCs/>
                <w:sz w:val="28"/>
                <w:szCs w:val="28"/>
              </w:rPr>
              <w:t>ī)</w:t>
            </w:r>
            <w:r w:rsidR="00B07280">
              <w:rPr>
                <w:iCs/>
                <w:sz w:val="28"/>
                <w:szCs w:val="28"/>
              </w:rPr>
              <w:t xml:space="preserve"> ārpus Latvijas teritorijas</w:t>
            </w:r>
            <w:r w:rsidR="000751B5">
              <w:rPr>
                <w:iCs/>
                <w:sz w:val="28"/>
                <w:szCs w:val="28"/>
              </w:rPr>
              <w:t>.</w:t>
            </w:r>
          </w:p>
        </w:tc>
      </w:tr>
      <w:tr w:rsidR="00801EC4" w14:paraId="2865784E" w14:textId="77777777" w:rsidTr="003C052D">
        <w:tc>
          <w:tcPr>
            <w:tcW w:w="2321" w:type="dxa"/>
          </w:tcPr>
          <w:p w14:paraId="2865784C" w14:textId="77777777" w:rsidR="00801EC4" w:rsidRPr="00801EC4" w:rsidRDefault="00801EC4" w:rsidP="00D10F81">
            <w:pPr>
              <w:rPr>
                <w:iCs/>
                <w:sz w:val="28"/>
                <w:szCs w:val="28"/>
              </w:rPr>
            </w:pPr>
            <w:r w:rsidRPr="00801EC4">
              <w:rPr>
                <w:iCs/>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66" w:type="dxa"/>
            <w:gridSpan w:val="3"/>
          </w:tcPr>
          <w:p w14:paraId="2865784D" w14:textId="77777777" w:rsidR="00801EC4" w:rsidRDefault="00877DFC" w:rsidP="00553300">
            <w:pPr>
              <w:rPr>
                <w:iCs/>
                <w:sz w:val="28"/>
                <w:szCs w:val="28"/>
              </w:rPr>
            </w:pPr>
            <w:r>
              <w:rPr>
                <w:iCs/>
                <w:sz w:val="28"/>
                <w:szCs w:val="28"/>
              </w:rPr>
              <w:t>Likump</w:t>
            </w:r>
            <w:r w:rsidR="00553300" w:rsidRPr="00553300">
              <w:rPr>
                <w:iCs/>
                <w:sz w:val="28"/>
                <w:szCs w:val="28"/>
              </w:rPr>
              <w:t>rojekts šo jomu neskar.</w:t>
            </w:r>
          </w:p>
        </w:tc>
      </w:tr>
      <w:tr w:rsidR="00801EC4" w14:paraId="28657852" w14:textId="77777777" w:rsidTr="00F71428">
        <w:tc>
          <w:tcPr>
            <w:tcW w:w="2321" w:type="dxa"/>
          </w:tcPr>
          <w:p w14:paraId="2865784F" w14:textId="77777777" w:rsidR="00801EC4" w:rsidRPr="00C00BB1" w:rsidRDefault="00801EC4" w:rsidP="002D18AB">
            <w:pPr>
              <w:jc w:val="both"/>
              <w:rPr>
                <w:iCs/>
                <w:sz w:val="28"/>
                <w:szCs w:val="28"/>
              </w:rPr>
            </w:pPr>
            <w:r w:rsidRPr="00C00BB1">
              <w:rPr>
                <w:iCs/>
                <w:sz w:val="28"/>
                <w:szCs w:val="28"/>
              </w:rPr>
              <w:t>Cita informācija</w:t>
            </w:r>
          </w:p>
        </w:tc>
        <w:tc>
          <w:tcPr>
            <w:tcW w:w="6966" w:type="dxa"/>
            <w:gridSpan w:val="3"/>
          </w:tcPr>
          <w:p w14:paraId="28657850" w14:textId="4DC8E948" w:rsidR="00101529" w:rsidRPr="00C00BB1" w:rsidRDefault="00553300" w:rsidP="002D18AB">
            <w:pPr>
              <w:jc w:val="both"/>
              <w:rPr>
                <w:iCs/>
                <w:sz w:val="28"/>
                <w:szCs w:val="28"/>
              </w:rPr>
            </w:pPr>
            <w:r w:rsidRPr="00C00BB1">
              <w:rPr>
                <w:iCs/>
                <w:sz w:val="28"/>
                <w:szCs w:val="28"/>
              </w:rPr>
              <w:t>Regula nosaka, ka dalībvalstis noteiktās sankcijas dara zināmas Eiropas Komisijai un paziņo tai visus turpmākos grozījumus, kas ietekmē</w:t>
            </w:r>
            <w:r w:rsidR="004359D1">
              <w:rPr>
                <w:iCs/>
                <w:sz w:val="28"/>
                <w:szCs w:val="28"/>
              </w:rPr>
              <w:t xml:space="preserve"> minētās sankcijas</w:t>
            </w:r>
            <w:r w:rsidRPr="00C00BB1">
              <w:rPr>
                <w:iCs/>
                <w:sz w:val="28"/>
                <w:szCs w:val="28"/>
              </w:rPr>
              <w:t xml:space="preserve">. </w:t>
            </w:r>
          </w:p>
          <w:p w14:paraId="28657851" w14:textId="77777777" w:rsidR="00553300" w:rsidRPr="00C00BB1" w:rsidRDefault="00553300" w:rsidP="002D18AB">
            <w:pPr>
              <w:jc w:val="both"/>
              <w:rPr>
                <w:iCs/>
                <w:sz w:val="28"/>
                <w:szCs w:val="28"/>
              </w:rPr>
            </w:pPr>
            <w:r w:rsidRPr="00C00BB1">
              <w:rPr>
                <w:iCs/>
                <w:sz w:val="28"/>
                <w:szCs w:val="28"/>
              </w:rPr>
              <w:t>Zemkopības ministrija</w:t>
            </w:r>
            <w:r w:rsidR="00101529" w:rsidRPr="00C00BB1">
              <w:rPr>
                <w:iCs/>
                <w:sz w:val="28"/>
                <w:szCs w:val="28"/>
              </w:rPr>
              <w:t xml:space="preserve"> pēc likumprojekta pieņemšanas informēs</w:t>
            </w:r>
            <w:r w:rsidRPr="00C00BB1">
              <w:rPr>
                <w:iCs/>
                <w:sz w:val="28"/>
                <w:szCs w:val="28"/>
              </w:rPr>
              <w:t xml:space="preserve"> Eiropas Komisiju par spēkā esošajām sankcijām, kas attiecināmas uz regulas prasību </w:t>
            </w:r>
            <w:r w:rsidR="00C00BB1" w:rsidRPr="00C00BB1">
              <w:rPr>
                <w:iCs/>
                <w:sz w:val="28"/>
                <w:szCs w:val="28"/>
              </w:rPr>
              <w:t>pārkāpšanu</w:t>
            </w:r>
            <w:r w:rsidRPr="00C00BB1">
              <w:rPr>
                <w:iCs/>
                <w:sz w:val="28"/>
                <w:szCs w:val="28"/>
              </w:rPr>
              <w:t>.</w:t>
            </w:r>
          </w:p>
        </w:tc>
      </w:tr>
    </w:tbl>
    <w:p w14:paraId="28657853" w14:textId="77777777" w:rsidR="00707B28" w:rsidRPr="00707B28" w:rsidRDefault="00707B28" w:rsidP="002D18AB">
      <w:pPr>
        <w:jc w:val="both"/>
        <w:rPr>
          <w:iCs/>
          <w:sz w:val="28"/>
          <w:szCs w:val="28"/>
        </w:rPr>
      </w:pP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3"/>
        <w:gridCol w:w="5249"/>
      </w:tblGrid>
      <w:tr w:rsidR="00C00BB1" w:rsidRPr="003924C8" w14:paraId="28657855" w14:textId="77777777" w:rsidTr="002D18AB">
        <w:trPr>
          <w:jc w:val="center"/>
        </w:trPr>
        <w:tc>
          <w:tcPr>
            <w:tcW w:w="9342" w:type="dxa"/>
            <w:gridSpan w:val="2"/>
            <w:tcBorders>
              <w:top w:val="single" w:sz="4" w:space="0" w:color="auto"/>
              <w:left w:val="single" w:sz="4" w:space="0" w:color="auto"/>
              <w:bottom w:val="single" w:sz="4" w:space="0" w:color="auto"/>
              <w:right w:val="single" w:sz="4" w:space="0" w:color="auto"/>
            </w:tcBorders>
          </w:tcPr>
          <w:p w14:paraId="28657854" w14:textId="77777777" w:rsidR="00C00BB1" w:rsidRPr="003924C8" w:rsidRDefault="00C00BB1" w:rsidP="00C00BB1">
            <w:pPr>
              <w:ind w:left="57" w:right="57"/>
              <w:jc w:val="center"/>
              <w:rPr>
                <w:b/>
                <w:bCs/>
                <w:sz w:val="28"/>
                <w:szCs w:val="28"/>
              </w:rPr>
            </w:pPr>
            <w:r w:rsidRPr="003924C8">
              <w:rPr>
                <w:b/>
                <w:bCs/>
                <w:sz w:val="28"/>
                <w:szCs w:val="28"/>
              </w:rPr>
              <w:t>VI. Sabiedrības līdzdalība un komunikācijas aktivitātes</w:t>
            </w:r>
          </w:p>
        </w:tc>
      </w:tr>
      <w:tr w:rsidR="00C00BB1" w:rsidRPr="003924C8" w14:paraId="28657858" w14:textId="77777777" w:rsidTr="002D18AB">
        <w:trPr>
          <w:trHeight w:val="553"/>
          <w:jc w:val="center"/>
        </w:trPr>
        <w:tc>
          <w:tcPr>
            <w:tcW w:w="4093" w:type="dxa"/>
          </w:tcPr>
          <w:p w14:paraId="28657856" w14:textId="77777777" w:rsidR="00C00BB1" w:rsidRPr="003924C8" w:rsidRDefault="00C00BB1" w:rsidP="00C00BB1">
            <w:pPr>
              <w:tabs>
                <w:tab w:val="left" w:pos="170"/>
              </w:tabs>
              <w:ind w:left="57" w:right="57"/>
              <w:rPr>
                <w:sz w:val="28"/>
                <w:szCs w:val="28"/>
              </w:rPr>
            </w:pPr>
            <w:r w:rsidRPr="003924C8">
              <w:rPr>
                <w:sz w:val="28"/>
                <w:szCs w:val="28"/>
              </w:rPr>
              <w:t xml:space="preserve">Plānotās sabiedrības līdzdalības un komunikācijas aktivitātes saistībā </w:t>
            </w:r>
            <w:r w:rsidRPr="003924C8">
              <w:rPr>
                <w:sz w:val="28"/>
                <w:szCs w:val="28"/>
              </w:rPr>
              <w:lastRenderedPageBreak/>
              <w:t xml:space="preserve">ar projektu </w:t>
            </w:r>
          </w:p>
        </w:tc>
        <w:tc>
          <w:tcPr>
            <w:tcW w:w="5249" w:type="dxa"/>
          </w:tcPr>
          <w:p w14:paraId="28657857" w14:textId="12161E90" w:rsidR="00C00BB1" w:rsidRPr="003924C8" w:rsidRDefault="00550BFE" w:rsidP="00550BFE">
            <w:pPr>
              <w:jc w:val="both"/>
              <w:rPr>
                <w:sz w:val="28"/>
                <w:szCs w:val="28"/>
              </w:rPr>
            </w:pPr>
            <w:r w:rsidRPr="003924C8">
              <w:rPr>
                <w:sz w:val="28"/>
                <w:szCs w:val="28"/>
              </w:rPr>
              <w:lastRenderedPageBreak/>
              <w:t xml:space="preserve">Likumprojekts izskatīts un atbalstīts Tieslietu ministrijas izveidotajā Latvijas Administratīvo </w:t>
            </w:r>
            <w:r w:rsidRPr="003924C8">
              <w:rPr>
                <w:sz w:val="28"/>
                <w:szCs w:val="28"/>
              </w:rPr>
              <w:lastRenderedPageBreak/>
              <w:t>pārkāpumu kodeksa pastāvīgajā darba grupā.</w:t>
            </w:r>
          </w:p>
        </w:tc>
      </w:tr>
      <w:tr w:rsidR="00C00BB1" w:rsidRPr="003924C8" w14:paraId="2865785B" w14:textId="77777777" w:rsidTr="002D18AB">
        <w:trPr>
          <w:trHeight w:val="339"/>
          <w:jc w:val="center"/>
        </w:trPr>
        <w:tc>
          <w:tcPr>
            <w:tcW w:w="4093" w:type="dxa"/>
          </w:tcPr>
          <w:p w14:paraId="28657859" w14:textId="77777777" w:rsidR="00C00BB1" w:rsidRPr="003924C8" w:rsidRDefault="00C00BB1" w:rsidP="00C00BB1">
            <w:pPr>
              <w:ind w:left="57" w:right="57"/>
              <w:rPr>
                <w:sz w:val="28"/>
                <w:szCs w:val="28"/>
              </w:rPr>
            </w:pPr>
            <w:r w:rsidRPr="003924C8">
              <w:rPr>
                <w:sz w:val="28"/>
                <w:szCs w:val="28"/>
              </w:rPr>
              <w:lastRenderedPageBreak/>
              <w:t xml:space="preserve">Sabiedrības līdzdalība projekta izstrādē </w:t>
            </w:r>
          </w:p>
        </w:tc>
        <w:tc>
          <w:tcPr>
            <w:tcW w:w="5249" w:type="dxa"/>
          </w:tcPr>
          <w:p w14:paraId="2865785A" w14:textId="77777777" w:rsidR="00C00BB1" w:rsidRPr="003924C8" w:rsidRDefault="00877DFC" w:rsidP="00877DFC">
            <w:pPr>
              <w:jc w:val="both"/>
              <w:rPr>
                <w:sz w:val="28"/>
                <w:szCs w:val="28"/>
              </w:rPr>
            </w:pPr>
            <w:r w:rsidRPr="003924C8">
              <w:rPr>
                <w:sz w:val="28"/>
                <w:szCs w:val="28"/>
              </w:rPr>
              <w:t>Likumprojekts šo jomu neskar.</w:t>
            </w:r>
          </w:p>
        </w:tc>
      </w:tr>
      <w:tr w:rsidR="00C00BB1" w:rsidRPr="003924C8" w14:paraId="2865785E" w14:textId="77777777" w:rsidTr="002D18AB">
        <w:trPr>
          <w:trHeight w:val="375"/>
          <w:jc w:val="center"/>
        </w:trPr>
        <w:tc>
          <w:tcPr>
            <w:tcW w:w="4093" w:type="dxa"/>
          </w:tcPr>
          <w:p w14:paraId="2865785C" w14:textId="77777777" w:rsidR="00C00BB1" w:rsidRPr="003924C8" w:rsidRDefault="00C00BB1" w:rsidP="00C00BB1">
            <w:pPr>
              <w:ind w:left="57" w:right="57"/>
              <w:rPr>
                <w:sz w:val="28"/>
                <w:szCs w:val="28"/>
              </w:rPr>
            </w:pPr>
            <w:r w:rsidRPr="003924C8">
              <w:rPr>
                <w:sz w:val="28"/>
                <w:szCs w:val="28"/>
              </w:rPr>
              <w:t xml:space="preserve">Sabiedrības līdzdalības rezultāti </w:t>
            </w:r>
          </w:p>
        </w:tc>
        <w:tc>
          <w:tcPr>
            <w:tcW w:w="5249" w:type="dxa"/>
          </w:tcPr>
          <w:p w14:paraId="2865785D" w14:textId="77777777" w:rsidR="00C00BB1" w:rsidRPr="003924C8" w:rsidRDefault="00877DFC" w:rsidP="00877DFC">
            <w:pPr>
              <w:jc w:val="both"/>
              <w:rPr>
                <w:sz w:val="28"/>
                <w:szCs w:val="28"/>
              </w:rPr>
            </w:pPr>
            <w:r w:rsidRPr="003924C8">
              <w:rPr>
                <w:sz w:val="28"/>
                <w:szCs w:val="28"/>
              </w:rPr>
              <w:t>Likumprojekts šo jomu neskar.</w:t>
            </w:r>
          </w:p>
        </w:tc>
      </w:tr>
      <w:tr w:rsidR="00C00BB1" w:rsidRPr="003924C8" w14:paraId="28657862" w14:textId="77777777" w:rsidTr="002D18AB">
        <w:trPr>
          <w:trHeight w:val="476"/>
          <w:jc w:val="center"/>
        </w:trPr>
        <w:tc>
          <w:tcPr>
            <w:tcW w:w="4093" w:type="dxa"/>
          </w:tcPr>
          <w:p w14:paraId="2865785F" w14:textId="77777777" w:rsidR="00C00BB1" w:rsidRPr="003924C8" w:rsidRDefault="00C00BB1" w:rsidP="00C00BB1">
            <w:pPr>
              <w:ind w:left="57" w:right="57"/>
              <w:rPr>
                <w:sz w:val="28"/>
                <w:szCs w:val="28"/>
              </w:rPr>
            </w:pPr>
            <w:r w:rsidRPr="003924C8">
              <w:rPr>
                <w:sz w:val="28"/>
                <w:szCs w:val="28"/>
              </w:rPr>
              <w:t>Cita informācija</w:t>
            </w:r>
          </w:p>
          <w:p w14:paraId="28657860" w14:textId="77777777" w:rsidR="00C00BB1" w:rsidRPr="003924C8" w:rsidRDefault="00C00BB1" w:rsidP="00C00BB1">
            <w:pPr>
              <w:ind w:left="57" w:right="57"/>
              <w:rPr>
                <w:sz w:val="28"/>
                <w:szCs w:val="28"/>
              </w:rPr>
            </w:pPr>
          </w:p>
        </w:tc>
        <w:tc>
          <w:tcPr>
            <w:tcW w:w="5249" w:type="dxa"/>
          </w:tcPr>
          <w:p w14:paraId="28657861" w14:textId="77777777" w:rsidR="00C00BB1" w:rsidRPr="003924C8" w:rsidRDefault="00877DFC" w:rsidP="00877DFC">
            <w:pPr>
              <w:jc w:val="both"/>
              <w:rPr>
                <w:sz w:val="28"/>
                <w:szCs w:val="28"/>
              </w:rPr>
            </w:pPr>
            <w:r w:rsidRPr="003924C8">
              <w:rPr>
                <w:sz w:val="28"/>
                <w:szCs w:val="28"/>
              </w:rPr>
              <w:t>Nav.</w:t>
            </w:r>
          </w:p>
        </w:tc>
      </w:tr>
    </w:tbl>
    <w:p w14:paraId="28657863" w14:textId="77777777" w:rsidR="00707B28" w:rsidRPr="00707B28" w:rsidRDefault="00707B28" w:rsidP="00D10F81">
      <w:pPr>
        <w:rPr>
          <w:iCs/>
          <w:sz w:val="28"/>
          <w:szCs w:val="28"/>
        </w:rPr>
      </w:pPr>
    </w:p>
    <w:p w14:paraId="28657864" w14:textId="77777777" w:rsidR="00801EC4" w:rsidRPr="00801EC4" w:rsidRDefault="001E125B" w:rsidP="001E125B">
      <w:pPr>
        <w:rPr>
          <w:iCs/>
          <w:sz w:val="28"/>
          <w:szCs w:val="28"/>
        </w:rPr>
      </w:pPr>
      <w:r w:rsidRPr="001E125B">
        <w:rPr>
          <w:b/>
          <w:i/>
          <w:iCs/>
          <w:sz w:val="28"/>
          <w:szCs w:val="28"/>
        </w:rPr>
        <w:t> </w:t>
      </w:r>
    </w:p>
    <w:tbl>
      <w:tblPr>
        <w:tblStyle w:val="Reatabula"/>
        <w:tblW w:w="0" w:type="auto"/>
        <w:tblLook w:val="04A0" w:firstRow="1" w:lastRow="0" w:firstColumn="1" w:lastColumn="0" w:noHBand="0" w:noVBand="1"/>
      </w:tblPr>
      <w:tblGrid>
        <w:gridCol w:w="675"/>
        <w:gridCol w:w="4536"/>
        <w:gridCol w:w="4076"/>
      </w:tblGrid>
      <w:tr w:rsidR="00801EC4" w:rsidRPr="00801EC4" w14:paraId="28657866" w14:textId="77777777" w:rsidTr="00500329">
        <w:tc>
          <w:tcPr>
            <w:tcW w:w="9287" w:type="dxa"/>
            <w:gridSpan w:val="3"/>
          </w:tcPr>
          <w:p w14:paraId="28657865" w14:textId="77777777" w:rsidR="00801EC4" w:rsidRPr="00801EC4" w:rsidRDefault="00801EC4" w:rsidP="002D18AB">
            <w:pPr>
              <w:jc w:val="center"/>
              <w:rPr>
                <w:b/>
                <w:iCs/>
                <w:sz w:val="28"/>
                <w:szCs w:val="28"/>
              </w:rPr>
            </w:pPr>
            <w:r w:rsidRPr="00801EC4">
              <w:rPr>
                <w:b/>
                <w:bCs/>
                <w:iCs/>
                <w:sz w:val="28"/>
                <w:szCs w:val="28"/>
              </w:rPr>
              <w:t>VII. Tiesību akta projekta izpildes nodrošināšana un tās ietekme uz institūcijām</w:t>
            </w:r>
          </w:p>
        </w:tc>
      </w:tr>
      <w:tr w:rsidR="00801EC4" w:rsidRPr="00801EC4" w14:paraId="2865786A" w14:textId="77777777" w:rsidTr="00801EC4">
        <w:tc>
          <w:tcPr>
            <w:tcW w:w="675" w:type="dxa"/>
          </w:tcPr>
          <w:p w14:paraId="28657867" w14:textId="77777777" w:rsidR="00801EC4" w:rsidRPr="00801EC4" w:rsidRDefault="00801EC4" w:rsidP="001E125B">
            <w:pPr>
              <w:rPr>
                <w:iCs/>
                <w:sz w:val="28"/>
                <w:szCs w:val="28"/>
              </w:rPr>
            </w:pPr>
            <w:r w:rsidRPr="00801EC4">
              <w:rPr>
                <w:iCs/>
                <w:sz w:val="28"/>
                <w:szCs w:val="28"/>
              </w:rPr>
              <w:t>1.</w:t>
            </w:r>
          </w:p>
        </w:tc>
        <w:tc>
          <w:tcPr>
            <w:tcW w:w="4536" w:type="dxa"/>
          </w:tcPr>
          <w:p w14:paraId="28657868" w14:textId="77777777" w:rsidR="00801EC4" w:rsidRPr="00801EC4" w:rsidRDefault="00801EC4" w:rsidP="001E125B">
            <w:pPr>
              <w:rPr>
                <w:iCs/>
                <w:sz w:val="28"/>
                <w:szCs w:val="28"/>
              </w:rPr>
            </w:pPr>
            <w:r w:rsidRPr="00801EC4">
              <w:rPr>
                <w:iCs/>
                <w:sz w:val="28"/>
                <w:szCs w:val="28"/>
              </w:rPr>
              <w:t>Projekta izpildē iesaistītās institūcijas</w:t>
            </w:r>
          </w:p>
        </w:tc>
        <w:tc>
          <w:tcPr>
            <w:tcW w:w="4076" w:type="dxa"/>
          </w:tcPr>
          <w:p w14:paraId="28657869" w14:textId="77777777" w:rsidR="00801EC4" w:rsidRPr="00801EC4" w:rsidRDefault="00801EC4" w:rsidP="001E125B">
            <w:pPr>
              <w:rPr>
                <w:iCs/>
                <w:sz w:val="28"/>
                <w:szCs w:val="28"/>
              </w:rPr>
            </w:pPr>
            <w:r>
              <w:rPr>
                <w:iCs/>
                <w:sz w:val="28"/>
                <w:szCs w:val="28"/>
              </w:rPr>
              <w:t>Valsts meža dienests</w:t>
            </w:r>
          </w:p>
        </w:tc>
      </w:tr>
      <w:tr w:rsidR="00801EC4" w:rsidRPr="00801EC4" w14:paraId="2865786F" w14:textId="77777777" w:rsidTr="00801EC4">
        <w:tc>
          <w:tcPr>
            <w:tcW w:w="675" w:type="dxa"/>
          </w:tcPr>
          <w:p w14:paraId="2865786B" w14:textId="77777777" w:rsidR="00801EC4" w:rsidRPr="00801EC4" w:rsidRDefault="00801EC4" w:rsidP="001E125B">
            <w:pPr>
              <w:rPr>
                <w:iCs/>
                <w:sz w:val="28"/>
                <w:szCs w:val="28"/>
              </w:rPr>
            </w:pPr>
            <w:r w:rsidRPr="00801EC4">
              <w:rPr>
                <w:iCs/>
                <w:sz w:val="28"/>
                <w:szCs w:val="28"/>
              </w:rPr>
              <w:t>2.</w:t>
            </w:r>
          </w:p>
        </w:tc>
        <w:tc>
          <w:tcPr>
            <w:tcW w:w="4536" w:type="dxa"/>
          </w:tcPr>
          <w:p w14:paraId="2865786C" w14:textId="77777777" w:rsidR="00801EC4" w:rsidRPr="00801EC4" w:rsidRDefault="00801EC4" w:rsidP="002D18AB">
            <w:pPr>
              <w:jc w:val="both"/>
              <w:rPr>
                <w:iCs/>
                <w:sz w:val="28"/>
                <w:szCs w:val="28"/>
              </w:rPr>
            </w:pPr>
            <w:r w:rsidRPr="00801EC4">
              <w:rPr>
                <w:iCs/>
                <w:sz w:val="28"/>
                <w:szCs w:val="28"/>
              </w:rPr>
              <w:t xml:space="preserve">Projekta izpildes ietekme uz pārvaldes funkcijām un institucionālo struktūru. </w:t>
            </w:r>
          </w:p>
          <w:p w14:paraId="2865786D" w14:textId="77777777" w:rsidR="00801EC4" w:rsidRPr="00801EC4" w:rsidRDefault="00801EC4" w:rsidP="002D18AB">
            <w:pPr>
              <w:jc w:val="both"/>
              <w:rPr>
                <w:iCs/>
                <w:sz w:val="28"/>
                <w:szCs w:val="28"/>
              </w:rPr>
            </w:pPr>
            <w:r w:rsidRPr="00801EC4">
              <w:rPr>
                <w:iCs/>
                <w:sz w:val="28"/>
                <w:szCs w:val="28"/>
              </w:rPr>
              <w:t>Jaunu institūciju izveide, esošu institūciju likvidācija vai reorganizācija, to ietekme uz institūcijas cilvēkresursiem</w:t>
            </w:r>
          </w:p>
        </w:tc>
        <w:tc>
          <w:tcPr>
            <w:tcW w:w="4076" w:type="dxa"/>
          </w:tcPr>
          <w:p w14:paraId="6FE1A097" w14:textId="5C8CF0EB" w:rsidR="00801EC4" w:rsidRDefault="00801EC4" w:rsidP="002D18AB">
            <w:pPr>
              <w:jc w:val="both"/>
              <w:rPr>
                <w:iCs/>
                <w:sz w:val="28"/>
                <w:szCs w:val="28"/>
              </w:rPr>
            </w:pPr>
            <w:r w:rsidRPr="00801EC4">
              <w:rPr>
                <w:iCs/>
                <w:sz w:val="28"/>
                <w:szCs w:val="28"/>
              </w:rPr>
              <w:t>Valsts meža dienests ir ko</w:t>
            </w:r>
            <w:r>
              <w:rPr>
                <w:iCs/>
                <w:sz w:val="28"/>
                <w:szCs w:val="28"/>
              </w:rPr>
              <w:t>mpetentā iestāde</w:t>
            </w:r>
            <w:r w:rsidRPr="00801EC4">
              <w:rPr>
                <w:iCs/>
                <w:sz w:val="28"/>
                <w:szCs w:val="28"/>
              </w:rPr>
              <w:t xml:space="preserve"> regulas izpratnē. Juridiskais pamats minētā uzdevuma </w:t>
            </w:r>
            <w:r w:rsidR="004359D1">
              <w:rPr>
                <w:iCs/>
                <w:sz w:val="28"/>
                <w:szCs w:val="28"/>
              </w:rPr>
              <w:t>izpildei</w:t>
            </w:r>
            <w:r w:rsidRPr="00801EC4">
              <w:rPr>
                <w:iCs/>
                <w:sz w:val="28"/>
                <w:szCs w:val="28"/>
              </w:rPr>
              <w:t xml:space="preserve"> ir Valsts meža dienesta nolikums (4.22.apakšpunkts)</w:t>
            </w:r>
            <w:r>
              <w:rPr>
                <w:iCs/>
                <w:sz w:val="28"/>
                <w:szCs w:val="28"/>
              </w:rPr>
              <w:t xml:space="preserve">. </w:t>
            </w:r>
            <w:r w:rsidR="0028676A">
              <w:rPr>
                <w:iCs/>
                <w:sz w:val="28"/>
                <w:szCs w:val="28"/>
              </w:rPr>
              <w:t>R</w:t>
            </w:r>
            <w:r w:rsidR="00495A8C">
              <w:rPr>
                <w:iCs/>
                <w:sz w:val="28"/>
                <w:szCs w:val="28"/>
              </w:rPr>
              <w:t>egula</w:t>
            </w:r>
            <w:r w:rsidR="0028676A">
              <w:rPr>
                <w:iCs/>
                <w:sz w:val="28"/>
                <w:szCs w:val="28"/>
              </w:rPr>
              <w:t>s</w:t>
            </w:r>
            <w:r w:rsidR="00495A8C">
              <w:rPr>
                <w:iCs/>
                <w:sz w:val="28"/>
                <w:szCs w:val="28"/>
              </w:rPr>
              <w:t xml:space="preserve"> </w:t>
            </w:r>
            <w:r w:rsidR="0028676A">
              <w:rPr>
                <w:iCs/>
                <w:sz w:val="28"/>
                <w:szCs w:val="28"/>
              </w:rPr>
              <w:t xml:space="preserve">prasības ietver </w:t>
            </w:r>
            <w:r w:rsidR="00495A8C">
              <w:rPr>
                <w:iCs/>
                <w:sz w:val="28"/>
                <w:szCs w:val="28"/>
              </w:rPr>
              <w:t>uzdevumu</w:t>
            </w:r>
            <w:r w:rsidR="0028676A">
              <w:rPr>
                <w:iCs/>
                <w:sz w:val="28"/>
                <w:szCs w:val="28"/>
              </w:rPr>
              <w:t>, ko</w:t>
            </w:r>
            <w:r w:rsidR="00495A8C">
              <w:rPr>
                <w:iCs/>
                <w:sz w:val="28"/>
                <w:szCs w:val="28"/>
              </w:rPr>
              <w:t xml:space="preserve"> valsts institūcij</w:t>
            </w:r>
            <w:r w:rsidR="0028676A">
              <w:rPr>
                <w:iCs/>
                <w:sz w:val="28"/>
                <w:szCs w:val="28"/>
              </w:rPr>
              <w:t>as</w:t>
            </w:r>
            <w:r w:rsidR="00495A8C">
              <w:rPr>
                <w:iCs/>
                <w:sz w:val="28"/>
                <w:szCs w:val="28"/>
              </w:rPr>
              <w:t xml:space="preserve"> līdz šim nav </w:t>
            </w:r>
            <w:r w:rsidR="0028676A">
              <w:rPr>
                <w:iCs/>
                <w:sz w:val="28"/>
                <w:szCs w:val="28"/>
              </w:rPr>
              <w:t>veikušas (importēto kokmateriālu un koka izstrādājumu kontrol</w:t>
            </w:r>
            <w:r w:rsidR="004359D1">
              <w:rPr>
                <w:iCs/>
                <w:sz w:val="28"/>
                <w:szCs w:val="28"/>
              </w:rPr>
              <w:t>i</w:t>
            </w:r>
            <w:r w:rsidR="0028676A">
              <w:rPr>
                <w:iCs/>
                <w:sz w:val="28"/>
                <w:szCs w:val="28"/>
              </w:rPr>
              <w:t xml:space="preserve"> attiecībā uz koksnes ieguves likumību).</w:t>
            </w:r>
            <w:r w:rsidR="00AD064A">
              <w:rPr>
                <w:iCs/>
                <w:sz w:val="28"/>
                <w:szCs w:val="28"/>
              </w:rPr>
              <w:t xml:space="preserve"> Valsts meža dienestā pēc Valsts meža dienesta nolikuma grozījumu apstiprināšanas ir izveidota papildu </w:t>
            </w:r>
            <w:r w:rsidR="004359D1">
              <w:rPr>
                <w:iCs/>
                <w:sz w:val="28"/>
                <w:szCs w:val="28"/>
              </w:rPr>
              <w:t>amata</w:t>
            </w:r>
            <w:r w:rsidR="00AD064A">
              <w:rPr>
                <w:iCs/>
                <w:sz w:val="28"/>
                <w:szCs w:val="28"/>
              </w:rPr>
              <w:t xml:space="preserve"> vieta regulā dotā uzdevuma izpildei.</w:t>
            </w:r>
          </w:p>
          <w:p w14:paraId="2865786E" w14:textId="6E63E798" w:rsidR="00DB1C14" w:rsidRPr="00801EC4" w:rsidRDefault="003E0B2A" w:rsidP="003E0B2A">
            <w:pPr>
              <w:jc w:val="both"/>
              <w:rPr>
                <w:iCs/>
                <w:sz w:val="28"/>
                <w:szCs w:val="28"/>
              </w:rPr>
            </w:pPr>
            <w:r w:rsidRPr="00CE2D05">
              <w:rPr>
                <w:sz w:val="28"/>
                <w:szCs w:val="28"/>
              </w:rPr>
              <w:t>Ministru kabineta 2013.gada 17.decembra noteikumi Nr.1483 „Savvaļā dzīvojošo medījamo dzīvnieku piebarošanas noteikumi” izdoti</w:t>
            </w:r>
            <w:r w:rsidR="004359D1">
              <w:rPr>
                <w:sz w:val="28"/>
                <w:szCs w:val="28"/>
              </w:rPr>
              <w:t>,</w:t>
            </w:r>
            <w:r w:rsidRPr="00CE2D05">
              <w:rPr>
                <w:sz w:val="28"/>
                <w:szCs w:val="28"/>
              </w:rPr>
              <w:t xml:space="preserve"> pamatojoties uz Medību likuma 3.panta astoto daļu</w:t>
            </w:r>
            <w:r w:rsidR="004359D1">
              <w:rPr>
                <w:sz w:val="28"/>
                <w:szCs w:val="28"/>
              </w:rPr>
              <w:t>,</w:t>
            </w:r>
            <w:r w:rsidRPr="00CE2D05">
              <w:rPr>
                <w:sz w:val="28"/>
                <w:szCs w:val="28"/>
              </w:rPr>
              <w:t xml:space="preserve"> un to ievērošanu </w:t>
            </w:r>
            <w:r w:rsidR="004359D1">
              <w:rPr>
                <w:sz w:val="28"/>
                <w:szCs w:val="28"/>
              </w:rPr>
              <w:t xml:space="preserve">atbilstoši </w:t>
            </w:r>
            <w:r w:rsidRPr="00CE2D05">
              <w:rPr>
                <w:sz w:val="28"/>
                <w:szCs w:val="28"/>
              </w:rPr>
              <w:t>sav</w:t>
            </w:r>
            <w:r w:rsidR="004359D1">
              <w:rPr>
                <w:sz w:val="28"/>
                <w:szCs w:val="28"/>
              </w:rPr>
              <w:t>ām</w:t>
            </w:r>
            <w:r w:rsidRPr="00CE2D05">
              <w:rPr>
                <w:sz w:val="28"/>
                <w:szCs w:val="28"/>
              </w:rPr>
              <w:t xml:space="preserve"> funkcij</w:t>
            </w:r>
            <w:r w:rsidR="004359D1">
              <w:rPr>
                <w:sz w:val="28"/>
                <w:szCs w:val="28"/>
              </w:rPr>
              <w:t>ām</w:t>
            </w:r>
            <w:r w:rsidRPr="00CE2D05">
              <w:rPr>
                <w:sz w:val="28"/>
                <w:szCs w:val="28"/>
              </w:rPr>
              <w:t xml:space="preserve"> kontrolē Valsts meža dienests, jo </w:t>
            </w:r>
            <w:r w:rsidRPr="00CE2D05">
              <w:rPr>
                <w:iCs/>
                <w:sz w:val="28"/>
                <w:szCs w:val="28"/>
              </w:rPr>
              <w:t>Valsts meža dienests nodrošina medības reglamentējošo normatīvo aktu prasību ievērošanu.</w:t>
            </w:r>
            <w:r w:rsidR="002772CB" w:rsidRPr="00CE2D05">
              <w:rPr>
                <w:iCs/>
                <w:sz w:val="28"/>
                <w:szCs w:val="28"/>
              </w:rPr>
              <w:t xml:space="preserve"> Atbilstoši Administratīvo pārkāpumu kodeksa 233</w:t>
            </w:r>
            <w:r w:rsidR="002D7CF3" w:rsidRPr="00CE2D05">
              <w:rPr>
                <w:iCs/>
                <w:sz w:val="28"/>
                <w:szCs w:val="28"/>
              </w:rPr>
              <w:t xml:space="preserve">. </w:t>
            </w:r>
            <w:r w:rsidR="002772CB" w:rsidRPr="00CE2D05">
              <w:rPr>
                <w:iCs/>
                <w:sz w:val="28"/>
                <w:szCs w:val="28"/>
              </w:rPr>
              <w:t xml:space="preserve">pantam </w:t>
            </w:r>
            <w:r w:rsidR="00263139" w:rsidRPr="00CE2D05">
              <w:rPr>
                <w:iCs/>
                <w:sz w:val="28"/>
                <w:szCs w:val="28"/>
              </w:rPr>
              <w:t xml:space="preserve">Valsts meža </w:t>
            </w:r>
            <w:r w:rsidR="00263139" w:rsidRPr="00CE2D05">
              <w:rPr>
                <w:iCs/>
                <w:sz w:val="28"/>
                <w:szCs w:val="28"/>
              </w:rPr>
              <w:lastRenderedPageBreak/>
              <w:t xml:space="preserve">dienests izskata </w:t>
            </w:r>
            <w:r w:rsidR="004359D1">
              <w:rPr>
                <w:iCs/>
                <w:sz w:val="28"/>
                <w:szCs w:val="28"/>
              </w:rPr>
              <w:t xml:space="preserve">kodeksa </w:t>
            </w:r>
            <w:r w:rsidR="00263139" w:rsidRPr="00CE2D05">
              <w:rPr>
                <w:iCs/>
                <w:sz w:val="28"/>
                <w:szCs w:val="28"/>
              </w:rPr>
              <w:t>80.pantā minēto administratīvo pārkāpumu lietas.</w:t>
            </w:r>
          </w:p>
        </w:tc>
      </w:tr>
      <w:tr w:rsidR="00801EC4" w:rsidRPr="00801EC4" w14:paraId="28657873" w14:textId="77777777" w:rsidTr="00801EC4">
        <w:tc>
          <w:tcPr>
            <w:tcW w:w="675" w:type="dxa"/>
          </w:tcPr>
          <w:p w14:paraId="28657870" w14:textId="77777777" w:rsidR="00801EC4" w:rsidRPr="00801EC4" w:rsidRDefault="00801EC4" w:rsidP="001E125B">
            <w:pPr>
              <w:rPr>
                <w:iCs/>
                <w:sz w:val="28"/>
                <w:szCs w:val="28"/>
              </w:rPr>
            </w:pPr>
            <w:r w:rsidRPr="00801EC4">
              <w:rPr>
                <w:iCs/>
                <w:sz w:val="28"/>
                <w:szCs w:val="28"/>
              </w:rPr>
              <w:lastRenderedPageBreak/>
              <w:t>3.</w:t>
            </w:r>
          </w:p>
        </w:tc>
        <w:tc>
          <w:tcPr>
            <w:tcW w:w="4536" w:type="dxa"/>
          </w:tcPr>
          <w:p w14:paraId="28657871" w14:textId="77777777" w:rsidR="00801EC4" w:rsidRPr="00801EC4" w:rsidRDefault="00801EC4" w:rsidP="001E125B">
            <w:pPr>
              <w:rPr>
                <w:iCs/>
                <w:sz w:val="28"/>
                <w:szCs w:val="28"/>
              </w:rPr>
            </w:pPr>
            <w:r w:rsidRPr="00801EC4">
              <w:rPr>
                <w:iCs/>
                <w:sz w:val="28"/>
                <w:szCs w:val="28"/>
              </w:rPr>
              <w:t>Cita informācija</w:t>
            </w:r>
          </w:p>
        </w:tc>
        <w:tc>
          <w:tcPr>
            <w:tcW w:w="4076" w:type="dxa"/>
          </w:tcPr>
          <w:p w14:paraId="28657872" w14:textId="77777777" w:rsidR="00801EC4" w:rsidRPr="00801EC4" w:rsidRDefault="00AD064A" w:rsidP="001E125B">
            <w:pPr>
              <w:rPr>
                <w:iCs/>
                <w:sz w:val="28"/>
                <w:szCs w:val="28"/>
              </w:rPr>
            </w:pPr>
            <w:r>
              <w:rPr>
                <w:iCs/>
                <w:sz w:val="28"/>
                <w:szCs w:val="28"/>
              </w:rPr>
              <w:t>Nav</w:t>
            </w:r>
          </w:p>
        </w:tc>
      </w:tr>
    </w:tbl>
    <w:p w14:paraId="28657874" w14:textId="77777777" w:rsidR="001E125B" w:rsidRPr="00801EC4" w:rsidRDefault="001E125B" w:rsidP="00D10F81">
      <w:pPr>
        <w:rPr>
          <w:iCs/>
          <w:sz w:val="28"/>
          <w:szCs w:val="28"/>
        </w:rPr>
      </w:pPr>
    </w:p>
    <w:p w14:paraId="28657875" w14:textId="77777777" w:rsidR="007518F5" w:rsidRDefault="007518F5" w:rsidP="00D10F81">
      <w:pPr>
        <w:rPr>
          <w:sz w:val="28"/>
          <w:szCs w:val="28"/>
        </w:rPr>
      </w:pPr>
    </w:p>
    <w:p w14:paraId="28657876" w14:textId="77777777" w:rsidR="008F03CF" w:rsidRPr="00D10F81" w:rsidRDefault="008F03CF" w:rsidP="005654C8">
      <w:pPr>
        <w:ind w:firstLine="720"/>
        <w:rPr>
          <w:sz w:val="28"/>
          <w:szCs w:val="28"/>
        </w:rPr>
      </w:pPr>
      <w:r>
        <w:rPr>
          <w:sz w:val="28"/>
          <w:szCs w:val="28"/>
        </w:rPr>
        <w:t>Zemkopības ministr</w:t>
      </w:r>
      <w:r w:rsidR="00B575B1">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575B1">
        <w:rPr>
          <w:sz w:val="28"/>
          <w:szCs w:val="28"/>
        </w:rPr>
        <w:t>J.Dūklavs</w:t>
      </w:r>
    </w:p>
    <w:p w14:paraId="28657877" w14:textId="77777777" w:rsidR="008F03CF" w:rsidRPr="003D2A75" w:rsidRDefault="008F03CF" w:rsidP="008C0C16">
      <w:pPr>
        <w:ind w:firstLine="709"/>
        <w:jc w:val="both"/>
        <w:rPr>
          <w:sz w:val="28"/>
          <w:szCs w:val="28"/>
        </w:rPr>
      </w:pPr>
    </w:p>
    <w:p w14:paraId="28657878" w14:textId="77777777" w:rsidR="008F03CF" w:rsidRDefault="008F03CF" w:rsidP="008C0C16">
      <w:pPr>
        <w:rPr>
          <w:sz w:val="20"/>
          <w:szCs w:val="20"/>
        </w:rPr>
      </w:pPr>
    </w:p>
    <w:p w14:paraId="28657879" w14:textId="77777777" w:rsidR="008F03CF" w:rsidRDefault="008F03CF" w:rsidP="008C0C16">
      <w:pPr>
        <w:rPr>
          <w:sz w:val="20"/>
          <w:szCs w:val="20"/>
        </w:rPr>
      </w:pPr>
    </w:p>
    <w:p w14:paraId="28657884" w14:textId="77777777" w:rsidR="00877DFC" w:rsidRDefault="00877DFC" w:rsidP="008C0C16">
      <w:pPr>
        <w:rPr>
          <w:sz w:val="20"/>
          <w:szCs w:val="20"/>
        </w:rPr>
      </w:pPr>
    </w:p>
    <w:p w14:paraId="4ABA8F66" w14:textId="77777777" w:rsidR="003924C8" w:rsidRDefault="003924C8" w:rsidP="008C0C16">
      <w:pPr>
        <w:rPr>
          <w:sz w:val="20"/>
          <w:szCs w:val="20"/>
        </w:rPr>
      </w:pPr>
    </w:p>
    <w:p w14:paraId="721C2494" w14:textId="77777777" w:rsidR="003924C8" w:rsidRDefault="003924C8" w:rsidP="008C0C16">
      <w:pPr>
        <w:rPr>
          <w:sz w:val="20"/>
          <w:szCs w:val="20"/>
        </w:rPr>
      </w:pPr>
    </w:p>
    <w:p w14:paraId="3CB42A84" w14:textId="77777777" w:rsidR="003924C8" w:rsidRDefault="003924C8" w:rsidP="008C0C16">
      <w:pPr>
        <w:rPr>
          <w:sz w:val="20"/>
          <w:szCs w:val="20"/>
        </w:rPr>
      </w:pPr>
    </w:p>
    <w:p w14:paraId="66CFE164" w14:textId="77777777" w:rsidR="003924C8" w:rsidRDefault="003924C8" w:rsidP="008C0C16">
      <w:pPr>
        <w:rPr>
          <w:sz w:val="20"/>
          <w:szCs w:val="20"/>
        </w:rPr>
      </w:pPr>
    </w:p>
    <w:p w14:paraId="5006B88E" w14:textId="77777777" w:rsidR="003924C8" w:rsidRDefault="003924C8" w:rsidP="008C0C16">
      <w:pPr>
        <w:rPr>
          <w:sz w:val="20"/>
          <w:szCs w:val="20"/>
        </w:rPr>
      </w:pPr>
    </w:p>
    <w:p w14:paraId="2CE309C3" w14:textId="77777777" w:rsidR="003924C8" w:rsidRDefault="003924C8" w:rsidP="008C0C16">
      <w:pPr>
        <w:rPr>
          <w:sz w:val="20"/>
          <w:szCs w:val="20"/>
        </w:rPr>
      </w:pPr>
    </w:p>
    <w:p w14:paraId="1CFA4014" w14:textId="77777777" w:rsidR="003924C8" w:rsidRDefault="003924C8" w:rsidP="008C0C16">
      <w:pPr>
        <w:rPr>
          <w:sz w:val="20"/>
          <w:szCs w:val="20"/>
        </w:rPr>
      </w:pPr>
    </w:p>
    <w:p w14:paraId="4779089F" w14:textId="77777777" w:rsidR="003924C8" w:rsidRDefault="003924C8" w:rsidP="008C0C16">
      <w:pPr>
        <w:rPr>
          <w:sz w:val="20"/>
          <w:szCs w:val="20"/>
        </w:rPr>
      </w:pPr>
    </w:p>
    <w:p w14:paraId="094C8EF0" w14:textId="77777777" w:rsidR="003924C8" w:rsidRDefault="003924C8" w:rsidP="008C0C16">
      <w:pPr>
        <w:rPr>
          <w:sz w:val="20"/>
          <w:szCs w:val="20"/>
        </w:rPr>
      </w:pPr>
    </w:p>
    <w:p w14:paraId="59143220" w14:textId="77777777" w:rsidR="003924C8" w:rsidRDefault="003924C8" w:rsidP="008C0C16">
      <w:pPr>
        <w:rPr>
          <w:sz w:val="20"/>
          <w:szCs w:val="20"/>
        </w:rPr>
      </w:pPr>
    </w:p>
    <w:p w14:paraId="76D3E484" w14:textId="77777777" w:rsidR="003924C8" w:rsidRDefault="003924C8" w:rsidP="008C0C16">
      <w:pPr>
        <w:rPr>
          <w:sz w:val="20"/>
          <w:szCs w:val="20"/>
        </w:rPr>
      </w:pPr>
    </w:p>
    <w:p w14:paraId="39F29590" w14:textId="77777777" w:rsidR="003924C8" w:rsidRDefault="003924C8" w:rsidP="008C0C16">
      <w:pPr>
        <w:rPr>
          <w:sz w:val="20"/>
          <w:szCs w:val="20"/>
        </w:rPr>
      </w:pPr>
    </w:p>
    <w:p w14:paraId="2A6087A9" w14:textId="77777777" w:rsidR="003924C8" w:rsidRDefault="003924C8" w:rsidP="008C0C16">
      <w:pPr>
        <w:rPr>
          <w:sz w:val="20"/>
          <w:szCs w:val="20"/>
        </w:rPr>
      </w:pPr>
    </w:p>
    <w:p w14:paraId="544129C5" w14:textId="77777777" w:rsidR="003924C8" w:rsidRDefault="003924C8" w:rsidP="008C0C16">
      <w:pPr>
        <w:rPr>
          <w:sz w:val="20"/>
          <w:szCs w:val="20"/>
        </w:rPr>
      </w:pPr>
    </w:p>
    <w:p w14:paraId="62EC606D" w14:textId="77777777" w:rsidR="003924C8" w:rsidRDefault="003924C8" w:rsidP="008C0C16">
      <w:pPr>
        <w:rPr>
          <w:sz w:val="20"/>
          <w:szCs w:val="20"/>
        </w:rPr>
      </w:pPr>
    </w:p>
    <w:p w14:paraId="213C2B16" w14:textId="77777777" w:rsidR="003924C8" w:rsidRDefault="003924C8" w:rsidP="008C0C16">
      <w:pPr>
        <w:rPr>
          <w:sz w:val="20"/>
          <w:szCs w:val="20"/>
        </w:rPr>
      </w:pPr>
    </w:p>
    <w:p w14:paraId="1C4DBDA4" w14:textId="77777777" w:rsidR="003924C8" w:rsidRDefault="003924C8" w:rsidP="008C0C16">
      <w:pPr>
        <w:rPr>
          <w:sz w:val="20"/>
          <w:szCs w:val="20"/>
        </w:rPr>
      </w:pPr>
    </w:p>
    <w:p w14:paraId="6D70FD77" w14:textId="77777777" w:rsidR="003924C8" w:rsidRDefault="003924C8" w:rsidP="008C0C16">
      <w:pPr>
        <w:rPr>
          <w:sz w:val="20"/>
          <w:szCs w:val="20"/>
        </w:rPr>
      </w:pPr>
    </w:p>
    <w:p w14:paraId="22B8A39C" w14:textId="77777777" w:rsidR="003924C8" w:rsidRDefault="003924C8" w:rsidP="008C0C16">
      <w:pPr>
        <w:rPr>
          <w:sz w:val="20"/>
          <w:szCs w:val="20"/>
        </w:rPr>
      </w:pPr>
    </w:p>
    <w:p w14:paraId="2069685F" w14:textId="77777777" w:rsidR="003924C8" w:rsidRDefault="003924C8" w:rsidP="008C0C16">
      <w:pPr>
        <w:rPr>
          <w:sz w:val="20"/>
          <w:szCs w:val="20"/>
        </w:rPr>
      </w:pPr>
    </w:p>
    <w:p w14:paraId="06D5D00B" w14:textId="77777777" w:rsidR="003924C8" w:rsidRDefault="003924C8" w:rsidP="008C0C16">
      <w:pPr>
        <w:rPr>
          <w:sz w:val="20"/>
          <w:szCs w:val="20"/>
        </w:rPr>
      </w:pPr>
    </w:p>
    <w:p w14:paraId="539AED11" w14:textId="77777777" w:rsidR="003924C8" w:rsidRDefault="003924C8" w:rsidP="008C0C16">
      <w:pPr>
        <w:rPr>
          <w:sz w:val="20"/>
          <w:szCs w:val="20"/>
        </w:rPr>
      </w:pPr>
    </w:p>
    <w:p w14:paraId="7985926B" w14:textId="77777777" w:rsidR="003924C8" w:rsidRDefault="003924C8" w:rsidP="008C0C16">
      <w:pPr>
        <w:rPr>
          <w:sz w:val="20"/>
          <w:szCs w:val="20"/>
        </w:rPr>
      </w:pPr>
    </w:p>
    <w:p w14:paraId="144F0CA2" w14:textId="77777777" w:rsidR="003924C8" w:rsidRDefault="003924C8" w:rsidP="008C0C16">
      <w:pPr>
        <w:rPr>
          <w:sz w:val="20"/>
          <w:szCs w:val="20"/>
        </w:rPr>
      </w:pPr>
    </w:p>
    <w:p w14:paraId="37A45CC6" w14:textId="77777777" w:rsidR="003924C8" w:rsidRDefault="003924C8" w:rsidP="008C0C16">
      <w:pPr>
        <w:rPr>
          <w:sz w:val="20"/>
          <w:szCs w:val="20"/>
        </w:rPr>
      </w:pPr>
    </w:p>
    <w:p w14:paraId="3787DB11" w14:textId="77777777" w:rsidR="003924C8" w:rsidRDefault="003924C8" w:rsidP="008C0C16">
      <w:pPr>
        <w:rPr>
          <w:sz w:val="20"/>
          <w:szCs w:val="20"/>
        </w:rPr>
      </w:pPr>
    </w:p>
    <w:p w14:paraId="71EBEB6C" w14:textId="77777777" w:rsidR="003924C8" w:rsidRDefault="003924C8" w:rsidP="008C0C16">
      <w:pPr>
        <w:rPr>
          <w:sz w:val="20"/>
          <w:szCs w:val="20"/>
        </w:rPr>
      </w:pPr>
    </w:p>
    <w:p w14:paraId="02B37CAF" w14:textId="77777777" w:rsidR="003924C8" w:rsidRDefault="003924C8" w:rsidP="008C0C16">
      <w:pPr>
        <w:rPr>
          <w:sz w:val="20"/>
          <w:szCs w:val="20"/>
        </w:rPr>
      </w:pPr>
    </w:p>
    <w:p w14:paraId="3AC2EF29" w14:textId="77777777" w:rsidR="003924C8" w:rsidRDefault="003924C8" w:rsidP="008C0C16">
      <w:pPr>
        <w:rPr>
          <w:sz w:val="20"/>
          <w:szCs w:val="20"/>
        </w:rPr>
      </w:pPr>
    </w:p>
    <w:p w14:paraId="635DCA77" w14:textId="77777777" w:rsidR="003924C8" w:rsidRDefault="003924C8" w:rsidP="008C0C16">
      <w:pPr>
        <w:rPr>
          <w:sz w:val="20"/>
          <w:szCs w:val="20"/>
        </w:rPr>
      </w:pPr>
    </w:p>
    <w:p w14:paraId="202D2E85" w14:textId="77777777" w:rsidR="003924C8" w:rsidRDefault="003924C8" w:rsidP="008C0C16">
      <w:pPr>
        <w:rPr>
          <w:sz w:val="20"/>
          <w:szCs w:val="20"/>
        </w:rPr>
      </w:pPr>
    </w:p>
    <w:p w14:paraId="005E5E64" w14:textId="77777777" w:rsidR="003924C8" w:rsidRDefault="003924C8" w:rsidP="008C0C16">
      <w:pPr>
        <w:rPr>
          <w:sz w:val="20"/>
          <w:szCs w:val="20"/>
        </w:rPr>
      </w:pPr>
    </w:p>
    <w:p w14:paraId="3F57CD0A" w14:textId="77777777" w:rsidR="003924C8" w:rsidRDefault="003924C8" w:rsidP="008C0C16">
      <w:pPr>
        <w:rPr>
          <w:sz w:val="20"/>
          <w:szCs w:val="20"/>
        </w:rPr>
      </w:pPr>
    </w:p>
    <w:p w14:paraId="2661C0A4" w14:textId="77777777" w:rsidR="003924C8" w:rsidRDefault="003924C8" w:rsidP="008C0C16">
      <w:pPr>
        <w:rPr>
          <w:sz w:val="20"/>
          <w:szCs w:val="20"/>
        </w:rPr>
      </w:pPr>
    </w:p>
    <w:p w14:paraId="0F282ACC" w14:textId="77777777" w:rsidR="003924C8" w:rsidRDefault="003924C8" w:rsidP="008C0C16">
      <w:pPr>
        <w:rPr>
          <w:sz w:val="20"/>
          <w:szCs w:val="20"/>
        </w:rPr>
      </w:pPr>
    </w:p>
    <w:p w14:paraId="28657885" w14:textId="77777777" w:rsidR="00877DFC" w:rsidRDefault="00877DFC" w:rsidP="008C0C16">
      <w:pPr>
        <w:rPr>
          <w:sz w:val="20"/>
          <w:szCs w:val="20"/>
        </w:rPr>
      </w:pPr>
    </w:p>
    <w:p w14:paraId="28657886" w14:textId="77777777" w:rsidR="00877DFC" w:rsidRDefault="00877DFC" w:rsidP="008C0C16">
      <w:pPr>
        <w:rPr>
          <w:sz w:val="20"/>
          <w:szCs w:val="20"/>
        </w:rPr>
      </w:pPr>
    </w:p>
    <w:p w14:paraId="28657887" w14:textId="77777777" w:rsidR="00877DFC" w:rsidRDefault="00877DFC" w:rsidP="008C0C16">
      <w:pPr>
        <w:rPr>
          <w:sz w:val="20"/>
          <w:szCs w:val="20"/>
        </w:rPr>
      </w:pPr>
    </w:p>
    <w:p w14:paraId="28657889" w14:textId="77777777" w:rsidR="00877DFC" w:rsidRDefault="00877DFC" w:rsidP="008C0C16">
      <w:pPr>
        <w:rPr>
          <w:sz w:val="20"/>
          <w:szCs w:val="20"/>
        </w:rPr>
      </w:pPr>
    </w:p>
    <w:p w14:paraId="4C1CBAB6" w14:textId="77777777" w:rsidR="003924C8" w:rsidRDefault="003924C8" w:rsidP="008C0C16">
      <w:pPr>
        <w:rPr>
          <w:sz w:val="20"/>
          <w:szCs w:val="20"/>
        </w:rPr>
      </w:pPr>
      <w:r>
        <w:rPr>
          <w:sz w:val="20"/>
          <w:szCs w:val="20"/>
        </w:rPr>
        <w:t>27.11.2014. 15:23</w:t>
      </w:r>
    </w:p>
    <w:p w14:paraId="6E2C87C7" w14:textId="77777777" w:rsidR="003924C8" w:rsidRDefault="003924C8" w:rsidP="008C0C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1735</w:t>
      </w:r>
      <w:r>
        <w:rPr>
          <w:sz w:val="20"/>
          <w:szCs w:val="20"/>
        </w:rPr>
        <w:fldChar w:fldCharType="end"/>
      </w:r>
    </w:p>
    <w:p w14:paraId="2865788C" w14:textId="3D61D088" w:rsidR="008F03CF" w:rsidRPr="003D2A75" w:rsidRDefault="00ED4C0E" w:rsidP="008C0C16">
      <w:pPr>
        <w:rPr>
          <w:sz w:val="20"/>
          <w:szCs w:val="20"/>
          <w:lang w:val="pl-PL"/>
        </w:rPr>
      </w:pPr>
      <w:bookmarkStart w:id="2" w:name="_GoBack"/>
      <w:bookmarkEnd w:id="2"/>
      <w:r>
        <w:rPr>
          <w:sz w:val="20"/>
          <w:szCs w:val="20"/>
          <w:lang w:val="pl-PL"/>
        </w:rPr>
        <w:t>G.Straupmanis</w:t>
      </w:r>
    </w:p>
    <w:p w14:paraId="2865788D" w14:textId="0583792F" w:rsidR="008F03CF" w:rsidRPr="00883366" w:rsidRDefault="008F03CF">
      <w:pPr>
        <w:rPr>
          <w:sz w:val="20"/>
          <w:szCs w:val="20"/>
        </w:rPr>
      </w:pPr>
      <w:r>
        <w:rPr>
          <w:sz w:val="20"/>
          <w:szCs w:val="20"/>
          <w:lang w:val="pl-PL"/>
        </w:rPr>
        <w:t>67027</w:t>
      </w:r>
      <w:r w:rsidR="00D84F95">
        <w:rPr>
          <w:sz w:val="20"/>
          <w:szCs w:val="20"/>
          <w:lang w:val="pl-PL"/>
        </w:rPr>
        <w:t>233</w:t>
      </w:r>
      <w:r w:rsidRPr="003D2A75">
        <w:rPr>
          <w:sz w:val="20"/>
          <w:szCs w:val="20"/>
          <w:lang w:val="pl-PL"/>
        </w:rPr>
        <w:t xml:space="preserve">, </w:t>
      </w:r>
      <w:r w:rsidR="00D84F95">
        <w:rPr>
          <w:sz w:val="20"/>
          <w:szCs w:val="20"/>
          <w:lang w:val="pl-PL"/>
        </w:rPr>
        <w:t>Gustavs.Straupmanis</w:t>
      </w:r>
      <w:r w:rsidR="005264A2" w:rsidRPr="005264A2">
        <w:rPr>
          <w:sz w:val="20"/>
          <w:szCs w:val="20"/>
          <w:lang w:val="pl-PL"/>
        </w:rPr>
        <w:t>@zm.gov.l</w:t>
      </w:r>
      <w:r w:rsidR="005264A2">
        <w:rPr>
          <w:sz w:val="20"/>
          <w:szCs w:val="20"/>
          <w:lang w:val="pl-PL"/>
        </w:rPr>
        <w:t>v</w:t>
      </w:r>
    </w:p>
    <w:sectPr w:rsidR="008F03CF" w:rsidRPr="00883366" w:rsidSect="00CF5F11">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C82BF" w14:textId="77777777" w:rsidR="00C053C9" w:rsidRDefault="00C053C9">
      <w:r>
        <w:separator/>
      </w:r>
    </w:p>
  </w:endnote>
  <w:endnote w:type="continuationSeparator" w:id="0">
    <w:p w14:paraId="24F76FF4" w14:textId="77777777" w:rsidR="00C053C9" w:rsidRDefault="00C0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8CA0" w14:textId="77777777" w:rsidR="003924C8" w:rsidRDefault="003924C8" w:rsidP="003924C8">
    <w:pPr>
      <w:pStyle w:val="Galvene"/>
    </w:pPr>
  </w:p>
  <w:p w14:paraId="4C8D5705" w14:textId="77777777" w:rsidR="003924C8" w:rsidRPr="00BA72C7" w:rsidRDefault="003924C8" w:rsidP="003924C8">
    <w:pPr>
      <w:pStyle w:val="Kjene"/>
      <w:jc w:val="both"/>
      <w:rPr>
        <w:sz w:val="20"/>
      </w:rPr>
    </w:pPr>
    <w:r w:rsidRPr="0042259E">
      <w:rPr>
        <w:sz w:val="20"/>
      </w:rPr>
      <w:t>ZMAnot_</w:t>
    </w:r>
    <w:r>
      <w:rPr>
        <w:sz w:val="20"/>
      </w:rPr>
      <w:t>2711</w:t>
    </w:r>
    <w:r w:rsidRPr="0042259E">
      <w:rPr>
        <w:sz w:val="20"/>
      </w:rPr>
      <w:t xml:space="preserve">14_APK; Grozījumi </w:t>
    </w:r>
    <w:r>
      <w:rPr>
        <w:sz w:val="20"/>
      </w:rPr>
      <w:t xml:space="preserve">Latvijas </w:t>
    </w:r>
    <w:r w:rsidRPr="0042259E">
      <w:rPr>
        <w:sz w:val="20"/>
      </w:rPr>
      <w:t>Administratīvo pārkāpumu kodeks</w:t>
    </w:r>
    <w:r>
      <w:rPr>
        <w:sz w:val="20"/>
      </w:rPr>
      <w:t>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7898" w14:textId="118A979D" w:rsidR="008F03CF" w:rsidRPr="00BA72C7" w:rsidRDefault="0042259E" w:rsidP="007C780E">
    <w:pPr>
      <w:pStyle w:val="Kjene"/>
      <w:jc w:val="both"/>
      <w:rPr>
        <w:sz w:val="20"/>
      </w:rPr>
    </w:pPr>
    <w:r w:rsidRPr="0042259E">
      <w:rPr>
        <w:sz w:val="20"/>
      </w:rPr>
      <w:t>ZMAnot_</w:t>
    </w:r>
    <w:r w:rsidR="003924C8">
      <w:rPr>
        <w:sz w:val="20"/>
      </w:rPr>
      <w:t>2711</w:t>
    </w:r>
    <w:r w:rsidRPr="0042259E">
      <w:rPr>
        <w:sz w:val="20"/>
      </w:rPr>
      <w:t xml:space="preserve">14_APK; Grozījumi </w:t>
    </w:r>
    <w:r w:rsidR="005F0BE1">
      <w:rPr>
        <w:sz w:val="20"/>
      </w:rPr>
      <w:t xml:space="preserve">Latvijas </w:t>
    </w:r>
    <w:r w:rsidRPr="0042259E">
      <w:rPr>
        <w:sz w:val="20"/>
      </w:rPr>
      <w:t>Administratīvo pārkāpumu kodeks</w:t>
    </w:r>
    <w:r w:rsidR="005F0BE1">
      <w:rPr>
        <w:sz w:val="20"/>
      </w:rPr>
      <w:t>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C0DA" w14:textId="77777777" w:rsidR="00C053C9" w:rsidRDefault="00C053C9">
      <w:r>
        <w:separator/>
      </w:r>
    </w:p>
  </w:footnote>
  <w:footnote w:type="continuationSeparator" w:id="0">
    <w:p w14:paraId="539FF55C" w14:textId="77777777" w:rsidR="00C053C9" w:rsidRDefault="00C0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7892" w14:textId="77777777" w:rsidR="008F03CF" w:rsidRDefault="008F03CF"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657893" w14:textId="77777777" w:rsidR="008F03CF" w:rsidRDefault="008F03C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57894" w14:textId="77777777" w:rsidR="008F03CF" w:rsidRDefault="008F03CF"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24C8">
      <w:rPr>
        <w:rStyle w:val="Lappusesnumurs"/>
        <w:noProof/>
      </w:rPr>
      <w:t>9</w:t>
    </w:r>
    <w:r>
      <w:rPr>
        <w:rStyle w:val="Lappusesnumurs"/>
      </w:rPr>
      <w:fldChar w:fldCharType="end"/>
    </w:r>
  </w:p>
  <w:p w14:paraId="28657895" w14:textId="77777777" w:rsidR="008F03CF" w:rsidRDefault="008F03C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50422BA0"/>
    <w:multiLevelType w:val="hybridMultilevel"/>
    <w:tmpl w:val="17FC76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01312"/>
    <w:rsid w:val="00010FA0"/>
    <w:rsid w:val="00014A71"/>
    <w:rsid w:val="00016FE9"/>
    <w:rsid w:val="0001767D"/>
    <w:rsid w:val="00021FF9"/>
    <w:rsid w:val="00025839"/>
    <w:rsid w:val="00027155"/>
    <w:rsid w:val="00030CD8"/>
    <w:rsid w:val="00030F41"/>
    <w:rsid w:val="00032622"/>
    <w:rsid w:val="00033AF5"/>
    <w:rsid w:val="00034AFC"/>
    <w:rsid w:val="00037689"/>
    <w:rsid w:val="00042708"/>
    <w:rsid w:val="00043429"/>
    <w:rsid w:val="000446F4"/>
    <w:rsid w:val="00045B35"/>
    <w:rsid w:val="00050BDE"/>
    <w:rsid w:val="000519D5"/>
    <w:rsid w:val="000519F8"/>
    <w:rsid w:val="00051C92"/>
    <w:rsid w:val="00056C3A"/>
    <w:rsid w:val="000660A3"/>
    <w:rsid w:val="0007176A"/>
    <w:rsid w:val="00072A53"/>
    <w:rsid w:val="000751B5"/>
    <w:rsid w:val="000779E8"/>
    <w:rsid w:val="00077D09"/>
    <w:rsid w:val="0008145B"/>
    <w:rsid w:val="000820D8"/>
    <w:rsid w:val="00084907"/>
    <w:rsid w:val="00091E07"/>
    <w:rsid w:val="00095FDB"/>
    <w:rsid w:val="000A04B8"/>
    <w:rsid w:val="000A15B9"/>
    <w:rsid w:val="000A196D"/>
    <w:rsid w:val="000A3991"/>
    <w:rsid w:val="000A7B2A"/>
    <w:rsid w:val="000B087F"/>
    <w:rsid w:val="000B52E9"/>
    <w:rsid w:val="000B7F0F"/>
    <w:rsid w:val="000C0189"/>
    <w:rsid w:val="000C063A"/>
    <w:rsid w:val="000C0AA9"/>
    <w:rsid w:val="000C18B3"/>
    <w:rsid w:val="000C42BD"/>
    <w:rsid w:val="000D0B1C"/>
    <w:rsid w:val="000D3276"/>
    <w:rsid w:val="000D33D4"/>
    <w:rsid w:val="000D60B4"/>
    <w:rsid w:val="000E33C1"/>
    <w:rsid w:val="000E3537"/>
    <w:rsid w:val="000E3CA0"/>
    <w:rsid w:val="000F5137"/>
    <w:rsid w:val="000F5507"/>
    <w:rsid w:val="000F6538"/>
    <w:rsid w:val="00101529"/>
    <w:rsid w:val="00102404"/>
    <w:rsid w:val="00103FFB"/>
    <w:rsid w:val="00104C3E"/>
    <w:rsid w:val="00107B33"/>
    <w:rsid w:val="00114B2C"/>
    <w:rsid w:val="00114F7D"/>
    <w:rsid w:val="00115AE9"/>
    <w:rsid w:val="001229E8"/>
    <w:rsid w:val="00123974"/>
    <w:rsid w:val="00127335"/>
    <w:rsid w:val="00133C28"/>
    <w:rsid w:val="00135F38"/>
    <w:rsid w:val="00137300"/>
    <w:rsid w:val="00140D52"/>
    <w:rsid w:val="00144F5A"/>
    <w:rsid w:val="001460FE"/>
    <w:rsid w:val="00146954"/>
    <w:rsid w:val="001470A9"/>
    <w:rsid w:val="001474B5"/>
    <w:rsid w:val="00155C68"/>
    <w:rsid w:val="00160FD6"/>
    <w:rsid w:val="00161F09"/>
    <w:rsid w:val="001627B8"/>
    <w:rsid w:val="00164543"/>
    <w:rsid w:val="00164A45"/>
    <w:rsid w:val="00164C5E"/>
    <w:rsid w:val="001666D7"/>
    <w:rsid w:val="00166D35"/>
    <w:rsid w:val="0017558F"/>
    <w:rsid w:val="00180F0F"/>
    <w:rsid w:val="001819AA"/>
    <w:rsid w:val="00181F7B"/>
    <w:rsid w:val="00186F99"/>
    <w:rsid w:val="00192BCE"/>
    <w:rsid w:val="001931C3"/>
    <w:rsid w:val="001A1034"/>
    <w:rsid w:val="001A13EF"/>
    <w:rsid w:val="001A2EEA"/>
    <w:rsid w:val="001A4906"/>
    <w:rsid w:val="001A4F3E"/>
    <w:rsid w:val="001A50DB"/>
    <w:rsid w:val="001B03F1"/>
    <w:rsid w:val="001B29CD"/>
    <w:rsid w:val="001C2C1B"/>
    <w:rsid w:val="001C4050"/>
    <w:rsid w:val="001C66D2"/>
    <w:rsid w:val="001D7A69"/>
    <w:rsid w:val="001E1037"/>
    <w:rsid w:val="001E125B"/>
    <w:rsid w:val="001E1B85"/>
    <w:rsid w:val="001E3E1A"/>
    <w:rsid w:val="001E7EA0"/>
    <w:rsid w:val="001E7F5F"/>
    <w:rsid w:val="001F15B1"/>
    <w:rsid w:val="001F6507"/>
    <w:rsid w:val="001F656A"/>
    <w:rsid w:val="002022A6"/>
    <w:rsid w:val="00205D9B"/>
    <w:rsid w:val="0021471F"/>
    <w:rsid w:val="00227116"/>
    <w:rsid w:val="0023104F"/>
    <w:rsid w:val="002336AC"/>
    <w:rsid w:val="00236AC7"/>
    <w:rsid w:val="0024753B"/>
    <w:rsid w:val="002507B1"/>
    <w:rsid w:val="0025239A"/>
    <w:rsid w:val="00253916"/>
    <w:rsid w:val="00256448"/>
    <w:rsid w:val="00260190"/>
    <w:rsid w:val="002611F3"/>
    <w:rsid w:val="00263139"/>
    <w:rsid w:val="00270201"/>
    <w:rsid w:val="00271C7E"/>
    <w:rsid w:val="002733F6"/>
    <w:rsid w:val="002767D4"/>
    <w:rsid w:val="002772CB"/>
    <w:rsid w:val="00283528"/>
    <w:rsid w:val="00285453"/>
    <w:rsid w:val="0028676A"/>
    <w:rsid w:val="002905E5"/>
    <w:rsid w:val="00295A5E"/>
    <w:rsid w:val="00295CE1"/>
    <w:rsid w:val="002A2085"/>
    <w:rsid w:val="002A4C35"/>
    <w:rsid w:val="002A551E"/>
    <w:rsid w:val="002A5CC7"/>
    <w:rsid w:val="002A7E22"/>
    <w:rsid w:val="002B307C"/>
    <w:rsid w:val="002B41BE"/>
    <w:rsid w:val="002B4F7F"/>
    <w:rsid w:val="002B6CE7"/>
    <w:rsid w:val="002B6EF4"/>
    <w:rsid w:val="002C3F17"/>
    <w:rsid w:val="002C665B"/>
    <w:rsid w:val="002C6959"/>
    <w:rsid w:val="002C6F2D"/>
    <w:rsid w:val="002D0AA6"/>
    <w:rsid w:val="002D18AB"/>
    <w:rsid w:val="002D65A0"/>
    <w:rsid w:val="002D75C7"/>
    <w:rsid w:val="002D7CF3"/>
    <w:rsid w:val="002F0505"/>
    <w:rsid w:val="002F091D"/>
    <w:rsid w:val="002F2AED"/>
    <w:rsid w:val="002F5222"/>
    <w:rsid w:val="00303B64"/>
    <w:rsid w:val="00304426"/>
    <w:rsid w:val="003044D6"/>
    <w:rsid w:val="003074D4"/>
    <w:rsid w:val="00310CAB"/>
    <w:rsid w:val="003124CF"/>
    <w:rsid w:val="00314A13"/>
    <w:rsid w:val="00320B81"/>
    <w:rsid w:val="00321761"/>
    <w:rsid w:val="0032781F"/>
    <w:rsid w:val="00327F38"/>
    <w:rsid w:val="00331595"/>
    <w:rsid w:val="00335C3E"/>
    <w:rsid w:val="00337272"/>
    <w:rsid w:val="003507AF"/>
    <w:rsid w:val="0036017C"/>
    <w:rsid w:val="00360DA1"/>
    <w:rsid w:val="0036125C"/>
    <w:rsid w:val="00361FF0"/>
    <w:rsid w:val="0037023F"/>
    <w:rsid w:val="003721BD"/>
    <w:rsid w:val="0038662F"/>
    <w:rsid w:val="00387C11"/>
    <w:rsid w:val="00387DC8"/>
    <w:rsid w:val="00390099"/>
    <w:rsid w:val="00390AAF"/>
    <w:rsid w:val="003919D1"/>
    <w:rsid w:val="003924C8"/>
    <w:rsid w:val="00396A57"/>
    <w:rsid w:val="003A01F9"/>
    <w:rsid w:val="003A0C41"/>
    <w:rsid w:val="003A1ED1"/>
    <w:rsid w:val="003B0D36"/>
    <w:rsid w:val="003B0D54"/>
    <w:rsid w:val="003B2410"/>
    <w:rsid w:val="003B3D50"/>
    <w:rsid w:val="003B4E5D"/>
    <w:rsid w:val="003B652F"/>
    <w:rsid w:val="003B7AF6"/>
    <w:rsid w:val="003C4E23"/>
    <w:rsid w:val="003C5026"/>
    <w:rsid w:val="003D0C1B"/>
    <w:rsid w:val="003D2A75"/>
    <w:rsid w:val="003D496C"/>
    <w:rsid w:val="003D58C1"/>
    <w:rsid w:val="003E0B2A"/>
    <w:rsid w:val="003E1E55"/>
    <w:rsid w:val="003E47F5"/>
    <w:rsid w:val="003F2AF7"/>
    <w:rsid w:val="003F670A"/>
    <w:rsid w:val="00403568"/>
    <w:rsid w:val="004048D4"/>
    <w:rsid w:val="004070A0"/>
    <w:rsid w:val="00407F6D"/>
    <w:rsid w:val="00412D00"/>
    <w:rsid w:val="0041683B"/>
    <w:rsid w:val="00417AB7"/>
    <w:rsid w:val="00417F67"/>
    <w:rsid w:val="00421523"/>
    <w:rsid w:val="0042259E"/>
    <w:rsid w:val="0043515E"/>
    <w:rsid w:val="004359D1"/>
    <w:rsid w:val="004366D8"/>
    <w:rsid w:val="00436830"/>
    <w:rsid w:val="00440346"/>
    <w:rsid w:val="00442D4B"/>
    <w:rsid w:val="00443E8D"/>
    <w:rsid w:val="00446A3B"/>
    <w:rsid w:val="00450691"/>
    <w:rsid w:val="00451538"/>
    <w:rsid w:val="00453F67"/>
    <w:rsid w:val="00456507"/>
    <w:rsid w:val="00456557"/>
    <w:rsid w:val="00460030"/>
    <w:rsid w:val="00460076"/>
    <w:rsid w:val="004642C0"/>
    <w:rsid w:val="00465D68"/>
    <w:rsid w:val="00467368"/>
    <w:rsid w:val="0046759C"/>
    <w:rsid w:val="0047164F"/>
    <w:rsid w:val="00472DA9"/>
    <w:rsid w:val="0047394D"/>
    <w:rsid w:val="004744D4"/>
    <w:rsid w:val="00475F24"/>
    <w:rsid w:val="004874E4"/>
    <w:rsid w:val="00487F47"/>
    <w:rsid w:val="00494034"/>
    <w:rsid w:val="00495A8C"/>
    <w:rsid w:val="0049634F"/>
    <w:rsid w:val="00496362"/>
    <w:rsid w:val="004A488C"/>
    <w:rsid w:val="004A6A68"/>
    <w:rsid w:val="004B3EF3"/>
    <w:rsid w:val="004B57FE"/>
    <w:rsid w:val="004B7CB7"/>
    <w:rsid w:val="004C17F6"/>
    <w:rsid w:val="004D0791"/>
    <w:rsid w:val="004D1AA3"/>
    <w:rsid w:val="004D5607"/>
    <w:rsid w:val="004D5FE4"/>
    <w:rsid w:val="004D6DCF"/>
    <w:rsid w:val="004E137A"/>
    <w:rsid w:val="004E1D98"/>
    <w:rsid w:val="004E26EE"/>
    <w:rsid w:val="004E5FFD"/>
    <w:rsid w:val="004E6473"/>
    <w:rsid w:val="004F7053"/>
    <w:rsid w:val="004F74F4"/>
    <w:rsid w:val="00500665"/>
    <w:rsid w:val="0051205E"/>
    <w:rsid w:val="005148E2"/>
    <w:rsid w:val="005168EC"/>
    <w:rsid w:val="00517942"/>
    <w:rsid w:val="005232B5"/>
    <w:rsid w:val="00524027"/>
    <w:rsid w:val="005264A2"/>
    <w:rsid w:val="005335E0"/>
    <w:rsid w:val="005345EE"/>
    <w:rsid w:val="005356CB"/>
    <w:rsid w:val="005378AD"/>
    <w:rsid w:val="00550BFE"/>
    <w:rsid w:val="00553300"/>
    <w:rsid w:val="00553CE3"/>
    <w:rsid w:val="0056361B"/>
    <w:rsid w:val="005654C8"/>
    <w:rsid w:val="005703DC"/>
    <w:rsid w:val="00576043"/>
    <w:rsid w:val="005800FD"/>
    <w:rsid w:val="00580340"/>
    <w:rsid w:val="00581028"/>
    <w:rsid w:val="005847B6"/>
    <w:rsid w:val="0059177B"/>
    <w:rsid w:val="00597025"/>
    <w:rsid w:val="005A1702"/>
    <w:rsid w:val="005A1D94"/>
    <w:rsid w:val="005A5B54"/>
    <w:rsid w:val="005B5373"/>
    <w:rsid w:val="005C2FBF"/>
    <w:rsid w:val="005C5BF8"/>
    <w:rsid w:val="005C6B09"/>
    <w:rsid w:val="005D1B38"/>
    <w:rsid w:val="005E0A9E"/>
    <w:rsid w:val="005E2016"/>
    <w:rsid w:val="005E3BEF"/>
    <w:rsid w:val="005E6EF5"/>
    <w:rsid w:val="005E75C8"/>
    <w:rsid w:val="005F0BE1"/>
    <w:rsid w:val="006063EC"/>
    <w:rsid w:val="006068D6"/>
    <w:rsid w:val="00613CDF"/>
    <w:rsid w:val="006172F6"/>
    <w:rsid w:val="00620A1D"/>
    <w:rsid w:val="006221E0"/>
    <w:rsid w:val="00622434"/>
    <w:rsid w:val="006237D6"/>
    <w:rsid w:val="00627DEC"/>
    <w:rsid w:val="006340EC"/>
    <w:rsid w:val="00634330"/>
    <w:rsid w:val="006413E5"/>
    <w:rsid w:val="00646022"/>
    <w:rsid w:val="006460FB"/>
    <w:rsid w:val="00651E3B"/>
    <w:rsid w:val="00652AAE"/>
    <w:rsid w:val="00657DE4"/>
    <w:rsid w:val="00666F3A"/>
    <w:rsid w:val="00667E8E"/>
    <w:rsid w:val="0068489E"/>
    <w:rsid w:val="00691952"/>
    <w:rsid w:val="00695F6E"/>
    <w:rsid w:val="006A45CB"/>
    <w:rsid w:val="006A5BDB"/>
    <w:rsid w:val="006B0273"/>
    <w:rsid w:val="006B10F4"/>
    <w:rsid w:val="006B1236"/>
    <w:rsid w:val="006B2F59"/>
    <w:rsid w:val="006C5E24"/>
    <w:rsid w:val="006C6881"/>
    <w:rsid w:val="006D5016"/>
    <w:rsid w:val="006D5948"/>
    <w:rsid w:val="006D689A"/>
    <w:rsid w:val="006E1BCE"/>
    <w:rsid w:val="006E22EA"/>
    <w:rsid w:val="006E5A00"/>
    <w:rsid w:val="006F6576"/>
    <w:rsid w:val="00707B28"/>
    <w:rsid w:val="00713A57"/>
    <w:rsid w:val="0071453A"/>
    <w:rsid w:val="00716F1B"/>
    <w:rsid w:val="00717C64"/>
    <w:rsid w:val="0072299D"/>
    <w:rsid w:val="00726803"/>
    <w:rsid w:val="00734C59"/>
    <w:rsid w:val="00741C6E"/>
    <w:rsid w:val="0075081A"/>
    <w:rsid w:val="007518F5"/>
    <w:rsid w:val="007560F0"/>
    <w:rsid w:val="00756174"/>
    <w:rsid w:val="00761007"/>
    <w:rsid w:val="00761140"/>
    <w:rsid w:val="00761F27"/>
    <w:rsid w:val="00767FF4"/>
    <w:rsid w:val="007805C4"/>
    <w:rsid w:val="00781603"/>
    <w:rsid w:val="0078254B"/>
    <w:rsid w:val="007835D8"/>
    <w:rsid w:val="00785552"/>
    <w:rsid w:val="00785BCA"/>
    <w:rsid w:val="00786D2F"/>
    <w:rsid w:val="00796287"/>
    <w:rsid w:val="007C0125"/>
    <w:rsid w:val="007C16F0"/>
    <w:rsid w:val="007C1A8B"/>
    <w:rsid w:val="007C52C6"/>
    <w:rsid w:val="007C5D3A"/>
    <w:rsid w:val="007C780E"/>
    <w:rsid w:val="007D00DC"/>
    <w:rsid w:val="007E57F4"/>
    <w:rsid w:val="007E6CE8"/>
    <w:rsid w:val="007F1974"/>
    <w:rsid w:val="007F3AFF"/>
    <w:rsid w:val="00800FE2"/>
    <w:rsid w:val="00801EC4"/>
    <w:rsid w:val="00802D59"/>
    <w:rsid w:val="00805D3D"/>
    <w:rsid w:val="0080789D"/>
    <w:rsid w:val="0081459F"/>
    <w:rsid w:val="008156E7"/>
    <w:rsid w:val="008235DC"/>
    <w:rsid w:val="00823631"/>
    <w:rsid w:val="00843F98"/>
    <w:rsid w:val="00846552"/>
    <w:rsid w:val="00846889"/>
    <w:rsid w:val="008504BE"/>
    <w:rsid w:val="00851153"/>
    <w:rsid w:val="00851630"/>
    <w:rsid w:val="00851CD7"/>
    <w:rsid w:val="00853718"/>
    <w:rsid w:val="00854067"/>
    <w:rsid w:val="0085418B"/>
    <w:rsid w:val="00855422"/>
    <w:rsid w:val="00857E72"/>
    <w:rsid w:val="00860515"/>
    <w:rsid w:val="00860997"/>
    <w:rsid w:val="00873E16"/>
    <w:rsid w:val="00873ED1"/>
    <w:rsid w:val="00877DFC"/>
    <w:rsid w:val="00880116"/>
    <w:rsid w:val="00882F0E"/>
    <w:rsid w:val="00883366"/>
    <w:rsid w:val="008866D9"/>
    <w:rsid w:val="008919DA"/>
    <w:rsid w:val="00892830"/>
    <w:rsid w:val="00892E83"/>
    <w:rsid w:val="008A13F9"/>
    <w:rsid w:val="008A17E9"/>
    <w:rsid w:val="008A5346"/>
    <w:rsid w:val="008A60AF"/>
    <w:rsid w:val="008B1611"/>
    <w:rsid w:val="008C0C16"/>
    <w:rsid w:val="008C1797"/>
    <w:rsid w:val="008C1E6B"/>
    <w:rsid w:val="008C481D"/>
    <w:rsid w:val="008C5C61"/>
    <w:rsid w:val="008C76C7"/>
    <w:rsid w:val="008D1A04"/>
    <w:rsid w:val="008D212C"/>
    <w:rsid w:val="008D4D8B"/>
    <w:rsid w:val="008D5ABF"/>
    <w:rsid w:val="008E5655"/>
    <w:rsid w:val="008E614B"/>
    <w:rsid w:val="008E62A2"/>
    <w:rsid w:val="008F03CF"/>
    <w:rsid w:val="008F2F58"/>
    <w:rsid w:val="008F63FC"/>
    <w:rsid w:val="008F68BA"/>
    <w:rsid w:val="00901254"/>
    <w:rsid w:val="00903783"/>
    <w:rsid w:val="009044E4"/>
    <w:rsid w:val="0091439C"/>
    <w:rsid w:val="00920E12"/>
    <w:rsid w:val="009228FC"/>
    <w:rsid w:val="00923CC5"/>
    <w:rsid w:val="00924CAC"/>
    <w:rsid w:val="00926AD2"/>
    <w:rsid w:val="0093061F"/>
    <w:rsid w:val="009319AD"/>
    <w:rsid w:val="00943D22"/>
    <w:rsid w:val="009441B7"/>
    <w:rsid w:val="00951466"/>
    <w:rsid w:val="00955AFA"/>
    <w:rsid w:val="00957704"/>
    <w:rsid w:val="0096043B"/>
    <w:rsid w:val="00965858"/>
    <w:rsid w:val="00974134"/>
    <w:rsid w:val="009775F5"/>
    <w:rsid w:val="00981DF3"/>
    <w:rsid w:val="00985EF4"/>
    <w:rsid w:val="00986160"/>
    <w:rsid w:val="0099042A"/>
    <w:rsid w:val="0099066D"/>
    <w:rsid w:val="00990D29"/>
    <w:rsid w:val="0099678E"/>
    <w:rsid w:val="009A032E"/>
    <w:rsid w:val="009A6E61"/>
    <w:rsid w:val="009B1905"/>
    <w:rsid w:val="009B2B08"/>
    <w:rsid w:val="009B5E5D"/>
    <w:rsid w:val="009C34A1"/>
    <w:rsid w:val="009C3867"/>
    <w:rsid w:val="009C669E"/>
    <w:rsid w:val="009C7559"/>
    <w:rsid w:val="009C7BAE"/>
    <w:rsid w:val="009D1C12"/>
    <w:rsid w:val="009D2B3A"/>
    <w:rsid w:val="009D3C49"/>
    <w:rsid w:val="009D4438"/>
    <w:rsid w:val="009D71DA"/>
    <w:rsid w:val="009E0860"/>
    <w:rsid w:val="009E594A"/>
    <w:rsid w:val="009E59BD"/>
    <w:rsid w:val="009E71BC"/>
    <w:rsid w:val="009F2431"/>
    <w:rsid w:val="009F3273"/>
    <w:rsid w:val="009F5469"/>
    <w:rsid w:val="009F581B"/>
    <w:rsid w:val="009F5888"/>
    <w:rsid w:val="009F7058"/>
    <w:rsid w:val="00A00081"/>
    <w:rsid w:val="00A04C5B"/>
    <w:rsid w:val="00A052EE"/>
    <w:rsid w:val="00A06C70"/>
    <w:rsid w:val="00A119F3"/>
    <w:rsid w:val="00A122E9"/>
    <w:rsid w:val="00A127FA"/>
    <w:rsid w:val="00A13B4C"/>
    <w:rsid w:val="00A22291"/>
    <w:rsid w:val="00A30FD8"/>
    <w:rsid w:val="00A3288E"/>
    <w:rsid w:val="00A333E9"/>
    <w:rsid w:val="00A34177"/>
    <w:rsid w:val="00A347CC"/>
    <w:rsid w:val="00A3588E"/>
    <w:rsid w:val="00A40A3D"/>
    <w:rsid w:val="00A42911"/>
    <w:rsid w:val="00A43B8C"/>
    <w:rsid w:val="00A45924"/>
    <w:rsid w:val="00A478FF"/>
    <w:rsid w:val="00A53EC3"/>
    <w:rsid w:val="00A5411F"/>
    <w:rsid w:val="00A547FA"/>
    <w:rsid w:val="00A60EB3"/>
    <w:rsid w:val="00A615CE"/>
    <w:rsid w:val="00A648D1"/>
    <w:rsid w:val="00A73998"/>
    <w:rsid w:val="00A74C2C"/>
    <w:rsid w:val="00A75F02"/>
    <w:rsid w:val="00A77E01"/>
    <w:rsid w:val="00A80CF4"/>
    <w:rsid w:val="00A81451"/>
    <w:rsid w:val="00A8424F"/>
    <w:rsid w:val="00A85B00"/>
    <w:rsid w:val="00A91700"/>
    <w:rsid w:val="00A93596"/>
    <w:rsid w:val="00A9622E"/>
    <w:rsid w:val="00A972FE"/>
    <w:rsid w:val="00AA11FE"/>
    <w:rsid w:val="00AA6264"/>
    <w:rsid w:val="00AB05C0"/>
    <w:rsid w:val="00AB5C28"/>
    <w:rsid w:val="00AB6D9C"/>
    <w:rsid w:val="00AC2D4C"/>
    <w:rsid w:val="00AC3120"/>
    <w:rsid w:val="00AC4CB9"/>
    <w:rsid w:val="00AC524E"/>
    <w:rsid w:val="00AD064A"/>
    <w:rsid w:val="00AD3E25"/>
    <w:rsid w:val="00AD6843"/>
    <w:rsid w:val="00AE007D"/>
    <w:rsid w:val="00AE215A"/>
    <w:rsid w:val="00AE4AF1"/>
    <w:rsid w:val="00AE61F3"/>
    <w:rsid w:val="00AE79B5"/>
    <w:rsid w:val="00AF10A9"/>
    <w:rsid w:val="00AF1531"/>
    <w:rsid w:val="00AF1641"/>
    <w:rsid w:val="00AF2384"/>
    <w:rsid w:val="00AF2BE1"/>
    <w:rsid w:val="00AF2EDA"/>
    <w:rsid w:val="00AF490B"/>
    <w:rsid w:val="00AF6584"/>
    <w:rsid w:val="00AF710B"/>
    <w:rsid w:val="00B0097B"/>
    <w:rsid w:val="00B013B1"/>
    <w:rsid w:val="00B05C81"/>
    <w:rsid w:val="00B06B15"/>
    <w:rsid w:val="00B07244"/>
    <w:rsid w:val="00B07280"/>
    <w:rsid w:val="00B11527"/>
    <w:rsid w:val="00B12A30"/>
    <w:rsid w:val="00B1387C"/>
    <w:rsid w:val="00B14840"/>
    <w:rsid w:val="00B16E08"/>
    <w:rsid w:val="00B23056"/>
    <w:rsid w:val="00B2448B"/>
    <w:rsid w:val="00B302CC"/>
    <w:rsid w:val="00B30E58"/>
    <w:rsid w:val="00B32C5A"/>
    <w:rsid w:val="00B336A0"/>
    <w:rsid w:val="00B363C6"/>
    <w:rsid w:val="00B413B2"/>
    <w:rsid w:val="00B41D8D"/>
    <w:rsid w:val="00B4591D"/>
    <w:rsid w:val="00B46048"/>
    <w:rsid w:val="00B50098"/>
    <w:rsid w:val="00B54CB6"/>
    <w:rsid w:val="00B56A22"/>
    <w:rsid w:val="00B575B1"/>
    <w:rsid w:val="00B61A96"/>
    <w:rsid w:val="00B654DA"/>
    <w:rsid w:val="00B7444C"/>
    <w:rsid w:val="00B812D0"/>
    <w:rsid w:val="00B8138D"/>
    <w:rsid w:val="00B851CF"/>
    <w:rsid w:val="00B90886"/>
    <w:rsid w:val="00B918A7"/>
    <w:rsid w:val="00BA172E"/>
    <w:rsid w:val="00BA1C6F"/>
    <w:rsid w:val="00BA254E"/>
    <w:rsid w:val="00BA4095"/>
    <w:rsid w:val="00BA72C7"/>
    <w:rsid w:val="00BA78D7"/>
    <w:rsid w:val="00BB274E"/>
    <w:rsid w:val="00BB45C2"/>
    <w:rsid w:val="00BB5122"/>
    <w:rsid w:val="00BB62FF"/>
    <w:rsid w:val="00BC0AFD"/>
    <w:rsid w:val="00BC18E8"/>
    <w:rsid w:val="00BC3833"/>
    <w:rsid w:val="00BC78AB"/>
    <w:rsid w:val="00BD05E9"/>
    <w:rsid w:val="00BD1BE3"/>
    <w:rsid w:val="00BD41EA"/>
    <w:rsid w:val="00BD5C63"/>
    <w:rsid w:val="00BD6955"/>
    <w:rsid w:val="00BD7317"/>
    <w:rsid w:val="00BE7677"/>
    <w:rsid w:val="00BF0F0C"/>
    <w:rsid w:val="00BF1735"/>
    <w:rsid w:val="00BF1E36"/>
    <w:rsid w:val="00BF1F30"/>
    <w:rsid w:val="00BF2BDF"/>
    <w:rsid w:val="00C00BB1"/>
    <w:rsid w:val="00C053C9"/>
    <w:rsid w:val="00C0575B"/>
    <w:rsid w:val="00C10932"/>
    <w:rsid w:val="00C11B6F"/>
    <w:rsid w:val="00C1440E"/>
    <w:rsid w:val="00C14451"/>
    <w:rsid w:val="00C14BB5"/>
    <w:rsid w:val="00C17F67"/>
    <w:rsid w:val="00C25FCB"/>
    <w:rsid w:val="00C30ED1"/>
    <w:rsid w:val="00C332B9"/>
    <w:rsid w:val="00C34D9D"/>
    <w:rsid w:val="00C3576D"/>
    <w:rsid w:val="00C4371E"/>
    <w:rsid w:val="00C457C0"/>
    <w:rsid w:val="00C45B27"/>
    <w:rsid w:val="00C503C9"/>
    <w:rsid w:val="00C513D6"/>
    <w:rsid w:val="00C55938"/>
    <w:rsid w:val="00C57290"/>
    <w:rsid w:val="00C57B92"/>
    <w:rsid w:val="00C73605"/>
    <w:rsid w:val="00C7391E"/>
    <w:rsid w:val="00C769D1"/>
    <w:rsid w:val="00C82268"/>
    <w:rsid w:val="00C84350"/>
    <w:rsid w:val="00C85EC0"/>
    <w:rsid w:val="00C94003"/>
    <w:rsid w:val="00C96B84"/>
    <w:rsid w:val="00CA1FDE"/>
    <w:rsid w:val="00CB0E45"/>
    <w:rsid w:val="00CC33D0"/>
    <w:rsid w:val="00CC3CD0"/>
    <w:rsid w:val="00CC646C"/>
    <w:rsid w:val="00CD0046"/>
    <w:rsid w:val="00CD067A"/>
    <w:rsid w:val="00CE131F"/>
    <w:rsid w:val="00CE2C53"/>
    <w:rsid w:val="00CE2D05"/>
    <w:rsid w:val="00CE3401"/>
    <w:rsid w:val="00CE490E"/>
    <w:rsid w:val="00CE4E48"/>
    <w:rsid w:val="00CE5AC0"/>
    <w:rsid w:val="00CF5B43"/>
    <w:rsid w:val="00CF5D3D"/>
    <w:rsid w:val="00CF5F11"/>
    <w:rsid w:val="00D05BB6"/>
    <w:rsid w:val="00D06BC6"/>
    <w:rsid w:val="00D10F81"/>
    <w:rsid w:val="00D12B6E"/>
    <w:rsid w:val="00D14608"/>
    <w:rsid w:val="00D14CD2"/>
    <w:rsid w:val="00D24706"/>
    <w:rsid w:val="00D26476"/>
    <w:rsid w:val="00D26CE9"/>
    <w:rsid w:val="00D3003E"/>
    <w:rsid w:val="00D30C3D"/>
    <w:rsid w:val="00D30E03"/>
    <w:rsid w:val="00D3543A"/>
    <w:rsid w:val="00D372BC"/>
    <w:rsid w:val="00D378F7"/>
    <w:rsid w:val="00D465CD"/>
    <w:rsid w:val="00D57D80"/>
    <w:rsid w:val="00D7213E"/>
    <w:rsid w:val="00D76D21"/>
    <w:rsid w:val="00D82308"/>
    <w:rsid w:val="00D83D66"/>
    <w:rsid w:val="00D84F95"/>
    <w:rsid w:val="00D96328"/>
    <w:rsid w:val="00DA28B9"/>
    <w:rsid w:val="00DB0231"/>
    <w:rsid w:val="00DB1C14"/>
    <w:rsid w:val="00DB2BBD"/>
    <w:rsid w:val="00DC0987"/>
    <w:rsid w:val="00DC3E9F"/>
    <w:rsid w:val="00DC3EA4"/>
    <w:rsid w:val="00DC444E"/>
    <w:rsid w:val="00DC7E49"/>
    <w:rsid w:val="00DD53A4"/>
    <w:rsid w:val="00DE3841"/>
    <w:rsid w:val="00DE3A5E"/>
    <w:rsid w:val="00DF0CBF"/>
    <w:rsid w:val="00DF25E9"/>
    <w:rsid w:val="00DF287E"/>
    <w:rsid w:val="00DF63B7"/>
    <w:rsid w:val="00DF7B24"/>
    <w:rsid w:val="00E0769D"/>
    <w:rsid w:val="00E077E7"/>
    <w:rsid w:val="00E113AE"/>
    <w:rsid w:val="00E12349"/>
    <w:rsid w:val="00E14CBC"/>
    <w:rsid w:val="00E167E1"/>
    <w:rsid w:val="00E16C64"/>
    <w:rsid w:val="00E21D90"/>
    <w:rsid w:val="00E22CCA"/>
    <w:rsid w:val="00E24A6A"/>
    <w:rsid w:val="00E2623E"/>
    <w:rsid w:val="00E31AB6"/>
    <w:rsid w:val="00E34E69"/>
    <w:rsid w:val="00E45788"/>
    <w:rsid w:val="00E45A73"/>
    <w:rsid w:val="00E51E59"/>
    <w:rsid w:val="00E523EF"/>
    <w:rsid w:val="00E54990"/>
    <w:rsid w:val="00E62B66"/>
    <w:rsid w:val="00E63A66"/>
    <w:rsid w:val="00E65D72"/>
    <w:rsid w:val="00E75651"/>
    <w:rsid w:val="00E77301"/>
    <w:rsid w:val="00E8100B"/>
    <w:rsid w:val="00E82643"/>
    <w:rsid w:val="00E86D9D"/>
    <w:rsid w:val="00E86DD3"/>
    <w:rsid w:val="00E92B05"/>
    <w:rsid w:val="00E97EF8"/>
    <w:rsid w:val="00EA2D0E"/>
    <w:rsid w:val="00EA3820"/>
    <w:rsid w:val="00EA411D"/>
    <w:rsid w:val="00EA7106"/>
    <w:rsid w:val="00EA7443"/>
    <w:rsid w:val="00EB29A4"/>
    <w:rsid w:val="00EB3145"/>
    <w:rsid w:val="00EB4B9A"/>
    <w:rsid w:val="00EC67D8"/>
    <w:rsid w:val="00ED1A25"/>
    <w:rsid w:val="00ED34EA"/>
    <w:rsid w:val="00ED3569"/>
    <w:rsid w:val="00ED4C0E"/>
    <w:rsid w:val="00ED67C3"/>
    <w:rsid w:val="00ED6F68"/>
    <w:rsid w:val="00EE0347"/>
    <w:rsid w:val="00EE4C62"/>
    <w:rsid w:val="00EF24DA"/>
    <w:rsid w:val="00F007B7"/>
    <w:rsid w:val="00F047EC"/>
    <w:rsid w:val="00F10AA0"/>
    <w:rsid w:val="00F11BC9"/>
    <w:rsid w:val="00F12BD7"/>
    <w:rsid w:val="00F13363"/>
    <w:rsid w:val="00F151BD"/>
    <w:rsid w:val="00F15261"/>
    <w:rsid w:val="00F17C26"/>
    <w:rsid w:val="00F21CE6"/>
    <w:rsid w:val="00F22413"/>
    <w:rsid w:val="00F2412C"/>
    <w:rsid w:val="00F333B8"/>
    <w:rsid w:val="00F336F7"/>
    <w:rsid w:val="00F37B54"/>
    <w:rsid w:val="00F47520"/>
    <w:rsid w:val="00F47A43"/>
    <w:rsid w:val="00F576D8"/>
    <w:rsid w:val="00F61CD9"/>
    <w:rsid w:val="00F659F8"/>
    <w:rsid w:val="00F75305"/>
    <w:rsid w:val="00F77949"/>
    <w:rsid w:val="00F83B89"/>
    <w:rsid w:val="00F83FBD"/>
    <w:rsid w:val="00F86A98"/>
    <w:rsid w:val="00F92C7C"/>
    <w:rsid w:val="00F9711D"/>
    <w:rsid w:val="00FA0919"/>
    <w:rsid w:val="00FA2BD7"/>
    <w:rsid w:val="00FA36D6"/>
    <w:rsid w:val="00FB502F"/>
    <w:rsid w:val="00FC4233"/>
    <w:rsid w:val="00FD2B61"/>
    <w:rsid w:val="00FE1E56"/>
    <w:rsid w:val="00FE366B"/>
    <w:rsid w:val="00FE484B"/>
    <w:rsid w:val="00FE5186"/>
    <w:rsid w:val="00FF0CF3"/>
    <w:rsid w:val="00FF4123"/>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57743"/>
  <w15:docId w15:val="{715E684C-6918-4B48-B255-63714506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basedOn w:val="Noklusjumarindkopasfonts"/>
    <w:link w:val="Galvene"/>
    <w:uiPriority w:val="99"/>
    <w:semiHidden/>
    <w:locked/>
    <w:rsid w:val="00021FF9"/>
    <w:rPr>
      <w:rFonts w:cs="Times New Roman"/>
      <w:sz w:val="24"/>
    </w:rPr>
  </w:style>
  <w:style w:type="character" w:styleId="Lappusesnumurs">
    <w:name w:val="page number"/>
    <w:basedOn w:val="Noklusjumarindkopasfonts"/>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basedOn w:val="Noklusjumarindkopasfonts"/>
    <w:uiPriority w:val="99"/>
    <w:qFormat/>
    <w:rsid w:val="008C0C16"/>
    <w:rPr>
      <w:rFonts w:cs="Times New Roman"/>
      <w:b/>
    </w:rPr>
  </w:style>
  <w:style w:type="paragraph" w:styleId="Kjene">
    <w:name w:val="footer"/>
    <w:basedOn w:val="Parasts"/>
    <w:link w:val="KjeneRakstz"/>
    <w:uiPriority w:val="99"/>
    <w:rsid w:val="008C0C16"/>
    <w:pPr>
      <w:tabs>
        <w:tab w:val="center" w:pos="4153"/>
        <w:tab w:val="right" w:pos="8306"/>
      </w:tabs>
    </w:pPr>
    <w:rPr>
      <w:szCs w:val="20"/>
    </w:rPr>
  </w:style>
  <w:style w:type="character" w:customStyle="1" w:styleId="FooterChar">
    <w:name w:val="Footer Char"/>
    <w:basedOn w:val="Noklusjumarindkopasfonts"/>
    <w:uiPriority w:val="99"/>
    <w:semiHidden/>
    <w:locked/>
    <w:rsid w:val="00021FF9"/>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basedOn w:val="Noklusjumarindkopasfonts"/>
    <w:link w:val="Balonteksts"/>
    <w:uiPriority w:val="99"/>
    <w:semiHidden/>
    <w:locked/>
    <w:rsid w:val="00021FF9"/>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basedOn w:val="Noklusjumarindkopasfonts"/>
    <w:uiPriority w:val="99"/>
    <w:rsid w:val="00E62B66"/>
    <w:rPr>
      <w:rFonts w:cs="Times New Roman"/>
      <w:color w:val="0000FF"/>
      <w:u w:val="single"/>
    </w:rPr>
  </w:style>
  <w:style w:type="character" w:styleId="Komentraatsauce">
    <w:name w:val="annotation reference"/>
    <w:basedOn w:val="Noklusjumarindkopasfonts"/>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basedOn w:val="Noklusjumarindkopasfonts"/>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basedOn w:val="Komentrateksts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basedOn w:val="Noklusjumarindkopasfonts"/>
    <w:link w:val="Vresteksts"/>
    <w:uiPriority w:val="99"/>
    <w:locked/>
    <w:rsid w:val="003B4E5D"/>
    <w:rPr>
      <w:rFonts w:ascii="Calibri" w:hAnsi="Calibri" w:cs="Times New Roman"/>
      <w:lang w:eastAsia="en-US"/>
    </w:rPr>
  </w:style>
  <w:style w:type="character" w:styleId="Vresatsauce">
    <w:name w:val="footnote reference"/>
    <w:basedOn w:val="Noklusjumarindkopasfonts"/>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styleId="Prskatjums">
    <w:name w:val="Revision"/>
    <w:hidden/>
    <w:uiPriority w:val="99"/>
    <w:semiHidden/>
    <w:rsid w:val="002310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346514">
      <w:marLeft w:val="0"/>
      <w:marRight w:val="0"/>
      <w:marTop w:val="0"/>
      <w:marBottom w:val="0"/>
      <w:divBdr>
        <w:top w:val="none" w:sz="0" w:space="0" w:color="auto"/>
        <w:left w:val="none" w:sz="0" w:space="0" w:color="auto"/>
        <w:bottom w:val="none" w:sz="0" w:space="0" w:color="auto"/>
        <w:right w:val="none" w:sz="0" w:space="0" w:color="auto"/>
      </w:divBdr>
      <w:divsChild>
        <w:div w:id="1623346515">
          <w:marLeft w:val="0"/>
          <w:marRight w:val="0"/>
          <w:marTop w:val="0"/>
          <w:marBottom w:val="0"/>
          <w:divBdr>
            <w:top w:val="none" w:sz="0" w:space="0" w:color="auto"/>
            <w:left w:val="none" w:sz="0" w:space="0" w:color="auto"/>
            <w:bottom w:val="none" w:sz="0" w:space="0" w:color="auto"/>
            <w:right w:val="none" w:sz="0" w:space="0" w:color="auto"/>
          </w:divBdr>
        </w:div>
      </w:divsChild>
    </w:div>
    <w:div w:id="1623346516">
      <w:marLeft w:val="0"/>
      <w:marRight w:val="0"/>
      <w:marTop w:val="0"/>
      <w:marBottom w:val="0"/>
      <w:divBdr>
        <w:top w:val="none" w:sz="0" w:space="0" w:color="auto"/>
        <w:left w:val="none" w:sz="0" w:space="0" w:color="auto"/>
        <w:bottom w:val="none" w:sz="0" w:space="0" w:color="auto"/>
        <w:right w:val="none" w:sz="0" w:space="0" w:color="auto"/>
      </w:divBdr>
    </w:div>
    <w:div w:id="1623346518">
      <w:marLeft w:val="0"/>
      <w:marRight w:val="0"/>
      <w:marTop w:val="0"/>
      <w:marBottom w:val="0"/>
      <w:divBdr>
        <w:top w:val="none" w:sz="0" w:space="0" w:color="auto"/>
        <w:left w:val="none" w:sz="0" w:space="0" w:color="auto"/>
        <w:bottom w:val="none" w:sz="0" w:space="0" w:color="auto"/>
        <w:right w:val="none" w:sz="0" w:space="0" w:color="auto"/>
      </w:divBdr>
      <w:divsChild>
        <w:div w:id="1623346517">
          <w:marLeft w:val="0"/>
          <w:marRight w:val="0"/>
          <w:marTop w:val="0"/>
          <w:marBottom w:val="0"/>
          <w:divBdr>
            <w:top w:val="none" w:sz="0" w:space="0" w:color="auto"/>
            <w:left w:val="none" w:sz="0" w:space="0" w:color="auto"/>
            <w:bottom w:val="none" w:sz="0" w:space="0" w:color="auto"/>
            <w:right w:val="none" w:sz="0" w:space="0" w:color="auto"/>
          </w:divBdr>
        </w:div>
        <w:div w:id="162334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FDA3-FEB4-4A2B-92E0-4BDD1931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1B28BE-8EE0-4F22-BCF9-B80B76A7D0F7}">
  <ds:schemaRefs>
    <ds:schemaRef ds:uri="http://schemas.microsoft.com/sharepoint/v3/contenttype/forms"/>
  </ds:schemaRefs>
</ds:datastoreItem>
</file>

<file path=customXml/itemProps3.xml><?xml version="1.0" encoding="utf-8"?>
<ds:datastoreItem xmlns:ds="http://schemas.openxmlformats.org/officeDocument/2006/customXml" ds:itemID="{19E545A9-2620-4D5A-B176-AECE054AC1D9}">
  <ds:schemaRefs>
    <ds:schemaRef ds:uri="http://schemas.microsoft.com/office/2006/metadata/properties"/>
  </ds:schemaRefs>
</ds:datastoreItem>
</file>

<file path=customXml/itemProps4.xml><?xml version="1.0" encoding="utf-8"?>
<ds:datastoreItem xmlns:ds="http://schemas.openxmlformats.org/officeDocument/2006/customXml" ds:itemID="{2082DABC-BDC5-408D-980E-2EC9FD2F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1765</Words>
  <Characters>12327</Characters>
  <Application>Microsoft Office Word</Application>
  <DocSecurity>0</DocSecurity>
  <Lines>770</Lines>
  <Paragraphs>201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2008.gada 23.septembra noteikumos Nr.792 "Valsts un Eiropas Savienības atbalsta piešķiršanas, administrēšanas un uzraudzības kārtība pasākuma "Infrastruktūra, kas attiecas uz lauksaimniecīb</vt:lpstr>
      <vt:lpstr>Ministru kabineta noteikumu projekta „Grozījumi Ministru kabineta 2008.gada 23.septembra noteikumos Nr.792 "Valsts un Eiropas Savienības atbalsta piešķiršanas, administrēšanas un uzraudzības kārtība pasākuma "Infrastruktūra, kas attiecas uz lauksaimniecīb</vt:lpstr>
    </vt:vector>
  </TitlesOfParts>
  <Company>ZM</Company>
  <LinksUpToDate>false</LinksUpToDate>
  <CharactersWithSpaces>13891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23.septembra noteikumos Nr.792 "Valsts un Eiropas Savienības atbalsta piešķiršanas, administrēšanas un uzraudzības kārtība pasākuma "Infrastruktūra, kas attiecas uz lauksaimniecīb</dc:title>
  <dc:subject>Anotācija</dc:subject>
  <dc:creator>Gustavs Straupmanis</dc:creator>
  <cp:lastModifiedBy>Renārs Žagars</cp:lastModifiedBy>
  <cp:revision>5</cp:revision>
  <cp:lastPrinted>2014-10-27T08:59:00Z</cp:lastPrinted>
  <dcterms:created xsi:type="dcterms:W3CDTF">2014-11-21T12:42:00Z</dcterms:created>
  <dcterms:modified xsi:type="dcterms:W3CDTF">2014-11-27T13:23:00Z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