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D8" w:rsidRPr="00281B93" w:rsidRDefault="00790C4B" w:rsidP="00553F45">
      <w:pPr>
        <w:jc w:val="center"/>
        <w:rPr>
          <w:rFonts w:eastAsia="Times New Roman" w:cs="Times New Roman"/>
          <w:b/>
          <w:bCs/>
          <w:sz w:val="28"/>
          <w:szCs w:val="28"/>
          <w:lang w:eastAsia="lv-LV"/>
        </w:rPr>
      </w:pPr>
      <w:bookmarkStart w:id="0" w:name="468683"/>
      <w:bookmarkStart w:id="1" w:name="_GoBack"/>
      <w:bookmarkEnd w:id="0"/>
      <w:bookmarkEnd w:id="1"/>
      <w:r w:rsidRPr="00281B93">
        <w:rPr>
          <w:rFonts w:eastAsia="Times New Roman" w:cs="Times New Roman"/>
          <w:b/>
          <w:bCs/>
          <w:sz w:val="28"/>
          <w:szCs w:val="28"/>
          <w:lang w:eastAsia="lv-LV"/>
        </w:rPr>
        <w:t xml:space="preserve">Ministru </w:t>
      </w:r>
      <w:r w:rsidR="00E357C9" w:rsidRPr="00281B93">
        <w:rPr>
          <w:rFonts w:eastAsia="Times New Roman" w:cs="Times New Roman"/>
          <w:b/>
          <w:bCs/>
          <w:sz w:val="28"/>
          <w:szCs w:val="28"/>
          <w:lang w:eastAsia="lv-LV"/>
        </w:rPr>
        <w:t>k</w:t>
      </w:r>
      <w:r w:rsidRPr="00281B93">
        <w:rPr>
          <w:rFonts w:eastAsia="Times New Roman" w:cs="Times New Roman"/>
          <w:b/>
          <w:bCs/>
          <w:sz w:val="28"/>
          <w:szCs w:val="28"/>
          <w:lang w:eastAsia="lv-LV"/>
        </w:rPr>
        <w:t>abineta noteikumu projekta „</w:t>
      </w:r>
      <w:r w:rsidR="00423DF9" w:rsidRPr="00281B93">
        <w:rPr>
          <w:rFonts w:eastAsia="Times New Roman" w:cs="Times New Roman"/>
          <w:b/>
          <w:bCs/>
          <w:sz w:val="28"/>
          <w:szCs w:val="28"/>
          <w:lang w:eastAsia="lv-LV"/>
        </w:rPr>
        <w:t>Kārtība, kādā Valsts ieņēmumu dienestam sniedzama informācija Latvijas Republikas valdības un Amerikas Savienoto Valstu valdības līguma par starptautisko nodokļu pienākumu izpildes uzlabošanu un likuma par ārvalstu kontu nodokļu pienākumu izpildi (FATCA) ieviešanu prasību izpildes nodrošināšanai</w:t>
      </w:r>
      <w:r w:rsidRPr="00281B93">
        <w:rPr>
          <w:rFonts w:eastAsia="Times New Roman" w:cs="Times New Roman"/>
          <w:b/>
          <w:bCs/>
          <w:sz w:val="28"/>
          <w:szCs w:val="28"/>
          <w:lang w:eastAsia="lv-LV"/>
        </w:rPr>
        <w:t xml:space="preserve">” </w:t>
      </w:r>
      <w:r w:rsidR="00897AD8" w:rsidRPr="00281B93">
        <w:rPr>
          <w:rFonts w:eastAsia="Times New Roman" w:cs="Times New Roman"/>
          <w:b/>
          <w:bCs/>
          <w:sz w:val="28"/>
          <w:szCs w:val="28"/>
          <w:lang w:eastAsia="lv-LV"/>
        </w:rPr>
        <w:t>sākotnējās ietekmes novērtējuma ziņojums (anotācija)</w:t>
      </w:r>
    </w:p>
    <w:p w:rsidR="00897AD8" w:rsidRPr="00281B93" w:rsidRDefault="00897AD8" w:rsidP="00897AD8">
      <w:pPr>
        <w:spacing w:before="45" w:line="360" w:lineRule="auto"/>
        <w:ind w:firstLine="300"/>
        <w:jc w:val="center"/>
        <w:rPr>
          <w:rFonts w:eastAsia="Times New Roman" w:cs="Times New Roman"/>
          <w:i/>
          <w:iCs/>
          <w:sz w:val="28"/>
          <w:szCs w:val="28"/>
          <w:lang w:eastAsia="lv-LV"/>
        </w:rPr>
      </w:pPr>
    </w:p>
    <w:tbl>
      <w:tblPr>
        <w:tblStyle w:val="TableGrid"/>
        <w:tblW w:w="0" w:type="auto"/>
        <w:tblLook w:val="04A0" w:firstRow="1" w:lastRow="0" w:firstColumn="1" w:lastColumn="0" w:noHBand="0" w:noVBand="1"/>
      </w:tblPr>
      <w:tblGrid>
        <w:gridCol w:w="426"/>
        <w:gridCol w:w="1828"/>
        <w:gridCol w:w="6268"/>
      </w:tblGrid>
      <w:tr w:rsidR="002603D2" w:rsidRPr="00281B93" w:rsidTr="007E5334">
        <w:tc>
          <w:tcPr>
            <w:tcW w:w="8522" w:type="dxa"/>
            <w:gridSpan w:val="3"/>
          </w:tcPr>
          <w:p w:rsidR="00455FF0" w:rsidRPr="00281B93" w:rsidRDefault="00455FF0" w:rsidP="00897AD8">
            <w:pPr>
              <w:spacing w:before="45" w:line="360" w:lineRule="auto"/>
              <w:jc w:val="center"/>
              <w:rPr>
                <w:rFonts w:eastAsia="Times New Roman" w:cs="Times New Roman"/>
                <w:iCs/>
                <w:sz w:val="28"/>
                <w:szCs w:val="28"/>
                <w:lang w:eastAsia="lv-LV"/>
              </w:rPr>
            </w:pPr>
            <w:r w:rsidRPr="00281B93">
              <w:rPr>
                <w:rFonts w:eastAsia="Times New Roman" w:cs="Times New Roman"/>
                <w:b/>
                <w:bCs/>
                <w:sz w:val="28"/>
                <w:szCs w:val="28"/>
                <w:lang w:eastAsia="lv-LV"/>
              </w:rPr>
              <w:t>I. Tiesību akta projekta izstrādes nepieciešamība</w:t>
            </w:r>
          </w:p>
        </w:tc>
      </w:tr>
      <w:tr w:rsidR="002603D2" w:rsidRPr="00281B93" w:rsidTr="00455FF0">
        <w:tc>
          <w:tcPr>
            <w:tcW w:w="392" w:type="dxa"/>
          </w:tcPr>
          <w:p w:rsidR="00455FF0" w:rsidRPr="00281B93" w:rsidRDefault="00455FF0" w:rsidP="00037ECE">
            <w:pPr>
              <w:spacing w:before="100" w:beforeAutospacing="1" w:after="100" w:afterAutospacing="1" w:line="360" w:lineRule="auto"/>
              <w:rPr>
                <w:rFonts w:eastAsia="Times New Roman" w:cs="Times New Roman"/>
                <w:sz w:val="28"/>
                <w:szCs w:val="28"/>
                <w:lang w:eastAsia="lv-LV"/>
              </w:rPr>
            </w:pPr>
            <w:r w:rsidRPr="00281B93">
              <w:rPr>
                <w:rFonts w:eastAsia="Times New Roman" w:cs="Times New Roman"/>
                <w:sz w:val="28"/>
                <w:szCs w:val="28"/>
                <w:lang w:eastAsia="lv-LV"/>
              </w:rPr>
              <w:t>1.</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Pamatojums</w:t>
            </w:r>
          </w:p>
        </w:tc>
        <w:tc>
          <w:tcPr>
            <w:tcW w:w="5579" w:type="dxa"/>
          </w:tcPr>
          <w:p w:rsidR="00455FF0" w:rsidRPr="00281B93" w:rsidRDefault="00757333" w:rsidP="003940E1">
            <w:pPr>
              <w:spacing w:before="45"/>
              <w:jc w:val="both"/>
              <w:rPr>
                <w:rFonts w:eastAsia="Times New Roman" w:cs="Times New Roman"/>
                <w:iCs/>
                <w:sz w:val="28"/>
                <w:szCs w:val="28"/>
                <w:lang w:eastAsia="lv-LV"/>
              </w:rPr>
            </w:pPr>
            <w:r w:rsidRPr="00281B93">
              <w:rPr>
                <w:rFonts w:eastAsia="Times New Roman" w:cs="Times New Roman"/>
                <w:sz w:val="28"/>
                <w:szCs w:val="28"/>
                <w:lang w:eastAsia="lv-LV"/>
              </w:rPr>
              <w:t xml:space="preserve">Ministru kabineta noteikumu projekts ir izstrādāts saskaņā ar likuma „Par nodokļiem un nodevām” 15.panta </w:t>
            </w:r>
            <w:r w:rsidR="00C27F1C" w:rsidRPr="00281B93">
              <w:rPr>
                <w:rFonts w:eastAsia="Times New Roman" w:cs="Times New Roman"/>
                <w:sz w:val="28"/>
                <w:szCs w:val="28"/>
                <w:lang w:eastAsia="lv-LV"/>
              </w:rPr>
              <w:t xml:space="preserve">ceturto </w:t>
            </w:r>
            <w:r w:rsidRPr="00281B93">
              <w:rPr>
                <w:rFonts w:eastAsia="Times New Roman" w:cs="Times New Roman"/>
                <w:sz w:val="28"/>
                <w:szCs w:val="28"/>
                <w:lang w:eastAsia="lv-LV"/>
              </w:rPr>
              <w:t>daļu</w:t>
            </w:r>
            <w:r w:rsidR="0049000C" w:rsidRPr="00281B93">
              <w:rPr>
                <w:rFonts w:eastAsia="Times New Roman" w:cs="Times New Roman"/>
                <w:sz w:val="28"/>
                <w:szCs w:val="28"/>
                <w:lang w:eastAsia="lv-LV"/>
              </w:rPr>
              <w:t>, Kredītiestāžu</w:t>
            </w:r>
            <w:r w:rsidR="003940E1" w:rsidRPr="00281B93">
              <w:rPr>
                <w:rFonts w:eastAsia="Times New Roman" w:cs="Times New Roman"/>
                <w:sz w:val="28"/>
                <w:szCs w:val="28"/>
                <w:lang w:eastAsia="lv-LV"/>
              </w:rPr>
              <w:t xml:space="preserve"> likuma 63.panta pirmās daļas 11.</w:t>
            </w:r>
            <w:r w:rsidR="003940E1" w:rsidRPr="00281B93">
              <w:rPr>
                <w:rFonts w:eastAsia="Times New Roman" w:cs="Times New Roman"/>
                <w:sz w:val="28"/>
                <w:szCs w:val="28"/>
                <w:vertAlign w:val="superscript"/>
                <w:lang w:eastAsia="lv-LV"/>
              </w:rPr>
              <w:t>2</w:t>
            </w:r>
            <w:r w:rsidR="003940E1" w:rsidRPr="00281B93">
              <w:rPr>
                <w:rFonts w:eastAsia="Times New Roman" w:cs="Times New Roman"/>
                <w:sz w:val="28"/>
                <w:szCs w:val="28"/>
                <w:lang w:eastAsia="lv-LV"/>
              </w:rPr>
              <w:t xml:space="preserve"> punktu</w:t>
            </w:r>
            <w:r w:rsidR="0049000C" w:rsidRPr="00281B93">
              <w:rPr>
                <w:rFonts w:eastAsia="Times New Roman" w:cs="Times New Roman"/>
                <w:sz w:val="28"/>
                <w:szCs w:val="28"/>
                <w:lang w:eastAsia="lv-LV"/>
              </w:rPr>
              <w:t xml:space="preserve"> </w:t>
            </w:r>
            <w:r w:rsidRPr="00281B93">
              <w:rPr>
                <w:rFonts w:eastAsia="Times New Roman" w:cs="Times New Roman"/>
                <w:sz w:val="28"/>
                <w:szCs w:val="28"/>
                <w:lang w:eastAsia="lv-LV"/>
              </w:rPr>
              <w:t xml:space="preserve"> un</w:t>
            </w:r>
            <w:r w:rsidR="00790C4B" w:rsidRPr="00281B93">
              <w:rPr>
                <w:rFonts w:eastAsia="Times New Roman" w:cs="Times New Roman"/>
                <w:sz w:val="28"/>
                <w:szCs w:val="28"/>
                <w:lang w:eastAsia="lv-LV"/>
              </w:rPr>
              <w:t xml:space="preserve"> pamatojoties uz </w:t>
            </w:r>
            <w:r w:rsidR="00455FF0" w:rsidRPr="00281B93">
              <w:rPr>
                <w:rFonts w:eastAsia="Times New Roman" w:cs="Times New Roman"/>
                <w:sz w:val="28"/>
                <w:szCs w:val="28"/>
                <w:lang w:eastAsia="lv-LV"/>
              </w:rPr>
              <w:t xml:space="preserve">Latvijas Republikas valdības un Amerikas Savienoto Valstu valdības </w:t>
            </w:r>
            <w:r w:rsidR="00790C4B" w:rsidRPr="00281B93">
              <w:rPr>
                <w:rFonts w:eastAsia="Times New Roman" w:cs="Times New Roman"/>
                <w:sz w:val="28"/>
                <w:szCs w:val="28"/>
                <w:lang w:eastAsia="lv-LV"/>
              </w:rPr>
              <w:t xml:space="preserve">līguma </w:t>
            </w:r>
            <w:r w:rsidR="00455FF0" w:rsidRPr="00281B93">
              <w:rPr>
                <w:rFonts w:eastAsia="Times New Roman" w:cs="Times New Roman"/>
                <w:sz w:val="28"/>
                <w:szCs w:val="28"/>
                <w:lang w:eastAsia="lv-LV"/>
              </w:rPr>
              <w:t>par starptautisko nodokļu pienākumu izpildes uzlabošanu un likuma par ārvalstu kontu nodokļu pienākumu izpildi (FATCA) ieviešanu</w:t>
            </w:r>
            <w:r w:rsidR="00790C4B" w:rsidRPr="00281B93">
              <w:rPr>
                <w:rFonts w:eastAsia="Times New Roman" w:cs="Times New Roman"/>
                <w:sz w:val="28"/>
                <w:szCs w:val="28"/>
                <w:lang w:eastAsia="lv-LV"/>
              </w:rPr>
              <w:t>.</w:t>
            </w:r>
          </w:p>
        </w:tc>
      </w:tr>
      <w:tr w:rsidR="002603D2" w:rsidRPr="00281B93" w:rsidTr="00455FF0">
        <w:tc>
          <w:tcPr>
            <w:tcW w:w="392" w:type="dxa"/>
          </w:tcPr>
          <w:p w:rsidR="00455FF0" w:rsidRPr="00281B93" w:rsidRDefault="00455FF0" w:rsidP="00037ECE">
            <w:pPr>
              <w:spacing w:before="100" w:beforeAutospacing="1" w:after="100" w:afterAutospacing="1" w:line="360" w:lineRule="auto"/>
              <w:rPr>
                <w:rFonts w:eastAsia="Times New Roman" w:cs="Times New Roman"/>
                <w:sz w:val="28"/>
                <w:szCs w:val="28"/>
                <w:lang w:eastAsia="lv-LV"/>
              </w:rPr>
            </w:pPr>
            <w:r w:rsidRPr="00281B93">
              <w:rPr>
                <w:rFonts w:eastAsia="Times New Roman" w:cs="Times New Roman"/>
                <w:sz w:val="28"/>
                <w:szCs w:val="28"/>
                <w:lang w:eastAsia="lv-LV"/>
              </w:rPr>
              <w:t>2.</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Pašreizējā situācija un problēmas, kuru risināšanai tiesību akta projekts izstrādāts, tiesiskā regulējuma mērķis un būtība</w:t>
            </w:r>
          </w:p>
        </w:tc>
        <w:tc>
          <w:tcPr>
            <w:tcW w:w="5579" w:type="dxa"/>
          </w:tcPr>
          <w:p w:rsidR="00455FF0" w:rsidRPr="00281B93" w:rsidRDefault="00455FF0" w:rsidP="00037ECE">
            <w:pPr>
              <w:jc w:val="both"/>
              <w:rPr>
                <w:rFonts w:eastAsia="Times New Roman" w:cs="Times New Roman"/>
                <w:sz w:val="28"/>
                <w:szCs w:val="28"/>
                <w:lang w:eastAsia="lv-LV"/>
              </w:rPr>
            </w:pPr>
            <w:r w:rsidRPr="00281B93">
              <w:rPr>
                <w:rFonts w:eastAsia="Times New Roman" w:cs="Times New Roman"/>
                <w:sz w:val="28"/>
                <w:szCs w:val="28"/>
                <w:lang w:eastAsia="lv-LV"/>
              </w:rPr>
              <w:t>Pamatojoties uz 2010.gada 18.martā Amerikas Savienotās Valstīs pieņemto likumu par prasībām attiecībā uz ārvalstu kontiem nodokļu uzlikšanas vajadzībām – U.S.Foreign Account Tax Compliance Act</w:t>
            </w:r>
            <w:r w:rsidR="00790C4B" w:rsidRPr="00281B93">
              <w:rPr>
                <w:rFonts w:eastAsia="Times New Roman" w:cs="Times New Roman"/>
                <w:sz w:val="28"/>
                <w:szCs w:val="28"/>
                <w:lang w:eastAsia="lv-LV"/>
              </w:rPr>
              <w:t xml:space="preserve"> (turpmāk - FATCA)</w:t>
            </w:r>
            <w:r w:rsidRPr="00281B93">
              <w:rPr>
                <w:rFonts w:eastAsia="Times New Roman" w:cs="Times New Roman"/>
                <w:sz w:val="28"/>
                <w:szCs w:val="28"/>
                <w:lang w:eastAsia="lv-LV"/>
              </w:rPr>
              <w:t xml:space="preserve"> un </w:t>
            </w:r>
            <w:r w:rsidR="00D86105" w:rsidRPr="00281B93">
              <w:rPr>
                <w:rFonts w:eastAsia="Times New Roman" w:cs="Times New Roman"/>
                <w:sz w:val="28"/>
                <w:szCs w:val="28"/>
                <w:lang w:eastAsia="lv-LV"/>
              </w:rPr>
              <w:t>Amerikas Savienoto Valstu</w:t>
            </w:r>
            <w:r w:rsidRPr="00281B93">
              <w:rPr>
                <w:rFonts w:eastAsia="Times New Roman" w:cs="Times New Roman"/>
                <w:sz w:val="28"/>
                <w:szCs w:val="28"/>
                <w:lang w:eastAsia="lv-LV"/>
              </w:rPr>
              <w:t xml:space="preserve"> Valsts kases 2013.gada 28.janvārī izdotajiem noteikumiem attiecībā uz ārvalsts finanšu institūciju un noteiktu maksājumu ieturēšanu ārvalsts finanšu institūcijām un citiem ārvalsts uzņēmumiem, 2014.gada 27.jūnijā starp Latvijas Republiku un </w:t>
            </w:r>
            <w:r w:rsidR="00D86105" w:rsidRPr="00281B93">
              <w:rPr>
                <w:rFonts w:eastAsia="Times New Roman" w:cs="Times New Roman"/>
                <w:sz w:val="28"/>
                <w:szCs w:val="28"/>
                <w:lang w:eastAsia="lv-LV"/>
              </w:rPr>
              <w:t>Amerikas Savienotajām Valstīm</w:t>
            </w:r>
            <w:r w:rsidRPr="00281B93">
              <w:rPr>
                <w:rFonts w:eastAsia="Times New Roman" w:cs="Times New Roman"/>
                <w:sz w:val="28"/>
                <w:szCs w:val="28"/>
                <w:lang w:eastAsia="lv-LV"/>
              </w:rPr>
              <w:t xml:space="preserve"> tika noslēgs starptautiskais līgums „Latvijas Republikas valdības un Amerikas Savienoto Valstu valdības līgums par starptautisko nodokļu pienākumu izpildes uzlabošanu un likuma par ārvalstu kontu nodokļu pienākumu izpildi (FATCA) ieviešanu” (turpmāk – FATCA līgums).</w:t>
            </w:r>
          </w:p>
          <w:p w:rsidR="006F3321" w:rsidRPr="00281B93" w:rsidRDefault="00E357C9" w:rsidP="00DB117C">
            <w:pPr>
              <w:jc w:val="both"/>
              <w:rPr>
                <w:rFonts w:eastAsia="Times New Roman" w:cs="Times New Roman"/>
                <w:sz w:val="28"/>
                <w:szCs w:val="28"/>
                <w:lang w:eastAsia="lv-LV"/>
              </w:rPr>
            </w:pPr>
            <w:r w:rsidRPr="00281B93">
              <w:rPr>
                <w:rFonts w:eastAsia="Times New Roman" w:cs="Times New Roman"/>
                <w:sz w:val="28"/>
                <w:szCs w:val="28"/>
                <w:lang w:eastAsia="lv-LV"/>
              </w:rPr>
              <w:t>Ministru kabineta</w:t>
            </w:r>
            <w:r w:rsidR="00DF4F1D" w:rsidRPr="00281B93">
              <w:rPr>
                <w:rFonts w:eastAsia="Times New Roman" w:cs="Times New Roman"/>
                <w:sz w:val="28"/>
                <w:szCs w:val="28"/>
                <w:lang w:eastAsia="lv-LV"/>
              </w:rPr>
              <w:t xml:space="preserve"> noteikumu projekta mērķis ir</w:t>
            </w:r>
            <w:r w:rsidR="006F3321" w:rsidRPr="00281B93">
              <w:rPr>
                <w:rFonts w:eastAsia="Times New Roman" w:cs="Times New Roman"/>
                <w:sz w:val="28"/>
                <w:szCs w:val="28"/>
                <w:lang w:eastAsia="lv-LV"/>
              </w:rPr>
              <w:t xml:space="preserve"> noteikt:</w:t>
            </w:r>
          </w:p>
          <w:p w:rsidR="006F3321" w:rsidRPr="00281B93" w:rsidRDefault="00684FDB" w:rsidP="006F3321">
            <w:pPr>
              <w:pStyle w:val="ListParagraph"/>
              <w:numPr>
                <w:ilvl w:val="0"/>
                <w:numId w:val="3"/>
              </w:numPr>
              <w:ind w:left="0" w:firstLine="432"/>
              <w:jc w:val="both"/>
              <w:rPr>
                <w:rFonts w:ascii="Times New Roman" w:eastAsia="Times New Roman" w:hAnsi="Times New Roman"/>
                <w:sz w:val="28"/>
                <w:szCs w:val="28"/>
                <w:lang w:eastAsia="lv-LV"/>
              </w:rPr>
            </w:pPr>
            <w:r w:rsidRPr="00281B93">
              <w:rPr>
                <w:rFonts w:ascii="Times New Roman" w:eastAsia="Times New Roman" w:hAnsi="Times New Roman"/>
                <w:sz w:val="28"/>
                <w:szCs w:val="28"/>
                <w:lang w:eastAsia="lv-LV"/>
              </w:rPr>
              <w:t xml:space="preserve">kārtību kādā Latvijas Republikā reģistrētās finanšu iestādes sniegs informāciju </w:t>
            </w:r>
            <w:r w:rsidR="00DF4F1D" w:rsidRPr="00281B93">
              <w:rPr>
                <w:rFonts w:ascii="Times New Roman" w:eastAsia="Times New Roman" w:hAnsi="Times New Roman"/>
                <w:sz w:val="28"/>
                <w:szCs w:val="28"/>
                <w:lang w:eastAsia="lv-LV"/>
              </w:rPr>
              <w:t>Valsts ieņēmumu dienestam</w:t>
            </w:r>
            <w:r w:rsidR="00C27F1C" w:rsidRPr="00281B93">
              <w:rPr>
                <w:rFonts w:ascii="Times New Roman" w:eastAsia="Times New Roman" w:hAnsi="Times New Roman"/>
                <w:sz w:val="28"/>
                <w:szCs w:val="28"/>
                <w:lang w:eastAsia="lv-LV"/>
              </w:rPr>
              <w:t xml:space="preserve"> </w:t>
            </w:r>
            <w:r w:rsidR="00DF4F1D" w:rsidRPr="00281B93">
              <w:rPr>
                <w:rFonts w:ascii="Times New Roman" w:eastAsia="Times New Roman" w:hAnsi="Times New Roman"/>
                <w:sz w:val="28"/>
                <w:szCs w:val="28"/>
                <w:lang w:eastAsia="lv-LV"/>
              </w:rPr>
              <w:t>saskaņā ar FATCA līguma prasībām</w:t>
            </w:r>
            <w:r w:rsidR="006F3321" w:rsidRPr="00281B93">
              <w:rPr>
                <w:rFonts w:ascii="Times New Roman" w:eastAsia="Times New Roman" w:hAnsi="Times New Roman"/>
                <w:sz w:val="28"/>
                <w:szCs w:val="28"/>
                <w:lang w:eastAsia="lv-LV"/>
              </w:rPr>
              <w:t>;</w:t>
            </w:r>
          </w:p>
          <w:p w:rsidR="006F3321" w:rsidRPr="00281B93" w:rsidRDefault="00C27F1C" w:rsidP="006F3321">
            <w:pPr>
              <w:pStyle w:val="ListParagraph"/>
              <w:numPr>
                <w:ilvl w:val="0"/>
                <w:numId w:val="3"/>
              </w:numPr>
              <w:ind w:left="0" w:firstLine="432"/>
              <w:jc w:val="both"/>
              <w:rPr>
                <w:rFonts w:ascii="Times New Roman" w:eastAsia="Times New Roman" w:hAnsi="Times New Roman"/>
                <w:sz w:val="28"/>
                <w:szCs w:val="28"/>
                <w:lang w:eastAsia="lv-LV"/>
              </w:rPr>
            </w:pPr>
            <w:r w:rsidRPr="00281B93">
              <w:rPr>
                <w:rFonts w:ascii="Times New Roman" w:eastAsia="Times New Roman" w:hAnsi="Times New Roman"/>
                <w:sz w:val="28"/>
                <w:szCs w:val="28"/>
                <w:lang w:eastAsia="lv-LV"/>
              </w:rPr>
              <w:lastRenderedPageBreak/>
              <w:t xml:space="preserve">kārtību, kādā Valsts ieņēmumu </w:t>
            </w:r>
            <w:r w:rsidR="006B1FB4" w:rsidRPr="00281B93">
              <w:rPr>
                <w:rFonts w:ascii="Times New Roman" w:eastAsia="Times New Roman" w:hAnsi="Times New Roman"/>
                <w:sz w:val="28"/>
                <w:szCs w:val="28"/>
                <w:lang w:eastAsia="lv-LV"/>
              </w:rPr>
              <w:t xml:space="preserve">dienests </w:t>
            </w:r>
            <w:r w:rsidRPr="00281B93">
              <w:rPr>
                <w:rFonts w:ascii="Times New Roman" w:eastAsia="Times New Roman" w:hAnsi="Times New Roman"/>
                <w:sz w:val="28"/>
                <w:szCs w:val="28"/>
                <w:lang w:eastAsia="lv-LV"/>
              </w:rPr>
              <w:t>izskata un pārsūta no Latvijas Republikā reģistrēt</w:t>
            </w:r>
            <w:r w:rsidR="008607CF" w:rsidRPr="00281B93">
              <w:rPr>
                <w:rFonts w:ascii="Times New Roman" w:eastAsia="Times New Roman" w:hAnsi="Times New Roman"/>
                <w:sz w:val="28"/>
                <w:szCs w:val="28"/>
                <w:lang w:eastAsia="lv-LV"/>
              </w:rPr>
              <w:t>ām</w:t>
            </w:r>
            <w:r w:rsidRPr="00281B93">
              <w:rPr>
                <w:rFonts w:ascii="Times New Roman" w:eastAsia="Times New Roman" w:hAnsi="Times New Roman"/>
                <w:sz w:val="28"/>
                <w:szCs w:val="28"/>
                <w:lang w:eastAsia="lv-LV"/>
              </w:rPr>
              <w:t xml:space="preserve"> finanšu iestād</w:t>
            </w:r>
            <w:r w:rsidR="008607CF" w:rsidRPr="00281B93">
              <w:rPr>
                <w:rFonts w:ascii="Times New Roman" w:eastAsia="Times New Roman" w:hAnsi="Times New Roman"/>
                <w:sz w:val="28"/>
                <w:szCs w:val="28"/>
                <w:lang w:eastAsia="lv-LV"/>
              </w:rPr>
              <w:t>ēm saņemto informāciju Amerikas Savienoto Valstu Iekšējo ieņēmumu dienestam</w:t>
            </w:r>
            <w:r w:rsidR="006F3321" w:rsidRPr="00281B93">
              <w:rPr>
                <w:rFonts w:ascii="Times New Roman" w:eastAsia="Times New Roman" w:hAnsi="Times New Roman"/>
                <w:sz w:val="28"/>
                <w:szCs w:val="28"/>
                <w:lang w:eastAsia="lv-LV"/>
              </w:rPr>
              <w:t>;</w:t>
            </w:r>
          </w:p>
          <w:p w:rsidR="00455FF0" w:rsidRPr="00281B93" w:rsidRDefault="006F3321" w:rsidP="006F3321">
            <w:pPr>
              <w:pStyle w:val="ListParagraph"/>
              <w:numPr>
                <w:ilvl w:val="0"/>
                <w:numId w:val="3"/>
              </w:numPr>
              <w:ind w:left="7" w:firstLine="353"/>
              <w:jc w:val="both"/>
              <w:rPr>
                <w:rFonts w:ascii="timri" w:eastAsia="Times New Roman" w:hAnsi="timri"/>
                <w:sz w:val="28"/>
                <w:szCs w:val="28"/>
                <w:lang w:eastAsia="lv-LV"/>
              </w:rPr>
            </w:pPr>
            <w:r w:rsidRPr="00281B93">
              <w:rPr>
                <w:rFonts w:ascii="timri" w:eastAsia="Times New Roman" w:hAnsi="timri"/>
                <w:sz w:val="28"/>
                <w:szCs w:val="28"/>
                <w:lang w:eastAsia="lv-LV"/>
              </w:rPr>
              <w:t>kārtību, kādā Valsts ieņēmumu dienests pārsūta no Amerikas Savienoto Valstu Iekšējo ieņēmumu dienesta saņemto informāciju Latvijas Republikā reģistrētām finanšu iestādēm.</w:t>
            </w:r>
          </w:p>
          <w:p w:rsidR="00C27F1C" w:rsidRPr="00281B93" w:rsidRDefault="00C27F1C" w:rsidP="003940E1">
            <w:pPr>
              <w:jc w:val="both"/>
              <w:rPr>
                <w:rFonts w:cs="Times New Roman"/>
                <w:sz w:val="28"/>
                <w:szCs w:val="28"/>
              </w:rPr>
            </w:pPr>
            <w:r w:rsidRPr="00281B93">
              <w:rPr>
                <w:rFonts w:eastAsia="Times New Roman" w:cs="Times New Roman"/>
                <w:sz w:val="28"/>
                <w:szCs w:val="28"/>
                <w:lang w:eastAsia="lv-LV"/>
              </w:rPr>
              <w:t>Ministru kabineta noteikumu projekt</w:t>
            </w:r>
            <w:r w:rsidR="00D231C8" w:rsidRPr="00281B93">
              <w:rPr>
                <w:rFonts w:eastAsia="Times New Roman" w:cs="Times New Roman"/>
                <w:sz w:val="28"/>
                <w:szCs w:val="28"/>
                <w:lang w:eastAsia="lv-LV"/>
              </w:rPr>
              <w:t>s</w:t>
            </w:r>
            <w:r w:rsidRPr="00281B93">
              <w:rPr>
                <w:rFonts w:eastAsia="Times New Roman" w:cs="Times New Roman"/>
                <w:sz w:val="28"/>
                <w:szCs w:val="28"/>
                <w:lang w:eastAsia="lv-LV"/>
              </w:rPr>
              <w:t xml:space="preserve"> </w:t>
            </w:r>
            <w:r w:rsidRPr="00281B93">
              <w:rPr>
                <w:rFonts w:eastAsia="Calibri" w:cs="Times New Roman"/>
                <w:sz w:val="28"/>
                <w:szCs w:val="28"/>
                <w:lang w:eastAsia="lv-LV"/>
              </w:rPr>
              <w:t>izstrādāts, lai noteiktu nacionālaj</w:t>
            </w:r>
            <w:r w:rsidR="003940E1" w:rsidRPr="00281B93">
              <w:rPr>
                <w:rFonts w:eastAsia="Calibri" w:cs="Times New Roman"/>
                <w:sz w:val="28"/>
                <w:szCs w:val="28"/>
                <w:lang w:eastAsia="lv-LV"/>
              </w:rPr>
              <w:t xml:space="preserve">os normatīvajos aktos </w:t>
            </w:r>
            <w:r w:rsidRPr="00281B93">
              <w:rPr>
                <w:rFonts w:eastAsia="Times New Roman" w:cs="Times New Roman"/>
                <w:sz w:val="28"/>
                <w:szCs w:val="28"/>
                <w:lang w:eastAsia="lv-LV"/>
              </w:rPr>
              <w:t>FATCA līgumā</w:t>
            </w:r>
            <w:r w:rsidRPr="00281B93">
              <w:rPr>
                <w:rFonts w:eastAsia="Calibri" w:cs="Times New Roman"/>
                <w:sz w:val="28"/>
                <w:szCs w:val="28"/>
                <w:lang w:eastAsia="lv-LV"/>
              </w:rPr>
              <w:t xml:space="preserve"> paredzēto </w:t>
            </w:r>
            <w:r w:rsidRPr="00281B93">
              <w:rPr>
                <w:rFonts w:cs="Times New Roman"/>
                <w:sz w:val="28"/>
                <w:szCs w:val="28"/>
              </w:rPr>
              <w:t xml:space="preserve">informācijas apmaiņu par </w:t>
            </w:r>
            <w:r w:rsidR="006F452F" w:rsidRPr="00281B93">
              <w:rPr>
                <w:rFonts w:eastAsia="Times New Roman" w:cs="Times New Roman"/>
                <w:sz w:val="28"/>
                <w:szCs w:val="28"/>
                <w:lang w:eastAsia="lv-LV"/>
              </w:rPr>
              <w:t>Amerikas Savienoto Valstu</w:t>
            </w:r>
            <w:r w:rsidRPr="00281B93">
              <w:rPr>
                <w:rFonts w:cs="Times New Roman"/>
                <w:sz w:val="28"/>
                <w:szCs w:val="28"/>
              </w:rPr>
              <w:t xml:space="preserve"> rezidentu atvērtajiem kon</w:t>
            </w:r>
            <w:r w:rsidR="006F452F" w:rsidRPr="00281B93">
              <w:rPr>
                <w:rFonts w:cs="Times New Roman"/>
                <w:sz w:val="28"/>
                <w:szCs w:val="28"/>
              </w:rPr>
              <w:t>tiem Latvijas finanšu iestādēs.</w:t>
            </w:r>
          </w:p>
          <w:p w:rsidR="000E4792" w:rsidRPr="00281B93" w:rsidRDefault="000E4792" w:rsidP="003940E1">
            <w:pPr>
              <w:jc w:val="both"/>
              <w:rPr>
                <w:rFonts w:eastAsia="Times New Roman" w:cs="Times New Roman"/>
                <w:sz w:val="28"/>
                <w:szCs w:val="28"/>
                <w:lang w:eastAsia="lv-LV"/>
              </w:rPr>
            </w:pPr>
            <w:r w:rsidRPr="00281B93">
              <w:rPr>
                <w:rFonts w:eastAsia="Times New Roman" w:cs="Times New Roman"/>
                <w:sz w:val="28"/>
                <w:szCs w:val="28"/>
                <w:lang w:eastAsia="lv-LV"/>
              </w:rPr>
              <w:t xml:space="preserve">Saskaņā ar  FATCA līguma 3.panta 6.punkta nosacījumiem, Valsts ieņēmumu dienests un Amerikas Savienoto Valstu </w:t>
            </w:r>
            <w:r w:rsidRPr="00281B93">
              <w:rPr>
                <w:rFonts w:ascii="timri" w:eastAsia="Times New Roman" w:hAnsi="timri"/>
                <w:sz w:val="28"/>
                <w:szCs w:val="28"/>
                <w:lang w:eastAsia="lv-LV"/>
              </w:rPr>
              <w:t>Iekšējo ieņēmumu dienests</w:t>
            </w:r>
            <w:r w:rsidRPr="00281B93">
              <w:rPr>
                <w:rFonts w:eastAsia="Times New Roman" w:cs="Times New Roman"/>
                <w:sz w:val="28"/>
                <w:szCs w:val="28"/>
                <w:lang w:eastAsia="lv-LV"/>
              </w:rPr>
              <w:t xml:space="preserve"> noslēdz līgumu (kompetento iestāžu vienošanās) </w:t>
            </w:r>
            <w:r w:rsidR="009C757A" w:rsidRPr="00281B93">
              <w:rPr>
                <w:rFonts w:eastAsia="Times New Roman" w:cs="Times New Roman"/>
                <w:sz w:val="28"/>
                <w:szCs w:val="28"/>
                <w:lang w:eastAsia="lv-LV"/>
              </w:rPr>
              <w:t>atbilstoši</w:t>
            </w:r>
            <w:r w:rsidRPr="00281B93">
              <w:rPr>
                <w:rFonts w:eastAsia="Times New Roman" w:cs="Times New Roman"/>
                <w:sz w:val="28"/>
                <w:szCs w:val="28"/>
                <w:lang w:eastAsia="lv-LV"/>
              </w:rPr>
              <w:t xml:space="preserve"> </w:t>
            </w:r>
            <w:r w:rsidR="009C757A" w:rsidRPr="00281B93">
              <w:rPr>
                <w:rFonts w:eastAsia="Times New Roman" w:cs="Times New Roman"/>
                <w:sz w:val="28"/>
                <w:szCs w:val="28"/>
                <w:lang w:eastAsia="lv-LV"/>
              </w:rPr>
              <w:t xml:space="preserve">Latvijas Republikas un Amerikas Savienoto Valstu konvencijas par nodokļu dubultās uzlikšanas un nodokļu nemaksāšanas novēršanu attiecībā uz ienākuma nodokļiem </w:t>
            </w:r>
            <w:r w:rsidRPr="00281B93">
              <w:rPr>
                <w:rFonts w:eastAsia="Times New Roman" w:cs="Times New Roman"/>
                <w:sz w:val="28"/>
                <w:szCs w:val="28"/>
                <w:lang w:eastAsia="lv-LV"/>
              </w:rPr>
              <w:t>26.pantā paredzētajai savstarpējās vienošanās procedūrai, saskaņā ar kuru:</w:t>
            </w:r>
          </w:p>
          <w:p w:rsidR="000E4792" w:rsidRPr="00281B93" w:rsidRDefault="000E4792" w:rsidP="000E4792">
            <w:pPr>
              <w:ind w:firstLine="440"/>
              <w:jc w:val="both"/>
              <w:rPr>
                <w:rFonts w:eastAsia="Times New Roman" w:cs="Times New Roman"/>
                <w:sz w:val="28"/>
                <w:szCs w:val="28"/>
                <w:lang w:eastAsia="lv-LV"/>
              </w:rPr>
            </w:pPr>
            <w:r w:rsidRPr="00281B93">
              <w:rPr>
                <w:rFonts w:eastAsia="Times New Roman" w:cs="Times New Roman"/>
                <w:sz w:val="28"/>
                <w:szCs w:val="28"/>
                <w:lang w:eastAsia="lv-LV"/>
              </w:rPr>
              <w:t>a) tiek noteikta procedūra FATCA līguma 2.pantā minētā pienākuma pildīšanai saistībā ar automātisku informācijas apmaiņu;</w:t>
            </w:r>
          </w:p>
          <w:p w:rsidR="000E4792" w:rsidRPr="00281B93" w:rsidRDefault="000E4792" w:rsidP="000E4792">
            <w:pPr>
              <w:ind w:firstLine="440"/>
              <w:jc w:val="both"/>
              <w:rPr>
                <w:rFonts w:eastAsia="Times New Roman" w:cs="Times New Roman"/>
                <w:sz w:val="28"/>
                <w:szCs w:val="28"/>
                <w:lang w:eastAsia="lv-LV"/>
              </w:rPr>
            </w:pPr>
            <w:r w:rsidRPr="00281B93">
              <w:rPr>
                <w:rFonts w:eastAsia="Times New Roman" w:cs="Times New Roman"/>
                <w:sz w:val="28"/>
                <w:szCs w:val="28"/>
                <w:lang w:eastAsia="lv-LV"/>
              </w:rPr>
              <w:t>b) tiek noteikti FATCA līguma 5.panta īstenošanai nepieciešamie noteikumi un procedūras;</w:t>
            </w:r>
          </w:p>
          <w:p w:rsidR="000E4792" w:rsidRPr="00281B93" w:rsidRDefault="000E4792" w:rsidP="000E4792">
            <w:pPr>
              <w:ind w:firstLine="440"/>
              <w:jc w:val="both"/>
              <w:rPr>
                <w:rFonts w:eastAsia="Times New Roman" w:cs="Times New Roman"/>
                <w:sz w:val="28"/>
                <w:szCs w:val="28"/>
                <w:lang w:eastAsia="lv-LV"/>
              </w:rPr>
            </w:pPr>
            <w:r w:rsidRPr="00281B93">
              <w:rPr>
                <w:rFonts w:eastAsia="Times New Roman" w:cs="Times New Roman"/>
                <w:sz w:val="28"/>
                <w:szCs w:val="28"/>
                <w:lang w:eastAsia="lv-LV"/>
              </w:rPr>
              <w:t>c) tiek izveidotas nepieciešamās procedūras tādas informācijas apmaiņai, par kuru ziņojumi tiek sniegti atbilstīgi FATCA līguma 4.panta 1.punkta b) apakšpunktam.</w:t>
            </w:r>
          </w:p>
          <w:p w:rsidR="00773A54" w:rsidRPr="00281B93" w:rsidRDefault="000E4792" w:rsidP="003940E1">
            <w:pPr>
              <w:jc w:val="both"/>
              <w:rPr>
                <w:rFonts w:cs="Times New Roman"/>
                <w:sz w:val="28"/>
                <w:szCs w:val="28"/>
              </w:rPr>
            </w:pPr>
            <w:r w:rsidRPr="00281B93">
              <w:rPr>
                <w:rFonts w:eastAsia="Times New Roman" w:cs="Times New Roman"/>
                <w:sz w:val="28"/>
                <w:szCs w:val="28"/>
                <w:lang w:eastAsia="lv-LV"/>
              </w:rPr>
              <w:t xml:space="preserve">Augstāk </w:t>
            </w:r>
            <w:r w:rsidR="009C757A" w:rsidRPr="00281B93">
              <w:rPr>
                <w:rFonts w:eastAsia="Times New Roman" w:cs="Times New Roman"/>
                <w:sz w:val="28"/>
                <w:szCs w:val="28"/>
                <w:lang w:eastAsia="lv-LV"/>
              </w:rPr>
              <w:t>norādītā</w:t>
            </w:r>
            <w:r w:rsidRPr="00281B93">
              <w:rPr>
                <w:rFonts w:eastAsia="Times New Roman" w:cs="Times New Roman"/>
                <w:sz w:val="28"/>
                <w:szCs w:val="28"/>
                <w:lang w:eastAsia="lv-LV"/>
              </w:rPr>
              <w:t xml:space="preserve"> kompetento iestāžu vienošanās paredz, ka kompetentās iestādes nodrošinās informācijas apmaiņu, kas minēta FATCA līguma 2.pantā un 4.panta 1.punkta b) apakšpunktā, izmantojot XML shēmu. Kompetentām iestādēm</w:t>
            </w:r>
            <w:r w:rsidR="009C757A" w:rsidRPr="00281B93">
              <w:rPr>
                <w:rFonts w:eastAsia="Times New Roman" w:cs="Times New Roman"/>
                <w:sz w:val="28"/>
                <w:szCs w:val="28"/>
                <w:lang w:eastAsia="lv-LV"/>
              </w:rPr>
              <w:t>, nodrošinot informācijas apmaiņu,</w:t>
            </w:r>
            <w:r w:rsidRPr="00281B93">
              <w:rPr>
                <w:rFonts w:eastAsia="Times New Roman" w:cs="Times New Roman"/>
                <w:sz w:val="28"/>
                <w:szCs w:val="28"/>
                <w:lang w:eastAsia="lv-LV"/>
              </w:rPr>
              <w:t xml:space="preserve"> ir jāizmanto </w:t>
            </w:r>
            <w:r w:rsidRPr="00281B93">
              <w:rPr>
                <w:rFonts w:ascii="timri" w:eastAsia="Times New Roman" w:hAnsi="timri"/>
                <w:sz w:val="28"/>
                <w:szCs w:val="28"/>
                <w:lang w:eastAsia="lv-LV"/>
              </w:rPr>
              <w:t>Amerikas Savienoto Valstu</w:t>
            </w:r>
            <w:r w:rsidRPr="00281B93">
              <w:rPr>
                <w:rFonts w:eastAsia="Times New Roman"/>
                <w:sz w:val="28"/>
                <w:szCs w:val="28"/>
                <w:lang w:eastAsia="lv-LV"/>
              </w:rPr>
              <w:t xml:space="preserve"> izstrādāt</w:t>
            </w:r>
            <w:r w:rsidR="009C757A" w:rsidRPr="00281B93">
              <w:rPr>
                <w:rFonts w:eastAsia="Times New Roman"/>
                <w:sz w:val="28"/>
                <w:szCs w:val="28"/>
                <w:lang w:eastAsia="lv-LV"/>
              </w:rPr>
              <w:t>ā</w:t>
            </w:r>
            <w:r w:rsidRPr="00281B93">
              <w:rPr>
                <w:rFonts w:eastAsia="Times New Roman"/>
                <w:sz w:val="28"/>
                <w:szCs w:val="28"/>
                <w:lang w:eastAsia="lv-LV"/>
              </w:rPr>
              <w:t xml:space="preserve"> datu apmaiņas formāta (XML) shēma</w:t>
            </w:r>
            <w:r w:rsidR="009C757A" w:rsidRPr="00281B93">
              <w:rPr>
                <w:rFonts w:eastAsia="Times New Roman"/>
                <w:sz w:val="28"/>
                <w:szCs w:val="28"/>
                <w:lang w:eastAsia="lv-LV"/>
              </w:rPr>
              <w:t xml:space="preserve">. Ņemot vērā minēto, </w:t>
            </w:r>
            <w:r w:rsidR="00773A54" w:rsidRPr="00281B93">
              <w:rPr>
                <w:rFonts w:eastAsia="Times New Roman" w:cs="Times New Roman"/>
                <w:sz w:val="28"/>
                <w:szCs w:val="28"/>
                <w:lang w:eastAsia="lv-LV"/>
              </w:rPr>
              <w:t xml:space="preserve">Latvijas finanšu iestādēm FATCA ietvaros jānodrošina  datu </w:t>
            </w:r>
            <w:r w:rsidR="00773A54" w:rsidRPr="00281B93">
              <w:rPr>
                <w:rFonts w:eastAsia="Times New Roman" w:cs="Times New Roman"/>
                <w:sz w:val="28"/>
                <w:szCs w:val="28"/>
                <w:lang w:eastAsia="lv-LV"/>
              </w:rPr>
              <w:lastRenderedPageBreak/>
              <w:t xml:space="preserve">apkopošana un iesniegšana Valsts ieņēmumu dienestam, izmantojot </w:t>
            </w:r>
            <w:r w:rsidR="00773A54" w:rsidRPr="00281B93">
              <w:rPr>
                <w:rFonts w:ascii="timri" w:eastAsia="Times New Roman" w:hAnsi="timri"/>
                <w:sz w:val="28"/>
                <w:szCs w:val="28"/>
                <w:lang w:eastAsia="lv-LV"/>
              </w:rPr>
              <w:t xml:space="preserve">Amerikas Savienoto Valstu Iekšējo ieņēmumu dienesta izstrādāto XML shēmu, kura </w:t>
            </w:r>
            <w:r w:rsidR="00773A54" w:rsidRPr="00281B93">
              <w:rPr>
                <w:rFonts w:eastAsia="Times New Roman"/>
                <w:sz w:val="28"/>
                <w:szCs w:val="28"/>
                <w:lang w:eastAsia="lv-LV"/>
              </w:rPr>
              <w:t xml:space="preserve">ir </w:t>
            </w:r>
            <w:r w:rsidR="009C757A" w:rsidRPr="00281B93">
              <w:rPr>
                <w:rFonts w:eastAsia="Times New Roman"/>
                <w:sz w:val="28"/>
                <w:szCs w:val="28"/>
                <w:lang w:eastAsia="lv-LV"/>
              </w:rPr>
              <w:t xml:space="preserve">publiski </w:t>
            </w:r>
            <w:r w:rsidR="00773A54" w:rsidRPr="00281B93">
              <w:rPr>
                <w:rFonts w:eastAsia="Times New Roman"/>
                <w:sz w:val="28"/>
                <w:szCs w:val="28"/>
                <w:lang w:eastAsia="lv-LV"/>
              </w:rPr>
              <w:t xml:space="preserve">pieejama Amerikas Savienoto Valstu Iekšējo ieņēmumu dienesta mājas lapā internetā: </w:t>
            </w:r>
            <w:r w:rsidRPr="00281B93">
              <w:rPr>
                <w:rFonts w:eastAsia="Times New Roman"/>
                <w:sz w:val="28"/>
                <w:szCs w:val="28"/>
                <w:lang w:eastAsia="lv-LV"/>
              </w:rPr>
              <w:t>http://www.irs.gov/Businesses/Corporations/FATCA-XML-Schemas-and-Business-Rules-for-Form-8966</w:t>
            </w:r>
            <w:r w:rsidR="00773A54" w:rsidRPr="00281B93">
              <w:rPr>
                <w:rFonts w:eastAsia="Times New Roman"/>
                <w:sz w:val="28"/>
                <w:szCs w:val="28"/>
                <w:lang w:eastAsia="lv-LV"/>
              </w:rPr>
              <w:t>.</w:t>
            </w:r>
            <w:r w:rsidR="009C757A" w:rsidRPr="00281B93">
              <w:rPr>
                <w:rFonts w:eastAsia="Times New Roman"/>
                <w:sz w:val="28"/>
                <w:szCs w:val="28"/>
                <w:lang w:eastAsia="lv-LV"/>
              </w:rPr>
              <w:t xml:space="preserve"> </w:t>
            </w:r>
            <w:r w:rsidR="00BF5AEC" w:rsidRPr="00281B93">
              <w:rPr>
                <w:rFonts w:eastAsia="Times New Roman"/>
                <w:sz w:val="28"/>
                <w:szCs w:val="28"/>
                <w:lang w:eastAsia="lv-LV"/>
              </w:rPr>
              <w:t xml:space="preserve">Tādejādi, </w:t>
            </w:r>
            <w:r w:rsidR="00BF5AEC" w:rsidRPr="00281B93">
              <w:rPr>
                <w:rFonts w:eastAsia="Times New Roman" w:cs="Times New Roman"/>
                <w:sz w:val="28"/>
                <w:szCs w:val="28"/>
                <w:lang w:eastAsia="lv-LV"/>
              </w:rPr>
              <w:t xml:space="preserve">Ministru kabineta noteikumi </w:t>
            </w:r>
            <w:r w:rsidR="006F2315" w:rsidRPr="00281B93">
              <w:rPr>
                <w:rFonts w:eastAsia="Times New Roman" w:cs="Times New Roman"/>
                <w:sz w:val="28"/>
                <w:szCs w:val="28"/>
                <w:lang w:eastAsia="lv-LV"/>
              </w:rPr>
              <w:t>paredz</w:t>
            </w:r>
            <w:r w:rsidR="00BF5AEC" w:rsidRPr="00281B93">
              <w:rPr>
                <w:rFonts w:eastAsia="Times New Roman" w:cs="Times New Roman"/>
                <w:sz w:val="28"/>
                <w:szCs w:val="28"/>
                <w:lang w:eastAsia="lv-LV"/>
              </w:rPr>
              <w:t xml:space="preserve">, ka </w:t>
            </w:r>
            <w:r w:rsidR="00BF5AEC" w:rsidRPr="00281B93">
              <w:rPr>
                <w:rFonts w:eastAsia="Times New Roman"/>
                <w:sz w:val="28"/>
                <w:szCs w:val="28"/>
                <w:lang w:eastAsia="lv-LV"/>
              </w:rPr>
              <w:t xml:space="preserve">Latvijas finanšu iestādēm ir jānodrošina informācijas iesniegšana Valsts ieņēmumu dienestam, ievērojot FATCA XML shēmas prasības, nepieciešamības gadījumā atbilstoši pilnveidojot to informācijas tehnoloģiju sistēmu risinājumus. Neievērojot minēto prasību, pastāv iespējamība, ka </w:t>
            </w:r>
            <w:r w:rsidR="009C757A" w:rsidRPr="00281B93">
              <w:rPr>
                <w:rFonts w:eastAsia="Times New Roman"/>
                <w:sz w:val="28"/>
                <w:szCs w:val="28"/>
                <w:lang w:eastAsia="lv-LV"/>
              </w:rPr>
              <w:t xml:space="preserve">Latvijas finanšu iestādes </w:t>
            </w:r>
            <w:r w:rsidR="004F0940" w:rsidRPr="00281B93">
              <w:rPr>
                <w:rFonts w:eastAsia="Times New Roman"/>
                <w:sz w:val="28"/>
                <w:szCs w:val="28"/>
                <w:lang w:eastAsia="lv-LV"/>
              </w:rPr>
              <w:t>sniegtā informācija var tikt</w:t>
            </w:r>
            <w:r w:rsidR="00BF5AEC" w:rsidRPr="00281B93">
              <w:rPr>
                <w:rFonts w:eastAsia="Times New Roman"/>
                <w:sz w:val="28"/>
                <w:szCs w:val="28"/>
                <w:lang w:eastAsia="lv-LV"/>
              </w:rPr>
              <w:t xml:space="preserve"> iesniegta neatbilstoši, </w:t>
            </w:r>
            <w:r w:rsidR="009C757A" w:rsidRPr="00281B93">
              <w:rPr>
                <w:rFonts w:eastAsia="Times New Roman"/>
                <w:sz w:val="28"/>
                <w:szCs w:val="28"/>
                <w:lang w:eastAsia="lv-LV"/>
              </w:rPr>
              <w:t xml:space="preserve">kas </w:t>
            </w:r>
            <w:r w:rsidR="00BF5AEC" w:rsidRPr="00281B93">
              <w:rPr>
                <w:rFonts w:eastAsia="Times New Roman"/>
                <w:sz w:val="28"/>
                <w:szCs w:val="28"/>
                <w:lang w:eastAsia="lv-LV"/>
              </w:rPr>
              <w:t>ietekmē FATCA</w:t>
            </w:r>
            <w:r w:rsidR="009C757A" w:rsidRPr="00281B93">
              <w:rPr>
                <w:rFonts w:eastAsia="Times New Roman"/>
                <w:sz w:val="28"/>
                <w:szCs w:val="28"/>
                <w:lang w:eastAsia="lv-LV"/>
              </w:rPr>
              <w:t xml:space="preserve"> līguma</w:t>
            </w:r>
            <w:r w:rsidR="00BF5AEC" w:rsidRPr="00281B93">
              <w:rPr>
                <w:rFonts w:eastAsia="Times New Roman"/>
                <w:sz w:val="28"/>
                <w:szCs w:val="28"/>
                <w:lang w:eastAsia="lv-LV"/>
              </w:rPr>
              <w:t xml:space="preserve"> un uzņemto saistību</w:t>
            </w:r>
            <w:r w:rsidR="009C757A" w:rsidRPr="00281B93">
              <w:rPr>
                <w:rFonts w:eastAsia="Times New Roman"/>
                <w:sz w:val="28"/>
                <w:szCs w:val="28"/>
                <w:lang w:eastAsia="lv-LV"/>
              </w:rPr>
              <w:t xml:space="preserve"> izpildi.</w:t>
            </w:r>
            <w:r w:rsidRPr="00281B93">
              <w:rPr>
                <w:rFonts w:eastAsia="Times New Roman"/>
                <w:sz w:val="28"/>
                <w:szCs w:val="28"/>
                <w:lang w:eastAsia="lv-LV"/>
              </w:rPr>
              <w:t xml:space="preserve">  </w:t>
            </w:r>
          </w:p>
          <w:p w:rsidR="00423DF9" w:rsidRPr="00281B93" w:rsidRDefault="00423DF9" w:rsidP="00773A54">
            <w:pPr>
              <w:jc w:val="both"/>
              <w:rPr>
                <w:rFonts w:eastAsia="Calibri" w:cs="Times New Roman"/>
                <w:sz w:val="28"/>
                <w:szCs w:val="28"/>
                <w:lang w:eastAsia="lv-LV"/>
              </w:rPr>
            </w:pPr>
            <w:r w:rsidRPr="00281B93">
              <w:rPr>
                <w:rFonts w:eastAsia="Times New Roman" w:cs="Times New Roman"/>
                <w:sz w:val="28"/>
                <w:szCs w:val="28"/>
                <w:lang w:eastAsia="lv-LV"/>
              </w:rPr>
              <w:t xml:space="preserve">Ministru kabineta noteikumu spēkā  stāšanās termiņš ir </w:t>
            </w:r>
            <w:r w:rsidRPr="00281B93">
              <w:rPr>
                <w:rFonts w:eastAsia="Times New Roman"/>
                <w:sz w:val="28"/>
                <w:szCs w:val="28"/>
                <w:lang w:eastAsia="lv-LV"/>
              </w:rPr>
              <w:t>2015.gada 1.</w:t>
            </w:r>
            <w:r w:rsidR="006B1FB4" w:rsidRPr="00281B93">
              <w:rPr>
                <w:rFonts w:eastAsia="Times New Roman"/>
                <w:sz w:val="28"/>
                <w:szCs w:val="28"/>
                <w:lang w:eastAsia="lv-LV"/>
              </w:rPr>
              <w:t>jūnijs</w:t>
            </w:r>
            <w:r w:rsidRPr="00281B93">
              <w:rPr>
                <w:rFonts w:eastAsia="Times New Roman"/>
                <w:sz w:val="28"/>
                <w:szCs w:val="28"/>
                <w:lang w:eastAsia="lv-LV"/>
              </w:rPr>
              <w:t xml:space="preserve">. </w:t>
            </w:r>
            <w:r w:rsidR="00282A7E" w:rsidRPr="00281B93">
              <w:rPr>
                <w:rFonts w:eastAsia="Times New Roman"/>
                <w:sz w:val="28"/>
                <w:szCs w:val="28"/>
                <w:lang w:eastAsia="lv-LV"/>
              </w:rPr>
              <w:t>Minētais</w:t>
            </w:r>
            <w:r w:rsidRPr="00281B93">
              <w:rPr>
                <w:rFonts w:eastAsia="Times New Roman"/>
                <w:sz w:val="28"/>
                <w:szCs w:val="28"/>
                <w:lang w:eastAsia="lv-LV"/>
              </w:rPr>
              <w:t xml:space="preserve"> </w:t>
            </w:r>
            <w:r w:rsidR="00282A7E" w:rsidRPr="00281B93">
              <w:rPr>
                <w:rFonts w:eastAsia="Times New Roman"/>
                <w:sz w:val="28"/>
                <w:szCs w:val="28"/>
                <w:lang w:eastAsia="lv-LV"/>
              </w:rPr>
              <w:t>termiņ</w:t>
            </w:r>
            <w:r w:rsidR="00282A7E" w:rsidRPr="00281B93">
              <w:rPr>
                <w:rFonts w:eastAsia="Times New Roman" w:cs="Times New Roman"/>
                <w:sz w:val="28"/>
                <w:szCs w:val="28"/>
                <w:lang w:eastAsia="lv-LV"/>
              </w:rPr>
              <w:t>š</w:t>
            </w:r>
            <w:r w:rsidRPr="00281B93">
              <w:rPr>
                <w:rFonts w:eastAsia="Times New Roman" w:cs="Times New Roman"/>
                <w:sz w:val="28"/>
                <w:szCs w:val="28"/>
                <w:lang w:eastAsia="lv-LV"/>
              </w:rPr>
              <w:t xml:space="preserve"> ir noteikts </w:t>
            </w:r>
            <w:r w:rsidR="00282A7E" w:rsidRPr="00281B93">
              <w:rPr>
                <w:rFonts w:eastAsia="Times New Roman" w:cs="Times New Roman"/>
                <w:sz w:val="28"/>
                <w:szCs w:val="28"/>
                <w:lang w:eastAsia="lv-LV"/>
              </w:rPr>
              <w:t>uzklausot Latvijas komercbanku asociācijas priekšlikumus</w:t>
            </w:r>
            <w:r w:rsidR="00F7712E" w:rsidRPr="00281B93">
              <w:rPr>
                <w:rFonts w:eastAsia="Times New Roman" w:cs="Times New Roman"/>
                <w:sz w:val="28"/>
                <w:szCs w:val="28"/>
                <w:lang w:eastAsia="lv-LV"/>
              </w:rPr>
              <w:t>, kā arī ņemot vērā to, ka pirms Ministru kabineta noteikumu spēkā  stāšanās ir jānodrošina tehniskā risinājuma akcepttestēšana ar FATCA prasību izpildes nodrošināšanā iesaistītajām Latvijas Republikā reģistrētām finanšu iestādēm</w:t>
            </w:r>
            <w:r w:rsidR="00282A7E" w:rsidRPr="00281B93">
              <w:rPr>
                <w:rFonts w:eastAsia="Times New Roman" w:cs="Times New Roman"/>
                <w:sz w:val="28"/>
                <w:szCs w:val="28"/>
                <w:lang w:eastAsia="lv-LV"/>
              </w:rPr>
              <w:t>.</w:t>
            </w:r>
            <w:r w:rsidR="00D30F3C" w:rsidRPr="00281B93">
              <w:rPr>
                <w:rFonts w:eastAsia="Times New Roman" w:cs="Times New Roman"/>
                <w:sz w:val="28"/>
                <w:szCs w:val="28"/>
                <w:lang w:eastAsia="lv-LV"/>
              </w:rPr>
              <w:t xml:space="preserve"> </w:t>
            </w:r>
          </w:p>
        </w:tc>
      </w:tr>
      <w:tr w:rsidR="002603D2" w:rsidRPr="00281B93" w:rsidTr="00455FF0">
        <w:tc>
          <w:tcPr>
            <w:tcW w:w="392" w:type="dxa"/>
          </w:tcPr>
          <w:p w:rsidR="00455FF0" w:rsidRPr="00281B93" w:rsidRDefault="00455FF0" w:rsidP="00037ECE">
            <w:pPr>
              <w:spacing w:before="100" w:beforeAutospacing="1" w:after="100" w:afterAutospacing="1" w:line="360" w:lineRule="auto"/>
              <w:rPr>
                <w:rFonts w:eastAsia="Times New Roman" w:cs="Times New Roman"/>
                <w:sz w:val="28"/>
                <w:szCs w:val="28"/>
                <w:lang w:eastAsia="lv-LV"/>
              </w:rPr>
            </w:pPr>
            <w:r w:rsidRPr="00281B93">
              <w:rPr>
                <w:rFonts w:eastAsia="Times New Roman" w:cs="Times New Roman"/>
                <w:sz w:val="28"/>
                <w:szCs w:val="28"/>
                <w:lang w:eastAsia="lv-LV"/>
              </w:rPr>
              <w:lastRenderedPageBreak/>
              <w:t>3.</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Projekta izstrādē iesaistītās institūcijas</w:t>
            </w:r>
          </w:p>
        </w:tc>
        <w:tc>
          <w:tcPr>
            <w:tcW w:w="5579" w:type="dxa"/>
          </w:tcPr>
          <w:p w:rsidR="00455FF0" w:rsidRPr="00281B93" w:rsidRDefault="00282A7E" w:rsidP="006B1FB4">
            <w:pPr>
              <w:rPr>
                <w:rFonts w:eastAsia="Times New Roman" w:cs="Times New Roman"/>
                <w:sz w:val="28"/>
                <w:szCs w:val="28"/>
                <w:lang w:eastAsia="lv-LV"/>
              </w:rPr>
            </w:pPr>
            <w:r w:rsidRPr="00281B93">
              <w:rPr>
                <w:rFonts w:cs="Times New Roman"/>
                <w:sz w:val="28"/>
                <w:szCs w:val="28"/>
                <w:lang w:eastAsia="lv-LV"/>
              </w:rPr>
              <w:t xml:space="preserve">Finanšu ministrija, Valsts ieņēmumu dienests, </w:t>
            </w:r>
            <w:r w:rsidR="006B1FB4" w:rsidRPr="00281B93">
              <w:rPr>
                <w:rFonts w:eastAsia="Times New Roman" w:cs="Times New Roman"/>
                <w:sz w:val="28"/>
                <w:szCs w:val="28"/>
                <w:lang w:eastAsia="lv-LV"/>
              </w:rPr>
              <w:t>Latvijas komercbanku asociācija</w:t>
            </w:r>
          </w:p>
        </w:tc>
      </w:tr>
      <w:tr w:rsidR="002603D2" w:rsidRPr="00281B93" w:rsidTr="00455FF0">
        <w:tc>
          <w:tcPr>
            <w:tcW w:w="392" w:type="dxa"/>
          </w:tcPr>
          <w:p w:rsidR="00455FF0" w:rsidRPr="00281B93" w:rsidRDefault="00455FF0" w:rsidP="00037ECE">
            <w:pPr>
              <w:spacing w:before="100" w:beforeAutospacing="1" w:after="100" w:afterAutospacing="1" w:line="360" w:lineRule="auto"/>
              <w:rPr>
                <w:rFonts w:eastAsia="Times New Roman" w:cs="Times New Roman"/>
                <w:sz w:val="28"/>
                <w:szCs w:val="28"/>
                <w:lang w:eastAsia="lv-LV"/>
              </w:rPr>
            </w:pPr>
            <w:r w:rsidRPr="00281B93">
              <w:rPr>
                <w:rFonts w:eastAsia="Times New Roman" w:cs="Times New Roman"/>
                <w:sz w:val="28"/>
                <w:szCs w:val="28"/>
                <w:lang w:eastAsia="lv-LV"/>
              </w:rPr>
              <w:t>4.</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Cita informācija</w:t>
            </w:r>
          </w:p>
        </w:tc>
        <w:tc>
          <w:tcPr>
            <w:tcW w:w="5579" w:type="dxa"/>
          </w:tcPr>
          <w:p w:rsidR="00455FF0" w:rsidRPr="00281B93" w:rsidRDefault="003804C4" w:rsidP="00FA04A1">
            <w:pPr>
              <w:autoSpaceDE w:val="0"/>
              <w:autoSpaceDN w:val="0"/>
              <w:adjustRightInd w:val="0"/>
              <w:jc w:val="both"/>
              <w:rPr>
                <w:rFonts w:eastAsia="Times New Roman" w:cs="Times New Roman"/>
                <w:sz w:val="28"/>
                <w:szCs w:val="28"/>
                <w:lang w:eastAsia="lv-LV"/>
              </w:rPr>
            </w:pPr>
            <w:r w:rsidRPr="00281B93">
              <w:rPr>
                <w:rFonts w:eastAsia="Times New Roman" w:cs="Times New Roman"/>
                <w:sz w:val="28"/>
                <w:szCs w:val="28"/>
                <w:lang w:eastAsia="lv-LV"/>
              </w:rPr>
              <w:t>Ministru kabineta noteikumu projekts izstrādāts uzklausot Latvijas komercbanku asociācijas priekšlikumus.</w:t>
            </w:r>
          </w:p>
        </w:tc>
      </w:tr>
    </w:tbl>
    <w:p w:rsidR="00D96F2E" w:rsidRPr="00281B93" w:rsidRDefault="00D96F2E" w:rsidP="00897AD8">
      <w:pPr>
        <w:spacing w:before="45" w:line="360" w:lineRule="auto"/>
        <w:ind w:firstLine="300"/>
        <w:jc w:val="center"/>
        <w:rPr>
          <w:rFonts w:eastAsia="Times New Roman" w:cs="Times New Roman"/>
          <w:iCs/>
          <w:sz w:val="28"/>
          <w:szCs w:val="28"/>
          <w:lang w:eastAsia="lv-LV"/>
        </w:rPr>
      </w:pPr>
    </w:p>
    <w:tbl>
      <w:tblPr>
        <w:tblStyle w:val="TableGrid"/>
        <w:tblW w:w="0" w:type="auto"/>
        <w:tblLook w:val="04A0" w:firstRow="1" w:lastRow="0" w:firstColumn="1" w:lastColumn="0" w:noHBand="0" w:noVBand="1"/>
      </w:tblPr>
      <w:tblGrid>
        <w:gridCol w:w="426"/>
        <w:gridCol w:w="2546"/>
        <w:gridCol w:w="5550"/>
      </w:tblGrid>
      <w:tr w:rsidR="002603D2" w:rsidRPr="00281B93" w:rsidTr="00037ECE">
        <w:tc>
          <w:tcPr>
            <w:tcW w:w="8522" w:type="dxa"/>
            <w:gridSpan w:val="3"/>
          </w:tcPr>
          <w:p w:rsidR="00455FF0" w:rsidRPr="00281B93" w:rsidRDefault="00455FF0" w:rsidP="000D7547">
            <w:pPr>
              <w:jc w:val="center"/>
              <w:rPr>
                <w:rFonts w:eastAsia="Times New Roman" w:cs="Times New Roman"/>
                <w:iCs/>
                <w:sz w:val="28"/>
                <w:szCs w:val="28"/>
                <w:lang w:eastAsia="lv-LV"/>
              </w:rPr>
            </w:pPr>
            <w:r w:rsidRPr="00281B93">
              <w:rPr>
                <w:rFonts w:eastAsia="Times New Roman" w:cs="Times New Roman"/>
                <w:b/>
                <w:bCs/>
                <w:sz w:val="28"/>
                <w:szCs w:val="28"/>
                <w:lang w:eastAsia="lv-LV"/>
              </w:rPr>
              <w:t>II. Tiesību akta projekta ietekme uz sabiedrību, tautsaimniecības attīstību un administratīvo slogu</w:t>
            </w: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1.</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Sabiedrības mērķgrupas, kuras tiesiskais regulējums ietekmē vai varētu ietekmēt</w:t>
            </w:r>
          </w:p>
        </w:tc>
        <w:tc>
          <w:tcPr>
            <w:tcW w:w="5579" w:type="dxa"/>
          </w:tcPr>
          <w:p w:rsidR="00455FF0" w:rsidRPr="00281B93" w:rsidRDefault="00455FF0" w:rsidP="00037ECE">
            <w:pPr>
              <w:rPr>
                <w:rFonts w:eastAsia="Times New Roman" w:cs="Times New Roman"/>
                <w:b/>
                <w:bCs/>
                <w:sz w:val="28"/>
                <w:szCs w:val="28"/>
                <w:lang w:eastAsia="lv-LV"/>
              </w:rPr>
            </w:pPr>
            <w:r w:rsidRPr="00281B93">
              <w:rPr>
                <w:rFonts w:eastAsia="Times New Roman" w:cs="Times New Roman"/>
                <w:sz w:val="28"/>
                <w:szCs w:val="28"/>
                <w:lang w:eastAsia="lv-LV"/>
              </w:rPr>
              <w:t>Latvijas Republikā reģistrētās finanšu iestādes</w:t>
            </w:r>
            <w:r w:rsidR="00A4479A" w:rsidRPr="00281B93">
              <w:rPr>
                <w:rFonts w:eastAsia="Times New Roman" w:cs="Times New Roman"/>
                <w:sz w:val="28"/>
                <w:szCs w:val="28"/>
                <w:lang w:eastAsia="lv-LV"/>
              </w:rPr>
              <w:t xml:space="preserve"> - </w:t>
            </w:r>
            <w:r w:rsidR="003A6FE5" w:rsidRPr="00281B93">
              <w:rPr>
                <w:rFonts w:eastAsia="Times New Roman" w:cs="Times New Roman"/>
                <w:sz w:val="28"/>
                <w:szCs w:val="28"/>
                <w:lang w:eastAsia="lv-LV"/>
              </w:rPr>
              <w:t>nodokļu maksātāji, kuri atbilst FATCA līgumā noteiktajai Latvijas finanšu iestādes definīcijai un uz kuriem neattiecas FATCA līgumā II pielikumā minētie izņēmumi</w:t>
            </w:r>
            <w:r w:rsidR="00A8441A" w:rsidRPr="00281B93">
              <w:rPr>
                <w:rFonts w:eastAsia="Times New Roman" w:cs="Times New Roman"/>
                <w:sz w:val="28"/>
                <w:szCs w:val="28"/>
                <w:lang w:eastAsia="lv-LV"/>
              </w:rPr>
              <w:t>.</w:t>
            </w: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lastRenderedPageBreak/>
              <w:t>2.</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Tiesiskā regulējuma ietekme uz tautsaimniecību un administratīvo slogu</w:t>
            </w:r>
          </w:p>
        </w:tc>
        <w:tc>
          <w:tcPr>
            <w:tcW w:w="5579" w:type="dxa"/>
          </w:tcPr>
          <w:p w:rsidR="002603D2" w:rsidRPr="00281B93" w:rsidRDefault="002603D2" w:rsidP="000D7547">
            <w:pPr>
              <w:jc w:val="both"/>
              <w:rPr>
                <w:rFonts w:eastAsia="Times New Roman" w:cs="Times New Roman"/>
                <w:sz w:val="28"/>
                <w:szCs w:val="28"/>
                <w:lang w:eastAsia="lv-LV"/>
              </w:rPr>
            </w:pPr>
            <w:r w:rsidRPr="00281B93">
              <w:rPr>
                <w:rFonts w:eastAsia="Times New Roman" w:cs="Times New Roman"/>
                <w:sz w:val="28"/>
                <w:szCs w:val="28"/>
                <w:lang w:eastAsia="lv-LV"/>
              </w:rPr>
              <w:t xml:space="preserve">Finanšu iestādēm būs FATCA noteikumu izpildes izmaksas, bet to neizpilde saistīta ar sankcijām par  noteikumu neizpildi (nodokļu ieturēšanu no maksājumiem). </w:t>
            </w:r>
          </w:p>
          <w:p w:rsidR="00455FF0" w:rsidRPr="00281B93" w:rsidRDefault="00455FF0" w:rsidP="00037ECE">
            <w:pPr>
              <w:rPr>
                <w:rFonts w:eastAsia="Times New Roman" w:cs="Times New Roman"/>
                <w:i/>
                <w:sz w:val="28"/>
                <w:szCs w:val="28"/>
                <w:lang w:eastAsia="lv-LV"/>
              </w:rPr>
            </w:pP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3.</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Administratīvo izmaksu monetārs novērtējums</w:t>
            </w:r>
          </w:p>
        </w:tc>
        <w:tc>
          <w:tcPr>
            <w:tcW w:w="5579" w:type="dxa"/>
          </w:tcPr>
          <w:p w:rsidR="00455FF0" w:rsidRPr="00281B93" w:rsidRDefault="002603D2" w:rsidP="00037ECE">
            <w:pPr>
              <w:rPr>
                <w:rFonts w:eastAsia="Times New Roman" w:cs="Times New Roman"/>
                <w:i/>
                <w:sz w:val="28"/>
                <w:szCs w:val="28"/>
                <w:lang w:eastAsia="lv-LV"/>
              </w:rPr>
            </w:pPr>
            <w:r w:rsidRPr="00281B93">
              <w:rPr>
                <w:rFonts w:eastAsia="Times New Roman" w:cs="Times New Roman"/>
                <w:sz w:val="28"/>
                <w:szCs w:val="28"/>
                <w:lang w:eastAsia="lv-LV"/>
              </w:rPr>
              <w:t>Projekts šo jomu neskar</w:t>
            </w: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4.</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Cita informācija</w:t>
            </w:r>
          </w:p>
        </w:tc>
        <w:tc>
          <w:tcPr>
            <w:tcW w:w="5579" w:type="dxa"/>
          </w:tcPr>
          <w:p w:rsidR="00455FF0" w:rsidRPr="00281B93" w:rsidRDefault="00455FF0" w:rsidP="00037ECE">
            <w:pPr>
              <w:spacing w:before="100" w:beforeAutospacing="1" w:after="100" w:afterAutospacing="1" w:line="360" w:lineRule="auto"/>
              <w:rPr>
                <w:rFonts w:eastAsia="Times New Roman" w:cs="Times New Roman"/>
                <w:sz w:val="28"/>
                <w:szCs w:val="28"/>
                <w:lang w:eastAsia="lv-LV"/>
              </w:rPr>
            </w:pPr>
            <w:r w:rsidRPr="00281B93">
              <w:rPr>
                <w:rFonts w:eastAsia="Times New Roman" w:cs="Times New Roman"/>
                <w:sz w:val="28"/>
                <w:szCs w:val="28"/>
                <w:lang w:eastAsia="lv-LV"/>
              </w:rPr>
              <w:t>Nav</w:t>
            </w:r>
          </w:p>
        </w:tc>
      </w:tr>
    </w:tbl>
    <w:p w:rsidR="00553F45" w:rsidRPr="00281B93" w:rsidRDefault="00553F45" w:rsidP="00DB117C">
      <w:pPr>
        <w:spacing w:before="45" w:line="360" w:lineRule="auto"/>
        <w:rPr>
          <w:rFonts w:eastAsia="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99"/>
        <w:gridCol w:w="1040"/>
        <w:gridCol w:w="1180"/>
        <w:gridCol w:w="1149"/>
        <w:gridCol w:w="1149"/>
        <w:gridCol w:w="1149"/>
      </w:tblGrid>
      <w:tr w:rsidR="005E6F72" w:rsidRPr="00281B93" w:rsidTr="009D283C">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b/>
                <w:bCs/>
                <w:sz w:val="28"/>
                <w:szCs w:val="28"/>
              </w:rPr>
            </w:pPr>
            <w:r w:rsidRPr="00281B93">
              <w:rPr>
                <w:rFonts w:eastAsia="Times New Roman" w:cs="Times New Roman"/>
                <w:b/>
                <w:bCs/>
                <w:sz w:val="28"/>
                <w:szCs w:val="28"/>
              </w:rPr>
              <w:t>III. Tiesību akta projekta ietekme uz valsts budžetu un pašvaldību budžetiem</w:t>
            </w:r>
          </w:p>
        </w:tc>
      </w:tr>
      <w:tr w:rsidR="005E6F72" w:rsidRPr="00281B93" w:rsidTr="009D283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b/>
                <w:bCs/>
                <w:sz w:val="28"/>
                <w:szCs w:val="28"/>
              </w:rPr>
            </w:pPr>
            <w:r w:rsidRPr="00281B93">
              <w:rPr>
                <w:rFonts w:eastAsia="Times New Roman" w:cs="Times New Roman"/>
                <w:b/>
                <w:bCs/>
                <w:sz w:val="28"/>
                <w:szCs w:val="28"/>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b/>
                <w:bCs/>
                <w:sz w:val="28"/>
                <w:szCs w:val="28"/>
              </w:rPr>
            </w:pPr>
            <w:r w:rsidRPr="00281B93">
              <w:rPr>
                <w:rFonts w:eastAsia="Times New Roman" w:cs="Times New Roman"/>
                <w:b/>
                <w:bCs/>
                <w:sz w:val="28"/>
                <w:szCs w:val="28"/>
              </w:rPr>
              <w:t>2015. gads</w:t>
            </w:r>
          </w:p>
        </w:tc>
        <w:tc>
          <w:tcPr>
            <w:tcW w:w="18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Turpmākie trīs gadi (</w:t>
            </w:r>
            <w:r w:rsidRPr="00281B93">
              <w:rPr>
                <w:rFonts w:eastAsia="Times New Roman" w:cs="Times New Roman"/>
                <w:i/>
                <w:iCs/>
                <w:sz w:val="28"/>
                <w:szCs w:val="28"/>
              </w:rPr>
              <w:t>euro</w:t>
            </w:r>
            <w:r w:rsidRPr="00281B93">
              <w:rPr>
                <w:rFonts w:eastAsia="Times New Roman" w:cs="Times New Roman"/>
                <w:sz w:val="28"/>
                <w:szCs w:val="28"/>
              </w:rPr>
              <w:t>)</w:t>
            </w:r>
          </w:p>
        </w:tc>
      </w:tr>
      <w:tr w:rsidR="005E6F72" w:rsidRPr="00281B93" w:rsidTr="009D283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b/>
                <w:bCs/>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b/>
                <w:bCs/>
                <w:sz w:val="28"/>
                <w:szCs w:val="28"/>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b/>
                <w:bCs/>
                <w:sz w:val="28"/>
                <w:szCs w:val="28"/>
              </w:rPr>
            </w:pPr>
            <w:r w:rsidRPr="00281B93">
              <w:rPr>
                <w:rFonts w:eastAsia="Times New Roman" w:cs="Times New Roman"/>
                <w:b/>
                <w:bCs/>
                <w:sz w:val="28"/>
                <w:szCs w:val="28"/>
              </w:rPr>
              <w:t>2016</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b/>
                <w:bCs/>
                <w:sz w:val="28"/>
                <w:szCs w:val="28"/>
              </w:rPr>
            </w:pPr>
            <w:r w:rsidRPr="00281B93">
              <w:rPr>
                <w:rFonts w:eastAsia="Times New Roman" w:cs="Times New Roman"/>
                <w:b/>
                <w:bCs/>
                <w:sz w:val="28"/>
                <w:szCs w:val="28"/>
              </w:rPr>
              <w:t>2017</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b/>
                <w:bCs/>
                <w:sz w:val="28"/>
                <w:szCs w:val="28"/>
              </w:rPr>
            </w:pPr>
            <w:r w:rsidRPr="00281B93">
              <w:rPr>
                <w:rFonts w:eastAsia="Times New Roman" w:cs="Times New Roman"/>
                <w:b/>
                <w:bCs/>
                <w:sz w:val="28"/>
                <w:szCs w:val="28"/>
              </w:rPr>
              <w:t>2018</w:t>
            </w:r>
          </w:p>
        </w:tc>
      </w:tr>
      <w:tr w:rsidR="005E6F72" w:rsidRPr="00281B93" w:rsidTr="009D283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b/>
                <w:bCs/>
                <w:sz w:val="28"/>
                <w:szCs w:val="28"/>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5E6F72">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izmaiņas, salīdzinot ar 2015. 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5E6F72">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izmaiņas, salīdzinot ar 2015. gadu</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5E6F72">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izmaiņas, salīdzinot ar 2015. gadu</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2</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5</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6</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lastRenderedPageBreak/>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spacing w:before="100" w:beforeAutospacing="1" w:after="100" w:afterAutospacing="1" w:line="244" w:lineRule="atLeast"/>
              <w:jc w:val="center"/>
              <w:rPr>
                <w:rFonts w:eastAsia="Times New Roman" w:cs="Times New Roman"/>
                <w:sz w:val="28"/>
                <w:szCs w:val="28"/>
              </w:rPr>
            </w:pPr>
            <w:r w:rsidRPr="00281B93">
              <w:rPr>
                <w:rFonts w:eastAsia="Times New Roman" w:cs="Times New Roman"/>
                <w:sz w:val="28"/>
                <w:szCs w:val="28"/>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 </w:t>
            </w: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p>
        </w:tc>
      </w:tr>
      <w:tr w:rsidR="005E6F72" w:rsidRPr="00281B93" w:rsidTr="009D283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6F72" w:rsidRPr="00281B93" w:rsidRDefault="005E6F72" w:rsidP="009D283C">
            <w:pPr>
              <w:rPr>
                <w:rFonts w:eastAsia="Times New Roman" w:cs="Times New Roman"/>
                <w:sz w:val="28"/>
                <w:szCs w:val="28"/>
              </w:rPr>
            </w:pPr>
          </w:p>
        </w:tc>
      </w:tr>
      <w:tr w:rsidR="005E6F72" w:rsidRPr="00281B93" w:rsidTr="009D283C">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9D283C">
            <w:pPr>
              <w:rPr>
                <w:rFonts w:eastAsia="Times New Roman" w:cs="Times New Roman"/>
                <w:sz w:val="28"/>
                <w:szCs w:val="28"/>
              </w:rPr>
            </w:pPr>
            <w:r w:rsidRPr="00281B93">
              <w:rPr>
                <w:rFonts w:eastAsia="Times New Roman" w:cs="Times New Roman"/>
                <w:sz w:val="28"/>
                <w:szCs w:val="28"/>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5E6F72" w:rsidRPr="00281B93" w:rsidRDefault="005E6F72" w:rsidP="005E6F72">
            <w:pPr>
              <w:spacing w:before="100" w:beforeAutospacing="1" w:after="100" w:afterAutospacing="1" w:line="244" w:lineRule="atLeast"/>
              <w:jc w:val="both"/>
              <w:rPr>
                <w:rFonts w:eastAsia="Times New Roman" w:cs="Times New Roman"/>
                <w:sz w:val="28"/>
                <w:szCs w:val="28"/>
              </w:rPr>
            </w:pPr>
            <w:r w:rsidRPr="00281B93">
              <w:rPr>
                <w:rFonts w:cs="Times New Roman"/>
                <w:iCs/>
                <w:sz w:val="28"/>
                <w:szCs w:val="28"/>
              </w:rPr>
              <w:t xml:space="preserve">Ministru kabineta noteikumu projekta tehniskai realizācijai būs nepieciešami līdzekļi 40089,80 EUR apmērā programmatūras izstrādei un ieviešanai, kas tiks segti no </w:t>
            </w:r>
            <w:r w:rsidRPr="00281B93">
              <w:rPr>
                <w:rFonts w:eastAsia="Times New Roman" w:cs="Times New Roman"/>
                <w:sz w:val="28"/>
                <w:szCs w:val="28"/>
                <w:lang w:eastAsia="lv-LV"/>
              </w:rPr>
              <w:t>Valsts ieņēmumu dienesta</w:t>
            </w:r>
            <w:r w:rsidRPr="00281B93">
              <w:rPr>
                <w:rFonts w:cs="Times New Roman"/>
                <w:iCs/>
                <w:sz w:val="28"/>
                <w:szCs w:val="28"/>
              </w:rPr>
              <w:t xml:space="preserve"> budžeta līdzekļiem.</w:t>
            </w:r>
          </w:p>
        </w:tc>
      </w:tr>
    </w:tbl>
    <w:p w:rsidR="005E6F72" w:rsidRPr="00281B93" w:rsidRDefault="005E6F72" w:rsidP="00DB117C">
      <w:pPr>
        <w:spacing w:before="45" w:line="360" w:lineRule="auto"/>
        <w:rPr>
          <w:rFonts w:eastAsia="Times New Roman" w:cs="Times New Roman"/>
          <w:sz w:val="28"/>
          <w:szCs w:val="28"/>
          <w:lang w:eastAsia="lv-LV"/>
        </w:rPr>
      </w:pPr>
    </w:p>
    <w:tbl>
      <w:tblPr>
        <w:tblStyle w:val="TableGrid"/>
        <w:tblW w:w="0" w:type="auto"/>
        <w:tblLook w:val="04A0" w:firstRow="1" w:lastRow="0" w:firstColumn="1" w:lastColumn="0" w:noHBand="0" w:noVBand="1"/>
      </w:tblPr>
      <w:tblGrid>
        <w:gridCol w:w="426"/>
        <w:gridCol w:w="2545"/>
        <w:gridCol w:w="5551"/>
      </w:tblGrid>
      <w:tr w:rsidR="002603D2" w:rsidRPr="00281B93" w:rsidTr="00037ECE">
        <w:tc>
          <w:tcPr>
            <w:tcW w:w="8522" w:type="dxa"/>
            <w:gridSpan w:val="3"/>
          </w:tcPr>
          <w:p w:rsidR="00455FF0" w:rsidRPr="00281B93" w:rsidRDefault="00455FF0" w:rsidP="000D7547">
            <w:pPr>
              <w:jc w:val="center"/>
              <w:rPr>
                <w:rFonts w:eastAsia="Times New Roman" w:cs="Times New Roman"/>
                <w:iCs/>
                <w:sz w:val="28"/>
                <w:szCs w:val="28"/>
                <w:lang w:eastAsia="lv-LV"/>
              </w:rPr>
            </w:pPr>
            <w:r w:rsidRPr="00281B93">
              <w:rPr>
                <w:rFonts w:eastAsia="Times New Roman" w:cs="Times New Roman"/>
                <w:b/>
                <w:bCs/>
                <w:sz w:val="28"/>
                <w:szCs w:val="28"/>
                <w:lang w:eastAsia="lv-LV"/>
              </w:rPr>
              <w:lastRenderedPageBreak/>
              <w:t>V. Tiesību akta projekta atbilstība Latvijas Republikas starptautiskajām saistībām</w:t>
            </w: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1.</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Saistības pret Eiropas Savienību</w:t>
            </w:r>
          </w:p>
        </w:tc>
        <w:tc>
          <w:tcPr>
            <w:tcW w:w="5579"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Nav</w:t>
            </w: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2.</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Citas starptautiskās saistības</w:t>
            </w:r>
          </w:p>
        </w:tc>
        <w:tc>
          <w:tcPr>
            <w:tcW w:w="5579" w:type="dxa"/>
          </w:tcPr>
          <w:p w:rsidR="00455FF0" w:rsidRPr="00281B93" w:rsidRDefault="002603D2" w:rsidP="00DD18DE">
            <w:pPr>
              <w:jc w:val="both"/>
              <w:rPr>
                <w:rFonts w:eastAsia="Times New Roman" w:cs="Times New Roman"/>
                <w:sz w:val="28"/>
                <w:szCs w:val="28"/>
                <w:lang w:eastAsia="lv-LV"/>
              </w:rPr>
            </w:pPr>
            <w:r w:rsidRPr="00281B93">
              <w:rPr>
                <w:rFonts w:eastAsia="Times New Roman" w:cs="Times New Roman"/>
                <w:sz w:val="28"/>
                <w:szCs w:val="28"/>
                <w:lang w:eastAsia="lv-LV"/>
              </w:rPr>
              <w:t>Latvijas Republikas valdības un Amerikas Savienoto Valstu valdības līgums par starptautisko nodokļu pienākumu izpildes uzlabošanu un likuma par ārvalstu kontu nodokļu pienākumu izpildi (FATCA) ieviešanu</w:t>
            </w:r>
            <w:r w:rsidR="000D7547" w:rsidRPr="00281B93">
              <w:rPr>
                <w:rFonts w:eastAsia="Times New Roman" w:cs="Times New Roman"/>
                <w:sz w:val="28"/>
                <w:szCs w:val="28"/>
                <w:lang w:eastAsia="lv-LV"/>
              </w:rPr>
              <w:t>.</w:t>
            </w: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3.</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Cita informācija</w:t>
            </w:r>
          </w:p>
        </w:tc>
        <w:tc>
          <w:tcPr>
            <w:tcW w:w="5579" w:type="dxa"/>
          </w:tcPr>
          <w:p w:rsidR="00455FF0" w:rsidRPr="00281B93" w:rsidRDefault="005E6F72" w:rsidP="001B6A46">
            <w:pPr>
              <w:pStyle w:val="NoSpacing"/>
              <w:jc w:val="both"/>
              <w:rPr>
                <w:rFonts w:eastAsia="Times New Roman" w:cs="Times New Roman"/>
                <w:sz w:val="28"/>
                <w:szCs w:val="28"/>
                <w:lang w:eastAsia="lv-LV"/>
              </w:rPr>
            </w:pPr>
            <w:r w:rsidRPr="00281B93">
              <w:rPr>
                <w:rFonts w:eastAsia="Times New Roman" w:cs="Times New Roman"/>
                <w:sz w:val="28"/>
                <w:szCs w:val="28"/>
                <w:lang w:eastAsia="lv-LV"/>
              </w:rPr>
              <w:t>Nav</w:t>
            </w:r>
          </w:p>
        </w:tc>
      </w:tr>
    </w:tbl>
    <w:p w:rsidR="00897AD8" w:rsidRPr="00281B93" w:rsidRDefault="00897AD8" w:rsidP="00553F45">
      <w:pPr>
        <w:spacing w:before="45" w:line="360" w:lineRule="auto"/>
        <w:ind w:firstLine="301"/>
        <w:jc w:val="center"/>
        <w:rPr>
          <w:rFonts w:eastAsia="Times New Roman" w:cs="Times New Roman"/>
          <w:sz w:val="28"/>
          <w:szCs w:val="28"/>
          <w:lang w:eastAsia="lv-LV"/>
        </w:rPr>
      </w:pPr>
    </w:p>
    <w:tbl>
      <w:tblPr>
        <w:tblStyle w:val="TableGrid"/>
        <w:tblW w:w="0" w:type="auto"/>
        <w:tblLook w:val="04A0" w:firstRow="1" w:lastRow="0" w:firstColumn="1" w:lastColumn="0" w:noHBand="0" w:noVBand="1"/>
      </w:tblPr>
      <w:tblGrid>
        <w:gridCol w:w="426"/>
        <w:gridCol w:w="2546"/>
        <w:gridCol w:w="5550"/>
      </w:tblGrid>
      <w:tr w:rsidR="002603D2" w:rsidRPr="00281B93" w:rsidTr="00037ECE">
        <w:tc>
          <w:tcPr>
            <w:tcW w:w="8522" w:type="dxa"/>
            <w:gridSpan w:val="3"/>
          </w:tcPr>
          <w:p w:rsidR="00455FF0" w:rsidRPr="00281B93" w:rsidRDefault="00455FF0" w:rsidP="00037ECE">
            <w:pPr>
              <w:spacing w:before="45" w:line="360" w:lineRule="auto"/>
              <w:jc w:val="center"/>
              <w:rPr>
                <w:rFonts w:eastAsia="Times New Roman" w:cs="Times New Roman"/>
                <w:iCs/>
                <w:sz w:val="28"/>
                <w:szCs w:val="28"/>
                <w:lang w:eastAsia="lv-LV"/>
              </w:rPr>
            </w:pPr>
            <w:r w:rsidRPr="00281B93">
              <w:rPr>
                <w:rFonts w:eastAsia="Times New Roman" w:cs="Times New Roman"/>
                <w:b/>
                <w:bCs/>
                <w:sz w:val="28"/>
                <w:szCs w:val="28"/>
                <w:lang w:eastAsia="lv-LV"/>
              </w:rPr>
              <w:t>VI. Sabiedrības līdzdalība un komunikācijas aktivitātes</w:t>
            </w: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1.</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Plānotās sabiedrības līdzdalības un komunikācijas aktivitātes saistībā ar projektu</w:t>
            </w:r>
          </w:p>
        </w:tc>
        <w:tc>
          <w:tcPr>
            <w:tcW w:w="5579" w:type="dxa"/>
          </w:tcPr>
          <w:p w:rsidR="00455FF0" w:rsidRPr="00281B93" w:rsidRDefault="003E6A0F" w:rsidP="000F5B07">
            <w:pPr>
              <w:jc w:val="both"/>
              <w:rPr>
                <w:rFonts w:eastAsia="Times New Roman" w:cs="Times New Roman"/>
                <w:sz w:val="28"/>
                <w:szCs w:val="28"/>
                <w:lang w:eastAsia="lv-LV"/>
              </w:rPr>
            </w:pPr>
            <w:r w:rsidRPr="00281B93">
              <w:rPr>
                <w:sz w:val="28"/>
                <w:szCs w:val="28"/>
              </w:rPr>
              <w:t>Ministru kabineta noteikumu projekts būs pieejams sabiedrībai Ministru kabineta mājas lapā</w:t>
            </w:r>
            <w:r w:rsidRPr="00281B93">
              <w:rPr>
                <w:sz w:val="26"/>
                <w:szCs w:val="26"/>
              </w:rPr>
              <w:t>.</w:t>
            </w: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2.</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Sabiedrības līdzdalība projekta izstrādē</w:t>
            </w:r>
          </w:p>
        </w:tc>
        <w:tc>
          <w:tcPr>
            <w:tcW w:w="5579" w:type="dxa"/>
          </w:tcPr>
          <w:p w:rsidR="00455FF0" w:rsidRPr="00281B93" w:rsidRDefault="000668EC" w:rsidP="00996C9D">
            <w:pPr>
              <w:jc w:val="both"/>
              <w:rPr>
                <w:rFonts w:eastAsia="Times New Roman" w:cs="Times New Roman"/>
                <w:sz w:val="28"/>
                <w:szCs w:val="28"/>
                <w:lang w:eastAsia="lv-LV"/>
              </w:rPr>
            </w:pPr>
            <w:r w:rsidRPr="00281B93">
              <w:rPr>
                <w:rFonts w:eastAsia="Times New Roman" w:cs="Times New Roman"/>
                <w:sz w:val="28"/>
                <w:szCs w:val="28"/>
                <w:lang w:eastAsia="lv-LV"/>
              </w:rPr>
              <w:t>Ministru kabineta noteikumu projekts izstrādāts uzklausot Latvijas komercbanku asociācijas priekšlikumus, kas izteikti pirms Mini</w:t>
            </w:r>
            <w:r w:rsidR="000B4473" w:rsidRPr="00281B93">
              <w:rPr>
                <w:rFonts w:eastAsia="Times New Roman" w:cs="Times New Roman"/>
                <w:sz w:val="28"/>
                <w:szCs w:val="28"/>
                <w:lang w:eastAsia="lv-LV"/>
              </w:rPr>
              <w:t>stru kabineta noteikumu projekta</w:t>
            </w:r>
            <w:r w:rsidRPr="00281B93">
              <w:rPr>
                <w:rFonts w:eastAsia="Times New Roman" w:cs="Times New Roman"/>
                <w:sz w:val="28"/>
                <w:szCs w:val="28"/>
                <w:lang w:eastAsia="lv-LV"/>
              </w:rPr>
              <w:t xml:space="preserve"> izstrādes.</w:t>
            </w: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3.</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Sabiedrības līdzdalības rezultāti</w:t>
            </w:r>
          </w:p>
        </w:tc>
        <w:tc>
          <w:tcPr>
            <w:tcW w:w="5579" w:type="dxa"/>
          </w:tcPr>
          <w:p w:rsidR="00996C9D" w:rsidRPr="00281B93" w:rsidRDefault="00996C9D" w:rsidP="00976F44">
            <w:pPr>
              <w:jc w:val="both"/>
              <w:rPr>
                <w:rFonts w:eastAsia="Times New Roman" w:cs="Times New Roman"/>
                <w:sz w:val="28"/>
                <w:szCs w:val="28"/>
                <w:lang w:eastAsia="lv-LV"/>
              </w:rPr>
            </w:pPr>
            <w:r w:rsidRPr="00281B93">
              <w:rPr>
                <w:rFonts w:eastAsia="Times New Roman" w:cs="Times New Roman"/>
                <w:sz w:val="28"/>
                <w:szCs w:val="28"/>
                <w:lang w:eastAsia="lv-LV"/>
              </w:rPr>
              <w:t xml:space="preserve">Latvijas komercbanku asociācijas priekšlikumi, kas izteikti pirms Ministru kabineta noteikumu projekta izstrādes ir ņemti vērā un ietverti noteikumu projektā. </w:t>
            </w:r>
          </w:p>
          <w:p w:rsidR="00455FF0" w:rsidRPr="00281B93" w:rsidRDefault="00996C9D" w:rsidP="00773A54">
            <w:pPr>
              <w:jc w:val="both"/>
              <w:rPr>
                <w:rFonts w:eastAsia="Times New Roman" w:cs="Times New Roman"/>
                <w:sz w:val="28"/>
                <w:szCs w:val="28"/>
                <w:lang w:eastAsia="lv-LV"/>
              </w:rPr>
            </w:pPr>
            <w:r w:rsidRPr="00281B93">
              <w:rPr>
                <w:rFonts w:eastAsia="Times New Roman" w:cs="Times New Roman"/>
                <w:sz w:val="28"/>
                <w:szCs w:val="28"/>
                <w:lang w:eastAsia="lv-LV"/>
              </w:rPr>
              <w:t xml:space="preserve">Asociācija atbalstīja noteikumu projekta izstrādi un </w:t>
            </w:r>
            <w:r w:rsidR="00DA0F7E" w:rsidRPr="00281B93">
              <w:rPr>
                <w:rFonts w:eastAsia="Times New Roman" w:cs="Times New Roman"/>
                <w:sz w:val="28"/>
                <w:szCs w:val="28"/>
                <w:lang w:eastAsia="lv-LV"/>
              </w:rPr>
              <w:t xml:space="preserve">informācijas iesniegšanas veidu </w:t>
            </w:r>
            <w:r w:rsidR="00DA0F7E" w:rsidRPr="00281B93">
              <w:rPr>
                <w:rFonts w:eastAsia="Times New Roman"/>
                <w:sz w:val="28"/>
                <w:szCs w:val="28"/>
                <w:lang w:eastAsia="lv-LV"/>
              </w:rPr>
              <w:t>Valsts ieņēmumu dienestam</w:t>
            </w:r>
            <w:r w:rsidRPr="00281B93">
              <w:rPr>
                <w:rFonts w:eastAsia="Times New Roman" w:cs="Times New Roman"/>
                <w:sz w:val="28"/>
                <w:szCs w:val="28"/>
                <w:lang w:eastAsia="lv-LV"/>
              </w:rPr>
              <w:t xml:space="preserve">, kā arī </w:t>
            </w:r>
            <w:r w:rsidR="00976F44" w:rsidRPr="00281B93">
              <w:rPr>
                <w:rFonts w:eastAsia="Times New Roman" w:cs="Times New Roman"/>
                <w:sz w:val="28"/>
                <w:szCs w:val="28"/>
                <w:lang w:eastAsia="lv-LV"/>
              </w:rPr>
              <w:t>izteica priekšlikumu</w:t>
            </w:r>
            <w:r w:rsidRPr="00281B93">
              <w:rPr>
                <w:rFonts w:eastAsia="Times New Roman" w:cs="Times New Roman"/>
                <w:sz w:val="28"/>
                <w:szCs w:val="28"/>
                <w:lang w:eastAsia="lv-LV"/>
              </w:rPr>
              <w:t xml:space="preserve"> noteikumu projektā</w:t>
            </w:r>
            <w:r w:rsidR="00976F44" w:rsidRPr="00281B93">
              <w:rPr>
                <w:rFonts w:eastAsia="Times New Roman" w:cs="Times New Roman"/>
                <w:sz w:val="28"/>
                <w:szCs w:val="28"/>
                <w:lang w:eastAsia="lv-LV"/>
              </w:rPr>
              <w:t xml:space="preserve"> ietvert termiņu līdz kuram </w:t>
            </w:r>
            <w:r w:rsidR="00976F44" w:rsidRPr="00281B93">
              <w:rPr>
                <w:rFonts w:eastAsia="Times New Roman"/>
                <w:sz w:val="28"/>
                <w:szCs w:val="28"/>
                <w:lang w:eastAsia="lv-LV"/>
              </w:rPr>
              <w:t>Latvijas Republikas finanšu iestādes elektroniskā veidā iesniedz Valsts ieņēmumu dienestam FATCA līguma 2.pantā norādīto informāciju.</w:t>
            </w:r>
            <w:r w:rsidR="000F5B07" w:rsidRPr="00281B93">
              <w:rPr>
                <w:rFonts w:eastAsia="Times New Roman"/>
                <w:sz w:val="28"/>
                <w:szCs w:val="28"/>
                <w:lang w:eastAsia="lv-LV"/>
              </w:rPr>
              <w:t xml:space="preserve"> Vienlaikus asociācija savstarpējas tikšanās laikā ar Valsts ieņēmumu dienestu un Finanšu ministriju 2014.gada 01.aprīlī ir paudusi atbalstu </w:t>
            </w:r>
            <w:r w:rsidR="009C757A" w:rsidRPr="00281B93">
              <w:rPr>
                <w:rFonts w:eastAsia="Times New Roman"/>
                <w:sz w:val="28"/>
                <w:szCs w:val="28"/>
                <w:lang w:eastAsia="lv-LV"/>
              </w:rPr>
              <w:t>Amerikas Savienoto Valstu</w:t>
            </w:r>
            <w:r w:rsidR="000F5B07" w:rsidRPr="00281B93">
              <w:rPr>
                <w:rFonts w:eastAsia="Times New Roman"/>
                <w:sz w:val="28"/>
                <w:szCs w:val="28"/>
                <w:lang w:eastAsia="lv-LV"/>
              </w:rPr>
              <w:t xml:space="preserve"> izstrādātās datu </w:t>
            </w:r>
            <w:r w:rsidR="000F5B07" w:rsidRPr="00281B93">
              <w:rPr>
                <w:rFonts w:eastAsia="Times New Roman"/>
                <w:sz w:val="28"/>
                <w:szCs w:val="28"/>
                <w:lang w:eastAsia="lv-LV"/>
              </w:rPr>
              <w:lastRenderedPageBreak/>
              <w:t xml:space="preserve">apmaiņas formāta (XML) izmantošanai Latvijas finanšu iestāžu rīcībā esošo datu sagatavošanai iesniegšanai </w:t>
            </w:r>
            <w:r w:rsidR="000F5B07" w:rsidRPr="00281B93">
              <w:rPr>
                <w:rFonts w:eastAsia="Times New Roman" w:cs="Times New Roman"/>
                <w:sz w:val="28"/>
                <w:szCs w:val="28"/>
                <w:lang w:eastAsia="lv-LV"/>
              </w:rPr>
              <w:t>Valsts ieņēmumu dienestam.</w:t>
            </w:r>
          </w:p>
        </w:tc>
      </w:tr>
      <w:tr w:rsidR="002603D2" w:rsidRPr="00281B93" w:rsidTr="00037ECE">
        <w:tc>
          <w:tcPr>
            <w:tcW w:w="392"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lastRenderedPageBreak/>
              <w:t>4.</w:t>
            </w:r>
          </w:p>
        </w:tc>
        <w:tc>
          <w:tcPr>
            <w:tcW w:w="2551" w:type="dxa"/>
          </w:tcPr>
          <w:p w:rsidR="00455FF0" w:rsidRPr="00281B93" w:rsidRDefault="00455FF0" w:rsidP="00037ECE">
            <w:pPr>
              <w:rPr>
                <w:rFonts w:eastAsia="Times New Roman" w:cs="Times New Roman"/>
                <w:sz w:val="28"/>
                <w:szCs w:val="28"/>
                <w:lang w:eastAsia="lv-LV"/>
              </w:rPr>
            </w:pPr>
            <w:r w:rsidRPr="00281B93">
              <w:rPr>
                <w:rFonts w:eastAsia="Times New Roman" w:cs="Times New Roman"/>
                <w:sz w:val="28"/>
                <w:szCs w:val="28"/>
                <w:lang w:eastAsia="lv-LV"/>
              </w:rPr>
              <w:t>Cita informācija</w:t>
            </w:r>
          </w:p>
        </w:tc>
        <w:tc>
          <w:tcPr>
            <w:tcW w:w="5579" w:type="dxa"/>
          </w:tcPr>
          <w:p w:rsidR="00455FF0" w:rsidRPr="00281B93" w:rsidRDefault="00976F44" w:rsidP="00552D26">
            <w:pPr>
              <w:jc w:val="both"/>
              <w:rPr>
                <w:rFonts w:eastAsia="Times New Roman" w:cs="Times New Roman"/>
                <w:sz w:val="28"/>
                <w:szCs w:val="28"/>
                <w:lang w:eastAsia="lv-LV"/>
              </w:rPr>
            </w:pPr>
            <w:r w:rsidRPr="00281B93">
              <w:rPr>
                <w:rFonts w:eastAsia="Times New Roman" w:cs="Times New Roman"/>
                <w:sz w:val="28"/>
                <w:szCs w:val="28"/>
                <w:lang w:eastAsia="lv-LV"/>
              </w:rPr>
              <w:t>Nav</w:t>
            </w:r>
          </w:p>
        </w:tc>
      </w:tr>
    </w:tbl>
    <w:p w:rsidR="005E6F72" w:rsidRPr="00281B93" w:rsidRDefault="005E6F72" w:rsidP="00553F45">
      <w:pPr>
        <w:spacing w:before="45" w:line="360" w:lineRule="auto"/>
        <w:ind w:firstLine="301"/>
        <w:jc w:val="center"/>
        <w:rPr>
          <w:rFonts w:eastAsia="Times New Roman" w:cs="Times New Roman"/>
          <w:sz w:val="28"/>
          <w:szCs w:val="28"/>
          <w:lang w:eastAsia="lv-LV"/>
        </w:rPr>
      </w:pPr>
    </w:p>
    <w:tbl>
      <w:tblPr>
        <w:tblStyle w:val="TableGrid"/>
        <w:tblW w:w="0" w:type="auto"/>
        <w:tblLook w:val="04A0" w:firstRow="1" w:lastRow="0" w:firstColumn="1" w:lastColumn="0" w:noHBand="0" w:noVBand="1"/>
      </w:tblPr>
      <w:tblGrid>
        <w:gridCol w:w="426"/>
        <w:gridCol w:w="2547"/>
        <w:gridCol w:w="5549"/>
      </w:tblGrid>
      <w:tr w:rsidR="002603D2" w:rsidRPr="00281B93" w:rsidTr="00037ECE">
        <w:tc>
          <w:tcPr>
            <w:tcW w:w="8522" w:type="dxa"/>
            <w:gridSpan w:val="3"/>
          </w:tcPr>
          <w:p w:rsidR="00455FF0" w:rsidRPr="00281B93" w:rsidRDefault="00455FF0" w:rsidP="00553F45">
            <w:pPr>
              <w:jc w:val="center"/>
              <w:rPr>
                <w:rFonts w:eastAsia="Times New Roman" w:cs="Times New Roman"/>
                <w:iCs/>
                <w:sz w:val="28"/>
                <w:szCs w:val="28"/>
                <w:lang w:eastAsia="lv-LV"/>
              </w:rPr>
            </w:pPr>
            <w:r w:rsidRPr="00281B93">
              <w:rPr>
                <w:rFonts w:eastAsia="Times New Roman" w:cs="Times New Roman"/>
                <w:b/>
                <w:bCs/>
                <w:sz w:val="28"/>
                <w:szCs w:val="28"/>
                <w:lang w:eastAsia="lv-LV"/>
              </w:rPr>
              <w:t>VII. Tiesību akta projekta izpildes nodrošināšana un tās ietekme uz institūcijām</w:t>
            </w:r>
          </w:p>
        </w:tc>
      </w:tr>
      <w:tr w:rsidR="003C02E4" w:rsidRPr="00281B93" w:rsidTr="00425CA0">
        <w:tc>
          <w:tcPr>
            <w:tcW w:w="426" w:type="dxa"/>
          </w:tcPr>
          <w:p w:rsidR="003C02E4" w:rsidRPr="00281B93" w:rsidRDefault="003C02E4" w:rsidP="00037ECE">
            <w:pPr>
              <w:rPr>
                <w:rFonts w:eastAsia="Times New Roman" w:cs="Times New Roman"/>
                <w:sz w:val="28"/>
                <w:szCs w:val="28"/>
                <w:lang w:eastAsia="lv-LV"/>
              </w:rPr>
            </w:pPr>
            <w:r w:rsidRPr="00281B93">
              <w:rPr>
                <w:rFonts w:eastAsia="Times New Roman" w:cs="Times New Roman"/>
                <w:sz w:val="28"/>
                <w:szCs w:val="28"/>
                <w:lang w:eastAsia="lv-LV"/>
              </w:rPr>
              <w:t>1.</w:t>
            </w:r>
          </w:p>
        </w:tc>
        <w:tc>
          <w:tcPr>
            <w:tcW w:w="2547" w:type="dxa"/>
          </w:tcPr>
          <w:p w:rsidR="003C02E4" w:rsidRPr="00281B93" w:rsidRDefault="003C02E4" w:rsidP="00037ECE">
            <w:pPr>
              <w:rPr>
                <w:rFonts w:eastAsia="Times New Roman" w:cs="Times New Roman"/>
                <w:sz w:val="28"/>
                <w:szCs w:val="28"/>
                <w:lang w:eastAsia="lv-LV"/>
              </w:rPr>
            </w:pPr>
            <w:r w:rsidRPr="00281B93">
              <w:rPr>
                <w:rFonts w:eastAsia="Times New Roman" w:cs="Times New Roman"/>
                <w:sz w:val="28"/>
                <w:szCs w:val="28"/>
                <w:lang w:eastAsia="lv-LV"/>
              </w:rPr>
              <w:t>Projekta izpildē iesaistītās institūcijas</w:t>
            </w:r>
          </w:p>
        </w:tc>
        <w:tc>
          <w:tcPr>
            <w:tcW w:w="5549" w:type="dxa"/>
          </w:tcPr>
          <w:p w:rsidR="003C02E4" w:rsidRPr="00281B93" w:rsidRDefault="003C02E4" w:rsidP="003C02E4">
            <w:pPr>
              <w:jc w:val="both"/>
              <w:rPr>
                <w:rFonts w:cs="Times New Roman"/>
                <w:sz w:val="28"/>
                <w:szCs w:val="28"/>
              </w:rPr>
            </w:pPr>
            <w:r w:rsidRPr="00281B93">
              <w:rPr>
                <w:rFonts w:eastAsia="Times New Roman" w:cs="Times New Roman"/>
                <w:sz w:val="28"/>
                <w:szCs w:val="28"/>
                <w:lang w:eastAsia="lv-LV"/>
              </w:rPr>
              <w:t>Tiesību akta projekta izpilde tiks nodrošināta atbilstoši Valsts ieņēmumu dienesta funkcijām.</w:t>
            </w:r>
          </w:p>
        </w:tc>
      </w:tr>
      <w:tr w:rsidR="003C02E4" w:rsidRPr="00281B93" w:rsidTr="00425CA0">
        <w:tc>
          <w:tcPr>
            <w:tcW w:w="426" w:type="dxa"/>
          </w:tcPr>
          <w:p w:rsidR="003C02E4" w:rsidRPr="00281B93" w:rsidRDefault="003C02E4" w:rsidP="00037ECE">
            <w:pPr>
              <w:rPr>
                <w:rFonts w:eastAsia="Times New Roman" w:cs="Times New Roman"/>
                <w:sz w:val="28"/>
                <w:szCs w:val="28"/>
                <w:lang w:eastAsia="lv-LV"/>
              </w:rPr>
            </w:pPr>
            <w:r w:rsidRPr="00281B93">
              <w:rPr>
                <w:rFonts w:eastAsia="Times New Roman" w:cs="Times New Roman"/>
                <w:sz w:val="28"/>
                <w:szCs w:val="28"/>
                <w:lang w:eastAsia="lv-LV"/>
              </w:rPr>
              <w:t>2.</w:t>
            </w:r>
          </w:p>
        </w:tc>
        <w:tc>
          <w:tcPr>
            <w:tcW w:w="2547" w:type="dxa"/>
          </w:tcPr>
          <w:p w:rsidR="003C02E4" w:rsidRPr="00281B93" w:rsidRDefault="003C02E4" w:rsidP="00455FF0">
            <w:pPr>
              <w:rPr>
                <w:rFonts w:eastAsia="Times New Roman" w:cs="Times New Roman"/>
                <w:sz w:val="28"/>
                <w:szCs w:val="28"/>
                <w:lang w:eastAsia="lv-LV"/>
              </w:rPr>
            </w:pPr>
            <w:r w:rsidRPr="00281B93">
              <w:rPr>
                <w:rFonts w:eastAsia="Times New Roman" w:cs="Times New Roman"/>
                <w:sz w:val="28"/>
                <w:szCs w:val="28"/>
                <w:lang w:eastAsia="lv-LV"/>
              </w:rPr>
              <w:t xml:space="preserve">Projekta izpildes ietekme uz pārvaldes funkcijām un institucionālo struktūru. </w:t>
            </w:r>
          </w:p>
          <w:p w:rsidR="003C02E4" w:rsidRPr="00281B93" w:rsidRDefault="003C02E4" w:rsidP="00455FF0">
            <w:pPr>
              <w:spacing w:before="100" w:beforeAutospacing="1" w:after="100" w:afterAutospacing="1"/>
              <w:rPr>
                <w:rFonts w:eastAsia="Times New Roman" w:cs="Times New Roman"/>
                <w:sz w:val="28"/>
                <w:szCs w:val="28"/>
                <w:lang w:eastAsia="lv-LV"/>
              </w:rPr>
            </w:pPr>
            <w:r w:rsidRPr="00281B93">
              <w:rPr>
                <w:rFonts w:eastAsia="Times New Roman" w:cs="Times New Roman"/>
                <w:sz w:val="28"/>
                <w:szCs w:val="28"/>
                <w:lang w:eastAsia="lv-LV"/>
              </w:rPr>
              <w:t>Jaunu institūciju izveide, esošu institūciju likvidācija vai reorganizācija, to ietekme uz institūcijas cilvēkresursiem</w:t>
            </w:r>
          </w:p>
        </w:tc>
        <w:tc>
          <w:tcPr>
            <w:tcW w:w="5549" w:type="dxa"/>
          </w:tcPr>
          <w:p w:rsidR="003C02E4" w:rsidRPr="00281B93" w:rsidRDefault="003C02E4" w:rsidP="00037ECE">
            <w:pPr>
              <w:rPr>
                <w:rFonts w:eastAsia="Times New Roman" w:cs="Times New Roman"/>
                <w:sz w:val="28"/>
                <w:szCs w:val="28"/>
                <w:lang w:eastAsia="lv-LV"/>
              </w:rPr>
            </w:pPr>
            <w:r w:rsidRPr="00281B93">
              <w:rPr>
                <w:rFonts w:eastAsia="Times New Roman" w:cs="Times New Roman"/>
                <w:sz w:val="28"/>
                <w:szCs w:val="28"/>
                <w:lang w:eastAsia="lv-LV"/>
              </w:rPr>
              <w:t>Projekts šo jomu neskar</w:t>
            </w:r>
          </w:p>
        </w:tc>
      </w:tr>
      <w:tr w:rsidR="003C02E4" w:rsidRPr="00281B93" w:rsidTr="00425CA0">
        <w:tc>
          <w:tcPr>
            <w:tcW w:w="426" w:type="dxa"/>
          </w:tcPr>
          <w:p w:rsidR="003C02E4" w:rsidRPr="00281B93" w:rsidRDefault="003C02E4" w:rsidP="00037ECE">
            <w:pPr>
              <w:rPr>
                <w:rFonts w:eastAsia="Times New Roman" w:cs="Times New Roman"/>
                <w:sz w:val="28"/>
                <w:szCs w:val="28"/>
                <w:lang w:eastAsia="lv-LV"/>
              </w:rPr>
            </w:pPr>
            <w:r w:rsidRPr="00281B93">
              <w:rPr>
                <w:rFonts w:eastAsia="Times New Roman" w:cs="Times New Roman"/>
                <w:sz w:val="28"/>
                <w:szCs w:val="28"/>
                <w:lang w:eastAsia="lv-LV"/>
              </w:rPr>
              <w:t>3.</w:t>
            </w:r>
          </w:p>
        </w:tc>
        <w:tc>
          <w:tcPr>
            <w:tcW w:w="2547" w:type="dxa"/>
          </w:tcPr>
          <w:p w:rsidR="003C02E4" w:rsidRPr="00281B93" w:rsidRDefault="003C02E4" w:rsidP="00037ECE">
            <w:pPr>
              <w:rPr>
                <w:rFonts w:eastAsia="Times New Roman" w:cs="Times New Roman"/>
                <w:sz w:val="28"/>
                <w:szCs w:val="28"/>
                <w:lang w:eastAsia="lv-LV"/>
              </w:rPr>
            </w:pPr>
            <w:r w:rsidRPr="00281B93">
              <w:rPr>
                <w:rFonts w:eastAsia="Times New Roman" w:cs="Times New Roman"/>
                <w:sz w:val="28"/>
                <w:szCs w:val="28"/>
                <w:lang w:eastAsia="lv-LV"/>
              </w:rPr>
              <w:t>Cita informācija</w:t>
            </w:r>
          </w:p>
        </w:tc>
        <w:tc>
          <w:tcPr>
            <w:tcW w:w="5549" w:type="dxa"/>
          </w:tcPr>
          <w:p w:rsidR="003C02E4" w:rsidRPr="00281B93" w:rsidRDefault="003C02E4" w:rsidP="00037ECE">
            <w:pPr>
              <w:spacing w:before="100" w:beforeAutospacing="1" w:after="100" w:afterAutospacing="1" w:line="360" w:lineRule="auto"/>
              <w:rPr>
                <w:rFonts w:eastAsia="Times New Roman" w:cs="Times New Roman"/>
                <w:sz w:val="28"/>
                <w:szCs w:val="28"/>
                <w:lang w:eastAsia="lv-LV"/>
              </w:rPr>
            </w:pPr>
            <w:r w:rsidRPr="00281B93">
              <w:rPr>
                <w:rFonts w:eastAsia="Times New Roman" w:cs="Times New Roman"/>
                <w:sz w:val="28"/>
                <w:szCs w:val="28"/>
                <w:lang w:eastAsia="lv-LV"/>
              </w:rPr>
              <w:t>Nav</w:t>
            </w:r>
          </w:p>
        </w:tc>
      </w:tr>
    </w:tbl>
    <w:p w:rsidR="00425CA0" w:rsidRPr="00281B93" w:rsidRDefault="00425CA0" w:rsidP="000763E0">
      <w:pPr>
        <w:tabs>
          <w:tab w:val="left" w:pos="2552"/>
        </w:tabs>
        <w:jc w:val="both"/>
        <w:rPr>
          <w:rFonts w:eastAsia="Calibri" w:cs="Times New Roman"/>
          <w:sz w:val="28"/>
          <w:szCs w:val="28"/>
        </w:rPr>
      </w:pPr>
    </w:p>
    <w:p w:rsidR="000763E0" w:rsidRPr="00281B93" w:rsidRDefault="00425CA0" w:rsidP="00425CA0">
      <w:pPr>
        <w:tabs>
          <w:tab w:val="left" w:pos="2552"/>
        </w:tabs>
        <w:jc w:val="center"/>
        <w:rPr>
          <w:rFonts w:eastAsia="Calibri" w:cs="Times New Roman"/>
          <w:sz w:val="28"/>
          <w:szCs w:val="28"/>
        </w:rPr>
      </w:pPr>
      <w:r w:rsidRPr="00281B93">
        <w:rPr>
          <w:rFonts w:eastAsia="Calibri" w:cs="Times New Roman"/>
          <w:sz w:val="28"/>
          <w:szCs w:val="28"/>
        </w:rPr>
        <w:t>Anotācij</w:t>
      </w:r>
      <w:r w:rsidR="005A3E60" w:rsidRPr="00281B93">
        <w:rPr>
          <w:rFonts w:eastAsia="Calibri" w:cs="Times New Roman"/>
          <w:sz w:val="28"/>
          <w:szCs w:val="28"/>
        </w:rPr>
        <w:t>as IV sadaļa – projekts šo jomu</w:t>
      </w:r>
      <w:r w:rsidRPr="00281B93">
        <w:rPr>
          <w:rFonts w:eastAsia="Calibri" w:cs="Times New Roman"/>
          <w:sz w:val="28"/>
          <w:szCs w:val="28"/>
        </w:rPr>
        <w:t xml:space="preserve"> neskar.</w:t>
      </w:r>
    </w:p>
    <w:tbl>
      <w:tblPr>
        <w:tblW w:w="8550" w:type="dxa"/>
        <w:tblInd w:w="-78" w:type="dxa"/>
        <w:tblLayout w:type="fixed"/>
        <w:tblLook w:val="04A0" w:firstRow="1" w:lastRow="0" w:firstColumn="1" w:lastColumn="0" w:noHBand="0" w:noVBand="1"/>
      </w:tblPr>
      <w:tblGrid>
        <w:gridCol w:w="6140"/>
        <w:gridCol w:w="2410"/>
      </w:tblGrid>
      <w:tr w:rsidR="00425CA0" w:rsidRPr="00281B93" w:rsidTr="003A6FE5">
        <w:trPr>
          <w:trHeight w:val="866"/>
        </w:trPr>
        <w:tc>
          <w:tcPr>
            <w:tcW w:w="6140" w:type="dxa"/>
            <w:shd w:val="clear" w:color="auto" w:fill="auto"/>
          </w:tcPr>
          <w:p w:rsidR="00425CA0" w:rsidRPr="00281B93" w:rsidRDefault="00425CA0" w:rsidP="00665EBC">
            <w:pPr>
              <w:tabs>
                <w:tab w:val="left" w:pos="7938"/>
              </w:tabs>
              <w:rPr>
                <w:rFonts w:cs="Times New Roman"/>
                <w:b/>
                <w:sz w:val="28"/>
                <w:szCs w:val="28"/>
              </w:rPr>
            </w:pPr>
          </w:p>
          <w:p w:rsidR="00425CA0" w:rsidRPr="00281B93" w:rsidRDefault="00425CA0" w:rsidP="00665EBC">
            <w:pPr>
              <w:tabs>
                <w:tab w:val="left" w:pos="7938"/>
              </w:tabs>
              <w:rPr>
                <w:rFonts w:cs="Times New Roman"/>
                <w:b/>
                <w:sz w:val="28"/>
                <w:szCs w:val="28"/>
              </w:rPr>
            </w:pPr>
          </w:p>
          <w:p w:rsidR="00425CA0" w:rsidRPr="00281B93" w:rsidRDefault="003A6FE5" w:rsidP="00665EBC">
            <w:pPr>
              <w:tabs>
                <w:tab w:val="left" w:pos="7938"/>
              </w:tabs>
              <w:rPr>
                <w:rFonts w:cs="Times New Roman"/>
                <w:b/>
                <w:sz w:val="28"/>
                <w:szCs w:val="28"/>
              </w:rPr>
            </w:pPr>
            <w:r w:rsidRPr="00281B93">
              <w:rPr>
                <w:rFonts w:cs="Times New Roman"/>
                <w:b/>
                <w:sz w:val="28"/>
                <w:szCs w:val="28"/>
              </w:rPr>
              <w:t xml:space="preserve"> </w:t>
            </w:r>
            <w:r w:rsidR="00425CA0" w:rsidRPr="00281B93">
              <w:rPr>
                <w:rFonts w:cs="Times New Roman"/>
                <w:b/>
                <w:sz w:val="28"/>
                <w:szCs w:val="28"/>
              </w:rPr>
              <w:t>Finanšu ministrs</w:t>
            </w:r>
          </w:p>
        </w:tc>
        <w:tc>
          <w:tcPr>
            <w:tcW w:w="2410" w:type="dxa"/>
            <w:shd w:val="clear" w:color="auto" w:fill="auto"/>
          </w:tcPr>
          <w:p w:rsidR="00425CA0" w:rsidRPr="00281B93" w:rsidRDefault="00425CA0" w:rsidP="00665EBC">
            <w:pPr>
              <w:tabs>
                <w:tab w:val="left" w:pos="7938"/>
              </w:tabs>
              <w:jc w:val="right"/>
              <w:rPr>
                <w:rFonts w:cs="Times New Roman"/>
                <w:b/>
                <w:sz w:val="28"/>
                <w:szCs w:val="28"/>
              </w:rPr>
            </w:pPr>
          </w:p>
          <w:p w:rsidR="00425CA0" w:rsidRPr="00281B93" w:rsidRDefault="00425CA0" w:rsidP="00665EBC">
            <w:pPr>
              <w:tabs>
                <w:tab w:val="left" w:pos="7938"/>
              </w:tabs>
              <w:jc w:val="center"/>
              <w:rPr>
                <w:rFonts w:cs="Times New Roman"/>
                <w:b/>
                <w:sz w:val="28"/>
                <w:szCs w:val="28"/>
              </w:rPr>
            </w:pPr>
          </w:p>
          <w:p w:rsidR="00FA3076" w:rsidRPr="00281B93" w:rsidRDefault="003A6FE5" w:rsidP="00FA3076">
            <w:pPr>
              <w:tabs>
                <w:tab w:val="left" w:pos="7938"/>
              </w:tabs>
              <w:rPr>
                <w:rFonts w:cs="Times New Roman"/>
                <w:sz w:val="28"/>
                <w:szCs w:val="28"/>
              </w:rPr>
            </w:pPr>
            <w:r w:rsidRPr="00281B93">
              <w:rPr>
                <w:rFonts w:cs="Times New Roman"/>
                <w:sz w:val="28"/>
                <w:szCs w:val="28"/>
              </w:rPr>
              <w:t xml:space="preserve">             </w:t>
            </w:r>
            <w:r w:rsidR="00FA3076" w:rsidRPr="00281B93">
              <w:rPr>
                <w:rFonts w:cs="Times New Roman"/>
                <w:sz w:val="28"/>
                <w:szCs w:val="28"/>
              </w:rPr>
              <w:t>J.Reirs</w:t>
            </w:r>
          </w:p>
        </w:tc>
      </w:tr>
    </w:tbl>
    <w:p w:rsidR="003A6FE5" w:rsidRPr="00281B93" w:rsidRDefault="003A6FE5" w:rsidP="000763E0">
      <w:pPr>
        <w:tabs>
          <w:tab w:val="left" w:pos="2552"/>
        </w:tabs>
        <w:jc w:val="both"/>
        <w:rPr>
          <w:rFonts w:eastAsia="Calibri" w:cs="Times New Roman"/>
          <w:sz w:val="22"/>
        </w:rPr>
      </w:pPr>
    </w:p>
    <w:p w:rsidR="000763E0" w:rsidRPr="00281B93" w:rsidRDefault="00281B93" w:rsidP="000763E0">
      <w:pPr>
        <w:tabs>
          <w:tab w:val="left" w:pos="2552"/>
        </w:tabs>
        <w:jc w:val="both"/>
        <w:rPr>
          <w:rFonts w:eastAsia="Calibri" w:cs="Times New Roman"/>
          <w:sz w:val="22"/>
        </w:rPr>
      </w:pPr>
      <w:r>
        <w:rPr>
          <w:rFonts w:eastAsia="Calibri" w:cs="Times New Roman"/>
          <w:sz w:val="22"/>
        </w:rPr>
        <w:t>25</w:t>
      </w:r>
      <w:r w:rsidR="00892E3D" w:rsidRPr="00281B93">
        <w:rPr>
          <w:rFonts w:eastAsia="Calibri" w:cs="Times New Roman"/>
          <w:sz w:val="22"/>
        </w:rPr>
        <w:t>.0</w:t>
      </w:r>
      <w:r w:rsidR="00C246E5" w:rsidRPr="00281B93">
        <w:rPr>
          <w:rFonts w:eastAsia="Calibri" w:cs="Times New Roman"/>
          <w:sz w:val="22"/>
        </w:rPr>
        <w:t>2</w:t>
      </w:r>
      <w:r w:rsidR="000763E0" w:rsidRPr="00281B93">
        <w:rPr>
          <w:rFonts w:eastAsia="Calibri" w:cs="Times New Roman"/>
          <w:sz w:val="22"/>
        </w:rPr>
        <w:t>.201</w:t>
      </w:r>
      <w:r w:rsidR="00892E3D" w:rsidRPr="00281B93">
        <w:rPr>
          <w:rFonts w:eastAsia="Calibri" w:cs="Times New Roman"/>
          <w:sz w:val="22"/>
        </w:rPr>
        <w:t>5</w:t>
      </w:r>
      <w:r w:rsidR="000763E0" w:rsidRPr="00281B93">
        <w:rPr>
          <w:rFonts w:eastAsia="Calibri" w:cs="Times New Roman"/>
          <w:sz w:val="22"/>
        </w:rPr>
        <w:t xml:space="preserve">. </w:t>
      </w:r>
      <w:r w:rsidR="00341A82">
        <w:rPr>
          <w:rFonts w:eastAsia="Calibri" w:cs="Times New Roman"/>
          <w:sz w:val="22"/>
        </w:rPr>
        <w:t>11:19</w:t>
      </w:r>
    </w:p>
    <w:p w:rsidR="000763E0" w:rsidRPr="00281B93" w:rsidRDefault="006F2315" w:rsidP="000763E0">
      <w:pPr>
        <w:tabs>
          <w:tab w:val="left" w:pos="2552"/>
        </w:tabs>
        <w:jc w:val="both"/>
        <w:rPr>
          <w:rFonts w:eastAsia="Calibri" w:cs="Times New Roman"/>
          <w:sz w:val="22"/>
        </w:rPr>
      </w:pPr>
      <w:r w:rsidRPr="00281B93">
        <w:rPr>
          <w:rFonts w:eastAsia="Calibri" w:cs="Times New Roman"/>
          <w:sz w:val="22"/>
        </w:rPr>
        <w:t>1158</w:t>
      </w:r>
    </w:p>
    <w:p w:rsidR="00E75703" w:rsidRDefault="00E75703" w:rsidP="003A6FE5">
      <w:pPr>
        <w:jc w:val="both"/>
        <w:rPr>
          <w:rFonts w:eastAsia="Calibri" w:cs="Times New Roman"/>
          <w:sz w:val="22"/>
        </w:rPr>
      </w:pPr>
      <w:r>
        <w:rPr>
          <w:rFonts w:eastAsia="Calibri" w:cs="Times New Roman"/>
          <w:sz w:val="22"/>
        </w:rPr>
        <w:t>J.</w:t>
      </w:r>
      <w:r w:rsidR="00281B93">
        <w:rPr>
          <w:rFonts w:eastAsia="Calibri" w:cs="Times New Roman"/>
          <w:sz w:val="22"/>
        </w:rPr>
        <w:t>Dorohina</w:t>
      </w:r>
      <w:r w:rsidR="000763E0" w:rsidRPr="00281B93">
        <w:rPr>
          <w:rFonts w:eastAsia="Calibri" w:cs="Times New Roman"/>
          <w:sz w:val="22"/>
        </w:rPr>
        <w:t xml:space="preserve">, </w:t>
      </w:r>
    </w:p>
    <w:p w:rsidR="00455FF0" w:rsidRPr="003A6FE5" w:rsidRDefault="000763E0" w:rsidP="003A6FE5">
      <w:pPr>
        <w:jc w:val="both"/>
        <w:rPr>
          <w:rFonts w:eastAsia="Calibri" w:cs="Times New Roman"/>
          <w:sz w:val="28"/>
          <w:szCs w:val="28"/>
        </w:rPr>
      </w:pPr>
      <w:r w:rsidRPr="00281B93">
        <w:rPr>
          <w:rFonts w:eastAsia="Calibri" w:cs="Times New Roman"/>
          <w:sz w:val="22"/>
        </w:rPr>
        <w:t>67</w:t>
      </w:r>
      <w:r w:rsidR="00425CA0" w:rsidRPr="00281B93">
        <w:rPr>
          <w:rFonts w:eastAsia="Calibri" w:cs="Times New Roman"/>
          <w:sz w:val="22"/>
        </w:rPr>
        <w:t>12179</w:t>
      </w:r>
      <w:r w:rsidR="00281B93">
        <w:rPr>
          <w:rFonts w:eastAsia="Calibri" w:cs="Times New Roman"/>
          <w:sz w:val="22"/>
        </w:rPr>
        <w:t>1</w:t>
      </w:r>
      <w:r w:rsidRPr="00281B93">
        <w:rPr>
          <w:rFonts w:eastAsia="Calibri" w:cs="Times New Roman"/>
          <w:sz w:val="22"/>
        </w:rPr>
        <w:t xml:space="preserve">, </w:t>
      </w:r>
      <w:r w:rsidR="00425CA0" w:rsidRPr="00281B93">
        <w:rPr>
          <w:rFonts w:eastAsia="Calibri" w:cs="Times New Roman"/>
          <w:color w:val="0000FF" w:themeColor="hyperlink"/>
          <w:sz w:val="22"/>
          <w:u w:val="single"/>
        </w:rPr>
        <w:t>J</w:t>
      </w:r>
      <w:r w:rsidR="00281B93">
        <w:rPr>
          <w:rFonts w:eastAsia="Calibri" w:cs="Times New Roman"/>
          <w:color w:val="0000FF" w:themeColor="hyperlink"/>
          <w:sz w:val="22"/>
          <w:u w:val="single"/>
        </w:rPr>
        <w:t>elena</w:t>
      </w:r>
      <w:r w:rsidR="00425CA0" w:rsidRPr="00281B93">
        <w:rPr>
          <w:rFonts w:eastAsia="Calibri" w:cs="Times New Roman"/>
          <w:color w:val="0000FF" w:themeColor="hyperlink"/>
          <w:sz w:val="22"/>
          <w:u w:val="single"/>
        </w:rPr>
        <w:t>.</w:t>
      </w:r>
      <w:r w:rsidR="00281B93">
        <w:rPr>
          <w:rFonts w:eastAsia="Calibri" w:cs="Times New Roman"/>
          <w:color w:val="0000FF" w:themeColor="hyperlink"/>
          <w:sz w:val="22"/>
          <w:u w:val="single"/>
        </w:rPr>
        <w:t>Dorohina</w:t>
      </w:r>
      <w:r w:rsidR="00425CA0" w:rsidRPr="00281B93">
        <w:rPr>
          <w:rFonts w:eastAsia="Calibri" w:cs="Times New Roman"/>
          <w:color w:val="0000FF" w:themeColor="hyperlink"/>
          <w:sz w:val="22"/>
          <w:u w:val="single"/>
        </w:rPr>
        <w:t>@vid</w:t>
      </w:r>
      <w:r w:rsidRPr="00281B93">
        <w:rPr>
          <w:rFonts w:eastAsia="Calibri" w:cs="Times New Roman"/>
          <w:color w:val="0000FF" w:themeColor="hyperlink"/>
          <w:sz w:val="22"/>
          <w:u w:val="single"/>
        </w:rPr>
        <w:t>.gov.lv</w:t>
      </w:r>
      <w:r w:rsidRPr="00425CA0">
        <w:rPr>
          <w:rFonts w:eastAsia="Calibri" w:cs="Times New Roman"/>
          <w:sz w:val="28"/>
          <w:szCs w:val="28"/>
        </w:rPr>
        <w:t xml:space="preserve"> </w:t>
      </w:r>
    </w:p>
    <w:sectPr w:rsidR="00455FF0" w:rsidRPr="003A6FE5" w:rsidSect="00553F45">
      <w:headerReference w:type="default" r:id="rId8"/>
      <w:footerReference w:type="default" r:id="rId9"/>
      <w:footerReference w:type="first" r:id="rId10"/>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45" w:rsidRDefault="00E17445" w:rsidP="00553F45">
      <w:r>
        <w:separator/>
      </w:r>
    </w:p>
  </w:endnote>
  <w:endnote w:type="continuationSeparator" w:id="0">
    <w:p w:rsidR="00E17445" w:rsidRDefault="00E17445" w:rsidP="0055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ri">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F72" w:rsidRPr="005E6F72" w:rsidRDefault="005E6F72" w:rsidP="005E6F72">
    <w:pPr>
      <w:pStyle w:val="Footer"/>
      <w:jc w:val="both"/>
      <w:rPr>
        <w:sz w:val="20"/>
      </w:rPr>
    </w:pPr>
    <w:r w:rsidRPr="005E6F72">
      <w:rPr>
        <w:sz w:val="20"/>
      </w:rPr>
      <w:t>FMAnot_</w:t>
    </w:r>
    <w:r w:rsidR="00A90E9B">
      <w:rPr>
        <w:sz w:val="20"/>
      </w:rPr>
      <w:t>25</w:t>
    </w:r>
    <w:r w:rsidR="00C246E5">
      <w:rPr>
        <w:sz w:val="20"/>
      </w:rPr>
      <w:t>.0</w:t>
    </w:r>
    <w:r w:rsidR="005E29C6">
      <w:rPr>
        <w:sz w:val="20"/>
      </w:rPr>
      <w:t>2</w:t>
    </w:r>
    <w:r w:rsidRPr="005E6F72">
      <w:rPr>
        <w:sz w:val="20"/>
      </w:rPr>
      <w:t>.2015_FATCA; Ministru kabineta noteikumu projekta “Kārtība, kādā Valsts ieņēmumu dienestam sniedzama informācija Latvijas Republikas valdības un Amerikas Savienoto Valstu valdības līguma par starptautisko nodokļu pienākumu izpildes uzlabošanu un likuma par ārvalstu kontu nodokļu pienākumu izpildi (FATCA) ieviešanu prasību izpildes nodroši</w:t>
    </w:r>
    <w:r>
      <w:rPr>
        <w:sz w:val="20"/>
      </w:rPr>
      <w:t xml:space="preserve">nāšanai” sākotnējās ietekmes </w:t>
    </w:r>
    <w:r w:rsidRPr="005E6F72">
      <w:rPr>
        <w:sz w:val="20"/>
      </w:rPr>
      <w:t>n</w:t>
    </w:r>
    <w:r>
      <w:rPr>
        <w:sz w:val="20"/>
      </w:rPr>
      <w:t>ovērtējuma ziņojums (anotācija)</w:t>
    </w:r>
  </w:p>
  <w:p w:rsidR="005E6F72" w:rsidRDefault="005E6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F72" w:rsidRPr="005E6F72" w:rsidRDefault="005E6F72" w:rsidP="005E6F72">
    <w:pPr>
      <w:pStyle w:val="Footer"/>
      <w:jc w:val="both"/>
      <w:rPr>
        <w:sz w:val="20"/>
      </w:rPr>
    </w:pPr>
    <w:r w:rsidRPr="005E6F72">
      <w:rPr>
        <w:sz w:val="20"/>
      </w:rPr>
      <w:t>FMAnot_</w:t>
    </w:r>
    <w:r w:rsidR="00341A82">
      <w:rPr>
        <w:sz w:val="20"/>
      </w:rPr>
      <w:t>25</w:t>
    </w:r>
    <w:r w:rsidR="00347124">
      <w:rPr>
        <w:sz w:val="20"/>
      </w:rPr>
      <w:t>.0</w:t>
    </w:r>
    <w:r w:rsidR="00341A82">
      <w:rPr>
        <w:sz w:val="20"/>
      </w:rPr>
      <w:t>2</w:t>
    </w:r>
    <w:r w:rsidRPr="005E6F72">
      <w:rPr>
        <w:sz w:val="20"/>
      </w:rPr>
      <w:t>.2015_FATCA; Ministru kabineta noteikumu projekta “Kārtība, kādā Valsts ieņēmumu dienestam sniedzama informācija Latvijas Republikas valdības un Amerikas Savienoto Valstu valdības līguma par starptautisko nodokļu pienākumu izpildes uzlabošanu un likuma par ārvalstu kontu nodokļu pienākumu izpildi (FATCA) ieviešanu prasību izpildes nodroši</w:t>
    </w:r>
    <w:r>
      <w:rPr>
        <w:sz w:val="20"/>
      </w:rPr>
      <w:t xml:space="preserve">nāšanai” sākotnējās ietekmes </w:t>
    </w:r>
    <w:r w:rsidRPr="005E6F72">
      <w:rPr>
        <w:sz w:val="20"/>
      </w:rPr>
      <w:t>n</w:t>
    </w:r>
    <w:r>
      <w:rPr>
        <w:sz w:val="20"/>
      </w:rPr>
      <w:t>ovērtējuma ziņojums (anotācija)</w:t>
    </w:r>
  </w:p>
  <w:p w:rsidR="005E6F72" w:rsidRDefault="005E6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45" w:rsidRDefault="00E17445" w:rsidP="00553F45">
      <w:r>
        <w:separator/>
      </w:r>
    </w:p>
  </w:footnote>
  <w:footnote w:type="continuationSeparator" w:id="0">
    <w:p w:rsidR="00E17445" w:rsidRDefault="00E17445" w:rsidP="00553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31237"/>
      <w:docPartObj>
        <w:docPartGallery w:val="Page Numbers (Top of Page)"/>
        <w:docPartUnique/>
      </w:docPartObj>
    </w:sdtPr>
    <w:sdtEndPr>
      <w:rPr>
        <w:noProof/>
      </w:rPr>
    </w:sdtEndPr>
    <w:sdtContent>
      <w:p w:rsidR="00553F45" w:rsidRDefault="006715C6">
        <w:pPr>
          <w:pStyle w:val="Header"/>
          <w:jc w:val="center"/>
        </w:pPr>
        <w:r>
          <w:fldChar w:fldCharType="begin"/>
        </w:r>
        <w:r w:rsidR="00553F45">
          <w:instrText xml:space="preserve"> PAGE   \* MERGEFORMAT </w:instrText>
        </w:r>
        <w:r>
          <w:fldChar w:fldCharType="separate"/>
        </w:r>
        <w:r w:rsidR="00644BB7">
          <w:rPr>
            <w:noProof/>
          </w:rPr>
          <w:t>7</w:t>
        </w:r>
        <w:r>
          <w:rPr>
            <w:noProof/>
          </w:rPr>
          <w:fldChar w:fldCharType="end"/>
        </w:r>
      </w:p>
    </w:sdtContent>
  </w:sdt>
  <w:p w:rsidR="00553F45" w:rsidRDefault="00553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F5ABD"/>
    <w:multiLevelType w:val="hybridMultilevel"/>
    <w:tmpl w:val="A5F09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9380E04"/>
    <w:multiLevelType w:val="multilevel"/>
    <w:tmpl w:val="10B2F270"/>
    <w:lvl w:ilvl="0">
      <w:start w:val="1"/>
      <w:numFmt w:val="decimal"/>
      <w:lvlText w:val="%1."/>
      <w:lvlJc w:val="left"/>
      <w:pPr>
        <w:ind w:left="660" w:hanging="360"/>
      </w:pPr>
    </w:lvl>
    <w:lvl w:ilvl="1">
      <w:start w:val="1"/>
      <w:numFmt w:val="decimal"/>
      <w:isLgl/>
      <w:lvlText w:val="%1.%2."/>
      <w:lvlJc w:val="left"/>
      <w:pPr>
        <w:ind w:left="1020" w:hanging="360"/>
      </w:pPr>
    </w:lvl>
    <w:lvl w:ilvl="2">
      <w:start w:val="1"/>
      <w:numFmt w:val="decimal"/>
      <w:isLgl/>
      <w:lvlText w:val="%1.%2.%3."/>
      <w:lvlJc w:val="left"/>
      <w:pPr>
        <w:ind w:left="1740" w:hanging="720"/>
      </w:pPr>
    </w:lvl>
    <w:lvl w:ilvl="3">
      <w:start w:val="1"/>
      <w:numFmt w:val="decimal"/>
      <w:isLgl/>
      <w:lvlText w:val="%1.%2.%3.%4."/>
      <w:lvlJc w:val="left"/>
      <w:pPr>
        <w:ind w:left="2100" w:hanging="720"/>
      </w:pPr>
    </w:lvl>
    <w:lvl w:ilvl="4">
      <w:start w:val="1"/>
      <w:numFmt w:val="decimal"/>
      <w:isLgl/>
      <w:lvlText w:val="%1.%2.%3.%4.%5."/>
      <w:lvlJc w:val="left"/>
      <w:pPr>
        <w:ind w:left="2820" w:hanging="1080"/>
      </w:pPr>
    </w:lvl>
    <w:lvl w:ilvl="5">
      <w:start w:val="1"/>
      <w:numFmt w:val="decimal"/>
      <w:isLgl/>
      <w:lvlText w:val="%1.%2.%3.%4.%5.%6."/>
      <w:lvlJc w:val="left"/>
      <w:pPr>
        <w:ind w:left="3180" w:hanging="1080"/>
      </w:pPr>
    </w:lvl>
    <w:lvl w:ilvl="6">
      <w:start w:val="1"/>
      <w:numFmt w:val="decimal"/>
      <w:isLgl/>
      <w:lvlText w:val="%1.%2.%3.%4.%5.%6.%7."/>
      <w:lvlJc w:val="left"/>
      <w:pPr>
        <w:ind w:left="3900" w:hanging="1440"/>
      </w:pPr>
    </w:lvl>
    <w:lvl w:ilvl="7">
      <w:start w:val="1"/>
      <w:numFmt w:val="decimal"/>
      <w:isLgl/>
      <w:lvlText w:val="%1.%2.%3.%4.%5.%6.%7.%8."/>
      <w:lvlJc w:val="left"/>
      <w:pPr>
        <w:ind w:left="4260" w:hanging="1440"/>
      </w:pPr>
    </w:lvl>
    <w:lvl w:ilvl="8">
      <w:start w:val="1"/>
      <w:numFmt w:val="decimal"/>
      <w:isLgl/>
      <w:lvlText w:val="%1.%2.%3.%4.%5.%6.%7.%8.%9."/>
      <w:lvlJc w:val="left"/>
      <w:pPr>
        <w:ind w:left="4980" w:hanging="1800"/>
      </w:pPr>
    </w:lvl>
  </w:abstractNum>
  <w:abstractNum w:abstractNumId="2">
    <w:nsid w:val="708274AE"/>
    <w:multiLevelType w:val="hybridMultilevel"/>
    <w:tmpl w:val="F9A248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D8"/>
    <w:rsid w:val="00026D59"/>
    <w:rsid w:val="000362BC"/>
    <w:rsid w:val="00050572"/>
    <w:rsid w:val="000668EC"/>
    <w:rsid w:val="00067485"/>
    <w:rsid w:val="000763E0"/>
    <w:rsid w:val="000B3869"/>
    <w:rsid w:val="000B4473"/>
    <w:rsid w:val="000B56B3"/>
    <w:rsid w:val="000B742B"/>
    <w:rsid w:val="000D7547"/>
    <w:rsid w:val="000E4792"/>
    <w:rsid w:val="000F5B07"/>
    <w:rsid w:val="001632C3"/>
    <w:rsid w:val="00176635"/>
    <w:rsid w:val="001852AA"/>
    <w:rsid w:val="001A1FAB"/>
    <w:rsid w:val="001B4E54"/>
    <w:rsid w:val="001B6A46"/>
    <w:rsid w:val="001C5844"/>
    <w:rsid w:val="001D733D"/>
    <w:rsid w:val="001F1326"/>
    <w:rsid w:val="002603D2"/>
    <w:rsid w:val="00281B93"/>
    <w:rsid w:val="00282A7E"/>
    <w:rsid w:val="002C1632"/>
    <w:rsid w:val="002E07CA"/>
    <w:rsid w:val="00341A82"/>
    <w:rsid w:val="00347124"/>
    <w:rsid w:val="00367D4A"/>
    <w:rsid w:val="003804C4"/>
    <w:rsid w:val="0039287D"/>
    <w:rsid w:val="003940E1"/>
    <w:rsid w:val="00395375"/>
    <w:rsid w:val="003A6FE5"/>
    <w:rsid w:val="003A7ABE"/>
    <w:rsid w:val="003C02E4"/>
    <w:rsid w:val="003E6A0F"/>
    <w:rsid w:val="003E7D27"/>
    <w:rsid w:val="004064D8"/>
    <w:rsid w:val="00423DF9"/>
    <w:rsid w:val="00425CA0"/>
    <w:rsid w:val="004554A9"/>
    <w:rsid w:val="00455FF0"/>
    <w:rsid w:val="0049000C"/>
    <w:rsid w:val="004D1772"/>
    <w:rsid w:val="004F0940"/>
    <w:rsid w:val="00507A40"/>
    <w:rsid w:val="0052134D"/>
    <w:rsid w:val="00552D26"/>
    <w:rsid w:val="00553F45"/>
    <w:rsid w:val="005A3E60"/>
    <w:rsid w:val="005B4503"/>
    <w:rsid w:val="005E29C6"/>
    <w:rsid w:val="005E5072"/>
    <w:rsid w:val="005E6F72"/>
    <w:rsid w:val="005F0522"/>
    <w:rsid w:val="005F36BA"/>
    <w:rsid w:val="00635BBE"/>
    <w:rsid w:val="00644BB7"/>
    <w:rsid w:val="0066422A"/>
    <w:rsid w:val="006715C6"/>
    <w:rsid w:val="0067791D"/>
    <w:rsid w:val="00684FDB"/>
    <w:rsid w:val="0069631D"/>
    <w:rsid w:val="006B1FB4"/>
    <w:rsid w:val="006B46F8"/>
    <w:rsid w:val="006C6ACB"/>
    <w:rsid w:val="006D4AD1"/>
    <w:rsid w:val="006F2315"/>
    <w:rsid w:val="006F3321"/>
    <w:rsid w:val="006F452F"/>
    <w:rsid w:val="006F4846"/>
    <w:rsid w:val="007213CD"/>
    <w:rsid w:val="0073398E"/>
    <w:rsid w:val="00757333"/>
    <w:rsid w:val="00773A54"/>
    <w:rsid w:val="00790C4B"/>
    <w:rsid w:val="007C5FCE"/>
    <w:rsid w:val="007C7F7D"/>
    <w:rsid w:val="00801FDE"/>
    <w:rsid w:val="008607CF"/>
    <w:rsid w:val="00892E3D"/>
    <w:rsid w:val="00897AD8"/>
    <w:rsid w:val="008F5654"/>
    <w:rsid w:val="008F7FE2"/>
    <w:rsid w:val="00903904"/>
    <w:rsid w:val="00930A48"/>
    <w:rsid w:val="00961348"/>
    <w:rsid w:val="00976F44"/>
    <w:rsid w:val="00996C9D"/>
    <w:rsid w:val="009A2825"/>
    <w:rsid w:val="009C757A"/>
    <w:rsid w:val="009D4F7D"/>
    <w:rsid w:val="00A34D2B"/>
    <w:rsid w:val="00A4479A"/>
    <w:rsid w:val="00A80C75"/>
    <w:rsid w:val="00A8441A"/>
    <w:rsid w:val="00A90E9B"/>
    <w:rsid w:val="00AF1F76"/>
    <w:rsid w:val="00B03AC5"/>
    <w:rsid w:val="00B62F89"/>
    <w:rsid w:val="00B64104"/>
    <w:rsid w:val="00BF5AEC"/>
    <w:rsid w:val="00C07BBC"/>
    <w:rsid w:val="00C246E5"/>
    <w:rsid w:val="00C27F1C"/>
    <w:rsid w:val="00C42BCC"/>
    <w:rsid w:val="00C51098"/>
    <w:rsid w:val="00C70382"/>
    <w:rsid w:val="00C77E09"/>
    <w:rsid w:val="00C917E5"/>
    <w:rsid w:val="00C943F4"/>
    <w:rsid w:val="00CF5E88"/>
    <w:rsid w:val="00D1543D"/>
    <w:rsid w:val="00D231C8"/>
    <w:rsid w:val="00D23B59"/>
    <w:rsid w:val="00D30F3C"/>
    <w:rsid w:val="00D4028F"/>
    <w:rsid w:val="00D46818"/>
    <w:rsid w:val="00D77A0E"/>
    <w:rsid w:val="00D86105"/>
    <w:rsid w:val="00D96F2E"/>
    <w:rsid w:val="00DA0F7E"/>
    <w:rsid w:val="00DB0F9C"/>
    <w:rsid w:val="00DB117C"/>
    <w:rsid w:val="00DC23E1"/>
    <w:rsid w:val="00DC7873"/>
    <w:rsid w:val="00DD18DE"/>
    <w:rsid w:val="00DD6B77"/>
    <w:rsid w:val="00DE7973"/>
    <w:rsid w:val="00DF2B3C"/>
    <w:rsid w:val="00DF4F1D"/>
    <w:rsid w:val="00E03056"/>
    <w:rsid w:val="00E17445"/>
    <w:rsid w:val="00E206B4"/>
    <w:rsid w:val="00E26E07"/>
    <w:rsid w:val="00E357C9"/>
    <w:rsid w:val="00E53110"/>
    <w:rsid w:val="00E56947"/>
    <w:rsid w:val="00E61E99"/>
    <w:rsid w:val="00E73C3A"/>
    <w:rsid w:val="00E75703"/>
    <w:rsid w:val="00E91542"/>
    <w:rsid w:val="00EC095F"/>
    <w:rsid w:val="00ED5AB4"/>
    <w:rsid w:val="00EF5AE9"/>
    <w:rsid w:val="00F66026"/>
    <w:rsid w:val="00F71412"/>
    <w:rsid w:val="00F7712E"/>
    <w:rsid w:val="00FA04A1"/>
    <w:rsid w:val="00FA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C7F61-9CF4-4C5D-844A-279F0315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97AD8"/>
    <w:pPr>
      <w:spacing w:before="45" w:line="360" w:lineRule="auto"/>
      <w:ind w:firstLine="300"/>
    </w:pPr>
    <w:rPr>
      <w:rFonts w:eastAsia="Times New Roman" w:cs="Times New Roman"/>
      <w:i/>
      <w:iCs/>
      <w:color w:val="414142"/>
      <w:sz w:val="20"/>
      <w:szCs w:val="20"/>
      <w:lang w:eastAsia="lv-LV"/>
    </w:rPr>
  </w:style>
  <w:style w:type="table" w:styleId="TableGrid">
    <w:name w:val="Table Grid"/>
    <w:basedOn w:val="TableNormal"/>
    <w:uiPriority w:val="59"/>
    <w:rsid w:val="0045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F1D"/>
    <w:pPr>
      <w:ind w:left="720"/>
    </w:pPr>
    <w:rPr>
      <w:rFonts w:ascii="Calibri" w:eastAsia="Calibri" w:hAnsi="Calibri" w:cs="Times New Roman"/>
      <w:sz w:val="22"/>
    </w:rPr>
  </w:style>
  <w:style w:type="paragraph" w:styleId="BalloonText">
    <w:name w:val="Balloon Text"/>
    <w:basedOn w:val="Normal"/>
    <w:link w:val="BalloonTextChar"/>
    <w:uiPriority w:val="99"/>
    <w:semiHidden/>
    <w:unhideWhenUsed/>
    <w:rsid w:val="00790C4B"/>
    <w:rPr>
      <w:rFonts w:ascii="Tahoma" w:hAnsi="Tahoma" w:cs="Tahoma"/>
      <w:sz w:val="16"/>
      <w:szCs w:val="16"/>
    </w:rPr>
  </w:style>
  <w:style w:type="character" w:customStyle="1" w:styleId="BalloonTextChar">
    <w:name w:val="Balloon Text Char"/>
    <w:basedOn w:val="DefaultParagraphFont"/>
    <w:link w:val="BalloonText"/>
    <w:uiPriority w:val="99"/>
    <w:semiHidden/>
    <w:rsid w:val="00790C4B"/>
    <w:rPr>
      <w:rFonts w:ascii="Tahoma" w:hAnsi="Tahoma" w:cs="Tahoma"/>
      <w:sz w:val="16"/>
      <w:szCs w:val="16"/>
    </w:rPr>
  </w:style>
  <w:style w:type="character" w:styleId="CommentReference">
    <w:name w:val="annotation reference"/>
    <w:basedOn w:val="DefaultParagraphFont"/>
    <w:uiPriority w:val="99"/>
    <w:semiHidden/>
    <w:unhideWhenUsed/>
    <w:rsid w:val="00E357C9"/>
    <w:rPr>
      <w:sz w:val="16"/>
      <w:szCs w:val="16"/>
    </w:rPr>
  </w:style>
  <w:style w:type="paragraph" w:styleId="CommentText">
    <w:name w:val="annotation text"/>
    <w:basedOn w:val="Normal"/>
    <w:link w:val="CommentTextChar"/>
    <w:uiPriority w:val="99"/>
    <w:semiHidden/>
    <w:unhideWhenUsed/>
    <w:rsid w:val="00E357C9"/>
    <w:rPr>
      <w:sz w:val="20"/>
      <w:szCs w:val="20"/>
    </w:rPr>
  </w:style>
  <w:style w:type="character" w:customStyle="1" w:styleId="CommentTextChar">
    <w:name w:val="Comment Text Char"/>
    <w:basedOn w:val="DefaultParagraphFont"/>
    <w:link w:val="CommentText"/>
    <w:uiPriority w:val="99"/>
    <w:semiHidden/>
    <w:rsid w:val="00E357C9"/>
    <w:rPr>
      <w:sz w:val="20"/>
      <w:szCs w:val="20"/>
    </w:rPr>
  </w:style>
  <w:style w:type="paragraph" w:styleId="CommentSubject">
    <w:name w:val="annotation subject"/>
    <w:basedOn w:val="CommentText"/>
    <w:next w:val="CommentText"/>
    <w:link w:val="CommentSubjectChar"/>
    <w:uiPriority w:val="99"/>
    <w:semiHidden/>
    <w:unhideWhenUsed/>
    <w:rsid w:val="00E357C9"/>
    <w:rPr>
      <w:b/>
      <w:bCs/>
    </w:rPr>
  </w:style>
  <w:style w:type="character" w:customStyle="1" w:styleId="CommentSubjectChar">
    <w:name w:val="Comment Subject Char"/>
    <w:basedOn w:val="CommentTextChar"/>
    <w:link w:val="CommentSubject"/>
    <w:uiPriority w:val="99"/>
    <w:semiHidden/>
    <w:rsid w:val="00E357C9"/>
    <w:rPr>
      <w:b/>
      <w:bCs/>
      <w:sz w:val="20"/>
      <w:szCs w:val="20"/>
    </w:rPr>
  </w:style>
  <w:style w:type="paragraph" w:styleId="Header">
    <w:name w:val="header"/>
    <w:basedOn w:val="Normal"/>
    <w:link w:val="HeaderChar"/>
    <w:uiPriority w:val="99"/>
    <w:unhideWhenUsed/>
    <w:rsid w:val="00553F45"/>
    <w:pPr>
      <w:tabs>
        <w:tab w:val="center" w:pos="4153"/>
        <w:tab w:val="right" w:pos="8306"/>
      </w:tabs>
    </w:pPr>
  </w:style>
  <w:style w:type="character" w:customStyle="1" w:styleId="HeaderChar">
    <w:name w:val="Header Char"/>
    <w:basedOn w:val="DefaultParagraphFont"/>
    <w:link w:val="Header"/>
    <w:uiPriority w:val="99"/>
    <w:rsid w:val="00553F45"/>
  </w:style>
  <w:style w:type="paragraph" w:styleId="Footer">
    <w:name w:val="footer"/>
    <w:basedOn w:val="Normal"/>
    <w:link w:val="FooterChar"/>
    <w:uiPriority w:val="99"/>
    <w:unhideWhenUsed/>
    <w:rsid w:val="00553F45"/>
    <w:pPr>
      <w:tabs>
        <w:tab w:val="center" w:pos="4153"/>
        <w:tab w:val="right" w:pos="8306"/>
      </w:tabs>
    </w:pPr>
  </w:style>
  <w:style w:type="character" w:customStyle="1" w:styleId="FooterChar">
    <w:name w:val="Footer Char"/>
    <w:basedOn w:val="DefaultParagraphFont"/>
    <w:link w:val="Footer"/>
    <w:uiPriority w:val="99"/>
    <w:rsid w:val="00553F45"/>
  </w:style>
  <w:style w:type="paragraph" w:styleId="NoSpacing">
    <w:name w:val="No Spacing"/>
    <w:uiPriority w:val="1"/>
    <w:qFormat/>
    <w:rsid w:val="001B6A46"/>
  </w:style>
  <w:style w:type="paragraph" w:customStyle="1" w:styleId="tvhtml">
    <w:name w:val="tv_html"/>
    <w:basedOn w:val="Normal"/>
    <w:rsid w:val="005E6F72"/>
    <w:pPr>
      <w:spacing w:before="100" w:beforeAutospacing="1" w:after="100" w:afterAutospacing="1"/>
    </w:pPr>
    <w:rPr>
      <w:rFonts w:eastAsia="Times New Roman" w:cs="Times New Roman"/>
      <w:szCs w:val="24"/>
      <w:lang w:val="en-US"/>
    </w:rPr>
  </w:style>
  <w:style w:type="character" w:styleId="Hyperlink">
    <w:name w:val="Hyperlink"/>
    <w:basedOn w:val="DefaultParagraphFont"/>
    <w:uiPriority w:val="99"/>
    <w:unhideWhenUsed/>
    <w:rsid w:val="000E4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7614">
      <w:bodyDiv w:val="1"/>
      <w:marLeft w:val="0"/>
      <w:marRight w:val="0"/>
      <w:marTop w:val="0"/>
      <w:marBottom w:val="0"/>
      <w:divBdr>
        <w:top w:val="none" w:sz="0" w:space="0" w:color="auto"/>
        <w:left w:val="none" w:sz="0" w:space="0" w:color="auto"/>
        <w:bottom w:val="none" w:sz="0" w:space="0" w:color="auto"/>
        <w:right w:val="none" w:sz="0" w:space="0" w:color="auto"/>
      </w:divBdr>
      <w:divsChild>
        <w:div w:id="1404183595">
          <w:marLeft w:val="0"/>
          <w:marRight w:val="0"/>
          <w:marTop w:val="0"/>
          <w:marBottom w:val="0"/>
          <w:divBdr>
            <w:top w:val="none" w:sz="0" w:space="0" w:color="auto"/>
            <w:left w:val="none" w:sz="0" w:space="0" w:color="auto"/>
            <w:bottom w:val="none" w:sz="0" w:space="0" w:color="auto"/>
            <w:right w:val="none" w:sz="0" w:space="0" w:color="auto"/>
          </w:divBdr>
          <w:divsChild>
            <w:div w:id="756168039">
              <w:marLeft w:val="0"/>
              <w:marRight w:val="0"/>
              <w:marTop w:val="0"/>
              <w:marBottom w:val="0"/>
              <w:divBdr>
                <w:top w:val="none" w:sz="0" w:space="0" w:color="auto"/>
                <w:left w:val="none" w:sz="0" w:space="0" w:color="auto"/>
                <w:bottom w:val="none" w:sz="0" w:space="0" w:color="auto"/>
                <w:right w:val="none" w:sz="0" w:space="0" w:color="auto"/>
              </w:divBdr>
              <w:divsChild>
                <w:div w:id="1999844694">
                  <w:marLeft w:val="0"/>
                  <w:marRight w:val="0"/>
                  <w:marTop w:val="0"/>
                  <w:marBottom w:val="0"/>
                  <w:divBdr>
                    <w:top w:val="none" w:sz="0" w:space="0" w:color="auto"/>
                    <w:left w:val="none" w:sz="0" w:space="0" w:color="auto"/>
                    <w:bottom w:val="none" w:sz="0" w:space="0" w:color="auto"/>
                    <w:right w:val="none" w:sz="0" w:space="0" w:color="auto"/>
                  </w:divBdr>
                  <w:divsChild>
                    <w:div w:id="355886440">
                      <w:marLeft w:val="0"/>
                      <w:marRight w:val="0"/>
                      <w:marTop w:val="0"/>
                      <w:marBottom w:val="0"/>
                      <w:divBdr>
                        <w:top w:val="none" w:sz="0" w:space="0" w:color="auto"/>
                        <w:left w:val="none" w:sz="0" w:space="0" w:color="auto"/>
                        <w:bottom w:val="none" w:sz="0" w:space="0" w:color="auto"/>
                        <w:right w:val="none" w:sz="0" w:space="0" w:color="auto"/>
                      </w:divBdr>
                      <w:divsChild>
                        <w:div w:id="411702632">
                          <w:marLeft w:val="0"/>
                          <w:marRight w:val="0"/>
                          <w:marTop w:val="0"/>
                          <w:marBottom w:val="0"/>
                          <w:divBdr>
                            <w:top w:val="none" w:sz="0" w:space="0" w:color="auto"/>
                            <w:left w:val="none" w:sz="0" w:space="0" w:color="auto"/>
                            <w:bottom w:val="none" w:sz="0" w:space="0" w:color="auto"/>
                            <w:right w:val="none" w:sz="0" w:space="0" w:color="auto"/>
                          </w:divBdr>
                          <w:divsChild>
                            <w:div w:id="1910383971">
                              <w:marLeft w:val="0"/>
                              <w:marRight w:val="0"/>
                              <w:marTop w:val="400"/>
                              <w:marBottom w:val="0"/>
                              <w:divBdr>
                                <w:top w:val="none" w:sz="0" w:space="0" w:color="auto"/>
                                <w:left w:val="none" w:sz="0" w:space="0" w:color="auto"/>
                                <w:bottom w:val="none" w:sz="0" w:space="0" w:color="auto"/>
                                <w:right w:val="none" w:sz="0" w:space="0" w:color="auto"/>
                              </w:divBdr>
                            </w:div>
                            <w:div w:id="5234460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16360">
      <w:bodyDiv w:val="1"/>
      <w:marLeft w:val="0"/>
      <w:marRight w:val="0"/>
      <w:marTop w:val="0"/>
      <w:marBottom w:val="0"/>
      <w:divBdr>
        <w:top w:val="none" w:sz="0" w:space="0" w:color="auto"/>
        <w:left w:val="none" w:sz="0" w:space="0" w:color="auto"/>
        <w:bottom w:val="none" w:sz="0" w:space="0" w:color="auto"/>
        <w:right w:val="none" w:sz="0" w:space="0" w:color="auto"/>
      </w:divBdr>
    </w:div>
    <w:div w:id="731538466">
      <w:bodyDiv w:val="1"/>
      <w:marLeft w:val="0"/>
      <w:marRight w:val="0"/>
      <w:marTop w:val="0"/>
      <w:marBottom w:val="0"/>
      <w:divBdr>
        <w:top w:val="none" w:sz="0" w:space="0" w:color="auto"/>
        <w:left w:val="none" w:sz="0" w:space="0" w:color="auto"/>
        <w:bottom w:val="none" w:sz="0" w:space="0" w:color="auto"/>
        <w:right w:val="none" w:sz="0" w:space="0" w:color="auto"/>
      </w:divBdr>
      <w:divsChild>
        <w:div w:id="202862391">
          <w:marLeft w:val="0"/>
          <w:marRight w:val="0"/>
          <w:marTop w:val="0"/>
          <w:marBottom w:val="0"/>
          <w:divBdr>
            <w:top w:val="none" w:sz="0" w:space="0" w:color="auto"/>
            <w:left w:val="none" w:sz="0" w:space="0" w:color="auto"/>
            <w:bottom w:val="none" w:sz="0" w:space="0" w:color="auto"/>
            <w:right w:val="none" w:sz="0" w:space="0" w:color="auto"/>
          </w:divBdr>
          <w:divsChild>
            <w:div w:id="426925516">
              <w:marLeft w:val="0"/>
              <w:marRight w:val="0"/>
              <w:marTop w:val="0"/>
              <w:marBottom w:val="0"/>
              <w:divBdr>
                <w:top w:val="none" w:sz="0" w:space="0" w:color="auto"/>
                <w:left w:val="none" w:sz="0" w:space="0" w:color="auto"/>
                <w:bottom w:val="none" w:sz="0" w:space="0" w:color="auto"/>
                <w:right w:val="none" w:sz="0" w:space="0" w:color="auto"/>
              </w:divBdr>
              <w:divsChild>
                <w:div w:id="1041398516">
                  <w:marLeft w:val="0"/>
                  <w:marRight w:val="0"/>
                  <w:marTop w:val="0"/>
                  <w:marBottom w:val="0"/>
                  <w:divBdr>
                    <w:top w:val="none" w:sz="0" w:space="0" w:color="auto"/>
                    <w:left w:val="none" w:sz="0" w:space="0" w:color="auto"/>
                    <w:bottom w:val="none" w:sz="0" w:space="0" w:color="auto"/>
                    <w:right w:val="none" w:sz="0" w:space="0" w:color="auto"/>
                  </w:divBdr>
                  <w:divsChild>
                    <w:div w:id="2040162123">
                      <w:marLeft w:val="0"/>
                      <w:marRight w:val="0"/>
                      <w:marTop w:val="0"/>
                      <w:marBottom w:val="0"/>
                      <w:divBdr>
                        <w:top w:val="none" w:sz="0" w:space="0" w:color="auto"/>
                        <w:left w:val="none" w:sz="0" w:space="0" w:color="auto"/>
                        <w:bottom w:val="none" w:sz="0" w:space="0" w:color="auto"/>
                        <w:right w:val="none" w:sz="0" w:space="0" w:color="auto"/>
                      </w:divBdr>
                      <w:divsChild>
                        <w:div w:id="1707757911">
                          <w:marLeft w:val="0"/>
                          <w:marRight w:val="0"/>
                          <w:marTop w:val="0"/>
                          <w:marBottom w:val="0"/>
                          <w:divBdr>
                            <w:top w:val="none" w:sz="0" w:space="0" w:color="auto"/>
                            <w:left w:val="none" w:sz="0" w:space="0" w:color="auto"/>
                            <w:bottom w:val="none" w:sz="0" w:space="0" w:color="auto"/>
                            <w:right w:val="none" w:sz="0" w:space="0" w:color="auto"/>
                          </w:divBdr>
                          <w:divsChild>
                            <w:div w:id="1203204437">
                              <w:marLeft w:val="0"/>
                              <w:marRight w:val="0"/>
                              <w:marTop w:val="400"/>
                              <w:marBottom w:val="0"/>
                              <w:divBdr>
                                <w:top w:val="none" w:sz="0" w:space="0" w:color="auto"/>
                                <w:left w:val="none" w:sz="0" w:space="0" w:color="auto"/>
                                <w:bottom w:val="none" w:sz="0" w:space="0" w:color="auto"/>
                                <w:right w:val="none" w:sz="0" w:space="0" w:color="auto"/>
                              </w:divBdr>
                            </w:div>
                            <w:div w:id="350957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08846">
      <w:bodyDiv w:val="1"/>
      <w:marLeft w:val="0"/>
      <w:marRight w:val="0"/>
      <w:marTop w:val="0"/>
      <w:marBottom w:val="0"/>
      <w:divBdr>
        <w:top w:val="none" w:sz="0" w:space="0" w:color="auto"/>
        <w:left w:val="none" w:sz="0" w:space="0" w:color="auto"/>
        <w:bottom w:val="none" w:sz="0" w:space="0" w:color="auto"/>
        <w:right w:val="none" w:sz="0" w:space="0" w:color="auto"/>
      </w:divBdr>
    </w:div>
    <w:div w:id="1425109475">
      <w:bodyDiv w:val="1"/>
      <w:marLeft w:val="0"/>
      <w:marRight w:val="0"/>
      <w:marTop w:val="0"/>
      <w:marBottom w:val="0"/>
      <w:divBdr>
        <w:top w:val="none" w:sz="0" w:space="0" w:color="auto"/>
        <w:left w:val="none" w:sz="0" w:space="0" w:color="auto"/>
        <w:bottom w:val="none" w:sz="0" w:space="0" w:color="auto"/>
        <w:right w:val="none" w:sz="0" w:space="0" w:color="auto"/>
      </w:divBdr>
    </w:div>
    <w:div w:id="1452624148">
      <w:bodyDiv w:val="1"/>
      <w:marLeft w:val="0"/>
      <w:marRight w:val="0"/>
      <w:marTop w:val="0"/>
      <w:marBottom w:val="0"/>
      <w:divBdr>
        <w:top w:val="none" w:sz="0" w:space="0" w:color="auto"/>
        <w:left w:val="none" w:sz="0" w:space="0" w:color="auto"/>
        <w:bottom w:val="none" w:sz="0" w:space="0" w:color="auto"/>
        <w:right w:val="none" w:sz="0" w:space="0" w:color="auto"/>
      </w:divBdr>
    </w:div>
    <w:div w:id="1496415426">
      <w:bodyDiv w:val="1"/>
      <w:marLeft w:val="0"/>
      <w:marRight w:val="0"/>
      <w:marTop w:val="0"/>
      <w:marBottom w:val="0"/>
      <w:divBdr>
        <w:top w:val="none" w:sz="0" w:space="0" w:color="auto"/>
        <w:left w:val="none" w:sz="0" w:space="0" w:color="auto"/>
        <w:bottom w:val="none" w:sz="0" w:space="0" w:color="auto"/>
        <w:right w:val="none" w:sz="0" w:space="0" w:color="auto"/>
      </w:divBdr>
      <w:divsChild>
        <w:div w:id="767774404">
          <w:marLeft w:val="0"/>
          <w:marRight w:val="0"/>
          <w:marTop w:val="0"/>
          <w:marBottom w:val="0"/>
          <w:divBdr>
            <w:top w:val="none" w:sz="0" w:space="0" w:color="auto"/>
            <w:left w:val="none" w:sz="0" w:space="0" w:color="auto"/>
            <w:bottom w:val="none" w:sz="0" w:space="0" w:color="auto"/>
            <w:right w:val="none" w:sz="0" w:space="0" w:color="auto"/>
          </w:divBdr>
          <w:divsChild>
            <w:div w:id="1379936176">
              <w:marLeft w:val="0"/>
              <w:marRight w:val="0"/>
              <w:marTop w:val="0"/>
              <w:marBottom w:val="0"/>
              <w:divBdr>
                <w:top w:val="none" w:sz="0" w:space="0" w:color="auto"/>
                <w:left w:val="none" w:sz="0" w:space="0" w:color="auto"/>
                <w:bottom w:val="none" w:sz="0" w:space="0" w:color="auto"/>
                <w:right w:val="none" w:sz="0" w:space="0" w:color="auto"/>
              </w:divBdr>
              <w:divsChild>
                <w:div w:id="1462066648">
                  <w:marLeft w:val="0"/>
                  <w:marRight w:val="0"/>
                  <w:marTop w:val="0"/>
                  <w:marBottom w:val="0"/>
                  <w:divBdr>
                    <w:top w:val="none" w:sz="0" w:space="0" w:color="auto"/>
                    <w:left w:val="none" w:sz="0" w:space="0" w:color="auto"/>
                    <w:bottom w:val="none" w:sz="0" w:space="0" w:color="auto"/>
                    <w:right w:val="none" w:sz="0" w:space="0" w:color="auto"/>
                  </w:divBdr>
                  <w:divsChild>
                    <w:div w:id="508064852">
                      <w:marLeft w:val="0"/>
                      <w:marRight w:val="0"/>
                      <w:marTop w:val="0"/>
                      <w:marBottom w:val="0"/>
                      <w:divBdr>
                        <w:top w:val="none" w:sz="0" w:space="0" w:color="auto"/>
                        <w:left w:val="none" w:sz="0" w:space="0" w:color="auto"/>
                        <w:bottom w:val="none" w:sz="0" w:space="0" w:color="auto"/>
                        <w:right w:val="none" w:sz="0" w:space="0" w:color="auto"/>
                      </w:divBdr>
                      <w:divsChild>
                        <w:div w:id="1210531366">
                          <w:marLeft w:val="0"/>
                          <w:marRight w:val="0"/>
                          <w:marTop w:val="0"/>
                          <w:marBottom w:val="0"/>
                          <w:divBdr>
                            <w:top w:val="none" w:sz="0" w:space="0" w:color="auto"/>
                            <w:left w:val="none" w:sz="0" w:space="0" w:color="auto"/>
                            <w:bottom w:val="none" w:sz="0" w:space="0" w:color="auto"/>
                            <w:right w:val="none" w:sz="0" w:space="0" w:color="auto"/>
                          </w:divBdr>
                          <w:divsChild>
                            <w:div w:id="1769636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355196">
      <w:bodyDiv w:val="1"/>
      <w:marLeft w:val="0"/>
      <w:marRight w:val="0"/>
      <w:marTop w:val="0"/>
      <w:marBottom w:val="0"/>
      <w:divBdr>
        <w:top w:val="none" w:sz="0" w:space="0" w:color="auto"/>
        <w:left w:val="none" w:sz="0" w:space="0" w:color="auto"/>
        <w:bottom w:val="none" w:sz="0" w:space="0" w:color="auto"/>
        <w:right w:val="none" w:sz="0" w:space="0" w:color="auto"/>
      </w:divBdr>
    </w:div>
    <w:div w:id="1820656740">
      <w:bodyDiv w:val="1"/>
      <w:marLeft w:val="0"/>
      <w:marRight w:val="0"/>
      <w:marTop w:val="0"/>
      <w:marBottom w:val="0"/>
      <w:divBdr>
        <w:top w:val="none" w:sz="0" w:space="0" w:color="auto"/>
        <w:left w:val="none" w:sz="0" w:space="0" w:color="auto"/>
        <w:bottom w:val="none" w:sz="0" w:space="0" w:color="auto"/>
        <w:right w:val="none" w:sz="0" w:space="0" w:color="auto"/>
      </w:divBdr>
    </w:div>
    <w:div w:id="1837767693">
      <w:bodyDiv w:val="1"/>
      <w:marLeft w:val="0"/>
      <w:marRight w:val="0"/>
      <w:marTop w:val="0"/>
      <w:marBottom w:val="0"/>
      <w:divBdr>
        <w:top w:val="none" w:sz="0" w:space="0" w:color="auto"/>
        <w:left w:val="none" w:sz="0" w:space="0" w:color="auto"/>
        <w:bottom w:val="none" w:sz="0" w:space="0" w:color="auto"/>
        <w:right w:val="none" w:sz="0" w:space="0" w:color="auto"/>
      </w:divBdr>
    </w:div>
    <w:div w:id="19976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8B1E-CB17-4F0C-A0E1-37B93B22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6288</Words>
  <Characters>3585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Valsts ieņēmumu dienestam sniedzama informācija saskaņā ar Saeimas apstiprinātā starptautiskā līguma „Latvijas Republikas valdības un Amerikas Savienoto Valstu valdības līgums par starptautisko nodokļu p</vt:lpstr>
      <vt:lpstr/>
    </vt:vector>
  </TitlesOfParts>
  <Company>Valsts ieņēmumu dienests</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ieņēmumu dienestam sniedzama informācija saskaņā ar Saeimas apstiprinātā starptautiskā līguma „Latvijas Republikas valdības un Amerikas Savienoto Valstu valdības līgums par starptautisko nodokļu pienākumu izpildes uzlabošanu un likuma par ārvalstu kontu nodokļu pienākumu izpildi (FATCA) ieviešanu” prasību izpildes nodrošināšanai” sākotnējās ietekmes novērtējuma ziņojums (anotācija)</dc:title>
  <dc:subject>Ministru kabineta noteikumu projekta sākotnējās ietekmes novērtējuma ziņojums (anotācija)</dc:subject>
  <dc:creator>Jeļena Dorohina</dc:creator>
  <dc:description>67121791, Jelena.Dorohina@vid.gov.lv</dc:description>
  <cp:lastModifiedBy>Liene Strēlniece</cp:lastModifiedBy>
  <cp:revision>9</cp:revision>
  <cp:lastPrinted>2014-09-23T10:05:00Z</cp:lastPrinted>
  <dcterms:created xsi:type="dcterms:W3CDTF">2015-02-25T06:53:00Z</dcterms:created>
  <dcterms:modified xsi:type="dcterms:W3CDTF">2015-03-02T06:27:00Z</dcterms:modified>
</cp:coreProperties>
</file>