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FA016" w14:textId="1CA6CD12" w:rsidR="005D5AF5" w:rsidRDefault="00136D87" w:rsidP="005D6B8A">
      <w:pPr>
        <w:jc w:val="center"/>
        <w:rPr>
          <w:b/>
        </w:rPr>
      </w:pPr>
      <w:bookmarkStart w:id="0" w:name="OLE_LINK3"/>
      <w:bookmarkStart w:id="1" w:name="OLE_LINK4"/>
      <w:bookmarkStart w:id="2" w:name="OLE_LINK1"/>
      <w:r w:rsidRPr="00A91896">
        <w:rPr>
          <w:b/>
        </w:rPr>
        <w:t>M</w:t>
      </w:r>
      <w:r w:rsidR="005D6B8A" w:rsidRPr="00A91896">
        <w:rPr>
          <w:b/>
        </w:rPr>
        <w:t>inistru kabineta rīkojuma projekta</w:t>
      </w:r>
    </w:p>
    <w:p w14:paraId="656D2F80" w14:textId="77777777" w:rsidR="005D6B8A" w:rsidRPr="00A91896" w:rsidRDefault="005D5AF5" w:rsidP="005D6B8A">
      <w:pPr>
        <w:jc w:val="center"/>
        <w:rPr>
          <w:b/>
        </w:rPr>
      </w:pPr>
      <w:r w:rsidRPr="005D5AF5">
        <w:rPr>
          <w:b/>
        </w:rPr>
        <w:t>“Par Latvijas dalību GEANT tīklā no 2015.gada 1.maija”</w:t>
      </w:r>
    </w:p>
    <w:p w14:paraId="28C43497" w14:textId="14CE34CB" w:rsidR="00585B7B" w:rsidRPr="00A91896" w:rsidRDefault="00585B7B" w:rsidP="00DC03E0">
      <w:pPr>
        <w:pStyle w:val="BodyText"/>
        <w:jc w:val="center"/>
        <w:rPr>
          <w:b/>
        </w:rPr>
      </w:pPr>
      <w:r w:rsidRPr="00A91896">
        <w:rPr>
          <w:b/>
        </w:rPr>
        <w:t xml:space="preserve">sākotnējās ietekmes novērtējuma </w:t>
      </w:r>
      <w:smartTag w:uri="schemas-tilde-lv/tildestengine" w:element="veidnes">
        <w:smartTagPr>
          <w:attr w:name="id" w:val="-1"/>
          <w:attr w:name="baseform" w:val="ziņojums"/>
          <w:attr w:name="text" w:val="ziņojums"/>
        </w:smartTagPr>
        <w:r w:rsidRPr="00A91896">
          <w:rPr>
            <w:b/>
          </w:rPr>
          <w:t>ziņojums</w:t>
        </w:r>
      </w:smartTag>
      <w:r w:rsidRPr="00A91896">
        <w:rPr>
          <w:b/>
        </w:rPr>
        <w:t xml:space="preserve"> (anotācija)</w:t>
      </w: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4"/>
        <w:gridCol w:w="2223"/>
        <w:gridCol w:w="7540"/>
      </w:tblGrid>
      <w:tr w:rsidR="00585B7B" w:rsidRPr="00A91896" w14:paraId="6397A456" w14:textId="77777777" w:rsidTr="00662C4D">
        <w:tc>
          <w:tcPr>
            <w:tcW w:w="10197" w:type="dxa"/>
            <w:gridSpan w:val="3"/>
            <w:vAlign w:val="center"/>
          </w:tcPr>
          <w:bookmarkEnd w:id="0"/>
          <w:bookmarkEnd w:id="1"/>
          <w:bookmarkEnd w:id="2"/>
          <w:p w14:paraId="0A225EB3" w14:textId="77777777" w:rsidR="00585B7B" w:rsidRPr="00A91896" w:rsidRDefault="00585B7B" w:rsidP="00194A0F">
            <w:pPr>
              <w:pStyle w:val="naisnod"/>
              <w:spacing w:before="0" w:after="0"/>
            </w:pPr>
            <w:r w:rsidRPr="00A91896">
              <w:t>I. Tiesību akta projekta izstrādes nepieciešamība</w:t>
            </w:r>
          </w:p>
        </w:tc>
      </w:tr>
      <w:tr w:rsidR="00585B7B" w:rsidRPr="00A91896" w14:paraId="0BB457CC" w14:textId="77777777" w:rsidTr="00672427">
        <w:trPr>
          <w:trHeight w:val="630"/>
        </w:trPr>
        <w:tc>
          <w:tcPr>
            <w:tcW w:w="562" w:type="dxa"/>
          </w:tcPr>
          <w:p w14:paraId="4B8850A2" w14:textId="77777777" w:rsidR="00585B7B" w:rsidRPr="00A91896" w:rsidRDefault="00585B7B" w:rsidP="00BD696A">
            <w:pPr>
              <w:pStyle w:val="naiskr"/>
              <w:spacing w:before="0" w:after="0"/>
              <w:jc w:val="center"/>
            </w:pPr>
            <w:r w:rsidRPr="00A91896">
              <w:t>1.</w:t>
            </w:r>
          </w:p>
        </w:tc>
        <w:tc>
          <w:tcPr>
            <w:tcW w:w="2694" w:type="dxa"/>
          </w:tcPr>
          <w:p w14:paraId="478A2514" w14:textId="77777777" w:rsidR="00585B7B" w:rsidRPr="00A91896" w:rsidRDefault="00585B7B" w:rsidP="00916055">
            <w:pPr>
              <w:pStyle w:val="naiskr"/>
              <w:spacing w:before="0" w:after="0"/>
              <w:ind w:left="141" w:hanging="10"/>
            </w:pPr>
            <w:r w:rsidRPr="00A91896">
              <w:t>Pamatojums</w:t>
            </w:r>
          </w:p>
        </w:tc>
        <w:tc>
          <w:tcPr>
            <w:tcW w:w="6941" w:type="dxa"/>
          </w:tcPr>
          <w:p w14:paraId="19BD3C05" w14:textId="58E3AF35" w:rsidR="00466E6C" w:rsidRPr="00A91896" w:rsidRDefault="00094AA0" w:rsidP="009A375F">
            <w:pPr>
              <w:ind w:right="127"/>
              <w:jc w:val="both"/>
            </w:pPr>
            <w:r w:rsidRPr="003C2370">
              <w:t>Ministru kabineta rīkojuma projekt</w:t>
            </w:r>
            <w:r w:rsidRPr="00104E4D">
              <w:t>s</w:t>
            </w:r>
            <w:r>
              <w:t xml:space="preserve"> </w:t>
            </w:r>
            <w:r w:rsidRPr="003C2370">
              <w:t>“Par Latvijas dalību GEANT tīklā no 2015.gada 1.maija”</w:t>
            </w:r>
            <w:r>
              <w:t xml:space="preserve"> (turpmāk – rīkojuma projekts) izstrādāts, lai</w:t>
            </w:r>
            <w:r w:rsidR="005D5AF5">
              <w:t xml:space="preserve"> nodrošin</w:t>
            </w:r>
            <w:r w:rsidR="002F248E">
              <w:t>āt</w:t>
            </w:r>
            <w:r>
              <w:t>u</w:t>
            </w:r>
            <w:r w:rsidR="005D5AF5">
              <w:t xml:space="preserve"> </w:t>
            </w:r>
            <w:r w:rsidR="005D5AF5" w:rsidRPr="005D5AF5">
              <w:t>Latvijas dalību Eiropas akadēmiskā tīkla GEANT (</w:t>
            </w:r>
            <w:r w:rsidR="005D5AF5" w:rsidRPr="00965B17">
              <w:rPr>
                <w:i/>
              </w:rPr>
              <w:t xml:space="preserve">Gigabit </w:t>
            </w:r>
            <w:proofErr w:type="spellStart"/>
            <w:r w:rsidR="005D5AF5" w:rsidRPr="00965B17">
              <w:rPr>
                <w:i/>
              </w:rPr>
              <w:t>European</w:t>
            </w:r>
            <w:proofErr w:type="spellEnd"/>
            <w:r w:rsidR="005D5AF5" w:rsidRPr="00965B17">
              <w:rPr>
                <w:i/>
              </w:rPr>
              <w:t xml:space="preserve"> </w:t>
            </w:r>
            <w:proofErr w:type="spellStart"/>
            <w:r w:rsidR="005D5AF5" w:rsidRPr="00965B17">
              <w:rPr>
                <w:i/>
              </w:rPr>
              <w:t>Academic</w:t>
            </w:r>
            <w:proofErr w:type="spellEnd"/>
            <w:r w:rsidR="005D5AF5" w:rsidRPr="00965B17">
              <w:rPr>
                <w:i/>
              </w:rPr>
              <w:t xml:space="preserve"> </w:t>
            </w:r>
            <w:proofErr w:type="spellStart"/>
            <w:r w:rsidR="005D5AF5" w:rsidRPr="00965B17">
              <w:rPr>
                <w:i/>
              </w:rPr>
              <w:t>Network</w:t>
            </w:r>
            <w:proofErr w:type="spellEnd"/>
            <w:r w:rsidR="005D5AF5" w:rsidRPr="005D5AF5">
              <w:t xml:space="preserve"> </w:t>
            </w:r>
            <w:r>
              <w:t>–</w:t>
            </w:r>
            <w:r w:rsidR="005D5AF5" w:rsidRPr="005D5AF5">
              <w:t xml:space="preserve"> Gigabitu datu pārraides ātruma Eiropas akadēmiskais tīkls) (turpmāk </w:t>
            </w:r>
            <w:r>
              <w:t>–</w:t>
            </w:r>
            <w:r w:rsidR="005D5AF5" w:rsidRPr="005D5AF5">
              <w:t xml:space="preserve"> GEANT tīkls</w:t>
            </w:r>
            <w:r w:rsidR="005D5AF5">
              <w:t xml:space="preserve">) projektā no 2015.gada 1.maija. </w:t>
            </w:r>
          </w:p>
        </w:tc>
      </w:tr>
      <w:tr w:rsidR="00585B7B" w:rsidRPr="00A91896" w14:paraId="737C8D91" w14:textId="77777777" w:rsidTr="00672427">
        <w:trPr>
          <w:trHeight w:val="562"/>
        </w:trPr>
        <w:tc>
          <w:tcPr>
            <w:tcW w:w="562" w:type="dxa"/>
          </w:tcPr>
          <w:p w14:paraId="2098E7A1" w14:textId="77777777" w:rsidR="00585B7B" w:rsidRPr="00A91896" w:rsidRDefault="00585B7B" w:rsidP="00BD696A">
            <w:pPr>
              <w:pStyle w:val="naiskr"/>
              <w:spacing w:before="0" w:after="0"/>
              <w:jc w:val="center"/>
            </w:pPr>
            <w:r w:rsidRPr="00A91896">
              <w:t>2.</w:t>
            </w:r>
          </w:p>
        </w:tc>
        <w:tc>
          <w:tcPr>
            <w:tcW w:w="2694" w:type="dxa"/>
          </w:tcPr>
          <w:p w14:paraId="24FAE002" w14:textId="77777777" w:rsidR="00585B7B" w:rsidRPr="00A91896" w:rsidRDefault="00005A9D" w:rsidP="00916055">
            <w:pPr>
              <w:pStyle w:val="naiskr"/>
              <w:tabs>
                <w:tab w:val="left" w:pos="170"/>
              </w:tabs>
              <w:spacing w:before="0" w:after="0"/>
              <w:ind w:left="141"/>
            </w:pPr>
            <w:r w:rsidRPr="00A91896">
              <w:t>Pašreizējā situācija un problēmas, kuru risināšanai tiesību akta projekts izstrādāts, tiesiskā regulējuma mērķis un būtība</w:t>
            </w:r>
          </w:p>
        </w:tc>
        <w:tc>
          <w:tcPr>
            <w:tcW w:w="6941" w:type="dxa"/>
          </w:tcPr>
          <w:p w14:paraId="4770825F" w14:textId="70A64F69" w:rsidR="005D5AF5" w:rsidRDefault="005D5AF5" w:rsidP="005D5AF5">
            <w:pPr>
              <w:ind w:right="127"/>
              <w:jc w:val="both"/>
            </w:pPr>
            <w:r>
              <w:t>Ministru kabineta 2014.gada 29.aprīļa sēdē (prot. Nr.25 48.§.), izskatot informatīvo ziņojumu "Par Latvijas turpmāko dalību GEANT tīklā un GEANT tīkla projektā"</w:t>
            </w:r>
            <w:r w:rsidR="00750045">
              <w:t>,</w:t>
            </w:r>
            <w:r>
              <w:t xml:space="preserve"> tika nolemts turpināt Latvijas dalību GEANT tīklā, paredzot tam nepieciešamo finansējumu līdz 2015.gada 31.martam un </w:t>
            </w:r>
            <w:r w:rsidR="003A5E65">
              <w:t xml:space="preserve">Izglītības un zinātnes </w:t>
            </w:r>
            <w:r>
              <w:t>ministrijai</w:t>
            </w:r>
            <w:r w:rsidR="003A5E65">
              <w:t xml:space="preserve"> (turpmāk arī – ministrija)</w:t>
            </w:r>
            <w:r>
              <w:t xml:space="preserve"> </w:t>
            </w:r>
            <w:r w:rsidR="00750045">
              <w:t>tika uzdots</w:t>
            </w:r>
            <w:r w:rsidR="0079599F">
              <w:t>,</w:t>
            </w:r>
            <w:r w:rsidR="00750045">
              <w:t xml:space="preserve"> </w:t>
            </w:r>
            <w:r>
              <w:t>piesaistot Latvijas Universitāti vai citu Latvijas zinātnisko institūciju reģistrā reģistrētu valsts zinātnisko institūciju, nodrošināt Latvijas pārstāvību GEANT tīklā.</w:t>
            </w:r>
          </w:p>
          <w:p w14:paraId="42464197" w14:textId="77777777" w:rsidR="005D5AF5" w:rsidRDefault="005D5AF5" w:rsidP="005D5AF5">
            <w:pPr>
              <w:ind w:right="127"/>
              <w:jc w:val="both"/>
            </w:pPr>
            <w:r>
              <w:t>Ievērojot iepriekš minēto, Ministru kabinetam ir jāpieņem lēmums par Latvijas dalību G</w:t>
            </w:r>
            <w:r w:rsidR="002F248E">
              <w:t>EANT tīklā no 2015.gada 1.maija</w:t>
            </w:r>
            <w:r w:rsidR="002F248E">
              <w:rPr>
                <w:rStyle w:val="FootnoteReference"/>
              </w:rPr>
              <w:footnoteReference w:id="1"/>
            </w:r>
            <w:r>
              <w:t>, paredzot tam nepieciešamo finansējumu un nodrošinot Latvijas situācijai atbilstošāko Latvijas pārstāvību GEANT tīkla pārvaldības orgānos.</w:t>
            </w:r>
          </w:p>
          <w:p w14:paraId="1C4F17D9" w14:textId="77777777" w:rsidR="005D5AF5" w:rsidRDefault="005D5AF5" w:rsidP="005D5AF5">
            <w:pPr>
              <w:ind w:right="127"/>
              <w:jc w:val="both"/>
            </w:pPr>
            <w:r w:rsidRPr="004B0981">
              <w:t>S</w:t>
            </w:r>
            <w:r>
              <w:t xml:space="preserve">askaņā ar Ministru kabineta 2010.gada 2.februāra noteikumu Nr.109 “Noteikumi par darbības programmas "Uzņēmējdarbība un inovācijas" papildinājuma 2.1.1.3.2.apakšaktivitāti "Informācijas tehnoloģiju infrastruktūras un informācijas sistēmu uzlabošana zinātniskajai darbībai"” (turpmāk – MK noteikumi) 2.punktu, 2.1.1.3.2.apakšaktivitātes mērķis ir izveidot nākamās paaudzes datu pārraides tīklu zinātniskās darbības nodrošināšanai, lai iesaistītos vienotajā Eiropas akadēmiskajā tīklā, un uzlabot informācijas sistēmas valsts zinātniskajās institūcijās un augstskolās. Saskaņā ar MK noteikumu 3.punktu </w:t>
            </w:r>
            <w:proofErr w:type="spellStart"/>
            <w:r>
              <w:t>apakšaktivitātes</w:t>
            </w:r>
            <w:proofErr w:type="spellEnd"/>
            <w:r>
              <w:t xml:space="preserve"> mērķi sasniedz, īstenojot MK noteikumu 14.punktā minētās darbības un nodrošinot šāda iznākuma rādītāja sasniegšanu – izveidots viens nacionālas nozīmes Latvijas akadēmiskais pamattīkls (turpmāk – Latvijas Akadēmiskais tīkls) zinātniskās darbības un pētniecības nodrošināšanai. Ja Latvija nevarēs nodrošināt </w:t>
            </w:r>
            <w:proofErr w:type="spellStart"/>
            <w:r>
              <w:t>pieslēgumu</w:t>
            </w:r>
            <w:proofErr w:type="spellEnd"/>
            <w:r>
              <w:t xml:space="preserve"> GEANT tīklam, zudīs jēga Latvijas Akadēmiskajam tīklam, jo nevarēs nodrošināt savienojumus ar pārējiem Eiropas nacionālajiem zinātnes un akadēmiskajiem tīkliem. GEANT tīkls ir visas Eiropas tīkls zinātnes, pētniecības un izglītības atbalstam, kas savstarpēji savieno Eiropas nacionālo valstu  līmeņa akadēmiskos tīklus, un tādēļ tas ir neatņemama Eiropas pētniecības telpas sastāvdaļa un tam nav alternatīvas.</w:t>
            </w:r>
          </w:p>
          <w:p w14:paraId="21529914" w14:textId="77777777" w:rsidR="005D5AF5" w:rsidRDefault="005D5AF5" w:rsidP="005D5AF5">
            <w:pPr>
              <w:ind w:right="127"/>
              <w:jc w:val="both"/>
            </w:pPr>
          </w:p>
          <w:p w14:paraId="78C76569" w14:textId="77777777" w:rsidR="005D5AF5" w:rsidRPr="005D5AF5" w:rsidRDefault="005D5AF5" w:rsidP="005D5AF5">
            <w:pPr>
              <w:ind w:right="127"/>
              <w:jc w:val="both"/>
              <w:rPr>
                <w:b/>
              </w:rPr>
            </w:pPr>
            <w:r w:rsidRPr="005D5AF5">
              <w:rPr>
                <w:b/>
              </w:rPr>
              <w:t>Latvijas pārstāvība GEANT tīklā</w:t>
            </w:r>
          </w:p>
          <w:p w14:paraId="148A627C" w14:textId="77777777" w:rsidR="005D5AF5" w:rsidRDefault="005D5AF5" w:rsidP="005D5AF5">
            <w:pPr>
              <w:ind w:right="127"/>
              <w:jc w:val="both"/>
            </w:pPr>
          </w:p>
          <w:p w14:paraId="1BF0F3E9" w14:textId="77777777" w:rsidR="005D5AF5" w:rsidRDefault="005D5AF5" w:rsidP="005D5AF5">
            <w:pPr>
              <w:ind w:right="127"/>
              <w:jc w:val="both"/>
            </w:pPr>
            <w:r>
              <w:t>Rīkojuma</w:t>
            </w:r>
            <w:r w:rsidR="002F248E">
              <w:t xml:space="preserve"> projekta</w:t>
            </w:r>
            <w:r>
              <w:t xml:space="preserve"> ietvaros ministrija piedāvā noteikt šādu Latvijas interesēm atbilstošu pārvaldības organizāciju GEANT tīklā, sākot ar 2015.gada 1.maiju: </w:t>
            </w:r>
          </w:p>
          <w:p w14:paraId="05C9E25A" w14:textId="77777777" w:rsidR="005D5AF5" w:rsidRDefault="005D5AF5" w:rsidP="005D5AF5">
            <w:pPr>
              <w:ind w:right="127"/>
              <w:jc w:val="both"/>
            </w:pPr>
            <w:r>
              <w:lastRenderedPageBreak/>
              <w:t>1)</w:t>
            </w:r>
            <w:r>
              <w:tab/>
              <w:t>ministrijas deleģēšana kā Latvijas pārstāvim GEANT tīkla asociācijā, pievienojoties GEANT tīkla asociācijas noteikumiem (</w:t>
            </w:r>
            <w:proofErr w:type="spellStart"/>
            <w:r w:rsidRPr="002F248E">
              <w:rPr>
                <w:i/>
              </w:rPr>
              <w:t>Articles</w:t>
            </w:r>
            <w:proofErr w:type="spellEnd"/>
            <w:r w:rsidRPr="002F248E">
              <w:rPr>
                <w:i/>
              </w:rPr>
              <w:t xml:space="preserve"> </w:t>
            </w:r>
            <w:proofErr w:type="spellStart"/>
            <w:r w:rsidRPr="002F248E">
              <w:rPr>
                <w:i/>
              </w:rPr>
              <w:t>of</w:t>
            </w:r>
            <w:proofErr w:type="spellEnd"/>
            <w:r w:rsidRPr="002F248E">
              <w:rPr>
                <w:i/>
              </w:rPr>
              <w:t xml:space="preserve"> </w:t>
            </w:r>
            <w:proofErr w:type="spellStart"/>
            <w:r w:rsidRPr="002F248E">
              <w:rPr>
                <w:i/>
              </w:rPr>
              <w:t>the</w:t>
            </w:r>
            <w:proofErr w:type="spellEnd"/>
            <w:r w:rsidRPr="002F248E">
              <w:rPr>
                <w:i/>
              </w:rPr>
              <w:t xml:space="preserve"> GEANT Association</w:t>
            </w:r>
            <w:r w:rsidR="008D6F18">
              <w:rPr>
                <w:rStyle w:val="FootnoteReference"/>
                <w:i/>
              </w:rPr>
              <w:footnoteReference w:id="2"/>
            </w:r>
            <w:r>
              <w:t xml:space="preserve"> ). </w:t>
            </w:r>
          </w:p>
          <w:p w14:paraId="2CFD4CB8" w14:textId="67795CD1" w:rsidR="005D5AF5" w:rsidRDefault="005D5AF5" w:rsidP="005D5AF5">
            <w:pPr>
              <w:ind w:right="127"/>
              <w:jc w:val="both"/>
            </w:pPr>
            <w:r>
              <w:t xml:space="preserve">GEANT tīkla asociācija ir izveidota 2014.gada 7.oktobrī, apvienojot Apvienotajā Karalistē reģistrēto kompāniju DANTE </w:t>
            </w:r>
            <w:proofErr w:type="spellStart"/>
            <w:r>
              <w:t>Ltd</w:t>
            </w:r>
            <w:proofErr w:type="spellEnd"/>
            <w:r w:rsidR="008D6F18">
              <w:rPr>
                <w:rStyle w:val="FootnoteReference"/>
              </w:rPr>
              <w:footnoteReference w:id="3"/>
            </w:r>
            <w:r>
              <w:t>, asociāciju TERENA</w:t>
            </w:r>
            <w:r w:rsidR="008D6F18">
              <w:rPr>
                <w:rStyle w:val="FootnoteReference"/>
              </w:rPr>
              <w:footnoteReference w:id="4"/>
            </w:r>
            <w:r>
              <w:t xml:space="preserve"> un starptautiskos un nacionālos zinātnes un izglītības tīklus. GEANT tīkla asociāciju pārvalda tās biedri. GEANT tīkla asociācijas biedri ir 36 Eiropas nacionālie zinātnes un akadēmiskie tīkli, kā arī </w:t>
            </w:r>
            <w:proofErr w:type="spellStart"/>
            <w:r>
              <w:t>NORDUnet</w:t>
            </w:r>
            <w:proofErr w:type="spellEnd"/>
            <w:r>
              <w:t xml:space="preserve">, kas reprezentē piecu ziemeļvalstu (Dānijas, Zviedrijas, Norvēģijas, Somijas, Islandes) intereses. </w:t>
            </w:r>
            <w:r w:rsidRPr="002F248E">
              <w:t>Latvija šobrīd ir vienīgā valsts Eiropas Savienībā, kura nav pārstāvēta GEANT tīkla asociācijā.</w:t>
            </w:r>
          </w:p>
          <w:p w14:paraId="0C750743" w14:textId="77777777" w:rsidR="002F248E" w:rsidRPr="002F248E" w:rsidRDefault="002F248E" w:rsidP="005D5AF5">
            <w:pPr>
              <w:ind w:right="127"/>
              <w:jc w:val="both"/>
            </w:pPr>
          </w:p>
          <w:p w14:paraId="00A455B5" w14:textId="77777777" w:rsidR="005D5AF5" w:rsidRDefault="005D5AF5" w:rsidP="005D5AF5">
            <w:pPr>
              <w:ind w:right="127"/>
              <w:jc w:val="both"/>
            </w:pPr>
            <w:r>
              <w:t xml:space="preserve">GEANT tīkla asociācijas izveides galvenais mērķis ir nodrošināt GEANT tīkla vienotu pārvaldību, efektīvāku darba organizāciju, elastīgāku resursu izlietošanu un daudz visaptverošāku biedru pārstāvību asociācijā. GEANT tīkla asociācijas uzdevumi ir attīstīt un sniegt moderno tīklu, informācijas un saistītās elektroniskās infrastruktūras (e-infrastruktūras) pakalpojumus tās biedriem. Tiek nodrošināta GEANT tīkla projektu koordinācija starp GEANT tīkla asociācijas biedriem un iesaistītajām organizācijām, iekļaujot pētniecību un izglītību Eiropas un pasaules līmenī. </w:t>
            </w:r>
          </w:p>
          <w:p w14:paraId="3B78B55B" w14:textId="77777777" w:rsidR="005D5AF5" w:rsidRDefault="005D5AF5" w:rsidP="005D5AF5">
            <w:pPr>
              <w:ind w:right="127"/>
              <w:jc w:val="both"/>
            </w:pPr>
            <w:r>
              <w:t xml:space="preserve">GEANT tīkla asociācijas galvenais pārvaldības orgāns ir Ģenerālā asambleja, kuru sasauc ne retāk, kā divas reizes gadā. Ģenerālās asambleja sastāv no 36 patstāvīgajiem biedriem un viena pārstāvošā biedra – </w:t>
            </w:r>
            <w:proofErr w:type="spellStart"/>
            <w:r>
              <w:t>NORDUnet</w:t>
            </w:r>
            <w:proofErr w:type="spellEnd"/>
            <w:r>
              <w:t xml:space="preserve">. Ģenerālās asamblejas biedri </w:t>
            </w:r>
            <w:proofErr w:type="spellStart"/>
            <w:r>
              <w:t>ievēl</w:t>
            </w:r>
            <w:proofErr w:type="spellEnd"/>
            <w:r>
              <w:t xml:space="preserve"> Direktoru valdi (septiņi līdz deviņi pārstāvji), kas pārvalda un administrē GEANT tīkla asociāciju. Ģenerālajā asamblejā pārstāvošajiem biedriem ir atšķirīgas balsu skaita kategorijas, kas ir balstītas uz valsts iekšzemes kopproduktu.</w:t>
            </w:r>
          </w:p>
          <w:p w14:paraId="20D22B2B" w14:textId="77777777" w:rsidR="005D5AF5" w:rsidRDefault="005D5AF5" w:rsidP="005D5AF5">
            <w:pPr>
              <w:ind w:right="127"/>
              <w:jc w:val="both"/>
            </w:pPr>
          </w:p>
          <w:p w14:paraId="39CEDE06" w14:textId="77777777" w:rsidR="005D5AF5" w:rsidRDefault="005D5AF5" w:rsidP="005D5AF5">
            <w:pPr>
              <w:ind w:right="127"/>
              <w:jc w:val="both"/>
            </w:pPr>
            <w:r>
              <w:t>2)</w:t>
            </w:r>
            <w:r>
              <w:tab/>
              <w:t>tiesību piešķiršana Latvijas Universitātei, lai nodrošinātu Latvijas dalību nākamās kārtas GEANT tīkla projektā – GN4 (turpmāk – GN4 projekts), kas savu darbību uzsāks ar 2015.gada 1.maiju. Lai piedalītos GN4 projektā, Latvijai ir jāpievienojas GEANT tīkla konsorcijam, parakstot GN4 projekta konsorcija līgumu (</w:t>
            </w:r>
            <w:proofErr w:type="spellStart"/>
            <w:r w:rsidRPr="002F248E">
              <w:rPr>
                <w:i/>
              </w:rPr>
              <w:t>Consorcium</w:t>
            </w:r>
            <w:proofErr w:type="spellEnd"/>
            <w:r w:rsidRPr="002F248E">
              <w:rPr>
                <w:i/>
              </w:rPr>
              <w:t xml:space="preserve"> </w:t>
            </w:r>
            <w:proofErr w:type="spellStart"/>
            <w:r w:rsidRPr="002F248E">
              <w:rPr>
                <w:i/>
              </w:rPr>
              <w:t>agreement</w:t>
            </w:r>
            <w:proofErr w:type="spellEnd"/>
            <w:r w:rsidRPr="002F248E">
              <w:rPr>
                <w:i/>
              </w:rPr>
              <w:t xml:space="preserve"> </w:t>
            </w:r>
            <w:proofErr w:type="spellStart"/>
            <w:r w:rsidRPr="002F248E">
              <w:rPr>
                <w:i/>
              </w:rPr>
              <w:t>related</w:t>
            </w:r>
            <w:proofErr w:type="spellEnd"/>
            <w:r w:rsidRPr="002F248E">
              <w:rPr>
                <w:i/>
              </w:rPr>
              <w:t xml:space="preserve"> to GN</w:t>
            </w:r>
            <w:r w:rsidR="002F248E">
              <w:t>4</w:t>
            </w:r>
            <w:r w:rsidR="002F248E">
              <w:rPr>
                <w:rStyle w:val="FootnoteReference"/>
              </w:rPr>
              <w:footnoteReference w:id="5"/>
            </w:r>
            <w:r>
              <w:t>) (turpmāk – konsorcija līgums) un Pievienošanās aktu Ietvara Partnerības līgumam  (</w:t>
            </w:r>
            <w:proofErr w:type="spellStart"/>
            <w:r w:rsidRPr="009C01F3">
              <w:rPr>
                <w:i/>
              </w:rPr>
              <w:t>Framework</w:t>
            </w:r>
            <w:proofErr w:type="spellEnd"/>
            <w:r w:rsidRPr="009C01F3">
              <w:rPr>
                <w:i/>
              </w:rPr>
              <w:t xml:space="preserve"> </w:t>
            </w:r>
            <w:proofErr w:type="spellStart"/>
            <w:r w:rsidRPr="009C01F3">
              <w:rPr>
                <w:i/>
              </w:rPr>
              <w:t>Partnership</w:t>
            </w:r>
            <w:proofErr w:type="spellEnd"/>
            <w:r w:rsidRPr="009C01F3">
              <w:rPr>
                <w:i/>
              </w:rPr>
              <w:t xml:space="preserve"> </w:t>
            </w:r>
            <w:proofErr w:type="spellStart"/>
            <w:r w:rsidRPr="009C01F3">
              <w:rPr>
                <w:i/>
              </w:rPr>
              <w:t>Agreement</w:t>
            </w:r>
            <w:proofErr w:type="spellEnd"/>
            <w:r>
              <w:t xml:space="preserve">) (turpmāk – partnerības līgums). Partnerības līgums ir septiņu gadu vienošanās ar Eiropas Komisiju, kas nosaka, kādi mērķi GEANT tīkla konsorcijam jāsasniedz GEANT tīkla projektu ietvaros līdz 2022.gadam, ieskaitot. Partnerības līgums apstiprina Eiropas Komisijas savstarpējo vienošanos ar GEANT tīkla konsorciju par sasniedzamajiem stratēģiskajiem mērķiem. Konsorcija līgumu slēdz uz individuālo projektu ilgumu, kurā noteikti attiecīgā GEANT tīkla projektā iesaistīto dalībnieku pienākumi, nepieciešamie pētniecības darbi, pakalpojumu un sadarbības aktivitāšu saraksts. GN4 projekta ietvaros līdz 2022.gadam, ieskaitot, paredzēts īstenot viena gada GEANT tīkla projektu, </w:t>
            </w:r>
            <w:r>
              <w:lastRenderedPageBreak/>
              <w:t xml:space="preserve">pēc kura sekos divi atsevišķi GEANT tīkla projekti, katrs ar trīs gadu darbības  termiņu. </w:t>
            </w:r>
          </w:p>
          <w:p w14:paraId="50285802" w14:textId="77777777" w:rsidR="005D5AF5" w:rsidRDefault="005D5AF5" w:rsidP="005D5AF5">
            <w:pPr>
              <w:ind w:right="127"/>
              <w:jc w:val="both"/>
            </w:pPr>
            <w:r>
              <w:t xml:space="preserve">Latvijas dalība GN4 projektā vienlaicīgi nodrošina iespēju izmantot GEANT tīkla </w:t>
            </w:r>
            <w:proofErr w:type="spellStart"/>
            <w:r>
              <w:t>pieslēgumu</w:t>
            </w:r>
            <w:proofErr w:type="spellEnd"/>
            <w:r>
              <w:t xml:space="preserve"> zinātniskajām institūcijām, augstākās izglītības iestādēm, bibliotēkām, krātuvēm, kultūras iestādēm, pašvaldību izglītības un kultūras iestādēm, kā arī jebkurai citai publiskai personai un tās iestādei, kā arī citām komerciālām un nekomerciālām institūcijām izglītības, kultūras, mākslas, pētnieciskiem un izglītības mērķiem. </w:t>
            </w:r>
          </w:p>
          <w:p w14:paraId="36C517AC" w14:textId="051E32E5" w:rsidR="005D5AF5" w:rsidRDefault="005D5AF5" w:rsidP="005D5AF5">
            <w:pPr>
              <w:ind w:right="127"/>
              <w:jc w:val="both"/>
            </w:pPr>
            <w:r>
              <w:t>Vēsturiski, no GEANT tīkla projektu sākuma 2000.gadā, GEANT tīklā  piedalās Latvijas Universitātes aģentūra – Latvijas Universitātes Matemātikas un informātikas institūts (turpmāk – institūts) kā Latvijas dalībnieks, bet ne kā Latvijas Valsts nacionālais zinātnes un izglītības tīkla pilnvarots pārstāvis. Saskaņā ar Zinātniskās darbības likuma (turpmāk – Likums) 21.</w:t>
            </w:r>
            <w:r w:rsidR="009E17D1" w:rsidRPr="009A375F">
              <w:rPr>
                <w:b/>
                <w:bCs/>
                <w:vertAlign w:val="superscript"/>
              </w:rPr>
              <w:t>1</w:t>
            </w:r>
            <w:r w:rsidR="009E17D1">
              <w:rPr>
                <w:rFonts w:ascii="Arial" w:hAnsi="Arial" w:cs="Arial"/>
                <w:b/>
                <w:bCs/>
              </w:rPr>
              <w:t xml:space="preserve"> </w:t>
            </w:r>
            <w:r>
              <w:t>panta otro daļu  institūta darbību nosaka Likums</w:t>
            </w:r>
            <w:r w:rsidR="009E17D1">
              <w:t xml:space="preserve">, </w:t>
            </w:r>
            <w:r>
              <w:t xml:space="preserve">Publisko aģentūru </w:t>
            </w:r>
            <w:r w:rsidR="002D55F4">
              <w:t>likums un citi normatīvie akti.</w:t>
            </w:r>
          </w:p>
          <w:p w14:paraId="4229FE3F" w14:textId="77777777" w:rsidR="005D5AF5" w:rsidRDefault="005D5AF5" w:rsidP="005D5AF5">
            <w:pPr>
              <w:ind w:right="127"/>
              <w:jc w:val="both"/>
            </w:pPr>
            <w:r>
              <w:t>Institūts ir Latvijas Universitātes izveidota un finansēta iestāde, kuras nolikumu apstiprina Latvijas Universitāte, un institūts veic no Latvijas Universitātes funkcijām izrietošus pārvaldes uzdevumus, sniedzot pakalpojumus un īstenojot Latvijas Universitātes un starptautiskus projektus un programmas. Atbilstoši Valsts pārvaldes iekārtas likuma 1.panta 6.punktam, 4.panta otrajai daļai un 5.panta otrajai daļai institūts ir atvasinātas publiskas personas – Latvijas Universitātes – izveidota iestāde, pastarpināta valsts pārvaldes iestāde, kurai nav juridiskas personas statusa, un Latvijas Universitāte valsts pārvaldes jomā darbojas ar pastarpinātās pārvaldes iestāžu starpniecību, t.i., šajā gadījumā ar institūta starpniecību, kā arī Latvijas Universitāte kā atvasinātā publiskā persona ir atbildīga par savas pastarpinātās pārvaldes iestādes darbību.</w:t>
            </w:r>
          </w:p>
          <w:p w14:paraId="600B8BC7" w14:textId="77777777" w:rsidR="005D5AF5" w:rsidRDefault="005D5AF5" w:rsidP="005D5AF5">
            <w:pPr>
              <w:ind w:right="127"/>
              <w:jc w:val="both"/>
            </w:pPr>
            <w:r>
              <w:t>Valsts pārvaldes iekārtas likuma 5.panta trešā daļa nosaka, ka institūts kā pastarpinātās pārvaldes iestāde var pildīt atsevišķus valsts pārvaldes uzdevumus, kuri ir Latvijas Republikas kompetencē, bet kuru izpilde nodota attiecīgajai atvasinātajai publiskajai personai vai iestādei pašai. Šādā gadījumā iestāde pārstāv Latvijas Republiku.</w:t>
            </w:r>
          </w:p>
          <w:p w14:paraId="35FE49C7" w14:textId="77777777" w:rsidR="005D5AF5" w:rsidRDefault="005D5AF5" w:rsidP="005D5AF5">
            <w:pPr>
              <w:ind w:right="127"/>
              <w:jc w:val="both"/>
            </w:pPr>
            <w:r>
              <w:t>Publisko aģentūru likuma 2.panta trešā daļa nosaka, ka uz atvasinātu publisku personu izveidotām aģentūrām attiecināmas šajā likumā noteiktās normas, kas nosaka pašvaldību aģentūru darbību. Atbilstoši minētā likuma 16.panta pirmajai daļai pašvaldības aģentūra veic no pašvaldības funkcijām izrietošus pārvaldes uzdevumus, sniedzot pakalpojumus un īstenojot pašvaldību un starptautiskus projektus un programmas.</w:t>
            </w:r>
          </w:p>
          <w:p w14:paraId="77613420" w14:textId="77777777" w:rsidR="005D5AF5" w:rsidRDefault="005D5AF5" w:rsidP="005D5AF5">
            <w:pPr>
              <w:ind w:right="127"/>
              <w:jc w:val="both"/>
            </w:pPr>
            <w:r>
              <w:t>Institūtam nav bijis deleģējuma pildīt kādu valsts pārvaldes uzdevumu, nav piešķirta kompetence pārstāvēt Latvijas Republiku, jo ne Ministru kabinets, ne ministrija, atbilstoši savai kompetencei valsts pārvaldē, nav devuši institūtam pilnvarojumu Latvijas pārstāvībai GEANT tīklā un GEANT tīkla projektos.</w:t>
            </w:r>
          </w:p>
          <w:p w14:paraId="6719B1D9" w14:textId="77777777" w:rsidR="005D5AF5" w:rsidRDefault="005D5AF5" w:rsidP="005D5AF5">
            <w:pPr>
              <w:ind w:right="127"/>
              <w:jc w:val="both"/>
            </w:pPr>
            <w:r>
              <w:t>Ievērojot iepriekš minēto, ministrija uzskata, ka Latvijas Universitātei būtu jānodrošina Latvijas pārstāvība GN4 projektā, noslēdzot konsorcija līgumu un partnerības līgumu</w:t>
            </w:r>
          </w:p>
          <w:p w14:paraId="5FC8C658" w14:textId="77777777" w:rsidR="005D5AF5" w:rsidRDefault="005D5AF5" w:rsidP="005D5AF5">
            <w:pPr>
              <w:ind w:right="127"/>
              <w:jc w:val="both"/>
            </w:pPr>
            <w:r>
              <w:t xml:space="preserve">2014.gada 24.martā ir noslēgta Vienošanās pie Sadarbības līguma par projekta “Vienota nacionālās nozīmes Latvijas akadēmiskā pamattīkla zinātniskās darbības nodrošināšanai izveide” īstenošanas turpināšanu starp ministriju un Latvijas Universitāti, kuras 4.1.5.punkts paredz, ka GEANT tīkla </w:t>
            </w:r>
            <w:proofErr w:type="spellStart"/>
            <w:r>
              <w:t>pieslēguma</w:t>
            </w:r>
            <w:proofErr w:type="spellEnd"/>
            <w:r>
              <w:t xml:space="preserve"> iekārtu uzturēšanu un rezultātu ilgtspējas nodrošināšanu Latvijas akadēmiskā tīkla īstenošanas laikā veic institūts. Līdz ar to Latvijas Universitāte, izskatot jautājumu par to, kā īstenot GN4 projektu, var piešķirt GN4 projekta </w:t>
            </w:r>
            <w:r>
              <w:lastRenderedPageBreak/>
              <w:t>īstenošanas tiesības institūtam, lai nodrošinātu Latvijas pārstāvību GN4 projektā.</w:t>
            </w:r>
          </w:p>
          <w:p w14:paraId="346E091E" w14:textId="77777777" w:rsidR="005D5AF5" w:rsidRDefault="005D5AF5" w:rsidP="005D5AF5">
            <w:pPr>
              <w:ind w:right="127"/>
              <w:jc w:val="both"/>
            </w:pPr>
            <w:r>
              <w:t xml:space="preserve">Ņemot vērā, ka pārstāvību GEANT tīkla projektos finansē no Latvijas valsts budžeta, tad arī tās pārstāvjiem ir jābūt nominētiem gan GEANT tīkla asociācijā, gan GEANT tīkla konsorcijā, kurā skata jautājumus, kas skar GEANT tīkla GN4 projektu. Patreizējā GEANT pārvaldības prakse rāda, ka GEANT tīkla asociācijas un GEANT tīkla konsorcija biedru nominētie pārstāvji ir pārstāvēti abos GEANT tīkla pārvaldes orgānos. Saskaņā ar GEANT tīkla amatpersonu sniegto informāciju GEANT pārvaldība organizācija šobrīd atrodas transformācijas periodā, līdz ar to pēc kāda laika sadalījums GEANT tīkla asociācijā un GEANT tīkla konsorcijā izzudīs. </w:t>
            </w:r>
          </w:p>
          <w:p w14:paraId="7C6093FE" w14:textId="77777777" w:rsidR="005D5AF5" w:rsidRDefault="005D5AF5" w:rsidP="005D5AF5">
            <w:pPr>
              <w:ind w:right="127"/>
              <w:jc w:val="both"/>
            </w:pPr>
            <w:r>
              <w:t xml:space="preserve">Ministrija uzskata, ka Latvijas gadījumā visoptimālākais modelis ir GEANT tīkla asociācijā un GEANT tīkla konsorcijā nominēt vienu – galveno pārstāvi no ministrijas un otru pārstāvi – aizvietotāju no Latvijas Universitātes. </w:t>
            </w:r>
          </w:p>
          <w:p w14:paraId="201A7E26" w14:textId="77777777" w:rsidR="005D5AF5" w:rsidRDefault="005D5AF5" w:rsidP="005D5AF5">
            <w:pPr>
              <w:ind w:right="127"/>
              <w:jc w:val="both"/>
            </w:pPr>
          </w:p>
          <w:p w14:paraId="3366297C" w14:textId="77777777" w:rsidR="005D5AF5" w:rsidRPr="005D5AF5" w:rsidRDefault="005D5AF5" w:rsidP="005D5AF5">
            <w:pPr>
              <w:ind w:right="127"/>
              <w:jc w:val="both"/>
              <w:rPr>
                <w:b/>
              </w:rPr>
            </w:pPr>
            <w:r w:rsidRPr="005D5AF5">
              <w:rPr>
                <w:b/>
              </w:rPr>
              <w:t>Vienotā nacionālas nozīmes Latvijas akadēmiskā pamattīkla sasaiste ar GEANT tīklu</w:t>
            </w:r>
          </w:p>
          <w:p w14:paraId="71523DEE" w14:textId="77777777" w:rsidR="005D5AF5" w:rsidRDefault="005D5AF5" w:rsidP="005D5AF5">
            <w:pPr>
              <w:ind w:right="127"/>
              <w:jc w:val="both"/>
            </w:pPr>
          </w:p>
          <w:p w14:paraId="7B1EC307" w14:textId="28782485" w:rsidR="005D5AF5" w:rsidRDefault="005D5AF5" w:rsidP="005D5AF5">
            <w:pPr>
              <w:ind w:right="127"/>
              <w:jc w:val="both"/>
            </w:pPr>
            <w:r>
              <w:t xml:space="preserve">Paredzams, ka ar 2015.gada 31.augustu tiks pabeigta Latvijas Akadēmiskā tīkla izveide, kuru ministrija īsteno sadarbojoties ar 48 Latvijas zinātnisko institūciju reģistrā reģistrētām zinātniskajām institūcijām (turpmāk – zinātniskās institūcijas), lai Latvijā izveidotu modernu informācijas un komunikāciju tehnoloģiju infrastruktūru zinātniskās darbības un pētniecības nodrošināšanai. Pēc Akadēmiskā tīkla darbības uzsākšanas ir paredzēts veidot Akadēmiskā tīkla uzraudzības </w:t>
            </w:r>
            <w:r w:rsidRPr="00BF6F26">
              <w:t xml:space="preserve">padomi (turpmāk </w:t>
            </w:r>
            <w:r w:rsidR="00972129">
              <w:t>arī</w:t>
            </w:r>
            <w:r w:rsidRPr="00BF6F26">
              <w:t xml:space="preserve"> </w:t>
            </w:r>
            <w:r w:rsidR="001B797B">
              <w:t>–</w:t>
            </w:r>
            <w:r w:rsidRPr="00BF6F26">
              <w:t xml:space="preserve"> padome).</w:t>
            </w:r>
            <w:r w:rsidR="00BF6F26">
              <w:t xml:space="preserve"> Padome darbosies ministrijai piešķirtā finansējuma ietvaros.</w:t>
            </w:r>
            <w:r w:rsidRPr="00BF6F26">
              <w:t xml:space="preserve"> Padomes</w:t>
            </w:r>
            <w:r>
              <w:t xml:space="preserve"> juridiskā forma – izglītības un zinātnes ministram pakļauta organizatoriska vienība un ar Ministru kabineta noteikumiem apstiprināts padomes nolikums. Padomes priekšsēdētājs ir ministrijas iecelta atbildīgā amatpersona un padomes sastāvu veido Latvijas Akadēmisk</w:t>
            </w:r>
            <w:r w:rsidR="006C11C7">
              <w:t>ā</w:t>
            </w:r>
            <w:r>
              <w:t xml:space="preserve"> tīkla koplietošanas infrastruktūras lietotāju pārstāvji, nodrošinot 25 procentu balsu Latvijas Universitātei, 25 procentu balsu Rīgas Tehniskajai universitātei, 25 procentu balsu valsts zinātniskajiem institūtiem un 25 procentu balsu citām zinātniskajām institūcijām. Padomes priekšsēdētājam  padomē nav balss tiesību. Lēmumus padome pieņem ar balsu vairākumu un ministrijai ir veto tiesības. Latvijas Akadēmiskā tīkla lietotāju nominētos pārstāvjus dalībai padomē apstiprina ar izglītības un zinātnes ministra rīkojumu. </w:t>
            </w:r>
          </w:p>
          <w:p w14:paraId="662CCF37" w14:textId="77777777" w:rsidR="005D5AF5" w:rsidRDefault="005D5AF5" w:rsidP="005D5AF5">
            <w:pPr>
              <w:ind w:right="127"/>
              <w:jc w:val="both"/>
            </w:pPr>
            <w:r>
              <w:t xml:space="preserve">Ievērojot minēto, Latvijas dalība GEANT tīkla asociācijā un GEANT tīkla konsorcijā ministrijas personā ir nepieciešama, lai nodrošinātu Latvijas pārstāvību GEANT tīklā un nodrošinātu Latvijas Akadēmiskā tīkla efektīvu funkcionēšanu, iekļaujoties GEANT tīklā. Nav iespējama Latvijas dalība GEANT tīkla konsorcijā un GEANT tīkla projektos bez Latvijas dalības GEANT tīkla asociācijā.     </w:t>
            </w:r>
          </w:p>
          <w:p w14:paraId="60164B91" w14:textId="77777777" w:rsidR="005D5AF5" w:rsidRDefault="005D5AF5" w:rsidP="005D5AF5">
            <w:pPr>
              <w:ind w:right="127"/>
              <w:jc w:val="both"/>
            </w:pPr>
          </w:p>
          <w:p w14:paraId="525DEAAB" w14:textId="77777777" w:rsidR="005D5AF5" w:rsidRPr="005D5AF5" w:rsidRDefault="005D5AF5" w:rsidP="005D5AF5">
            <w:pPr>
              <w:ind w:right="127"/>
              <w:jc w:val="both"/>
              <w:rPr>
                <w:b/>
              </w:rPr>
            </w:pPr>
            <w:r w:rsidRPr="005D5AF5">
              <w:rPr>
                <w:b/>
              </w:rPr>
              <w:t xml:space="preserve">GEANT tīkla </w:t>
            </w:r>
            <w:proofErr w:type="spellStart"/>
            <w:r w:rsidRPr="005D5AF5">
              <w:rPr>
                <w:b/>
              </w:rPr>
              <w:t>pieslēguma</w:t>
            </w:r>
            <w:proofErr w:type="spellEnd"/>
            <w:r w:rsidRPr="005D5AF5">
              <w:rPr>
                <w:b/>
              </w:rPr>
              <w:t xml:space="preserve"> uzturēšanas un apkalpošanas maksas pakalpojumu cenrādis</w:t>
            </w:r>
          </w:p>
          <w:p w14:paraId="780078A9" w14:textId="77777777" w:rsidR="005D5AF5" w:rsidRDefault="005D5AF5" w:rsidP="005D5AF5">
            <w:pPr>
              <w:ind w:right="127"/>
              <w:jc w:val="both"/>
            </w:pPr>
          </w:p>
          <w:p w14:paraId="4521E3BB" w14:textId="77777777" w:rsidR="005D5AF5" w:rsidRDefault="005D5AF5" w:rsidP="005D5AF5">
            <w:pPr>
              <w:ind w:right="127"/>
              <w:jc w:val="both"/>
            </w:pPr>
            <w:r>
              <w:t xml:space="preserve">Līdz šim GEANT tīkla </w:t>
            </w:r>
            <w:proofErr w:type="spellStart"/>
            <w:r>
              <w:t>pieslēguma</w:t>
            </w:r>
            <w:proofErr w:type="spellEnd"/>
            <w:r>
              <w:t xml:space="preserve"> uzturēšanas un apkalpošanas maksas pakalpojumu institūts sniedza, izmantojot Latvijas Universitātes apstiprinātu cenrādi. </w:t>
            </w:r>
          </w:p>
          <w:p w14:paraId="402A4BFC" w14:textId="45B30534" w:rsidR="005D5AF5" w:rsidRDefault="005D5AF5" w:rsidP="005D5AF5">
            <w:pPr>
              <w:ind w:right="127"/>
              <w:jc w:val="both"/>
            </w:pPr>
            <w:r>
              <w:t xml:space="preserve">Institūts GEANT tīkla lietotājiem jeb klientiem, kuri izmantoja GEANT tīkla datu pārraides kanālu, maksu par GEANT tīkla nodrošināšanu un datu pārraides kanāla izmantošanu aprēķināja pēc katra klienta </w:t>
            </w:r>
            <w:r w:rsidR="00832D0B">
              <w:t>(</w:t>
            </w:r>
            <w:r>
              <w:t>institūcijas</w:t>
            </w:r>
            <w:r w:rsidR="00832D0B">
              <w:t>)</w:t>
            </w:r>
            <w:r>
              <w:t xml:space="preserve"> </w:t>
            </w:r>
            <w:r>
              <w:lastRenderedPageBreak/>
              <w:t xml:space="preserve">izvēlētā datu pārraides kanāla ātruma no institūta līdz klienta </w:t>
            </w:r>
            <w:r w:rsidR="00832D0B">
              <w:t>(</w:t>
            </w:r>
            <w:r>
              <w:t>institūcijas</w:t>
            </w:r>
            <w:r w:rsidR="00832D0B">
              <w:t>)</w:t>
            </w:r>
            <w:r>
              <w:t xml:space="preserve"> adresei, GEANT tīkla ātruma un Latvijas datu plūsmas ātruma. Vidējais datu pārraides kanāla ātrums no institūta līdz klienta adresei izvēlēts robežās no 1 </w:t>
            </w:r>
            <w:proofErr w:type="spellStart"/>
            <w:r>
              <w:t>Mb</w:t>
            </w:r>
            <w:proofErr w:type="spellEnd"/>
            <w:r>
              <w:t xml:space="preserve">/s </w:t>
            </w:r>
            <w:r w:rsidR="00832D0B">
              <w:t>–</w:t>
            </w:r>
            <w:r>
              <w:t xml:space="preserve"> 100 </w:t>
            </w:r>
            <w:proofErr w:type="spellStart"/>
            <w:r>
              <w:t>Mb</w:t>
            </w:r>
            <w:proofErr w:type="spellEnd"/>
            <w:r>
              <w:t>/s. Lielākie klienti ir Latvijas Nacionālā bibliotēka, Latvijas Zinātņu akadēmija, Latvijas Mākslas akadēmija, Latvijas Lauksaimniecības universitāte, Latvijas Universitāte, Rīgas Tehniskā universitāte, Transporta un sakaru institūts, Informācijas sistēmu augstsko</w:t>
            </w:r>
            <w:r w:rsidR="002D55F4">
              <w:t>la, Rīgas Juridiskā augstskola.</w:t>
            </w:r>
          </w:p>
          <w:p w14:paraId="31B1CE3A" w14:textId="39DBBEE1" w:rsidR="005D5AF5" w:rsidRDefault="005D5AF5" w:rsidP="005D5AF5">
            <w:pPr>
              <w:ind w:right="127"/>
              <w:jc w:val="both"/>
            </w:pPr>
            <w:r>
              <w:t xml:space="preserve">Ministrija vērš uzmanību, ka Latvijas Universitāte ir apstiprinājusi institūta GEANT tīkla </w:t>
            </w:r>
            <w:proofErr w:type="spellStart"/>
            <w:r>
              <w:t>pieslēguma</w:t>
            </w:r>
            <w:proofErr w:type="spellEnd"/>
            <w:r>
              <w:t xml:space="preserve"> uzturēšanas un apkalpošanas maksas pakalpojumu cenrādi, taču cenrāža apstiprināšana par pakalpojumiem, kurus pamatā līdzfinansē valsts</w:t>
            </w:r>
            <w:r w:rsidR="00832D0B">
              <w:t>,</w:t>
            </w:r>
            <w:r>
              <w:t xml:space="preserve"> ir</w:t>
            </w:r>
            <w:r w:rsidR="00BF6F26">
              <w:t xml:space="preserve"> valsts</w:t>
            </w:r>
            <w:r>
              <w:t xml:space="preserve"> deleģēta funkcija. Ministrija ierosina, ka no 2015.gada 31.augusta pēc Latvijas Akadēmiskā tīkla uzraudzības pa</w:t>
            </w:r>
            <w:r w:rsidR="008D6F18">
              <w:t>domes izveides viena no padomes</w:t>
            </w:r>
            <w:r>
              <w:t xml:space="preserve"> kompetencēm ir apstiprināt cenrādi par GEANT tīkla Latvijā uzturēšanu un apkalpošanu. </w:t>
            </w:r>
          </w:p>
          <w:p w14:paraId="0D414C15" w14:textId="311C70CD" w:rsidR="00D85239" w:rsidRDefault="00EC1C70" w:rsidP="00D85239">
            <w:pPr>
              <w:ind w:right="127"/>
              <w:jc w:val="both"/>
              <w:rPr>
                <w:rFonts w:eastAsia="Times New Roman"/>
              </w:rPr>
            </w:pPr>
            <w:r w:rsidRPr="00E54FD9">
              <w:rPr>
                <w:rFonts w:eastAsia="Times New Roman"/>
              </w:rPr>
              <w:t>Latvijas Universitāte vēstulē ministrijai ir nor</w:t>
            </w:r>
            <w:r w:rsidR="00306BB3" w:rsidRPr="00E54FD9">
              <w:rPr>
                <w:rFonts w:eastAsia="Times New Roman"/>
              </w:rPr>
              <w:t>ā</w:t>
            </w:r>
            <w:r w:rsidRPr="00E54FD9">
              <w:rPr>
                <w:rFonts w:eastAsia="Times New Roman"/>
              </w:rPr>
              <w:t>dījusi, ka lai nodrošinātu GN4 projekta darbību Latvijā, tai skaitā nodrošināt</w:t>
            </w:r>
            <w:r w:rsidR="00306BB3" w:rsidRPr="00E54FD9">
              <w:rPr>
                <w:rFonts w:eastAsia="Times New Roman"/>
              </w:rPr>
              <w:t>u</w:t>
            </w:r>
            <w:r w:rsidRPr="00E54FD9">
              <w:rPr>
                <w:rFonts w:eastAsia="Times New Roman"/>
              </w:rPr>
              <w:t xml:space="preserve"> GEANT tīkla </w:t>
            </w:r>
            <w:proofErr w:type="spellStart"/>
            <w:r w:rsidRPr="00E54FD9">
              <w:rPr>
                <w:rFonts w:eastAsia="Times New Roman"/>
              </w:rPr>
              <w:t>pieslēgumu</w:t>
            </w:r>
            <w:proofErr w:type="spellEnd"/>
            <w:r w:rsidRPr="00E54FD9">
              <w:rPr>
                <w:rFonts w:eastAsia="Times New Roman"/>
              </w:rPr>
              <w:t xml:space="preserve"> Latvijas zinātniskām, izglītības, kultūras, mākslas iestādēm un komersantiem, saimnieciskās darbības veicējiem, biedrībām un nodibinājumiem no 2015.gada 1.maija, ir nepieciešami papildu finanšu līdzekļi</w:t>
            </w:r>
            <w:r w:rsidR="00B25D4B" w:rsidRPr="00E54FD9">
              <w:rPr>
                <w:rFonts w:eastAsia="Times New Roman"/>
              </w:rPr>
              <w:t>.</w:t>
            </w:r>
            <w:r w:rsidRPr="00E54FD9">
              <w:rPr>
                <w:rFonts w:eastAsia="Times New Roman"/>
              </w:rPr>
              <w:t xml:space="preserve"> Latvijas Universitāte</w:t>
            </w:r>
            <w:r w:rsidR="00B25D4B" w:rsidRPr="00E54FD9">
              <w:rPr>
                <w:rFonts w:eastAsia="Times New Roman"/>
              </w:rPr>
              <w:t xml:space="preserve"> neformāli ir informējusi ministriju par nepieciešamajām izmaksām no 2015.gada 1.maija līdz 2015.gada 31.decembrim. </w:t>
            </w:r>
            <w:r w:rsidR="00CE41EF" w:rsidRPr="00E54FD9">
              <w:t xml:space="preserve"> Ministrija nepieciešamo finansējumu </w:t>
            </w:r>
            <w:r w:rsidR="00CE41EF" w:rsidRPr="00E54FD9">
              <w:rPr>
                <w:rFonts w:eastAsia="Times New Roman"/>
              </w:rPr>
              <w:t>nodrošinās no ministrijas budžeta apakšprogrammas 05.02.00 “Zinātnes bāzes finansējums”</w:t>
            </w:r>
            <w:r w:rsidR="00E06271" w:rsidRPr="00E54FD9">
              <w:t xml:space="preserve">  no </w:t>
            </w:r>
            <w:r w:rsidR="00E06271" w:rsidRPr="00E54FD9">
              <w:rPr>
                <w:rFonts w:eastAsia="Times New Roman"/>
              </w:rPr>
              <w:t xml:space="preserve">līdzekļiem pievienotās vērtības nodokļa maksājumu līdzfinansēšanai zinātnisko institūciju Eiropas Savienības pamatprogrammu projektos, </w:t>
            </w:r>
            <w:r w:rsidR="00CE41EF" w:rsidRPr="00E54FD9">
              <w:rPr>
                <w:rFonts w:eastAsia="Times New Roman"/>
              </w:rPr>
              <w:t xml:space="preserve">piešķirtā finansējuma ietvaros. Jautājums par finansējumu Latvijas Universitātei, kā GEANT tīkla nodrošinātājai Latvijā no 2016.gada, ir skatāms Akadēmiskā tīkla uzraudzības padomē (tiks izveidota līdz 2015.gada septembrim), </w:t>
            </w:r>
            <w:r w:rsidRPr="00E54FD9">
              <w:rPr>
                <w:rFonts w:eastAsia="Times New Roman"/>
              </w:rPr>
              <w:t>kontekstā ar Latvijas akadēmiskā pamattīkla uztur</w:t>
            </w:r>
            <w:r w:rsidR="00DE125E">
              <w:rPr>
                <w:rFonts w:eastAsia="Times New Roman"/>
              </w:rPr>
              <w:t xml:space="preserve">ēšanu un darbības nodrošināšanu, </w:t>
            </w:r>
            <w:r w:rsidR="00DE125E" w:rsidRPr="00DE125E">
              <w:rPr>
                <w:rFonts w:eastAsia="Times New Roman"/>
              </w:rPr>
              <w:t>budžeta apakšprogrammas 05.02.00 “Zinātnes bāzes finansējums”</w:t>
            </w:r>
            <w:r w:rsidR="00DE125E">
              <w:rPr>
                <w:rFonts w:eastAsia="Times New Roman"/>
              </w:rPr>
              <w:t xml:space="preserve"> piešķirtā finansējuma ietvaros.</w:t>
            </w:r>
          </w:p>
          <w:p w14:paraId="1D108045" w14:textId="77777777" w:rsidR="00EC1C70" w:rsidRDefault="00EC1C70" w:rsidP="00D85239">
            <w:pPr>
              <w:ind w:right="127"/>
              <w:jc w:val="both"/>
            </w:pPr>
          </w:p>
          <w:p w14:paraId="1D15AB37" w14:textId="77777777" w:rsidR="005D5AF5" w:rsidRPr="006C4CF8" w:rsidRDefault="005D5AF5" w:rsidP="005D5AF5">
            <w:pPr>
              <w:ind w:right="127"/>
              <w:jc w:val="both"/>
              <w:rPr>
                <w:b/>
              </w:rPr>
            </w:pPr>
            <w:r w:rsidRPr="006C4CF8">
              <w:rPr>
                <w:b/>
              </w:rPr>
              <w:t>GEANT tīkla lietotāji  Latvijā</w:t>
            </w:r>
          </w:p>
          <w:p w14:paraId="63560FC8" w14:textId="77777777" w:rsidR="005D5AF5" w:rsidRDefault="005D5AF5" w:rsidP="005D5AF5">
            <w:pPr>
              <w:ind w:right="127"/>
              <w:jc w:val="both"/>
            </w:pPr>
          </w:p>
          <w:p w14:paraId="77A84B56" w14:textId="54144322" w:rsidR="005D5AF5" w:rsidRDefault="005D5AF5" w:rsidP="005D5AF5">
            <w:pPr>
              <w:ind w:right="127"/>
              <w:jc w:val="both"/>
            </w:pPr>
            <w:r>
              <w:t>Saskaņā ar institūta 2015.gada 17.februārī sniegto informāciju</w:t>
            </w:r>
            <w:r w:rsidR="0063589D">
              <w:t>,</w:t>
            </w:r>
            <w:r>
              <w:t xml:space="preserve"> piekļuve GEANT tīkla </w:t>
            </w:r>
            <w:proofErr w:type="spellStart"/>
            <w:r>
              <w:t>pieslēgumam</w:t>
            </w:r>
            <w:proofErr w:type="spellEnd"/>
            <w:r>
              <w:t xml:space="preserve"> ir nodrošināta 27 Latvijas institūcijām. Tās ir gan valsts, gan privāto personu dibinātas izglītības, kultūras un zinātnes pētniecības iestādes (</w:t>
            </w:r>
            <w:r w:rsidR="006C4CF8">
              <w:t>rīkojuma projekta</w:t>
            </w:r>
            <w:r>
              <w:t xml:space="preserve"> 2.pielikums).</w:t>
            </w:r>
            <w:r w:rsidR="00BF6F26">
              <w:t xml:space="preserve"> Vienlaikus Latvijas Universitāte nodrošina GEANT </w:t>
            </w:r>
            <w:proofErr w:type="spellStart"/>
            <w:r w:rsidR="00BF6F26">
              <w:t>pieslēgumu</w:t>
            </w:r>
            <w:proofErr w:type="spellEnd"/>
            <w:r w:rsidR="00BF6F26">
              <w:t xml:space="preserve"> </w:t>
            </w:r>
            <w:r w:rsidR="006F0E4D">
              <w:t xml:space="preserve">vēl  </w:t>
            </w:r>
            <w:r w:rsidR="00CD159F">
              <w:t>8</w:t>
            </w:r>
            <w:r w:rsidR="006F0E4D">
              <w:t xml:space="preserve"> institūcijām.</w:t>
            </w:r>
          </w:p>
          <w:p w14:paraId="0E5F20B9" w14:textId="60462107" w:rsidR="0021750A" w:rsidRDefault="005D5AF5" w:rsidP="0021750A">
            <w:pPr>
              <w:ind w:right="127"/>
              <w:jc w:val="both"/>
            </w:pPr>
            <w:r>
              <w:t xml:space="preserve">GN4 projekts un turpmākie GEANT tīkla projekti nodrošina </w:t>
            </w:r>
            <w:proofErr w:type="spellStart"/>
            <w:r>
              <w:t>pieslēgumu</w:t>
            </w:r>
            <w:proofErr w:type="spellEnd"/>
            <w:r>
              <w:t xml:space="preserve"> GEANT tīklam Latvijas zinātniskām, izglītības, kultūras, mākslas </w:t>
            </w:r>
            <w:r w:rsidR="006C4CF8">
              <w:t xml:space="preserve">iestādēm </w:t>
            </w:r>
            <w:r w:rsidR="009C01F3">
              <w:t>un</w:t>
            </w:r>
            <w:r w:rsidR="006C4CF8" w:rsidRPr="00B10311">
              <w:rPr>
                <w:color w:val="000000" w:themeColor="text1"/>
              </w:rPr>
              <w:t xml:space="preserve"> komersantiem, saimnieciskās darbības veicējiem, biedrībām un nodibinājumiem</w:t>
            </w:r>
            <w:r>
              <w:t>, kas nav ministrijas padotības iestādes, bet apvieno pašvaldību institūcijas, privātpersonu dibinātas iestādes, Kultūras ministrijas, Veselības ministrijas, Vides aizsardzības un reģionālās attīstības ministrijas un Zemkopības ministrijas padotībā esošas institūcijas, tajā skaitā  Latvijas Nacionālo bibliotēku</w:t>
            </w:r>
            <w:r w:rsidR="0021750A" w:rsidRPr="0063589D">
              <w:t>.</w:t>
            </w:r>
            <w:r w:rsidR="0021750A">
              <w:t xml:space="preserve"> </w:t>
            </w:r>
          </w:p>
          <w:p w14:paraId="7277240F" w14:textId="77777777" w:rsidR="0021750A" w:rsidRDefault="0021750A" w:rsidP="0021750A">
            <w:pPr>
              <w:ind w:right="127"/>
              <w:jc w:val="both"/>
            </w:pPr>
          </w:p>
          <w:p w14:paraId="5FAF3EE5" w14:textId="77777777" w:rsidR="00DD1F53" w:rsidRPr="00C77081" w:rsidRDefault="00CD159F" w:rsidP="00DD1F53">
            <w:pPr>
              <w:ind w:right="127"/>
              <w:jc w:val="both"/>
            </w:pPr>
            <w:r w:rsidRPr="00C77081">
              <w:t>M</w:t>
            </w:r>
            <w:r w:rsidR="005D5AF5" w:rsidRPr="00C77081">
              <w:t>inistrija uzskata, ka Latvijas dalība GN4 projektā, kā arī dalības maksa GEANT tīkla asociācijā būtu jāsedz no Finanšu ministrijas 74.resora "Gadskārtējā valsts budžeta izpildes procesā pārdalāmais finansējums" 80.00.00 programmā plānotajiem līdzekļiem Eiropas Savienības politiku instrumentu un pārējās ārvalstu finanšu palīdzības līdzfinansēto p</w:t>
            </w:r>
            <w:r w:rsidRPr="00C77081">
              <w:t xml:space="preserve">rojektu un </w:t>
            </w:r>
            <w:r w:rsidRPr="00C77081">
              <w:lastRenderedPageBreak/>
              <w:t>pasākumu īstenošanai, attiecīgi palielino</w:t>
            </w:r>
            <w:r w:rsidR="005D5AF5" w:rsidRPr="00C77081">
              <w:t>t finansējuma apjomu ministrijas valsts budžetā kārtējam gadam apakšprogrammā 70.06.00 "Dalība Eiropas Savienības pētniecības un tehnoloģiju attīstības programmās"</w:t>
            </w:r>
            <w:r w:rsidR="00DD1F53" w:rsidRPr="00C77081">
              <w:t xml:space="preserve"> (turpmāk - </w:t>
            </w:r>
            <w:r w:rsidR="00915176" w:rsidRPr="00C77081">
              <w:t>apakšprogrammā 70.06.00</w:t>
            </w:r>
            <w:r w:rsidR="00DD1F53" w:rsidRPr="00C77081">
              <w:t>)</w:t>
            </w:r>
            <w:r w:rsidR="00915176" w:rsidRPr="00C77081">
              <w:t xml:space="preserve">. </w:t>
            </w:r>
            <w:r w:rsidR="00DD1F53" w:rsidRPr="00C77081">
              <w:t>Pieejamais finansējums  apakšprogrammā 70.06.00</w:t>
            </w:r>
            <w:r w:rsidR="006B67CD" w:rsidRPr="00C77081">
              <w:t>.</w:t>
            </w:r>
            <w:r w:rsidR="00DD1F53" w:rsidRPr="00C77081">
              <w:t xml:space="preserve"> 2015.gadam jau ir saplānots 100% apmērā</w:t>
            </w:r>
            <w:r w:rsidR="006B67CD" w:rsidRPr="00C77081">
              <w:t>,</w:t>
            </w:r>
            <w:r w:rsidR="00DD1F53" w:rsidRPr="00C77081">
              <w:t xml:space="preserve"> savukārt nākamajos gados jāparedz divu apjomīgu zinātnisko projektu līdzfinansēšana</w:t>
            </w:r>
            <w:r w:rsidR="00C77081" w:rsidRPr="00C77081">
              <w:rPr>
                <w:rStyle w:val="FootnoteReference"/>
              </w:rPr>
              <w:footnoteReference w:id="6"/>
            </w:r>
            <w:r w:rsidR="00DD1F53" w:rsidRPr="00C77081">
              <w:t xml:space="preserve">.  </w:t>
            </w:r>
          </w:p>
          <w:p w14:paraId="610CC350" w14:textId="77777777" w:rsidR="00960BD9" w:rsidRPr="00C77081" w:rsidRDefault="006B67CD" w:rsidP="006B67CD">
            <w:pPr>
              <w:tabs>
                <w:tab w:val="left" w:pos="284"/>
              </w:tabs>
              <w:jc w:val="both"/>
            </w:pPr>
            <w:r w:rsidRPr="00C77081">
              <w:t xml:space="preserve">Valsts budžeta 2015.gadam 70.06.00 apakšprogrammas finansējums ir 1 422 872 EUR. </w:t>
            </w:r>
          </w:p>
          <w:p w14:paraId="41ADB206" w14:textId="77777777" w:rsidR="006B67CD" w:rsidRPr="00C77081" w:rsidRDefault="00960BD9" w:rsidP="006B67CD">
            <w:pPr>
              <w:tabs>
                <w:tab w:val="left" w:pos="284"/>
              </w:tabs>
              <w:jc w:val="both"/>
            </w:pPr>
            <w:r w:rsidRPr="007737B9">
              <w:t>N</w:t>
            </w:r>
            <w:r w:rsidRPr="00C77081">
              <w:t xml:space="preserve">orādītajā tabulā ir apkopota </w:t>
            </w:r>
            <w:r w:rsidR="006B67CD" w:rsidRPr="00C77081">
              <w:t>informāciju par 7.Ietvara progra</w:t>
            </w:r>
            <w:r w:rsidR="004E5460">
              <w:t xml:space="preserve">mmas projektiem, par kuriem </w:t>
            </w:r>
            <w:r w:rsidR="006B67CD" w:rsidRPr="00C77081">
              <w:t>2014.un 2013.gadā ir noslēgti līgumi</w:t>
            </w:r>
            <w:r w:rsidR="004E5460">
              <w:t xml:space="preserve"> un kuri turpinās 2015.gadā,</w:t>
            </w:r>
            <w:r w:rsidR="006B67CD" w:rsidRPr="00C77081">
              <w:t xml:space="preserve"> </w:t>
            </w:r>
            <w:r w:rsidR="004E5460">
              <w:t>par līdzfinansējuma piešķiršanu</w:t>
            </w:r>
            <w:r w:rsidR="006B67CD" w:rsidRPr="00C77081">
              <w:t xml:space="preserve"> par uzsāktajiem ARTEMIS kopuzņēmuma atbalstītajiem projektiem, EUROSTARS un BONUS programmas ietvaros atbalstītajiem projektiem un ERA-NET un ERA-NET Plus ietvaros atbalstītajiem pētījumu projektiem: </w:t>
            </w:r>
          </w:p>
          <w:p w14:paraId="3F93617A" w14:textId="77777777" w:rsidR="00915176" w:rsidRPr="00C77081" w:rsidRDefault="00915176" w:rsidP="00DD1F53">
            <w:pPr>
              <w:ind w:right="127"/>
              <w:jc w:val="both"/>
            </w:pPr>
          </w:p>
          <w:tbl>
            <w:tblPr>
              <w:tblStyle w:val="TableGrid"/>
              <w:tblW w:w="7520" w:type="dxa"/>
              <w:tblLook w:val="04A0" w:firstRow="1" w:lastRow="0" w:firstColumn="1" w:lastColumn="0" w:noHBand="0" w:noVBand="1"/>
            </w:tblPr>
            <w:tblGrid>
              <w:gridCol w:w="504"/>
              <w:gridCol w:w="1720"/>
              <w:gridCol w:w="1709"/>
              <w:gridCol w:w="1945"/>
              <w:gridCol w:w="1642"/>
            </w:tblGrid>
            <w:tr w:rsidR="00915176" w:rsidRPr="00C77081" w14:paraId="68B7E120" w14:textId="77777777" w:rsidTr="004E5460">
              <w:tc>
                <w:tcPr>
                  <w:tcW w:w="504" w:type="dxa"/>
                </w:tcPr>
                <w:p w14:paraId="140F623C" w14:textId="77777777" w:rsidR="00915176" w:rsidRPr="00C77081" w:rsidRDefault="00915176" w:rsidP="00A43955">
                  <w:pPr>
                    <w:framePr w:hSpace="180" w:wrap="around" w:vAnchor="text" w:hAnchor="margin" w:xAlign="center" w:y="149"/>
                    <w:rPr>
                      <w:sz w:val="22"/>
                      <w:szCs w:val="22"/>
                    </w:rPr>
                  </w:pPr>
                  <w:r w:rsidRPr="00C77081">
                    <w:rPr>
                      <w:sz w:val="22"/>
                      <w:szCs w:val="22"/>
                    </w:rPr>
                    <w:t>Nr.</w:t>
                  </w:r>
                </w:p>
              </w:tc>
              <w:tc>
                <w:tcPr>
                  <w:tcW w:w="1720" w:type="dxa"/>
                </w:tcPr>
                <w:p w14:paraId="2D385444" w14:textId="77777777" w:rsidR="00915176" w:rsidRPr="00C77081" w:rsidRDefault="00915176" w:rsidP="00A43955">
                  <w:pPr>
                    <w:framePr w:hSpace="180" w:wrap="around" w:vAnchor="text" w:hAnchor="margin" w:xAlign="center" w:y="149"/>
                    <w:ind w:left="37"/>
                    <w:rPr>
                      <w:sz w:val="22"/>
                      <w:szCs w:val="22"/>
                    </w:rPr>
                  </w:pPr>
                  <w:r w:rsidRPr="00C77081">
                    <w:rPr>
                      <w:sz w:val="22"/>
                      <w:szCs w:val="22"/>
                    </w:rPr>
                    <w:t>Eiropas Savienības pētniecības un inovācijas politikas instruments</w:t>
                  </w:r>
                </w:p>
              </w:tc>
              <w:tc>
                <w:tcPr>
                  <w:tcW w:w="1709" w:type="dxa"/>
                </w:tcPr>
                <w:p w14:paraId="65057E95" w14:textId="77777777" w:rsidR="00915176" w:rsidRPr="00C77081" w:rsidRDefault="00915176" w:rsidP="00A43955">
                  <w:pPr>
                    <w:framePr w:hSpace="180" w:wrap="around" w:vAnchor="text" w:hAnchor="margin" w:xAlign="center" w:y="149"/>
                    <w:ind w:left="-108"/>
                    <w:rPr>
                      <w:sz w:val="22"/>
                      <w:szCs w:val="22"/>
                    </w:rPr>
                  </w:pPr>
                  <w:r w:rsidRPr="00C77081">
                    <w:rPr>
                      <w:sz w:val="22"/>
                      <w:szCs w:val="22"/>
                    </w:rPr>
                    <w:t>70.06.00 apakšprogrammas finansējums, % no kopējā</w:t>
                  </w:r>
                </w:p>
              </w:tc>
              <w:tc>
                <w:tcPr>
                  <w:tcW w:w="1945" w:type="dxa"/>
                </w:tcPr>
                <w:p w14:paraId="1ED5F7B7" w14:textId="77777777" w:rsidR="00915176" w:rsidRPr="00C77081" w:rsidRDefault="00915176" w:rsidP="00A43955">
                  <w:pPr>
                    <w:framePr w:hSpace="180" w:wrap="around" w:vAnchor="text" w:hAnchor="margin" w:xAlign="center" w:y="149"/>
                    <w:ind w:left="-108"/>
                    <w:rPr>
                      <w:sz w:val="22"/>
                      <w:szCs w:val="22"/>
                    </w:rPr>
                  </w:pPr>
                  <w:r w:rsidRPr="00C77081">
                    <w:rPr>
                      <w:sz w:val="22"/>
                      <w:szCs w:val="22"/>
                    </w:rPr>
                    <w:t>70.06.00 apakšprogrammas finansējums, EUR</w:t>
                  </w:r>
                </w:p>
              </w:tc>
              <w:tc>
                <w:tcPr>
                  <w:tcW w:w="1642" w:type="dxa"/>
                </w:tcPr>
                <w:p w14:paraId="118CFC4D" w14:textId="77777777" w:rsidR="00915176" w:rsidRPr="00C77081" w:rsidRDefault="00915176" w:rsidP="00A43955">
                  <w:pPr>
                    <w:framePr w:hSpace="180" w:wrap="around" w:vAnchor="text" w:hAnchor="margin" w:xAlign="center" w:y="149"/>
                    <w:rPr>
                      <w:sz w:val="22"/>
                      <w:szCs w:val="22"/>
                    </w:rPr>
                  </w:pPr>
                  <w:r w:rsidRPr="00C77081">
                    <w:rPr>
                      <w:sz w:val="22"/>
                      <w:szCs w:val="22"/>
                    </w:rPr>
                    <w:t>Atbalstāmie projekti</w:t>
                  </w:r>
                </w:p>
              </w:tc>
            </w:tr>
            <w:tr w:rsidR="00915176" w:rsidRPr="00C77081" w14:paraId="771BA58F" w14:textId="77777777" w:rsidTr="004E5460">
              <w:tc>
                <w:tcPr>
                  <w:tcW w:w="504" w:type="dxa"/>
                </w:tcPr>
                <w:p w14:paraId="71446994" w14:textId="77777777" w:rsidR="00915176" w:rsidRPr="00C77081" w:rsidRDefault="00915176" w:rsidP="00A43955">
                  <w:pPr>
                    <w:framePr w:hSpace="180" w:wrap="around" w:vAnchor="text" w:hAnchor="margin" w:xAlign="center" w:y="149"/>
                    <w:jc w:val="both"/>
                    <w:rPr>
                      <w:sz w:val="22"/>
                      <w:szCs w:val="22"/>
                    </w:rPr>
                  </w:pPr>
                  <w:r w:rsidRPr="00C77081">
                    <w:rPr>
                      <w:sz w:val="22"/>
                      <w:szCs w:val="22"/>
                    </w:rPr>
                    <w:t>1.</w:t>
                  </w:r>
                </w:p>
              </w:tc>
              <w:tc>
                <w:tcPr>
                  <w:tcW w:w="1720" w:type="dxa"/>
                </w:tcPr>
                <w:p w14:paraId="6893549D" w14:textId="77777777" w:rsidR="00915176" w:rsidRPr="00C77081" w:rsidRDefault="00915176" w:rsidP="00A43955">
                  <w:pPr>
                    <w:framePr w:hSpace="180" w:wrap="around" w:vAnchor="text" w:hAnchor="margin" w:xAlign="center" w:y="149"/>
                    <w:ind w:left="37"/>
                    <w:jc w:val="both"/>
                    <w:rPr>
                      <w:sz w:val="22"/>
                      <w:szCs w:val="22"/>
                    </w:rPr>
                  </w:pPr>
                  <w:r w:rsidRPr="00C77081">
                    <w:rPr>
                      <w:sz w:val="22"/>
                      <w:szCs w:val="22"/>
                    </w:rPr>
                    <w:t xml:space="preserve">Līdzfinansējums FP7 un H2020 programmas projektiem, t.sk. EURATOM un ERA-NET un ERA-NET Plus ietvaros atbalstītiem pētniecības projektiem  </w:t>
                  </w:r>
                </w:p>
              </w:tc>
              <w:tc>
                <w:tcPr>
                  <w:tcW w:w="1709" w:type="dxa"/>
                </w:tcPr>
                <w:p w14:paraId="772202FE" w14:textId="77777777" w:rsidR="00915176" w:rsidRPr="00C77081" w:rsidRDefault="00915176" w:rsidP="00A43955">
                  <w:pPr>
                    <w:framePr w:hSpace="180" w:wrap="around" w:vAnchor="text" w:hAnchor="margin" w:xAlign="center" w:y="149"/>
                    <w:ind w:left="33"/>
                    <w:rPr>
                      <w:sz w:val="22"/>
                      <w:szCs w:val="22"/>
                    </w:rPr>
                  </w:pPr>
                  <w:r w:rsidRPr="00C77081">
                    <w:rPr>
                      <w:sz w:val="22"/>
                      <w:szCs w:val="22"/>
                    </w:rPr>
                    <w:t>62%</w:t>
                  </w:r>
                </w:p>
              </w:tc>
              <w:tc>
                <w:tcPr>
                  <w:tcW w:w="1945" w:type="dxa"/>
                </w:tcPr>
                <w:p w14:paraId="6ED9C30E" w14:textId="77777777" w:rsidR="00915176" w:rsidRPr="00C77081" w:rsidRDefault="00915176" w:rsidP="00A43955">
                  <w:pPr>
                    <w:framePr w:hSpace="180" w:wrap="around" w:vAnchor="text" w:hAnchor="margin" w:xAlign="center" w:y="149"/>
                    <w:rPr>
                      <w:sz w:val="22"/>
                      <w:szCs w:val="22"/>
                    </w:rPr>
                  </w:pPr>
                  <w:r w:rsidRPr="00C77081">
                    <w:rPr>
                      <w:sz w:val="22"/>
                      <w:szCs w:val="22"/>
                    </w:rPr>
                    <w:t>882 181</w:t>
                  </w:r>
                </w:p>
              </w:tc>
              <w:tc>
                <w:tcPr>
                  <w:tcW w:w="1642" w:type="dxa"/>
                </w:tcPr>
                <w:p w14:paraId="331CE8CC" w14:textId="77777777" w:rsidR="00915176" w:rsidRPr="00C77081" w:rsidRDefault="00915176" w:rsidP="00A43955">
                  <w:pPr>
                    <w:framePr w:hSpace="180" w:wrap="around" w:vAnchor="text" w:hAnchor="margin" w:xAlign="center" w:y="149"/>
                    <w:rPr>
                      <w:sz w:val="22"/>
                      <w:szCs w:val="22"/>
                    </w:rPr>
                  </w:pPr>
                  <w:r w:rsidRPr="00C77081">
                    <w:rPr>
                      <w:sz w:val="22"/>
                      <w:szCs w:val="22"/>
                    </w:rPr>
                    <w:t>Uzsāktie 7.IP projekti, pirmie H2020 projekti, ERA-NET projektu (</w:t>
                  </w:r>
                  <w:proofErr w:type="spellStart"/>
                  <w:r w:rsidRPr="00C77081">
                    <w:rPr>
                      <w:sz w:val="22"/>
                      <w:szCs w:val="22"/>
                    </w:rPr>
                    <w:t>Biophotonics</w:t>
                  </w:r>
                  <w:proofErr w:type="spellEnd"/>
                  <w:r w:rsidRPr="00C77081">
                    <w:rPr>
                      <w:sz w:val="22"/>
                      <w:szCs w:val="22"/>
                    </w:rPr>
                    <w:t xml:space="preserve">+, M-ERA.Net, TRANSCAN, ICT-Agri, BBI, ERA.Net RUS Plus, RURAGRI, </w:t>
                  </w:r>
                  <w:proofErr w:type="spellStart"/>
                  <w:r w:rsidRPr="00C77081">
                    <w:rPr>
                      <w:sz w:val="22"/>
                      <w:szCs w:val="22"/>
                    </w:rPr>
                    <w:t>EuroNanoMed</w:t>
                  </w:r>
                  <w:proofErr w:type="spellEnd"/>
                  <w:r w:rsidRPr="00C77081">
                    <w:rPr>
                      <w:sz w:val="22"/>
                      <w:szCs w:val="22"/>
                    </w:rPr>
                    <w:t>, Wood-WisdomNet2) ietvaros at</w:t>
                  </w:r>
                  <w:r w:rsidR="00C77081" w:rsidRPr="00C77081">
                    <w:rPr>
                      <w:sz w:val="22"/>
                      <w:szCs w:val="22"/>
                    </w:rPr>
                    <w:t xml:space="preserve">balstītie pētniecības projekti. </w:t>
                  </w:r>
                  <w:r w:rsidR="00C77081">
                    <w:rPr>
                      <w:sz w:val="22"/>
                      <w:szCs w:val="22"/>
                    </w:rPr>
                    <w:t xml:space="preserve">GEANT (GN3plus projektam līdz </w:t>
                  </w:r>
                  <w:r w:rsidR="00C77081">
                    <w:rPr>
                      <w:sz w:val="22"/>
                      <w:szCs w:val="22"/>
                    </w:rPr>
                    <w:lastRenderedPageBreak/>
                    <w:t>2015.gada 30.aprīlim</w:t>
                  </w:r>
                  <w:r w:rsidR="004E5460">
                    <w:rPr>
                      <w:sz w:val="22"/>
                      <w:szCs w:val="22"/>
                    </w:rPr>
                    <w:t xml:space="preserve"> un </w:t>
                  </w:r>
                  <w:r w:rsidR="004E5460" w:rsidRPr="004E5460">
                    <w:rPr>
                      <w:sz w:val="22"/>
                      <w:szCs w:val="22"/>
                    </w:rPr>
                    <w:t xml:space="preserve">GEANT </w:t>
                  </w:r>
                  <w:proofErr w:type="spellStart"/>
                  <w:r w:rsidR="004E5460" w:rsidRPr="004E5460">
                    <w:rPr>
                      <w:sz w:val="22"/>
                      <w:szCs w:val="22"/>
                    </w:rPr>
                    <w:t>World</w:t>
                  </w:r>
                  <w:proofErr w:type="spellEnd"/>
                  <w:r w:rsidR="004E5460" w:rsidRPr="004E5460">
                    <w:rPr>
                      <w:sz w:val="22"/>
                      <w:szCs w:val="22"/>
                    </w:rPr>
                    <w:t xml:space="preserve"> </w:t>
                  </w:r>
                  <w:proofErr w:type="spellStart"/>
                  <w:r w:rsidR="004E5460" w:rsidRPr="004E5460">
                    <w:rPr>
                      <w:sz w:val="22"/>
                      <w:szCs w:val="22"/>
                    </w:rPr>
                    <w:t>Service</w:t>
                  </w:r>
                  <w:proofErr w:type="spellEnd"/>
                  <w:r w:rsidR="004E5460" w:rsidRPr="004E5460">
                    <w:rPr>
                      <w:sz w:val="22"/>
                      <w:szCs w:val="22"/>
                    </w:rPr>
                    <w:t xml:space="preserve"> </w:t>
                  </w:r>
                  <w:proofErr w:type="spellStart"/>
                  <w:r w:rsidR="004E5460" w:rsidRPr="004E5460">
                    <w:rPr>
                      <w:sz w:val="22"/>
                      <w:szCs w:val="22"/>
                    </w:rPr>
                    <w:t>Commodity</w:t>
                  </w:r>
                  <w:proofErr w:type="spellEnd"/>
                  <w:r w:rsidR="004E5460" w:rsidRPr="004E5460">
                    <w:rPr>
                      <w:sz w:val="22"/>
                      <w:szCs w:val="22"/>
                    </w:rPr>
                    <w:t xml:space="preserve"> internetam</w:t>
                  </w:r>
                  <w:r w:rsidR="004E5460">
                    <w:rPr>
                      <w:sz w:val="22"/>
                      <w:szCs w:val="22"/>
                    </w:rPr>
                    <w:t xml:space="preserve"> līdz 2015.gada 31.decembrim</w:t>
                  </w:r>
                  <w:r w:rsidR="004E5460" w:rsidRPr="004E5460">
                    <w:rPr>
                      <w:sz w:val="22"/>
                      <w:szCs w:val="22"/>
                    </w:rPr>
                    <w:t xml:space="preserve"> </w:t>
                  </w:r>
                  <w:r w:rsidR="00C77081">
                    <w:rPr>
                      <w:sz w:val="22"/>
                      <w:szCs w:val="22"/>
                    </w:rPr>
                    <w:t xml:space="preserve">) </w:t>
                  </w:r>
                </w:p>
              </w:tc>
            </w:tr>
            <w:tr w:rsidR="00915176" w:rsidRPr="00C77081" w14:paraId="31F9EC43" w14:textId="77777777" w:rsidTr="004E5460">
              <w:tc>
                <w:tcPr>
                  <w:tcW w:w="504" w:type="dxa"/>
                </w:tcPr>
                <w:p w14:paraId="7AAB5BC7" w14:textId="23B8BC28" w:rsidR="00915176" w:rsidRPr="00C77081" w:rsidRDefault="00A578D9" w:rsidP="00A43955">
                  <w:pPr>
                    <w:framePr w:hSpace="180" w:wrap="around" w:vAnchor="text" w:hAnchor="margin" w:xAlign="center" w:y="149"/>
                    <w:jc w:val="both"/>
                    <w:rPr>
                      <w:sz w:val="22"/>
                      <w:szCs w:val="22"/>
                    </w:rPr>
                  </w:pPr>
                  <w:r>
                    <w:rPr>
                      <w:sz w:val="22"/>
                      <w:szCs w:val="22"/>
                    </w:rPr>
                    <w:lastRenderedPageBreak/>
                    <w:t>2</w:t>
                  </w:r>
                  <w:r w:rsidR="00915176" w:rsidRPr="00C77081">
                    <w:rPr>
                      <w:sz w:val="22"/>
                      <w:szCs w:val="22"/>
                    </w:rPr>
                    <w:t>.</w:t>
                  </w:r>
                </w:p>
              </w:tc>
              <w:tc>
                <w:tcPr>
                  <w:tcW w:w="1720" w:type="dxa"/>
                </w:tcPr>
                <w:p w14:paraId="1AECD2D0" w14:textId="77777777" w:rsidR="00915176" w:rsidRPr="00C77081" w:rsidRDefault="00915176" w:rsidP="00A43955">
                  <w:pPr>
                    <w:framePr w:hSpace="180" w:wrap="around" w:vAnchor="text" w:hAnchor="margin" w:xAlign="center" w:y="149"/>
                    <w:ind w:left="37"/>
                    <w:jc w:val="both"/>
                    <w:rPr>
                      <w:sz w:val="22"/>
                      <w:szCs w:val="22"/>
                    </w:rPr>
                  </w:pPr>
                  <w:r w:rsidRPr="00C77081">
                    <w:rPr>
                      <w:sz w:val="22"/>
                      <w:szCs w:val="22"/>
                    </w:rPr>
                    <w:t xml:space="preserve">BONUS programma </w:t>
                  </w:r>
                </w:p>
              </w:tc>
              <w:tc>
                <w:tcPr>
                  <w:tcW w:w="1709" w:type="dxa"/>
                </w:tcPr>
                <w:p w14:paraId="0A60303C" w14:textId="77777777" w:rsidR="00915176" w:rsidRPr="00C77081" w:rsidRDefault="00915176" w:rsidP="00A43955">
                  <w:pPr>
                    <w:framePr w:hSpace="180" w:wrap="around" w:vAnchor="text" w:hAnchor="margin" w:xAlign="center" w:y="149"/>
                    <w:ind w:left="33"/>
                    <w:rPr>
                      <w:sz w:val="22"/>
                      <w:szCs w:val="22"/>
                    </w:rPr>
                  </w:pPr>
                  <w:r w:rsidRPr="00C77081">
                    <w:rPr>
                      <w:sz w:val="22"/>
                      <w:szCs w:val="22"/>
                    </w:rPr>
                    <w:t>10%</w:t>
                  </w:r>
                </w:p>
              </w:tc>
              <w:tc>
                <w:tcPr>
                  <w:tcW w:w="1945" w:type="dxa"/>
                </w:tcPr>
                <w:p w14:paraId="272729E4" w14:textId="77777777" w:rsidR="00915176" w:rsidRPr="00C77081" w:rsidRDefault="00915176" w:rsidP="00A43955">
                  <w:pPr>
                    <w:framePr w:hSpace="180" w:wrap="around" w:vAnchor="text" w:hAnchor="margin" w:xAlign="center" w:y="149"/>
                    <w:rPr>
                      <w:sz w:val="22"/>
                      <w:szCs w:val="22"/>
                    </w:rPr>
                  </w:pPr>
                  <w:r w:rsidRPr="00C77081">
                    <w:rPr>
                      <w:sz w:val="22"/>
                      <w:szCs w:val="22"/>
                    </w:rPr>
                    <w:t>142 287</w:t>
                  </w:r>
                </w:p>
              </w:tc>
              <w:tc>
                <w:tcPr>
                  <w:tcW w:w="1642" w:type="dxa"/>
                </w:tcPr>
                <w:p w14:paraId="247EDD3B" w14:textId="77777777" w:rsidR="00915176" w:rsidRPr="00C77081" w:rsidRDefault="00915176" w:rsidP="00A43955">
                  <w:pPr>
                    <w:framePr w:hSpace="180" w:wrap="around" w:vAnchor="text" w:hAnchor="margin" w:xAlign="center" w:y="149"/>
                    <w:rPr>
                      <w:sz w:val="22"/>
                      <w:szCs w:val="22"/>
                    </w:rPr>
                  </w:pPr>
                  <w:r w:rsidRPr="00C77081">
                    <w:rPr>
                      <w:sz w:val="22"/>
                      <w:szCs w:val="22"/>
                    </w:rPr>
                    <w:t xml:space="preserve">INSPIRE un </w:t>
                  </w:r>
                  <w:proofErr w:type="spellStart"/>
                  <w:r w:rsidRPr="00C77081">
                    <w:rPr>
                      <w:sz w:val="22"/>
                      <w:szCs w:val="22"/>
                    </w:rPr>
                    <w:t>GeoWatch</w:t>
                  </w:r>
                  <w:proofErr w:type="spellEnd"/>
                  <w:r w:rsidRPr="00C77081">
                    <w:rPr>
                      <w:sz w:val="22"/>
                      <w:szCs w:val="22"/>
                    </w:rPr>
                    <w:t xml:space="preserve"> projekti, avanss diviem BONUS 2014.gada konkursa projektiem</w:t>
                  </w:r>
                </w:p>
              </w:tc>
            </w:tr>
            <w:tr w:rsidR="00915176" w:rsidRPr="00C77081" w14:paraId="0ECAFC34" w14:textId="77777777" w:rsidTr="004E5460">
              <w:tc>
                <w:tcPr>
                  <w:tcW w:w="504" w:type="dxa"/>
                </w:tcPr>
                <w:p w14:paraId="5BE99949" w14:textId="01170BCC" w:rsidR="00915176" w:rsidRPr="00C77081" w:rsidRDefault="00A578D9" w:rsidP="00A43955">
                  <w:pPr>
                    <w:framePr w:hSpace="180" w:wrap="around" w:vAnchor="text" w:hAnchor="margin" w:xAlign="center" w:y="149"/>
                    <w:jc w:val="both"/>
                    <w:rPr>
                      <w:sz w:val="22"/>
                      <w:szCs w:val="22"/>
                    </w:rPr>
                  </w:pPr>
                  <w:r>
                    <w:rPr>
                      <w:sz w:val="22"/>
                      <w:szCs w:val="22"/>
                    </w:rPr>
                    <w:t>3</w:t>
                  </w:r>
                  <w:r w:rsidR="00915176" w:rsidRPr="00C77081">
                    <w:rPr>
                      <w:sz w:val="22"/>
                      <w:szCs w:val="22"/>
                    </w:rPr>
                    <w:t xml:space="preserve">. </w:t>
                  </w:r>
                </w:p>
              </w:tc>
              <w:tc>
                <w:tcPr>
                  <w:tcW w:w="1720" w:type="dxa"/>
                </w:tcPr>
                <w:p w14:paraId="2BAA6248" w14:textId="77777777" w:rsidR="00915176" w:rsidRPr="00C77081" w:rsidRDefault="00915176" w:rsidP="00A43955">
                  <w:pPr>
                    <w:framePr w:hSpace="180" w:wrap="around" w:vAnchor="text" w:hAnchor="margin" w:xAlign="center" w:y="149"/>
                    <w:ind w:left="37"/>
                    <w:jc w:val="both"/>
                    <w:rPr>
                      <w:sz w:val="22"/>
                      <w:szCs w:val="22"/>
                    </w:rPr>
                  </w:pPr>
                  <w:r w:rsidRPr="00C77081">
                    <w:rPr>
                      <w:sz w:val="22"/>
                      <w:szCs w:val="22"/>
                    </w:rPr>
                    <w:t xml:space="preserve">EUREKA un EUROSTARS programmas projekti </w:t>
                  </w:r>
                </w:p>
              </w:tc>
              <w:tc>
                <w:tcPr>
                  <w:tcW w:w="1709" w:type="dxa"/>
                </w:tcPr>
                <w:p w14:paraId="4289390D" w14:textId="77777777" w:rsidR="00915176" w:rsidRPr="00C77081" w:rsidRDefault="00915176" w:rsidP="00A43955">
                  <w:pPr>
                    <w:framePr w:hSpace="180" w:wrap="around" w:vAnchor="text" w:hAnchor="margin" w:xAlign="center" w:y="149"/>
                    <w:ind w:left="33"/>
                    <w:rPr>
                      <w:sz w:val="22"/>
                      <w:szCs w:val="22"/>
                    </w:rPr>
                  </w:pPr>
                  <w:r w:rsidRPr="00C77081">
                    <w:rPr>
                      <w:sz w:val="22"/>
                      <w:szCs w:val="22"/>
                    </w:rPr>
                    <w:t>8%</w:t>
                  </w:r>
                </w:p>
              </w:tc>
              <w:tc>
                <w:tcPr>
                  <w:tcW w:w="1945" w:type="dxa"/>
                </w:tcPr>
                <w:p w14:paraId="255E79D9" w14:textId="77777777" w:rsidR="00915176" w:rsidRPr="00C77081" w:rsidRDefault="00915176" w:rsidP="00A43955">
                  <w:pPr>
                    <w:framePr w:hSpace="180" w:wrap="around" w:vAnchor="text" w:hAnchor="margin" w:xAlign="center" w:y="149"/>
                    <w:rPr>
                      <w:sz w:val="22"/>
                      <w:szCs w:val="22"/>
                    </w:rPr>
                  </w:pPr>
                  <w:r w:rsidRPr="00C77081">
                    <w:rPr>
                      <w:sz w:val="22"/>
                      <w:szCs w:val="22"/>
                    </w:rPr>
                    <w:t>113 830</w:t>
                  </w:r>
                </w:p>
              </w:tc>
              <w:tc>
                <w:tcPr>
                  <w:tcW w:w="1642" w:type="dxa"/>
                </w:tcPr>
                <w:p w14:paraId="3475304E" w14:textId="77777777" w:rsidR="00915176" w:rsidRPr="00C77081" w:rsidRDefault="00915176" w:rsidP="00A43955">
                  <w:pPr>
                    <w:framePr w:hSpace="180" w:wrap="around" w:vAnchor="text" w:hAnchor="margin" w:xAlign="center" w:y="149"/>
                    <w:rPr>
                      <w:sz w:val="22"/>
                      <w:szCs w:val="22"/>
                    </w:rPr>
                  </w:pPr>
                  <w:r w:rsidRPr="00C77081">
                    <w:rPr>
                      <w:sz w:val="22"/>
                      <w:szCs w:val="22"/>
                    </w:rPr>
                    <w:t>SAFE projekts + avanss EUROSTARS2 projektam</w:t>
                  </w:r>
                </w:p>
              </w:tc>
            </w:tr>
            <w:tr w:rsidR="00915176" w:rsidRPr="00C77081" w14:paraId="47C1B4B3" w14:textId="77777777" w:rsidTr="004E5460">
              <w:tc>
                <w:tcPr>
                  <w:tcW w:w="504" w:type="dxa"/>
                </w:tcPr>
                <w:p w14:paraId="1C39FE88" w14:textId="6C2C4C9A" w:rsidR="00915176" w:rsidRPr="00C77081" w:rsidRDefault="00A578D9" w:rsidP="00A43955">
                  <w:pPr>
                    <w:framePr w:hSpace="180" w:wrap="around" w:vAnchor="text" w:hAnchor="margin" w:xAlign="center" w:y="149"/>
                    <w:jc w:val="both"/>
                    <w:rPr>
                      <w:sz w:val="22"/>
                      <w:szCs w:val="22"/>
                    </w:rPr>
                  </w:pPr>
                  <w:r>
                    <w:rPr>
                      <w:sz w:val="22"/>
                      <w:szCs w:val="22"/>
                    </w:rPr>
                    <w:t>4</w:t>
                  </w:r>
                  <w:r w:rsidR="00915176" w:rsidRPr="00C77081">
                    <w:rPr>
                      <w:sz w:val="22"/>
                      <w:szCs w:val="22"/>
                    </w:rPr>
                    <w:t>.</w:t>
                  </w:r>
                </w:p>
              </w:tc>
              <w:tc>
                <w:tcPr>
                  <w:tcW w:w="1720" w:type="dxa"/>
                </w:tcPr>
                <w:p w14:paraId="77E65E40" w14:textId="77777777" w:rsidR="00915176" w:rsidRPr="00C77081" w:rsidRDefault="00915176" w:rsidP="00A43955">
                  <w:pPr>
                    <w:framePr w:hSpace="180" w:wrap="around" w:vAnchor="text" w:hAnchor="margin" w:xAlign="center" w:y="149"/>
                    <w:ind w:left="37"/>
                    <w:jc w:val="both"/>
                    <w:rPr>
                      <w:sz w:val="22"/>
                      <w:szCs w:val="22"/>
                    </w:rPr>
                  </w:pPr>
                  <w:r w:rsidRPr="00C77081">
                    <w:rPr>
                      <w:sz w:val="22"/>
                      <w:szCs w:val="22"/>
                    </w:rPr>
                    <w:t xml:space="preserve">Kopējās tehnoloģiju ierosmes ARTEMIS projekti </w:t>
                  </w:r>
                </w:p>
              </w:tc>
              <w:tc>
                <w:tcPr>
                  <w:tcW w:w="1709" w:type="dxa"/>
                </w:tcPr>
                <w:p w14:paraId="5BBABBF4" w14:textId="77777777" w:rsidR="00915176" w:rsidRPr="00C77081" w:rsidRDefault="00915176" w:rsidP="00A43955">
                  <w:pPr>
                    <w:framePr w:hSpace="180" w:wrap="around" w:vAnchor="text" w:hAnchor="margin" w:xAlign="center" w:y="149"/>
                    <w:ind w:left="33"/>
                    <w:rPr>
                      <w:sz w:val="22"/>
                      <w:szCs w:val="22"/>
                    </w:rPr>
                  </w:pPr>
                  <w:r w:rsidRPr="00C77081">
                    <w:rPr>
                      <w:sz w:val="22"/>
                      <w:szCs w:val="22"/>
                    </w:rPr>
                    <w:t>18%</w:t>
                  </w:r>
                </w:p>
              </w:tc>
              <w:tc>
                <w:tcPr>
                  <w:tcW w:w="1945" w:type="dxa"/>
                </w:tcPr>
                <w:p w14:paraId="25C95F7A" w14:textId="77777777" w:rsidR="00915176" w:rsidRPr="00C77081" w:rsidRDefault="00915176" w:rsidP="00A43955">
                  <w:pPr>
                    <w:framePr w:hSpace="180" w:wrap="around" w:vAnchor="text" w:hAnchor="margin" w:xAlign="center" w:y="149"/>
                    <w:rPr>
                      <w:sz w:val="22"/>
                      <w:szCs w:val="22"/>
                    </w:rPr>
                  </w:pPr>
                  <w:r w:rsidRPr="00C77081">
                    <w:rPr>
                      <w:sz w:val="22"/>
                      <w:szCs w:val="22"/>
                    </w:rPr>
                    <w:t>256 117</w:t>
                  </w:r>
                </w:p>
              </w:tc>
              <w:tc>
                <w:tcPr>
                  <w:tcW w:w="1642" w:type="dxa"/>
                </w:tcPr>
                <w:p w14:paraId="39608B03" w14:textId="77777777" w:rsidR="00915176" w:rsidRPr="00C77081" w:rsidRDefault="00915176" w:rsidP="00A43955">
                  <w:pPr>
                    <w:framePr w:hSpace="180" w:wrap="around" w:vAnchor="text" w:hAnchor="margin" w:xAlign="center" w:y="149"/>
                    <w:rPr>
                      <w:sz w:val="22"/>
                      <w:szCs w:val="22"/>
                    </w:rPr>
                  </w:pPr>
                  <w:proofErr w:type="spellStart"/>
                  <w:r w:rsidRPr="00C77081">
                    <w:rPr>
                      <w:sz w:val="22"/>
                      <w:szCs w:val="22"/>
                    </w:rPr>
                    <w:t>nSAFECER</w:t>
                  </w:r>
                  <w:proofErr w:type="spellEnd"/>
                  <w:r w:rsidRPr="00C77081">
                    <w:rPr>
                      <w:sz w:val="22"/>
                      <w:szCs w:val="22"/>
                    </w:rPr>
                    <w:t xml:space="preserve">, </w:t>
                  </w:r>
                  <w:proofErr w:type="spellStart"/>
                  <w:r w:rsidRPr="00C77081">
                    <w:rPr>
                      <w:sz w:val="22"/>
                      <w:szCs w:val="22"/>
                    </w:rPr>
                    <w:t>Arrowhead</w:t>
                  </w:r>
                  <w:proofErr w:type="spellEnd"/>
                  <w:r w:rsidRPr="00C77081">
                    <w:rPr>
                      <w:sz w:val="22"/>
                      <w:szCs w:val="22"/>
                    </w:rPr>
                    <w:t>, DEWI un R5-COP, avanss ECSEL projektam</w:t>
                  </w:r>
                </w:p>
              </w:tc>
            </w:tr>
            <w:tr w:rsidR="00915176" w:rsidRPr="00C77081" w14:paraId="3642F2E2" w14:textId="77777777" w:rsidTr="004E5460">
              <w:tc>
                <w:tcPr>
                  <w:tcW w:w="504" w:type="dxa"/>
                </w:tcPr>
                <w:p w14:paraId="6D3E2339" w14:textId="7A839253" w:rsidR="00915176" w:rsidRPr="00C77081" w:rsidRDefault="00A578D9" w:rsidP="00A43955">
                  <w:pPr>
                    <w:framePr w:hSpace="180" w:wrap="around" w:vAnchor="text" w:hAnchor="margin" w:xAlign="center" w:y="149"/>
                    <w:jc w:val="both"/>
                    <w:rPr>
                      <w:sz w:val="22"/>
                      <w:szCs w:val="22"/>
                    </w:rPr>
                  </w:pPr>
                  <w:r>
                    <w:rPr>
                      <w:sz w:val="22"/>
                      <w:szCs w:val="22"/>
                    </w:rPr>
                    <w:t>5</w:t>
                  </w:r>
                  <w:r w:rsidR="00915176" w:rsidRPr="00C77081">
                    <w:rPr>
                      <w:sz w:val="22"/>
                      <w:szCs w:val="22"/>
                    </w:rPr>
                    <w:t>.</w:t>
                  </w:r>
                </w:p>
              </w:tc>
              <w:tc>
                <w:tcPr>
                  <w:tcW w:w="1720" w:type="dxa"/>
                </w:tcPr>
                <w:p w14:paraId="03DA26A4" w14:textId="77777777" w:rsidR="00915176" w:rsidRPr="00C77081" w:rsidRDefault="00915176" w:rsidP="00A43955">
                  <w:pPr>
                    <w:framePr w:hSpace="180" w:wrap="around" w:vAnchor="text" w:hAnchor="margin" w:xAlign="center" w:y="149"/>
                    <w:ind w:left="37"/>
                    <w:jc w:val="both"/>
                    <w:rPr>
                      <w:sz w:val="22"/>
                      <w:szCs w:val="22"/>
                    </w:rPr>
                  </w:pPr>
                  <w:r w:rsidRPr="00C77081">
                    <w:rPr>
                      <w:sz w:val="22"/>
                      <w:szCs w:val="22"/>
                    </w:rPr>
                    <w:t xml:space="preserve">Atbalsts COST programmas aktivitātēm COST akciju ietvaros </w:t>
                  </w:r>
                </w:p>
              </w:tc>
              <w:tc>
                <w:tcPr>
                  <w:tcW w:w="1709" w:type="dxa"/>
                </w:tcPr>
                <w:p w14:paraId="63090877" w14:textId="77777777" w:rsidR="00915176" w:rsidRPr="00C77081" w:rsidRDefault="00915176" w:rsidP="00A43955">
                  <w:pPr>
                    <w:framePr w:hSpace="180" w:wrap="around" w:vAnchor="text" w:hAnchor="margin" w:xAlign="center" w:y="149"/>
                    <w:ind w:left="33"/>
                    <w:rPr>
                      <w:sz w:val="22"/>
                      <w:szCs w:val="22"/>
                    </w:rPr>
                  </w:pPr>
                  <w:r w:rsidRPr="00C77081">
                    <w:rPr>
                      <w:sz w:val="22"/>
                      <w:szCs w:val="22"/>
                    </w:rPr>
                    <w:t>2%</w:t>
                  </w:r>
                </w:p>
              </w:tc>
              <w:tc>
                <w:tcPr>
                  <w:tcW w:w="1945" w:type="dxa"/>
                </w:tcPr>
                <w:p w14:paraId="6C96A17B" w14:textId="77777777" w:rsidR="00915176" w:rsidRPr="00C77081" w:rsidRDefault="00915176" w:rsidP="00A43955">
                  <w:pPr>
                    <w:framePr w:hSpace="180" w:wrap="around" w:vAnchor="text" w:hAnchor="margin" w:xAlign="center" w:y="149"/>
                    <w:rPr>
                      <w:sz w:val="22"/>
                      <w:szCs w:val="22"/>
                    </w:rPr>
                  </w:pPr>
                  <w:r w:rsidRPr="00C77081">
                    <w:rPr>
                      <w:sz w:val="22"/>
                      <w:szCs w:val="22"/>
                    </w:rPr>
                    <w:t>28 457</w:t>
                  </w:r>
                </w:p>
              </w:tc>
              <w:tc>
                <w:tcPr>
                  <w:tcW w:w="1642" w:type="dxa"/>
                </w:tcPr>
                <w:p w14:paraId="69BDED3B" w14:textId="77777777" w:rsidR="00915176" w:rsidRPr="00C77081" w:rsidRDefault="00915176" w:rsidP="00A43955">
                  <w:pPr>
                    <w:framePr w:hSpace="180" w:wrap="around" w:vAnchor="text" w:hAnchor="margin" w:xAlign="center" w:y="149"/>
                    <w:rPr>
                      <w:sz w:val="22"/>
                      <w:szCs w:val="22"/>
                    </w:rPr>
                  </w:pPr>
                  <w:r w:rsidRPr="00C77081">
                    <w:rPr>
                      <w:sz w:val="22"/>
                      <w:szCs w:val="22"/>
                    </w:rPr>
                    <w:t>atbalsts 10 – 14 akcijām</w:t>
                  </w:r>
                </w:p>
              </w:tc>
            </w:tr>
            <w:tr w:rsidR="00915176" w:rsidRPr="00C77081" w14:paraId="32B7B8E9" w14:textId="77777777" w:rsidTr="004E5460">
              <w:tc>
                <w:tcPr>
                  <w:tcW w:w="504" w:type="dxa"/>
                </w:tcPr>
                <w:p w14:paraId="416CAB02" w14:textId="77777777" w:rsidR="00915176" w:rsidRPr="00C77081" w:rsidRDefault="00915176" w:rsidP="00A43955">
                  <w:pPr>
                    <w:framePr w:hSpace="180" w:wrap="around" w:vAnchor="text" w:hAnchor="margin" w:xAlign="center" w:y="149"/>
                    <w:jc w:val="both"/>
                    <w:rPr>
                      <w:sz w:val="22"/>
                      <w:szCs w:val="22"/>
                    </w:rPr>
                  </w:pPr>
                </w:p>
              </w:tc>
              <w:tc>
                <w:tcPr>
                  <w:tcW w:w="1720" w:type="dxa"/>
                </w:tcPr>
                <w:p w14:paraId="00E93C94" w14:textId="77777777" w:rsidR="00915176" w:rsidRPr="00C77081" w:rsidRDefault="00915176" w:rsidP="00A43955">
                  <w:pPr>
                    <w:framePr w:hSpace="180" w:wrap="around" w:vAnchor="text" w:hAnchor="margin" w:xAlign="center" w:y="149"/>
                    <w:ind w:left="37"/>
                    <w:jc w:val="both"/>
                    <w:rPr>
                      <w:sz w:val="22"/>
                      <w:szCs w:val="22"/>
                    </w:rPr>
                  </w:pPr>
                  <w:r w:rsidRPr="00C77081">
                    <w:rPr>
                      <w:sz w:val="22"/>
                      <w:szCs w:val="22"/>
                    </w:rPr>
                    <w:t>Kopā</w:t>
                  </w:r>
                </w:p>
              </w:tc>
              <w:tc>
                <w:tcPr>
                  <w:tcW w:w="1709" w:type="dxa"/>
                </w:tcPr>
                <w:p w14:paraId="0EC5ACDF" w14:textId="77777777" w:rsidR="00915176" w:rsidRPr="00C77081" w:rsidRDefault="00915176" w:rsidP="00A43955">
                  <w:pPr>
                    <w:framePr w:hSpace="180" w:wrap="around" w:vAnchor="text" w:hAnchor="margin" w:xAlign="center" w:y="149"/>
                    <w:ind w:left="33"/>
                    <w:rPr>
                      <w:sz w:val="22"/>
                      <w:szCs w:val="22"/>
                    </w:rPr>
                  </w:pPr>
                  <w:r w:rsidRPr="00C77081">
                    <w:rPr>
                      <w:sz w:val="22"/>
                      <w:szCs w:val="22"/>
                    </w:rPr>
                    <w:t>100 %</w:t>
                  </w:r>
                </w:p>
              </w:tc>
              <w:tc>
                <w:tcPr>
                  <w:tcW w:w="1945" w:type="dxa"/>
                </w:tcPr>
                <w:p w14:paraId="508595D8" w14:textId="77777777" w:rsidR="00915176" w:rsidRPr="00C77081" w:rsidRDefault="00915176" w:rsidP="00A43955">
                  <w:pPr>
                    <w:framePr w:hSpace="180" w:wrap="around" w:vAnchor="text" w:hAnchor="margin" w:xAlign="center" w:y="149"/>
                    <w:rPr>
                      <w:sz w:val="22"/>
                      <w:szCs w:val="22"/>
                    </w:rPr>
                  </w:pPr>
                  <w:r w:rsidRPr="00C77081">
                    <w:rPr>
                      <w:sz w:val="22"/>
                      <w:szCs w:val="22"/>
                    </w:rPr>
                    <w:t>1 422 872</w:t>
                  </w:r>
                </w:p>
              </w:tc>
              <w:tc>
                <w:tcPr>
                  <w:tcW w:w="1642" w:type="dxa"/>
                </w:tcPr>
                <w:p w14:paraId="2FD2529A" w14:textId="77777777" w:rsidR="00915176" w:rsidRPr="00C77081" w:rsidRDefault="00915176" w:rsidP="00A43955">
                  <w:pPr>
                    <w:framePr w:hSpace="180" w:wrap="around" w:vAnchor="text" w:hAnchor="margin" w:xAlign="center" w:y="149"/>
                    <w:rPr>
                      <w:sz w:val="22"/>
                      <w:szCs w:val="22"/>
                    </w:rPr>
                  </w:pPr>
                </w:p>
              </w:tc>
            </w:tr>
          </w:tbl>
          <w:p w14:paraId="4D3D89C0" w14:textId="77777777" w:rsidR="006B67CD" w:rsidRPr="00C77081" w:rsidRDefault="006B67CD" w:rsidP="00DD1F53">
            <w:pPr>
              <w:ind w:right="127"/>
              <w:jc w:val="both"/>
            </w:pPr>
          </w:p>
          <w:p w14:paraId="4CDA730D" w14:textId="77777777" w:rsidR="00CD159F" w:rsidRPr="00A91896" w:rsidRDefault="00960BD9" w:rsidP="00DD1F53">
            <w:pPr>
              <w:ind w:right="127"/>
              <w:jc w:val="both"/>
            </w:pPr>
            <w:r w:rsidRPr="00C77081">
              <w:t>Ņemot vērā iepriekš minēto informāciju n</w:t>
            </w:r>
            <w:r w:rsidR="006B67CD" w:rsidRPr="00C77081">
              <w:t>av iespējama Latvijas dalība</w:t>
            </w:r>
            <w:r w:rsidRPr="00C77081">
              <w:t xml:space="preserve"> maksas segšana </w:t>
            </w:r>
            <w:r w:rsidR="006B67CD" w:rsidRPr="00C77081">
              <w:t xml:space="preserve"> GN4 projektā, kā arī dalības maksa GEANT tīkla</w:t>
            </w:r>
            <w:r w:rsidRPr="00C77081">
              <w:t xml:space="preserve"> asociācijā no  70.06.00 apakšprogrammas. </w:t>
            </w:r>
          </w:p>
        </w:tc>
      </w:tr>
      <w:tr w:rsidR="00585B7B" w:rsidRPr="00A91896" w14:paraId="0CB13DAD" w14:textId="77777777" w:rsidTr="00672427">
        <w:trPr>
          <w:trHeight w:val="476"/>
        </w:trPr>
        <w:tc>
          <w:tcPr>
            <w:tcW w:w="562" w:type="dxa"/>
          </w:tcPr>
          <w:p w14:paraId="0C4FD755" w14:textId="77777777" w:rsidR="00585B7B" w:rsidRPr="00A91896" w:rsidRDefault="00005A9D" w:rsidP="00BD696A">
            <w:pPr>
              <w:pStyle w:val="naiskr"/>
              <w:spacing w:before="0" w:after="0"/>
              <w:jc w:val="center"/>
            </w:pPr>
            <w:r w:rsidRPr="00A91896">
              <w:lastRenderedPageBreak/>
              <w:t>3.</w:t>
            </w:r>
          </w:p>
        </w:tc>
        <w:tc>
          <w:tcPr>
            <w:tcW w:w="2694" w:type="dxa"/>
          </w:tcPr>
          <w:p w14:paraId="6E04A1D5" w14:textId="77777777" w:rsidR="00585B7B" w:rsidRPr="00A91896" w:rsidRDefault="00005A9D" w:rsidP="00916055">
            <w:pPr>
              <w:pStyle w:val="naiskr"/>
              <w:spacing w:before="0" w:after="0"/>
              <w:ind w:left="141"/>
            </w:pPr>
            <w:r w:rsidRPr="00A91896">
              <w:t>Projekta izstrādē iesaistītās institūcijas</w:t>
            </w:r>
          </w:p>
        </w:tc>
        <w:tc>
          <w:tcPr>
            <w:tcW w:w="6941" w:type="dxa"/>
          </w:tcPr>
          <w:p w14:paraId="42C14CEF" w14:textId="24917290" w:rsidR="00643E6C" w:rsidRPr="00A91896" w:rsidRDefault="00EB676C" w:rsidP="002D55F4">
            <w:pPr>
              <w:ind w:right="141"/>
              <w:jc w:val="both"/>
            </w:pPr>
            <w:r>
              <w:t>R</w:t>
            </w:r>
            <w:r w:rsidR="00DC332F" w:rsidRPr="00A91896">
              <w:t xml:space="preserve">īkojuma projektu izstrādāja </w:t>
            </w:r>
            <w:r w:rsidR="00EE4ABD">
              <w:t>ministrija</w:t>
            </w:r>
            <w:r w:rsidR="00DC332F" w:rsidRPr="00A91896">
              <w:t xml:space="preserve">. </w:t>
            </w:r>
          </w:p>
        </w:tc>
      </w:tr>
      <w:tr w:rsidR="00585B7B" w:rsidRPr="00A91896" w14:paraId="0EFBDB9E" w14:textId="77777777" w:rsidTr="00672427">
        <w:tc>
          <w:tcPr>
            <w:tcW w:w="562" w:type="dxa"/>
          </w:tcPr>
          <w:p w14:paraId="0697C8F4" w14:textId="77777777" w:rsidR="00585B7B" w:rsidRPr="00A91896" w:rsidRDefault="00005A9D" w:rsidP="00BD696A">
            <w:pPr>
              <w:pStyle w:val="naiskr"/>
              <w:spacing w:before="0" w:after="0"/>
              <w:jc w:val="center"/>
            </w:pPr>
            <w:r w:rsidRPr="00A91896">
              <w:t>4</w:t>
            </w:r>
            <w:r w:rsidR="00585B7B" w:rsidRPr="00A91896">
              <w:t>.</w:t>
            </w:r>
          </w:p>
        </w:tc>
        <w:tc>
          <w:tcPr>
            <w:tcW w:w="2694" w:type="dxa"/>
          </w:tcPr>
          <w:p w14:paraId="0804E779" w14:textId="77777777" w:rsidR="00585B7B" w:rsidRPr="00A91896" w:rsidRDefault="00585B7B" w:rsidP="00916055">
            <w:pPr>
              <w:pStyle w:val="naiskr"/>
              <w:spacing w:before="0" w:after="0"/>
              <w:ind w:left="141"/>
            </w:pPr>
            <w:r w:rsidRPr="00A91896">
              <w:t>Cita informācija</w:t>
            </w:r>
          </w:p>
        </w:tc>
        <w:tc>
          <w:tcPr>
            <w:tcW w:w="6941" w:type="dxa"/>
          </w:tcPr>
          <w:p w14:paraId="3F30D497" w14:textId="37AFA891" w:rsidR="006A26FB" w:rsidRDefault="00EB676C" w:rsidP="002D55F4">
            <w:pPr>
              <w:ind w:right="127"/>
              <w:jc w:val="both"/>
            </w:pPr>
            <w:r>
              <w:t>R</w:t>
            </w:r>
            <w:r w:rsidR="00291AF4" w:rsidRPr="00A91896">
              <w:t xml:space="preserve">īkojuma projekts attiecas uz </w:t>
            </w:r>
            <w:r w:rsidR="00372ABF" w:rsidRPr="00A91896">
              <w:t>Augstākās izglītības un zinātnes</w:t>
            </w:r>
            <w:r w:rsidR="00291AF4" w:rsidRPr="00A91896">
              <w:t xml:space="preserve"> politiku.</w:t>
            </w:r>
          </w:p>
          <w:p w14:paraId="4F587135" w14:textId="77777777" w:rsidR="00EE4ABD" w:rsidRPr="00A91896" w:rsidRDefault="00EE4ABD" w:rsidP="00372ABF">
            <w:pPr>
              <w:ind w:left="114" w:right="127"/>
              <w:jc w:val="both"/>
            </w:pPr>
          </w:p>
        </w:tc>
      </w:tr>
    </w:tbl>
    <w:p w14:paraId="6F24FC4F" w14:textId="77777777" w:rsidR="005134ED" w:rsidRPr="00A91896" w:rsidRDefault="005134ED" w:rsidP="009B774A">
      <w:pPr>
        <w:pStyle w:val="naisf"/>
        <w:tabs>
          <w:tab w:val="left" w:pos="3819"/>
        </w:tabs>
        <w:spacing w:before="0" w:after="0"/>
        <w:ind w:firstLine="0"/>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1540"/>
        <w:gridCol w:w="1388"/>
        <w:gridCol w:w="1192"/>
        <w:gridCol w:w="1194"/>
        <w:gridCol w:w="1260"/>
      </w:tblGrid>
      <w:tr w:rsidR="009B774A" w:rsidRPr="00A91896" w14:paraId="38B5ED9A" w14:textId="77777777" w:rsidTr="009B774A">
        <w:trPr>
          <w:trHeight w:val="361"/>
          <w:jc w:val="center"/>
        </w:trPr>
        <w:tc>
          <w:tcPr>
            <w:tcW w:w="10209" w:type="dxa"/>
            <w:gridSpan w:val="6"/>
            <w:vAlign w:val="center"/>
          </w:tcPr>
          <w:p w14:paraId="78F06093" w14:textId="77777777" w:rsidR="009B774A" w:rsidRPr="00A91896" w:rsidRDefault="009B774A" w:rsidP="001A0506">
            <w:pPr>
              <w:jc w:val="center"/>
              <w:rPr>
                <w:b/>
                <w:i/>
              </w:rPr>
            </w:pPr>
            <w:r w:rsidRPr="00A91896">
              <w:br w:type="page"/>
            </w:r>
            <w:r w:rsidRPr="00A91896">
              <w:br w:type="page"/>
            </w:r>
            <w:r w:rsidRPr="00A91896">
              <w:rPr>
                <w:b/>
              </w:rPr>
              <w:t>III. Tiesību akta projekta ietekme uz valsts budžetu un pašvaldību budžetiem</w:t>
            </w:r>
          </w:p>
        </w:tc>
      </w:tr>
      <w:tr w:rsidR="009B774A" w:rsidRPr="00A91896" w14:paraId="7B755F09" w14:textId="77777777" w:rsidTr="00BF6F26">
        <w:trPr>
          <w:jc w:val="center"/>
        </w:trPr>
        <w:tc>
          <w:tcPr>
            <w:tcW w:w="3635" w:type="dxa"/>
            <w:vMerge w:val="restart"/>
            <w:vAlign w:val="center"/>
          </w:tcPr>
          <w:p w14:paraId="3668ECB6" w14:textId="77777777" w:rsidR="009B774A" w:rsidRPr="00A91896" w:rsidRDefault="009B774A" w:rsidP="001A0506">
            <w:pPr>
              <w:jc w:val="center"/>
              <w:rPr>
                <w:b/>
              </w:rPr>
            </w:pPr>
            <w:r w:rsidRPr="00A91896">
              <w:rPr>
                <w:b/>
              </w:rPr>
              <w:t>Rādītāji</w:t>
            </w:r>
          </w:p>
        </w:tc>
        <w:tc>
          <w:tcPr>
            <w:tcW w:w="2928" w:type="dxa"/>
            <w:gridSpan w:val="2"/>
            <w:vMerge w:val="restart"/>
            <w:vAlign w:val="center"/>
          </w:tcPr>
          <w:p w14:paraId="724DCBB2" w14:textId="77777777" w:rsidR="009B774A" w:rsidRPr="00A91896" w:rsidRDefault="009B774A" w:rsidP="009F7B9E">
            <w:pPr>
              <w:jc w:val="center"/>
              <w:rPr>
                <w:b/>
              </w:rPr>
            </w:pPr>
            <w:r w:rsidRPr="00A91896">
              <w:rPr>
                <w:b/>
              </w:rPr>
              <w:t>201</w:t>
            </w:r>
            <w:r w:rsidR="009F7B9E" w:rsidRPr="00A91896">
              <w:rPr>
                <w:b/>
              </w:rPr>
              <w:t>5</w:t>
            </w:r>
          </w:p>
        </w:tc>
        <w:tc>
          <w:tcPr>
            <w:tcW w:w="3646" w:type="dxa"/>
            <w:gridSpan w:val="3"/>
            <w:vAlign w:val="center"/>
          </w:tcPr>
          <w:p w14:paraId="2D8C53BE" w14:textId="77777777" w:rsidR="009B774A" w:rsidRPr="00A91896" w:rsidRDefault="009B774A" w:rsidP="001A0506">
            <w:pPr>
              <w:jc w:val="center"/>
              <w:rPr>
                <w:b/>
                <w:i/>
              </w:rPr>
            </w:pPr>
            <w:r w:rsidRPr="00A91896">
              <w:t>Turpmākie trīs gadi (</w:t>
            </w:r>
            <w:proofErr w:type="spellStart"/>
            <w:r w:rsidRPr="00A91896">
              <w:rPr>
                <w:i/>
              </w:rPr>
              <w:t>euro</w:t>
            </w:r>
            <w:proofErr w:type="spellEnd"/>
            <w:r w:rsidRPr="00A91896">
              <w:t>)</w:t>
            </w:r>
          </w:p>
        </w:tc>
      </w:tr>
      <w:tr w:rsidR="009B774A" w:rsidRPr="00A91896" w14:paraId="7A1BC787" w14:textId="77777777" w:rsidTr="00BF6F26">
        <w:trPr>
          <w:jc w:val="center"/>
        </w:trPr>
        <w:tc>
          <w:tcPr>
            <w:tcW w:w="3635" w:type="dxa"/>
            <w:vMerge/>
            <w:vAlign w:val="center"/>
          </w:tcPr>
          <w:p w14:paraId="60CBD341" w14:textId="77777777" w:rsidR="009B774A" w:rsidRPr="00A91896" w:rsidRDefault="009B774A" w:rsidP="001A0506">
            <w:pPr>
              <w:jc w:val="center"/>
              <w:rPr>
                <w:b/>
                <w:i/>
              </w:rPr>
            </w:pPr>
          </w:p>
        </w:tc>
        <w:tc>
          <w:tcPr>
            <w:tcW w:w="2928" w:type="dxa"/>
            <w:gridSpan w:val="2"/>
            <w:vMerge/>
            <w:vAlign w:val="center"/>
          </w:tcPr>
          <w:p w14:paraId="06744F8A" w14:textId="77777777" w:rsidR="009B774A" w:rsidRPr="00A91896" w:rsidRDefault="009B774A" w:rsidP="001A0506">
            <w:pPr>
              <w:jc w:val="center"/>
              <w:rPr>
                <w:b/>
                <w:i/>
              </w:rPr>
            </w:pPr>
          </w:p>
        </w:tc>
        <w:tc>
          <w:tcPr>
            <w:tcW w:w="1192" w:type="dxa"/>
            <w:vAlign w:val="center"/>
          </w:tcPr>
          <w:p w14:paraId="371C1C54" w14:textId="77777777" w:rsidR="009B774A" w:rsidRPr="00A91896" w:rsidRDefault="009B774A" w:rsidP="009F7B9E">
            <w:pPr>
              <w:jc w:val="center"/>
              <w:rPr>
                <w:b/>
                <w:i/>
              </w:rPr>
            </w:pPr>
            <w:r w:rsidRPr="00A91896">
              <w:rPr>
                <w:b/>
                <w:bCs/>
              </w:rPr>
              <w:t>201</w:t>
            </w:r>
            <w:r w:rsidR="009F7B9E" w:rsidRPr="00A91896">
              <w:rPr>
                <w:b/>
                <w:bCs/>
              </w:rPr>
              <w:t>6</w:t>
            </w:r>
          </w:p>
        </w:tc>
        <w:tc>
          <w:tcPr>
            <w:tcW w:w="1194" w:type="dxa"/>
            <w:vAlign w:val="center"/>
          </w:tcPr>
          <w:p w14:paraId="4C778906" w14:textId="77777777" w:rsidR="009B774A" w:rsidRPr="00A91896" w:rsidRDefault="009B774A" w:rsidP="001A0506">
            <w:pPr>
              <w:jc w:val="center"/>
              <w:rPr>
                <w:b/>
                <w:i/>
              </w:rPr>
            </w:pPr>
            <w:r w:rsidRPr="00A91896">
              <w:rPr>
                <w:b/>
                <w:bCs/>
              </w:rPr>
              <w:t>2</w:t>
            </w:r>
            <w:r w:rsidR="009F7B9E" w:rsidRPr="00A91896">
              <w:rPr>
                <w:b/>
                <w:bCs/>
              </w:rPr>
              <w:t>017</w:t>
            </w:r>
          </w:p>
        </w:tc>
        <w:tc>
          <w:tcPr>
            <w:tcW w:w="1260" w:type="dxa"/>
            <w:vAlign w:val="center"/>
          </w:tcPr>
          <w:p w14:paraId="20D08219" w14:textId="77777777" w:rsidR="009B774A" w:rsidRPr="00A91896" w:rsidRDefault="009F7B9E" w:rsidP="001A0506">
            <w:pPr>
              <w:jc w:val="center"/>
              <w:rPr>
                <w:b/>
                <w:i/>
              </w:rPr>
            </w:pPr>
            <w:r w:rsidRPr="00A91896">
              <w:rPr>
                <w:b/>
                <w:bCs/>
              </w:rPr>
              <w:t>2018</w:t>
            </w:r>
          </w:p>
        </w:tc>
      </w:tr>
      <w:tr w:rsidR="009B774A" w:rsidRPr="00A91896" w14:paraId="35CD2844" w14:textId="77777777" w:rsidTr="00BF6F26">
        <w:trPr>
          <w:jc w:val="center"/>
        </w:trPr>
        <w:tc>
          <w:tcPr>
            <w:tcW w:w="3635" w:type="dxa"/>
            <w:vMerge/>
            <w:vAlign w:val="center"/>
          </w:tcPr>
          <w:p w14:paraId="16C28D11" w14:textId="77777777" w:rsidR="009B774A" w:rsidRPr="00A91896" w:rsidRDefault="009B774A" w:rsidP="001A0506">
            <w:pPr>
              <w:jc w:val="center"/>
              <w:rPr>
                <w:b/>
                <w:i/>
              </w:rPr>
            </w:pPr>
          </w:p>
        </w:tc>
        <w:tc>
          <w:tcPr>
            <w:tcW w:w="1540" w:type="dxa"/>
            <w:vAlign w:val="center"/>
          </w:tcPr>
          <w:p w14:paraId="40AA84F1" w14:textId="77777777" w:rsidR="009B774A" w:rsidRPr="00A91896" w:rsidRDefault="009B774A" w:rsidP="001A0506">
            <w:pPr>
              <w:jc w:val="center"/>
              <w:rPr>
                <w:b/>
                <w:i/>
              </w:rPr>
            </w:pPr>
            <w:r w:rsidRPr="00A91896">
              <w:t>saskaņā ar valsts budžetu kārtējam gadam</w:t>
            </w:r>
          </w:p>
        </w:tc>
        <w:tc>
          <w:tcPr>
            <w:tcW w:w="1388" w:type="dxa"/>
            <w:vAlign w:val="center"/>
          </w:tcPr>
          <w:p w14:paraId="68BADB21" w14:textId="77777777" w:rsidR="009B774A" w:rsidRPr="00A91896" w:rsidRDefault="009B774A" w:rsidP="001A0506">
            <w:pPr>
              <w:jc w:val="center"/>
              <w:rPr>
                <w:b/>
                <w:i/>
              </w:rPr>
            </w:pPr>
            <w:r w:rsidRPr="00A91896">
              <w:t>izmaiņas kārtējā gadā, salīdzinot ar budžetu kārtējam gadam</w:t>
            </w:r>
          </w:p>
        </w:tc>
        <w:tc>
          <w:tcPr>
            <w:tcW w:w="1192" w:type="dxa"/>
            <w:vAlign w:val="center"/>
          </w:tcPr>
          <w:p w14:paraId="63756910" w14:textId="77777777" w:rsidR="009B774A" w:rsidRPr="00A91896" w:rsidRDefault="009B774A" w:rsidP="001A0506">
            <w:pPr>
              <w:jc w:val="center"/>
              <w:rPr>
                <w:b/>
                <w:i/>
              </w:rPr>
            </w:pPr>
            <w:r w:rsidRPr="00A91896">
              <w:t>izmaiņas, salīdzinot ar kārtējo  gadu</w:t>
            </w:r>
          </w:p>
        </w:tc>
        <w:tc>
          <w:tcPr>
            <w:tcW w:w="1194" w:type="dxa"/>
            <w:vAlign w:val="center"/>
          </w:tcPr>
          <w:p w14:paraId="2A4C701E" w14:textId="77777777" w:rsidR="009B774A" w:rsidRPr="00A91896" w:rsidRDefault="009B774A" w:rsidP="001A0506">
            <w:pPr>
              <w:jc w:val="center"/>
              <w:rPr>
                <w:b/>
                <w:i/>
              </w:rPr>
            </w:pPr>
            <w:r w:rsidRPr="00A91896">
              <w:t>izmaiņas, salīdzinot ar kārtējo  gadu</w:t>
            </w:r>
          </w:p>
        </w:tc>
        <w:tc>
          <w:tcPr>
            <w:tcW w:w="1260" w:type="dxa"/>
            <w:vAlign w:val="center"/>
          </w:tcPr>
          <w:p w14:paraId="5175F88D" w14:textId="77777777" w:rsidR="009B774A" w:rsidRPr="00A91896" w:rsidRDefault="009B774A" w:rsidP="001A0506">
            <w:pPr>
              <w:jc w:val="center"/>
              <w:rPr>
                <w:b/>
                <w:i/>
              </w:rPr>
            </w:pPr>
            <w:r w:rsidRPr="00A91896">
              <w:t>izmaiņas, salīdzinot ar kārtējo  gadu</w:t>
            </w:r>
          </w:p>
        </w:tc>
      </w:tr>
      <w:tr w:rsidR="009B774A" w:rsidRPr="00A91896" w14:paraId="22452729" w14:textId="77777777" w:rsidTr="00BF6F26">
        <w:trPr>
          <w:jc w:val="center"/>
        </w:trPr>
        <w:tc>
          <w:tcPr>
            <w:tcW w:w="3635" w:type="dxa"/>
            <w:vAlign w:val="center"/>
          </w:tcPr>
          <w:p w14:paraId="1A8E99E3" w14:textId="77777777" w:rsidR="009B774A" w:rsidRPr="00A91896" w:rsidRDefault="009B774A" w:rsidP="001A0506">
            <w:pPr>
              <w:jc w:val="center"/>
              <w:rPr>
                <w:bCs/>
              </w:rPr>
            </w:pPr>
            <w:r w:rsidRPr="00A91896">
              <w:rPr>
                <w:bCs/>
              </w:rPr>
              <w:t>1</w:t>
            </w:r>
          </w:p>
        </w:tc>
        <w:tc>
          <w:tcPr>
            <w:tcW w:w="1540" w:type="dxa"/>
            <w:vAlign w:val="center"/>
          </w:tcPr>
          <w:p w14:paraId="6BB2637E" w14:textId="77777777" w:rsidR="009B774A" w:rsidRPr="00A91896" w:rsidRDefault="009B774A" w:rsidP="001A0506">
            <w:pPr>
              <w:jc w:val="center"/>
              <w:rPr>
                <w:bCs/>
              </w:rPr>
            </w:pPr>
            <w:r w:rsidRPr="00A91896">
              <w:rPr>
                <w:bCs/>
              </w:rPr>
              <w:t>2</w:t>
            </w:r>
          </w:p>
        </w:tc>
        <w:tc>
          <w:tcPr>
            <w:tcW w:w="1388" w:type="dxa"/>
            <w:vAlign w:val="center"/>
          </w:tcPr>
          <w:p w14:paraId="359FC44C" w14:textId="77777777" w:rsidR="009B774A" w:rsidRPr="00A91896" w:rsidRDefault="009B774A" w:rsidP="001A0506">
            <w:pPr>
              <w:jc w:val="center"/>
              <w:rPr>
                <w:bCs/>
              </w:rPr>
            </w:pPr>
            <w:r w:rsidRPr="00A91896">
              <w:rPr>
                <w:bCs/>
              </w:rPr>
              <w:t>3</w:t>
            </w:r>
          </w:p>
        </w:tc>
        <w:tc>
          <w:tcPr>
            <w:tcW w:w="1192" w:type="dxa"/>
            <w:vAlign w:val="center"/>
          </w:tcPr>
          <w:p w14:paraId="4D3A6443" w14:textId="77777777" w:rsidR="009B774A" w:rsidRPr="00A91896" w:rsidRDefault="009B774A" w:rsidP="001A0506">
            <w:pPr>
              <w:jc w:val="center"/>
              <w:rPr>
                <w:bCs/>
              </w:rPr>
            </w:pPr>
            <w:r w:rsidRPr="00A91896">
              <w:rPr>
                <w:bCs/>
              </w:rPr>
              <w:t>4</w:t>
            </w:r>
          </w:p>
        </w:tc>
        <w:tc>
          <w:tcPr>
            <w:tcW w:w="1194" w:type="dxa"/>
            <w:vAlign w:val="center"/>
          </w:tcPr>
          <w:p w14:paraId="54253136" w14:textId="77777777" w:rsidR="009B774A" w:rsidRPr="00A91896" w:rsidRDefault="009B774A" w:rsidP="001A0506">
            <w:pPr>
              <w:jc w:val="center"/>
              <w:rPr>
                <w:bCs/>
              </w:rPr>
            </w:pPr>
            <w:r w:rsidRPr="00A91896">
              <w:rPr>
                <w:bCs/>
              </w:rPr>
              <w:t>5</w:t>
            </w:r>
          </w:p>
        </w:tc>
        <w:tc>
          <w:tcPr>
            <w:tcW w:w="1260" w:type="dxa"/>
            <w:vAlign w:val="center"/>
          </w:tcPr>
          <w:p w14:paraId="31DDBA69" w14:textId="77777777" w:rsidR="009B774A" w:rsidRPr="00A91896" w:rsidRDefault="009B774A" w:rsidP="001A0506">
            <w:pPr>
              <w:jc w:val="center"/>
              <w:rPr>
                <w:bCs/>
              </w:rPr>
            </w:pPr>
            <w:r w:rsidRPr="00A91896">
              <w:rPr>
                <w:bCs/>
              </w:rPr>
              <w:t>6</w:t>
            </w:r>
          </w:p>
        </w:tc>
      </w:tr>
      <w:tr w:rsidR="0005209B" w:rsidRPr="00A91896" w14:paraId="2146CB13" w14:textId="77777777" w:rsidTr="00BF6F26">
        <w:trPr>
          <w:jc w:val="center"/>
        </w:trPr>
        <w:tc>
          <w:tcPr>
            <w:tcW w:w="3635" w:type="dxa"/>
          </w:tcPr>
          <w:p w14:paraId="51FC21A4" w14:textId="77777777" w:rsidR="0005209B" w:rsidRPr="00A91896" w:rsidRDefault="0005209B" w:rsidP="0005209B">
            <w:pPr>
              <w:rPr>
                <w:i/>
              </w:rPr>
            </w:pPr>
            <w:r w:rsidRPr="00A91896">
              <w:t>1. Budžeta ieņēmumi:</w:t>
            </w:r>
          </w:p>
        </w:tc>
        <w:tc>
          <w:tcPr>
            <w:tcW w:w="1540" w:type="dxa"/>
          </w:tcPr>
          <w:p w14:paraId="50A370EF" w14:textId="77777777" w:rsidR="0005209B" w:rsidRPr="00A678E2" w:rsidRDefault="00C77081" w:rsidP="0005209B">
            <w:pPr>
              <w:jc w:val="center"/>
            </w:pPr>
            <w:r w:rsidRPr="00A678E2">
              <w:t>1 422 872</w:t>
            </w:r>
          </w:p>
        </w:tc>
        <w:tc>
          <w:tcPr>
            <w:tcW w:w="1388" w:type="dxa"/>
          </w:tcPr>
          <w:p w14:paraId="2930714B" w14:textId="77777777" w:rsidR="0005209B" w:rsidRPr="00C77081" w:rsidRDefault="00DC0C97" w:rsidP="007A1337">
            <w:pPr>
              <w:jc w:val="center"/>
            </w:pPr>
            <w:r w:rsidRPr="00A91896">
              <w:rPr>
                <w:b/>
              </w:rPr>
              <w:t>0</w:t>
            </w:r>
          </w:p>
        </w:tc>
        <w:tc>
          <w:tcPr>
            <w:tcW w:w="1192" w:type="dxa"/>
          </w:tcPr>
          <w:p w14:paraId="42771660" w14:textId="77777777" w:rsidR="0005209B" w:rsidRPr="00A91896" w:rsidRDefault="0005209B" w:rsidP="0005209B">
            <w:pPr>
              <w:jc w:val="center"/>
              <w:rPr>
                <w:b/>
              </w:rPr>
            </w:pPr>
            <w:r w:rsidRPr="00A91896">
              <w:rPr>
                <w:b/>
              </w:rPr>
              <w:t>0</w:t>
            </w:r>
          </w:p>
        </w:tc>
        <w:tc>
          <w:tcPr>
            <w:tcW w:w="1194" w:type="dxa"/>
          </w:tcPr>
          <w:p w14:paraId="6DA22954" w14:textId="77777777" w:rsidR="0005209B" w:rsidRPr="00A91896" w:rsidRDefault="0005209B" w:rsidP="0005209B">
            <w:pPr>
              <w:jc w:val="center"/>
              <w:rPr>
                <w:b/>
              </w:rPr>
            </w:pPr>
            <w:r w:rsidRPr="00A91896">
              <w:rPr>
                <w:b/>
              </w:rPr>
              <w:t>0</w:t>
            </w:r>
          </w:p>
        </w:tc>
        <w:tc>
          <w:tcPr>
            <w:tcW w:w="1260" w:type="dxa"/>
          </w:tcPr>
          <w:p w14:paraId="01186E29" w14:textId="77777777" w:rsidR="0005209B" w:rsidRPr="00A91896" w:rsidRDefault="00FA0234" w:rsidP="00FA0234">
            <w:pPr>
              <w:jc w:val="center"/>
              <w:rPr>
                <w:b/>
              </w:rPr>
            </w:pPr>
            <w:r w:rsidRPr="00A91896">
              <w:rPr>
                <w:b/>
              </w:rPr>
              <w:t>0</w:t>
            </w:r>
          </w:p>
        </w:tc>
      </w:tr>
      <w:tr w:rsidR="0005209B" w:rsidRPr="00A91896" w14:paraId="0EB106AB" w14:textId="77777777" w:rsidTr="00BF6F26">
        <w:trPr>
          <w:jc w:val="center"/>
        </w:trPr>
        <w:tc>
          <w:tcPr>
            <w:tcW w:w="3635" w:type="dxa"/>
          </w:tcPr>
          <w:p w14:paraId="33E969E0" w14:textId="77777777" w:rsidR="0005209B" w:rsidRPr="00A91896" w:rsidRDefault="0005209B" w:rsidP="0005209B">
            <w:pPr>
              <w:rPr>
                <w:i/>
              </w:rPr>
            </w:pPr>
            <w:r w:rsidRPr="00A91896">
              <w:t xml:space="preserve">1.1. valsts pamatbudžets, tai skaitā ieņēmumi no maksas </w:t>
            </w:r>
            <w:r w:rsidRPr="00A91896">
              <w:lastRenderedPageBreak/>
              <w:t>pakalpojumiem un citi pašu ieņēmumi</w:t>
            </w:r>
          </w:p>
        </w:tc>
        <w:tc>
          <w:tcPr>
            <w:tcW w:w="1540" w:type="dxa"/>
          </w:tcPr>
          <w:p w14:paraId="1C8F90C7" w14:textId="77777777" w:rsidR="0005209B" w:rsidRPr="00A678E2" w:rsidRDefault="00C77081" w:rsidP="0005209B">
            <w:pPr>
              <w:jc w:val="center"/>
            </w:pPr>
            <w:r w:rsidRPr="00A678E2">
              <w:lastRenderedPageBreak/>
              <w:t>1 422 872</w:t>
            </w:r>
          </w:p>
        </w:tc>
        <w:tc>
          <w:tcPr>
            <w:tcW w:w="1388" w:type="dxa"/>
          </w:tcPr>
          <w:p w14:paraId="4AB1EEAF" w14:textId="77777777" w:rsidR="0005209B" w:rsidRPr="00C77081" w:rsidRDefault="00DC0C97" w:rsidP="0005209B">
            <w:pPr>
              <w:jc w:val="center"/>
            </w:pPr>
            <w:r w:rsidRPr="00A91896">
              <w:rPr>
                <w:b/>
              </w:rPr>
              <w:t>0</w:t>
            </w:r>
          </w:p>
        </w:tc>
        <w:tc>
          <w:tcPr>
            <w:tcW w:w="1192" w:type="dxa"/>
          </w:tcPr>
          <w:p w14:paraId="271E7D3D" w14:textId="77777777" w:rsidR="0005209B" w:rsidRPr="00A91896" w:rsidRDefault="00DC0C97" w:rsidP="0005209B">
            <w:pPr>
              <w:jc w:val="center"/>
              <w:rPr>
                <w:i/>
              </w:rPr>
            </w:pPr>
            <w:r w:rsidRPr="00A91896">
              <w:rPr>
                <w:b/>
              </w:rPr>
              <w:t>0</w:t>
            </w:r>
          </w:p>
        </w:tc>
        <w:tc>
          <w:tcPr>
            <w:tcW w:w="1194" w:type="dxa"/>
          </w:tcPr>
          <w:p w14:paraId="57B75E3B" w14:textId="77777777" w:rsidR="0005209B" w:rsidRPr="00A91896" w:rsidRDefault="00DC0C97" w:rsidP="0005209B">
            <w:pPr>
              <w:jc w:val="center"/>
              <w:rPr>
                <w:i/>
              </w:rPr>
            </w:pPr>
            <w:r w:rsidRPr="00A91896">
              <w:rPr>
                <w:b/>
              </w:rPr>
              <w:t>0</w:t>
            </w:r>
          </w:p>
        </w:tc>
        <w:tc>
          <w:tcPr>
            <w:tcW w:w="1260" w:type="dxa"/>
          </w:tcPr>
          <w:p w14:paraId="30A6EBCE" w14:textId="77777777" w:rsidR="0005209B" w:rsidRPr="00A91896" w:rsidRDefault="00DC0C97" w:rsidP="0005209B">
            <w:pPr>
              <w:jc w:val="center"/>
              <w:rPr>
                <w:i/>
              </w:rPr>
            </w:pPr>
            <w:r w:rsidRPr="00A91896">
              <w:rPr>
                <w:b/>
              </w:rPr>
              <w:t>0</w:t>
            </w:r>
          </w:p>
        </w:tc>
      </w:tr>
      <w:tr w:rsidR="009B774A" w:rsidRPr="00A91896" w14:paraId="315F430F" w14:textId="77777777" w:rsidTr="00BF6F26">
        <w:trPr>
          <w:jc w:val="center"/>
        </w:trPr>
        <w:tc>
          <w:tcPr>
            <w:tcW w:w="3635" w:type="dxa"/>
          </w:tcPr>
          <w:p w14:paraId="385996E1" w14:textId="77777777" w:rsidR="009B774A" w:rsidRPr="00A91896" w:rsidRDefault="009B774A" w:rsidP="001A0506">
            <w:pPr>
              <w:rPr>
                <w:i/>
              </w:rPr>
            </w:pPr>
            <w:r w:rsidRPr="00A91896">
              <w:lastRenderedPageBreak/>
              <w:t>1.2. valsts speciālais budžets</w:t>
            </w:r>
          </w:p>
        </w:tc>
        <w:tc>
          <w:tcPr>
            <w:tcW w:w="1540" w:type="dxa"/>
          </w:tcPr>
          <w:p w14:paraId="5FFDF786" w14:textId="77777777" w:rsidR="009B774A" w:rsidRPr="00A678E2" w:rsidRDefault="009B774A" w:rsidP="001A0506">
            <w:pPr>
              <w:jc w:val="center"/>
            </w:pPr>
          </w:p>
        </w:tc>
        <w:tc>
          <w:tcPr>
            <w:tcW w:w="1388" w:type="dxa"/>
          </w:tcPr>
          <w:p w14:paraId="2D0DBBF4" w14:textId="77777777" w:rsidR="009B774A" w:rsidRPr="00A91896" w:rsidRDefault="009B774A" w:rsidP="001A0506">
            <w:pPr>
              <w:jc w:val="center"/>
            </w:pPr>
          </w:p>
        </w:tc>
        <w:tc>
          <w:tcPr>
            <w:tcW w:w="1192" w:type="dxa"/>
          </w:tcPr>
          <w:p w14:paraId="02F0452E" w14:textId="77777777" w:rsidR="009B774A" w:rsidRPr="00A91896" w:rsidRDefault="009B774A" w:rsidP="001A0506">
            <w:pPr>
              <w:jc w:val="center"/>
            </w:pPr>
          </w:p>
        </w:tc>
        <w:tc>
          <w:tcPr>
            <w:tcW w:w="1194" w:type="dxa"/>
          </w:tcPr>
          <w:p w14:paraId="569A9867" w14:textId="77777777" w:rsidR="009B774A" w:rsidRPr="00A91896" w:rsidRDefault="009B774A" w:rsidP="001A0506">
            <w:pPr>
              <w:jc w:val="center"/>
            </w:pPr>
          </w:p>
        </w:tc>
        <w:tc>
          <w:tcPr>
            <w:tcW w:w="1260" w:type="dxa"/>
          </w:tcPr>
          <w:p w14:paraId="03D58516" w14:textId="77777777" w:rsidR="009B774A" w:rsidRPr="00A91896" w:rsidRDefault="009B774A" w:rsidP="001A0506">
            <w:pPr>
              <w:jc w:val="center"/>
            </w:pPr>
          </w:p>
        </w:tc>
      </w:tr>
      <w:tr w:rsidR="009B774A" w:rsidRPr="00A91896" w14:paraId="48A0E604" w14:textId="77777777" w:rsidTr="00BF6F26">
        <w:trPr>
          <w:jc w:val="center"/>
        </w:trPr>
        <w:tc>
          <w:tcPr>
            <w:tcW w:w="3635" w:type="dxa"/>
          </w:tcPr>
          <w:p w14:paraId="2E9C546B" w14:textId="77777777" w:rsidR="009B774A" w:rsidRPr="00BF6F26" w:rsidRDefault="009B774A" w:rsidP="001A0506">
            <w:pPr>
              <w:rPr>
                <w:i/>
              </w:rPr>
            </w:pPr>
            <w:r w:rsidRPr="00BF6F26">
              <w:t>1.3. pašvaldību budžets</w:t>
            </w:r>
          </w:p>
        </w:tc>
        <w:tc>
          <w:tcPr>
            <w:tcW w:w="1540" w:type="dxa"/>
          </w:tcPr>
          <w:p w14:paraId="3E5F48AA" w14:textId="77777777" w:rsidR="009B774A" w:rsidRPr="00A678E2" w:rsidRDefault="009B774A" w:rsidP="001A0506">
            <w:pPr>
              <w:jc w:val="center"/>
            </w:pPr>
          </w:p>
        </w:tc>
        <w:tc>
          <w:tcPr>
            <w:tcW w:w="1388" w:type="dxa"/>
          </w:tcPr>
          <w:p w14:paraId="687379A6" w14:textId="77777777" w:rsidR="009B774A" w:rsidRPr="00A91896" w:rsidRDefault="009B774A" w:rsidP="001A0506">
            <w:pPr>
              <w:jc w:val="center"/>
            </w:pPr>
          </w:p>
        </w:tc>
        <w:tc>
          <w:tcPr>
            <w:tcW w:w="1192" w:type="dxa"/>
          </w:tcPr>
          <w:p w14:paraId="310EB19E" w14:textId="77777777" w:rsidR="009B774A" w:rsidRPr="00A91896" w:rsidRDefault="009B774A" w:rsidP="001A0506">
            <w:pPr>
              <w:jc w:val="center"/>
            </w:pPr>
          </w:p>
        </w:tc>
        <w:tc>
          <w:tcPr>
            <w:tcW w:w="1194" w:type="dxa"/>
          </w:tcPr>
          <w:p w14:paraId="1BC0CBD9" w14:textId="77777777" w:rsidR="009B774A" w:rsidRPr="00A91896" w:rsidRDefault="009B774A" w:rsidP="001A0506">
            <w:pPr>
              <w:jc w:val="center"/>
            </w:pPr>
          </w:p>
        </w:tc>
        <w:tc>
          <w:tcPr>
            <w:tcW w:w="1260" w:type="dxa"/>
          </w:tcPr>
          <w:p w14:paraId="4E590851" w14:textId="77777777" w:rsidR="009B774A" w:rsidRPr="00A91896" w:rsidRDefault="009B774A" w:rsidP="001A0506">
            <w:pPr>
              <w:jc w:val="center"/>
            </w:pPr>
          </w:p>
        </w:tc>
      </w:tr>
      <w:tr w:rsidR="0060679E" w:rsidRPr="00A91896" w14:paraId="6A7FB936" w14:textId="77777777" w:rsidTr="00BF6F26">
        <w:trPr>
          <w:jc w:val="center"/>
        </w:trPr>
        <w:tc>
          <w:tcPr>
            <w:tcW w:w="3635" w:type="dxa"/>
          </w:tcPr>
          <w:p w14:paraId="5FA4F215" w14:textId="77777777" w:rsidR="0060679E" w:rsidRPr="00BF6F26" w:rsidRDefault="0060679E" w:rsidP="0060679E">
            <w:r w:rsidRPr="00BF6F26">
              <w:t>2. Budžeta izdevumi:</w:t>
            </w:r>
          </w:p>
        </w:tc>
        <w:tc>
          <w:tcPr>
            <w:tcW w:w="1540" w:type="dxa"/>
          </w:tcPr>
          <w:p w14:paraId="55E7E62C" w14:textId="77777777" w:rsidR="0060679E" w:rsidRPr="00A678E2" w:rsidRDefault="00C77081" w:rsidP="0060679E">
            <w:pPr>
              <w:jc w:val="center"/>
            </w:pPr>
            <w:r w:rsidRPr="00A678E2">
              <w:t>1 422 872</w:t>
            </w:r>
          </w:p>
        </w:tc>
        <w:tc>
          <w:tcPr>
            <w:tcW w:w="1388" w:type="dxa"/>
          </w:tcPr>
          <w:p w14:paraId="3C75F7F5" w14:textId="77777777" w:rsidR="0060679E" w:rsidRPr="00BF6F26" w:rsidRDefault="00BF6F26" w:rsidP="00954625">
            <w:pPr>
              <w:jc w:val="center"/>
            </w:pPr>
            <w:r w:rsidRPr="00BF6F26">
              <w:t>103 634</w:t>
            </w:r>
          </w:p>
        </w:tc>
        <w:tc>
          <w:tcPr>
            <w:tcW w:w="1192" w:type="dxa"/>
          </w:tcPr>
          <w:p w14:paraId="14B640E8" w14:textId="77777777" w:rsidR="0060679E" w:rsidRPr="00A91896" w:rsidRDefault="00BF6F26" w:rsidP="00954625">
            <w:pPr>
              <w:jc w:val="center"/>
              <w:rPr>
                <w:b/>
              </w:rPr>
            </w:pPr>
            <w:r w:rsidRPr="00BF6F26">
              <w:t>152 530</w:t>
            </w:r>
          </w:p>
        </w:tc>
        <w:tc>
          <w:tcPr>
            <w:tcW w:w="1194" w:type="dxa"/>
          </w:tcPr>
          <w:p w14:paraId="2EE4C206" w14:textId="77777777" w:rsidR="0060679E" w:rsidRPr="00954625" w:rsidRDefault="00BF6F26" w:rsidP="00954625">
            <w:pPr>
              <w:jc w:val="center"/>
              <w:rPr>
                <w:b/>
              </w:rPr>
            </w:pPr>
            <w:r w:rsidRPr="00BF6F26">
              <w:t>152 530</w:t>
            </w:r>
          </w:p>
        </w:tc>
        <w:tc>
          <w:tcPr>
            <w:tcW w:w="1260" w:type="dxa"/>
          </w:tcPr>
          <w:p w14:paraId="18F42D6F" w14:textId="77777777" w:rsidR="0060679E" w:rsidRPr="00A91896" w:rsidRDefault="00BF6F26" w:rsidP="00954625">
            <w:pPr>
              <w:jc w:val="center"/>
              <w:rPr>
                <w:b/>
              </w:rPr>
            </w:pPr>
            <w:r w:rsidRPr="00BF6F26">
              <w:t>152 530</w:t>
            </w:r>
          </w:p>
        </w:tc>
      </w:tr>
      <w:tr w:rsidR="0060679E" w:rsidRPr="00A91896" w14:paraId="7A5DAB88" w14:textId="77777777" w:rsidTr="00BF6F26">
        <w:trPr>
          <w:jc w:val="center"/>
        </w:trPr>
        <w:tc>
          <w:tcPr>
            <w:tcW w:w="3635" w:type="dxa"/>
          </w:tcPr>
          <w:p w14:paraId="40F14E2B" w14:textId="77777777" w:rsidR="0060679E" w:rsidRPr="00BF6F26" w:rsidRDefault="0060679E" w:rsidP="0060679E">
            <w:r w:rsidRPr="00BF6F26">
              <w:t>2.1. valsts pamatbudžets</w:t>
            </w:r>
          </w:p>
        </w:tc>
        <w:tc>
          <w:tcPr>
            <w:tcW w:w="1540" w:type="dxa"/>
          </w:tcPr>
          <w:p w14:paraId="0450A3A3" w14:textId="77777777" w:rsidR="0060679E" w:rsidRPr="00A678E2" w:rsidRDefault="00C77081" w:rsidP="0060679E">
            <w:pPr>
              <w:jc w:val="center"/>
            </w:pPr>
            <w:r w:rsidRPr="00A678E2">
              <w:t>1 422 872</w:t>
            </w:r>
          </w:p>
        </w:tc>
        <w:tc>
          <w:tcPr>
            <w:tcW w:w="1388" w:type="dxa"/>
          </w:tcPr>
          <w:p w14:paraId="24A259CA" w14:textId="77777777" w:rsidR="0060679E" w:rsidRPr="00A91896" w:rsidRDefault="00BF6F26" w:rsidP="00954625">
            <w:pPr>
              <w:jc w:val="center"/>
              <w:rPr>
                <w:i/>
              </w:rPr>
            </w:pPr>
            <w:r w:rsidRPr="00BF6F26">
              <w:t>103 634</w:t>
            </w:r>
          </w:p>
        </w:tc>
        <w:tc>
          <w:tcPr>
            <w:tcW w:w="1192" w:type="dxa"/>
          </w:tcPr>
          <w:p w14:paraId="035B6F5B" w14:textId="77777777" w:rsidR="0060679E" w:rsidRPr="00A91896" w:rsidRDefault="00BF6F26" w:rsidP="00954625">
            <w:pPr>
              <w:jc w:val="center"/>
              <w:rPr>
                <w:i/>
              </w:rPr>
            </w:pPr>
            <w:r w:rsidRPr="00BF6F26">
              <w:t>152 530</w:t>
            </w:r>
          </w:p>
        </w:tc>
        <w:tc>
          <w:tcPr>
            <w:tcW w:w="1194" w:type="dxa"/>
          </w:tcPr>
          <w:p w14:paraId="65CBA8C8" w14:textId="77777777" w:rsidR="0060679E" w:rsidRPr="00A91896" w:rsidRDefault="00BF6F26" w:rsidP="00954625">
            <w:pPr>
              <w:jc w:val="center"/>
              <w:rPr>
                <w:i/>
              </w:rPr>
            </w:pPr>
            <w:r w:rsidRPr="00BF6F26">
              <w:t>152 530</w:t>
            </w:r>
          </w:p>
        </w:tc>
        <w:tc>
          <w:tcPr>
            <w:tcW w:w="1260" w:type="dxa"/>
          </w:tcPr>
          <w:p w14:paraId="5116FFBC" w14:textId="77777777" w:rsidR="0060679E" w:rsidRPr="00A91896" w:rsidRDefault="00BF6F26" w:rsidP="00954625">
            <w:pPr>
              <w:jc w:val="center"/>
              <w:rPr>
                <w:i/>
              </w:rPr>
            </w:pPr>
            <w:r w:rsidRPr="00BF6F26">
              <w:t>152 530</w:t>
            </w:r>
          </w:p>
        </w:tc>
      </w:tr>
      <w:tr w:rsidR="0060679E" w:rsidRPr="00A91896" w14:paraId="70B3D4FF" w14:textId="77777777" w:rsidTr="00BF6F26">
        <w:trPr>
          <w:jc w:val="center"/>
        </w:trPr>
        <w:tc>
          <w:tcPr>
            <w:tcW w:w="3635" w:type="dxa"/>
          </w:tcPr>
          <w:p w14:paraId="768A713F" w14:textId="77777777" w:rsidR="0060679E" w:rsidRPr="00BF6F26" w:rsidRDefault="0060679E" w:rsidP="0060679E">
            <w:r w:rsidRPr="00BF6F26">
              <w:t>2.2. valsts speciālais budžets</w:t>
            </w:r>
          </w:p>
        </w:tc>
        <w:tc>
          <w:tcPr>
            <w:tcW w:w="1540" w:type="dxa"/>
          </w:tcPr>
          <w:p w14:paraId="38276D02" w14:textId="77777777" w:rsidR="0060679E" w:rsidRPr="00A91896" w:rsidRDefault="0060679E" w:rsidP="0060679E">
            <w:pPr>
              <w:jc w:val="center"/>
            </w:pPr>
          </w:p>
        </w:tc>
        <w:tc>
          <w:tcPr>
            <w:tcW w:w="1388" w:type="dxa"/>
          </w:tcPr>
          <w:p w14:paraId="5B8DA796" w14:textId="77777777" w:rsidR="0060679E" w:rsidRPr="00A91896" w:rsidRDefault="0060679E" w:rsidP="00954625">
            <w:pPr>
              <w:jc w:val="center"/>
            </w:pPr>
          </w:p>
        </w:tc>
        <w:tc>
          <w:tcPr>
            <w:tcW w:w="1192" w:type="dxa"/>
          </w:tcPr>
          <w:p w14:paraId="646318BB" w14:textId="77777777" w:rsidR="0060679E" w:rsidRPr="00A91896" w:rsidRDefault="0060679E" w:rsidP="00954625">
            <w:pPr>
              <w:jc w:val="center"/>
            </w:pPr>
          </w:p>
        </w:tc>
        <w:tc>
          <w:tcPr>
            <w:tcW w:w="1194" w:type="dxa"/>
          </w:tcPr>
          <w:p w14:paraId="48B8A5B6" w14:textId="77777777" w:rsidR="0060679E" w:rsidRPr="00A91896" w:rsidRDefault="0060679E" w:rsidP="00954625">
            <w:pPr>
              <w:jc w:val="center"/>
            </w:pPr>
          </w:p>
        </w:tc>
        <w:tc>
          <w:tcPr>
            <w:tcW w:w="1260" w:type="dxa"/>
          </w:tcPr>
          <w:p w14:paraId="6EBA008B" w14:textId="77777777" w:rsidR="0060679E" w:rsidRPr="00A91896" w:rsidRDefault="0060679E" w:rsidP="00954625">
            <w:pPr>
              <w:jc w:val="center"/>
            </w:pPr>
          </w:p>
        </w:tc>
      </w:tr>
      <w:tr w:rsidR="0060679E" w:rsidRPr="00A91896" w14:paraId="73A2DD1D" w14:textId="77777777" w:rsidTr="00BF6F26">
        <w:trPr>
          <w:jc w:val="center"/>
        </w:trPr>
        <w:tc>
          <w:tcPr>
            <w:tcW w:w="3635" w:type="dxa"/>
          </w:tcPr>
          <w:p w14:paraId="3DFF2842" w14:textId="77777777" w:rsidR="0060679E" w:rsidRPr="00BF6F26" w:rsidRDefault="0060679E" w:rsidP="0060679E">
            <w:r w:rsidRPr="00BF6F26">
              <w:t xml:space="preserve">2.3. pašvaldību budžets </w:t>
            </w:r>
          </w:p>
        </w:tc>
        <w:tc>
          <w:tcPr>
            <w:tcW w:w="1540" w:type="dxa"/>
          </w:tcPr>
          <w:p w14:paraId="00B83BEE" w14:textId="77777777" w:rsidR="0060679E" w:rsidRPr="00A91896" w:rsidRDefault="0060679E" w:rsidP="0060679E">
            <w:pPr>
              <w:jc w:val="center"/>
            </w:pPr>
          </w:p>
        </w:tc>
        <w:tc>
          <w:tcPr>
            <w:tcW w:w="1388" w:type="dxa"/>
          </w:tcPr>
          <w:p w14:paraId="36DFC5AB" w14:textId="77777777" w:rsidR="0060679E" w:rsidRPr="00A91896" w:rsidRDefault="0060679E" w:rsidP="00954625">
            <w:pPr>
              <w:jc w:val="center"/>
            </w:pPr>
          </w:p>
        </w:tc>
        <w:tc>
          <w:tcPr>
            <w:tcW w:w="1192" w:type="dxa"/>
          </w:tcPr>
          <w:p w14:paraId="41AF1168" w14:textId="77777777" w:rsidR="0060679E" w:rsidRPr="00A91896" w:rsidRDefault="0060679E" w:rsidP="00954625">
            <w:pPr>
              <w:jc w:val="center"/>
            </w:pPr>
          </w:p>
        </w:tc>
        <w:tc>
          <w:tcPr>
            <w:tcW w:w="1194" w:type="dxa"/>
          </w:tcPr>
          <w:p w14:paraId="743B9161" w14:textId="77777777" w:rsidR="0060679E" w:rsidRPr="00A91896" w:rsidRDefault="0060679E" w:rsidP="00954625">
            <w:pPr>
              <w:jc w:val="center"/>
            </w:pPr>
          </w:p>
        </w:tc>
        <w:tc>
          <w:tcPr>
            <w:tcW w:w="1260" w:type="dxa"/>
          </w:tcPr>
          <w:p w14:paraId="2C4524D5" w14:textId="77777777" w:rsidR="0060679E" w:rsidRPr="00A91896" w:rsidRDefault="0060679E" w:rsidP="00954625">
            <w:pPr>
              <w:jc w:val="center"/>
            </w:pPr>
          </w:p>
        </w:tc>
      </w:tr>
      <w:tr w:rsidR="00954625" w:rsidRPr="00A91896" w14:paraId="7B4FECCF" w14:textId="77777777" w:rsidTr="00BF6F26">
        <w:trPr>
          <w:jc w:val="center"/>
        </w:trPr>
        <w:tc>
          <w:tcPr>
            <w:tcW w:w="3635" w:type="dxa"/>
          </w:tcPr>
          <w:p w14:paraId="4A09844A" w14:textId="77777777" w:rsidR="00954625" w:rsidRPr="00BF6F26" w:rsidRDefault="00954625" w:rsidP="00954625">
            <w:r w:rsidRPr="00BF6F26">
              <w:t>3. Finansiālā ietekme:</w:t>
            </w:r>
          </w:p>
        </w:tc>
        <w:tc>
          <w:tcPr>
            <w:tcW w:w="1540" w:type="dxa"/>
            <w:shd w:val="clear" w:color="auto" w:fill="auto"/>
          </w:tcPr>
          <w:p w14:paraId="6A24F44E" w14:textId="77777777" w:rsidR="00954625" w:rsidRPr="00A91896" w:rsidRDefault="00954625" w:rsidP="00954625">
            <w:pPr>
              <w:jc w:val="center"/>
              <w:rPr>
                <w:b/>
              </w:rPr>
            </w:pPr>
            <w:r w:rsidRPr="00A91896">
              <w:rPr>
                <w:b/>
              </w:rPr>
              <w:t>0</w:t>
            </w:r>
          </w:p>
        </w:tc>
        <w:tc>
          <w:tcPr>
            <w:tcW w:w="1388" w:type="dxa"/>
          </w:tcPr>
          <w:p w14:paraId="26BD43FB" w14:textId="77777777" w:rsidR="00954625" w:rsidRDefault="00C516E8" w:rsidP="00BF6F26">
            <w:r>
              <w:rPr>
                <w:b/>
              </w:rPr>
              <w:t>-</w:t>
            </w:r>
            <w:r w:rsidR="00BF6F26">
              <w:t xml:space="preserve"> </w:t>
            </w:r>
            <w:r w:rsidR="00BF6F26" w:rsidRPr="00BF6F26">
              <w:t>103 634</w:t>
            </w:r>
          </w:p>
        </w:tc>
        <w:tc>
          <w:tcPr>
            <w:tcW w:w="1192" w:type="dxa"/>
          </w:tcPr>
          <w:p w14:paraId="45E5C063" w14:textId="77777777" w:rsidR="00954625" w:rsidRPr="00BF6F26" w:rsidRDefault="00BF6F26" w:rsidP="00954625">
            <w:pPr>
              <w:jc w:val="center"/>
            </w:pPr>
            <w:r w:rsidRPr="00BF6F26">
              <w:t>- 152 530</w:t>
            </w:r>
          </w:p>
        </w:tc>
        <w:tc>
          <w:tcPr>
            <w:tcW w:w="1194" w:type="dxa"/>
          </w:tcPr>
          <w:p w14:paraId="1A126564" w14:textId="77777777" w:rsidR="00954625" w:rsidRDefault="00BF6F26" w:rsidP="00954625">
            <w:pPr>
              <w:jc w:val="center"/>
            </w:pPr>
            <w:r w:rsidRPr="00BF6F26">
              <w:t>- 152 530</w:t>
            </w:r>
          </w:p>
        </w:tc>
        <w:tc>
          <w:tcPr>
            <w:tcW w:w="1260" w:type="dxa"/>
          </w:tcPr>
          <w:p w14:paraId="4EC8757C" w14:textId="77777777" w:rsidR="00954625" w:rsidRDefault="00BF6F26" w:rsidP="00954625">
            <w:pPr>
              <w:jc w:val="center"/>
            </w:pPr>
            <w:r w:rsidRPr="00BF6F26">
              <w:t>- 152 530</w:t>
            </w:r>
          </w:p>
        </w:tc>
      </w:tr>
      <w:tr w:rsidR="00954625" w:rsidRPr="00A91896" w14:paraId="31E97916" w14:textId="77777777" w:rsidTr="00BF6F26">
        <w:trPr>
          <w:jc w:val="center"/>
        </w:trPr>
        <w:tc>
          <w:tcPr>
            <w:tcW w:w="3635" w:type="dxa"/>
          </w:tcPr>
          <w:p w14:paraId="443CCE70" w14:textId="77777777" w:rsidR="00954625" w:rsidRPr="00BF6F26" w:rsidRDefault="00954625" w:rsidP="00954625">
            <w:r w:rsidRPr="00BF6F26">
              <w:t>3.1. valsts pamatbudžets</w:t>
            </w:r>
          </w:p>
        </w:tc>
        <w:tc>
          <w:tcPr>
            <w:tcW w:w="1540" w:type="dxa"/>
            <w:shd w:val="clear" w:color="auto" w:fill="auto"/>
          </w:tcPr>
          <w:p w14:paraId="6BC887A9" w14:textId="77777777" w:rsidR="00954625" w:rsidRPr="00A91896" w:rsidRDefault="00954625" w:rsidP="00954625">
            <w:pPr>
              <w:jc w:val="center"/>
              <w:rPr>
                <w:i/>
              </w:rPr>
            </w:pPr>
            <w:r w:rsidRPr="00A91896">
              <w:rPr>
                <w:i/>
              </w:rPr>
              <w:t>0</w:t>
            </w:r>
          </w:p>
        </w:tc>
        <w:tc>
          <w:tcPr>
            <w:tcW w:w="1388" w:type="dxa"/>
          </w:tcPr>
          <w:p w14:paraId="07094A98" w14:textId="77777777" w:rsidR="00954625" w:rsidRDefault="00BF6F26" w:rsidP="00BF6F26">
            <w:r w:rsidRPr="00BF6F26">
              <w:t>- 103 634</w:t>
            </w:r>
          </w:p>
        </w:tc>
        <w:tc>
          <w:tcPr>
            <w:tcW w:w="1192" w:type="dxa"/>
          </w:tcPr>
          <w:p w14:paraId="0A7F67CA" w14:textId="77777777" w:rsidR="00954625" w:rsidRDefault="00BF6F26" w:rsidP="00954625">
            <w:pPr>
              <w:jc w:val="center"/>
            </w:pPr>
            <w:r w:rsidRPr="00BF6F26">
              <w:t>- 152 530</w:t>
            </w:r>
          </w:p>
        </w:tc>
        <w:tc>
          <w:tcPr>
            <w:tcW w:w="1194" w:type="dxa"/>
          </w:tcPr>
          <w:p w14:paraId="54BD5732" w14:textId="77777777" w:rsidR="00954625" w:rsidRDefault="00BF6F26" w:rsidP="00954625">
            <w:pPr>
              <w:jc w:val="center"/>
            </w:pPr>
            <w:r w:rsidRPr="00BF6F26">
              <w:t>- 152 530</w:t>
            </w:r>
          </w:p>
        </w:tc>
        <w:tc>
          <w:tcPr>
            <w:tcW w:w="1260" w:type="dxa"/>
          </w:tcPr>
          <w:p w14:paraId="7EC6F672" w14:textId="77777777" w:rsidR="00954625" w:rsidRDefault="00BF6F26" w:rsidP="00954625">
            <w:pPr>
              <w:jc w:val="center"/>
            </w:pPr>
            <w:r w:rsidRPr="00BF6F26">
              <w:t>- 152 530</w:t>
            </w:r>
          </w:p>
        </w:tc>
      </w:tr>
      <w:tr w:rsidR="009B774A" w:rsidRPr="00A91896" w14:paraId="013CBAC2" w14:textId="77777777" w:rsidTr="00BF6F26">
        <w:trPr>
          <w:jc w:val="center"/>
        </w:trPr>
        <w:tc>
          <w:tcPr>
            <w:tcW w:w="3635" w:type="dxa"/>
          </w:tcPr>
          <w:p w14:paraId="64D71CA1" w14:textId="77777777" w:rsidR="009B774A" w:rsidRPr="00BF6F26" w:rsidRDefault="009B774A" w:rsidP="001A0506">
            <w:r w:rsidRPr="00BF6F26">
              <w:t>3.2. speciālais budžets</w:t>
            </w:r>
          </w:p>
        </w:tc>
        <w:tc>
          <w:tcPr>
            <w:tcW w:w="1540" w:type="dxa"/>
            <w:shd w:val="clear" w:color="auto" w:fill="auto"/>
          </w:tcPr>
          <w:p w14:paraId="2B722BF3" w14:textId="77777777" w:rsidR="009B774A" w:rsidRPr="00A91896" w:rsidRDefault="009B774A" w:rsidP="001A0506">
            <w:pPr>
              <w:jc w:val="center"/>
            </w:pPr>
          </w:p>
        </w:tc>
        <w:tc>
          <w:tcPr>
            <w:tcW w:w="1388" w:type="dxa"/>
          </w:tcPr>
          <w:p w14:paraId="560CCC7D" w14:textId="77777777" w:rsidR="009B774A" w:rsidRPr="00A91896" w:rsidRDefault="009B774A" w:rsidP="00954625">
            <w:pPr>
              <w:jc w:val="center"/>
            </w:pPr>
          </w:p>
        </w:tc>
        <w:tc>
          <w:tcPr>
            <w:tcW w:w="1192" w:type="dxa"/>
          </w:tcPr>
          <w:p w14:paraId="440DAEA0" w14:textId="77777777" w:rsidR="009B774A" w:rsidRPr="00A91896" w:rsidRDefault="009B774A" w:rsidP="00954625">
            <w:pPr>
              <w:jc w:val="center"/>
            </w:pPr>
          </w:p>
        </w:tc>
        <w:tc>
          <w:tcPr>
            <w:tcW w:w="1194" w:type="dxa"/>
          </w:tcPr>
          <w:p w14:paraId="5BF11A72" w14:textId="77777777" w:rsidR="009B774A" w:rsidRPr="00A91896" w:rsidRDefault="009B774A" w:rsidP="00954625">
            <w:pPr>
              <w:jc w:val="center"/>
            </w:pPr>
          </w:p>
        </w:tc>
        <w:tc>
          <w:tcPr>
            <w:tcW w:w="1260" w:type="dxa"/>
          </w:tcPr>
          <w:p w14:paraId="4B907DF3" w14:textId="77777777" w:rsidR="009B774A" w:rsidRPr="00A91896" w:rsidRDefault="009B774A" w:rsidP="00954625">
            <w:pPr>
              <w:jc w:val="center"/>
            </w:pPr>
          </w:p>
        </w:tc>
      </w:tr>
      <w:tr w:rsidR="009B774A" w:rsidRPr="00A91896" w14:paraId="1F468E10" w14:textId="77777777" w:rsidTr="00BF6F26">
        <w:trPr>
          <w:jc w:val="center"/>
        </w:trPr>
        <w:tc>
          <w:tcPr>
            <w:tcW w:w="3635" w:type="dxa"/>
          </w:tcPr>
          <w:p w14:paraId="11D55209" w14:textId="77777777" w:rsidR="009B774A" w:rsidRPr="00BF6F26" w:rsidRDefault="009B774A" w:rsidP="001A0506">
            <w:r w:rsidRPr="00BF6F26">
              <w:t xml:space="preserve">3.3. pašvaldību budžets </w:t>
            </w:r>
          </w:p>
        </w:tc>
        <w:tc>
          <w:tcPr>
            <w:tcW w:w="1540" w:type="dxa"/>
            <w:shd w:val="clear" w:color="auto" w:fill="auto"/>
          </w:tcPr>
          <w:p w14:paraId="3FB8E788" w14:textId="77777777" w:rsidR="009B774A" w:rsidRPr="00A91896" w:rsidRDefault="009B774A" w:rsidP="001A0506">
            <w:pPr>
              <w:jc w:val="center"/>
            </w:pPr>
          </w:p>
        </w:tc>
        <w:tc>
          <w:tcPr>
            <w:tcW w:w="1388" w:type="dxa"/>
          </w:tcPr>
          <w:p w14:paraId="33971D98" w14:textId="77777777" w:rsidR="009B774A" w:rsidRPr="00A91896" w:rsidRDefault="009B774A" w:rsidP="00954625">
            <w:pPr>
              <w:jc w:val="center"/>
            </w:pPr>
          </w:p>
        </w:tc>
        <w:tc>
          <w:tcPr>
            <w:tcW w:w="1192" w:type="dxa"/>
          </w:tcPr>
          <w:p w14:paraId="47570F75" w14:textId="77777777" w:rsidR="009B774A" w:rsidRPr="00A91896" w:rsidRDefault="009B774A" w:rsidP="00954625">
            <w:pPr>
              <w:jc w:val="center"/>
            </w:pPr>
          </w:p>
        </w:tc>
        <w:tc>
          <w:tcPr>
            <w:tcW w:w="1194" w:type="dxa"/>
          </w:tcPr>
          <w:p w14:paraId="71F8E107" w14:textId="77777777" w:rsidR="009B774A" w:rsidRPr="00A91896" w:rsidRDefault="009B774A" w:rsidP="00954625">
            <w:pPr>
              <w:jc w:val="center"/>
            </w:pPr>
          </w:p>
        </w:tc>
        <w:tc>
          <w:tcPr>
            <w:tcW w:w="1260" w:type="dxa"/>
          </w:tcPr>
          <w:p w14:paraId="73DDCE77" w14:textId="77777777" w:rsidR="009B774A" w:rsidRPr="00A91896" w:rsidRDefault="009B774A" w:rsidP="00954625">
            <w:pPr>
              <w:jc w:val="center"/>
            </w:pPr>
          </w:p>
        </w:tc>
      </w:tr>
      <w:tr w:rsidR="00954625" w:rsidRPr="00A91896" w14:paraId="50793AA0" w14:textId="77777777" w:rsidTr="00BF6F26">
        <w:trPr>
          <w:jc w:val="center"/>
        </w:trPr>
        <w:tc>
          <w:tcPr>
            <w:tcW w:w="3635" w:type="dxa"/>
            <w:vMerge w:val="restart"/>
          </w:tcPr>
          <w:p w14:paraId="70C4C5C4" w14:textId="77777777" w:rsidR="00954625" w:rsidRPr="00BF6F26" w:rsidRDefault="00954625" w:rsidP="00954625">
            <w:r w:rsidRPr="00BF6F26">
              <w:t>4. Finanšu līdzekļi papildu izdevumu finansēšanai (kompensējošu izdevumu samazinājumu norāda ar "+" zīmi)</w:t>
            </w:r>
          </w:p>
        </w:tc>
        <w:tc>
          <w:tcPr>
            <w:tcW w:w="1540" w:type="dxa"/>
            <w:vMerge w:val="restart"/>
          </w:tcPr>
          <w:p w14:paraId="47E3D4C2" w14:textId="77777777" w:rsidR="00954625" w:rsidRPr="00A91896" w:rsidRDefault="00954625" w:rsidP="00954625">
            <w:pPr>
              <w:jc w:val="center"/>
              <w:rPr>
                <w:i/>
              </w:rPr>
            </w:pPr>
            <w:r w:rsidRPr="00A91896">
              <w:t>X</w:t>
            </w:r>
          </w:p>
        </w:tc>
        <w:tc>
          <w:tcPr>
            <w:tcW w:w="1388" w:type="dxa"/>
          </w:tcPr>
          <w:p w14:paraId="0A65E754" w14:textId="77777777" w:rsidR="00954625" w:rsidRDefault="00BF6F26" w:rsidP="00954625">
            <w:pPr>
              <w:jc w:val="center"/>
            </w:pPr>
            <w:r>
              <w:t xml:space="preserve"> </w:t>
            </w:r>
            <w:r w:rsidRPr="00BF6F26">
              <w:t>103 634</w:t>
            </w:r>
          </w:p>
        </w:tc>
        <w:tc>
          <w:tcPr>
            <w:tcW w:w="1192" w:type="dxa"/>
          </w:tcPr>
          <w:p w14:paraId="0268349F" w14:textId="77777777" w:rsidR="00954625" w:rsidRDefault="00BF6F26" w:rsidP="00954625">
            <w:pPr>
              <w:jc w:val="center"/>
            </w:pPr>
            <w:r w:rsidRPr="00BF6F26">
              <w:t>152 530</w:t>
            </w:r>
          </w:p>
        </w:tc>
        <w:tc>
          <w:tcPr>
            <w:tcW w:w="1194" w:type="dxa"/>
          </w:tcPr>
          <w:p w14:paraId="72B76697" w14:textId="77777777" w:rsidR="00954625" w:rsidRDefault="00BF6F26" w:rsidP="00954625">
            <w:pPr>
              <w:jc w:val="center"/>
            </w:pPr>
            <w:r w:rsidRPr="00BF6F26">
              <w:t>152 530</w:t>
            </w:r>
          </w:p>
        </w:tc>
        <w:tc>
          <w:tcPr>
            <w:tcW w:w="1260" w:type="dxa"/>
          </w:tcPr>
          <w:p w14:paraId="00E79CDB" w14:textId="77777777" w:rsidR="00954625" w:rsidRDefault="00BF6F26" w:rsidP="00954625">
            <w:pPr>
              <w:jc w:val="center"/>
            </w:pPr>
            <w:r w:rsidRPr="00BF6F26">
              <w:t>152 530</w:t>
            </w:r>
          </w:p>
        </w:tc>
      </w:tr>
      <w:tr w:rsidR="009B774A" w:rsidRPr="00A91896" w14:paraId="1C776CFD" w14:textId="77777777" w:rsidTr="00BF6F26">
        <w:trPr>
          <w:jc w:val="center"/>
        </w:trPr>
        <w:tc>
          <w:tcPr>
            <w:tcW w:w="3635" w:type="dxa"/>
            <w:vMerge/>
          </w:tcPr>
          <w:p w14:paraId="55CAE763" w14:textId="77777777" w:rsidR="009B774A" w:rsidRPr="00A91896" w:rsidRDefault="009B774A" w:rsidP="001A0506"/>
        </w:tc>
        <w:tc>
          <w:tcPr>
            <w:tcW w:w="1540" w:type="dxa"/>
            <w:vMerge/>
          </w:tcPr>
          <w:p w14:paraId="641BAF68" w14:textId="77777777" w:rsidR="009B774A" w:rsidRPr="00A91896" w:rsidRDefault="009B774A" w:rsidP="001A0506">
            <w:pPr>
              <w:jc w:val="center"/>
              <w:rPr>
                <w:i/>
              </w:rPr>
            </w:pPr>
          </w:p>
        </w:tc>
        <w:tc>
          <w:tcPr>
            <w:tcW w:w="1388" w:type="dxa"/>
          </w:tcPr>
          <w:p w14:paraId="15251EF2" w14:textId="77777777" w:rsidR="009B774A" w:rsidRPr="00A91896" w:rsidRDefault="009B774A" w:rsidP="001A0506">
            <w:pPr>
              <w:jc w:val="center"/>
            </w:pPr>
          </w:p>
        </w:tc>
        <w:tc>
          <w:tcPr>
            <w:tcW w:w="1192" w:type="dxa"/>
          </w:tcPr>
          <w:p w14:paraId="4C20EE8C" w14:textId="77777777" w:rsidR="009B774A" w:rsidRPr="00A91896" w:rsidRDefault="009B774A" w:rsidP="001A0506">
            <w:pPr>
              <w:jc w:val="center"/>
            </w:pPr>
          </w:p>
        </w:tc>
        <w:tc>
          <w:tcPr>
            <w:tcW w:w="1194" w:type="dxa"/>
          </w:tcPr>
          <w:p w14:paraId="266C5963" w14:textId="77777777" w:rsidR="009B774A" w:rsidRPr="00A91896" w:rsidRDefault="009B774A" w:rsidP="001A0506">
            <w:pPr>
              <w:jc w:val="center"/>
            </w:pPr>
          </w:p>
        </w:tc>
        <w:tc>
          <w:tcPr>
            <w:tcW w:w="1260" w:type="dxa"/>
          </w:tcPr>
          <w:p w14:paraId="25ADED5A" w14:textId="77777777" w:rsidR="009B774A" w:rsidRPr="00A91896" w:rsidRDefault="009B774A" w:rsidP="001A0506">
            <w:pPr>
              <w:jc w:val="center"/>
            </w:pPr>
          </w:p>
        </w:tc>
      </w:tr>
      <w:tr w:rsidR="009B774A" w:rsidRPr="00A91896" w14:paraId="4892A342" w14:textId="77777777" w:rsidTr="00BF6F26">
        <w:trPr>
          <w:jc w:val="center"/>
        </w:trPr>
        <w:tc>
          <w:tcPr>
            <w:tcW w:w="3635" w:type="dxa"/>
            <w:vMerge/>
          </w:tcPr>
          <w:p w14:paraId="2C9CF0D7" w14:textId="77777777" w:rsidR="009B774A" w:rsidRPr="00A91896" w:rsidRDefault="009B774A" w:rsidP="001A0506"/>
        </w:tc>
        <w:tc>
          <w:tcPr>
            <w:tcW w:w="1540" w:type="dxa"/>
            <w:vMerge/>
          </w:tcPr>
          <w:p w14:paraId="1BD03429" w14:textId="77777777" w:rsidR="009B774A" w:rsidRPr="00A91896" w:rsidRDefault="009B774A" w:rsidP="001A0506">
            <w:pPr>
              <w:jc w:val="center"/>
              <w:rPr>
                <w:i/>
              </w:rPr>
            </w:pPr>
          </w:p>
        </w:tc>
        <w:tc>
          <w:tcPr>
            <w:tcW w:w="1388" w:type="dxa"/>
          </w:tcPr>
          <w:p w14:paraId="1D6DCA62" w14:textId="77777777" w:rsidR="009B774A" w:rsidRPr="00A91896" w:rsidRDefault="009B774A" w:rsidP="001A0506">
            <w:pPr>
              <w:jc w:val="center"/>
            </w:pPr>
          </w:p>
        </w:tc>
        <w:tc>
          <w:tcPr>
            <w:tcW w:w="1192" w:type="dxa"/>
          </w:tcPr>
          <w:p w14:paraId="17F9E201" w14:textId="77777777" w:rsidR="009B774A" w:rsidRPr="00A91896" w:rsidRDefault="009B774A" w:rsidP="001A0506">
            <w:pPr>
              <w:jc w:val="center"/>
            </w:pPr>
          </w:p>
        </w:tc>
        <w:tc>
          <w:tcPr>
            <w:tcW w:w="1194" w:type="dxa"/>
          </w:tcPr>
          <w:p w14:paraId="685FF004" w14:textId="77777777" w:rsidR="009B774A" w:rsidRPr="00A91896" w:rsidRDefault="009B774A" w:rsidP="001A0506">
            <w:pPr>
              <w:jc w:val="center"/>
            </w:pPr>
          </w:p>
        </w:tc>
        <w:tc>
          <w:tcPr>
            <w:tcW w:w="1260" w:type="dxa"/>
          </w:tcPr>
          <w:p w14:paraId="4387B75F" w14:textId="77777777" w:rsidR="009B774A" w:rsidRPr="00A91896" w:rsidRDefault="009B774A" w:rsidP="001A0506">
            <w:pPr>
              <w:jc w:val="center"/>
            </w:pPr>
          </w:p>
        </w:tc>
      </w:tr>
      <w:tr w:rsidR="0060679E" w:rsidRPr="00A91896" w14:paraId="33735069" w14:textId="77777777" w:rsidTr="00BF6F26">
        <w:trPr>
          <w:jc w:val="center"/>
        </w:trPr>
        <w:tc>
          <w:tcPr>
            <w:tcW w:w="3635" w:type="dxa"/>
          </w:tcPr>
          <w:p w14:paraId="3C8DFC75" w14:textId="77777777" w:rsidR="0060679E" w:rsidRPr="00A91896" w:rsidRDefault="0060679E" w:rsidP="0060679E">
            <w:r w:rsidRPr="00A91896">
              <w:t>5. Precizēta finansiālā ietekme:</w:t>
            </w:r>
          </w:p>
        </w:tc>
        <w:tc>
          <w:tcPr>
            <w:tcW w:w="1540" w:type="dxa"/>
            <w:vMerge w:val="restart"/>
          </w:tcPr>
          <w:p w14:paraId="2E1AFA68" w14:textId="77777777" w:rsidR="0060679E" w:rsidRPr="00A91896" w:rsidRDefault="0060679E" w:rsidP="0060679E">
            <w:pPr>
              <w:jc w:val="center"/>
              <w:rPr>
                <w:i/>
              </w:rPr>
            </w:pPr>
            <w:r w:rsidRPr="00A91896">
              <w:t>X</w:t>
            </w:r>
          </w:p>
        </w:tc>
        <w:tc>
          <w:tcPr>
            <w:tcW w:w="1388" w:type="dxa"/>
          </w:tcPr>
          <w:p w14:paraId="5C0542D1" w14:textId="77777777" w:rsidR="0060679E" w:rsidRPr="00A91896" w:rsidRDefault="0060679E" w:rsidP="0060679E">
            <w:pPr>
              <w:jc w:val="center"/>
              <w:rPr>
                <w:b/>
              </w:rPr>
            </w:pPr>
            <w:r w:rsidRPr="00A91896">
              <w:rPr>
                <w:b/>
              </w:rPr>
              <w:t>0</w:t>
            </w:r>
          </w:p>
        </w:tc>
        <w:tc>
          <w:tcPr>
            <w:tcW w:w="1192" w:type="dxa"/>
          </w:tcPr>
          <w:p w14:paraId="50E1405D" w14:textId="77777777" w:rsidR="0060679E" w:rsidRPr="00A91896" w:rsidRDefault="0060679E" w:rsidP="0060679E">
            <w:pPr>
              <w:jc w:val="center"/>
              <w:rPr>
                <w:b/>
              </w:rPr>
            </w:pPr>
            <w:r w:rsidRPr="00A91896">
              <w:rPr>
                <w:b/>
              </w:rPr>
              <w:t>0</w:t>
            </w:r>
          </w:p>
        </w:tc>
        <w:tc>
          <w:tcPr>
            <w:tcW w:w="1194" w:type="dxa"/>
          </w:tcPr>
          <w:p w14:paraId="6C6F13F6" w14:textId="77777777" w:rsidR="0060679E" w:rsidRPr="00A91896" w:rsidRDefault="0060679E" w:rsidP="0060679E">
            <w:pPr>
              <w:jc w:val="center"/>
              <w:rPr>
                <w:b/>
              </w:rPr>
            </w:pPr>
            <w:r w:rsidRPr="00A91896">
              <w:rPr>
                <w:b/>
              </w:rPr>
              <w:t>0</w:t>
            </w:r>
          </w:p>
        </w:tc>
        <w:tc>
          <w:tcPr>
            <w:tcW w:w="1260" w:type="dxa"/>
          </w:tcPr>
          <w:p w14:paraId="7C5DBEF2" w14:textId="77777777" w:rsidR="0060679E" w:rsidRPr="00A91896" w:rsidRDefault="0060679E" w:rsidP="0060679E">
            <w:pPr>
              <w:jc w:val="center"/>
              <w:rPr>
                <w:b/>
              </w:rPr>
            </w:pPr>
            <w:r w:rsidRPr="00A91896">
              <w:rPr>
                <w:b/>
              </w:rPr>
              <w:t>0</w:t>
            </w:r>
          </w:p>
        </w:tc>
      </w:tr>
      <w:tr w:rsidR="0060679E" w:rsidRPr="00A91896" w14:paraId="1F7E01B7" w14:textId="77777777" w:rsidTr="00BF6F26">
        <w:trPr>
          <w:jc w:val="center"/>
        </w:trPr>
        <w:tc>
          <w:tcPr>
            <w:tcW w:w="3635" w:type="dxa"/>
          </w:tcPr>
          <w:p w14:paraId="69E0A7C8" w14:textId="77777777" w:rsidR="0060679E" w:rsidRPr="00A91896" w:rsidRDefault="0060679E" w:rsidP="0060679E">
            <w:r w:rsidRPr="00A91896">
              <w:t>5.1. valsts pamatbudžets</w:t>
            </w:r>
          </w:p>
        </w:tc>
        <w:tc>
          <w:tcPr>
            <w:tcW w:w="1540" w:type="dxa"/>
            <w:vMerge/>
            <w:vAlign w:val="center"/>
          </w:tcPr>
          <w:p w14:paraId="6A91831D" w14:textId="77777777" w:rsidR="0060679E" w:rsidRPr="00A91896" w:rsidRDefault="0060679E" w:rsidP="0060679E">
            <w:pPr>
              <w:jc w:val="center"/>
              <w:rPr>
                <w:i/>
              </w:rPr>
            </w:pPr>
          </w:p>
        </w:tc>
        <w:tc>
          <w:tcPr>
            <w:tcW w:w="1388" w:type="dxa"/>
          </w:tcPr>
          <w:p w14:paraId="6B5FD91B" w14:textId="77777777" w:rsidR="0060679E" w:rsidRPr="00A91896" w:rsidRDefault="0060679E" w:rsidP="0060679E">
            <w:pPr>
              <w:jc w:val="center"/>
              <w:rPr>
                <w:i/>
              </w:rPr>
            </w:pPr>
            <w:r w:rsidRPr="00A91896">
              <w:rPr>
                <w:i/>
              </w:rPr>
              <w:t>0</w:t>
            </w:r>
          </w:p>
        </w:tc>
        <w:tc>
          <w:tcPr>
            <w:tcW w:w="1192" w:type="dxa"/>
          </w:tcPr>
          <w:p w14:paraId="5718DE63" w14:textId="77777777" w:rsidR="0060679E" w:rsidRPr="00A91896" w:rsidRDefault="0060679E" w:rsidP="0060679E">
            <w:pPr>
              <w:jc w:val="center"/>
              <w:rPr>
                <w:i/>
              </w:rPr>
            </w:pPr>
            <w:r w:rsidRPr="00A91896">
              <w:rPr>
                <w:i/>
              </w:rPr>
              <w:t>0</w:t>
            </w:r>
          </w:p>
        </w:tc>
        <w:tc>
          <w:tcPr>
            <w:tcW w:w="1194" w:type="dxa"/>
          </w:tcPr>
          <w:p w14:paraId="70186649" w14:textId="77777777" w:rsidR="0060679E" w:rsidRPr="00A91896" w:rsidRDefault="0060679E" w:rsidP="0060679E">
            <w:pPr>
              <w:jc w:val="center"/>
              <w:rPr>
                <w:i/>
              </w:rPr>
            </w:pPr>
            <w:r w:rsidRPr="00A91896">
              <w:rPr>
                <w:i/>
              </w:rPr>
              <w:t>0</w:t>
            </w:r>
          </w:p>
        </w:tc>
        <w:tc>
          <w:tcPr>
            <w:tcW w:w="1260" w:type="dxa"/>
          </w:tcPr>
          <w:p w14:paraId="7318F50E" w14:textId="77777777" w:rsidR="0060679E" w:rsidRPr="00A91896" w:rsidRDefault="0060679E" w:rsidP="0060679E">
            <w:pPr>
              <w:jc w:val="center"/>
              <w:rPr>
                <w:i/>
              </w:rPr>
            </w:pPr>
            <w:r w:rsidRPr="00A91896">
              <w:rPr>
                <w:i/>
              </w:rPr>
              <w:t>0</w:t>
            </w:r>
          </w:p>
        </w:tc>
      </w:tr>
      <w:tr w:rsidR="009B774A" w:rsidRPr="00A91896" w14:paraId="2AB0AD0F" w14:textId="77777777" w:rsidTr="00BF6F26">
        <w:trPr>
          <w:jc w:val="center"/>
        </w:trPr>
        <w:tc>
          <w:tcPr>
            <w:tcW w:w="3635" w:type="dxa"/>
          </w:tcPr>
          <w:p w14:paraId="4014850C" w14:textId="77777777" w:rsidR="009B774A" w:rsidRPr="00A91896" w:rsidRDefault="009B774A" w:rsidP="001A0506">
            <w:r w:rsidRPr="00A91896">
              <w:t>5.2. speciālais budžets</w:t>
            </w:r>
          </w:p>
        </w:tc>
        <w:tc>
          <w:tcPr>
            <w:tcW w:w="1540" w:type="dxa"/>
            <w:vMerge/>
            <w:vAlign w:val="center"/>
          </w:tcPr>
          <w:p w14:paraId="6E4106B5" w14:textId="77777777" w:rsidR="009B774A" w:rsidRPr="00A91896" w:rsidRDefault="009B774A" w:rsidP="001A0506">
            <w:pPr>
              <w:jc w:val="center"/>
              <w:rPr>
                <w:i/>
              </w:rPr>
            </w:pPr>
          </w:p>
        </w:tc>
        <w:tc>
          <w:tcPr>
            <w:tcW w:w="1388" w:type="dxa"/>
          </w:tcPr>
          <w:p w14:paraId="4FAB366E" w14:textId="77777777" w:rsidR="009B774A" w:rsidRPr="00A91896" w:rsidRDefault="009B774A" w:rsidP="001A0506">
            <w:pPr>
              <w:jc w:val="center"/>
            </w:pPr>
          </w:p>
        </w:tc>
        <w:tc>
          <w:tcPr>
            <w:tcW w:w="1192" w:type="dxa"/>
          </w:tcPr>
          <w:p w14:paraId="7653EA5B" w14:textId="77777777" w:rsidR="009B774A" w:rsidRPr="00A91896" w:rsidRDefault="009B774A" w:rsidP="001A0506">
            <w:pPr>
              <w:jc w:val="center"/>
            </w:pPr>
          </w:p>
        </w:tc>
        <w:tc>
          <w:tcPr>
            <w:tcW w:w="1194" w:type="dxa"/>
          </w:tcPr>
          <w:p w14:paraId="0C52A171" w14:textId="77777777" w:rsidR="009B774A" w:rsidRPr="00A91896" w:rsidRDefault="009B774A" w:rsidP="001A0506">
            <w:pPr>
              <w:jc w:val="center"/>
            </w:pPr>
          </w:p>
        </w:tc>
        <w:tc>
          <w:tcPr>
            <w:tcW w:w="1260" w:type="dxa"/>
          </w:tcPr>
          <w:p w14:paraId="5908339B" w14:textId="77777777" w:rsidR="009B774A" w:rsidRPr="00A91896" w:rsidRDefault="009B774A" w:rsidP="001A0506">
            <w:pPr>
              <w:jc w:val="center"/>
            </w:pPr>
          </w:p>
        </w:tc>
      </w:tr>
      <w:tr w:rsidR="009B774A" w:rsidRPr="00A91896" w14:paraId="16F01226" w14:textId="77777777" w:rsidTr="00BF6F26">
        <w:trPr>
          <w:jc w:val="center"/>
        </w:trPr>
        <w:tc>
          <w:tcPr>
            <w:tcW w:w="3635" w:type="dxa"/>
          </w:tcPr>
          <w:p w14:paraId="56EBD391" w14:textId="77777777" w:rsidR="009B774A" w:rsidRPr="00A91896" w:rsidRDefault="009B774A" w:rsidP="001A0506">
            <w:r w:rsidRPr="00A91896">
              <w:t xml:space="preserve">5.3. pašvaldību budžets </w:t>
            </w:r>
          </w:p>
        </w:tc>
        <w:tc>
          <w:tcPr>
            <w:tcW w:w="1540" w:type="dxa"/>
            <w:vMerge/>
            <w:vAlign w:val="center"/>
          </w:tcPr>
          <w:p w14:paraId="30204794" w14:textId="77777777" w:rsidR="009B774A" w:rsidRPr="00A91896" w:rsidRDefault="009B774A" w:rsidP="001A0506">
            <w:pPr>
              <w:jc w:val="center"/>
              <w:rPr>
                <w:i/>
              </w:rPr>
            </w:pPr>
          </w:p>
        </w:tc>
        <w:tc>
          <w:tcPr>
            <w:tcW w:w="1388" w:type="dxa"/>
          </w:tcPr>
          <w:p w14:paraId="6166D3CD" w14:textId="77777777" w:rsidR="009B774A" w:rsidRPr="00A91896" w:rsidRDefault="009B774A" w:rsidP="001A0506">
            <w:pPr>
              <w:jc w:val="center"/>
            </w:pPr>
          </w:p>
        </w:tc>
        <w:tc>
          <w:tcPr>
            <w:tcW w:w="1192" w:type="dxa"/>
          </w:tcPr>
          <w:p w14:paraId="40D853E9" w14:textId="77777777" w:rsidR="009B774A" w:rsidRPr="00A91896" w:rsidRDefault="009B774A" w:rsidP="001A0506">
            <w:pPr>
              <w:jc w:val="center"/>
            </w:pPr>
          </w:p>
        </w:tc>
        <w:tc>
          <w:tcPr>
            <w:tcW w:w="1194" w:type="dxa"/>
          </w:tcPr>
          <w:p w14:paraId="4617F5D3" w14:textId="77777777" w:rsidR="009B774A" w:rsidRPr="00A91896" w:rsidRDefault="009B774A" w:rsidP="001A0506">
            <w:pPr>
              <w:jc w:val="center"/>
            </w:pPr>
          </w:p>
        </w:tc>
        <w:tc>
          <w:tcPr>
            <w:tcW w:w="1260" w:type="dxa"/>
          </w:tcPr>
          <w:p w14:paraId="203E73E0" w14:textId="77777777" w:rsidR="009B774A" w:rsidRPr="00A91896" w:rsidRDefault="009B774A" w:rsidP="001A0506">
            <w:pPr>
              <w:jc w:val="center"/>
            </w:pPr>
          </w:p>
        </w:tc>
      </w:tr>
      <w:tr w:rsidR="009B774A" w:rsidRPr="00A91896" w14:paraId="69E2F881" w14:textId="77777777" w:rsidTr="00BF6F26">
        <w:trPr>
          <w:jc w:val="center"/>
        </w:trPr>
        <w:tc>
          <w:tcPr>
            <w:tcW w:w="3635" w:type="dxa"/>
          </w:tcPr>
          <w:p w14:paraId="12F4F102" w14:textId="77777777" w:rsidR="009B774A" w:rsidRPr="00A91896" w:rsidRDefault="009B774A" w:rsidP="001A0506">
            <w:r w:rsidRPr="00A91896">
              <w:t>6. Detalizēts ieņēmumu un izdevumu aprēķins (ja nepie</w:t>
            </w:r>
            <w:r w:rsidRPr="00A91896">
              <w:softHyphen/>
              <w:t>ciešams, detalizētu ieņēmumu un izdevumu aprēķinu var pie</w:t>
            </w:r>
            <w:r w:rsidRPr="00A91896">
              <w:softHyphen/>
              <w:t>vienot anotācijas pielikumā):</w:t>
            </w:r>
          </w:p>
        </w:tc>
        <w:tc>
          <w:tcPr>
            <w:tcW w:w="6574" w:type="dxa"/>
            <w:gridSpan w:val="5"/>
            <w:vMerge w:val="restart"/>
            <w:shd w:val="clear" w:color="auto" w:fill="auto"/>
          </w:tcPr>
          <w:p w14:paraId="59CE8BDA" w14:textId="68E28C54" w:rsidR="005D5AF5" w:rsidRDefault="005D5AF5" w:rsidP="005D5AF5">
            <w:pPr>
              <w:jc w:val="both"/>
            </w:pPr>
            <w:r>
              <w:t>Ievērojot 2014.gada 7.oktobrī izveidoto GEANT tīkla asociāciju, dalības maks</w:t>
            </w:r>
            <w:r w:rsidR="00760F36">
              <w:t>u</w:t>
            </w:r>
            <w:r>
              <w:t xml:space="preserve"> GEANT tīklā 2015.gadā veido trīs sastāvdaļas:</w:t>
            </w:r>
          </w:p>
          <w:p w14:paraId="63D817E3" w14:textId="4C618C21" w:rsidR="005D5AF5" w:rsidRDefault="005D5AF5" w:rsidP="005D5AF5">
            <w:pPr>
              <w:jc w:val="both"/>
            </w:pPr>
            <w:r>
              <w:t>1)</w:t>
            </w:r>
            <w:r>
              <w:tab/>
              <w:t xml:space="preserve">dalības maksa GEANT tīkla asociācijā par 2015.gadu ir 5 302 </w:t>
            </w:r>
            <w:proofErr w:type="spellStart"/>
            <w:r w:rsidRPr="009A375F">
              <w:rPr>
                <w:i/>
              </w:rPr>
              <w:t>euro</w:t>
            </w:r>
            <w:proofErr w:type="spellEnd"/>
            <w:r>
              <w:t>. Dalības maksa sedz GEANT tīkla asociācijas izdevumus un nodrošina iespēju tās biedriem piedalīties GEANT tīkla asociācijas</w:t>
            </w:r>
            <w:r w:rsidR="005F3810">
              <w:t xml:space="preserve"> Ģenerālās asamblejas sanāksmēs.</w:t>
            </w:r>
            <w:r>
              <w:t xml:space="preserve"> </w:t>
            </w:r>
            <w:r w:rsidR="005F3810">
              <w:t xml:space="preserve">Dalības maksa </w:t>
            </w:r>
            <w:r w:rsidR="005F3810" w:rsidRPr="005F3810">
              <w:t>GEANT tīkla asociācij</w:t>
            </w:r>
            <w:r w:rsidR="00BD6B9B">
              <w:t>ā</w:t>
            </w:r>
            <w:r w:rsidR="005F3810">
              <w:t xml:space="preserve"> </w:t>
            </w:r>
            <w:r w:rsidR="00954625">
              <w:t>turpmākajos</w:t>
            </w:r>
            <w:r w:rsidR="005F3810">
              <w:t xml:space="preserve"> gados nav vēl noteikta, bet indikat</w:t>
            </w:r>
            <w:r w:rsidR="00954625">
              <w:t>īvi paredzams, ka</w:t>
            </w:r>
            <w:r w:rsidR="005F3810">
              <w:t xml:space="preserve"> tā nepārsniegs 2015</w:t>
            </w:r>
            <w:r w:rsidR="00954625">
              <w:t>.gada maksu.</w:t>
            </w:r>
            <w:r w:rsidR="00864AD2">
              <w:t xml:space="preserve"> </w:t>
            </w:r>
            <w:r w:rsidR="00864AD2" w:rsidRPr="00864AD2">
              <w:t>Nav iespējama dalība GEANT tīklā neiesaistoties GEANT tīkla asociācijā</w:t>
            </w:r>
            <w:r w:rsidR="00BD6B9B">
              <w:t>;</w:t>
            </w:r>
          </w:p>
          <w:p w14:paraId="74195CAB" w14:textId="77777777" w:rsidR="00864AD2" w:rsidRDefault="00864AD2" w:rsidP="005D5AF5">
            <w:pPr>
              <w:jc w:val="both"/>
            </w:pPr>
          </w:p>
          <w:p w14:paraId="0C04F9F8" w14:textId="3187576B" w:rsidR="005D5AF5" w:rsidRDefault="005D5AF5" w:rsidP="005D5AF5">
            <w:pPr>
              <w:jc w:val="both"/>
            </w:pPr>
            <w:r>
              <w:t>2)</w:t>
            </w:r>
            <w:r>
              <w:tab/>
              <w:t>dalības maksa GN4 projektā par 2015.gadu (</w:t>
            </w:r>
            <w:r w:rsidR="004C3AF5">
              <w:t>n</w:t>
            </w:r>
            <w:r>
              <w:t xml:space="preserve">o 2015.gada 1.maija </w:t>
            </w:r>
            <w:r w:rsidR="004C3AF5">
              <w:t>līdz</w:t>
            </w:r>
            <w:r>
              <w:t xml:space="preserve"> 2015.gada 31.decembrim), kas vienlaikus nodrošina </w:t>
            </w:r>
            <w:proofErr w:type="spellStart"/>
            <w:r>
              <w:t>pieslēgumu</w:t>
            </w:r>
            <w:proofErr w:type="spellEnd"/>
            <w:r>
              <w:t xml:space="preserve"> GEANT tīkl</w:t>
            </w:r>
            <w:r w:rsidR="005F3810">
              <w:t>am</w:t>
            </w:r>
            <w:r w:rsidR="00864AD2">
              <w:t>,</w:t>
            </w:r>
            <w:r w:rsidR="005F3810">
              <w:t xml:space="preserve"> ir 98 332</w:t>
            </w:r>
            <w:r>
              <w:t xml:space="preserve"> </w:t>
            </w:r>
            <w:proofErr w:type="spellStart"/>
            <w:r w:rsidR="005F3810" w:rsidRPr="009A375F">
              <w:rPr>
                <w:i/>
              </w:rPr>
              <w:t>euro</w:t>
            </w:r>
            <w:proofErr w:type="spellEnd"/>
            <w:r w:rsidR="005F3810">
              <w:t xml:space="preserve"> apmērā (t.sk. PVN 26 474</w:t>
            </w:r>
            <w:r w:rsidR="005F3810">
              <w:rPr>
                <w:rStyle w:val="FootnoteReference"/>
              </w:rPr>
              <w:footnoteReference w:id="7"/>
            </w:r>
            <w:r>
              <w:t xml:space="preserve"> </w:t>
            </w:r>
            <w:proofErr w:type="spellStart"/>
            <w:r w:rsidRPr="009A375F">
              <w:rPr>
                <w:i/>
              </w:rPr>
              <w:t>euro</w:t>
            </w:r>
            <w:proofErr w:type="spellEnd"/>
            <w:r>
              <w:t>). Saskaņā ar GEANT tīkla amatpersonu sniegto informāciju 2015.gadā mēneša maksa Latvijai GN4 projektā pirms Eiropas Komisijas subsīdijas par GEAN</w:t>
            </w:r>
            <w:r w:rsidR="00864AD2">
              <w:t>T tīkla uzturēšanu ir</w:t>
            </w:r>
            <w:r w:rsidR="005B6625">
              <w:t xml:space="preserve"> 15 758 </w:t>
            </w:r>
            <w:proofErr w:type="spellStart"/>
            <w:r w:rsidRPr="005B6625">
              <w:rPr>
                <w:i/>
              </w:rPr>
              <w:t>euro</w:t>
            </w:r>
            <w:proofErr w:type="spellEnd"/>
            <w:r>
              <w:t xml:space="preserve">, Latvijas līdzfinansējums veidojas 57% no iepriekšminētās summas, kas sastāda 8 982,25 </w:t>
            </w:r>
            <w:proofErr w:type="spellStart"/>
            <w:r w:rsidRPr="006C4CF8">
              <w:rPr>
                <w:i/>
              </w:rPr>
              <w:t>euro</w:t>
            </w:r>
            <w:proofErr w:type="spellEnd"/>
            <w:r>
              <w:t>, neieskaitot PVN.</w:t>
            </w:r>
            <w:r w:rsidR="005F3810">
              <w:t xml:space="preserve"> Paredzams, ka arī nākamajos gados </w:t>
            </w:r>
            <w:r w:rsidR="005F3810" w:rsidRPr="005F3810">
              <w:t>dalības maksa GN4 projektā</w:t>
            </w:r>
            <w:r w:rsidR="006C4CF8">
              <w:t xml:space="preserve"> nepārsniegs </w:t>
            </w:r>
            <w:r w:rsidR="006C4CF8" w:rsidRPr="006C4CF8">
              <w:t xml:space="preserve">8 982,25 </w:t>
            </w:r>
            <w:proofErr w:type="spellStart"/>
            <w:r w:rsidR="006C4CF8" w:rsidRPr="009A375F">
              <w:rPr>
                <w:i/>
              </w:rPr>
              <w:t>euro</w:t>
            </w:r>
            <w:proofErr w:type="spellEnd"/>
            <w:r w:rsidR="006C4CF8">
              <w:t xml:space="preserve"> mēnes</w:t>
            </w:r>
            <w:r w:rsidR="000F3783">
              <w:t>ī</w:t>
            </w:r>
            <w:r w:rsidR="006C4CF8">
              <w:t xml:space="preserve"> jeb 107 787 </w:t>
            </w:r>
            <w:proofErr w:type="spellStart"/>
            <w:r w:rsidR="006C4CF8" w:rsidRPr="005B6625">
              <w:rPr>
                <w:i/>
              </w:rPr>
              <w:t>euro</w:t>
            </w:r>
            <w:proofErr w:type="spellEnd"/>
            <w:r w:rsidR="005B6625">
              <w:t xml:space="preserve"> gadā</w:t>
            </w:r>
            <w:r w:rsidR="006C4CF8">
              <w:t xml:space="preserve">, bez PVN. </w:t>
            </w:r>
          </w:p>
          <w:p w14:paraId="35F65DA9" w14:textId="3B287C69" w:rsidR="005D5AF5" w:rsidRDefault="005D5AF5" w:rsidP="005D5AF5">
            <w:pPr>
              <w:jc w:val="both"/>
            </w:pPr>
            <w:r>
              <w:t xml:space="preserve">Eiropas Komisija sedz 43 procentus no GEANT tīkla uzturēšanas izmaksām, bet atlikušos 57 procentus līdzfinansē GEANT tīkla </w:t>
            </w:r>
            <w:proofErr w:type="spellStart"/>
            <w:r>
              <w:t>pieslēguma</w:t>
            </w:r>
            <w:proofErr w:type="spellEnd"/>
            <w:r>
              <w:t xml:space="preserve"> dalībvalstis. GEANT tīkla pārvalde vienojas par veidu, kā sadalīt GEANT tīkla veidošanas un uzturēšanas izmaksas GEANT tīkla biedru starpā. Izmaksu sadalījuma modelis (</w:t>
            </w:r>
            <w:proofErr w:type="spellStart"/>
            <w:r w:rsidRPr="002B1825">
              <w:rPr>
                <w:i/>
              </w:rPr>
              <w:t>cost-</w:t>
            </w:r>
            <w:r w:rsidRPr="002B1825">
              <w:rPr>
                <w:i/>
              </w:rPr>
              <w:lastRenderedPageBreak/>
              <w:t>sharing</w:t>
            </w:r>
            <w:proofErr w:type="spellEnd"/>
            <w:r w:rsidRPr="002B1825">
              <w:rPr>
                <w:i/>
              </w:rPr>
              <w:t xml:space="preserve"> </w:t>
            </w:r>
            <w:proofErr w:type="spellStart"/>
            <w:r w:rsidRPr="002B1825">
              <w:rPr>
                <w:i/>
              </w:rPr>
              <w:t>model</w:t>
            </w:r>
            <w:proofErr w:type="spellEnd"/>
            <w:r>
              <w:t>) veidots tā, lai valstis varētu piedalīties GEANT tīklā, kā arī lai mazinātu digitālo plaisu un nodrošinātu taisnīgumu, ņemot vērā dažādos lokālos, ta</w:t>
            </w:r>
            <w:r w:rsidR="006C4CF8">
              <w:t>jā skaitā ekonomiskos</w:t>
            </w:r>
            <w:r w:rsidR="000F3783">
              <w:t>,</w:t>
            </w:r>
            <w:r w:rsidR="006C4CF8">
              <w:t xml:space="preserve"> apstākļus. Dalības maks</w:t>
            </w:r>
            <w:r w:rsidR="000F3783">
              <w:t>u</w:t>
            </w:r>
            <w:r w:rsidR="006C4CF8">
              <w:t xml:space="preserve"> GN4 projektā GEANT tīkla konsorcijs nosaka katru gadu no jau</w:t>
            </w:r>
            <w:r w:rsidR="007E3B5B">
              <w:t>na nākamajam kalendārajam gadam, nosūtot reizi ceturksnī rēķinu par nākamo ceturksni</w:t>
            </w:r>
            <w:r w:rsidR="000F3783">
              <w:t>;</w:t>
            </w:r>
          </w:p>
          <w:p w14:paraId="4773E992" w14:textId="77777777" w:rsidR="006C4CF8" w:rsidRDefault="006C4CF8" w:rsidP="005D5AF5">
            <w:pPr>
              <w:jc w:val="both"/>
            </w:pPr>
          </w:p>
          <w:p w14:paraId="44D46353" w14:textId="33368F99" w:rsidR="005D5AF5" w:rsidRDefault="005D5AF5" w:rsidP="005D5AF5">
            <w:pPr>
              <w:jc w:val="both"/>
            </w:pPr>
            <w:r>
              <w:t>3)</w:t>
            </w:r>
            <w:r>
              <w:tab/>
              <w:t xml:space="preserve">maksa par GEANT DWS internetu, kas laika posmā no 2015.gada 1.maija līdz 2015.gada 31.decembrim sastāda </w:t>
            </w:r>
            <w:r w:rsidR="00607D79">
              <w:t>5 760</w:t>
            </w:r>
            <w:r>
              <w:t xml:space="preserve"> </w:t>
            </w:r>
            <w:proofErr w:type="spellStart"/>
            <w:r w:rsidRPr="009A375F">
              <w:rPr>
                <w:i/>
              </w:rPr>
              <w:t>euro</w:t>
            </w:r>
            <w:proofErr w:type="spellEnd"/>
            <w:r>
              <w:t xml:space="preserve"> (t.sk. PVN 1 209,6 </w:t>
            </w:r>
            <w:proofErr w:type="spellStart"/>
            <w:r w:rsidRPr="009A375F">
              <w:rPr>
                <w:i/>
              </w:rPr>
              <w:t>euro</w:t>
            </w:r>
            <w:proofErr w:type="spellEnd"/>
            <w:r>
              <w:t xml:space="preserve">). Mēneša maksa par Latvijas izvēlēto GEANT DWS interneta apjomu 600 </w:t>
            </w:r>
            <w:proofErr w:type="spellStart"/>
            <w:r>
              <w:t>Mbps</w:t>
            </w:r>
            <w:proofErr w:type="spellEnd"/>
            <w:r>
              <w:t xml:space="preserve"> sastāda 720 </w:t>
            </w:r>
            <w:proofErr w:type="spellStart"/>
            <w:r w:rsidRPr="009A375F">
              <w:rPr>
                <w:i/>
              </w:rPr>
              <w:t>euro</w:t>
            </w:r>
            <w:proofErr w:type="spellEnd"/>
            <w:r>
              <w:t>, neieskaitot PVN. Ņemot vērā Latvijas Akadēmiskā tīkla darbības uzsākšanu no 2015.gada 31.augusta, tās sadarbības partneriem (</w:t>
            </w:r>
            <w:r w:rsidR="006C4CF8">
              <w:t>rīkojuma</w:t>
            </w:r>
            <w:r w:rsidR="001B797B">
              <w:t xml:space="preserve"> projekta</w:t>
            </w:r>
            <w:r>
              <w:t xml:space="preserve"> 1.pielikums) tiks nodrošināta koplietošanas piekļuve internetam, kas nozīmē, ka no 2015.gada 31.augusta GEANT DWS internets nebūs nepieciešams Latvijas Akadēmiskā tīkla sadarbības partneriem. Vienlaikus izvērtējams ir jautājums par GEANT DWS interneta nodrošināšanu līdz 2015.gada beigām tām institūcijām, kuras to šobrīd izmanto, bet nav Akadēmiskā tīkla sadarbības partneri.</w:t>
            </w:r>
          </w:p>
          <w:p w14:paraId="22F34677" w14:textId="77777777" w:rsidR="00372ABF" w:rsidRPr="00A91896" w:rsidRDefault="005D5AF5" w:rsidP="005D5AF5">
            <w:pPr>
              <w:jc w:val="both"/>
            </w:pPr>
            <w:r>
              <w:t>Paredzams, ka nākotnē dalības maksa GEANT tīkla asociācijā un GEANT tīkla projektos tiks apvienota vienā maksājumā.</w:t>
            </w:r>
          </w:p>
        </w:tc>
      </w:tr>
      <w:tr w:rsidR="009B774A" w:rsidRPr="00A91896" w14:paraId="5AAFFA00" w14:textId="77777777" w:rsidTr="00BF6F26">
        <w:trPr>
          <w:jc w:val="center"/>
        </w:trPr>
        <w:tc>
          <w:tcPr>
            <w:tcW w:w="3635" w:type="dxa"/>
          </w:tcPr>
          <w:p w14:paraId="43644C52" w14:textId="77777777" w:rsidR="009B774A" w:rsidRPr="00A91896" w:rsidRDefault="009B774A" w:rsidP="001A0506">
            <w:r w:rsidRPr="00A91896">
              <w:t>6.1. detalizēts ieņēmumu aprēķins</w:t>
            </w:r>
          </w:p>
        </w:tc>
        <w:tc>
          <w:tcPr>
            <w:tcW w:w="6574" w:type="dxa"/>
            <w:gridSpan w:val="5"/>
            <w:vMerge/>
            <w:shd w:val="clear" w:color="auto" w:fill="auto"/>
          </w:tcPr>
          <w:p w14:paraId="79D0CF5C" w14:textId="77777777" w:rsidR="009B774A" w:rsidRPr="00A91896" w:rsidRDefault="009B774A" w:rsidP="001A0506">
            <w:pPr>
              <w:rPr>
                <w:b/>
                <w:i/>
              </w:rPr>
            </w:pPr>
          </w:p>
        </w:tc>
      </w:tr>
      <w:tr w:rsidR="009B774A" w:rsidRPr="00A91896" w14:paraId="5D6B33A0" w14:textId="77777777" w:rsidTr="00BF6F26">
        <w:trPr>
          <w:jc w:val="center"/>
        </w:trPr>
        <w:tc>
          <w:tcPr>
            <w:tcW w:w="3635" w:type="dxa"/>
          </w:tcPr>
          <w:p w14:paraId="2C16BC53" w14:textId="77777777" w:rsidR="009B774A" w:rsidRPr="00A91896" w:rsidRDefault="009B774A" w:rsidP="001A0506">
            <w:r w:rsidRPr="00A91896">
              <w:t>6.2. detalizēts izdevumu aprēķins</w:t>
            </w:r>
          </w:p>
        </w:tc>
        <w:tc>
          <w:tcPr>
            <w:tcW w:w="6574" w:type="dxa"/>
            <w:gridSpan w:val="5"/>
            <w:vMerge/>
            <w:shd w:val="clear" w:color="auto" w:fill="auto"/>
          </w:tcPr>
          <w:p w14:paraId="7F438C52" w14:textId="77777777" w:rsidR="009B774A" w:rsidRPr="00A91896" w:rsidRDefault="009B774A" w:rsidP="001A0506">
            <w:pPr>
              <w:rPr>
                <w:b/>
                <w:i/>
              </w:rPr>
            </w:pPr>
          </w:p>
        </w:tc>
      </w:tr>
      <w:tr w:rsidR="009B774A" w:rsidRPr="00A91896" w14:paraId="497CF280" w14:textId="77777777" w:rsidTr="00BF6F26">
        <w:trPr>
          <w:trHeight w:val="399"/>
          <w:jc w:val="center"/>
        </w:trPr>
        <w:tc>
          <w:tcPr>
            <w:tcW w:w="3635" w:type="dxa"/>
          </w:tcPr>
          <w:p w14:paraId="74A87B7B" w14:textId="77777777" w:rsidR="009B774A" w:rsidRPr="00A91896" w:rsidRDefault="009B774A" w:rsidP="001A0506">
            <w:r w:rsidRPr="00A91896">
              <w:lastRenderedPageBreak/>
              <w:t>7. Cita informācija</w:t>
            </w:r>
          </w:p>
        </w:tc>
        <w:tc>
          <w:tcPr>
            <w:tcW w:w="6574" w:type="dxa"/>
            <w:gridSpan w:val="5"/>
            <w:shd w:val="clear" w:color="auto" w:fill="auto"/>
          </w:tcPr>
          <w:p w14:paraId="7E960F45" w14:textId="72D94C61" w:rsidR="005E166F" w:rsidRDefault="005E166F" w:rsidP="006B0686">
            <w:pPr>
              <w:tabs>
                <w:tab w:val="left" w:pos="1901"/>
              </w:tabs>
              <w:jc w:val="both"/>
            </w:pPr>
            <w:r w:rsidRPr="00A91896">
              <w:t xml:space="preserve"> </w:t>
            </w:r>
            <w:r w:rsidR="006B0686" w:rsidRPr="006B0686">
              <w:t xml:space="preserve">Izglītības un zinātnes ministrijai, pamatojoties uz Ministru kabineta 2010.gada 18.maija noteikumiem Nr.464 "Noteikumi par 74.resora "Gadskārtējā valsts budžeta izpildes procesā pārdalāmais finansējums" 80.00.00 programmā plānoto līdzekļu pārdales kārtību Eiropas Savienības politiku instrumentu un pārējās ārvalstu finanšu palīdzības līdzfinansēto projektu un </w:t>
            </w:r>
            <w:r w:rsidR="006B0686">
              <w:t>pasākumu īstenošanai", sagatavos un iesniegs</w:t>
            </w:r>
            <w:r w:rsidR="006B0686" w:rsidRPr="006B0686">
              <w:t xml:space="preserve"> Finanšu ministrijā pieprasīju</w:t>
            </w:r>
            <w:r w:rsidR="006B0686">
              <w:t>mu par nepieciešamo finansējumu</w:t>
            </w:r>
            <w:r w:rsidR="00EB6B6E">
              <w:t xml:space="preserve"> </w:t>
            </w:r>
            <w:r w:rsidR="0076629B">
              <w:t>–</w:t>
            </w:r>
            <w:r w:rsidR="006B0686">
              <w:t xml:space="preserve"> </w:t>
            </w:r>
            <w:r w:rsidR="00EB6B6E" w:rsidRPr="00EB6B6E">
              <w:t xml:space="preserve">2015.gadā 103 634 </w:t>
            </w:r>
            <w:proofErr w:type="spellStart"/>
            <w:r w:rsidR="00EB6B6E" w:rsidRPr="00EB6B6E">
              <w:rPr>
                <w:i/>
              </w:rPr>
              <w:t>euro</w:t>
            </w:r>
            <w:proofErr w:type="spellEnd"/>
            <w:r w:rsidR="00EB6B6E" w:rsidRPr="00EB6B6E">
              <w:t xml:space="preserve"> (tajā skaitā PVN 26 474 </w:t>
            </w:r>
            <w:proofErr w:type="spellStart"/>
            <w:r w:rsidR="00EB6B6E" w:rsidRPr="00EB6B6E">
              <w:rPr>
                <w:i/>
              </w:rPr>
              <w:t>euro</w:t>
            </w:r>
            <w:proofErr w:type="spellEnd"/>
            <w:r w:rsidR="00EB6B6E" w:rsidRPr="00EB6B6E">
              <w:t>) (par laika periodu no 2015.gada 1.maij</w:t>
            </w:r>
            <w:r w:rsidR="0076629B">
              <w:t>a</w:t>
            </w:r>
            <w:r w:rsidR="00EB6B6E" w:rsidRPr="00EB6B6E">
              <w:t xml:space="preserve"> līdz 2015.gada 31.decembrim), 2016.gadā un pārējos gados līdz projekta beigām 2022.gadā </w:t>
            </w:r>
            <w:r w:rsidR="007737B9">
              <w:t xml:space="preserve">– </w:t>
            </w:r>
            <w:r w:rsidR="00EB6B6E">
              <w:t xml:space="preserve">katru gadu </w:t>
            </w:r>
            <w:r w:rsidR="00EB6B6E" w:rsidRPr="00EB6B6E">
              <w:t xml:space="preserve">152 530 </w:t>
            </w:r>
            <w:proofErr w:type="spellStart"/>
            <w:r w:rsidR="00EB6B6E" w:rsidRPr="00EB6B6E">
              <w:rPr>
                <w:i/>
              </w:rPr>
              <w:t>euro</w:t>
            </w:r>
            <w:proofErr w:type="spellEnd"/>
            <w:r w:rsidR="00EB6B6E" w:rsidRPr="00EB6B6E">
              <w:t xml:space="preserve"> (tajā skaitā PVN 41 602 </w:t>
            </w:r>
            <w:proofErr w:type="spellStart"/>
            <w:r w:rsidR="00EB6B6E" w:rsidRPr="00EB6B6E">
              <w:rPr>
                <w:i/>
              </w:rPr>
              <w:t>euro</w:t>
            </w:r>
            <w:proofErr w:type="spellEnd"/>
            <w:r w:rsidR="00EB6B6E" w:rsidRPr="00EB6B6E">
              <w:t xml:space="preserve">), lai nodrošinātu </w:t>
            </w:r>
            <w:proofErr w:type="spellStart"/>
            <w:r w:rsidR="00EB6B6E" w:rsidRPr="00EB6B6E">
              <w:t>pieslēgumu</w:t>
            </w:r>
            <w:proofErr w:type="spellEnd"/>
            <w:r w:rsidR="00EB6B6E" w:rsidRPr="00EB6B6E">
              <w:t xml:space="preserve"> GEANT tīklam un Latvijas dalības maksu GEANT tīkla asociācijā.</w:t>
            </w:r>
          </w:p>
          <w:p w14:paraId="5DD4D85B" w14:textId="77777777" w:rsidR="00EB6B6E" w:rsidRPr="00A91896" w:rsidRDefault="00EB6B6E" w:rsidP="006B0686">
            <w:pPr>
              <w:tabs>
                <w:tab w:val="left" w:pos="1901"/>
              </w:tabs>
              <w:jc w:val="both"/>
            </w:pPr>
            <w:r>
              <w:t>Minētais finansējums 2016.gadā</w:t>
            </w:r>
            <w:r w:rsidR="00C77081">
              <w:t xml:space="preserve"> un pārējos gados ir indikatīvs. </w:t>
            </w:r>
          </w:p>
        </w:tc>
      </w:tr>
    </w:tbl>
    <w:p w14:paraId="596FF15D" w14:textId="77777777" w:rsidR="0017571C" w:rsidRDefault="0017571C" w:rsidP="009B774A">
      <w:pPr>
        <w:pStyle w:val="naisf"/>
        <w:tabs>
          <w:tab w:val="left" w:pos="3819"/>
        </w:tabs>
        <w:spacing w:before="0" w:after="0"/>
        <w:ind w:firstLine="0"/>
      </w:pPr>
    </w:p>
    <w:p w14:paraId="368B66F6" w14:textId="15542B37" w:rsidR="001F23A6" w:rsidRPr="00A91896" w:rsidRDefault="001F23A6" w:rsidP="00464CD0">
      <w:pPr>
        <w:ind w:left="-567" w:right="-427"/>
        <w:jc w:val="both"/>
        <w:rPr>
          <w:i/>
        </w:rPr>
      </w:pPr>
      <w:r w:rsidRPr="00A91896">
        <w:rPr>
          <w:i/>
        </w:rPr>
        <w:t xml:space="preserve">Anotācijas </w:t>
      </w:r>
      <w:r w:rsidR="0002179F" w:rsidRPr="00A91896">
        <w:rPr>
          <w:i/>
        </w:rPr>
        <w:t xml:space="preserve">II, </w:t>
      </w:r>
      <w:r w:rsidR="00A578D9">
        <w:rPr>
          <w:i/>
        </w:rPr>
        <w:t xml:space="preserve">IV, </w:t>
      </w:r>
      <w:r w:rsidR="0002179F" w:rsidRPr="00A91896">
        <w:rPr>
          <w:i/>
        </w:rPr>
        <w:t xml:space="preserve">V, VI un VII </w:t>
      </w:r>
      <w:r w:rsidRPr="00A91896">
        <w:rPr>
          <w:i/>
        </w:rPr>
        <w:t xml:space="preserve">sadaļa – </w:t>
      </w:r>
      <w:r w:rsidR="00A578D9">
        <w:rPr>
          <w:i/>
        </w:rPr>
        <w:t>R</w:t>
      </w:r>
      <w:r w:rsidRPr="00A91896">
        <w:rPr>
          <w:i/>
        </w:rPr>
        <w:t>īkojuma projekts šīs jomas neskar.</w:t>
      </w:r>
    </w:p>
    <w:p w14:paraId="1CF9AD9B" w14:textId="77777777" w:rsidR="00585B7B" w:rsidRPr="00A91896" w:rsidRDefault="00585B7B" w:rsidP="00D96FCD"/>
    <w:p w14:paraId="3185DCAA" w14:textId="77777777" w:rsidR="009D2B33" w:rsidRPr="00A91896" w:rsidRDefault="009D2B33" w:rsidP="00D96FCD"/>
    <w:p w14:paraId="6C535334" w14:textId="77777777" w:rsidR="00A43955" w:rsidRPr="00A43955" w:rsidRDefault="00A43955" w:rsidP="00A43955">
      <w:pPr>
        <w:ind w:firstLine="720"/>
        <w:rPr>
          <w:rFonts w:eastAsia="Times New Roman"/>
          <w:lang w:eastAsia="en-US"/>
        </w:rPr>
      </w:pPr>
      <w:r w:rsidRPr="00A43955">
        <w:rPr>
          <w:rFonts w:eastAsia="Times New Roman"/>
          <w:lang w:eastAsia="en-US"/>
        </w:rPr>
        <w:t>Izglītības un zinātnes ministres vietā –</w:t>
      </w:r>
    </w:p>
    <w:p w14:paraId="00E7CDC5" w14:textId="0243302C" w:rsidR="00585B7B" w:rsidRPr="00A91896" w:rsidRDefault="00A43955" w:rsidP="00A43955">
      <w:pPr>
        <w:ind w:firstLine="720"/>
      </w:pPr>
      <w:r w:rsidRPr="00A43955">
        <w:rPr>
          <w:rFonts w:eastAsia="Times New Roman"/>
          <w:lang w:eastAsia="en-US"/>
        </w:rPr>
        <w:t xml:space="preserve">Zemkopības ministrs </w:t>
      </w:r>
      <w:r w:rsidRPr="00A43955">
        <w:rPr>
          <w:rFonts w:eastAsia="Times New Roman"/>
          <w:lang w:eastAsia="en-US"/>
        </w:rPr>
        <w:tab/>
      </w:r>
      <w:r w:rsidRPr="00A43955">
        <w:rPr>
          <w:rFonts w:eastAsia="Times New Roman"/>
          <w:lang w:eastAsia="en-US"/>
        </w:rPr>
        <w:tab/>
      </w:r>
      <w:r w:rsidRPr="00A43955">
        <w:rPr>
          <w:rFonts w:eastAsia="Times New Roman"/>
          <w:lang w:eastAsia="en-US"/>
        </w:rPr>
        <w:tab/>
      </w:r>
      <w:r w:rsidRPr="00A43955">
        <w:rPr>
          <w:rFonts w:eastAsia="Times New Roman"/>
          <w:lang w:eastAsia="en-US"/>
        </w:rPr>
        <w:tab/>
      </w:r>
      <w:r w:rsidRPr="00A43955">
        <w:rPr>
          <w:rFonts w:eastAsia="Times New Roman"/>
          <w:lang w:eastAsia="en-US"/>
        </w:rPr>
        <w:tab/>
      </w:r>
      <w:r>
        <w:rPr>
          <w:rFonts w:eastAsia="Times New Roman"/>
          <w:lang w:eastAsia="en-US"/>
        </w:rPr>
        <w:tab/>
      </w:r>
      <w:r w:rsidRPr="00A43955">
        <w:rPr>
          <w:rFonts w:eastAsia="Times New Roman"/>
          <w:lang w:eastAsia="en-US"/>
        </w:rPr>
        <w:tab/>
      </w:r>
      <w:proofErr w:type="spellStart"/>
      <w:r w:rsidRPr="00A43955">
        <w:rPr>
          <w:rFonts w:eastAsia="Times New Roman"/>
          <w:lang w:eastAsia="en-US"/>
        </w:rPr>
        <w:t>J.Dūklavs</w:t>
      </w:r>
      <w:proofErr w:type="spellEnd"/>
    </w:p>
    <w:p w14:paraId="57CDA0CF" w14:textId="77777777" w:rsidR="004560F5" w:rsidRPr="00A91896" w:rsidRDefault="004560F5" w:rsidP="00D96FCD"/>
    <w:p w14:paraId="069EFF6B" w14:textId="77777777" w:rsidR="008B5BBC" w:rsidRPr="00A91896" w:rsidRDefault="008B5BBC" w:rsidP="008B5BBC">
      <w:pPr>
        <w:ind w:firstLine="720"/>
        <w:jc w:val="both"/>
      </w:pPr>
      <w:r w:rsidRPr="00A91896">
        <w:t>Vizē:</w:t>
      </w:r>
    </w:p>
    <w:p w14:paraId="1CB95F20" w14:textId="77777777" w:rsidR="00372ABF" w:rsidRPr="00A91896" w:rsidRDefault="00372ABF" w:rsidP="00372ABF">
      <w:pPr>
        <w:ind w:left="720"/>
      </w:pPr>
      <w:r w:rsidRPr="00A91896">
        <w:t>Valsts sekretāra vietniece –</w:t>
      </w:r>
    </w:p>
    <w:p w14:paraId="0E830B65" w14:textId="77777777" w:rsidR="00372ABF" w:rsidRPr="00A91896" w:rsidRDefault="00372ABF" w:rsidP="00372ABF">
      <w:pPr>
        <w:ind w:left="720"/>
      </w:pPr>
      <w:r w:rsidRPr="00A91896">
        <w:t>Izglītības departamenta direktore,</w:t>
      </w:r>
    </w:p>
    <w:p w14:paraId="5458E114" w14:textId="77777777" w:rsidR="00696EF6" w:rsidRPr="00EE4ABD" w:rsidRDefault="00372ABF" w:rsidP="00EE4ABD">
      <w:pPr>
        <w:ind w:left="720"/>
      </w:pPr>
      <w:r w:rsidRPr="00A91896">
        <w:t>valsts sekretāra pienākumu izpildītāja</w:t>
      </w:r>
      <w:r w:rsidRPr="00A91896">
        <w:tab/>
      </w:r>
      <w:r w:rsidRPr="00A91896">
        <w:tab/>
      </w:r>
      <w:r w:rsidRPr="00A91896">
        <w:tab/>
      </w:r>
      <w:r w:rsidRPr="00A91896">
        <w:tab/>
      </w:r>
      <w:proofErr w:type="spellStart"/>
      <w:r w:rsidRPr="00A91896">
        <w:t>E.Papule</w:t>
      </w:r>
      <w:proofErr w:type="spellEnd"/>
    </w:p>
    <w:p w14:paraId="70BFAFBA" w14:textId="77777777" w:rsidR="00696EF6" w:rsidRDefault="00696EF6" w:rsidP="002F3C73">
      <w:pPr>
        <w:ind w:left="720"/>
        <w:rPr>
          <w:sz w:val="22"/>
          <w:szCs w:val="22"/>
        </w:rPr>
      </w:pPr>
    </w:p>
    <w:p w14:paraId="04C56F41" w14:textId="77777777" w:rsidR="00290853" w:rsidRDefault="00290853" w:rsidP="002F3C73">
      <w:pPr>
        <w:ind w:left="720"/>
        <w:rPr>
          <w:sz w:val="22"/>
          <w:szCs w:val="22"/>
        </w:rPr>
      </w:pPr>
    </w:p>
    <w:p w14:paraId="2549CDAF" w14:textId="77777777" w:rsidR="00290853" w:rsidRDefault="00290853" w:rsidP="002F3C73">
      <w:pPr>
        <w:ind w:left="720"/>
        <w:rPr>
          <w:sz w:val="22"/>
          <w:szCs w:val="22"/>
        </w:rPr>
      </w:pPr>
      <w:bookmarkStart w:id="3" w:name="_GoBack"/>
      <w:bookmarkEnd w:id="3"/>
    </w:p>
    <w:p w14:paraId="1B64677A" w14:textId="77777777" w:rsidR="00372ABF" w:rsidRPr="00372ABF" w:rsidRDefault="00960BD9" w:rsidP="00372ABF">
      <w:pPr>
        <w:ind w:left="720"/>
        <w:rPr>
          <w:sz w:val="22"/>
          <w:szCs w:val="22"/>
        </w:rPr>
      </w:pPr>
      <w:r>
        <w:rPr>
          <w:sz w:val="22"/>
          <w:szCs w:val="22"/>
        </w:rPr>
        <w:t>13</w:t>
      </w:r>
      <w:r w:rsidR="002D55F4">
        <w:rPr>
          <w:sz w:val="22"/>
          <w:szCs w:val="22"/>
        </w:rPr>
        <w:t>.03.2015</w:t>
      </w:r>
      <w:r w:rsidR="00372ABF" w:rsidRPr="00372ABF">
        <w:rPr>
          <w:sz w:val="22"/>
          <w:szCs w:val="22"/>
        </w:rPr>
        <w:t xml:space="preserve">. 11:42 </w:t>
      </w:r>
      <w:r w:rsidR="00372ABF" w:rsidRPr="00372ABF">
        <w:rPr>
          <w:sz w:val="22"/>
          <w:szCs w:val="22"/>
        </w:rPr>
        <w:tab/>
      </w:r>
    </w:p>
    <w:p w14:paraId="75E26FEF" w14:textId="7F9E8D99" w:rsidR="00372ABF" w:rsidRPr="00372ABF" w:rsidRDefault="00FC5630" w:rsidP="00372ABF">
      <w:pPr>
        <w:ind w:left="720"/>
        <w:rPr>
          <w:sz w:val="22"/>
          <w:szCs w:val="22"/>
        </w:rPr>
      </w:pPr>
      <w:r>
        <w:rPr>
          <w:sz w:val="22"/>
          <w:szCs w:val="22"/>
        </w:rPr>
        <w:t>29</w:t>
      </w:r>
      <w:r w:rsidR="00A43955">
        <w:rPr>
          <w:sz w:val="22"/>
          <w:szCs w:val="22"/>
        </w:rPr>
        <w:t>71</w:t>
      </w:r>
      <w:r w:rsidR="00372ABF" w:rsidRPr="00372ABF">
        <w:rPr>
          <w:sz w:val="22"/>
          <w:szCs w:val="22"/>
        </w:rPr>
        <w:tab/>
      </w:r>
    </w:p>
    <w:p w14:paraId="0AED2202" w14:textId="77777777" w:rsidR="00372ABF" w:rsidRPr="00372ABF" w:rsidRDefault="00372ABF" w:rsidP="00372ABF">
      <w:pPr>
        <w:ind w:left="720"/>
        <w:rPr>
          <w:sz w:val="22"/>
          <w:szCs w:val="22"/>
        </w:rPr>
      </w:pPr>
      <w:r w:rsidRPr="00372ABF">
        <w:rPr>
          <w:sz w:val="22"/>
          <w:szCs w:val="22"/>
        </w:rPr>
        <w:t>Karolis, 67047996</w:t>
      </w:r>
    </w:p>
    <w:p w14:paraId="463E55B5" w14:textId="77777777" w:rsidR="00763103" w:rsidRPr="00B26A58" w:rsidRDefault="00372ABF" w:rsidP="00EC1C70">
      <w:pPr>
        <w:ind w:left="720"/>
        <w:rPr>
          <w:sz w:val="22"/>
          <w:szCs w:val="22"/>
        </w:rPr>
      </w:pPr>
      <w:r w:rsidRPr="00372ABF">
        <w:rPr>
          <w:sz w:val="22"/>
          <w:szCs w:val="22"/>
        </w:rPr>
        <w:t>kaspars.karolis@izm.gov.lv</w:t>
      </w:r>
    </w:p>
    <w:sectPr w:rsidR="00763103" w:rsidRPr="00B26A58" w:rsidSect="00672427">
      <w:headerReference w:type="default" r:id="rId8"/>
      <w:footerReference w:type="default" r:id="rId9"/>
      <w:footerReference w:type="first" r:id="rId10"/>
      <w:pgSz w:w="11906" w:h="16838" w:code="9"/>
      <w:pgMar w:top="851" w:right="1134" w:bottom="1134" w:left="1701" w:header="426"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0F7EA" w14:textId="77777777" w:rsidR="00C31BD3" w:rsidRDefault="00C31BD3" w:rsidP="00123E9B">
      <w:r>
        <w:separator/>
      </w:r>
    </w:p>
  </w:endnote>
  <w:endnote w:type="continuationSeparator" w:id="0">
    <w:p w14:paraId="060A1D19" w14:textId="77777777" w:rsidR="00C31BD3" w:rsidRDefault="00C31BD3"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E5190" w14:textId="53E1CA9A" w:rsidR="005D564D" w:rsidRPr="004E7040" w:rsidRDefault="009A375F" w:rsidP="009A375F">
    <w:pPr>
      <w:ind w:left="-567" w:right="-568"/>
      <w:jc w:val="both"/>
      <w:rPr>
        <w:sz w:val="22"/>
        <w:szCs w:val="22"/>
      </w:rPr>
    </w:pPr>
    <w:r>
      <w:rPr>
        <w:sz w:val="22"/>
        <w:szCs w:val="22"/>
      </w:rPr>
      <w:t>IZMAnot_13</w:t>
    </w:r>
    <w:r w:rsidR="002F248E">
      <w:rPr>
        <w:sz w:val="22"/>
        <w:szCs w:val="22"/>
      </w:rPr>
      <w:t>0315</w:t>
    </w:r>
    <w:r w:rsidR="009F5CAD">
      <w:rPr>
        <w:sz w:val="22"/>
        <w:szCs w:val="22"/>
      </w:rPr>
      <w:t>_</w:t>
    </w:r>
    <w:r w:rsidR="002F248E">
      <w:rPr>
        <w:sz w:val="22"/>
        <w:szCs w:val="22"/>
      </w:rPr>
      <w:t>GEANT</w:t>
    </w:r>
    <w:r w:rsidR="004E7040" w:rsidRPr="004816F6">
      <w:rPr>
        <w:sz w:val="22"/>
        <w:szCs w:val="22"/>
      </w:rPr>
      <w:t>; Ministru kabineta rīkojum</w:t>
    </w:r>
    <w:r w:rsidR="002F248E">
      <w:t>a projekt</w:t>
    </w:r>
    <w:r w:rsidR="008055C0">
      <w:t>a</w:t>
    </w:r>
    <w:r w:rsidR="002F248E">
      <w:t xml:space="preserve"> </w:t>
    </w:r>
    <w:r w:rsidR="008055C0">
      <w:t>“</w:t>
    </w:r>
    <w:r w:rsidR="002F248E">
      <w:t>Par Latvijas dalību GEANT tīklā no 2015.gada 1.maija</w:t>
    </w:r>
    <w:r w:rsidR="008055C0">
      <w:t>”</w:t>
    </w:r>
    <w:r w:rsidR="008055C0" w:rsidRPr="008055C0">
      <w:rPr>
        <w:sz w:val="22"/>
        <w:szCs w:val="22"/>
      </w:rPr>
      <w:t xml:space="preserve"> </w:t>
    </w:r>
    <w:r w:rsidR="008055C0" w:rsidRPr="00556836">
      <w:rPr>
        <w:sz w:val="22"/>
        <w:szCs w:val="22"/>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9B72D" w14:textId="6E3935DA" w:rsidR="008055C0" w:rsidRPr="003C2370" w:rsidRDefault="009A375F" w:rsidP="008055C0">
    <w:pPr>
      <w:pStyle w:val="Footer"/>
      <w:jc w:val="both"/>
      <w:rPr>
        <w:sz w:val="22"/>
        <w:szCs w:val="22"/>
      </w:rPr>
    </w:pPr>
    <w:r>
      <w:rPr>
        <w:sz w:val="22"/>
        <w:szCs w:val="22"/>
      </w:rPr>
      <w:t>IZMAnot_13</w:t>
    </w:r>
    <w:r w:rsidR="002F248E" w:rsidRPr="002F248E">
      <w:rPr>
        <w:sz w:val="22"/>
        <w:szCs w:val="22"/>
      </w:rPr>
      <w:t>0315_GEANT; Ministru kabineta rīkojuma projekt</w:t>
    </w:r>
    <w:r w:rsidR="008055C0">
      <w:rPr>
        <w:sz w:val="22"/>
        <w:szCs w:val="22"/>
      </w:rPr>
      <w:t>a</w:t>
    </w:r>
    <w:r w:rsidR="002F248E" w:rsidRPr="002F248E">
      <w:rPr>
        <w:sz w:val="22"/>
        <w:szCs w:val="22"/>
      </w:rPr>
      <w:t xml:space="preserve"> </w:t>
    </w:r>
    <w:r w:rsidR="008055C0">
      <w:rPr>
        <w:sz w:val="22"/>
        <w:szCs w:val="22"/>
      </w:rPr>
      <w:t>“</w:t>
    </w:r>
    <w:r w:rsidR="002F248E" w:rsidRPr="002F248E">
      <w:rPr>
        <w:sz w:val="22"/>
        <w:szCs w:val="22"/>
      </w:rPr>
      <w:t>Par Latvijas dalību GEANT tīklā no 2015.gada 1.maija</w:t>
    </w:r>
    <w:r w:rsidR="008055C0">
      <w:rPr>
        <w:sz w:val="22"/>
        <w:szCs w:val="22"/>
      </w:rPr>
      <w:t>”</w:t>
    </w:r>
    <w:r w:rsidR="008055C0" w:rsidRPr="008055C0">
      <w:rPr>
        <w:sz w:val="22"/>
        <w:szCs w:val="22"/>
      </w:rPr>
      <w:t xml:space="preserve"> </w:t>
    </w:r>
    <w:r w:rsidR="008055C0" w:rsidRPr="00556836">
      <w:rPr>
        <w:sz w:val="22"/>
        <w:szCs w:val="22"/>
      </w:rPr>
      <w:t>sākotnējās ietekmes novērtējuma ziņojums (anotācija)</w:t>
    </w:r>
  </w:p>
  <w:p w14:paraId="05950A33" w14:textId="77777777" w:rsidR="005D564D" w:rsidRPr="002F248E" w:rsidRDefault="005D564D" w:rsidP="002F248E">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351F4" w14:textId="77777777" w:rsidR="00C31BD3" w:rsidRDefault="00C31BD3" w:rsidP="00123E9B">
      <w:r>
        <w:separator/>
      </w:r>
    </w:p>
  </w:footnote>
  <w:footnote w:type="continuationSeparator" w:id="0">
    <w:p w14:paraId="011BA4E0" w14:textId="77777777" w:rsidR="00C31BD3" w:rsidRDefault="00C31BD3" w:rsidP="00123E9B">
      <w:r>
        <w:continuationSeparator/>
      </w:r>
    </w:p>
  </w:footnote>
  <w:footnote w:id="1">
    <w:p w14:paraId="6DDE8334" w14:textId="793B615F" w:rsidR="002F248E" w:rsidRDefault="002F248E">
      <w:pPr>
        <w:pStyle w:val="FootnoteText"/>
      </w:pPr>
      <w:r>
        <w:rPr>
          <w:rStyle w:val="FootnoteReference"/>
        </w:rPr>
        <w:footnoteRef/>
      </w:r>
      <w:r>
        <w:t xml:space="preserve"> </w:t>
      </w:r>
      <w:r w:rsidRPr="002F248E">
        <w:t xml:space="preserve">GEANT tīkls ir informējis ministriju, ka iepriekšējais GEANT tīkla projekts  GN3+ tiek pagarināts par vienu mēnesi, līdz ar to dalības maksu par GEANT tīkla </w:t>
      </w:r>
      <w:proofErr w:type="spellStart"/>
      <w:r w:rsidRPr="002F248E">
        <w:t>pieslēgumu</w:t>
      </w:r>
      <w:proofErr w:type="spellEnd"/>
      <w:r w:rsidRPr="002F248E">
        <w:t xml:space="preserve"> un GEANT DWS internetu par 2015.gada aprīļa mēnesi mi</w:t>
      </w:r>
      <w:r>
        <w:t>nistrija segs no saviem finanšu</w:t>
      </w:r>
      <w:r w:rsidRPr="002F248E">
        <w:t xml:space="preserve"> līdzekļiem</w:t>
      </w:r>
      <w:r w:rsidR="0001407D">
        <w:t>.</w:t>
      </w:r>
    </w:p>
    <w:p w14:paraId="0C5C549C" w14:textId="24295E6C" w:rsidR="008055C0" w:rsidRPr="009A375F" w:rsidRDefault="008055C0" w:rsidP="009A375F">
      <w:pPr>
        <w:pStyle w:val="FootnoteText"/>
        <w:jc w:val="both"/>
        <w:rPr>
          <w:b/>
          <w:color w:val="FF0000"/>
        </w:rPr>
      </w:pPr>
    </w:p>
  </w:footnote>
  <w:footnote w:id="2">
    <w:p w14:paraId="4D269BBE" w14:textId="62181E5D" w:rsidR="008D6F18" w:rsidRDefault="008D6F18" w:rsidP="009A375F">
      <w:pPr>
        <w:pStyle w:val="FootnoteText"/>
        <w:jc w:val="both"/>
      </w:pPr>
      <w:r>
        <w:rPr>
          <w:rStyle w:val="FootnoteReference"/>
        </w:rPr>
        <w:footnoteRef/>
      </w:r>
      <w:r>
        <w:t xml:space="preserve"> </w:t>
      </w:r>
      <w:r w:rsidRPr="008D6F18">
        <w:t>GEANT tīkla asociācijas noteikumi - http://www.geant.org/about/Documents/GA(14)025b-final-Articles-eng.pdf</w:t>
      </w:r>
    </w:p>
  </w:footnote>
  <w:footnote w:id="3">
    <w:p w14:paraId="5D31B544" w14:textId="5251BA6A" w:rsidR="008D6F18" w:rsidRPr="009A375F" w:rsidRDefault="008D6F18" w:rsidP="004B0981">
      <w:pPr>
        <w:pStyle w:val="FootnoteText"/>
        <w:jc w:val="both"/>
        <w:rPr>
          <w:i/>
        </w:rPr>
      </w:pPr>
      <w:r>
        <w:rPr>
          <w:rStyle w:val="FootnoteReference"/>
        </w:rPr>
        <w:footnoteRef/>
      </w:r>
      <w:r>
        <w:t xml:space="preserve"> </w:t>
      </w:r>
      <w:r w:rsidRPr="008D6F18">
        <w:t xml:space="preserve">Kompānija nodrošina GEANT sasaisti ar citiem starptautiskajiem akadēmiskajiem tīkliem, uzturot Dante </w:t>
      </w:r>
      <w:proofErr w:type="spellStart"/>
      <w:r w:rsidRPr="008D6F18">
        <w:t>World</w:t>
      </w:r>
      <w:proofErr w:type="spellEnd"/>
      <w:r w:rsidRPr="008D6F18">
        <w:t xml:space="preserve"> </w:t>
      </w:r>
      <w:proofErr w:type="spellStart"/>
      <w:r w:rsidRPr="008D6F18">
        <w:t>Service</w:t>
      </w:r>
      <w:proofErr w:type="spellEnd"/>
      <w:r w:rsidRPr="008D6F18">
        <w:t xml:space="preserve"> (DWS) </w:t>
      </w:r>
      <w:proofErr w:type="spellStart"/>
      <w:r w:rsidRPr="008D6F18">
        <w:t>pieslēgumu</w:t>
      </w:r>
      <w:proofErr w:type="spellEnd"/>
      <w:r w:rsidRPr="008D6F18">
        <w:t>. DANTE (</w:t>
      </w:r>
      <w:proofErr w:type="spellStart"/>
      <w:r w:rsidRPr="0001407D">
        <w:rPr>
          <w:i/>
        </w:rPr>
        <w:t>Delivery</w:t>
      </w:r>
      <w:proofErr w:type="spellEnd"/>
      <w:r w:rsidRPr="0001407D">
        <w:rPr>
          <w:i/>
        </w:rPr>
        <w:t xml:space="preserve"> </w:t>
      </w:r>
      <w:proofErr w:type="spellStart"/>
      <w:r w:rsidRPr="0001407D">
        <w:rPr>
          <w:i/>
        </w:rPr>
        <w:t>of</w:t>
      </w:r>
      <w:proofErr w:type="spellEnd"/>
      <w:r w:rsidRPr="0001407D">
        <w:rPr>
          <w:i/>
        </w:rPr>
        <w:t xml:space="preserve"> </w:t>
      </w:r>
      <w:proofErr w:type="spellStart"/>
      <w:r w:rsidRPr="0001407D">
        <w:rPr>
          <w:i/>
        </w:rPr>
        <w:t>Advanced</w:t>
      </w:r>
      <w:proofErr w:type="spellEnd"/>
      <w:r w:rsidRPr="0001407D">
        <w:rPr>
          <w:i/>
        </w:rPr>
        <w:t xml:space="preserve"> </w:t>
      </w:r>
      <w:proofErr w:type="spellStart"/>
      <w:r w:rsidRPr="0001407D">
        <w:rPr>
          <w:i/>
        </w:rPr>
        <w:t>Network</w:t>
      </w:r>
      <w:proofErr w:type="spellEnd"/>
      <w:r w:rsidRPr="0001407D">
        <w:rPr>
          <w:i/>
        </w:rPr>
        <w:t xml:space="preserve"> </w:t>
      </w:r>
      <w:proofErr w:type="spellStart"/>
      <w:r w:rsidRPr="0001407D">
        <w:rPr>
          <w:i/>
        </w:rPr>
        <w:t>Technology</w:t>
      </w:r>
      <w:proofErr w:type="spellEnd"/>
      <w:r w:rsidRPr="0001407D">
        <w:rPr>
          <w:i/>
        </w:rPr>
        <w:t xml:space="preserve"> to </w:t>
      </w:r>
      <w:proofErr w:type="spellStart"/>
      <w:r w:rsidRPr="0001407D">
        <w:rPr>
          <w:i/>
        </w:rPr>
        <w:t>Europe</w:t>
      </w:r>
      <w:proofErr w:type="spellEnd"/>
      <w:r w:rsidRPr="008D6F18">
        <w:t>) – bezpeļņas sabiedrība ar ierobežotu atbildību, kas plāno, veido un pārvalda attīstītus sakaru tīklus (datu komunikāciju infrastruktūru) zinātnes un izglītības</w:t>
      </w:r>
      <w:r w:rsidR="00BA0BAA">
        <w:t xml:space="preserve"> </w:t>
      </w:r>
      <w:r w:rsidR="009A375F" w:rsidRPr="009A375F">
        <w:t>vajadzībām. Tās īpašnieks ir 43 valstu NREN-i (</w:t>
      </w:r>
      <w:r w:rsidR="009A375F" w:rsidRPr="0001407D">
        <w:rPr>
          <w:i/>
        </w:rPr>
        <w:t xml:space="preserve">National </w:t>
      </w:r>
      <w:proofErr w:type="spellStart"/>
      <w:r w:rsidR="009A375F" w:rsidRPr="0001407D">
        <w:rPr>
          <w:i/>
        </w:rPr>
        <w:t>Research</w:t>
      </w:r>
      <w:proofErr w:type="spellEnd"/>
      <w:r w:rsidR="009A375F" w:rsidRPr="0001407D">
        <w:rPr>
          <w:i/>
        </w:rPr>
        <w:t xml:space="preserve"> </w:t>
      </w:r>
      <w:proofErr w:type="spellStart"/>
      <w:r w:rsidR="009A375F" w:rsidRPr="0001407D">
        <w:rPr>
          <w:i/>
        </w:rPr>
        <w:t>and</w:t>
      </w:r>
      <w:proofErr w:type="spellEnd"/>
      <w:r w:rsidR="009A375F" w:rsidRPr="0001407D">
        <w:rPr>
          <w:i/>
        </w:rPr>
        <w:t xml:space="preserve"> </w:t>
      </w:r>
      <w:proofErr w:type="spellStart"/>
      <w:r w:rsidR="009A375F" w:rsidRPr="0001407D">
        <w:rPr>
          <w:i/>
        </w:rPr>
        <w:t>Education</w:t>
      </w:r>
      <w:proofErr w:type="spellEnd"/>
      <w:r w:rsidR="009A375F" w:rsidRPr="0001407D">
        <w:rPr>
          <w:i/>
        </w:rPr>
        <w:t xml:space="preserve"> </w:t>
      </w:r>
      <w:proofErr w:type="spellStart"/>
      <w:r w:rsidR="009A375F" w:rsidRPr="0001407D">
        <w:rPr>
          <w:i/>
        </w:rPr>
        <w:t>Networks</w:t>
      </w:r>
      <w:proofErr w:type="spellEnd"/>
      <w:r w:rsidR="009A375F" w:rsidRPr="009A375F">
        <w:rPr>
          <w:i/>
        </w:rPr>
        <w:t>).</w:t>
      </w:r>
    </w:p>
  </w:footnote>
  <w:footnote w:id="4">
    <w:p w14:paraId="5703EB76" w14:textId="24694C2D" w:rsidR="008D6F18" w:rsidRDefault="008D6F18" w:rsidP="009A375F">
      <w:pPr>
        <w:pStyle w:val="FootnoteText"/>
        <w:jc w:val="both"/>
      </w:pPr>
      <w:r>
        <w:rPr>
          <w:rStyle w:val="FootnoteReference"/>
        </w:rPr>
        <w:footnoteRef/>
      </w:r>
      <w:r>
        <w:t xml:space="preserve"> </w:t>
      </w:r>
      <w:r w:rsidRPr="008D6F18">
        <w:t>TERENA (</w:t>
      </w:r>
      <w:r w:rsidRPr="0001407D">
        <w:rPr>
          <w:i/>
        </w:rPr>
        <w:t>Trans-</w:t>
      </w:r>
      <w:proofErr w:type="spellStart"/>
      <w:r w:rsidRPr="0001407D">
        <w:rPr>
          <w:i/>
        </w:rPr>
        <w:t>European</w:t>
      </w:r>
      <w:proofErr w:type="spellEnd"/>
      <w:r w:rsidRPr="0001407D">
        <w:rPr>
          <w:i/>
        </w:rPr>
        <w:t xml:space="preserve"> </w:t>
      </w:r>
      <w:proofErr w:type="spellStart"/>
      <w:r w:rsidRPr="0001407D">
        <w:rPr>
          <w:i/>
        </w:rPr>
        <w:t>Research</w:t>
      </w:r>
      <w:proofErr w:type="spellEnd"/>
      <w:r w:rsidRPr="0001407D">
        <w:rPr>
          <w:i/>
        </w:rPr>
        <w:t xml:space="preserve"> </w:t>
      </w:r>
      <w:proofErr w:type="spellStart"/>
      <w:r w:rsidRPr="0001407D">
        <w:rPr>
          <w:i/>
        </w:rPr>
        <w:t>and</w:t>
      </w:r>
      <w:proofErr w:type="spellEnd"/>
      <w:r w:rsidRPr="0001407D">
        <w:rPr>
          <w:i/>
        </w:rPr>
        <w:t xml:space="preserve"> </w:t>
      </w:r>
      <w:proofErr w:type="spellStart"/>
      <w:r w:rsidRPr="0001407D">
        <w:rPr>
          <w:i/>
        </w:rPr>
        <w:t>Education</w:t>
      </w:r>
      <w:proofErr w:type="spellEnd"/>
      <w:r w:rsidRPr="0001407D">
        <w:rPr>
          <w:i/>
        </w:rPr>
        <w:t xml:space="preserve"> </w:t>
      </w:r>
      <w:proofErr w:type="spellStart"/>
      <w:r w:rsidRPr="0001407D">
        <w:rPr>
          <w:i/>
        </w:rPr>
        <w:t>Networking</w:t>
      </w:r>
      <w:proofErr w:type="spellEnd"/>
      <w:r w:rsidRPr="0001407D">
        <w:rPr>
          <w:i/>
        </w:rPr>
        <w:t xml:space="preserve"> Association</w:t>
      </w:r>
      <w:r w:rsidRPr="008D6F18">
        <w:t>) ir galvenā datortīklu un interneta attīstības asociācija Eiropā.</w:t>
      </w:r>
    </w:p>
  </w:footnote>
  <w:footnote w:id="5">
    <w:p w14:paraId="4C6CEE13" w14:textId="4ABFDD9E" w:rsidR="002F248E" w:rsidRDefault="002F248E" w:rsidP="004B0981">
      <w:pPr>
        <w:pStyle w:val="FootnoteText"/>
        <w:jc w:val="both"/>
      </w:pPr>
      <w:r>
        <w:rPr>
          <w:rStyle w:val="FootnoteReference"/>
        </w:rPr>
        <w:footnoteRef/>
      </w:r>
      <w:r w:rsidR="009A375F">
        <w:t>Pielikumā Nr.3 pievienots</w:t>
      </w:r>
      <w:r w:rsidR="002D55F4">
        <w:t xml:space="preserve"> </w:t>
      </w:r>
      <w:r w:rsidR="009A375F">
        <w:t>konsorcija līguma projekts</w:t>
      </w:r>
    </w:p>
  </w:footnote>
  <w:footnote w:id="6">
    <w:p w14:paraId="44D343B2" w14:textId="31273576" w:rsidR="00C77081" w:rsidRDefault="00C77081" w:rsidP="00A1385E">
      <w:pPr>
        <w:pStyle w:val="FootnoteText"/>
        <w:jc w:val="both"/>
      </w:pPr>
      <w:r>
        <w:rPr>
          <w:rStyle w:val="FootnoteReference"/>
        </w:rPr>
        <w:footnoteRef/>
      </w:r>
      <w:r>
        <w:t xml:space="preserve"> 1. ENABLE projekts. ENABLE ir  IMI (</w:t>
      </w:r>
      <w:proofErr w:type="spellStart"/>
      <w:r>
        <w:t>Inovative</w:t>
      </w:r>
      <w:proofErr w:type="spellEnd"/>
      <w:r>
        <w:t xml:space="preserve"> </w:t>
      </w:r>
      <w:proofErr w:type="spellStart"/>
      <w:r>
        <w:t>Medicines</w:t>
      </w:r>
      <w:proofErr w:type="spellEnd"/>
      <w:r>
        <w:t xml:space="preserve"> </w:t>
      </w:r>
      <w:proofErr w:type="spellStart"/>
      <w:r>
        <w:t>Inititiative</w:t>
      </w:r>
      <w:proofErr w:type="spellEnd"/>
      <w:r>
        <w:t xml:space="preserve">) 2 tehnoloģiju ierosmes  atbalstīts projekts, kuru ievieš Organiskās Sintēzes institūts (turpmāk – OSI), kura veicamo darbu izmaksas ir 8,083 miljoni </w:t>
      </w:r>
      <w:proofErr w:type="spellStart"/>
      <w:r w:rsidRPr="009A375F">
        <w:rPr>
          <w:i/>
        </w:rPr>
        <w:t>e</w:t>
      </w:r>
      <w:r w:rsidR="007737B9" w:rsidRPr="009A375F">
        <w:rPr>
          <w:i/>
        </w:rPr>
        <w:t>u</w:t>
      </w:r>
      <w:r w:rsidRPr="009A375F">
        <w:rPr>
          <w:i/>
        </w:rPr>
        <w:t>ro</w:t>
      </w:r>
      <w:proofErr w:type="spellEnd"/>
      <w:r>
        <w:t xml:space="preserve">, no tiem IMI finansējums – 6,065 miljoni </w:t>
      </w:r>
      <w:proofErr w:type="spellStart"/>
      <w:r w:rsidRPr="009A375F">
        <w:rPr>
          <w:i/>
        </w:rPr>
        <w:t>e</w:t>
      </w:r>
      <w:r w:rsidR="007737B9" w:rsidRPr="009A375F">
        <w:rPr>
          <w:i/>
        </w:rPr>
        <w:t>u</w:t>
      </w:r>
      <w:r w:rsidRPr="009A375F">
        <w:rPr>
          <w:i/>
        </w:rPr>
        <w:t>ro</w:t>
      </w:r>
      <w:proofErr w:type="spellEnd"/>
      <w:r>
        <w:t xml:space="preserve">. Nepieciešamais nacionālais līdzfinansējums OSI darbu veikšanai ir 2,018 miljoni </w:t>
      </w:r>
      <w:proofErr w:type="spellStart"/>
      <w:r w:rsidRPr="009A375F">
        <w:rPr>
          <w:i/>
        </w:rPr>
        <w:t>e</w:t>
      </w:r>
      <w:r w:rsidR="00750045" w:rsidRPr="009A375F">
        <w:rPr>
          <w:i/>
        </w:rPr>
        <w:t>u</w:t>
      </w:r>
      <w:r w:rsidRPr="009A375F">
        <w:rPr>
          <w:i/>
        </w:rPr>
        <w:t>ro</w:t>
      </w:r>
      <w:proofErr w:type="spellEnd"/>
      <w:r>
        <w:t xml:space="preserve"> sešu gadu laikā no 2014.gada 1.februāra līdz 2020.gada 31.janvārim. Projekta ENABLE mērķis ir izstrādāt jaunas antibiotikas pret Gram-negatīviem patogēniem mikroorganismiem. </w:t>
      </w:r>
    </w:p>
    <w:p w14:paraId="77D8CB5E" w14:textId="77777777" w:rsidR="00C77081" w:rsidRDefault="00C77081" w:rsidP="00A1385E">
      <w:pPr>
        <w:pStyle w:val="FootnoteText"/>
        <w:jc w:val="both"/>
      </w:pPr>
      <w:r>
        <w:t>2. Dalība Eiropas pētniecības infrastruktūrā Eiropas Sociālais pētījums (</w:t>
      </w:r>
      <w:proofErr w:type="spellStart"/>
      <w:r>
        <w:t>European</w:t>
      </w:r>
      <w:proofErr w:type="spellEnd"/>
      <w:r>
        <w:t xml:space="preserve"> </w:t>
      </w:r>
      <w:proofErr w:type="spellStart"/>
      <w:r>
        <w:t>Social</w:t>
      </w:r>
      <w:proofErr w:type="spellEnd"/>
      <w:r>
        <w:t xml:space="preserve"> </w:t>
      </w:r>
      <w:proofErr w:type="spellStart"/>
      <w:r>
        <w:t>Survey</w:t>
      </w:r>
      <w:proofErr w:type="spellEnd"/>
      <w:r>
        <w:t xml:space="preserve">) ESS, kas ir uz akadēmiskiem standartiem balstīts starptautisks salīdzinošs socioloģisks pētījums, kas izveidots ar mērķi iezīmēt un izskaidrot vairāk nekā 30 Eiropas valstu iedzīvotāju attieksmes un vērtības. 2012.gadā Saeimā apstiprinātajā Latvijas Nacionālās attīstības plānā 2020 (NAP) ir iekļauta atsauce uz ESS kā NAP  izpildes un politiku monitoringu galveno datu avotu. ESS ERIC ir izveidots un Eiropas Komisijā apstiprināts 2013.gada 22.novembrī. Latvija ir noslēgusi vienošanos par pievienošanos ESS ERIC </w:t>
      </w:r>
      <w:proofErr w:type="spellStart"/>
      <w:r>
        <w:t>viesdalībnieka</w:t>
      </w:r>
      <w:proofErr w:type="spellEnd"/>
      <w:r>
        <w:t xml:space="preserve"> statusā (</w:t>
      </w:r>
      <w:proofErr w:type="spellStart"/>
      <w:r>
        <w:t>Guest</w:t>
      </w:r>
      <w:proofErr w:type="spellEnd"/>
      <w:r>
        <w:t xml:space="preserve"> </w:t>
      </w:r>
      <w:proofErr w:type="spellStart"/>
      <w:r>
        <w:t>Country</w:t>
      </w:r>
      <w:proofErr w:type="spellEnd"/>
      <w:r>
        <w:t xml:space="preserve">) 2014.gada nogalē, tādejādi nodrošinot iespēju iesaistīties Eiropas līmenī pēc vienotas metodikas īstenotos sociālajos pētījumos. Šim mērķim turpmākajos gados ir nepieciešami finanšu resursi: dalības maksa ESS ERIC – 60 000 EUR un pētījumu veikšanai finansējums ~120 000 EUR.  </w:t>
      </w:r>
    </w:p>
  </w:footnote>
  <w:footnote w:id="7">
    <w:p w14:paraId="1916E516" w14:textId="580E643E" w:rsidR="009A375F" w:rsidRPr="009A375F" w:rsidRDefault="005F3810" w:rsidP="009A375F">
      <w:pPr>
        <w:jc w:val="both"/>
        <w:rPr>
          <w:rFonts w:eastAsia="Times New Roman"/>
          <w:sz w:val="20"/>
          <w:szCs w:val="20"/>
        </w:rPr>
      </w:pPr>
      <w:r>
        <w:rPr>
          <w:rStyle w:val="FootnoteReference"/>
        </w:rPr>
        <w:footnoteRef/>
      </w:r>
      <w:r w:rsidRPr="009A375F">
        <w:rPr>
          <w:sz w:val="20"/>
          <w:szCs w:val="20"/>
        </w:rPr>
        <w:t xml:space="preserve">PVN tiek rēķināts no 126 066,6 </w:t>
      </w:r>
      <w:proofErr w:type="spellStart"/>
      <w:r w:rsidRPr="009A375F">
        <w:rPr>
          <w:i/>
          <w:sz w:val="20"/>
          <w:szCs w:val="20"/>
        </w:rPr>
        <w:t>euro</w:t>
      </w:r>
      <w:proofErr w:type="spellEnd"/>
      <w:r w:rsidRPr="009A375F">
        <w:rPr>
          <w:sz w:val="20"/>
          <w:szCs w:val="20"/>
        </w:rPr>
        <w:t xml:space="preserve">, kas </w:t>
      </w:r>
      <w:r w:rsidR="004F479C" w:rsidRPr="009A375F">
        <w:rPr>
          <w:sz w:val="20"/>
          <w:szCs w:val="20"/>
        </w:rPr>
        <w:t xml:space="preserve">ir </w:t>
      </w:r>
      <w:r w:rsidRPr="009A375F">
        <w:rPr>
          <w:sz w:val="20"/>
          <w:szCs w:val="20"/>
        </w:rPr>
        <w:t>Latvijas dalības maksa GN4 projektā</w:t>
      </w:r>
      <w:r w:rsidR="004F479C" w:rsidRPr="009A375F">
        <w:rPr>
          <w:sz w:val="20"/>
          <w:szCs w:val="20"/>
        </w:rPr>
        <w:t>,</w:t>
      </w:r>
      <w:r w:rsidRPr="009A375F">
        <w:rPr>
          <w:sz w:val="20"/>
          <w:szCs w:val="20"/>
        </w:rPr>
        <w:t xml:space="preserve"> neatņemot Eiropas Komisijas subsīdiju 43% apmērā.</w:t>
      </w:r>
      <w:r w:rsidR="009A375F" w:rsidRPr="009A375F">
        <w:rPr>
          <w:rFonts w:eastAsia="Times New Roman"/>
          <w:sz w:val="20"/>
          <w:szCs w:val="20"/>
        </w:rPr>
        <w:t xml:space="preserve"> PVN tiek aprēķināts atbilstoši Pievienotās vērtības nodokļa likuma noteikumiem – atbilstoši šī likuma 3.panta sestajai daļai, 19.panta 1.punkta pirmajai un otrai daļai, 84.pantam, 88.panta pirmajai daļai, 122.panta pirmajai daļai.</w:t>
      </w:r>
    </w:p>
    <w:p w14:paraId="52FECED5" w14:textId="1E5F441A" w:rsidR="005F3810" w:rsidRDefault="009A375F" w:rsidP="009A375F">
      <w:pPr>
        <w:pStyle w:val="FootnoteText"/>
        <w:jc w:val="both"/>
      </w:pPr>
      <w:r w:rsidRPr="009A375F">
        <w:rPr>
          <w:rFonts w:eastAsia="Times New Roman"/>
        </w:rPr>
        <w:t>PVN tiek aprēķināts par visu pakalpojuma summu, ne tikai par Latvijas apmaksājamo pakalpojuma daļu un pirms tiek atņemts Eiropas Komisijas līdzfinansējums un citas atlaides.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68528" w14:textId="77777777" w:rsidR="005D564D" w:rsidRDefault="005D564D">
    <w:pPr>
      <w:pStyle w:val="Header"/>
      <w:jc w:val="center"/>
    </w:pPr>
    <w:r>
      <w:fldChar w:fldCharType="begin"/>
    </w:r>
    <w:r>
      <w:instrText xml:space="preserve"> PAGE   \* MERGEFORMAT </w:instrText>
    </w:r>
    <w:r>
      <w:fldChar w:fldCharType="separate"/>
    </w:r>
    <w:r w:rsidR="00A43955">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1F6F"/>
    <w:multiLevelType w:val="hybridMultilevel"/>
    <w:tmpl w:val="51CEA81E"/>
    <w:lvl w:ilvl="0" w:tplc="6B6695B8">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16447320"/>
    <w:multiLevelType w:val="hybridMultilevel"/>
    <w:tmpl w:val="F8461F56"/>
    <w:lvl w:ilvl="0" w:tplc="D868C390">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nsid w:val="18B21DB2"/>
    <w:multiLevelType w:val="hybridMultilevel"/>
    <w:tmpl w:val="A9D62660"/>
    <w:lvl w:ilvl="0" w:tplc="B7C24606">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28920EE"/>
    <w:multiLevelType w:val="hybridMultilevel"/>
    <w:tmpl w:val="1618D7AE"/>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B3B4305"/>
    <w:multiLevelType w:val="hybridMultilevel"/>
    <w:tmpl w:val="081452AE"/>
    <w:lvl w:ilvl="0" w:tplc="B738845A">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7">
    <w:nsid w:val="30BA02A3"/>
    <w:multiLevelType w:val="hybridMultilevel"/>
    <w:tmpl w:val="C5641C0C"/>
    <w:lvl w:ilvl="0" w:tplc="96F82070">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8">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nsid w:val="363F3D51"/>
    <w:multiLevelType w:val="hybridMultilevel"/>
    <w:tmpl w:val="2B5CF202"/>
    <w:lvl w:ilvl="0" w:tplc="E07A6208">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1">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2">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3">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4">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117764"/>
    <w:multiLevelType w:val="hybridMultilevel"/>
    <w:tmpl w:val="8B44347C"/>
    <w:lvl w:ilvl="0" w:tplc="E3BAEFD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6">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7">
    <w:nsid w:val="68316779"/>
    <w:multiLevelType w:val="hybridMultilevel"/>
    <w:tmpl w:val="1B584846"/>
    <w:lvl w:ilvl="0" w:tplc="FD3A39B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0"/>
  </w:num>
  <w:num w:numId="2">
    <w:abstractNumId w:val="14"/>
  </w:num>
  <w:num w:numId="3">
    <w:abstractNumId w:val="13"/>
  </w:num>
  <w:num w:numId="4">
    <w:abstractNumId w:val="18"/>
  </w:num>
  <w:num w:numId="5">
    <w:abstractNumId w:val="11"/>
  </w:num>
  <w:num w:numId="6">
    <w:abstractNumId w:val="12"/>
  </w:num>
  <w:num w:numId="7">
    <w:abstractNumId w:val="3"/>
  </w:num>
  <w:num w:numId="8">
    <w:abstractNumId w:val="1"/>
  </w:num>
  <w:num w:numId="9">
    <w:abstractNumId w:val="8"/>
  </w:num>
  <w:num w:numId="10">
    <w:abstractNumId w:val="19"/>
  </w:num>
  <w:num w:numId="11">
    <w:abstractNumId w:val="16"/>
  </w:num>
  <w:num w:numId="12">
    <w:abstractNumId w:val="5"/>
  </w:num>
  <w:num w:numId="13">
    <w:abstractNumId w:val="7"/>
  </w:num>
  <w:num w:numId="14">
    <w:abstractNumId w:val="2"/>
  </w:num>
  <w:num w:numId="15">
    <w:abstractNumId w:val="6"/>
  </w:num>
  <w:num w:numId="16">
    <w:abstractNumId w:val="15"/>
  </w:num>
  <w:num w:numId="17">
    <w:abstractNumId w:val="0"/>
  </w:num>
  <w:num w:numId="18">
    <w:abstractNumId w:val="9"/>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1F82"/>
    <w:rsid w:val="000120DA"/>
    <w:rsid w:val="00012EAE"/>
    <w:rsid w:val="0001407D"/>
    <w:rsid w:val="00014BD0"/>
    <w:rsid w:val="00020664"/>
    <w:rsid w:val="0002179F"/>
    <w:rsid w:val="000219F0"/>
    <w:rsid w:val="00027346"/>
    <w:rsid w:val="00033013"/>
    <w:rsid w:val="000347B3"/>
    <w:rsid w:val="00034AA4"/>
    <w:rsid w:val="0003640B"/>
    <w:rsid w:val="00036977"/>
    <w:rsid w:val="000372DF"/>
    <w:rsid w:val="00037B73"/>
    <w:rsid w:val="000401D9"/>
    <w:rsid w:val="00040D4E"/>
    <w:rsid w:val="00041F61"/>
    <w:rsid w:val="000423AB"/>
    <w:rsid w:val="0004297E"/>
    <w:rsid w:val="000440A0"/>
    <w:rsid w:val="000454C3"/>
    <w:rsid w:val="000463EE"/>
    <w:rsid w:val="00046CDE"/>
    <w:rsid w:val="00047FE8"/>
    <w:rsid w:val="0005209B"/>
    <w:rsid w:val="000541F8"/>
    <w:rsid w:val="00054553"/>
    <w:rsid w:val="00054FEE"/>
    <w:rsid w:val="00055608"/>
    <w:rsid w:val="00055F70"/>
    <w:rsid w:val="000577FD"/>
    <w:rsid w:val="000622F7"/>
    <w:rsid w:val="00063019"/>
    <w:rsid w:val="0006651A"/>
    <w:rsid w:val="000673CA"/>
    <w:rsid w:val="00070F02"/>
    <w:rsid w:val="00071470"/>
    <w:rsid w:val="00071C49"/>
    <w:rsid w:val="00071E61"/>
    <w:rsid w:val="00072B98"/>
    <w:rsid w:val="00072F6C"/>
    <w:rsid w:val="000730C8"/>
    <w:rsid w:val="00073118"/>
    <w:rsid w:val="000732D1"/>
    <w:rsid w:val="00074405"/>
    <w:rsid w:val="00074B8C"/>
    <w:rsid w:val="00076F56"/>
    <w:rsid w:val="000777F6"/>
    <w:rsid w:val="00080CC1"/>
    <w:rsid w:val="00081477"/>
    <w:rsid w:val="00081CEB"/>
    <w:rsid w:val="00083396"/>
    <w:rsid w:val="000849C2"/>
    <w:rsid w:val="00084C38"/>
    <w:rsid w:val="0008599C"/>
    <w:rsid w:val="00090BFF"/>
    <w:rsid w:val="000912B2"/>
    <w:rsid w:val="0009162F"/>
    <w:rsid w:val="00091E26"/>
    <w:rsid w:val="000934D5"/>
    <w:rsid w:val="00094AA0"/>
    <w:rsid w:val="00094F13"/>
    <w:rsid w:val="00095EBB"/>
    <w:rsid w:val="00097B46"/>
    <w:rsid w:val="000A152C"/>
    <w:rsid w:val="000A208E"/>
    <w:rsid w:val="000A2237"/>
    <w:rsid w:val="000A4403"/>
    <w:rsid w:val="000A671B"/>
    <w:rsid w:val="000B0DC4"/>
    <w:rsid w:val="000B3147"/>
    <w:rsid w:val="000B3B3C"/>
    <w:rsid w:val="000B3EC8"/>
    <w:rsid w:val="000B3FF6"/>
    <w:rsid w:val="000B51C9"/>
    <w:rsid w:val="000B62CA"/>
    <w:rsid w:val="000C0BAF"/>
    <w:rsid w:val="000C136C"/>
    <w:rsid w:val="000C1819"/>
    <w:rsid w:val="000C1B3D"/>
    <w:rsid w:val="000C1D23"/>
    <w:rsid w:val="000C36BE"/>
    <w:rsid w:val="000C63F4"/>
    <w:rsid w:val="000D003C"/>
    <w:rsid w:val="000D00F8"/>
    <w:rsid w:val="000D6486"/>
    <w:rsid w:val="000E058D"/>
    <w:rsid w:val="000E0815"/>
    <w:rsid w:val="000E2489"/>
    <w:rsid w:val="000E3B94"/>
    <w:rsid w:val="000E4A2A"/>
    <w:rsid w:val="000E5FDF"/>
    <w:rsid w:val="000E677B"/>
    <w:rsid w:val="000F1AC0"/>
    <w:rsid w:val="000F3783"/>
    <w:rsid w:val="000F3894"/>
    <w:rsid w:val="000F6485"/>
    <w:rsid w:val="0010198A"/>
    <w:rsid w:val="00101C45"/>
    <w:rsid w:val="00103760"/>
    <w:rsid w:val="00103A3D"/>
    <w:rsid w:val="001106D1"/>
    <w:rsid w:val="00111709"/>
    <w:rsid w:val="00111B15"/>
    <w:rsid w:val="00112C20"/>
    <w:rsid w:val="00114C20"/>
    <w:rsid w:val="00115388"/>
    <w:rsid w:val="00115EB8"/>
    <w:rsid w:val="00116669"/>
    <w:rsid w:val="00117C7E"/>
    <w:rsid w:val="0012123A"/>
    <w:rsid w:val="00121DF2"/>
    <w:rsid w:val="0012249E"/>
    <w:rsid w:val="00122521"/>
    <w:rsid w:val="00123E9B"/>
    <w:rsid w:val="0012448A"/>
    <w:rsid w:val="0012704D"/>
    <w:rsid w:val="0012791B"/>
    <w:rsid w:val="00131850"/>
    <w:rsid w:val="00131A15"/>
    <w:rsid w:val="00132473"/>
    <w:rsid w:val="00132C2C"/>
    <w:rsid w:val="00132D10"/>
    <w:rsid w:val="00134CEC"/>
    <w:rsid w:val="001350A6"/>
    <w:rsid w:val="00135577"/>
    <w:rsid w:val="00135C43"/>
    <w:rsid w:val="00136D87"/>
    <w:rsid w:val="001376F8"/>
    <w:rsid w:val="00137FAC"/>
    <w:rsid w:val="001413A9"/>
    <w:rsid w:val="00143747"/>
    <w:rsid w:val="00147CBF"/>
    <w:rsid w:val="00147D9A"/>
    <w:rsid w:val="00150D62"/>
    <w:rsid w:val="00152C87"/>
    <w:rsid w:val="00156760"/>
    <w:rsid w:val="00157F12"/>
    <w:rsid w:val="00161261"/>
    <w:rsid w:val="0016142A"/>
    <w:rsid w:val="00162670"/>
    <w:rsid w:val="0016496C"/>
    <w:rsid w:val="00165215"/>
    <w:rsid w:val="00167007"/>
    <w:rsid w:val="001673FC"/>
    <w:rsid w:val="00172A25"/>
    <w:rsid w:val="0017384A"/>
    <w:rsid w:val="00174AEB"/>
    <w:rsid w:val="00175071"/>
    <w:rsid w:val="0017571C"/>
    <w:rsid w:val="00180E6B"/>
    <w:rsid w:val="00181D00"/>
    <w:rsid w:val="001824F8"/>
    <w:rsid w:val="001828B2"/>
    <w:rsid w:val="0018329D"/>
    <w:rsid w:val="001838EC"/>
    <w:rsid w:val="00184814"/>
    <w:rsid w:val="00186DF5"/>
    <w:rsid w:val="001904B3"/>
    <w:rsid w:val="00193178"/>
    <w:rsid w:val="00194724"/>
    <w:rsid w:val="00194827"/>
    <w:rsid w:val="00194A0F"/>
    <w:rsid w:val="001A0506"/>
    <w:rsid w:val="001A142F"/>
    <w:rsid w:val="001A290D"/>
    <w:rsid w:val="001A2EC1"/>
    <w:rsid w:val="001A31E1"/>
    <w:rsid w:val="001A3434"/>
    <w:rsid w:val="001A34F0"/>
    <w:rsid w:val="001A351A"/>
    <w:rsid w:val="001A3FE6"/>
    <w:rsid w:val="001A4D52"/>
    <w:rsid w:val="001A6E9C"/>
    <w:rsid w:val="001B1189"/>
    <w:rsid w:val="001B15B5"/>
    <w:rsid w:val="001B32BB"/>
    <w:rsid w:val="001B34BA"/>
    <w:rsid w:val="001B548E"/>
    <w:rsid w:val="001B657F"/>
    <w:rsid w:val="001B797B"/>
    <w:rsid w:val="001C15CD"/>
    <w:rsid w:val="001C20B9"/>
    <w:rsid w:val="001C2FDE"/>
    <w:rsid w:val="001C403D"/>
    <w:rsid w:val="001C4BA3"/>
    <w:rsid w:val="001C5FC4"/>
    <w:rsid w:val="001C60B1"/>
    <w:rsid w:val="001C77E5"/>
    <w:rsid w:val="001D0913"/>
    <w:rsid w:val="001D17EA"/>
    <w:rsid w:val="001D1F6A"/>
    <w:rsid w:val="001D3147"/>
    <w:rsid w:val="001D4A15"/>
    <w:rsid w:val="001D7C74"/>
    <w:rsid w:val="001E6623"/>
    <w:rsid w:val="001E6E40"/>
    <w:rsid w:val="001E72D6"/>
    <w:rsid w:val="001F04C7"/>
    <w:rsid w:val="001F083B"/>
    <w:rsid w:val="001F0A3C"/>
    <w:rsid w:val="001F23A6"/>
    <w:rsid w:val="001F2EBF"/>
    <w:rsid w:val="001F373F"/>
    <w:rsid w:val="001F3FA1"/>
    <w:rsid w:val="001F60F4"/>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50A"/>
    <w:rsid w:val="00217F61"/>
    <w:rsid w:val="002239AB"/>
    <w:rsid w:val="00224F0F"/>
    <w:rsid w:val="00225615"/>
    <w:rsid w:val="0022719E"/>
    <w:rsid w:val="00231984"/>
    <w:rsid w:val="00232B87"/>
    <w:rsid w:val="002339F0"/>
    <w:rsid w:val="00237289"/>
    <w:rsid w:val="00237D13"/>
    <w:rsid w:val="00241061"/>
    <w:rsid w:val="00241AE9"/>
    <w:rsid w:val="00244807"/>
    <w:rsid w:val="00246B67"/>
    <w:rsid w:val="00246FEA"/>
    <w:rsid w:val="0025085A"/>
    <w:rsid w:val="00250A27"/>
    <w:rsid w:val="00250F03"/>
    <w:rsid w:val="002512F8"/>
    <w:rsid w:val="0025457B"/>
    <w:rsid w:val="0025458A"/>
    <w:rsid w:val="0025500E"/>
    <w:rsid w:val="0025509B"/>
    <w:rsid w:val="002553DA"/>
    <w:rsid w:val="00255BAD"/>
    <w:rsid w:val="00257B3B"/>
    <w:rsid w:val="002637C0"/>
    <w:rsid w:val="00266356"/>
    <w:rsid w:val="00270E39"/>
    <w:rsid w:val="00272248"/>
    <w:rsid w:val="002725DE"/>
    <w:rsid w:val="00273A1D"/>
    <w:rsid w:val="00273D63"/>
    <w:rsid w:val="002744DD"/>
    <w:rsid w:val="00274E8A"/>
    <w:rsid w:val="002761F4"/>
    <w:rsid w:val="002819CC"/>
    <w:rsid w:val="00283DB6"/>
    <w:rsid w:val="0028791A"/>
    <w:rsid w:val="002903DB"/>
    <w:rsid w:val="00290853"/>
    <w:rsid w:val="00290940"/>
    <w:rsid w:val="0029164A"/>
    <w:rsid w:val="002918AC"/>
    <w:rsid w:val="00291A48"/>
    <w:rsid w:val="00291AF4"/>
    <w:rsid w:val="00294045"/>
    <w:rsid w:val="00295345"/>
    <w:rsid w:val="002975AC"/>
    <w:rsid w:val="002A1E5B"/>
    <w:rsid w:val="002A41DA"/>
    <w:rsid w:val="002A42FF"/>
    <w:rsid w:val="002A6F37"/>
    <w:rsid w:val="002A7A89"/>
    <w:rsid w:val="002B03B2"/>
    <w:rsid w:val="002B1825"/>
    <w:rsid w:val="002B3051"/>
    <w:rsid w:val="002B47A2"/>
    <w:rsid w:val="002B4D56"/>
    <w:rsid w:val="002B5C0B"/>
    <w:rsid w:val="002B6351"/>
    <w:rsid w:val="002B6933"/>
    <w:rsid w:val="002B784B"/>
    <w:rsid w:val="002C0946"/>
    <w:rsid w:val="002C2590"/>
    <w:rsid w:val="002C2C3F"/>
    <w:rsid w:val="002C50CA"/>
    <w:rsid w:val="002C602F"/>
    <w:rsid w:val="002C7C2B"/>
    <w:rsid w:val="002D1F37"/>
    <w:rsid w:val="002D4F98"/>
    <w:rsid w:val="002D50D6"/>
    <w:rsid w:val="002D55F4"/>
    <w:rsid w:val="002D5DA0"/>
    <w:rsid w:val="002D77A9"/>
    <w:rsid w:val="002E011D"/>
    <w:rsid w:val="002E0B47"/>
    <w:rsid w:val="002E0BB9"/>
    <w:rsid w:val="002E40BB"/>
    <w:rsid w:val="002E6A3D"/>
    <w:rsid w:val="002E742C"/>
    <w:rsid w:val="002F120E"/>
    <w:rsid w:val="002F248E"/>
    <w:rsid w:val="002F25B0"/>
    <w:rsid w:val="002F3C73"/>
    <w:rsid w:val="002F4472"/>
    <w:rsid w:val="002F5953"/>
    <w:rsid w:val="002F5EAC"/>
    <w:rsid w:val="002F6EEF"/>
    <w:rsid w:val="002F72C0"/>
    <w:rsid w:val="0030070B"/>
    <w:rsid w:val="003014C2"/>
    <w:rsid w:val="003028DB"/>
    <w:rsid w:val="00304F79"/>
    <w:rsid w:val="00306BB3"/>
    <w:rsid w:val="00307A0E"/>
    <w:rsid w:val="00312022"/>
    <w:rsid w:val="0031385F"/>
    <w:rsid w:val="0031483B"/>
    <w:rsid w:val="00314876"/>
    <w:rsid w:val="00317B29"/>
    <w:rsid w:val="003202C1"/>
    <w:rsid w:val="00326649"/>
    <w:rsid w:val="003268E2"/>
    <w:rsid w:val="00326D04"/>
    <w:rsid w:val="00326FFD"/>
    <w:rsid w:val="00331B78"/>
    <w:rsid w:val="00332AD8"/>
    <w:rsid w:val="00335F59"/>
    <w:rsid w:val="00341757"/>
    <w:rsid w:val="003418C3"/>
    <w:rsid w:val="003435FA"/>
    <w:rsid w:val="003445A2"/>
    <w:rsid w:val="003478B4"/>
    <w:rsid w:val="00350D8D"/>
    <w:rsid w:val="00351AA0"/>
    <w:rsid w:val="00352F47"/>
    <w:rsid w:val="0035463A"/>
    <w:rsid w:val="00357A2C"/>
    <w:rsid w:val="003608F0"/>
    <w:rsid w:val="003620CD"/>
    <w:rsid w:val="00363F09"/>
    <w:rsid w:val="00364A83"/>
    <w:rsid w:val="00367957"/>
    <w:rsid w:val="003705EF"/>
    <w:rsid w:val="003719EC"/>
    <w:rsid w:val="00372ABF"/>
    <w:rsid w:val="0037398A"/>
    <w:rsid w:val="00376CEF"/>
    <w:rsid w:val="003773F8"/>
    <w:rsid w:val="00381A75"/>
    <w:rsid w:val="00383F46"/>
    <w:rsid w:val="0038592C"/>
    <w:rsid w:val="00386F10"/>
    <w:rsid w:val="003900A2"/>
    <w:rsid w:val="003905CA"/>
    <w:rsid w:val="003906FF"/>
    <w:rsid w:val="00393529"/>
    <w:rsid w:val="003950EC"/>
    <w:rsid w:val="00397AA4"/>
    <w:rsid w:val="003A0426"/>
    <w:rsid w:val="003A0BA4"/>
    <w:rsid w:val="003A193D"/>
    <w:rsid w:val="003A1A94"/>
    <w:rsid w:val="003A5E65"/>
    <w:rsid w:val="003A657F"/>
    <w:rsid w:val="003A6F5B"/>
    <w:rsid w:val="003B05AB"/>
    <w:rsid w:val="003B0922"/>
    <w:rsid w:val="003B0E4C"/>
    <w:rsid w:val="003B1A4F"/>
    <w:rsid w:val="003B1F60"/>
    <w:rsid w:val="003B2B5A"/>
    <w:rsid w:val="003B4005"/>
    <w:rsid w:val="003B465C"/>
    <w:rsid w:val="003B5F90"/>
    <w:rsid w:val="003B6D50"/>
    <w:rsid w:val="003C2496"/>
    <w:rsid w:val="003C488C"/>
    <w:rsid w:val="003C691E"/>
    <w:rsid w:val="003D01AF"/>
    <w:rsid w:val="003D4908"/>
    <w:rsid w:val="003D7335"/>
    <w:rsid w:val="003E40B5"/>
    <w:rsid w:val="003E4A67"/>
    <w:rsid w:val="003E4DD8"/>
    <w:rsid w:val="003E6E62"/>
    <w:rsid w:val="003F1F82"/>
    <w:rsid w:val="003F2A27"/>
    <w:rsid w:val="003F43C8"/>
    <w:rsid w:val="003F5CC4"/>
    <w:rsid w:val="003F67DE"/>
    <w:rsid w:val="003F75A6"/>
    <w:rsid w:val="003F786B"/>
    <w:rsid w:val="004020E4"/>
    <w:rsid w:val="00403794"/>
    <w:rsid w:val="0040414A"/>
    <w:rsid w:val="00404DD8"/>
    <w:rsid w:val="00406BFE"/>
    <w:rsid w:val="004076BF"/>
    <w:rsid w:val="00411191"/>
    <w:rsid w:val="00411C0E"/>
    <w:rsid w:val="00411CF0"/>
    <w:rsid w:val="00411F72"/>
    <w:rsid w:val="00412E8E"/>
    <w:rsid w:val="00413B6F"/>
    <w:rsid w:val="00415D76"/>
    <w:rsid w:val="00415F7B"/>
    <w:rsid w:val="00416FC9"/>
    <w:rsid w:val="00417538"/>
    <w:rsid w:val="004177B4"/>
    <w:rsid w:val="0041793F"/>
    <w:rsid w:val="00420504"/>
    <w:rsid w:val="00423736"/>
    <w:rsid w:val="00424E6F"/>
    <w:rsid w:val="0042540D"/>
    <w:rsid w:val="004310C7"/>
    <w:rsid w:val="004331E9"/>
    <w:rsid w:val="00443FE3"/>
    <w:rsid w:val="00444226"/>
    <w:rsid w:val="00445866"/>
    <w:rsid w:val="00445D8F"/>
    <w:rsid w:val="004475CC"/>
    <w:rsid w:val="00450BED"/>
    <w:rsid w:val="00451063"/>
    <w:rsid w:val="004513C2"/>
    <w:rsid w:val="00451ABA"/>
    <w:rsid w:val="00452EA1"/>
    <w:rsid w:val="00453435"/>
    <w:rsid w:val="00454E29"/>
    <w:rsid w:val="004560F5"/>
    <w:rsid w:val="004569F4"/>
    <w:rsid w:val="00456BC1"/>
    <w:rsid w:val="00463FD8"/>
    <w:rsid w:val="00464CD0"/>
    <w:rsid w:val="00466E6C"/>
    <w:rsid w:val="00467FEB"/>
    <w:rsid w:val="00472637"/>
    <w:rsid w:val="0047300C"/>
    <w:rsid w:val="0047336E"/>
    <w:rsid w:val="00474099"/>
    <w:rsid w:val="004751CD"/>
    <w:rsid w:val="00475B54"/>
    <w:rsid w:val="004763AC"/>
    <w:rsid w:val="00476508"/>
    <w:rsid w:val="004776B2"/>
    <w:rsid w:val="004800CF"/>
    <w:rsid w:val="004804CE"/>
    <w:rsid w:val="00480A79"/>
    <w:rsid w:val="004816F6"/>
    <w:rsid w:val="00481F9B"/>
    <w:rsid w:val="004821A5"/>
    <w:rsid w:val="00482B4C"/>
    <w:rsid w:val="00482F3D"/>
    <w:rsid w:val="0048376B"/>
    <w:rsid w:val="00486A8A"/>
    <w:rsid w:val="004925F7"/>
    <w:rsid w:val="004940B7"/>
    <w:rsid w:val="0049673D"/>
    <w:rsid w:val="00496E04"/>
    <w:rsid w:val="004A1976"/>
    <w:rsid w:val="004A1F56"/>
    <w:rsid w:val="004A2074"/>
    <w:rsid w:val="004A2665"/>
    <w:rsid w:val="004A56AF"/>
    <w:rsid w:val="004A5933"/>
    <w:rsid w:val="004A6A93"/>
    <w:rsid w:val="004A6E2E"/>
    <w:rsid w:val="004B0198"/>
    <w:rsid w:val="004B0981"/>
    <w:rsid w:val="004B3DE6"/>
    <w:rsid w:val="004B550F"/>
    <w:rsid w:val="004B617C"/>
    <w:rsid w:val="004B7C13"/>
    <w:rsid w:val="004C164B"/>
    <w:rsid w:val="004C3AF5"/>
    <w:rsid w:val="004C3E95"/>
    <w:rsid w:val="004C673C"/>
    <w:rsid w:val="004C6E14"/>
    <w:rsid w:val="004C7662"/>
    <w:rsid w:val="004D202D"/>
    <w:rsid w:val="004D3922"/>
    <w:rsid w:val="004D40E3"/>
    <w:rsid w:val="004D5BFB"/>
    <w:rsid w:val="004D6A71"/>
    <w:rsid w:val="004E0F6A"/>
    <w:rsid w:val="004E12FF"/>
    <w:rsid w:val="004E4486"/>
    <w:rsid w:val="004E4B60"/>
    <w:rsid w:val="004E5460"/>
    <w:rsid w:val="004E607D"/>
    <w:rsid w:val="004E7040"/>
    <w:rsid w:val="004F14C5"/>
    <w:rsid w:val="004F3806"/>
    <w:rsid w:val="004F3D0D"/>
    <w:rsid w:val="004F479C"/>
    <w:rsid w:val="004F788C"/>
    <w:rsid w:val="004F7E19"/>
    <w:rsid w:val="00503618"/>
    <w:rsid w:val="00504DBF"/>
    <w:rsid w:val="00506F0C"/>
    <w:rsid w:val="00506F79"/>
    <w:rsid w:val="005134ED"/>
    <w:rsid w:val="00514C25"/>
    <w:rsid w:val="0051556C"/>
    <w:rsid w:val="005161C9"/>
    <w:rsid w:val="00516733"/>
    <w:rsid w:val="0052021B"/>
    <w:rsid w:val="00520DCB"/>
    <w:rsid w:val="0052372C"/>
    <w:rsid w:val="00524879"/>
    <w:rsid w:val="0052503E"/>
    <w:rsid w:val="00526BBC"/>
    <w:rsid w:val="005303DD"/>
    <w:rsid w:val="005305F4"/>
    <w:rsid w:val="005306CD"/>
    <w:rsid w:val="00530EBE"/>
    <w:rsid w:val="0053293C"/>
    <w:rsid w:val="005333E2"/>
    <w:rsid w:val="00533BE9"/>
    <w:rsid w:val="005344F2"/>
    <w:rsid w:val="00534712"/>
    <w:rsid w:val="00535B15"/>
    <w:rsid w:val="005362A9"/>
    <w:rsid w:val="00541617"/>
    <w:rsid w:val="005418EE"/>
    <w:rsid w:val="0054241F"/>
    <w:rsid w:val="005431CC"/>
    <w:rsid w:val="0054456F"/>
    <w:rsid w:val="00545639"/>
    <w:rsid w:val="005462AF"/>
    <w:rsid w:val="005511F9"/>
    <w:rsid w:val="00551AA8"/>
    <w:rsid w:val="0055383D"/>
    <w:rsid w:val="005538DD"/>
    <w:rsid w:val="00554CE1"/>
    <w:rsid w:val="005562DC"/>
    <w:rsid w:val="00556C24"/>
    <w:rsid w:val="005575F5"/>
    <w:rsid w:val="00557E2F"/>
    <w:rsid w:val="00560101"/>
    <w:rsid w:val="005637B7"/>
    <w:rsid w:val="00564A7F"/>
    <w:rsid w:val="00565777"/>
    <w:rsid w:val="00570755"/>
    <w:rsid w:val="005714B2"/>
    <w:rsid w:val="00572892"/>
    <w:rsid w:val="00573C60"/>
    <w:rsid w:val="0057494E"/>
    <w:rsid w:val="005764B1"/>
    <w:rsid w:val="00581213"/>
    <w:rsid w:val="00581302"/>
    <w:rsid w:val="00585B7B"/>
    <w:rsid w:val="00587C74"/>
    <w:rsid w:val="00590DD0"/>
    <w:rsid w:val="00591268"/>
    <w:rsid w:val="0059164E"/>
    <w:rsid w:val="0059354C"/>
    <w:rsid w:val="00593973"/>
    <w:rsid w:val="00594DEF"/>
    <w:rsid w:val="0059643F"/>
    <w:rsid w:val="005A02DC"/>
    <w:rsid w:val="005A03DE"/>
    <w:rsid w:val="005A077D"/>
    <w:rsid w:val="005A0EAC"/>
    <w:rsid w:val="005A19BE"/>
    <w:rsid w:val="005A2C74"/>
    <w:rsid w:val="005A518B"/>
    <w:rsid w:val="005A627E"/>
    <w:rsid w:val="005A7083"/>
    <w:rsid w:val="005A7608"/>
    <w:rsid w:val="005A7644"/>
    <w:rsid w:val="005B1022"/>
    <w:rsid w:val="005B132D"/>
    <w:rsid w:val="005B1E9C"/>
    <w:rsid w:val="005B31E6"/>
    <w:rsid w:val="005B4B22"/>
    <w:rsid w:val="005B5C5C"/>
    <w:rsid w:val="005B65A4"/>
    <w:rsid w:val="005B6625"/>
    <w:rsid w:val="005C1641"/>
    <w:rsid w:val="005C1BC7"/>
    <w:rsid w:val="005C278A"/>
    <w:rsid w:val="005C32C9"/>
    <w:rsid w:val="005C3A56"/>
    <w:rsid w:val="005C3A67"/>
    <w:rsid w:val="005C3CFB"/>
    <w:rsid w:val="005C5513"/>
    <w:rsid w:val="005C5DB9"/>
    <w:rsid w:val="005C5E85"/>
    <w:rsid w:val="005C6705"/>
    <w:rsid w:val="005C6B8A"/>
    <w:rsid w:val="005C7471"/>
    <w:rsid w:val="005D05F2"/>
    <w:rsid w:val="005D2257"/>
    <w:rsid w:val="005D2C19"/>
    <w:rsid w:val="005D4A0C"/>
    <w:rsid w:val="005D5305"/>
    <w:rsid w:val="005D564D"/>
    <w:rsid w:val="005D5AF5"/>
    <w:rsid w:val="005D64B0"/>
    <w:rsid w:val="005D6B61"/>
    <w:rsid w:val="005D6B8A"/>
    <w:rsid w:val="005E1228"/>
    <w:rsid w:val="005E166F"/>
    <w:rsid w:val="005E30CF"/>
    <w:rsid w:val="005E40D9"/>
    <w:rsid w:val="005E4159"/>
    <w:rsid w:val="005E4DF4"/>
    <w:rsid w:val="005E602D"/>
    <w:rsid w:val="005F1A2C"/>
    <w:rsid w:val="005F22A7"/>
    <w:rsid w:val="005F3810"/>
    <w:rsid w:val="005F3AA1"/>
    <w:rsid w:val="005F6A42"/>
    <w:rsid w:val="00600E72"/>
    <w:rsid w:val="0060231D"/>
    <w:rsid w:val="00604944"/>
    <w:rsid w:val="00605A33"/>
    <w:rsid w:val="0060679E"/>
    <w:rsid w:val="00606918"/>
    <w:rsid w:val="00607D79"/>
    <w:rsid w:val="006107D6"/>
    <w:rsid w:val="0061090E"/>
    <w:rsid w:val="00615FD8"/>
    <w:rsid w:val="00616477"/>
    <w:rsid w:val="00617D7A"/>
    <w:rsid w:val="00620CAE"/>
    <w:rsid w:val="00620EFF"/>
    <w:rsid w:val="006213D4"/>
    <w:rsid w:val="0062334B"/>
    <w:rsid w:val="006234D3"/>
    <w:rsid w:val="00623FAA"/>
    <w:rsid w:val="00624591"/>
    <w:rsid w:val="00625948"/>
    <w:rsid w:val="00625AC4"/>
    <w:rsid w:val="00626634"/>
    <w:rsid w:val="006316C2"/>
    <w:rsid w:val="00631D5F"/>
    <w:rsid w:val="00632290"/>
    <w:rsid w:val="006324A3"/>
    <w:rsid w:val="00633098"/>
    <w:rsid w:val="006337E8"/>
    <w:rsid w:val="006344E9"/>
    <w:rsid w:val="0063589D"/>
    <w:rsid w:val="0063777A"/>
    <w:rsid w:val="00640C60"/>
    <w:rsid w:val="00642ABF"/>
    <w:rsid w:val="00643E6C"/>
    <w:rsid w:val="0064591A"/>
    <w:rsid w:val="00653952"/>
    <w:rsid w:val="00653B95"/>
    <w:rsid w:val="00654274"/>
    <w:rsid w:val="0065598F"/>
    <w:rsid w:val="0065692E"/>
    <w:rsid w:val="00657F26"/>
    <w:rsid w:val="00660B52"/>
    <w:rsid w:val="00660FD0"/>
    <w:rsid w:val="00662C4D"/>
    <w:rsid w:val="0066443C"/>
    <w:rsid w:val="00664540"/>
    <w:rsid w:val="0066504D"/>
    <w:rsid w:val="00666844"/>
    <w:rsid w:val="00667079"/>
    <w:rsid w:val="00670B6E"/>
    <w:rsid w:val="00671666"/>
    <w:rsid w:val="00672427"/>
    <w:rsid w:val="00672827"/>
    <w:rsid w:val="00672CAB"/>
    <w:rsid w:val="00676453"/>
    <w:rsid w:val="00676573"/>
    <w:rsid w:val="006769A6"/>
    <w:rsid w:val="00682170"/>
    <w:rsid w:val="00685380"/>
    <w:rsid w:val="00685E09"/>
    <w:rsid w:val="0068655F"/>
    <w:rsid w:val="00687B8B"/>
    <w:rsid w:val="00693071"/>
    <w:rsid w:val="00693E2C"/>
    <w:rsid w:val="00694526"/>
    <w:rsid w:val="00694574"/>
    <w:rsid w:val="00696599"/>
    <w:rsid w:val="00696EF6"/>
    <w:rsid w:val="00697E73"/>
    <w:rsid w:val="006A20B2"/>
    <w:rsid w:val="006A26FB"/>
    <w:rsid w:val="006A3F8B"/>
    <w:rsid w:val="006A5B29"/>
    <w:rsid w:val="006A6D16"/>
    <w:rsid w:val="006A792B"/>
    <w:rsid w:val="006A7A10"/>
    <w:rsid w:val="006A7BBB"/>
    <w:rsid w:val="006B0031"/>
    <w:rsid w:val="006B01F8"/>
    <w:rsid w:val="006B0686"/>
    <w:rsid w:val="006B1546"/>
    <w:rsid w:val="006B2095"/>
    <w:rsid w:val="006B232C"/>
    <w:rsid w:val="006B25C7"/>
    <w:rsid w:val="006B5FDC"/>
    <w:rsid w:val="006B67CD"/>
    <w:rsid w:val="006B76EE"/>
    <w:rsid w:val="006C11C7"/>
    <w:rsid w:val="006C1D18"/>
    <w:rsid w:val="006C1FD3"/>
    <w:rsid w:val="006C4CF8"/>
    <w:rsid w:val="006D03B1"/>
    <w:rsid w:val="006D20BD"/>
    <w:rsid w:val="006D263E"/>
    <w:rsid w:val="006D499B"/>
    <w:rsid w:val="006D531B"/>
    <w:rsid w:val="006D5A81"/>
    <w:rsid w:val="006D6BB4"/>
    <w:rsid w:val="006D759A"/>
    <w:rsid w:val="006D7BDE"/>
    <w:rsid w:val="006E0FB6"/>
    <w:rsid w:val="006E2009"/>
    <w:rsid w:val="006E4CBA"/>
    <w:rsid w:val="006E6160"/>
    <w:rsid w:val="006E768C"/>
    <w:rsid w:val="006E78C3"/>
    <w:rsid w:val="006F0E4D"/>
    <w:rsid w:val="006F28DA"/>
    <w:rsid w:val="006F2A8A"/>
    <w:rsid w:val="006F3DD2"/>
    <w:rsid w:val="006F5778"/>
    <w:rsid w:val="00700411"/>
    <w:rsid w:val="007052C3"/>
    <w:rsid w:val="00705BB4"/>
    <w:rsid w:val="00706CAC"/>
    <w:rsid w:val="00707D91"/>
    <w:rsid w:val="00710206"/>
    <w:rsid w:val="007103A6"/>
    <w:rsid w:val="00712406"/>
    <w:rsid w:val="00713888"/>
    <w:rsid w:val="00714715"/>
    <w:rsid w:val="007213F1"/>
    <w:rsid w:val="00721827"/>
    <w:rsid w:val="00723FB2"/>
    <w:rsid w:val="007247C1"/>
    <w:rsid w:val="00724AF2"/>
    <w:rsid w:val="00724F55"/>
    <w:rsid w:val="007263F1"/>
    <w:rsid w:val="00726C59"/>
    <w:rsid w:val="007275E1"/>
    <w:rsid w:val="0073052C"/>
    <w:rsid w:val="0073235F"/>
    <w:rsid w:val="00732686"/>
    <w:rsid w:val="00732A32"/>
    <w:rsid w:val="0073363A"/>
    <w:rsid w:val="00733E34"/>
    <w:rsid w:val="00734D65"/>
    <w:rsid w:val="007351BE"/>
    <w:rsid w:val="007442E2"/>
    <w:rsid w:val="00745B25"/>
    <w:rsid w:val="00750045"/>
    <w:rsid w:val="0075045D"/>
    <w:rsid w:val="00754101"/>
    <w:rsid w:val="0075490B"/>
    <w:rsid w:val="007558B7"/>
    <w:rsid w:val="00757A53"/>
    <w:rsid w:val="00760A85"/>
    <w:rsid w:val="00760EF9"/>
    <w:rsid w:val="00760F36"/>
    <w:rsid w:val="00761DBC"/>
    <w:rsid w:val="00762033"/>
    <w:rsid w:val="00762F8F"/>
    <w:rsid w:val="00763103"/>
    <w:rsid w:val="00763461"/>
    <w:rsid w:val="0076557F"/>
    <w:rsid w:val="00765AA8"/>
    <w:rsid w:val="0076629B"/>
    <w:rsid w:val="007667AC"/>
    <w:rsid w:val="00767815"/>
    <w:rsid w:val="00770316"/>
    <w:rsid w:val="0077133D"/>
    <w:rsid w:val="007737B9"/>
    <w:rsid w:val="00773B13"/>
    <w:rsid w:val="00774453"/>
    <w:rsid w:val="00775647"/>
    <w:rsid w:val="00776830"/>
    <w:rsid w:val="00776B8D"/>
    <w:rsid w:val="00776EE1"/>
    <w:rsid w:val="00781BCE"/>
    <w:rsid w:val="00783B51"/>
    <w:rsid w:val="00785F44"/>
    <w:rsid w:val="00791E20"/>
    <w:rsid w:val="00791E64"/>
    <w:rsid w:val="0079257F"/>
    <w:rsid w:val="0079317A"/>
    <w:rsid w:val="00795000"/>
    <w:rsid w:val="007951D8"/>
    <w:rsid w:val="0079599F"/>
    <w:rsid w:val="00795A9E"/>
    <w:rsid w:val="0079616C"/>
    <w:rsid w:val="00797264"/>
    <w:rsid w:val="00797F5F"/>
    <w:rsid w:val="007A0D97"/>
    <w:rsid w:val="007A1337"/>
    <w:rsid w:val="007A424E"/>
    <w:rsid w:val="007A4A08"/>
    <w:rsid w:val="007A4B92"/>
    <w:rsid w:val="007A51FA"/>
    <w:rsid w:val="007A584F"/>
    <w:rsid w:val="007A68A0"/>
    <w:rsid w:val="007A70F7"/>
    <w:rsid w:val="007A7D3A"/>
    <w:rsid w:val="007A7E67"/>
    <w:rsid w:val="007B1544"/>
    <w:rsid w:val="007B1F8F"/>
    <w:rsid w:val="007B25D4"/>
    <w:rsid w:val="007B3D22"/>
    <w:rsid w:val="007B47C2"/>
    <w:rsid w:val="007C05FF"/>
    <w:rsid w:val="007C0F2C"/>
    <w:rsid w:val="007C221B"/>
    <w:rsid w:val="007C231C"/>
    <w:rsid w:val="007C34AD"/>
    <w:rsid w:val="007C4848"/>
    <w:rsid w:val="007C49C6"/>
    <w:rsid w:val="007C5877"/>
    <w:rsid w:val="007C590D"/>
    <w:rsid w:val="007C5E55"/>
    <w:rsid w:val="007C6451"/>
    <w:rsid w:val="007D3AAC"/>
    <w:rsid w:val="007E2464"/>
    <w:rsid w:val="007E36FC"/>
    <w:rsid w:val="007E3B5B"/>
    <w:rsid w:val="007E6314"/>
    <w:rsid w:val="007E7F9D"/>
    <w:rsid w:val="007F0A35"/>
    <w:rsid w:val="007F1F1C"/>
    <w:rsid w:val="007F3911"/>
    <w:rsid w:val="007F4741"/>
    <w:rsid w:val="007F55D7"/>
    <w:rsid w:val="007F5AEE"/>
    <w:rsid w:val="007F6D6B"/>
    <w:rsid w:val="0080017B"/>
    <w:rsid w:val="00803311"/>
    <w:rsid w:val="00803457"/>
    <w:rsid w:val="008034B4"/>
    <w:rsid w:val="00803645"/>
    <w:rsid w:val="00804094"/>
    <w:rsid w:val="00804959"/>
    <w:rsid w:val="00804B8C"/>
    <w:rsid w:val="008055C0"/>
    <w:rsid w:val="0081654C"/>
    <w:rsid w:val="00816572"/>
    <w:rsid w:val="0081704B"/>
    <w:rsid w:val="008212A7"/>
    <w:rsid w:val="008221C8"/>
    <w:rsid w:val="0082231A"/>
    <w:rsid w:val="008243FF"/>
    <w:rsid w:val="0082788E"/>
    <w:rsid w:val="00830DCA"/>
    <w:rsid w:val="00831A72"/>
    <w:rsid w:val="00832B1D"/>
    <w:rsid w:val="00832D0B"/>
    <w:rsid w:val="00833325"/>
    <w:rsid w:val="008338A0"/>
    <w:rsid w:val="00833D7A"/>
    <w:rsid w:val="00834B1C"/>
    <w:rsid w:val="0083519C"/>
    <w:rsid w:val="008367F4"/>
    <w:rsid w:val="008373D3"/>
    <w:rsid w:val="0084066D"/>
    <w:rsid w:val="00842544"/>
    <w:rsid w:val="008431E8"/>
    <w:rsid w:val="00843444"/>
    <w:rsid w:val="00843AB5"/>
    <w:rsid w:val="00844460"/>
    <w:rsid w:val="00844660"/>
    <w:rsid w:val="00846518"/>
    <w:rsid w:val="00850449"/>
    <w:rsid w:val="00852127"/>
    <w:rsid w:val="00852749"/>
    <w:rsid w:val="00853066"/>
    <w:rsid w:val="0085329C"/>
    <w:rsid w:val="00853B4B"/>
    <w:rsid w:val="00854DCF"/>
    <w:rsid w:val="0086173C"/>
    <w:rsid w:val="008628E4"/>
    <w:rsid w:val="008629E0"/>
    <w:rsid w:val="008634F5"/>
    <w:rsid w:val="00864AD2"/>
    <w:rsid w:val="00865F4A"/>
    <w:rsid w:val="0086671A"/>
    <w:rsid w:val="0087128F"/>
    <w:rsid w:val="00871CB3"/>
    <w:rsid w:val="008723BF"/>
    <w:rsid w:val="008736C0"/>
    <w:rsid w:val="00873AFB"/>
    <w:rsid w:val="00873ED2"/>
    <w:rsid w:val="00880012"/>
    <w:rsid w:val="00882419"/>
    <w:rsid w:val="0088273C"/>
    <w:rsid w:val="00884A65"/>
    <w:rsid w:val="00887353"/>
    <w:rsid w:val="0089266F"/>
    <w:rsid w:val="00892CEB"/>
    <w:rsid w:val="00892DC2"/>
    <w:rsid w:val="0089323C"/>
    <w:rsid w:val="00893CD2"/>
    <w:rsid w:val="008A03ED"/>
    <w:rsid w:val="008A17E9"/>
    <w:rsid w:val="008A60A4"/>
    <w:rsid w:val="008A6C8A"/>
    <w:rsid w:val="008B2279"/>
    <w:rsid w:val="008B27BF"/>
    <w:rsid w:val="008B50AE"/>
    <w:rsid w:val="008B53EA"/>
    <w:rsid w:val="008B55F4"/>
    <w:rsid w:val="008B5BBC"/>
    <w:rsid w:val="008C06F7"/>
    <w:rsid w:val="008C200C"/>
    <w:rsid w:val="008C28CD"/>
    <w:rsid w:val="008C41B8"/>
    <w:rsid w:val="008C5946"/>
    <w:rsid w:val="008C68D2"/>
    <w:rsid w:val="008C716F"/>
    <w:rsid w:val="008D1C7C"/>
    <w:rsid w:val="008D28DE"/>
    <w:rsid w:val="008D2C97"/>
    <w:rsid w:val="008D563E"/>
    <w:rsid w:val="008D63FB"/>
    <w:rsid w:val="008D645D"/>
    <w:rsid w:val="008D6F18"/>
    <w:rsid w:val="008D7B3A"/>
    <w:rsid w:val="008D7D52"/>
    <w:rsid w:val="008E0672"/>
    <w:rsid w:val="008E08B5"/>
    <w:rsid w:val="008E0A34"/>
    <w:rsid w:val="008E120E"/>
    <w:rsid w:val="008E2F46"/>
    <w:rsid w:val="008E2F5F"/>
    <w:rsid w:val="008E403C"/>
    <w:rsid w:val="008E4101"/>
    <w:rsid w:val="008E4715"/>
    <w:rsid w:val="008F0F03"/>
    <w:rsid w:val="008F11A3"/>
    <w:rsid w:val="008F1895"/>
    <w:rsid w:val="008F240C"/>
    <w:rsid w:val="008F245F"/>
    <w:rsid w:val="008F5CF2"/>
    <w:rsid w:val="008F62DB"/>
    <w:rsid w:val="008F643F"/>
    <w:rsid w:val="00901B63"/>
    <w:rsid w:val="00902EBE"/>
    <w:rsid w:val="00903206"/>
    <w:rsid w:val="009063BF"/>
    <w:rsid w:val="00907E6F"/>
    <w:rsid w:val="00910FB5"/>
    <w:rsid w:val="0091172F"/>
    <w:rsid w:val="009122A7"/>
    <w:rsid w:val="00913388"/>
    <w:rsid w:val="009146B5"/>
    <w:rsid w:val="00915176"/>
    <w:rsid w:val="00916055"/>
    <w:rsid w:val="0091656C"/>
    <w:rsid w:val="009179FA"/>
    <w:rsid w:val="0092093A"/>
    <w:rsid w:val="00920AFE"/>
    <w:rsid w:val="009212E2"/>
    <w:rsid w:val="00921833"/>
    <w:rsid w:val="00921F54"/>
    <w:rsid w:val="00922913"/>
    <w:rsid w:val="00923486"/>
    <w:rsid w:val="0092388C"/>
    <w:rsid w:val="009254BE"/>
    <w:rsid w:val="00930905"/>
    <w:rsid w:val="009321E2"/>
    <w:rsid w:val="009343C2"/>
    <w:rsid w:val="00935F6C"/>
    <w:rsid w:val="00941288"/>
    <w:rsid w:val="009414A1"/>
    <w:rsid w:val="00942D3A"/>
    <w:rsid w:val="00943700"/>
    <w:rsid w:val="00943C3C"/>
    <w:rsid w:val="00944333"/>
    <w:rsid w:val="00944E24"/>
    <w:rsid w:val="00947832"/>
    <w:rsid w:val="00951967"/>
    <w:rsid w:val="0095432B"/>
    <w:rsid w:val="00954625"/>
    <w:rsid w:val="0095616A"/>
    <w:rsid w:val="00956847"/>
    <w:rsid w:val="00957BFE"/>
    <w:rsid w:val="00960BD9"/>
    <w:rsid w:val="00961924"/>
    <w:rsid w:val="0096294C"/>
    <w:rsid w:val="009629C7"/>
    <w:rsid w:val="00962C97"/>
    <w:rsid w:val="009631D8"/>
    <w:rsid w:val="00964D71"/>
    <w:rsid w:val="00965B17"/>
    <w:rsid w:val="009667F8"/>
    <w:rsid w:val="00967D62"/>
    <w:rsid w:val="00970D16"/>
    <w:rsid w:val="00972129"/>
    <w:rsid w:val="00973DDB"/>
    <w:rsid w:val="00975D40"/>
    <w:rsid w:val="00976CDB"/>
    <w:rsid w:val="009848C9"/>
    <w:rsid w:val="009849CF"/>
    <w:rsid w:val="00985B4B"/>
    <w:rsid w:val="009879C2"/>
    <w:rsid w:val="00987CF4"/>
    <w:rsid w:val="00991790"/>
    <w:rsid w:val="0099370A"/>
    <w:rsid w:val="009950B3"/>
    <w:rsid w:val="00995D97"/>
    <w:rsid w:val="00996AEB"/>
    <w:rsid w:val="009A375F"/>
    <w:rsid w:val="009A58F7"/>
    <w:rsid w:val="009B09FE"/>
    <w:rsid w:val="009B2854"/>
    <w:rsid w:val="009B2F21"/>
    <w:rsid w:val="009B49A0"/>
    <w:rsid w:val="009B774A"/>
    <w:rsid w:val="009C01F3"/>
    <w:rsid w:val="009C0BE4"/>
    <w:rsid w:val="009C17F0"/>
    <w:rsid w:val="009C4A7C"/>
    <w:rsid w:val="009C5DAF"/>
    <w:rsid w:val="009C6731"/>
    <w:rsid w:val="009C680C"/>
    <w:rsid w:val="009C69D5"/>
    <w:rsid w:val="009C72DF"/>
    <w:rsid w:val="009C7421"/>
    <w:rsid w:val="009D008F"/>
    <w:rsid w:val="009D0AD7"/>
    <w:rsid w:val="009D2B33"/>
    <w:rsid w:val="009D45E8"/>
    <w:rsid w:val="009D482E"/>
    <w:rsid w:val="009D54A8"/>
    <w:rsid w:val="009D593E"/>
    <w:rsid w:val="009D5CF1"/>
    <w:rsid w:val="009E0E18"/>
    <w:rsid w:val="009E17D1"/>
    <w:rsid w:val="009E39D6"/>
    <w:rsid w:val="009E4529"/>
    <w:rsid w:val="009E465E"/>
    <w:rsid w:val="009E5842"/>
    <w:rsid w:val="009F01B0"/>
    <w:rsid w:val="009F066C"/>
    <w:rsid w:val="009F0A4C"/>
    <w:rsid w:val="009F1E12"/>
    <w:rsid w:val="009F1F3A"/>
    <w:rsid w:val="009F3D84"/>
    <w:rsid w:val="009F41FE"/>
    <w:rsid w:val="009F5244"/>
    <w:rsid w:val="009F5B27"/>
    <w:rsid w:val="009F5CAD"/>
    <w:rsid w:val="009F641D"/>
    <w:rsid w:val="009F65C9"/>
    <w:rsid w:val="009F6AC7"/>
    <w:rsid w:val="009F7B9E"/>
    <w:rsid w:val="00A07D34"/>
    <w:rsid w:val="00A10BB0"/>
    <w:rsid w:val="00A122C0"/>
    <w:rsid w:val="00A13034"/>
    <w:rsid w:val="00A1339D"/>
    <w:rsid w:val="00A13445"/>
    <w:rsid w:val="00A1385E"/>
    <w:rsid w:val="00A13CB9"/>
    <w:rsid w:val="00A15252"/>
    <w:rsid w:val="00A17D77"/>
    <w:rsid w:val="00A2036F"/>
    <w:rsid w:val="00A208FB"/>
    <w:rsid w:val="00A2178F"/>
    <w:rsid w:val="00A21DDA"/>
    <w:rsid w:val="00A22F12"/>
    <w:rsid w:val="00A23073"/>
    <w:rsid w:val="00A231FE"/>
    <w:rsid w:val="00A2356A"/>
    <w:rsid w:val="00A24920"/>
    <w:rsid w:val="00A25A59"/>
    <w:rsid w:val="00A26E8E"/>
    <w:rsid w:val="00A310E9"/>
    <w:rsid w:val="00A3143D"/>
    <w:rsid w:val="00A35160"/>
    <w:rsid w:val="00A354B5"/>
    <w:rsid w:val="00A36173"/>
    <w:rsid w:val="00A373E1"/>
    <w:rsid w:val="00A400FE"/>
    <w:rsid w:val="00A43955"/>
    <w:rsid w:val="00A43A10"/>
    <w:rsid w:val="00A43A41"/>
    <w:rsid w:val="00A444EC"/>
    <w:rsid w:val="00A45BBB"/>
    <w:rsid w:val="00A46C40"/>
    <w:rsid w:val="00A51F07"/>
    <w:rsid w:val="00A524B8"/>
    <w:rsid w:val="00A562C5"/>
    <w:rsid w:val="00A5709C"/>
    <w:rsid w:val="00A57753"/>
    <w:rsid w:val="00A578D9"/>
    <w:rsid w:val="00A62569"/>
    <w:rsid w:val="00A631A3"/>
    <w:rsid w:val="00A64217"/>
    <w:rsid w:val="00A6630D"/>
    <w:rsid w:val="00A678E2"/>
    <w:rsid w:val="00A7205F"/>
    <w:rsid w:val="00A720FA"/>
    <w:rsid w:val="00A7341A"/>
    <w:rsid w:val="00A739AB"/>
    <w:rsid w:val="00A75FB6"/>
    <w:rsid w:val="00A81A75"/>
    <w:rsid w:val="00A820BD"/>
    <w:rsid w:val="00A8540A"/>
    <w:rsid w:val="00A8706A"/>
    <w:rsid w:val="00A877FE"/>
    <w:rsid w:val="00A90A9D"/>
    <w:rsid w:val="00A91896"/>
    <w:rsid w:val="00A9391C"/>
    <w:rsid w:val="00A94CC5"/>
    <w:rsid w:val="00A960A0"/>
    <w:rsid w:val="00A965D6"/>
    <w:rsid w:val="00AA0527"/>
    <w:rsid w:val="00AA170E"/>
    <w:rsid w:val="00AA2CC8"/>
    <w:rsid w:val="00AA3C68"/>
    <w:rsid w:val="00AA4269"/>
    <w:rsid w:val="00AA4363"/>
    <w:rsid w:val="00AA5CA7"/>
    <w:rsid w:val="00AB0BAA"/>
    <w:rsid w:val="00AB1ED1"/>
    <w:rsid w:val="00AB1FD4"/>
    <w:rsid w:val="00AB3339"/>
    <w:rsid w:val="00AB3A31"/>
    <w:rsid w:val="00AB656C"/>
    <w:rsid w:val="00AB6AEB"/>
    <w:rsid w:val="00AB7722"/>
    <w:rsid w:val="00AC0A3E"/>
    <w:rsid w:val="00AC4230"/>
    <w:rsid w:val="00AC624B"/>
    <w:rsid w:val="00AD02C1"/>
    <w:rsid w:val="00AD1E01"/>
    <w:rsid w:val="00AD32CE"/>
    <w:rsid w:val="00AD4674"/>
    <w:rsid w:val="00AD4F07"/>
    <w:rsid w:val="00AD584F"/>
    <w:rsid w:val="00AE14F7"/>
    <w:rsid w:val="00AE3049"/>
    <w:rsid w:val="00AE38F5"/>
    <w:rsid w:val="00AE4B54"/>
    <w:rsid w:val="00AE4C26"/>
    <w:rsid w:val="00AE5461"/>
    <w:rsid w:val="00AE58E4"/>
    <w:rsid w:val="00AF0996"/>
    <w:rsid w:val="00AF31BD"/>
    <w:rsid w:val="00AF3580"/>
    <w:rsid w:val="00AF3FB7"/>
    <w:rsid w:val="00AF76C1"/>
    <w:rsid w:val="00B002F8"/>
    <w:rsid w:val="00B010A9"/>
    <w:rsid w:val="00B039A9"/>
    <w:rsid w:val="00B0417C"/>
    <w:rsid w:val="00B0437E"/>
    <w:rsid w:val="00B06326"/>
    <w:rsid w:val="00B106F1"/>
    <w:rsid w:val="00B109B1"/>
    <w:rsid w:val="00B10B0B"/>
    <w:rsid w:val="00B116DD"/>
    <w:rsid w:val="00B127DA"/>
    <w:rsid w:val="00B1425E"/>
    <w:rsid w:val="00B158A3"/>
    <w:rsid w:val="00B244D4"/>
    <w:rsid w:val="00B25D4B"/>
    <w:rsid w:val="00B25F1D"/>
    <w:rsid w:val="00B26A58"/>
    <w:rsid w:val="00B2782A"/>
    <w:rsid w:val="00B31594"/>
    <w:rsid w:val="00B324F4"/>
    <w:rsid w:val="00B32DD2"/>
    <w:rsid w:val="00B336D8"/>
    <w:rsid w:val="00B34BFA"/>
    <w:rsid w:val="00B356A4"/>
    <w:rsid w:val="00B411EC"/>
    <w:rsid w:val="00B41C0A"/>
    <w:rsid w:val="00B429CA"/>
    <w:rsid w:val="00B45EDD"/>
    <w:rsid w:val="00B45F3D"/>
    <w:rsid w:val="00B471E0"/>
    <w:rsid w:val="00B50F81"/>
    <w:rsid w:val="00B5360F"/>
    <w:rsid w:val="00B537A2"/>
    <w:rsid w:val="00B53979"/>
    <w:rsid w:val="00B54EA7"/>
    <w:rsid w:val="00B57455"/>
    <w:rsid w:val="00B61944"/>
    <w:rsid w:val="00B61F69"/>
    <w:rsid w:val="00B6216C"/>
    <w:rsid w:val="00B65B75"/>
    <w:rsid w:val="00B70B33"/>
    <w:rsid w:val="00B74628"/>
    <w:rsid w:val="00B760A2"/>
    <w:rsid w:val="00B77651"/>
    <w:rsid w:val="00B80C47"/>
    <w:rsid w:val="00B81322"/>
    <w:rsid w:val="00B857B3"/>
    <w:rsid w:val="00B862CD"/>
    <w:rsid w:val="00B86487"/>
    <w:rsid w:val="00B87192"/>
    <w:rsid w:val="00B92E1A"/>
    <w:rsid w:val="00B94951"/>
    <w:rsid w:val="00B95D33"/>
    <w:rsid w:val="00B96B6E"/>
    <w:rsid w:val="00B96C4A"/>
    <w:rsid w:val="00B96CA3"/>
    <w:rsid w:val="00B97591"/>
    <w:rsid w:val="00BA006C"/>
    <w:rsid w:val="00BA0BAA"/>
    <w:rsid w:val="00BA20B0"/>
    <w:rsid w:val="00BA2905"/>
    <w:rsid w:val="00BA3159"/>
    <w:rsid w:val="00BA372F"/>
    <w:rsid w:val="00BA5CA2"/>
    <w:rsid w:val="00BA6305"/>
    <w:rsid w:val="00BA7940"/>
    <w:rsid w:val="00BB302C"/>
    <w:rsid w:val="00BC0B52"/>
    <w:rsid w:val="00BC0D9F"/>
    <w:rsid w:val="00BC10F5"/>
    <w:rsid w:val="00BC2EC0"/>
    <w:rsid w:val="00BC4D7B"/>
    <w:rsid w:val="00BC605E"/>
    <w:rsid w:val="00BC6786"/>
    <w:rsid w:val="00BC7009"/>
    <w:rsid w:val="00BC7743"/>
    <w:rsid w:val="00BC7922"/>
    <w:rsid w:val="00BD0B17"/>
    <w:rsid w:val="00BD1AD6"/>
    <w:rsid w:val="00BD1DB2"/>
    <w:rsid w:val="00BD3E66"/>
    <w:rsid w:val="00BD41A8"/>
    <w:rsid w:val="00BD4CED"/>
    <w:rsid w:val="00BD58B8"/>
    <w:rsid w:val="00BD696A"/>
    <w:rsid w:val="00BD6B9B"/>
    <w:rsid w:val="00BD6CDF"/>
    <w:rsid w:val="00BE01B3"/>
    <w:rsid w:val="00BE072E"/>
    <w:rsid w:val="00BE13F2"/>
    <w:rsid w:val="00BE1B08"/>
    <w:rsid w:val="00BE2B40"/>
    <w:rsid w:val="00BE3D54"/>
    <w:rsid w:val="00BE70E1"/>
    <w:rsid w:val="00BE7723"/>
    <w:rsid w:val="00BF0939"/>
    <w:rsid w:val="00BF0C10"/>
    <w:rsid w:val="00BF1719"/>
    <w:rsid w:val="00BF29D7"/>
    <w:rsid w:val="00BF3998"/>
    <w:rsid w:val="00BF4049"/>
    <w:rsid w:val="00BF482E"/>
    <w:rsid w:val="00BF48DB"/>
    <w:rsid w:val="00BF4B8B"/>
    <w:rsid w:val="00BF5486"/>
    <w:rsid w:val="00BF6F26"/>
    <w:rsid w:val="00BF6FE8"/>
    <w:rsid w:val="00BF7C57"/>
    <w:rsid w:val="00C01EB4"/>
    <w:rsid w:val="00C03731"/>
    <w:rsid w:val="00C03839"/>
    <w:rsid w:val="00C048B3"/>
    <w:rsid w:val="00C06955"/>
    <w:rsid w:val="00C11016"/>
    <w:rsid w:val="00C13B05"/>
    <w:rsid w:val="00C1447B"/>
    <w:rsid w:val="00C15500"/>
    <w:rsid w:val="00C17CB6"/>
    <w:rsid w:val="00C20EBF"/>
    <w:rsid w:val="00C221FB"/>
    <w:rsid w:val="00C23CCC"/>
    <w:rsid w:val="00C24859"/>
    <w:rsid w:val="00C25CDA"/>
    <w:rsid w:val="00C301CF"/>
    <w:rsid w:val="00C309F0"/>
    <w:rsid w:val="00C30CED"/>
    <w:rsid w:val="00C31183"/>
    <w:rsid w:val="00C31BD3"/>
    <w:rsid w:val="00C31C0D"/>
    <w:rsid w:val="00C33847"/>
    <w:rsid w:val="00C340E9"/>
    <w:rsid w:val="00C34365"/>
    <w:rsid w:val="00C345C2"/>
    <w:rsid w:val="00C378BC"/>
    <w:rsid w:val="00C37DDF"/>
    <w:rsid w:val="00C40C5E"/>
    <w:rsid w:val="00C40D08"/>
    <w:rsid w:val="00C411E2"/>
    <w:rsid w:val="00C41BA9"/>
    <w:rsid w:val="00C41FEE"/>
    <w:rsid w:val="00C42121"/>
    <w:rsid w:val="00C451CB"/>
    <w:rsid w:val="00C45FB0"/>
    <w:rsid w:val="00C46F8F"/>
    <w:rsid w:val="00C516E8"/>
    <w:rsid w:val="00C5264C"/>
    <w:rsid w:val="00C53695"/>
    <w:rsid w:val="00C54FEB"/>
    <w:rsid w:val="00C55762"/>
    <w:rsid w:val="00C562FD"/>
    <w:rsid w:val="00C57261"/>
    <w:rsid w:val="00C57732"/>
    <w:rsid w:val="00C60214"/>
    <w:rsid w:val="00C602CC"/>
    <w:rsid w:val="00C62163"/>
    <w:rsid w:val="00C63403"/>
    <w:rsid w:val="00C6402C"/>
    <w:rsid w:val="00C64EA4"/>
    <w:rsid w:val="00C6503F"/>
    <w:rsid w:val="00C65610"/>
    <w:rsid w:val="00C71892"/>
    <w:rsid w:val="00C7220E"/>
    <w:rsid w:val="00C75372"/>
    <w:rsid w:val="00C758FD"/>
    <w:rsid w:val="00C762E2"/>
    <w:rsid w:val="00C77081"/>
    <w:rsid w:val="00C77DF4"/>
    <w:rsid w:val="00C8314D"/>
    <w:rsid w:val="00C832CB"/>
    <w:rsid w:val="00C84C2B"/>
    <w:rsid w:val="00C85CD7"/>
    <w:rsid w:val="00C85EE2"/>
    <w:rsid w:val="00C879A4"/>
    <w:rsid w:val="00C87AEC"/>
    <w:rsid w:val="00C92FD7"/>
    <w:rsid w:val="00C93F04"/>
    <w:rsid w:val="00C94CAC"/>
    <w:rsid w:val="00C9721C"/>
    <w:rsid w:val="00C979E0"/>
    <w:rsid w:val="00CA11EE"/>
    <w:rsid w:val="00CA2964"/>
    <w:rsid w:val="00CA2CEA"/>
    <w:rsid w:val="00CA3EA2"/>
    <w:rsid w:val="00CA41C9"/>
    <w:rsid w:val="00CA636D"/>
    <w:rsid w:val="00CA6985"/>
    <w:rsid w:val="00CA7F67"/>
    <w:rsid w:val="00CB15EC"/>
    <w:rsid w:val="00CB2CD5"/>
    <w:rsid w:val="00CB483C"/>
    <w:rsid w:val="00CB5545"/>
    <w:rsid w:val="00CB5F57"/>
    <w:rsid w:val="00CB6605"/>
    <w:rsid w:val="00CB7A72"/>
    <w:rsid w:val="00CC0D14"/>
    <w:rsid w:val="00CC3E80"/>
    <w:rsid w:val="00CC49D6"/>
    <w:rsid w:val="00CC5FD9"/>
    <w:rsid w:val="00CC7F63"/>
    <w:rsid w:val="00CD13E5"/>
    <w:rsid w:val="00CD159F"/>
    <w:rsid w:val="00CD39F8"/>
    <w:rsid w:val="00CD5672"/>
    <w:rsid w:val="00CD7C93"/>
    <w:rsid w:val="00CE0B01"/>
    <w:rsid w:val="00CE133F"/>
    <w:rsid w:val="00CE2B81"/>
    <w:rsid w:val="00CE41EF"/>
    <w:rsid w:val="00CE7BB7"/>
    <w:rsid w:val="00CF04D1"/>
    <w:rsid w:val="00CF16AE"/>
    <w:rsid w:val="00CF4589"/>
    <w:rsid w:val="00CF465D"/>
    <w:rsid w:val="00CF60BA"/>
    <w:rsid w:val="00CF6E4E"/>
    <w:rsid w:val="00CF7601"/>
    <w:rsid w:val="00CF7C34"/>
    <w:rsid w:val="00D013B9"/>
    <w:rsid w:val="00D03946"/>
    <w:rsid w:val="00D03E58"/>
    <w:rsid w:val="00D048D2"/>
    <w:rsid w:val="00D0513F"/>
    <w:rsid w:val="00D06790"/>
    <w:rsid w:val="00D10407"/>
    <w:rsid w:val="00D1187A"/>
    <w:rsid w:val="00D12DA3"/>
    <w:rsid w:val="00D142B6"/>
    <w:rsid w:val="00D152FB"/>
    <w:rsid w:val="00D20F65"/>
    <w:rsid w:val="00D215ED"/>
    <w:rsid w:val="00D24CBA"/>
    <w:rsid w:val="00D257EB"/>
    <w:rsid w:val="00D26C8A"/>
    <w:rsid w:val="00D30434"/>
    <w:rsid w:val="00D3089B"/>
    <w:rsid w:val="00D312C9"/>
    <w:rsid w:val="00D31A61"/>
    <w:rsid w:val="00D323CD"/>
    <w:rsid w:val="00D32A64"/>
    <w:rsid w:val="00D33C6F"/>
    <w:rsid w:val="00D3445B"/>
    <w:rsid w:val="00D3461A"/>
    <w:rsid w:val="00D34CD2"/>
    <w:rsid w:val="00D35AF6"/>
    <w:rsid w:val="00D361DC"/>
    <w:rsid w:val="00D364D3"/>
    <w:rsid w:val="00D4125D"/>
    <w:rsid w:val="00D43C39"/>
    <w:rsid w:val="00D506B1"/>
    <w:rsid w:val="00D50C0B"/>
    <w:rsid w:val="00D51380"/>
    <w:rsid w:val="00D51DE2"/>
    <w:rsid w:val="00D551F2"/>
    <w:rsid w:val="00D61A7B"/>
    <w:rsid w:val="00D714BA"/>
    <w:rsid w:val="00D7505B"/>
    <w:rsid w:val="00D75260"/>
    <w:rsid w:val="00D75B70"/>
    <w:rsid w:val="00D804C5"/>
    <w:rsid w:val="00D820D1"/>
    <w:rsid w:val="00D82401"/>
    <w:rsid w:val="00D82AE2"/>
    <w:rsid w:val="00D84EAF"/>
    <w:rsid w:val="00D850A4"/>
    <w:rsid w:val="00D85239"/>
    <w:rsid w:val="00D8532F"/>
    <w:rsid w:val="00D856AD"/>
    <w:rsid w:val="00D85715"/>
    <w:rsid w:val="00D90152"/>
    <w:rsid w:val="00D934BA"/>
    <w:rsid w:val="00D93950"/>
    <w:rsid w:val="00D9623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0C97"/>
    <w:rsid w:val="00DC11F3"/>
    <w:rsid w:val="00DC145E"/>
    <w:rsid w:val="00DC1EE5"/>
    <w:rsid w:val="00DC332F"/>
    <w:rsid w:val="00DC4DFE"/>
    <w:rsid w:val="00DC5E40"/>
    <w:rsid w:val="00DC69F0"/>
    <w:rsid w:val="00DC7BFF"/>
    <w:rsid w:val="00DD07FE"/>
    <w:rsid w:val="00DD162F"/>
    <w:rsid w:val="00DD1F53"/>
    <w:rsid w:val="00DD3F5F"/>
    <w:rsid w:val="00DD54C6"/>
    <w:rsid w:val="00DD75B2"/>
    <w:rsid w:val="00DE125E"/>
    <w:rsid w:val="00DE135C"/>
    <w:rsid w:val="00DE1B77"/>
    <w:rsid w:val="00DE26C4"/>
    <w:rsid w:val="00DE3025"/>
    <w:rsid w:val="00DE3B74"/>
    <w:rsid w:val="00DE463E"/>
    <w:rsid w:val="00DE5411"/>
    <w:rsid w:val="00DE56CB"/>
    <w:rsid w:val="00DE7C0F"/>
    <w:rsid w:val="00DF03FB"/>
    <w:rsid w:val="00DF44D5"/>
    <w:rsid w:val="00DF4AB3"/>
    <w:rsid w:val="00DF5003"/>
    <w:rsid w:val="00DF5249"/>
    <w:rsid w:val="00DF5932"/>
    <w:rsid w:val="00E06271"/>
    <w:rsid w:val="00E0758A"/>
    <w:rsid w:val="00E0777F"/>
    <w:rsid w:val="00E10EA9"/>
    <w:rsid w:val="00E110EE"/>
    <w:rsid w:val="00E1136E"/>
    <w:rsid w:val="00E1182B"/>
    <w:rsid w:val="00E167E0"/>
    <w:rsid w:val="00E16A35"/>
    <w:rsid w:val="00E16D38"/>
    <w:rsid w:val="00E216EA"/>
    <w:rsid w:val="00E21B4B"/>
    <w:rsid w:val="00E25793"/>
    <w:rsid w:val="00E27C4D"/>
    <w:rsid w:val="00E27F1F"/>
    <w:rsid w:val="00E30761"/>
    <w:rsid w:val="00E316B0"/>
    <w:rsid w:val="00E33A6E"/>
    <w:rsid w:val="00E33CDF"/>
    <w:rsid w:val="00E34D42"/>
    <w:rsid w:val="00E35E8A"/>
    <w:rsid w:val="00E3681A"/>
    <w:rsid w:val="00E379F0"/>
    <w:rsid w:val="00E37D81"/>
    <w:rsid w:val="00E401A6"/>
    <w:rsid w:val="00E424E5"/>
    <w:rsid w:val="00E43562"/>
    <w:rsid w:val="00E457D2"/>
    <w:rsid w:val="00E4679A"/>
    <w:rsid w:val="00E469D4"/>
    <w:rsid w:val="00E46AC5"/>
    <w:rsid w:val="00E50E02"/>
    <w:rsid w:val="00E51029"/>
    <w:rsid w:val="00E512C7"/>
    <w:rsid w:val="00E52399"/>
    <w:rsid w:val="00E53F19"/>
    <w:rsid w:val="00E5461A"/>
    <w:rsid w:val="00E54FD9"/>
    <w:rsid w:val="00E55027"/>
    <w:rsid w:val="00E55A62"/>
    <w:rsid w:val="00E5667A"/>
    <w:rsid w:val="00E56B89"/>
    <w:rsid w:val="00E56F6B"/>
    <w:rsid w:val="00E578D1"/>
    <w:rsid w:val="00E60466"/>
    <w:rsid w:val="00E608C5"/>
    <w:rsid w:val="00E64579"/>
    <w:rsid w:val="00E64BB6"/>
    <w:rsid w:val="00E65245"/>
    <w:rsid w:val="00E65992"/>
    <w:rsid w:val="00E66017"/>
    <w:rsid w:val="00E71979"/>
    <w:rsid w:val="00E72113"/>
    <w:rsid w:val="00E724B9"/>
    <w:rsid w:val="00E73AE3"/>
    <w:rsid w:val="00E754E7"/>
    <w:rsid w:val="00E75C2F"/>
    <w:rsid w:val="00E80F7A"/>
    <w:rsid w:val="00E81CA7"/>
    <w:rsid w:val="00E83297"/>
    <w:rsid w:val="00E86C41"/>
    <w:rsid w:val="00E87358"/>
    <w:rsid w:val="00E87BDA"/>
    <w:rsid w:val="00E91DF4"/>
    <w:rsid w:val="00E938DF"/>
    <w:rsid w:val="00E949E7"/>
    <w:rsid w:val="00E96C77"/>
    <w:rsid w:val="00E973B3"/>
    <w:rsid w:val="00EA1844"/>
    <w:rsid w:val="00EA246E"/>
    <w:rsid w:val="00EA2658"/>
    <w:rsid w:val="00EA4AC5"/>
    <w:rsid w:val="00EA5091"/>
    <w:rsid w:val="00EA709C"/>
    <w:rsid w:val="00EB0611"/>
    <w:rsid w:val="00EB0F52"/>
    <w:rsid w:val="00EB16CB"/>
    <w:rsid w:val="00EB1899"/>
    <w:rsid w:val="00EB2E4A"/>
    <w:rsid w:val="00EB31FA"/>
    <w:rsid w:val="00EB3208"/>
    <w:rsid w:val="00EB676C"/>
    <w:rsid w:val="00EB6B6E"/>
    <w:rsid w:val="00EB7D72"/>
    <w:rsid w:val="00EC0598"/>
    <w:rsid w:val="00EC0869"/>
    <w:rsid w:val="00EC1C70"/>
    <w:rsid w:val="00EC44B4"/>
    <w:rsid w:val="00EC6941"/>
    <w:rsid w:val="00EC7BBC"/>
    <w:rsid w:val="00ED1710"/>
    <w:rsid w:val="00ED29EB"/>
    <w:rsid w:val="00ED6681"/>
    <w:rsid w:val="00ED6E3A"/>
    <w:rsid w:val="00EE4748"/>
    <w:rsid w:val="00EE47BE"/>
    <w:rsid w:val="00EE4ABD"/>
    <w:rsid w:val="00EE4FC1"/>
    <w:rsid w:val="00EE550E"/>
    <w:rsid w:val="00EE676B"/>
    <w:rsid w:val="00EE7D3E"/>
    <w:rsid w:val="00EF5381"/>
    <w:rsid w:val="00EF58DD"/>
    <w:rsid w:val="00F00F9F"/>
    <w:rsid w:val="00F01660"/>
    <w:rsid w:val="00F03A50"/>
    <w:rsid w:val="00F04465"/>
    <w:rsid w:val="00F06077"/>
    <w:rsid w:val="00F06483"/>
    <w:rsid w:val="00F0730F"/>
    <w:rsid w:val="00F1205C"/>
    <w:rsid w:val="00F13091"/>
    <w:rsid w:val="00F173FE"/>
    <w:rsid w:val="00F20565"/>
    <w:rsid w:val="00F20699"/>
    <w:rsid w:val="00F20B34"/>
    <w:rsid w:val="00F215C8"/>
    <w:rsid w:val="00F21A92"/>
    <w:rsid w:val="00F22FDF"/>
    <w:rsid w:val="00F24AFB"/>
    <w:rsid w:val="00F30399"/>
    <w:rsid w:val="00F326C8"/>
    <w:rsid w:val="00F328BF"/>
    <w:rsid w:val="00F350CF"/>
    <w:rsid w:val="00F350F6"/>
    <w:rsid w:val="00F42718"/>
    <w:rsid w:val="00F4276E"/>
    <w:rsid w:val="00F432AB"/>
    <w:rsid w:val="00F43A06"/>
    <w:rsid w:val="00F44355"/>
    <w:rsid w:val="00F4465A"/>
    <w:rsid w:val="00F458C8"/>
    <w:rsid w:val="00F45C61"/>
    <w:rsid w:val="00F463E3"/>
    <w:rsid w:val="00F47AD8"/>
    <w:rsid w:val="00F52A24"/>
    <w:rsid w:val="00F535A5"/>
    <w:rsid w:val="00F5649E"/>
    <w:rsid w:val="00F57B67"/>
    <w:rsid w:val="00F6047E"/>
    <w:rsid w:val="00F62C42"/>
    <w:rsid w:val="00F63024"/>
    <w:rsid w:val="00F70A6B"/>
    <w:rsid w:val="00F71637"/>
    <w:rsid w:val="00F71E34"/>
    <w:rsid w:val="00F72CE7"/>
    <w:rsid w:val="00F755C7"/>
    <w:rsid w:val="00F81A9F"/>
    <w:rsid w:val="00F83581"/>
    <w:rsid w:val="00F8549E"/>
    <w:rsid w:val="00F85AF0"/>
    <w:rsid w:val="00F85BE4"/>
    <w:rsid w:val="00F862B1"/>
    <w:rsid w:val="00F8643F"/>
    <w:rsid w:val="00F8736F"/>
    <w:rsid w:val="00F87FD6"/>
    <w:rsid w:val="00F951E3"/>
    <w:rsid w:val="00FA0234"/>
    <w:rsid w:val="00FA0692"/>
    <w:rsid w:val="00FA1797"/>
    <w:rsid w:val="00FA1C8C"/>
    <w:rsid w:val="00FA2563"/>
    <w:rsid w:val="00FA3C12"/>
    <w:rsid w:val="00FA3EA3"/>
    <w:rsid w:val="00FA5D27"/>
    <w:rsid w:val="00FA6CFA"/>
    <w:rsid w:val="00FB0A94"/>
    <w:rsid w:val="00FB1C5D"/>
    <w:rsid w:val="00FB3E37"/>
    <w:rsid w:val="00FB4613"/>
    <w:rsid w:val="00FB4C81"/>
    <w:rsid w:val="00FB6841"/>
    <w:rsid w:val="00FC1724"/>
    <w:rsid w:val="00FC5630"/>
    <w:rsid w:val="00FC6855"/>
    <w:rsid w:val="00FC73D9"/>
    <w:rsid w:val="00FC7A5E"/>
    <w:rsid w:val="00FD1F87"/>
    <w:rsid w:val="00FD35D0"/>
    <w:rsid w:val="00FD681B"/>
    <w:rsid w:val="00FD7331"/>
    <w:rsid w:val="00FE0E03"/>
    <w:rsid w:val="00FE2085"/>
    <w:rsid w:val="00FE3414"/>
    <w:rsid w:val="00FE3673"/>
    <w:rsid w:val="00FE7B9D"/>
    <w:rsid w:val="00FF049C"/>
    <w:rsid w:val="00FF1471"/>
    <w:rsid w:val="00FF19DC"/>
    <w:rsid w:val="00FF2A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7E1474B7"/>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8C200C"/>
    <w:rPr>
      <w:rFonts w:ascii="Segoe UI" w:hAnsi="Segoe UI" w:cs="Segoe UI"/>
      <w:sz w:val="18"/>
      <w:szCs w:val="18"/>
    </w:rPr>
  </w:style>
  <w:style w:type="character" w:customStyle="1" w:styleId="BalloonTextChar">
    <w:name w:val="Balloon Text Char"/>
    <w:basedOn w:val="DefaultParagraphFont"/>
    <w:link w:val="BalloonText"/>
    <w:semiHidden/>
    <w:rsid w:val="008C200C"/>
    <w:rPr>
      <w:rFonts w:ascii="Segoe UI" w:hAnsi="Segoe UI" w:cs="Segoe UI"/>
      <w:sz w:val="18"/>
      <w:szCs w:val="18"/>
    </w:rPr>
  </w:style>
  <w:style w:type="character" w:styleId="FootnoteReference">
    <w:name w:val="footnote reference"/>
    <w:basedOn w:val="DefaultParagraphFont"/>
    <w:semiHidden/>
    <w:unhideWhenUsed/>
    <w:rsid w:val="005305F4"/>
    <w:rPr>
      <w:vertAlign w:val="superscript"/>
    </w:rPr>
  </w:style>
  <w:style w:type="character" w:styleId="CommentReference">
    <w:name w:val="annotation reference"/>
    <w:basedOn w:val="DefaultParagraphFont"/>
    <w:semiHidden/>
    <w:unhideWhenUsed/>
    <w:rsid w:val="00B158A3"/>
    <w:rPr>
      <w:sz w:val="16"/>
      <w:szCs w:val="16"/>
    </w:rPr>
  </w:style>
  <w:style w:type="paragraph" w:styleId="CommentText">
    <w:name w:val="annotation text"/>
    <w:basedOn w:val="Normal"/>
    <w:link w:val="CommentTextChar"/>
    <w:semiHidden/>
    <w:unhideWhenUsed/>
    <w:rsid w:val="00B158A3"/>
    <w:rPr>
      <w:sz w:val="20"/>
      <w:szCs w:val="20"/>
    </w:rPr>
  </w:style>
  <w:style w:type="character" w:customStyle="1" w:styleId="CommentTextChar">
    <w:name w:val="Comment Text Char"/>
    <w:basedOn w:val="DefaultParagraphFont"/>
    <w:link w:val="CommentText"/>
    <w:semiHidden/>
    <w:rsid w:val="00B158A3"/>
    <w:rPr>
      <w:rFonts w:ascii="Times New Roman" w:hAnsi="Times New Roman"/>
    </w:rPr>
  </w:style>
  <w:style w:type="paragraph" w:styleId="CommentSubject">
    <w:name w:val="annotation subject"/>
    <w:basedOn w:val="CommentText"/>
    <w:next w:val="CommentText"/>
    <w:link w:val="CommentSubjectChar"/>
    <w:semiHidden/>
    <w:unhideWhenUsed/>
    <w:rsid w:val="00B158A3"/>
    <w:rPr>
      <w:b/>
      <w:bCs/>
    </w:rPr>
  </w:style>
  <w:style w:type="character" w:customStyle="1" w:styleId="CommentSubjectChar">
    <w:name w:val="Comment Subject Char"/>
    <w:basedOn w:val="CommentTextChar"/>
    <w:link w:val="CommentSubject"/>
    <w:semiHidden/>
    <w:rsid w:val="00B158A3"/>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D0B0D-BE23-4526-977E-37D3BA0A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Pages>
  <Words>15298</Words>
  <Characters>8721</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23972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Izglītības un zinātnes ministrijas Sporta departamenta direktora vietnieks E.Severs_x000d_
67047935, edgars.severs@izm.gov.lv</dc:description>
  <cp:lastModifiedBy>Kaspars Karolis</cp:lastModifiedBy>
  <cp:revision>9</cp:revision>
  <cp:lastPrinted>2015-03-16T08:10:00Z</cp:lastPrinted>
  <dcterms:created xsi:type="dcterms:W3CDTF">2015-03-13T11:27:00Z</dcterms:created>
  <dcterms:modified xsi:type="dcterms:W3CDTF">2015-03-19T13:49:00Z</dcterms:modified>
</cp:coreProperties>
</file>