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FE2BE7" w:rsidRDefault="00FE2BE7" w:rsidP="000840A6">
      <w:pPr>
        <w:tabs>
          <w:tab w:val="left" w:pos="3686"/>
        </w:tabs>
        <w:jc w:val="center"/>
        <w:rPr>
          <w:b/>
          <w:sz w:val="28"/>
          <w:szCs w:val="28"/>
        </w:rPr>
      </w:pPr>
    </w:p>
    <w:p w:rsidR="008E38BC" w:rsidRPr="000840A6" w:rsidRDefault="008E38BC" w:rsidP="000840A6">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0840A6" w:rsidRPr="000840A6">
        <w:rPr>
          <w:b/>
          <w:sz w:val="28"/>
          <w:szCs w:val="28"/>
        </w:rPr>
        <w:t xml:space="preserve">Grozījums </w:t>
      </w:r>
      <w:r w:rsidR="005B1E6A">
        <w:rPr>
          <w:b/>
          <w:sz w:val="28"/>
          <w:szCs w:val="28"/>
        </w:rPr>
        <w:t>Zemesgrāmatu</w:t>
      </w:r>
      <w:r w:rsidR="000840A6" w:rsidRPr="000840A6">
        <w:rPr>
          <w:b/>
          <w:sz w:val="28"/>
          <w:szCs w:val="28"/>
        </w:rPr>
        <w:t xml:space="preserve"> 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160D2E">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6443BF">
              <w:rPr>
                <w:sz w:val="28"/>
                <w:szCs w:val="28"/>
              </w:rPr>
              <w:t xml:space="preserve">ības </w:t>
            </w:r>
            <w:r w:rsidR="00293715" w:rsidRPr="00DE2A0F">
              <w:rPr>
                <w:sz w:val="28"/>
                <w:szCs w:val="28"/>
              </w:rPr>
              <w:t>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FE2BE7" w:rsidRPr="0093291B" w:rsidRDefault="00FE2BE7"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160D2E" w:rsidRPr="008A4035" w:rsidTr="0096171F">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0D2E" w:rsidRPr="00F51A11" w:rsidRDefault="00160D2E" w:rsidP="0096171F">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6B3556"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6B3556" w:rsidRPr="00F970C6" w:rsidRDefault="006B3556"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6B3556" w:rsidRPr="00F970C6" w:rsidTr="00BB6830">
        <w:tc>
          <w:tcPr>
            <w:tcW w:w="5000" w:type="pct"/>
            <w:tcBorders>
              <w:top w:val="single" w:sz="6" w:space="0" w:color="auto"/>
              <w:left w:val="single" w:sz="6" w:space="0" w:color="auto"/>
              <w:bottom w:val="single" w:sz="6" w:space="0" w:color="auto"/>
              <w:right w:val="single" w:sz="6" w:space="0" w:color="auto"/>
            </w:tcBorders>
          </w:tcPr>
          <w:p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rsidTr="00BB6830">
        <w:tc>
          <w:tcPr>
            <w:tcW w:w="5000" w:type="pct"/>
            <w:tcBorders>
              <w:top w:val="single" w:sz="6" w:space="0" w:color="auto"/>
              <w:left w:val="single" w:sz="6" w:space="0" w:color="auto"/>
              <w:bottom w:val="outset" w:sz="6" w:space="0" w:color="000000"/>
              <w:right w:val="single" w:sz="6" w:space="0" w:color="auto"/>
            </w:tcBorders>
          </w:tcPr>
          <w:p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RDefault="006B3556" w:rsidP="006B3556">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rsidTr="00BB6830">
        <w:tc>
          <w:tcPr>
            <w:tcW w:w="9928" w:type="dxa"/>
          </w:tcPr>
          <w:p w:rsidR="006B3556" w:rsidRPr="00F970C6" w:rsidRDefault="006B3556"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6B3556"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RDefault="006B3556"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sz w:val="28"/>
          <w:szCs w:val="28"/>
        </w:rPr>
      </w:pPr>
    </w:p>
    <w:p w:rsidR="006B3556" w:rsidRPr="006B3556" w:rsidRDefault="006B3556" w:rsidP="008E38BC">
      <w:pPr>
        <w:tabs>
          <w:tab w:val="left" w:pos="6915"/>
        </w:tabs>
        <w:rPr>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6443BF" w:rsidRPr="00B729F0" w:rsidRDefault="006443BF" w:rsidP="006443BF">
      <w:pPr>
        <w:tabs>
          <w:tab w:val="left" w:pos="7655"/>
        </w:tabs>
        <w:rPr>
          <w:b/>
          <w:sz w:val="28"/>
          <w:szCs w:val="28"/>
        </w:rPr>
      </w:pPr>
      <w:r w:rsidRPr="00B729F0">
        <w:rPr>
          <w:b/>
          <w:sz w:val="28"/>
          <w:szCs w:val="28"/>
        </w:rPr>
        <w:t xml:space="preserve">Vīza: </w:t>
      </w:r>
    </w:p>
    <w:p w:rsidR="006443BF" w:rsidRPr="00B729F0" w:rsidRDefault="006443BF" w:rsidP="006443BF">
      <w:pPr>
        <w:tabs>
          <w:tab w:val="left" w:pos="7655"/>
        </w:tabs>
        <w:rPr>
          <w:b/>
          <w:sz w:val="28"/>
          <w:szCs w:val="28"/>
        </w:rPr>
      </w:pPr>
      <w:r w:rsidRPr="00B729F0">
        <w:rPr>
          <w:b/>
          <w:sz w:val="28"/>
          <w:szCs w:val="28"/>
        </w:rPr>
        <w:t>Valsts sekretāra pienākumu izpildītāj</w:t>
      </w:r>
      <w:r w:rsidR="00A83EBE">
        <w:rPr>
          <w:b/>
          <w:sz w:val="28"/>
          <w:szCs w:val="28"/>
        </w:rPr>
        <w:t>a</w:t>
      </w:r>
      <w:r w:rsidRPr="00B729F0">
        <w:rPr>
          <w:b/>
          <w:sz w:val="28"/>
          <w:szCs w:val="28"/>
        </w:rPr>
        <w:t>,</w:t>
      </w:r>
    </w:p>
    <w:p w:rsidR="006443BF" w:rsidRDefault="006443BF" w:rsidP="006443BF">
      <w:pPr>
        <w:pStyle w:val="NormalWeb"/>
        <w:spacing w:before="0" w:beforeAutospacing="0" w:after="0" w:afterAutospacing="0"/>
        <w:rPr>
          <w:rFonts w:ascii="Times New Roman" w:hAnsi="Times New Roman" w:cs="Times New Roman"/>
          <w:b/>
          <w:sz w:val="28"/>
          <w:szCs w:val="28"/>
        </w:rPr>
      </w:pPr>
      <w:r w:rsidRPr="00A83EBE">
        <w:rPr>
          <w:rFonts w:ascii="Times New Roman" w:hAnsi="Times New Roman" w:cs="Times New Roman"/>
          <w:b/>
          <w:sz w:val="28"/>
          <w:szCs w:val="28"/>
          <w:lang w:val="lv-LV"/>
        </w:rPr>
        <w:t>valsts sekretāra vietnie</w:t>
      </w:r>
      <w:r w:rsidR="00A83EBE" w:rsidRPr="00A83EBE">
        <w:rPr>
          <w:rFonts w:ascii="Times New Roman" w:hAnsi="Times New Roman" w:cs="Times New Roman"/>
          <w:b/>
          <w:sz w:val="28"/>
          <w:szCs w:val="28"/>
          <w:lang w:val="lv-LV"/>
        </w:rPr>
        <w:t>ce</w:t>
      </w:r>
      <w:r w:rsidRPr="00A83EBE">
        <w:rPr>
          <w:rFonts w:ascii="Times New Roman" w:hAnsi="Times New Roman" w:cs="Times New Roman"/>
          <w:b/>
          <w:sz w:val="28"/>
          <w:szCs w:val="28"/>
          <w:lang w:val="lv-LV"/>
        </w:rPr>
        <w:tab/>
      </w:r>
      <w:r w:rsidRPr="00B729F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A83EBE">
        <w:rPr>
          <w:rFonts w:ascii="Times New Roman" w:hAnsi="Times New Roman" w:cs="Times New Roman"/>
          <w:b/>
          <w:sz w:val="28"/>
          <w:szCs w:val="28"/>
        </w:rPr>
        <w:t>Z.Liepiņa</w:t>
      </w:r>
      <w:proofErr w:type="spellEnd"/>
    </w:p>
    <w:p w:rsidR="006443BF" w:rsidRPr="00B729F0" w:rsidRDefault="006443BF" w:rsidP="006443BF">
      <w:pPr>
        <w:pStyle w:val="NormalWeb"/>
        <w:spacing w:before="0" w:beforeAutospacing="0" w:after="0" w:afterAutospacing="0"/>
        <w:rPr>
          <w:rFonts w:ascii="Times New Roman" w:hAnsi="Times New Roman" w:cs="Times New Roman"/>
          <w:sz w:val="28"/>
          <w:szCs w:val="28"/>
        </w:rPr>
      </w:pPr>
    </w:p>
    <w:p w:rsidR="00055D6E" w:rsidRDefault="00055D6E" w:rsidP="0008775F">
      <w:pPr>
        <w:pStyle w:val="NormalWeb"/>
        <w:spacing w:before="0" w:beforeAutospacing="0" w:after="0" w:afterAutospacing="0"/>
        <w:rPr>
          <w:rFonts w:ascii="Times New Roman" w:hAnsi="Times New Roman" w:cs="Times New Roman"/>
        </w:rPr>
      </w:pPr>
    </w:p>
    <w:p w:rsidR="0008775F" w:rsidRPr="0008775F" w:rsidRDefault="00EB17D8"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A83EBE">
        <w:rPr>
          <w:rFonts w:ascii="Times New Roman" w:hAnsi="Times New Roman" w:cs="Times New Roman"/>
        </w:rPr>
        <w:t>2</w:t>
      </w:r>
      <w:bookmarkStart w:id="0" w:name="_GoBack"/>
      <w:bookmarkEnd w:id="0"/>
      <w:r w:rsidR="00160D2E">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160D2E">
        <w:rPr>
          <w:rFonts w:ascii="Times New Roman" w:hAnsi="Times New Roman" w:cs="Times New Roman"/>
        </w:rPr>
        <w:t>9</w:t>
      </w:r>
      <w:r w:rsidR="0008775F" w:rsidRPr="0008775F">
        <w:rPr>
          <w:rFonts w:ascii="Times New Roman" w:hAnsi="Times New Roman" w:cs="Times New Roman"/>
        </w:rPr>
        <w:t>:</w:t>
      </w:r>
      <w:r w:rsidR="00270A6A">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p>
    <w:p w:rsidR="0008775F" w:rsidRPr="006C596E" w:rsidRDefault="00160D2E" w:rsidP="0008775F">
      <w:pPr>
        <w:pStyle w:val="StyleRight"/>
        <w:tabs>
          <w:tab w:val="left" w:pos="2552"/>
        </w:tabs>
        <w:spacing w:after="0"/>
        <w:ind w:firstLine="0"/>
        <w:jc w:val="both"/>
        <w:rPr>
          <w:sz w:val="24"/>
          <w:szCs w:val="24"/>
          <w:lang w:eastAsia="lv-LV"/>
        </w:rPr>
      </w:pPr>
      <w:r>
        <w:rPr>
          <w:sz w:val="24"/>
          <w:szCs w:val="24"/>
          <w:lang w:eastAsia="lv-LV"/>
        </w:rPr>
        <w:t>392</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7F" w:rsidRDefault="0063607F" w:rsidP="00523538">
      <w:r>
        <w:separator/>
      </w:r>
    </w:p>
  </w:endnote>
  <w:endnote w:type="continuationSeparator" w:id="0">
    <w:p w:rsidR="0063607F" w:rsidRDefault="0063607F"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6A" w:rsidRPr="000840A6" w:rsidRDefault="005B1E6A" w:rsidP="005B1E6A">
    <w:pPr>
      <w:pStyle w:val="Heading3"/>
      <w:spacing w:before="120"/>
      <w:jc w:val="both"/>
      <w:rPr>
        <w:rFonts w:ascii="Times New Roman" w:hAnsi="Times New Roman" w:cs="Times New Roman"/>
        <w:b w:val="0"/>
        <w:color w:val="auto"/>
        <w:sz w:val="20"/>
        <w:szCs w:val="20"/>
      </w:rPr>
    </w:pPr>
    <w:r w:rsidRPr="000840A6">
      <w:rPr>
        <w:rFonts w:ascii="Times New Roman" w:hAnsi="Times New Roman" w:cs="Times New Roman"/>
        <w:b w:val="0"/>
        <w:color w:val="auto"/>
        <w:sz w:val="20"/>
        <w:szCs w:val="20"/>
      </w:rPr>
      <w:t>EMAnot_</w:t>
    </w:r>
    <w:r w:rsidR="00A83EBE">
      <w:rPr>
        <w:rFonts w:ascii="Times New Roman" w:hAnsi="Times New Roman" w:cs="Times New Roman"/>
        <w:b w:val="0"/>
        <w:color w:val="auto"/>
        <w:sz w:val="20"/>
        <w:szCs w:val="20"/>
      </w:rPr>
      <w:t>12</w:t>
    </w:r>
    <w:r w:rsidR="00EB17D8">
      <w:rPr>
        <w:rFonts w:ascii="Times New Roman" w:hAnsi="Times New Roman" w:cs="Times New Roman"/>
        <w:b w:val="0"/>
        <w:color w:val="auto"/>
        <w:sz w:val="20"/>
        <w:szCs w:val="20"/>
      </w:rPr>
      <w:t>03</w:t>
    </w:r>
    <w:r w:rsidRPr="000840A6">
      <w:rPr>
        <w:rFonts w:ascii="Times New Roman" w:hAnsi="Times New Roman" w:cs="Times New Roman"/>
        <w:b w:val="0"/>
        <w:color w:val="auto"/>
        <w:sz w:val="20"/>
        <w:szCs w:val="20"/>
      </w:rPr>
      <w:t>15_</w:t>
    </w:r>
    <w:r>
      <w:rPr>
        <w:rFonts w:ascii="Times New Roman" w:hAnsi="Times New Roman" w:cs="Times New Roman"/>
        <w:b w:val="0"/>
        <w:color w:val="auto"/>
        <w:sz w:val="20"/>
        <w:szCs w:val="20"/>
      </w:rPr>
      <w:t>Zemesgramatu_lik</w:t>
    </w:r>
    <w:r w:rsidRPr="000840A6">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Likumprojekta</w:t>
    </w:r>
    <w:r w:rsidRPr="000840A6">
      <w:rPr>
        <w:rFonts w:ascii="Times New Roman" w:hAnsi="Times New Roman" w:cs="Times New Roman"/>
        <w:b w:val="0"/>
        <w:color w:val="auto"/>
        <w:sz w:val="20"/>
        <w:szCs w:val="20"/>
      </w:rPr>
      <w:t xml:space="preserve"> „Grozījums </w:t>
    </w:r>
    <w:r>
      <w:rPr>
        <w:rFonts w:ascii="Times New Roman" w:hAnsi="Times New Roman" w:cs="Times New Roman"/>
        <w:b w:val="0"/>
        <w:color w:val="auto"/>
        <w:sz w:val="20"/>
        <w:szCs w:val="20"/>
      </w:rPr>
      <w:t>Zemesgrāmatu</w:t>
    </w:r>
    <w:r w:rsidRPr="000840A6">
      <w:rPr>
        <w:rFonts w:ascii="Times New Roman" w:hAnsi="Times New Roman" w:cs="Times New Roman"/>
        <w:b w:val="0"/>
        <w:color w:val="auto"/>
        <w:sz w:val="20"/>
        <w:szCs w:val="20"/>
      </w:rPr>
      <w:t xml:space="preserve"> likumā”  sākotnējās ietekmes novērtējuma ziņojums (anotācija)</w:t>
    </w:r>
  </w:p>
  <w:p w:rsidR="00DE1C13" w:rsidRPr="000840A6" w:rsidRDefault="0063607F" w:rsidP="0008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0840A6" w:rsidRDefault="00895BBC" w:rsidP="000840A6">
    <w:pPr>
      <w:pStyle w:val="Heading3"/>
      <w:spacing w:before="120"/>
      <w:jc w:val="both"/>
      <w:rPr>
        <w:rFonts w:ascii="Times New Roman" w:hAnsi="Times New Roman" w:cs="Times New Roman"/>
        <w:b w:val="0"/>
        <w:color w:val="auto"/>
        <w:sz w:val="20"/>
        <w:szCs w:val="20"/>
      </w:rPr>
    </w:pPr>
    <w:r w:rsidRPr="000840A6">
      <w:rPr>
        <w:rFonts w:ascii="Times New Roman" w:hAnsi="Times New Roman" w:cs="Times New Roman"/>
        <w:b w:val="0"/>
        <w:color w:val="auto"/>
        <w:sz w:val="20"/>
        <w:szCs w:val="20"/>
      </w:rPr>
      <w:t>EMAnot_</w:t>
    </w:r>
    <w:r w:rsidR="00A83EBE">
      <w:rPr>
        <w:rFonts w:ascii="Times New Roman" w:hAnsi="Times New Roman" w:cs="Times New Roman"/>
        <w:b w:val="0"/>
        <w:color w:val="auto"/>
        <w:sz w:val="20"/>
        <w:szCs w:val="20"/>
      </w:rPr>
      <w:t>12</w:t>
    </w:r>
    <w:r w:rsidR="00EB17D8">
      <w:rPr>
        <w:rFonts w:ascii="Times New Roman" w:hAnsi="Times New Roman" w:cs="Times New Roman"/>
        <w:b w:val="0"/>
        <w:color w:val="auto"/>
        <w:sz w:val="20"/>
        <w:szCs w:val="20"/>
      </w:rPr>
      <w:t>03</w:t>
    </w:r>
    <w:r w:rsidR="0056348F" w:rsidRPr="000840A6">
      <w:rPr>
        <w:rFonts w:ascii="Times New Roman" w:hAnsi="Times New Roman" w:cs="Times New Roman"/>
        <w:b w:val="0"/>
        <w:color w:val="auto"/>
        <w:sz w:val="20"/>
        <w:szCs w:val="20"/>
      </w:rPr>
      <w:t>15</w:t>
    </w:r>
    <w:r w:rsidR="008E38BC" w:rsidRPr="000840A6">
      <w:rPr>
        <w:rFonts w:ascii="Times New Roman" w:hAnsi="Times New Roman" w:cs="Times New Roman"/>
        <w:b w:val="0"/>
        <w:color w:val="auto"/>
        <w:sz w:val="20"/>
        <w:szCs w:val="20"/>
      </w:rPr>
      <w:t>_</w:t>
    </w:r>
    <w:r w:rsidR="005B1E6A">
      <w:rPr>
        <w:rFonts w:ascii="Times New Roman" w:hAnsi="Times New Roman" w:cs="Times New Roman"/>
        <w:b w:val="0"/>
        <w:color w:val="auto"/>
        <w:sz w:val="20"/>
        <w:szCs w:val="20"/>
      </w:rPr>
      <w:t>Zemesgramatu_lik</w:t>
    </w:r>
    <w:r w:rsidR="00771DCA" w:rsidRPr="000840A6">
      <w:rPr>
        <w:rFonts w:ascii="Times New Roman" w:hAnsi="Times New Roman" w:cs="Times New Roman"/>
        <w:b w:val="0"/>
        <w:color w:val="auto"/>
        <w:sz w:val="20"/>
        <w:szCs w:val="20"/>
      </w:rPr>
      <w:t>;</w:t>
    </w:r>
    <w:r w:rsidR="000840A6">
      <w:rPr>
        <w:rFonts w:ascii="Times New Roman" w:hAnsi="Times New Roman" w:cs="Times New Roman"/>
        <w:b w:val="0"/>
        <w:color w:val="auto"/>
        <w:sz w:val="20"/>
        <w:szCs w:val="20"/>
      </w:rPr>
      <w:t xml:space="preserve"> Likumprojekta</w:t>
    </w:r>
    <w:r w:rsidR="00771DCA" w:rsidRPr="000840A6">
      <w:rPr>
        <w:rFonts w:ascii="Times New Roman" w:hAnsi="Times New Roman" w:cs="Times New Roman"/>
        <w:b w:val="0"/>
        <w:color w:val="auto"/>
        <w:sz w:val="20"/>
        <w:szCs w:val="20"/>
      </w:rPr>
      <w:t xml:space="preserve"> „</w:t>
    </w:r>
    <w:r w:rsidR="000840A6" w:rsidRPr="000840A6">
      <w:rPr>
        <w:rFonts w:ascii="Times New Roman" w:hAnsi="Times New Roman" w:cs="Times New Roman"/>
        <w:b w:val="0"/>
        <w:color w:val="auto"/>
        <w:sz w:val="20"/>
        <w:szCs w:val="20"/>
      </w:rPr>
      <w:t xml:space="preserve">Grozījums </w:t>
    </w:r>
    <w:r w:rsidR="005B1E6A">
      <w:rPr>
        <w:rFonts w:ascii="Times New Roman" w:hAnsi="Times New Roman" w:cs="Times New Roman"/>
        <w:b w:val="0"/>
        <w:color w:val="auto"/>
        <w:sz w:val="20"/>
        <w:szCs w:val="20"/>
      </w:rPr>
      <w:t>Zemesgrāmatu</w:t>
    </w:r>
    <w:r w:rsidR="000840A6" w:rsidRPr="000840A6">
      <w:rPr>
        <w:rFonts w:ascii="Times New Roman" w:hAnsi="Times New Roman" w:cs="Times New Roman"/>
        <w:b w:val="0"/>
        <w:color w:val="auto"/>
        <w:sz w:val="20"/>
        <w:szCs w:val="20"/>
      </w:rPr>
      <w:t xml:space="preserve"> likumā</w:t>
    </w:r>
    <w:r w:rsidR="00771DCA" w:rsidRPr="000840A6">
      <w:rPr>
        <w:rFonts w:ascii="Times New Roman" w:hAnsi="Times New Roman" w:cs="Times New Roman"/>
        <w:b w:val="0"/>
        <w:color w:val="auto"/>
        <w:sz w:val="20"/>
        <w:szCs w:val="20"/>
      </w:rPr>
      <w:t xml:space="preserve">” </w:t>
    </w:r>
    <w:r w:rsidR="00E17657" w:rsidRPr="000840A6">
      <w:rPr>
        <w:rFonts w:ascii="Times New Roman" w:hAnsi="Times New Roman" w:cs="Times New Roman"/>
        <w:b w:val="0"/>
        <w:color w:val="auto"/>
        <w:sz w:val="20"/>
        <w:szCs w:val="20"/>
      </w:rPr>
      <w:t xml:space="preserve"> </w:t>
    </w:r>
    <w:r w:rsidR="008E38BC" w:rsidRPr="000840A6">
      <w:rPr>
        <w:rFonts w:ascii="Times New Roman" w:hAnsi="Times New Roman" w:cs="Times New Roman"/>
        <w:b w:val="0"/>
        <w:color w:val="auto"/>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7F" w:rsidRDefault="0063607F" w:rsidP="00523538">
      <w:r>
        <w:separator/>
      </w:r>
    </w:p>
  </w:footnote>
  <w:footnote w:type="continuationSeparator" w:id="0">
    <w:p w:rsidR="0063607F" w:rsidRDefault="0063607F"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636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EBE">
      <w:rPr>
        <w:rStyle w:val="PageNumber"/>
        <w:noProof/>
      </w:rPr>
      <w:t>2</w:t>
    </w:r>
    <w:r>
      <w:rPr>
        <w:rStyle w:val="PageNumber"/>
      </w:rPr>
      <w:fldChar w:fldCharType="end"/>
    </w:r>
  </w:p>
  <w:p w:rsidR="00DE1C13" w:rsidRDefault="0063607F">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C1B"/>
    <w:rsid w:val="00057EBB"/>
    <w:rsid w:val="000840A6"/>
    <w:rsid w:val="000853F7"/>
    <w:rsid w:val="000862DD"/>
    <w:rsid w:val="0008775F"/>
    <w:rsid w:val="000A5B33"/>
    <w:rsid w:val="000B0040"/>
    <w:rsid w:val="000C1B72"/>
    <w:rsid w:val="000C26CD"/>
    <w:rsid w:val="000C6353"/>
    <w:rsid w:val="000D0E66"/>
    <w:rsid w:val="000D482B"/>
    <w:rsid w:val="000D5949"/>
    <w:rsid w:val="000D62F1"/>
    <w:rsid w:val="000E18BC"/>
    <w:rsid w:val="000E1DF8"/>
    <w:rsid w:val="000E7346"/>
    <w:rsid w:val="000F6C98"/>
    <w:rsid w:val="000F6EE8"/>
    <w:rsid w:val="001026F6"/>
    <w:rsid w:val="0011322A"/>
    <w:rsid w:val="0013254B"/>
    <w:rsid w:val="00132805"/>
    <w:rsid w:val="0014007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79E7"/>
    <w:rsid w:val="001F72E2"/>
    <w:rsid w:val="00200AD2"/>
    <w:rsid w:val="002018F2"/>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63AEA"/>
    <w:rsid w:val="00264DEF"/>
    <w:rsid w:val="00264F4D"/>
    <w:rsid w:val="00265B85"/>
    <w:rsid w:val="00270A6A"/>
    <w:rsid w:val="00271E2E"/>
    <w:rsid w:val="0027371E"/>
    <w:rsid w:val="0028075D"/>
    <w:rsid w:val="002813CC"/>
    <w:rsid w:val="00281C85"/>
    <w:rsid w:val="00282F77"/>
    <w:rsid w:val="00283947"/>
    <w:rsid w:val="00293715"/>
    <w:rsid w:val="002A4883"/>
    <w:rsid w:val="002A531A"/>
    <w:rsid w:val="002A5789"/>
    <w:rsid w:val="002B2BB2"/>
    <w:rsid w:val="002B2C6A"/>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4005AD"/>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40E36"/>
    <w:rsid w:val="00542B31"/>
    <w:rsid w:val="005507BA"/>
    <w:rsid w:val="00553557"/>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1E6A"/>
    <w:rsid w:val="005B3D79"/>
    <w:rsid w:val="005E16FE"/>
    <w:rsid w:val="005E64BF"/>
    <w:rsid w:val="005F372D"/>
    <w:rsid w:val="00601E41"/>
    <w:rsid w:val="00610AC4"/>
    <w:rsid w:val="00622CFA"/>
    <w:rsid w:val="00623075"/>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31AD"/>
    <w:rsid w:val="007E2B88"/>
    <w:rsid w:val="007E4382"/>
    <w:rsid w:val="007E6D65"/>
    <w:rsid w:val="007F1E40"/>
    <w:rsid w:val="007F37A7"/>
    <w:rsid w:val="007F3B91"/>
    <w:rsid w:val="007F4AC2"/>
    <w:rsid w:val="007F4FA9"/>
    <w:rsid w:val="00800097"/>
    <w:rsid w:val="00802028"/>
    <w:rsid w:val="008039DC"/>
    <w:rsid w:val="00806948"/>
    <w:rsid w:val="0081379F"/>
    <w:rsid w:val="008146C0"/>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4450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5A14"/>
    <w:rsid w:val="00A403EF"/>
    <w:rsid w:val="00A41456"/>
    <w:rsid w:val="00A43506"/>
    <w:rsid w:val="00A6035F"/>
    <w:rsid w:val="00A62E50"/>
    <w:rsid w:val="00A65363"/>
    <w:rsid w:val="00A675C7"/>
    <w:rsid w:val="00A80E58"/>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6579"/>
    <w:rsid w:val="00CC7D3A"/>
    <w:rsid w:val="00CE2ACA"/>
    <w:rsid w:val="00CE74CC"/>
    <w:rsid w:val="00CF0E7C"/>
    <w:rsid w:val="00CF3AA2"/>
    <w:rsid w:val="00CF3F35"/>
    <w:rsid w:val="00D118F0"/>
    <w:rsid w:val="00D140C4"/>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756B0"/>
    <w:rsid w:val="00E76024"/>
    <w:rsid w:val="00E86C4D"/>
    <w:rsid w:val="00E93A3C"/>
    <w:rsid w:val="00EA289B"/>
    <w:rsid w:val="00EB17D8"/>
    <w:rsid w:val="00EB1C5F"/>
    <w:rsid w:val="00EB24AB"/>
    <w:rsid w:val="00EB5C05"/>
    <w:rsid w:val="00EC0A1C"/>
    <w:rsid w:val="00ED14A6"/>
    <w:rsid w:val="00ED1795"/>
    <w:rsid w:val="00ED5429"/>
    <w:rsid w:val="00EE39ED"/>
    <w:rsid w:val="00EE3EA0"/>
    <w:rsid w:val="00EE4C05"/>
    <w:rsid w:val="00EE625A"/>
    <w:rsid w:val="00EF500B"/>
    <w:rsid w:val="00F00202"/>
    <w:rsid w:val="00F10403"/>
    <w:rsid w:val="00F143AD"/>
    <w:rsid w:val="00F14FB7"/>
    <w:rsid w:val="00F20D03"/>
    <w:rsid w:val="00F27A31"/>
    <w:rsid w:val="00F32591"/>
    <w:rsid w:val="00F3259F"/>
    <w:rsid w:val="00F334F6"/>
    <w:rsid w:val="00F37DA6"/>
    <w:rsid w:val="00F4665B"/>
    <w:rsid w:val="00F50266"/>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2863-5427-47B0-9D52-8E039D98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2191</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10</cp:revision>
  <cp:lastPrinted>2015-02-02T11:48:00Z</cp:lastPrinted>
  <dcterms:created xsi:type="dcterms:W3CDTF">2015-02-04T12:35:00Z</dcterms:created>
  <dcterms:modified xsi:type="dcterms:W3CDTF">2015-03-11T14:59:00Z</dcterms:modified>
</cp:coreProperties>
</file>