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E9FB0" w14:textId="77777777" w:rsidR="006B384F" w:rsidRPr="00F5458C" w:rsidRDefault="006B384F" w:rsidP="006B384F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0A10265" w14:textId="77777777" w:rsidR="006B384F" w:rsidRPr="00F5458C" w:rsidRDefault="006B384F" w:rsidP="006B384F">
      <w:pPr>
        <w:tabs>
          <w:tab w:val="left" w:pos="6663"/>
        </w:tabs>
        <w:rPr>
          <w:sz w:val="28"/>
          <w:szCs w:val="28"/>
        </w:rPr>
      </w:pPr>
    </w:p>
    <w:p w14:paraId="6BE5C643" w14:textId="77777777" w:rsidR="006B384F" w:rsidRPr="00F5458C" w:rsidRDefault="006B384F" w:rsidP="006B384F">
      <w:pPr>
        <w:tabs>
          <w:tab w:val="left" w:pos="6663"/>
        </w:tabs>
        <w:rPr>
          <w:sz w:val="28"/>
          <w:szCs w:val="28"/>
        </w:rPr>
      </w:pPr>
    </w:p>
    <w:p w14:paraId="68F3F5FE" w14:textId="562E0564" w:rsidR="006B384F" w:rsidRPr="008C4EDF" w:rsidRDefault="006B384F" w:rsidP="006B384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07244F" w:rsidRPr="0007244F">
        <w:rPr>
          <w:sz w:val="28"/>
          <w:szCs w:val="28"/>
        </w:rPr>
        <w:t>7. aprīlī</w:t>
      </w:r>
      <w:r w:rsidRPr="008C4EDF">
        <w:rPr>
          <w:sz w:val="28"/>
          <w:szCs w:val="28"/>
        </w:rPr>
        <w:tab/>
        <w:t>Noteikumi Nr.</w:t>
      </w:r>
      <w:r w:rsidR="0007244F">
        <w:rPr>
          <w:sz w:val="28"/>
          <w:szCs w:val="28"/>
        </w:rPr>
        <w:t> 159</w:t>
      </w:r>
    </w:p>
    <w:p w14:paraId="723102A3" w14:textId="74441F84" w:rsidR="006B384F" w:rsidRPr="00E9501F" w:rsidRDefault="006B384F" w:rsidP="006B384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07244F">
        <w:rPr>
          <w:sz w:val="28"/>
          <w:szCs w:val="28"/>
        </w:rPr>
        <w:t>18</w:t>
      </w:r>
      <w:r>
        <w:rPr>
          <w:sz w:val="28"/>
          <w:szCs w:val="28"/>
        </w:rPr>
        <w:t>  </w:t>
      </w:r>
      <w:r w:rsidR="0007244F">
        <w:rPr>
          <w:sz w:val="28"/>
          <w:szCs w:val="28"/>
        </w:rPr>
        <w:t>7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58D9F925" w14:textId="77777777" w:rsidR="00245236" w:rsidRPr="006B384F" w:rsidRDefault="00245236" w:rsidP="00245236">
      <w:pPr>
        <w:ind w:firstLine="720"/>
        <w:jc w:val="both"/>
        <w:rPr>
          <w:sz w:val="28"/>
          <w:szCs w:val="28"/>
        </w:rPr>
      </w:pPr>
    </w:p>
    <w:p w14:paraId="115BE6A1" w14:textId="7A1C35D3" w:rsidR="0006174E" w:rsidRDefault="0006174E" w:rsidP="006B384F">
      <w:pPr>
        <w:jc w:val="center"/>
        <w:rPr>
          <w:b/>
          <w:sz w:val="28"/>
          <w:szCs w:val="28"/>
        </w:rPr>
      </w:pPr>
      <w:r w:rsidRPr="006B384F">
        <w:rPr>
          <w:b/>
          <w:sz w:val="28"/>
          <w:szCs w:val="28"/>
        </w:rPr>
        <w:t>Grozījumi Ministru kabineta 2000</w:t>
      </w:r>
      <w:r w:rsidR="006B384F">
        <w:rPr>
          <w:b/>
          <w:sz w:val="28"/>
          <w:szCs w:val="28"/>
        </w:rPr>
        <w:t>. g</w:t>
      </w:r>
      <w:r w:rsidRPr="006B384F">
        <w:rPr>
          <w:b/>
          <w:sz w:val="28"/>
          <w:szCs w:val="28"/>
        </w:rPr>
        <w:t>ada 2</w:t>
      </w:r>
      <w:r w:rsidR="006B384F">
        <w:rPr>
          <w:b/>
          <w:sz w:val="28"/>
          <w:szCs w:val="28"/>
        </w:rPr>
        <w:t>. m</w:t>
      </w:r>
      <w:r w:rsidRPr="006B384F">
        <w:rPr>
          <w:b/>
          <w:sz w:val="28"/>
          <w:szCs w:val="28"/>
        </w:rPr>
        <w:t>aija noteikumos Nr.</w:t>
      </w:r>
      <w:r w:rsidR="006B384F">
        <w:rPr>
          <w:b/>
          <w:sz w:val="28"/>
          <w:szCs w:val="28"/>
        </w:rPr>
        <w:t> </w:t>
      </w:r>
      <w:r w:rsidRPr="006B384F">
        <w:rPr>
          <w:b/>
          <w:sz w:val="28"/>
          <w:szCs w:val="28"/>
        </w:rPr>
        <w:t xml:space="preserve">165 </w:t>
      </w:r>
      <w:r w:rsidR="006B384F">
        <w:rPr>
          <w:b/>
          <w:sz w:val="28"/>
          <w:szCs w:val="28"/>
        </w:rPr>
        <w:t>"</w:t>
      </w:r>
      <w:r w:rsidRPr="006B384F">
        <w:rPr>
          <w:b/>
          <w:sz w:val="28"/>
          <w:szCs w:val="28"/>
        </w:rPr>
        <w:t>Noteikumi par spiedieniekārtām un to kompleksiem</w:t>
      </w:r>
      <w:r w:rsidR="006B384F">
        <w:rPr>
          <w:b/>
          <w:sz w:val="28"/>
          <w:szCs w:val="28"/>
        </w:rPr>
        <w:t>"</w:t>
      </w:r>
    </w:p>
    <w:p w14:paraId="72E86790" w14:textId="77777777" w:rsidR="00245236" w:rsidRPr="006B384F" w:rsidRDefault="00245236" w:rsidP="00245236">
      <w:pPr>
        <w:ind w:firstLine="720"/>
        <w:jc w:val="both"/>
        <w:rPr>
          <w:sz w:val="28"/>
          <w:szCs w:val="28"/>
        </w:rPr>
      </w:pPr>
    </w:p>
    <w:p w14:paraId="2749D1EB" w14:textId="77777777" w:rsidR="006B384F" w:rsidRDefault="0006174E" w:rsidP="006B384F">
      <w:pPr>
        <w:pStyle w:val="naislab"/>
        <w:spacing w:before="0" w:after="0"/>
        <w:ind w:left="5670"/>
        <w:rPr>
          <w:sz w:val="28"/>
          <w:szCs w:val="28"/>
        </w:rPr>
      </w:pPr>
      <w:r w:rsidRPr="006B384F">
        <w:rPr>
          <w:sz w:val="28"/>
          <w:szCs w:val="28"/>
        </w:rPr>
        <w:t xml:space="preserve">Izdoti saskaņā ar likuma </w:t>
      </w:r>
    </w:p>
    <w:p w14:paraId="24C3368D" w14:textId="77777777" w:rsidR="00245236" w:rsidRDefault="006B384F" w:rsidP="006B384F">
      <w:pPr>
        <w:pStyle w:val="naislab"/>
        <w:spacing w:before="0" w:after="0"/>
        <w:ind w:left="5670"/>
        <w:rPr>
          <w:sz w:val="28"/>
          <w:szCs w:val="28"/>
        </w:rPr>
      </w:pPr>
      <w:r>
        <w:rPr>
          <w:sz w:val="28"/>
          <w:szCs w:val="28"/>
        </w:rPr>
        <w:t>"</w:t>
      </w:r>
      <w:r w:rsidR="0006174E" w:rsidRPr="006B384F">
        <w:rPr>
          <w:sz w:val="28"/>
          <w:szCs w:val="28"/>
        </w:rPr>
        <w:t>Par atbilstības novērtēšanu</w:t>
      </w:r>
      <w:r>
        <w:rPr>
          <w:sz w:val="28"/>
          <w:szCs w:val="28"/>
        </w:rPr>
        <w:t>"</w:t>
      </w:r>
    </w:p>
    <w:p w14:paraId="115BE6A2" w14:textId="70108BB9" w:rsidR="0006174E" w:rsidRPr="006B384F" w:rsidRDefault="0006174E" w:rsidP="006B384F">
      <w:pPr>
        <w:pStyle w:val="naislab"/>
        <w:spacing w:before="0" w:after="0"/>
        <w:ind w:left="5670"/>
        <w:rPr>
          <w:sz w:val="28"/>
          <w:szCs w:val="28"/>
        </w:rPr>
      </w:pPr>
      <w:r w:rsidRPr="006B384F">
        <w:rPr>
          <w:sz w:val="28"/>
          <w:szCs w:val="28"/>
        </w:rPr>
        <w:t>7</w:t>
      </w:r>
      <w:r w:rsidR="006B384F">
        <w:rPr>
          <w:sz w:val="28"/>
          <w:szCs w:val="28"/>
        </w:rPr>
        <w:t>. p</w:t>
      </w:r>
      <w:r w:rsidRPr="006B384F">
        <w:rPr>
          <w:sz w:val="28"/>
          <w:szCs w:val="28"/>
        </w:rPr>
        <w:t>antu</w:t>
      </w:r>
    </w:p>
    <w:p w14:paraId="48E0CB69" w14:textId="77777777" w:rsidR="00245236" w:rsidRPr="006B384F" w:rsidRDefault="00245236" w:rsidP="00245236">
      <w:pPr>
        <w:ind w:firstLine="720"/>
        <w:jc w:val="both"/>
        <w:rPr>
          <w:sz w:val="28"/>
          <w:szCs w:val="28"/>
        </w:rPr>
      </w:pPr>
    </w:p>
    <w:p w14:paraId="115BE6A4" w14:textId="1A232FDA" w:rsidR="00806E24" w:rsidRPr="006B384F" w:rsidRDefault="0064049F" w:rsidP="006B384F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1</w:t>
      </w:r>
      <w:r w:rsidR="00245236" w:rsidRPr="006B384F">
        <w:rPr>
          <w:sz w:val="28"/>
          <w:szCs w:val="28"/>
        </w:rPr>
        <w:t>. </w:t>
      </w:r>
      <w:r w:rsidR="00806E24" w:rsidRPr="006B384F">
        <w:rPr>
          <w:sz w:val="28"/>
          <w:szCs w:val="28"/>
        </w:rPr>
        <w:t>Izdarīt Ministru kabineta 2000</w:t>
      </w:r>
      <w:r w:rsidR="006B384F">
        <w:rPr>
          <w:sz w:val="28"/>
          <w:szCs w:val="28"/>
        </w:rPr>
        <w:t>. g</w:t>
      </w:r>
      <w:r w:rsidR="00806E24" w:rsidRPr="006B384F">
        <w:rPr>
          <w:sz w:val="28"/>
          <w:szCs w:val="28"/>
        </w:rPr>
        <w:t>ada 2</w:t>
      </w:r>
      <w:r w:rsidR="006B384F">
        <w:rPr>
          <w:sz w:val="28"/>
          <w:szCs w:val="28"/>
        </w:rPr>
        <w:t>. m</w:t>
      </w:r>
      <w:r w:rsidR="00806E24" w:rsidRPr="006B384F">
        <w:rPr>
          <w:sz w:val="28"/>
          <w:szCs w:val="28"/>
        </w:rPr>
        <w:t>aija noteikumos Nr.</w:t>
      </w:r>
      <w:r w:rsidR="006B384F">
        <w:rPr>
          <w:sz w:val="28"/>
          <w:szCs w:val="28"/>
        </w:rPr>
        <w:t> </w:t>
      </w:r>
      <w:r w:rsidR="00806E24" w:rsidRPr="006B384F">
        <w:rPr>
          <w:sz w:val="28"/>
          <w:szCs w:val="28"/>
        </w:rPr>
        <w:t xml:space="preserve">165 </w:t>
      </w:r>
      <w:r w:rsidR="006B384F">
        <w:rPr>
          <w:sz w:val="28"/>
          <w:szCs w:val="28"/>
        </w:rPr>
        <w:t>"</w:t>
      </w:r>
      <w:r w:rsidR="00806E24" w:rsidRPr="006B384F">
        <w:rPr>
          <w:sz w:val="28"/>
          <w:szCs w:val="28"/>
        </w:rPr>
        <w:t>Noteikumi par spiedieniekārtām un to kompleksiem</w:t>
      </w:r>
      <w:r w:rsidR="006B384F">
        <w:rPr>
          <w:sz w:val="28"/>
          <w:szCs w:val="28"/>
        </w:rPr>
        <w:t>"</w:t>
      </w:r>
      <w:r w:rsidR="00806E24" w:rsidRPr="006B384F">
        <w:rPr>
          <w:sz w:val="28"/>
          <w:szCs w:val="28"/>
        </w:rPr>
        <w:t xml:space="preserve"> </w:t>
      </w:r>
      <w:r w:rsidR="007D6B00" w:rsidRPr="006B384F">
        <w:rPr>
          <w:sz w:val="28"/>
          <w:szCs w:val="28"/>
        </w:rPr>
        <w:t>(Latvijas Vēstnesis, 2000, 161./16</w:t>
      </w:r>
      <w:r w:rsidR="00806E24" w:rsidRPr="006B384F">
        <w:rPr>
          <w:sz w:val="28"/>
          <w:szCs w:val="28"/>
        </w:rPr>
        <w:t>3</w:t>
      </w:r>
      <w:r w:rsidR="006B384F">
        <w:rPr>
          <w:sz w:val="28"/>
          <w:szCs w:val="28"/>
        </w:rPr>
        <w:t>. n</w:t>
      </w:r>
      <w:r w:rsidR="00806E24" w:rsidRPr="006B384F">
        <w:rPr>
          <w:sz w:val="28"/>
          <w:szCs w:val="28"/>
        </w:rPr>
        <w:t>r.; 2002, 139</w:t>
      </w:r>
      <w:r w:rsidR="006B384F">
        <w:rPr>
          <w:sz w:val="28"/>
          <w:szCs w:val="28"/>
        </w:rPr>
        <w:t>. n</w:t>
      </w:r>
      <w:r w:rsidR="00806E24" w:rsidRPr="006B384F">
        <w:rPr>
          <w:sz w:val="28"/>
          <w:szCs w:val="28"/>
        </w:rPr>
        <w:t>r.; 2004, 68</w:t>
      </w:r>
      <w:r w:rsidR="006B384F">
        <w:rPr>
          <w:sz w:val="28"/>
          <w:szCs w:val="28"/>
        </w:rPr>
        <w:t>. n</w:t>
      </w:r>
      <w:r w:rsidR="00806E24" w:rsidRPr="006B384F">
        <w:rPr>
          <w:sz w:val="28"/>
          <w:szCs w:val="28"/>
        </w:rPr>
        <w:t>r.; 2008, 145</w:t>
      </w:r>
      <w:r w:rsidR="006B384F">
        <w:rPr>
          <w:sz w:val="28"/>
          <w:szCs w:val="28"/>
        </w:rPr>
        <w:t>. n</w:t>
      </w:r>
      <w:r w:rsidR="00806E24" w:rsidRPr="006B384F">
        <w:rPr>
          <w:sz w:val="28"/>
          <w:szCs w:val="28"/>
        </w:rPr>
        <w:t>r.; 2009, 204</w:t>
      </w:r>
      <w:r w:rsidR="006B384F">
        <w:rPr>
          <w:sz w:val="28"/>
          <w:szCs w:val="28"/>
        </w:rPr>
        <w:t>. n</w:t>
      </w:r>
      <w:r w:rsidR="00806E24" w:rsidRPr="006B384F">
        <w:rPr>
          <w:sz w:val="28"/>
          <w:szCs w:val="28"/>
        </w:rPr>
        <w:t>r.) šādu</w:t>
      </w:r>
      <w:r w:rsidR="002B1AD5" w:rsidRPr="006B384F">
        <w:rPr>
          <w:sz w:val="28"/>
          <w:szCs w:val="28"/>
        </w:rPr>
        <w:t>s</w:t>
      </w:r>
      <w:r w:rsidR="00806E24" w:rsidRPr="006B384F">
        <w:rPr>
          <w:sz w:val="28"/>
          <w:szCs w:val="28"/>
        </w:rPr>
        <w:t xml:space="preserve"> grozījumu</w:t>
      </w:r>
      <w:r w:rsidR="002B1AD5" w:rsidRPr="006B384F">
        <w:rPr>
          <w:sz w:val="28"/>
          <w:szCs w:val="28"/>
        </w:rPr>
        <w:t>s</w:t>
      </w:r>
      <w:r w:rsidR="00806E24" w:rsidRPr="006B384F">
        <w:rPr>
          <w:sz w:val="28"/>
          <w:szCs w:val="28"/>
        </w:rPr>
        <w:t>:</w:t>
      </w:r>
    </w:p>
    <w:p w14:paraId="115BE6A6" w14:textId="3AB77F66" w:rsidR="00806E24" w:rsidRDefault="002B1AD5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1.</w:t>
      </w:r>
      <w:r w:rsidR="0064049F" w:rsidRPr="006B384F">
        <w:rPr>
          <w:sz w:val="28"/>
          <w:szCs w:val="28"/>
        </w:rPr>
        <w:t>1</w:t>
      </w:r>
      <w:r w:rsidR="00932C8D">
        <w:rPr>
          <w:sz w:val="28"/>
          <w:szCs w:val="28"/>
        </w:rPr>
        <w:t>.</w:t>
      </w:r>
      <w:r w:rsidRPr="006B384F">
        <w:rPr>
          <w:sz w:val="28"/>
          <w:szCs w:val="28"/>
        </w:rPr>
        <w:t xml:space="preserve"> </w:t>
      </w:r>
      <w:r w:rsidR="00932C8D">
        <w:rPr>
          <w:sz w:val="28"/>
          <w:szCs w:val="28"/>
        </w:rPr>
        <w:t>i</w:t>
      </w:r>
      <w:r w:rsidR="00806E24" w:rsidRPr="006B384F">
        <w:rPr>
          <w:sz w:val="28"/>
          <w:szCs w:val="28"/>
        </w:rPr>
        <w:t>zteikt 14</w:t>
      </w:r>
      <w:r w:rsidR="006B384F">
        <w:rPr>
          <w:sz w:val="28"/>
          <w:szCs w:val="28"/>
        </w:rPr>
        <w:t>. p</w:t>
      </w:r>
      <w:r w:rsidR="00806E24" w:rsidRPr="006B384F">
        <w:rPr>
          <w:sz w:val="28"/>
          <w:szCs w:val="28"/>
        </w:rPr>
        <w:t>unktu šādā redakcijā:</w:t>
      </w:r>
    </w:p>
    <w:p w14:paraId="37E33E41" w14:textId="77777777" w:rsidR="006B384F" w:rsidRPr="006B384F" w:rsidRDefault="006B384F" w:rsidP="006B384F">
      <w:pPr>
        <w:ind w:firstLine="720"/>
        <w:jc w:val="both"/>
        <w:rPr>
          <w:sz w:val="28"/>
          <w:szCs w:val="28"/>
        </w:rPr>
      </w:pPr>
    </w:p>
    <w:p w14:paraId="115BE6A7" w14:textId="3D0099A2" w:rsidR="00455EDC" w:rsidRPr="006B384F" w:rsidRDefault="006B384F" w:rsidP="006B38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55EDC" w:rsidRPr="006B384F">
        <w:rPr>
          <w:sz w:val="28"/>
          <w:szCs w:val="28"/>
        </w:rPr>
        <w:t>1</w:t>
      </w:r>
      <w:r w:rsidR="00DB4338" w:rsidRPr="006B384F">
        <w:rPr>
          <w:sz w:val="28"/>
          <w:szCs w:val="28"/>
        </w:rPr>
        <w:t>4</w:t>
      </w:r>
      <w:r w:rsidR="00455EDC" w:rsidRPr="006B384F">
        <w:rPr>
          <w:sz w:val="28"/>
          <w:szCs w:val="28"/>
        </w:rPr>
        <w:t>. Lai klasificētu spiedieniekārtas, plūstošās vielas iedala divās grupās:</w:t>
      </w:r>
    </w:p>
    <w:p w14:paraId="115BE6A8" w14:textId="44B9031C" w:rsidR="00455EDC" w:rsidRPr="006B384F" w:rsidRDefault="00455EDC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1</w:t>
      </w:r>
      <w:r w:rsidR="00DB4338" w:rsidRPr="006B384F">
        <w:rPr>
          <w:sz w:val="28"/>
          <w:szCs w:val="28"/>
        </w:rPr>
        <w:t>4</w:t>
      </w:r>
      <w:r w:rsidRPr="006B384F">
        <w:rPr>
          <w:sz w:val="28"/>
          <w:szCs w:val="28"/>
        </w:rPr>
        <w:t>.1</w:t>
      </w:r>
      <w:r w:rsidR="00245236" w:rsidRPr="006B384F">
        <w:rPr>
          <w:sz w:val="28"/>
          <w:szCs w:val="28"/>
        </w:rPr>
        <w:t>.  </w:t>
      </w:r>
      <w:r w:rsidRPr="006B384F">
        <w:rPr>
          <w:sz w:val="28"/>
          <w:szCs w:val="28"/>
        </w:rPr>
        <w:t xml:space="preserve">I grupā iekļautas </w:t>
      </w:r>
      <w:r w:rsidR="007D6B00" w:rsidRPr="006B384F">
        <w:rPr>
          <w:sz w:val="28"/>
          <w:szCs w:val="28"/>
        </w:rPr>
        <w:t>vielas un maisījumi, kas ir spiedieniekārtās ar maksimāli pieļaujamo temperatūru (TS), kura ir augstāka par plūstošās vielas uzliesmošanas temperatūru</w:t>
      </w:r>
      <w:r w:rsidR="00F65478">
        <w:rPr>
          <w:sz w:val="28"/>
          <w:szCs w:val="28"/>
        </w:rPr>
        <w:t>,</w:t>
      </w:r>
      <w:r w:rsidR="007D6B00" w:rsidRPr="006B384F">
        <w:rPr>
          <w:sz w:val="28"/>
          <w:szCs w:val="28"/>
        </w:rPr>
        <w:t xml:space="preserve"> un </w:t>
      </w:r>
      <w:r w:rsidRPr="006B384F">
        <w:rPr>
          <w:sz w:val="28"/>
          <w:szCs w:val="28"/>
        </w:rPr>
        <w:t>plūstošās vielas,</w:t>
      </w:r>
      <w:r w:rsidR="00EE646C" w:rsidRPr="006B384F">
        <w:rPr>
          <w:sz w:val="28"/>
          <w:szCs w:val="28"/>
        </w:rPr>
        <w:t xml:space="preserve"> kuras veido vielas un maisījumi, </w:t>
      </w:r>
      <w:r w:rsidR="000C71EE" w:rsidRPr="006B384F">
        <w:rPr>
          <w:sz w:val="28"/>
          <w:szCs w:val="28"/>
        </w:rPr>
        <w:t>kas</w:t>
      </w:r>
      <w:r w:rsidR="004A4F52" w:rsidRPr="006B384F">
        <w:rPr>
          <w:sz w:val="28"/>
          <w:szCs w:val="28"/>
        </w:rPr>
        <w:t xml:space="preserve"> definēti Eiropas Parlamenta un Padomes 2008</w:t>
      </w:r>
      <w:r w:rsidR="006B384F">
        <w:rPr>
          <w:sz w:val="28"/>
          <w:szCs w:val="28"/>
        </w:rPr>
        <w:t>. g</w:t>
      </w:r>
      <w:r w:rsidR="004A4F52" w:rsidRPr="006B384F">
        <w:rPr>
          <w:sz w:val="28"/>
          <w:szCs w:val="28"/>
        </w:rPr>
        <w:t>ada 16</w:t>
      </w:r>
      <w:r w:rsidR="006B384F">
        <w:rPr>
          <w:sz w:val="28"/>
          <w:szCs w:val="28"/>
        </w:rPr>
        <w:t>. d</w:t>
      </w:r>
      <w:r w:rsidR="004A4F52" w:rsidRPr="006B384F">
        <w:rPr>
          <w:sz w:val="28"/>
          <w:szCs w:val="28"/>
        </w:rPr>
        <w:t>ecembra Regulas (EK) Nr.</w:t>
      </w:r>
      <w:r w:rsidR="006B384F">
        <w:rPr>
          <w:sz w:val="28"/>
          <w:szCs w:val="28"/>
        </w:rPr>
        <w:t> </w:t>
      </w:r>
      <w:r w:rsidR="004A4F52" w:rsidRPr="006B384F">
        <w:rPr>
          <w:sz w:val="28"/>
          <w:szCs w:val="28"/>
        </w:rPr>
        <w:t>1272/2008 par vielu un maisījumu klasificēšanu, marķēšanu un iepakošanu</w:t>
      </w:r>
      <w:r w:rsidR="00652F20" w:rsidRPr="006B384F">
        <w:rPr>
          <w:sz w:val="28"/>
          <w:szCs w:val="28"/>
        </w:rPr>
        <w:t xml:space="preserve"> un ar ko groza un atceļ Direktīvas 67/548/EEK un 1999/45/EK un groza Regulu (EK) Nr.</w:t>
      </w:r>
      <w:r w:rsidR="00BF05F4">
        <w:rPr>
          <w:sz w:val="28"/>
          <w:szCs w:val="28"/>
        </w:rPr>
        <w:t> </w:t>
      </w:r>
      <w:r w:rsidR="00652F20" w:rsidRPr="006B384F">
        <w:rPr>
          <w:sz w:val="28"/>
          <w:szCs w:val="28"/>
        </w:rPr>
        <w:t>1907/2006</w:t>
      </w:r>
      <w:r w:rsidR="0014591F">
        <w:rPr>
          <w:sz w:val="28"/>
          <w:szCs w:val="28"/>
        </w:rPr>
        <w:t>,</w:t>
      </w:r>
      <w:r w:rsidR="004A4F52" w:rsidRPr="006B384F">
        <w:rPr>
          <w:sz w:val="28"/>
          <w:szCs w:val="28"/>
        </w:rPr>
        <w:t xml:space="preserve"> 2</w:t>
      </w:r>
      <w:r w:rsidR="006B384F">
        <w:rPr>
          <w:sz w:val="28"/>
          <w:szCs w:val="28"/>
        </w:rPr>
        <w:t>. p</w:t>
      </w:r>
      <w:r w:rsidR="004A4F52" w:rsidRPr="006B384F">
        <w:rPr>
          <w:sz w:val="28"/>
          <w:szCs w:val="28"/>
        </w:rPr>
        <w:t>anta 7.</w:t>
      </w:r>
      <w:r w:rsidR="00F65478">
        <w:rPr>
          <w:sz w:val="28"/>
          <w:szCs w:val="28"/>
        </w:rPr>
        <w:t xml:space="preserve"> un</w:t>
      </w:r>
      <w:r w:rsidR="004A4F52" w:rsidRPr="006B384F">
        <w:rPr>
          <w:sz w:val="28"/>
          <w:szCs w:val="28"/>
        </w:rPr>
        <w:t xml:space="preserve"> 8</w:t>
      </w:r>
      <w:r w:rsidR="006B384F">
        <w:rPr>
          <w:sz w:val="28"/>
          <w:szCs w:val="28"/>
        </w:rPr>
        <w:t>. p</w:t>
      </w:r>
      <w:r w:rsidR="004A4F52" w:rsidRPr="006B384F">
        <w:rPr>
          <w:sz w:val="28"/>
          <w:szCs w:val="28"/>
        </w:rPr>
        <w:t xml:space="preserve">unktā un kuri </w:t>
      </w:r>
      <w:r w:rsidR="000C71EE" w:rsidRPr="006B384F">
        <w:rPr>
          <w:sz w:val="28"/>
          <w:szCs w:val="28"/>
        </w:rPr>
        <w:t>klasificējami kā bīstami</w:t>
      </w:r>
      <w:r w:rsidRPr="006B384F">
        <w:rPr>
          <w:sz w:val="28"/>
          <w:szCs w:val="28"/>
        </w:rPr>
        <w:t xml:space="preserve"> atbilstoši </w:t>
      </w:r>
      <w:r w:rsidR="00F65478">
        <w:rPr>
          <w:sz w:val="28"/>
          <w:szCs w:val="28"/>
        </w:rPr>
        <w:t>šād</w:t>
      </w:r>
      <w:r w:rsidR="004A4F52" w:rsidRPr="006B384F">
        <w:rPr>
          <w:sz w:val="28"/>
          <w:szCs w:val="28"/>
        </w:rPr>
        <w:t xml:space="preserve">ām </w:t>
      </w:r>
      <w:r w:rsidR="00F64E30" w:rsidRPr="006B384F">
        <w:rPr>
          <w:sz w:val="28"/>
          <w:szCs w:val="28"/>
        </w:rPr>
        <w:t>bīstamība</w:t>
      </w:r>
      <w:r w:rsidR="00F64E30">
        <w:rPr>
          <w:sz w:val="28"/>
          <w:szCs w:val="28"/>
        </w:rPr>
        <w:t>s</w:t>
      </w:r>
      <w:r w:rsidR="00F64E30" w:rsidRPr="006B384F">
        <w:rPr>
          <w:sz w:val="28"/>
          <w:szCs w:val="28"/>
        </w:rPr>
        <w:t xml:space="preserve"> klasēm </w:t>
      </w:r>
      <w:r w:rsidR="00F64E30">
        <w:rPr>
          <w:sz w:val="28"/>
          <w:szCs w:val="28"/>
        </w:rPr>
        <w:t>(fizikālā</w:t>
      </w:r>
      <w:r w:rsidRPr="006B384F">
        <w:rPr>
          <w:sz w:val="28"/>
          <w:szCs w:val="28"/>
        </w:rPr>
        <w:t xml:space="preserve"> bīstamība un bīstamība veselībai</w:t>
      </w:r>
      <w:r w:rsidR="00F64E30">
        <w:rPr>
          <w:sz w:val="28"/>
          <w:szCs w:val="28"/>
        </w:rPr>
        <w:t>)</w:t>
      </w:r>
      <w:r w:rsidRPr="006B384F">
        <w:rPr>
          <w:sz w:val="28"/>
          <w:szCs w:val="28"/>
        </w:rPr>
        <w:t xml:space="preserve"> </w:t>
      </w:r>
      <w:r w:rsidR="000C71EE" w:rsidRPr="006B384F">
        <w:rPr>
          <w:sz w:val="28"/>
          <w:szCs w:val="28"/>
        </w:rPr>
        <w:t xml:space="preserve">saskaņā ar </w:t>
      </w:r>
      <w:r w:rsidR="004A4F52" w:rsidRPr="006B384F">
        <w:rPr>
          <w:sz w:val="28"/>
          <w:szCs w:val="28"/>
        </w:rPr>
        <w:t>minētās r</w:t>
      </w:r>
      <w:r w:rsidR="000C71EE" w:rsidRPr="006B384F">
        <w:rPr>
          <w:sz w:val="28"/>
          <w:szCs w:val="28"/>
        </w:rPr>
        <w:t>egul</w:t>
      </w:r>
      <w:r w:rsidR="004A4F52" w:rsidRPr="006B384F">
        <w:rPr>
          <w:sz w:val="28"/>
          <w:szCs w:val="28"/>
        </w:rPr>
        <w:t>as I pielikuma 2. un 3</w:t>
      </w:r>
      <w:r w:rsidR="006B384F">
        <w:rPr>
          <w:sz w:val="28"/>
          <w:szCs w:val="28"/>
        </w:rPr>
        <w:t>. d</w:t>
      </w:r>
      <w:r w:rsidR="004A4F52" w:rsidRPr="006B384F">
        <w:rPr>
          <w:sz w:val="28"/>
          <w:szCs w:val="28"/>
        </w:rPr>
        <w:t>aļu</w:t>
      </w:r>
      <w:r w:rsidRPr="006B384F">
        <w:rPr>
          <w:sz w:val="28"/>
          <w:szCs w:val="28"/>
        </w:rPr>
        <w:t>:</w:t>
      </w:r>
    </w:p>
    <w:p w14:paraId="115BE6A9" w14:textId="09AF2221" w:rsidR="00455EDC" w:rsidRPr="006B384F" w:rsidRDefault="00DB4338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14</w:t>
      </w:r>
      <w:r w:rsidR="00455EDC" w:rsidRPr="006B384F">
        <w:rPr>
          <w:sz w:val="28"/>
          <w:szCs w:val="28"/>
        </w:rPr>
        <w:t>.1.1</w:t>
      </w:r>
      <w:r w:rsidR="00245236" w:rsidRPr="006B384F">
        <w:rPr>
          <w:sz w:val="28"/>
          <w:szCs w:val="28"/>
        </w:rPr>
        <w:t>. </w:t>
      </w:r>
      <w:r w:rsidR="00455EDC" w:rsidRPr="006B384F">
        <w:rPr>
          <w:sz w:val="28"/>
          <w:szCs w:val="28"/>
        </w:rPr>
        <w:t xml:space="preserve">nestabili sprādzienbīstami materiāli vai sprādzienbīstami materiāli, kas </w:t>
      </w:r>
      <w:r w:rsidR="00373E1F">
        <w:rPr>
          <w:sz w:val="28"/>
          <w:szCs w:val="28"/>
        </w:rPr>
        <w:t>ietverti 1.1., 1.2., 1.3., 1.4.</w:t>
      </w:r>
      <w:r w:rsidR="00455EDC" w:rsidRPr="006B384F">
        <w:rPr>
          <w:sz w:val="28"/>
          <w:szCs w:val="28"/>
        </w:rPr>
        <w:t xml:space="preserve"> un 1.5</w:t>
      </w:r>
      <w:r w:rsidR="006B384F">
        <w:rPr>
          <w:sz w:val="28"/>
          <w:szCs w:val="28"/>
        </w:rPr>
        <w:t>. a</w:t>
      </w:r>
      <w:r w:rsidR="00455EDC" w:rsidRPr="006B384F">
        <w:rPr>
          <w:sz w:val="28"/>
          <w:szCs w:val="28"/>
        </w:rPr>
        <w:t>pakšgrupā;</w:t>
      </w:r>
    </w:p>
    <w:p w14:paraId="115BE6AA" w14:textId="6F345A86" w:rsidR="00455EDC" w:rsidRPr="006B384F" w:rsidRDefault="00DB4338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14</w:t>
      </w:r>
      <w:r w:rsidR="00455EDC" w:rsidRPr="006B384F">
        <w:rPr>
          <w:sz w:val="28"/>
          <w:szCs w:val="28"/>
        </w:rPr>
        <w:t xml:space="preserve">.1.2. </w:t>
      </w:r>
      <w:r w:rsidR="00245236" w:rsidRPr="006B384F">
        <w:rPr>
          <w:sz w:val="28"/>
          <w:szCs w:val="28"/>
        </w:rPr>
        <w:t> </w:t>
      </w:r>
      <w:r w:rsidR="00455EDC" w:rsidRPr="006B384F">
        <w:rPr>
          <w:sz w:val="28"/>
          <w:szCs w:val="28"/>
        </w:rPr>
        <w:t>1. un 2.</w:t>
      </w:r>
      <w:r w:rsidR="006B384F">
        <w:rPr>
          <w:sz w:val="28"/>
          <w:szCs w:val="28"/>
        </w:rPr>
        <w:t> </w:t>
      </w:r>
      <w:r w:rsidR="00455EDC" w:rsidRPr="006B384F">
        <w:rPr>
          <w:sz w:val="28"/>
          <w:szCs w:val="28"/>
        </w:rPr>
        <w:t>kategorijas uzliesmojoš</w:t>
      </w:r>
      <w:r w:rsidR="00F65478">
        <w:rPr>
          <w:sz w:val="28"/>
          <w:szCs w:val="28"/>
        </w:rPr>
        <w:t>a</w:t>
      </w:r>
      <w:r w:rsidR="00455EDC" w:rsidRPr="006B384F">
        <w:rPr>
          <w:sz w:val="28"/>
          <w:szCs w:val="28"/>
        </w:rPr>
        <w:t>s gāzes;</w:t>
      </w:r>
    </w:p>
    <w:p w14:paraId="115BE6AB" w14:textId="02C2F721" w:rsidR="00455EDC" w:rsidRPr="006B384F" w:rsidRDefault="00DB4338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14</w:t>
      </w:r>
      <w:r w:rsidR="00455EDC" w:rsidRPr="006B384F">
        <w:rPr>
          <w:sz w:val="28"/>
          <w:szCs w:val="28"/>
        </w:rPr>
        <w:t xml:space="preserve">.1.3. </w:t>
      </w:r>
      <w:r w:rsidR="00245236" w:rsidRPr="006B384F">
        <w:rPr>
          <w:sz w:val="28"/>
          <w:szCs w:val="28"/>
        </w:rPr>
        <w:t> </w:t>
      </w:r>
      <w:r w:rsidR="00455EDC" w:rsidRPr="006B384F">
        <w:rPr>
          <w:sz w:val="28"/>
          <w:szCs w:val="28"/>
        </w:rPr>
        <w:t>1.</w:t>
      </w:r>
      <w:r w:rsidR="006B384F">
        <w:rPr>
          <w:sz w:val="28"/>
          <w:szCs w:val="28"/>
        </w:rPr>
        <w:t> </w:t>
      </w:r>
      <w:r w:rsidR="00455EDC" w:rsidRPr="006B384F">
        <w:rPr>
          <w:sz w:val="28"/>
          <w:szCs w:val="28"/>
        </w:rPr>
        <w:t>kategorijas oksidējošas gāzes;</w:t>
      </w:r>
    </w:p>
    <w:p w14:paraId="115BE6AC" w14:textId="0C8F6C9B" w:rsidR="00455EDC" w:rsidRPr="006B384F" w:rsidRDefault="00DB4338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14</w:t>
      </w:r>
      <w:r w:rsidR="00455EDC" w:rsidRPr="006B384F">
        <w:rPr>
          <w:sz w:val="28"/>
          <w:szCs w:val="28"/>
        </w:rPr>
        <w:t xml:space="preserve">.1.4. </w:t>
      </w:r>
      <w:r w:rsidR="00245236" w:rsidRPr="006B384F">
        <w:rPr>
          <w:sz w:val="28"/>
          <w:szCs w:val="28"/>
        </w:rPr>
        <w:t> </w:t>
      </w:r>
      <w:r w:rsidR="00455EDC" w:rsidRPr="006B384F">
        <w:rPr>
          <w:sz w:val="28"/>
          <w:szCs w:val="28"/>
        </w:rPr>
        <w:t>1. un 2.</w:t>
      </w:r>
      <w:r w:rsidR="006B384F">
        <w:rPr>
          <w:sz w:val="28"/>
          <w:szCs w:val="28"/>
        </w:rPr>
        <w:t> </w:t>
      </w:r>
      <w:r w:rsidR="00455EDC" w:rsidRPr="006B384F">
        <w:rPr>
          <w:sz w:val="28"/>
          <w:szCs w:val="28"/>
        </w:rPr>
        <w:t>kategorijas uzliesmojoši šķidrumi;</w:t>
      </w:r>
    </w:p>
    <w:p w14:paraId="115BE6AD" w14:textId="754631F3" w:rsidR="00455EDC" w:rsidRPr="006B384F" w:rsidRDefault="00DB4338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14</w:t>
      </w:r>
      <w:r w:rsidR="00455EDC" w:rsidRPr="006B384F">
        <w:rPr>
          <w:sz w:val="28"/>
          <w:szCs w:val="28"/>
        </w:rPr>
        <w:t>.1.5</w:t>
      </w:r>
      <w:r w:rsidR="00245236" w:rsidRPr="006B384F">
        <w:rPr>
          <w:sz w:val="28"/>
          <w:szCs w:val="28"/>
        </w:rPr>
        <w:t>.  </w:t>
      </w:r>
      <w:r w:rsidR="00455EDC" w:rsidRPr="006B384F">
        <w:rPr>
          <w:sz w:val="28"/>
          <w:szCs w:val="28"/>
        </w:rPr>
        <w:t>3.</w:t>
      </w:r>
      <w:r w:rsidR="006B384F">
        <w:rPr>
          <w:sz w:val="28"/>
          <w:szCs w:val="28"/>
        </w:rPr>
        <w:t> </w:t>
      </w:r>
      <w:r w:rsidR="00455EDC" w:rsidRPr="006B384F">
        <w:rPr>
          <w:sz w:val="28"/>
          <w:szCs w:val="28"/>
        </w:rPr>
        <w:t>kategorijas uzliesmojoši šķidrumi, ja maksimāli pieļaujamā temperatūra ir augstāka par uzliesmošanas temperatūru;</w:t>
      </w:r>
    </w:p>
    <w:p w14:paraId="115BE6AE" w14:textId="20F73E97" w:rsidR="00455EDC" w:rsidRPr="006B384F" w:rsidRDefault="00DB4338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14</w:t>
      </w:r>
      <w:r w:rsidR="00455EDC" w:rsidRPr="006B384F">
        <w:rPr>
          <w:sz w:val="28"/>
          <w:szCs w:val="28"/>
        </w:rPr>
        <w:t xml:space="preserve">.1.6. </w:t>
      </w:r>
      <w:r w:rsidR="00245236" w:rsidRPr="006B384F">
        <w:rPr>
          <w:sz w:val="28"/>
          <w:szCs w:val="28"/>
        </w:rPr>
        <w:t> </w:t>
      </w:r>
      <w:r w:rsidR="00455EDC" w:rsidRPr="006B384F">
        <w:rPr>
          <w:sz w:val="28"/>
          <w:szCs w:val="28"/>
        </w:rPr>
        <w:t>1. un 2.</w:t>
      </w:r>
      <w:r w:rsidR="006B384F">
        <w:rPr>
          <w:sz w:val="28"/>
          <w:szCs w:val="28"/>
        </w:rPr>
        <w:t> </w:t>
      </w:r>
      <w:r w:rsidR="00455EDC" w:rsidRPr="006B384F">
        <w:rPr>
          <w:sz w:val="28"/>
          <w:szCs w:val="28"/>
        </w:rPr>
        <w:t>kategorijas uzliesmojošas cietas vielas;</w:t>
      </w:r>
    </w:p>
    <w:p w14:paraId="115BE6AF" w14:textId="77777777" w:rsidR="00455EDC" w:rsidRPr="006B384F" w:rsidRDefault="00DB4338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14</w:t>
      </w:r>
      <w:r w:rsidR="00455EDC" w:rsidRPr="006B384F">
        <w:rPr>
          <w:sz w:val="28"/>
          <w:szCs w:val="28"/>
        </w:rPr>
        <w:t xml:space="preserve">.1.7. A līdz F tipa </w:t>
      </w:r>
      <w:proofErr w:type="spellStart"/>
      <w:r w:rsidR="00455EDC" w:rsidRPr="006B384F">
        <w:rPr>
          <w:sz w:val="28"/>
          <w:szCs w:val="28"/>
        </w:rPr>
        <w:t>pašreaģējošas</w:t>
      </w:r>
      <w:proofErr w:type="spellEnd"/>
      <w:r w:rsidR="00455EDC" w:rsidRPr="006B384F">
        <w:rPr>
          <w:sz w:val="28"/>
          <w:szCs w:val="28"/>
        </w:rPr>
        <w:t xml:space="preserve"> vielas un maisījumi;</w:t>
      </w:r>
    </w:p>
    <w:p w14:paraId="115BE6B0" w14:textId="4828F335" w:rsidR="00455EDC" w:rsidRPr="006B384F" w:rsidRDefault="00DB4338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14</w:t>
      </w:r>
      <w:r w:rsidR="00455EDC" w:rsidRPr="006B384F">
        <w:rPr>
          <w:sz w:val="28"/>
          <w:szCs w:val="28"/>
        </w:rPr>
        <w:t xml:space="preserve">.1.8. </w:t>
      </w:r>
      <w:r w:rsidR="00245236" w:rsidRPr="006B384F">
        <w:rPr>
          <w:sz w:val="28"/>
          <w:szCs w:val="28"/>
        </w:rPr>
        <w:t> </w:t>
      </w:r>
      <w:r w:rsidR="00455EDC" w:rsidRPr="006B384F">
        <w:rPr>
          <w:sz w:val="28"/>
          <w:szCs w:val="28"/>
        </w:rPr>
        <w:t>1.</w:t>
      </w:r>
      <w:r w:rsidR="006B384F">
        <w:rPr>
          <w:sz w:val="28"/>
          <w:szCs w:val="28"/>
        </w:rPr>
        <w:t> </w:t>
      </w:r>
      <w:r w:rsidR="00455EDC" w:rsidRPr="006B384F">
        <w:rPr>
          <w:sz w:val="28"/>
          <w:szCs w:val="28"/>
        </w:rPr>
        <w:t xml:space="preserve">kategorijas </w:t>
      </w:r>
      <w:proofErr w:type="spellStart"/>
      <w:r w:rsidR="00455EDC" w:rsidRPr="006B384F">
        <w:rPr>
          <w:sz w:val="28"/>
          <w:szCs w:val="28"/>
        </w:rPr>
        <w:t>pirofori</w:t>
      </w:r>
      <w:proofErr w:type="spellEnd"/>
      <w:r w:rsidR="00455EDC" w:rsidRPr="006B384F">
        <w:rPr>
          <w:sz w:val="28"/>
          <w:szCs w:val="28"/>
        </w:rPr>
        <w:t xml:space="preserve"> šķidrumi;</w:t>
      </w:r>
    </w:p>
    <w:p w14:paraId="115BE6B1" w14:textId="16EB07DE" w:rsidR="00455EDC" w:rsidRPr="006B384F" w:rsidRDefault="00DB4338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14</w:t>
      </w:r>
      <w:r w:rsidR="00455EDC" w:rsidRPr="006B384F">
        <w:rPr>
          <w:sz w:val="28"/>
          <w:szCs w:val="28"/>
        </w:rPr>
        <w:t xml:space="preserve">.1.9. </w:t>
      </w:r>
      <w:r w:rsidR="00245236" w:rsidRPr="006B384F">
        <w:rPr>
          <w:sz w:val="28"/>
          <w:szCs w:val="28"/>
        </w:rPr>
        <w:t> </w:t>
      </w:r>
      <w:r w:rsidR="00455EDC" w:rsidRPr="006B384F">
        <w:rPr>
          <w:sz w:val="28"/>
          <w:szCs w:val="28"/>
        </w:rPr>
        <w:t>1.</w:t>
      </w:r>
      <w:r w:rsidR="00BF05F4">
        <w:rPr>
          <w:sz w:val="28"/>
          <w:szCs w:val="28"/>
        </w:rPr>
        <w:t> </w:t>
      </w:r>
      <w:r w:rsidR="00455EDC" w:rsidRPr="006B384F">
        <w:rPr>
          <w:sz w:val="28"/>
          <w:szCs w:val="28"/>
        </w:rPr>
        <w:t xml:space="preserve">kategorijas </w:t>
      </w:r>
      <w:proofErr w:type="spellStart"/>
      <w:r w:rsidR="00455EDC" w:rsidRPr="006B384F">
        <w:rPr>
          <w:sz w:val="28"/>
          <w:szCs w:val="28"/>
        </w:rPr>
        <w:t>piroforas</w:t>
      </w:r>
      <w:proofErr w:type="spellEnd"/>
      <w:r w:rsidR="00455EDC" w:rsidRPr="006B384F">
        <w:rPr>
          <w:sz w:val="28"/>
          <w:szCs w:val="28"/>
        </w:rPr>
        <w:t xml:space="preserve"> cietas vielas;</w:t>
      </w:r>
    </w:p>
    <w:p w14:paraId="115BE6B2" w14:textId="3C79CDED" w:rsidR="00455EDC" w:rsidRPr="006B384F" w:rsidRDefault="00DB4338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lastRenderedPageBreak/>
        <w:t>14</w:t>
      </w:r>
      <w:r w:rsidR="00245236">
        <w:rPr>
          <w:sz w:val="28"/>
          <w:szCs w:val="28"/>
        </w:rPr>
        <w:t>.1.10</w:t>
      </w:r>
      <w:r w:rsidR="00245236" w:rsidRPr="006B384F">
        <w:rPr>
          <w:sz w:val="28"/>
          <w:szCs w:val="28"/>
        </w:rPr>
        <w:t>.  </w:t>
      </w:r>
      <w:r w:rsidR="00455EDC" w:rsidRPr="006B384F">
        <w:rPr>
          <w:sz w:val="28"/>
          <w:szCs w:val="28"/>
        </w:rPr>
        <w:t>1., 2. un 3</w:t>
      </w:r>
      <w:r w:rsidR="00BF05F4">
        <w:rPr>
          <w:sz w:val="28"/>
          <w:szCs w:val="28"/>
        </w:rPr>
        <w:t>. kategorij</w:t>
      </w:r>
      <w:r w:rsidR="00455EDC" w:rsidRPr="006B384F">
        <w:rPr>
          <w:sz w:val="28"/>
          <w:szCs w:val="28"/>
        </w:rPr>
        <w:t>as vielas un maisījumi, kas saskarē ar ūdeni izdala uzliesmojošas gāzes;</w:t>
      </w:r>
    </w:p>
    <w:p w14:paraId="115BE6B3" w14:textId="67CE49AD" w:rsidR="00455EDC" w:rsidRPr="006B384F" w:rsidRDefault="00DB4338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14</w:t>
      </w:r>
      <w:r w:rsidR="00455EDC" w:rsidRPr="006B384F">
        <w:rPr>
          <w:sz w:val="28"/>
          <w:szCs w:val="28"/>
        </w:rPr>
        <w:t xml:space="preserve">.1.11. </w:t>
      </w:r>
      <w:r w:rsidR="00245236" w:rsidRPr="006B384F">
        <w:rPr>
          <w:sz w:val="28"/>
          <w:szCs w:val="28"/>
        </w:rPr>
        <w:t> </w:t>
      </w:r>
      <w:r w:rsidR="00455EDC" w:rsidRPr="006B384F">
        <w:rPr>
          <w:sz w:val="28"/>
          <w:szCs w:val="28"/>
        </w:rPr>
        <w:t>1., 2. un 3</w:t>
      </w:r>
      <w:r w:rsidR="00BF05F4">
        <w:rPr>
          <w:sz w:val="28"/>
          <w:szCs w:val="28"/>
        </w:rPr>
        <w:t>. kategorij</w:t>
      </w:r>
      <w:r w:rsidR="00455EDC" w:rsidRPr="006B384F">
        <w:rPr>
          <w:sz w:val="28"/>
          <w:szCs w:val="28"/>
        </w:rPr>
        <w:t>as oksidējoši šķidrumi;</w:t>
      </w:r>
    </w:p>
    <w:p w14:paraId="115BE6B4" w14:textId="7F8E58CF" w:rsidR="00455EDC" w:rsidRPr="006B384F" w:rsidRDefault="00DB4338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14</w:t>
      </w:r>
      <w:r w:rsidR="00455EDC" w:rsidRPr="006B384F">
        <w:rPr>
          <w:sz w:val="28"/>
          <w:szCs w:val="28"/>
        </w:rPr>
        <w:t xml:space="preserve">.1.12. </w:t>
      </w:r>
      <w:r w:rsidR="00245236" w:rsidRPr="006B384F">
        <w:rPr>
          <w:sz w:val="28"/>
          <w:szCs w:val="28"/>
        </w:rPr>
        <w:t> </w:t>
      </w:r>
      <w:r w:rsidR="00455EDC" w:rsidRPr="006B384F">
        <w:rPr>
          <w:sz w:val="28"/>
          <w:szCs w:val="28"/>
        </w:rPr>
        <w:t>1., 2. un 3</w:t>
      </w:r>
      <w:r w:rsidR="00BF05F4">
        <w:rPr>
          <w:sz w:val="28"/>
          <w:szCs w:val="28"/>
        </w:rPr>
        <w:t>. kategorij</w:t>
      </w:r>
      <w:r w:rsidR="00455EDC" w:rsidRPr="006B384F">
        <w:rPr>
          <w:sz w:val="28"/>
          <w:szCs w:val="28"/>
        </w:rPr>
        <w:t>as oksidējošas cietas vielas;</w:t>
      </w:r>
    </w:p>
    <w:p w14:paraId="115BE6B5" w14:textId="77777777" w:rsidR="00455EDC" w:rsidRPr="006B384F" w:rsidRDefault="00DB4338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14</w:t>
      </w:r>
      <w:r w:rsidR="00455EDC" w:rsidRPr="006B384F">
        <w:rPr>
          <w:sz w:val="28"/>
          <w:szCs w:val="28"/>
        </w:rPr>
        <w:t>.1.13. A līdz F tipa organiskie peroksīdi;</w:t>
      </w:r>
    </w:p>
    <w:p w14:paraId="516EA9B2" w14:textId="6611D353" w:rsidR="00AA7B1E" w:rsidRPr="006B384F" w:rsidRDefault="00AA7B1E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 xml:space="preserve">14.1.14. </w:t>
      </w:r>
      <w:r w:rsidR="0081570B">
        <w:rPr>
          <w:sz w:val="28"/>
          <w:szCs w:val="28"/>
        </w:rPr>
        <w:t> </w:t>
      </w:r>
      <w:r w:rsidR="0081570B" w:rsidRPr="006B384F">
        <w:rPr>
          <w:sz w:val="28"/>
          <w:szCs w:val="28"/>
        </w:rPr>
        <w:t>1. un 2</w:t>
      </w:r>
      <w:r w:rsidR="0081570B">
        <w:rPr>
          <w:sz w:val="28"/>
          <w:szCs w:val="28"/>
        </w:rPr>
        <w:t>. kategorij</w:t>
      </w:r>
      <w:r w:rsidR="0081570B" w:rsidRPr="006B384F">
        <w:rPr>
          <w:sz w:val="28"/>
          <w:szCs w:val="28"/>
        </w:rPr>
        <w:t>a</w:t>
      </w:r>
      <w:r w:rsidR="0081570B">
        <w:rPr>
          <w:sz w:val="28"/>
          <w:szCs w:val="28"/>
        </w:rPr>
        <w:t>s</w:t>
      </w:r>
      <w:r w:rsidR="0081570B" w:rsidRPr="006B384F">
        <w:rPr>
          <w:sz w:val="28"/>
          <w:szCs w:val="28"/>
        </w:rPr>
        <w:t xml:space="preserve"> vielas un maisījumi </w:t>
      </w:r>
      <w:r w:rsidR="0081570B">
        <w:rPr>
          <w:sz w:val="28"/>
          <w:szCs w:val="28"/>
        </w:rPr>
        <w:t xml:space="preserve">ar </w:t>
      </w:r>
      <w:r w:rsidRPr="006B384F">
        <w:rPr>
          <w:sz w:val="28"/>
          <w:szCs w:val="28"/>
        </w:rPr>
        <w:t>akūt</w:t>
      </w:r>
      <w:r w:rsidR="0081570B">
        <w:rPr>
          <w:sz w:val="28"/>
          <w:szCs w:val="28"/>
        </w:rPr>
        <w:t>u</w:t>
      </w:r>
      <w:r w:rsidRPr="006B384F">
        <w:rPr>
          <w:sz w:val="28"/>
          <w:szCs w:val="28"/>
        </w:rPr>
        <w:t xml:space="preserve"> orāl</w:t>
      </w:r>
      <w:r w:rsidR="0081570B">
        <w:rPr>
          <w:sz w:val="28"/>
          <w:szCs w:val="28"/>
        </w:rPr>
        <w:t>o</w:t>
      </w:r>
      <w:r w:rsidRPr="006B384F">
        <w:rPr>
          <w:sz w:val="28"/>
          <w:szCs w:val="28"/>
        </w:rPr>
        <w:t xml:space="preserve"> toksi</w:t>
      </w:r>
      <w:r w:rsidR="0081570B">
        <w:rPr>
          <w:sz w:val="28"/>
          <w:szCs w:val="28"/>
        </w:rPr>
        <w:t>citāti</w:t>
      </w:r>
      <w:r w:rsidRPr="006B384F">
        <w:rPr>
          <w:sz w:val="28"/>
          <w:szCs w:val="28"/>
        </w:rPr>
        <w:t>;</w:t>
      </w:r>
    </w:p>
    <w:p w14:paraId="1D70E463" w14:textId="0E6E4430" w:rsidR="00AA7B1E" w:rsidRPr="006B384F" w:rsidRDefault="00AA7B1E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14.1.15.</w:t>
      </w:r>
      <w:r w:rsidR="0081570B">
        <w:rPr>
          <w:sz w:val="28"/>
          <w:szCs w:val="28"/>
        </w:rPr>
        <w:t>  </w:t>
      </w:r>
      <w:r w:rsidR="0081570B" w:rsidRPr="006B384F">
        <w:rPr>
          <w:sz w:val="28"/>
          <w:szCs w:val="28"/>
        </w:rPr>
        <w:t>1. un 2</w:t>
      </w:r>
      <w:r w:rsidR="0081570B">
        <w:rPr>
          <w:sz w:val="28"/>
          <w:szCs w:val="28"/>
        </w:rPr>
        <w:t>. kategorij</w:t>
      </w:r>
      <w:r w:rsidR="0081570B" w:rsidRPr="006B384F">
        <w:rPr>
          <w:sz w:val="28"/>
          <w:szCs w:val="28"/>
        </w:rPr>
        <w:t>a</w:t>
      </w:r>
      <w:r w:rsidR="0081570B">
        <w:rPr>
          <w:sz w:val="28"/>
          <w:szCs w:val="28"/>
        </w:rPr>
        <w:t>s</w:t>
      </w:r>
      <w:r w:rsidR="0081570B" w:rsidRPr="006B384F">
        <w:rPr>
          <w:sz w:val="28"/>
          <w:szCs w:val="28"/>
        </w:rPr>
        <w:t xml:space="preserve"> vielas un maisījumi </w:t>
      </w:r>
      <w:r w:rsidR="0081570B">
        <w:rPr>
          <w:sz w:val="28"/>
          <w:szCs w:val="28"/>
        </w:rPr>
        <w:t xml:space="preserve">ar </w:t>
      </w:r>
      <w:r w:rsidRPr="006B384F">
        <w:rPr>
          <w:sz w:val="28"/>
          <w:szCs w:val="28"/>
        </w:rPr>
        <w:t>akūt</w:t>
      </w:r>
      <w:r w:rsidR="0081570B">
        <w:rPr>
          <w:sz w:val="28"/>
          <w:szCs w:val="28"/>
        </w:rPr>
        <w:t>u</w:t>
      </w:r>
      <w:r w:rsidRPr="006B384F">
        <w:rPr>
          <w:sz w:val="28"/>
          <w:szCs w:val="28"/>
        </w:rPr>
        <w:t xml:space="preserve"> dermāl</w:t>
      </w:r>
      <w:r w:rsidR="0081570B">
        <w:rPr>
          <w:sz w:val="28"/>
          <w:szCs w:val="28"/>
        </w:rPr>
        <w:t>o</w:t>
      </w:r>
      <w:r w:rsidR="00911B69" w:rsidRPr="006B384F">
        <w:rPr>
          <w:sz w:val="28"/>
          <w:szCs w:val="28"/>
        </w:rPr>
        <w:t xml:space="preserve"> </w:t>
      </w:r>
      <w:r w:rsidR="0081570B" w:rsidRPr="006B384F">
        <w:rPr>
          <w:sz w:val="28"/>
          <w:szCs w:val="28"/>
        </w:rPr>
        <w:t>toksi</w:t>
      </w:r>
      <w:r w:rsidR="0081570B">
        <w:rPr>
          <w:sz w:val="28"/>
          <w:szCs w:val="28"/>
        </w:rPr>
        <w:t>citāti</w:t>
      </w:r>
      <w:r w:rsidRPr="006B384F">
        <w:rPr>
          <w:sz w:val="28"/>
          <w:szCs w:val="28"/>
        </w:rPr>
        <w:t>;</w:t>
      </w:r>
    </w:p>
    <w:p w14:paraId="0EF671D3" w14:textId="3E1F42EF" w:rsidR="00AA7B1E" w:rsidRPr="006B384F" w:rsidRDefault="00AA7B1E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14.1.</w:t>
      </w:r>
      <w:r w:rsidR="0081570B">
        <w:rPr>
          <w:sz w:val="28"/>
          <w:szCs w:val="28"/>
        </w:rPr>
        <w:t>16.  </w:t>
      </w:r>
      <w:r w:rsidR="0081570B" w:rsidRPr="006B384F">
        <w:rPr>
          <w:sz w:val="28"/>
          <w:szCs w:val="28"/>
        </w:rPr>
        <w:t>1., 2. un 3</w:t>
      </w:r>
      <w:r w:rsidR="0081570B">
        <w:rPr>
          <w:sz w:val="28"/>
          <w:szCs w:val="28"/>
        </w:rPr>
        <w:t>. kategorij</w:t>
      </w:r>
      <w:r w:rsidR="0081570B" w:rsidRPr="006B384F">
        <w:rPr>
          <w:sz w:val="28"/>
          <w:szCs w:val="28"/>
        </w:rPr>
        <w:t>a</w:t>
      </w:r>
      <w:r w:rsidR="0081570B">
        <w:rPr>
          <w:sz w:val="28"/>
          <w:szCs w:val="28"/>
        </w:rPr>
        <w:t xml:space="preserve">s </w:t>
      </w:r>
      <w:r w:rsidR="0081570B" w:rsidRPr="006B384F">
        <w:rPr>
          <w:sz w:val="28"/>
          <w:szCs w:val="28"/>
        </w:rPr>
        <w:t xml:space="preserve">vielas un maisījumi </w:t>
      </w:r>
      <w:r w:rsidR="0081570B">
        <w:rPr>
          <w:sz w:val="28"/>
          <w:szCs w:val="28"/>
        </w:rPr>
        <w:t xml:space="preserve">ar </w:t>
      </w:r>
      <w:r w:rsidR="00DF5775" w:rsidRPr="00DF5775">
        <w:rPr>
          <w:sz w:val="28"/>
          <w:szCs w:val="20"/>
        </w:rPr>
        <w:t>akūtu</w:t>
      </w:r>
      <w:r w:rsidR="00DF5775" w:rsidRPr="00DF5775">
        <w:rPr>
          <w:rFonts w:ascii="Arial" w:hAnsi="Arial" w:cs="Arial"/>
          <w:sz w:val="28"/>
          <w:szCs w:val="20"/>
        </w:rPr>
        <w:t xml:space="preserve"> </w:t>
      </w:r>
      <w:proofErr w:type="spellStart"/>
      <w:r w:rsidR="0081570B">
        <w:rPr>
          <w:sz w:val="28"/>
          <w:szCs w:val="28"/>
        </w:rPr>
        <w:t>inhalatīvo</w:t>
      </w:r>
      <w:proofErr w:type="spellEnd"/>
      <w:r w:rsidR="0081570B">
        <w:rPr>
          <w:sz w:val="28"/>
          <w:szCs w:val="28"/>
        </w:rPr>
        <w:t xml:space="preserve"> </w:t>
      </w:r>
      <w:r w:rsidR="0081570B" w:rsidRPr="006B384F">
        <w:rPr>
          <w:sz w:val="28"/>
          <w:szCs w:val="28"/>
        </w:rPr>
        <w:t>toksi</w:t>
      </w:r>
      <w:r w:rsidR="0081570B">
        <w:rPr>
          <w:sz w:val="28"/>
          <w:szCs w:val="28"/>
        </w:rPr>
        <w:t>citāti</w:t>
      </w:r>
      <w:r w:rsidRPr="006B384F">
        <w:rPr>
          <w:sz w:val="28"/>
          <w:szCs w:val="28"/>
        </w:rPr>
        <w:t>;</w:t>
      </w:r>
    </w:p>
    <w:p w14:paraId="62923519" w14:textId="401D83CA" w:rsidR="0081570B" w:rsidRPr="006B384F" w:rsidRDefault="0081570B" w:rsidP="0081570B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14.1.17</w:t>
      </w:r>
      <w:r>
        <w:rPr>
          <w:sz w:val="28"/>
          <w:szCs w:val="28"/>
        </w:rPr>
        <w:t>.  </w:t>
      </w:r>
      <w:r w:rsidRPr="006B384F">
        <w:rPr>
          <w:sz w:val="28"/>
          <w:szCs w:val="28"/>
        </w:rPr>
        <w:t xml:space="preserve">vielas un maisījumi </w:t>
      </w:r>
      <w:r>
        <w:rPr>
          <w:sz w:val="28"/>
          <w:szCs w:val="28"/>
        </w:rPr>
        <w:t xml:space="preserve">ar </w:t>
      </w:r>
      <w:r w:rsidRPr="006B384F">
        <w:rPr>
          <w:sz w:val="28"/>
          <w:szCs w:val="28"/>
        </w:rPr>
        <w:t>vienreizēj</w:t>
      </w:r>
      <w:r>
        <w:rPr>
          <w:sz w:val="28"/>
          <w:szCs w:val="28"/>
        </w:rPr>
        <w:t>u</w:t>
      </w:r>
      <w:r w:rsidRPr="006B384F">
        <w:rPr>
          <w:sz w:val="28"/>
          <w:szCs w:val="28"/>
        </w:rPr>
        <w:t xml:space="preserve"> 1</w:t>
      </w:r>
      <w:r>
        <w:rPr>
          <w:sz w:val="28"/>
          <w:szCs w:val="28"/>
        </w:rPr>
        <w:t>. kategorij</w:t>
      </w:r>
      <w:r w:rsidRPr="006B384F">
        <w:rPr>
          <w:sz w:val="28"/>
          <w:szCs w:val="28"/>
        </w:rPr>
        <w:t>a</w:t>
      </w:r>
      <w:r>
        <w:rPr>
          <w:sz w:val="28"/>
          <w:szCs w:val="28"/>
        </w:rPr>
        <w:t>s</w:t>
      </w:r>
      <w:r w:rsidRPr="006B384F">
        <w:rPr>
          <w:sz w:val="28"/>
          <w:szCs w:val="28"/>
        </w:rPr>
        <w:t xml:space="preserve"> iedarbīb</w:t>
      </w:r>
      <w:r>
        <w:rPr>
          <w:sz w:val="28"/>
          <w:szCs w:val="28"/>
        </w:rPr>
        <w:t xml:space="preserve">u – </w:t>
      </w:r>
      <w:r w:rsidRPr="006B384F">
        <w:rPr>
          <w:sz w:val="28"/>
          <w:szCs w:val="28"/>
        </w:rPr>
        <w:t>toksisk</w:t>
      </w:r>
      <w:r>
        <w:rPr>
          <w:sz w:val="28"/>
          <w:szCs w:val="28"/>
        </w:rPr>
        <w:t>u</w:t>
      </w:r>
      <w:r w:rsidRPr="006B384F">
        <w:rPr>
          <w:sz w:val="28"/>
          <w:szCs w:val="28"/>
        </w:rPr>
        <w:t xml:space="preserve"> ietekm</w:t>
      </w:r>
      <w:r>
        <w:rPr>
          <w:sz w:val="28"/>
          <w:szCs w:val="28"/>
        </w:rPr>
        <w:t>i</w:t>
      </w:r>
      <w:r w:rsidRPr="006B384F">
        <w:rPr>
          <w:sz w:val="28"/>
          <w:szCs w:val="28"/>
        </w:rPr>
        <w:t xml:space="preserve"> uz īpašu mērķorgānu;</w:t>
      </w:r>
    </w:p>
    <w:p w14:paraId="115BE6BA" w14:textId="443339EC" w:rsidR="00455EDC" w:rsidRDefault="00DB4338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14</w:t>
      </w:r>
      <w:r w:rsidR="00455EDC" w:rsidRPr="006B384F">
        <w:rPr>
          <w:sz w:val="28"/>
          <w:szCs w:val="28"/>
        </w:rPr>
        <w:t>.2</w:t>
      </w:r>
      <w:r w:rsidR="00245236" w:rsidRPr="006B384F">
        <w:rPr>
          <w:sz w:val="28"/>
          <w:szCs w:val="28"/>
        </w:rPr>
        <w:t>.</w:t>
      </w:r>
      <w:r w:rsidR="00245236" w:rsidRPr="00245236">
        <w:rPr>
          <w:sz w:val="28"/>
          <w:szCs w:val="28"/>
        </w:rPr>
        <w:t xml:space="preserve"> </w:t>
      </w:r>
      <w:r w:rsidR="00245236" w:rsidRPr="006B384F">
        <w:rPr>
          <w:sz w:val="28"/>
          <w:szCs w:val="28"/>
        </w:rPr>
        <w:t>  </w:t>
      </w:r>
      <w:r w:rsidR="00455EDC" w:rsidRPr="006B384F">
        <w:rPr>
          <w:sz w:val="28"/>
          <w:szCs w:val="28"/>
        </w:rPr>
        <w:t>II grupā iekļau</w:t>
      </w:r>
      <w:r w:rsidR="00EE646C" w:rsidRPr="006B384F">
        <w:rPr>
          <w:sz w:val="28"/>
          <w:szCs w:val="28"/>
        </w:rPr>
        <w:t>tas pārē</w:t>
      </w:r>
      <w:r w:rsidR="002B1AD5" w:rsidRPr="006B384F">
        <w:rPr>
          <w:sz w:val="28"/>
          <w:szCs w:val="28"/>
        </w:rPr>
        <w:t>jās vielas un maisījumi, kas nav minēt</w:t>
      </w:r>
      <w:r w:rsidR="0008129D">
        <w:rPr>
          <w:sz w:val="28"/>
          <w:szCs w:val="28"/>
        </w:rPr>
        <w:t>i</w:t>
      </w:r>
      <w:r w:rsidR="002B1AD5" w:rsidRPr="006B384F">
        <w:rPr>
          <w:sz w:val="28"/>
          <w:szCs w:val="28"/>
        </w:rPr>
        <w:t xml:space="preserve"> </w:t>
      </w:r>
      <w:r w:rsidR="0008129D">
        <w:rPr>
          <w:sz w:val="28"/>
          <w:szCs w:val="28"/>
        </w:rPr>
        <w:t xml:space="preserve">šo noteikumu </w:t>
      </w:r>
      <w:r w:rsidR="002B1AD5" w:rsidRPr="006B384F">
        <w:rPr>
          <w:sz w:val="28"/>
          <w:szCs w:val="28"/>
        </w:rPr>
        <w:t>14.1.</w:t>
      </w:r>
      <w:r w:rsidR="00AA7B1E" w:rsidRPr="006B384F">
        <w:rPr>
          <w:sz w:val="28"/>
          <w:szCs w:val="28"/>
        </w:rPr>
        <w:t> </w:t>
      </w:r>
      <w:r w:rsidR="002B1AD5" w:rsidRPr="006B384F">
        <w:rPr>
          <w:sz w:val="28"/>
          <w:szCs w:val="28"/>
        </w:rPr>
        <w:t>apakšpunktā.</w:t>
      </w:r>
      <w:r w:rsidR="006B384F">
        <w:rPr>
          <w:sz w:val="28"/>
          <w:szCs w:val="28"/>
        </w:rPr>
        <w:t>"</w:t>
      </w:r>
      <w:r w:rsidR="00CC0504">
        <w:rPr>
          <w:sz w:val="28"/>
          <w:szCs w:val="28"/>
        </w:rPr>
        <w:t>;</w:t>
      </w:r>
    </w:p>
    <w:p w14:paraId="221B6855" w14:textId="77777777" w:rsidR="00C11E49" w:rsidRPr="006B384F" w:rsidRDefault="00C11E49" w:rsidP="006B384F">
      <w:pPr>
        <w:ind w:firstLine="720"/>
        <w:jc w:val="both"/>
        <w:rPr>
          <w:sz w:val="28"/>
          <w:szCs w:val="28"/>
        </w:rPr>
      </w:pPr>
    </w:p>
    <w:p w14:paraId="115BE6BD" w14:textId="574B92AF" w:rsidR="00182922" w:rsidRDefault="007D6B00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1.2. </w:t>
      </w:r>
      <w:r w:rsidR="00CC0504">
        <w:rPr>
          <w:sz w:val="28"/>
          <w:szCs w:val="28"/>
        </w:rPr>
        <w:t>i</w:t>
      </w:r>
      <w:r w:rsidRPr="006B384F">
        <w:rPr>
          <w:sz w:val="28"/>
          <w:szCs w:val="28"/>
        </w:rPr>
        <w:t>zteikt</w:t>
      </w:r>
      <w:r w:rsidR="00F62D75" w:rsidRPr="006B384F">
        <w:rPr>
          <w:sz w:val="28"/>
          <w:szCs w:val="28"/>
        </w:rPr>
        <w:t xml:space="preserve"> </w:t>
      </w:r>
      <w:r w:rsidR="00182922" w:rsidRPr="006B384F">
        <w:rPr>
          <w:sz w:val="28"/>
          <w:szCs w:val="28"/>
        </w:rPr>
        <w:t>informatīvo atsauci uz Eiropas Savienības direktīv</w:t>
      </w:r>
      <w:r w:rsidR="00776747" w:rsidRPr="006B384F">
        <w:rPr>
          <w:sz w:val="28"/>
          <w:szCs w:val="28"/>
        </w:rPr>
        <w:t>ām</w:t>
      </w:r>
      <w:r w:rsidR="00182922" w:rsidRPr="006B384F">
        <w:rPr>
          <w:sz w:val="28"/>
          <w:szCs w:val="28"/>
        </w:rPr>
        <w:t xml:space="preserve"> šādā redakcijā: </w:t>
      </w:r>
    </w:p>
    <w:p w14:paraId="107E562E" w14:textId="77777777" w:rsidR="00C11E49" w:rsidRPr="006B384F" w:rsidRDefault="00C11E49" w:rsidP="006B384F">
      <w:pPr>
        <w:ind w:firstLine="720"/>
        <w:jc w:val="both"/>
        <w:rPr>
          <w:sz w:val="28"/>
          <w:szCs w:val="28"/>
        </w:rPr>
      </w:pPr>
    </w:p>
    <w:p w14:paraId="115BE6BE" w14:textId="3355BF1A" w:rsidR="00F62D75" w:rsidRDefault="006B384F" w:rsidP="002452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F62D75" w:rsidRPr="006B384F">
        <w:rPr>
          <w:b/>
          <w:sz w:val="28"/>
          <w:szCs w:val="28"/>
        </w:rPr>
        <w:t>Informatīv</w:t>
      </w:r>
      <w:r w:rsidR="007D6B00" w:rsidRPr="006B384F">
        <w:rPr>
          <w:b/>
          <w:sz w:val="28"/>
          <w:szCs w:val="28"/>
        </w:rPr>
        <w:t>a</w:t>
      </w:r>
      <w:r w:rsidR="00182922" w:rsidRPr="006B384F">
        <w:rPr>
          <w:b/>
          <w:sz w:val="28"/>
          <w:szCs w:val="28"/>
        </w:rPr>
        <w:t xml:space="preserve"> atsauce</w:t>
      </w:r>
      <w:r w:rsidR="00F62D75" w:rsidRPr="006B384F">
        <w:rPr>
          <w:b/>
          <w:sz w:val="28"/>
          <w:szCs w:val="28"/>
        </w:rPr>
        <w:t xml:space="preserve"> uz Eiropas Savienības direktīv</w:t>
      </w:r>
      <w:r w:rsidR="00776747" w:rsidRPr="006B384F">
        <w:rPr>
          <w:b/>
          <w:sz w:val="28"/>
          <w:szCs w:val="28"/>
        </w:rPr>
        <w:t>ām</w:t>
      </w:r>
    </w:p>
    <w:p w14:paraId="1B34F4D3" w14:textId="77777777" w:rsidR="00245236" w:rsidRPr="006B384F" w:rsidRDefault="00245236" w:rsidP="00245236">
      <w:pPr>
        <w:ind w:firstLine="720"/>
        <w:jc w:val="both"/>
        <w:rPr>
          <w:sz w:val="28"/>
          <w:szCs w:val="28"/>
        </w:rPr>
      </w:pPr>
    </w:p>
    <w:p w14:paraId="115BE6BF" w14:textId="77777777" w:rsidR="00D336A2" w:rsidRPr="006B384F" w:rsidRDefault="00D336A2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 xml:space="preserve">Noteikumos iekļautas tiesību normas, kas izriet no: </w:t>
      </w:r>
    </w:p>
    <w:p w14:paraId="115BE6C0" w14:textId="63F177FC" w:rsidR="00F62D75" w:rsidRPr="006B384F" w:rsidRDefault="00D336A2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1</w:t>
      </w:r>
      <w:r w:rsidR="0008129D">
        <w:rPr>
          <w:sz w:val="28"/>
          <w:szCs w:val="28"/>
        </w:rPr>
        <w:t>)</w:t>
      </w:r>
      <w:r w:rsidR="00245236" w:rsidRPr="006B384F">
        <w:rPr>
          <w:sz w:val="28"/>
          <w:szCs w:val="28"/>
        </w:rPr>
        <w:t> </w:t>
      </w:r>
      <w:r w:rsidR="00F62D75" w:rsidRPr="006B384F">
        <w:rPr>
          <w:sz w:val="28"/>
          <w:szCs w:val="28"/>
        </w:rPr>
        <w:t>Eiropas Parlamenta un Padomes 2014</w:t>
      </w:r>
      <w:r w:rsidR="006B384F">
        <w:rPr>
          <w:sz w:val="28"/>
          <w:szCs w:val="28"/>
        </w:rPr>
        <w:t>. g</w:t>
      </w:r>
      <w:r w:rsidR="00F62D75" w:rsidRPr="006B384F">
        <w:rPr>
          <w:sz w:val="28"/>
          <w:szCs w:val="28"/>
        </w:rPr>
        <w:t>ada 15</w:t>
      </w:r>
      <w:r w:rsidR="006B384F">
        <w:rPr>
          <w:sz w:val="28"/>
          <w:szCs w:val="28"/>
        </w:rPr>
        <w:t>. m</w:t>
      </w:r>
      <w:r w:rsidR="00F62D75" w:rsidRPr="006B384F">
        <w:rPr>
          <w:sz w:val="28"/>
          <w:szCs w:val="28"/>
        </w:rPr>
        <w:t xml:space="preserve">aija </w:t>
      </w:r>
      <w:r w:rsidR="0081570B">
        <w:rPr>
          <w:sz w:val="28"/>
          <w:szCs w:val="28"/>
        </w:rPr>
        <w:t>D</w:t>
      </w:r>
      <w:r w:rsidR="00F62D75" w:rsidRPr="006B384F">
        <w:rPr>
          <w:sz w:val="28"/>
          <w:szCs w:val="28"/>
        </w:rPr>
        <w:t>irektīvas 2014/68/ES par dalībvalstu tiesību aktu saskaņošanu attiecībā uz spiedieniekārtu pieejamību</w:t>
      </w:r>
      <w:r w:rsidRPr="006B384F">
        <w:rPr>
          <w:sz w:val="28"/>
          <w:szCs w:val="28"/>
        </w:rPr>
        <w:t>;</w:t>
      </w:r>
    </w:p>
    <w:p w14:paraId="115BE6C1" w14:textId="07A84F58" w:rsidR="00776747" w:rsidRDefault="00776747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2</w:t>
      </w:r>
      <w:r w:rsidR="0008129D">
        <w:rPr>
          <w:sz w:val="28"/>
          <w:szCs w:val="28"/>
        </w:rPr>
        <w:t>)</w:t>
      </w:r>
      <w:r w:rsidR="00245236" w:rsidRPr="006B384F">
        <w:rPr>
          <w:sz w:val="28"/>
          <w:szCs w:val="28"/>
        </w:rPr>
        <w:t> </w:t>
      </w:r>
      <w:r w:rsidRPr="006B384F">
        <w:rPr>
          <w:sz w:val="28"/>
          <w:szCs w:val="28"/>
        </w:rPr>
        <w:t>Eiropas Parlamenta un Padomes 1997</w:t>
      </w:r>
      <w:r w:rsidR="006B384F">
        <w:rPr>
          <w:sz w:val="28"/>
          <w:szCs w:val="28"/>
        </w:rPr>
        <w:t>. g</w:t>
      </w:r>
      <w:r w:rsidRPr="006B384F">
        <w:rPr>
          <w:sz w:val="28"/>
          <w:szCs w:val="28"/>
        </w:rPr>
        <w:t>ada 29</w:t>
      </w:r>
      <w:r w:rsidR="006B384F">
        <w:rPr>
          <w:sz w:val="28"/>
          <w:szCs w:val="28"/>
        </w:rPr>
        <w:t>. m</w:t>
      </w:r>
      <w:r w:rsidRPr="006B384F">
        <w:rPr>
          <w:sz w:val="28"/>
          <w:szCs w:val="28"/>
        </w:rPr>
        <w:t xml:space="preserve">aija </w:t>
      </w:r>
      <w:r w:rsidR="0081570B">
        <w:rPr>
          <w:sz w:val="28"/>
          <w:szCs w:val="28"/>
        </w:rPr>
        <w:t>D</w:t>
      </w:r>
      <w:r w:rsidRPr="006B384F">
        <w:rPr>
          <w:sz w:val="28"/>
          <w:szCs w:val="28"/>
        </w:rPr>
        <w:t>irektīvas 97/23/EK par dalībvalstu normatīvo un administratīvo aktu tuvināšanu attiecībā uz spiediena iekārtām.</w:t>
      </w:r>
      <w:r w:rsidR="006B384F">
        <w:rPr>
          <w:sz w:val="28"/>
          <w:szCs w:val="28"/>
        </w:rPr>
        <w:t>"</w:t>
      </w:r>
    </w:p>
    <w:p w14:paraId="3CE79BCF" w14:textId="77777777" w:rsidR="00C11E49" w:rsidRPr="006B384F" w:rsidRDefault="00C11E49" w:rsidP="006B384F">
      <w:pPr>
        <w:ind w:firstLine="720"/>
        <w:jc w:val="both"/>
        <w:rPr>
          <w:sz w:val="28"/>
          <w:szCs w:val="28"/>
        </w:rPr>
      </w:pPr>
    </w:p>
    <w:p w14:paraId="115BE6C2" w14:textId="1C511E15" w:rsidR="00F62D75" w:rsidRPr="006B384F" w:rsidRDefault="007D6B00" w:rsidP="006B384F">
      <w:pPr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2</w:t>
      </w:r>
      <w:r w:rsidR="00F62D75" w:rsidRPr="006B384F">
        <w:rPr>
          <w:sz w:val="28"/>
          <w:szCs w:val="28"/>
        </w:rPr>
        <w:t>. Noteikumi stājas spēkā 2015.</w:t>
      </w:r>
      <w:r w:rsidRPr="006B384F">
        <w:rPr>
          <w:sz w:val="28"/>
          <w:szCs w:val="28"/>
        </w:rPr>
        <w:t> </w:t>
      </w:r>
      <w:r w:rsidR="00F62D75" w:rsidRPr="006B384F">
        <w:rPr>
          <w:sz w:val="28"/>
          <w:szCs w:val="28"/>
        </w:rPr>
        <w:t>gada 1.</w:t>
      </w:r>
      <w:r w:rsidRPr="006B384F">
        <w:rPr>
          <w:sz w:val="28"/>
          <w:szCs w:val="28"/>
        </w:rPr>
        <w:t> </w:t>
      </w:r>
      <w:r w:rsidR="00F62D75" w:rsidRPr="006B384F">
        <w:rPr>
          <w:sz w:val="28"/>
          <w:szCs w:val="28"/>
        </w:rPr>
        <w:t>jūnijā.</w:t>
      </w:r>
    </w:p>
    <w:p w14:paraId="115BE6C3" w14:textId="77777777" w:rsidR="00806E24" w:rsidRPr="006B384F" w:rsidRDefault="00806E24" w:rsidP="006B384F">
      <w:pPr>
        <w:ind w:firstLine="720"/>
        <w:jc w:val="both"/>
        <w:rPr>
          <w:sz w:val="28"/>
          <w:szCs w:val="28"/>
        </w:rPr>
      </w:pPr>
    </w:p>
    <w:p w14:paraId="115BE6C4" w14:textId="77777777" w:rsidR="00455EDC" w:rsidRDefault="00455EDC" w:rsidP="006B384F">
      <w:pPr>
        <w:ind w:firstLine="720"/>
        <w:jc w:val="both"/>
        <w:rPr>
          <w:sz w:val="28"/>
          <w:szCs w:val="28"/>
        </w:rPr>
      </w:pPr>
    </w:p>
    <w:p w14:paraId="6EFBC2D9" w14:textId="77777777" w:rsidR="00C11E49" w:rsidRPr="006B384F" w:rsidRDefault="00C11E49" w:rsidP="006B384F">
      <w:pPr>
        <w:ind w:firstLine="720"/>
        <w:jc w:val="both"/>
        <w:rPr>
          <w:sz w:val="28"/>
          <w:szCs w:val="28"/>
        </w:rPr>
      </w:pPr>
    </w:p>
    <w:p w14:paraId="115BE6C5" w14:textId="59A0F514" w:rsidR="0006174E" w:rsidRPr="006B384F" w:rsidRDefault="007D6B00" w:rsidP="00C11E49">
      <w:pPr>
        <w:tabs>
          <w:tab w:val="left" w:pos="6237"/>
          <w:tab w:val="right" w:pos="9071"/>
        </w:tabs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Ministru prezidente</w:t>
      </w:r>
      <w:r w:rsidR="00C11E49">
        <w:rPr>
          <w:sz w:val="28"/>
          <w:szCs w:val="28"/>
        </w:rPr>
        <w:tab/>
      </w:r>
      <w:r w:rsidR="0006174E" w:rsidRPr="006B384F">
        <w:rPr>
          <w:sz w:val="28"/>
          <w:szCs w:val="28"/>
        </w:rPr>
        <w:t>L</w:t>
      </w:r>
      <w:r w:rsidRPr="006B384F">
        <w:rPr>
          <w:sz w:val="28"/>
          <w:szCs w:val="28"/>
        </w:rPr>
        <w:t xml:space="preserve">aimdota </w:t>
      </w:r>
      <w:r w:rsidR="0006174E" w:rsidRPr="006B384F">
        <w:rPr>
          <w:sz w:val="28"/>
          <w:szCs w:val="28"/>
        </w:rPr>
        <w:t>Straujuma</w:t>
      </w:r>
    </w:p>
    <w:p w14:paraId="115BE6C6" w14:textId="77777777" w:rsidR="0006174E" w:rsidRDefault="0006174E" w:rsidP="00C11E49">
      <w:pPr>
        <w:tabs>
          <w:tab w:val="left" w:pos="6237"/>
          <w:tab w:val="right" w:pos="9071"/>
        </w:tabs>
        <w:ind w:firstLine="720"/>
        <w:jc w:val="both"/>
        <w:rPr>
          <w:sz w:val="28"/>
          <w:szCs w:val="28"/>
        </w:rPr>
      </w:pPr>
    </w:p>
    <w:p w14:paraId="4B6EFA04" w14:textId="77777777" w:rsidR="00C11E49" w:rsidRDefault="00C11E49" w:rsidP="00C11E49">
      <w:pPr>
        <w:tabs>
          <w:tab w:val="left" w:pos="6237"/>
          <w:tab w:val="right" w:pos="9071"/>
        </w:tabs>
        <w:ind w:firstLine="720"/>
        <w:jc w:val="both"/>
        <w:rPr>
          <w:sz w:val="28"/>
          <w:szCs w:val="28"/>
        </w:rPr>
      </w:pPr>
    </w:p>
    <w:p w14:paraId="64C3299A" w14:textId="77777777" w:rsidR="00C11E49" w:rsidRPr="006B384F" w:rsidRDefault="00C11E49" w:rsidP="00C11E49">
      <w:pPr>
        <w:tabs>
          <w:tab w:val="left" w:pos="6237"/>
          <w:tab w:val="right" w:pos="9071"/>
        </w:tabs>
        <w:ind w:firstLine="720"/>
        <w:jc w:val="both"/>
        <w:rPr>
          <w:sz w:val="28"/>
          <w:szCs w:val="28"/>
        </w:rPr>
      </w:pPr>
    </w:p>
    <w:p w14:paraId="50ADA1E2" w14:textId="77777777" w:rsidR="00993CE0" w:rsidRDefault="007D6B00" w:rsidP="00C11E49">
      <w:pPr>
        <w:tabs>
          <w:tab w:val="left" w:pos="6237"/>
          <w:tab w:val="right" w:pos="9071"/>
        </w:tabs>
        <w:ind w:firstLine="720"/>
        <w:jc w:val="both"/>
        <w:rPr>
          <w:sz w:val="28"/>
          <w:szCs w:val="28"/>
        </w:rPr>
      </w:pPr>
      <w:r w:rsidRPr="006B384F">
        <w:rPr>
          <w:sz w:val="28"/>
          <w:szCs w:val="28"/>
        </w:rPr>
        <w:t>Ekonomikas ministr</w:t>
      </w:r>
      <w:r w:rsidR="00993CE0">
        <w:rPr>
          <w:sz w:val="28"/>
          <w:szCs w:val="28"/>
        </w:rPr>
        <w:t>a vietā –</w:t>
      </w:r>
    </w:p>
    <w:p w14:paraId="115BE6C7" w14:textId="7681E900" w:rsidR="0006174E" w:rsidRPr="006B384F" w:rsidRDefault="00993CE0" w:rsidP="00C11E49">
      <w:pPr>
        <w:tabs>
          <w:tab w:val="left" w:pos="6237"/>
          <w:tab w:val="right" w:pos="907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labklājības ministrs</w:t>
      </w:r>
      <w:r w:rsidR="00C11E49">
        <w:rPr>
          <w:sz w:val="28"/>
          <w:szCs w:val="28"/>
        </w:rPr>
        <w:tab/>
      </w:r>
      <w:r>
        <w:rPr>
          <w:sz w:val="28"/>
          <w:szCs w:val="28"/>
        </w:rPr>
        <w:t>Uldis Augulis</w:t>
      </w:r>
    </w:p>
    <w:sectPr w:rsidR="0006174E" w:rsidRPr="006B384F" w:rsidSect="006B3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BE6D6" w14:textId="77777777" w:rsidR="00235263" w:rsidRDefault="00235263" w:rsidP="0006174E">
      <w:r>
        <w:separator/>
      </w:r>
    </w:p>
  </w:endnote>
  <w:endnote w:type="continuationSeparator" w:id="0">
    <w:p w14:paraId="115BE6D7" w14:textId="77777777" w:rsidR="00235263" w:rsidRDefault="00235263" w:rsidP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BE6D8" w14:textId="50774E0B" w:rsidR="0006174E" w:rsidRPr="006B384F" w:rsidRDefault="006B384F">
    <w:pPr>
      <w:pStyle w:val="Footer"/>
      <w:rPr>
        <w:sz w:val="16"/>
        <w:szCs w:val="16"/>
      </w:rPr>
    </w:pPr>
    <w:r w:rsidRPr="006B384F">
      <w:rPr>
        <w:sz w:val="16"/>
        <w:szCs w:val="16"/>
      </w:rPr>
      <w:t>N0494_</w:t>
    </w:r>
    <w:r w:rsidR="000818E4">
      <w:rPr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4D518" w14:textId="3FA51CBC" w:rsidR="006B384F" w:rsidRPr="006B384F" w:rsidRDefault="006B384F" w:rsidP="006B384F">
    <w:pPr>
      <w:pStyle w:val="Footer"/>
      <w:rPr>
        <w:sz w:val="16"/>
        <w:szCs w:val="16"/>
      </w:rPr>
    </w:pPr>
    <w:r w:rsidRPr="006B384F">
      <w:rPr>
        <w:sz w:val="16"/>
        <w:szCs w:val="16"/>
      </w:rPr>
      <w:t>N0494_</w:t>
    </w:r>
    <w:r w:rsidR="000818E4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BE6D4" w14:textId="77777777" w:rsidR="00235263" w:rsidRDefault="00235263" w:rsidP="0006174E">
      <w:r>
        <w:separator/>
      </w:r>
    </w:p>
  </w:footnote>
  <w:footnote w:type="continuationSeparator" w:id="0">
    <w:p w14:paraId="115BE6D5" w14:textId="77777777" w:rsidR="00235263" w:rsidRDefault="00235263" w:rsidP="0006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3927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80E369" w14:textId="7051ACB5" w:rsidR="00055C00" w:rsidRDefault="00055C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4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11428" w14:textId="5FEC4C9D" w:rsidR="006B384F" w:rsidRDefault="006B384F" w:rsidP="006B384F">
    <w:pPr>
      <w:pStyle w:val="Header"/>
      <w:rPr>
        <w:sz w:val="32"/>
      </w:rPr>
    </w:pPr>
  </w:p>
  <w:p w14:paraId="0743FFCD" w14:textId="3C800A8C" w:rsidR="006B384F" w:rsidRPr="006B384F" w:rsidRDefault="006B384F" w:rsidP="006B384F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4A32AC45" wp14:editId="2658ECC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091B"/>
    <w:multiLevelType w:val="hybridMultilevel"/>
    <w:tmpl w:val="5832DE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DC"/>
    <w:rsid w:val="000025E6"/>
    <w:rsid w:val="000043A9"/>
    <w:rsid w:val="000105E9"/>
    <w:rsid w:val="0001241C"/>
    <w:rsid w:val="000231FC"/>
    <w:rsid w:val="00025E88"/>
    <w:rsid w:val="00043188"/>
    <w:rsid w:val="0004435E"/>
    <w:rsid w:val="00044E63"/>
    <w:rsid w:val="0004747B"/>
    <w:rsid w:val="00051CAD"/>
    <w:rsid w:val="000520A5"/>
    <w:rsid w:val="00055C00"/>
    <w:rsid w:val="0006174E"/>
    <w:rsid w:val="00064591"/>
    <w:rsid w:val="0007244F"/>
    <w:rsid w:val="0008129D"/>
    <w:rsid w:val="000818E4"/>
    <w:rsid w:val="00082892"/>
    <w:rsid w:val="00083160"/>
    <w:rsid w:val="00095186"/>
    <w:rsid w:val="000C71EE"/>
    <w:rsid w:val="000D7678"/>
    <w:rsid w:val="0011772F"/>
    <w:rsid w:val="00131AC0"/>
    <w:rsid w:val="0014591F"/>
    <w:rsid w:val="0016433F"/>
    <w:rsid w:val="00175C60"/>
    <w:rsid w:val="00182922"/>
    <w:rsid w:val="001B4A3C"/>
    <w:rsid w:val="001D455B"/>
    <w:rsid w:val="001E08AE"/>
    <w:rsid w:val="00204071"/>
    <w:rsid w:val="0020598F"/>
    <w:rsid w:val="0020710C"/>
    <w:rsid w:val="00211D25"/>
    <w:rsid w:val="002168BE"/>
    <w:rsid w:val="00233CCC"/>
    <w:rsid w:val="00235263"/>
    <w:rsid w:val="00245236"/>
    <w:rsid w:val="00267513"/>
    <w:rsid w:val="00272C07"/>
    <w:rsid w:val="002A104F"/>
    <w:rsid w:val="002A7657"/>
    <w:rsid w:val="002B1AD5"/>
    <w:rsid w:val="002C2542"/>
    <w:rsid w:val="002E2D3F"/>
    <w:rsid w:val="003024A2"/>
    <w:rsid w:val="0031387C"/>
    <w:rsid w:val="00321324"/>
    <w:rsid w:val="00332C44"/>
    <w:rsid w:val="00333991"/>
    <w:rsid w:val="00373B15"/>
    <w:rsid w:val="00373E1F"/>
    <w:rsid w:val="0039166B"/>
    <w:rsid w:val="003B001F"/>
    <w:rsid w:val="003B35CD"/>
    <w:rsid w:val="003B7EF3"/>
    <w:rsid w:val="003D338B"/>
    <w:rsid w:val="003D4E12"/>
    <w:rsid w:val="0041400B"/>
    <w:rsid w:val="00420366"/>
    <w:rsid w:val="0044681D"/>
    <w:rsid w:val="004545C1"/>
    <w:rsid w:val="00455A60"/>
    <w:rsid w:val="00455EDC"/>
    <w:rsid w:val="00470296"/>
    <w:rsid w:val="004752A8"/>
    <w:rsid w:val="004A4F52"/>
    <w:rsid w:val="004A69D8"/>
    <w:rsid w:val="004B1207"/>
    <w:rsid w:val="004E4D5A"/>
    <w:rsid w:val="005045B2"/>
    <w:rsid w:val="005450FE"/>
    <w:rsid w:val="005874B7"/>
    <w:rsid w:val="005949BF"/>
    <w:rsid w:val="005D34EC"/>
    <w:rsid w:val="005D4F59"/>
    <w:rsid w:val="005E44BD"/>
    <w:rsid w:val="0064049F"/>
    <w:rsid w:val="00646D9B"/>
    <w:rsid w:val="006510EC"/>
    <w:rsid w:val="00652F20"/>
    <w:rsid w:val="006866AA"/>
    <w:rsid w:val="006A49DB"/>
    <w:rsid w:val="006B384F"/>
    <w:rsid w:val="006C3B28"/>
    <w:rsid w:val="006D7EF7"/>
    <w:rsid w:val="00714437"/>
    <w:rsid w:val="007633D2"/>
    <w:rsid w:val="00776747"/>
    <w:rsid w:val="007835AE"/>
    <w:rsid w:val="00787BF3"/>
    <w:rsid w:val="007A5453"/>
    <w:rsid w:val="007C444B"/>
    <w:rsid w:val="007D6B00"/>
    <w:rsid w:val="00806E24"/>
    <w:rsid w:val="00811B66"/>
    <w:rsid w:val="0081570B"/>
    <w:rsid w:val="008402D3"/>
    <w:rsid w:val="00860662"/>
    <w:rsid w:val="00871863"/>
    <w:rsid w:val="0087386B"/>
    <w:rsid w:val="00875007"/>
    <w:rsid w:val="008B02D6"/>
    <w:rsid w:val="008B2DA6"/>
    <w:rsid w:val="008C1640"/>
    <w:rsid w:val="008C1E23"/>
    <w:rsid w:val="008C3F01"/>
    <w:rsid w:val="008D2C77"/>
    <w:rsid w:val="008F2817"/>
    <w:rsid w:val="0090705A"/>
    <w:rsid w:val="00911B69"/>
    <w:rsid w:val="00914020"/>
    <w:rsid w:val="00922258"/>
    <w:rsid w:val="009326FC"/>
    <w:rsid w:val="00932C8D"/>
    <w:rsid w:val="0096365D"/>
    <w:rsid w:val="0097194A"/>
    <w:rsid w:val="00973406"/>
    <w:rsid w:val="00987F04"/>
    <w:rsid w:val="00993871"/>
    <w:rsid w:val="00993CE0"/>
    <w:rsid w:val="009A1541"/>
    <w:rsid w:val="009D1967"/>
    <w:rsid w:val="009D19C1"/>
    <w:rsid w:val="009D38C4"/>
    <w:rsid w:val="009E3F6E"/>
    <w:rsid w:val="00A015EB"/>
    <w:rsid w:val="00A176C1"/>
    <w:rsid w:val="00A27387"/>
    <w:rsid w:val="00A72DA6"/>
    <w:rsid w:val="00A86C00"/>
    <w:rsid w:val="00A9123F"/>
    <w:rsid w:val="00A9539D"/>
    <w:rsid w:val="00AA0C9D"/>
    <w:rsid w:val="00AA7B1E"/>
    <w:rsid w:val="00AB216C"/>
    <w:rsid w:val="00AC6667"/>
    <w:rsid w:val="00AE247B"/>
    <w:rsid w:val="00AF05BE"/>
    <w:rsid w:val="00B21D54"/>
    <w:rsid w:val="00B24472"/>
    <w:rsid w:val="00B3328C"/>
    <w:rsid w:val="00B74E85"/>
    <w:rsid w:val="00B84948"/>
    <w:rsid w:val="00B86EDE"/>
    <w:rsid w:val="00B91C62"/>
    <w:rsid w:val="00B95DEE"/>
    <w:rsid w:val="00BC0417"/>
    <w:rsid w:val="00BD5540"/>
    <w:rsid w:val="00BD78A2"/>
    <w:rsid w:val="00BF05F4"/>
    <w:rsid w:val="00BF64CB"/>
    <w:rsid w:val="00C11E49"/>
    <w:rsid w:val="00C15801"/>
    <w:rsid w:val="00C27248"/>
    <w:rsid w:val="00C54F8E"/>
    <w:rsid w:val="00C5764D"/>
    <w:rsid w:val="00C74C14"/>
    <w:rsid w:val="00C931D0"/>
    <w:rsid w:val="00C94FB7"/>
    <w:rsid w:val="00CA23BF"/>
    <w:rsid w:val="00CA3CEA"/>
    <w:rsid w:val="00CA5B49"/>
    <w:rsid w:val="00CB7B05"/>
    <w:rsid w:val="00CC0504"/>
    <w:rsid w:val="00CC4EBF"/>
    <w:rsid w:val="00CC6146"/>
    <w:rsid w:val="00CC68DD"/>
    <w:rsid w:val="00CD3F30"/>
    <w:rsid w:val="00CE1858"/>
    <w:rsid w:val="00CE3F18"/>
    <w:rsid w:val="00CE7960"/>
    <w:rsid w:val="00CF0F28"/>
    <w:rsid w:val="00CF6A27"/>
    <w:rsid w:val="00CF78AE"/>
    <w:rsid w:val="00CF78E5"/>
    <w:rsid w:val="00CF7DB4"/>
    <w:rsid w:val="00D14C11"/>
    <w:rsid w:val="00D16A39"/>
    <w:rsid w:val="00D208A6"/>
    <w:rsid w:val="00D336A2"/>
    <w:rsid w:val="00D36D5E"/>
    <w:rsid w:val="00DB4338"/>
    <w:rsid w:val="00DB6251"/>
    <w:rsid w:val="00DB690F"/>
    <w:rsid w:val="00DC0740"/>
    <w:rsid w:val="00DE24F9"/>
    <w:rsid w:val="00DE66AE"/>
    <w:rsid w:val="00DF5775"/>
    <w:rsid w:val="00E21A94"/>
    <w:rsid w:val="00E42543"/>
    <w:rsid w:val="00E94868"/>
    <w:rsid w:val="00EB4E84"/>
    <w:rsid w:val="00EB6378"/>
    <w:rsid w:val="00ED571B"/>
    <w:rsid w:val="00EE646C"/>
    <w:rsid w:val="00F074DB"/>
    <w:rsid w:val="00F14E84"/>
    <w:rsid w:val="00F50FC5"/>
    <w:rsid w:val="00F62D75"/>
    <w:rsid w:val="00F64E30"/>
    <w:rsid w:val="00F65478"/>
    <w:rsid w:val="00F8278D"/>
    <w:rsid w:val="00F916B7"/>
    <w:rsid w:val="00FA02DE"/>
    <w:rsid w:val="00FB1980"/>
    <w:rsid w:val="00FB3D8D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E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DC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6174E"/>
    <w:pPr>
      <w:spacing w:before="84" w:after="84"/>
      <w:jc w:val="right"/>
    </w:pPr>
  </w:style>
  <w:style w:type="paragraph" w:styleId="Header">
    <w:name w:val="header"/>
    <w:basedOn w:val="Normal"/>
    <w:link w:val="Head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B3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36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DC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6174E"/>
    <w:pPr>
      <w:spacing w:before="84" w:after="84"/>
      <w:jc w:val="right"/>
    </w:pPr>
  </w:style>
  <w:style w:type="paragraph" w:styleId="Header">
    <w:name w:val="header"/>
    <w:basedOn w:val="Normal"/>
    <w:link w:val="Head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B3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3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2107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2000.gada 2.maija noteikumos Nr.165 "Noteikumi par spiedienkārtām un to kompleksiem""</vt:lpstr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2000.gada 2.maija noteikumos Nr.165 "Noteikumi par spiedienkārtām un to kompleksiem""</dc:title>
  <dc:creator>Normunds Freibergs</dc:creator>
  <cp:lastModifiedBy>Leontīne Babkina</cp:lastModifiedBy>
  <cp:revision>22</cp:revision>
  <cp:lastPrinted>2015-04-02T10:31:00Z</cp:lastPrinted>
  <dcterms:created xsi:type="dcterms:W3CDTF">2015-02-26T09:52:00Z</dcterms:created>
  <dcterms:modified xsi:type="dcterms:W3CDTF">2015-04-08T06:45:00Z</dcterms:modified>
</cp:coreProperties>
</file>