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4D" w:rsidRPr="00192293" w:rsidRDefault="00E6754D" w:rsidP="00814AA1">
      <w:pPr>
        <w:pStyle w:val="Footer"/>
        <w:jc w:val="center"/>
        <w:rPr>
          <w:rFonts w:ascii="Times New Roman" w:hAnsi="Times New Roman"/>
          <w:b/>
          <w:bCs/>
          <w:sz w:val="24"/>
          <w:szCs w:val="24"/>
        </w:rPr>
      </w:pPr>
    </w:p>
    <w:p w:rsidR="00E6754D" w:rsidRPr="00192293" w:rsidRDefault="00E6754D" w:rsidP="00E6754D">
      <w:pPr>
        <w:pStyle w:val="Footer"/>
        <w:jc w:val="center"/>
        <w:rPr>
          <w:rFonts w:ascii="Times New Roman" w:hAnsi="Times New Roman"/>
          <w:b/>
          <w:sz w:val="24"/>
          <w:szCs w:val="24"/>
        </w:rPr>
      </w:pPr>
      <w:bookmarkStart w:id="0" w:name="_GoBack"/>
      <w:r w:rsidRPr="00192293">
        <w:rPr>
          <w:rFonts w:ascii="Times New Roman" w:hAnsi="Times New Roman"/>
          <w:b/>
          <w:sz w:val="24"/>
          <w:szCs w:val="24"/>
        </w:rPr>
        <w:t xml:space="preserve">Likumprojekta </w:t>
      </w:r>
    </w:p>
    <w:p w:rsidR="00E6754D" w:rsidRPr="00192293" w:rsidRDefault="008A26EC" w:rsidP="00E6754D">
      <w:pPr>
        <w:pStyle w:val="Footer"/>
        <w:jc w:val="center"/>
        <w:rPr>
          <w:rFonts w:ascii="Times New Roman" w:hAnsi="Times New Roman"/>
          <w:b/>
          <w:sz w:val="24"/>
          <w:szCs w:val="24"/>
        </w:rPr>
      </w:pPr>
      <w:r>
        <w:rPr>
          <w:rFonts w:ascii="Times New Roman" w:hAnsi="Times New Roman"/>
          <w:b/>
          <w:sz w:val="24"/>
          <w:szCs w:val="24"/>
        </w:rPr>
        <w:t>“</w:t>
      </w:r>
      <w:r w:rsidR="00635078">
        <w:rPr>
          <w:rFonts w:ascii="Times New Roman" w:hAnsi="Times New Roman"/>
          <w:b/>
          <w:sz w:val="24"/>
          <w:szCs w:val="24"/>
        </w:rPr>
        <w:t xml:space="preserve">Grozījumi </w:t>
      </w:r>
      <w:r w:rsidR="00E6754D" w:rsidRPr="00192293">
        <w:rPr>
          <w:rFonts w:ascii="Times New Roman" w:hAnsi="Times New Roman"/>
          <w:b/>
          <w:sz w:val="24"/>
          <w:szCs w:val="24"/>
        </w:rPr>
        <w:t xml:space="preserve">Alternatīvo ieguldījumu fondu </w:t>
      </w:r>
      <w:r w:rsidR="00635078">
        <w:rPr>
          <w:rFonts w:ascii="Times New Roman" w:hAnsi="Times New Roman"/>
          <w:b/>
          <w:sz w:val="24"/>
          <w:szCs w:val="24"/>
        </w:rPr>
        <w:t xml:space="preserve">un to </w:t>
      </w:r>
      <w:r w:rsidR="00E6754D" w:rsidRPr="00192293">
        <w:rPr>
          <w:rFonts w:ascii="Times New Roman" w:hAnsi="Times New Roman"/>
          <w:b/>
          <w:sz w:val="24"/>
          <w:szCs w:val="24"/>
        </w:rPr>
        <w:t>pārvaldnieku likum</w:t>
      </w:r>
      <w:r w:rsidR="00635078">
        <w:rPr>
          <w:rFonts w:ascii="Times New Roman" w:hAnsi="Times New Roman"/>
          <w:b/>
          <w:sz w:val="24"/>
          <w:szCs w:val="24"/>
        </w:rPr>
        <w:t>ā</w:t>
      </w:r>
      <w:r>
        <w:rPr>
          <w:rFonts w:ascii="Times New Roman" w:hAnsi="Times New Roman"/>
          <w:b/>
          <w:sz w:val="24"/>
          <w:szCs w:val="24"/>
        </w:rPr>
        <w:t>”</w:t>
      </w:r>
      <w:r w:rsidR="00E6754D" w:rsidRPr="00192293">
        <w:rPr>
          <w:rFonts w:ascii="Times New Roman" w:hAnsi="Times New Roman"/>
          <w:b/>
          <w:sz w:val="24"/>
          <w:szCs w:val="24"/>
        </w:rPr>
        <w:t xml:space="preserve"> sākotnējās ietekmes novērtējuma ziņojums </w:t>
      </w:r>
    </w:p>
    <w:p w:rsidR="00E6754D" w:rsidRPr="00192293" w:rsidRDefault="00E6754D" w:rsidP="00E6754D">
      <w:pPr>
        <w:pStyle w:val="Footer"/>
        <w:jc w:val="center"/>
        <w:rPr>
          <w:rFonts w:ascii="Times New Roman" w:hAnsi="Times New Roman"/>
          <w:b/>
          <w:sz w:val="24"/>
          <w:szCs w:val="24"/>
        </w:rPr>
      </w:pPr>
      <w:r w:rsidRPr="00192293">
        <w:rPr>
          <w:rFonts w:ascii="Times New Roman" w:hAnsi="Times New Roman"/>
          <w:b/>
          <w:sz w:val="24"/>
          <w:szCs w:val="24"/>
        </w:rPr>
        <w:t>(anotācija)</w:t>
      </w:r>
    </w:p>
    <w:bookmarkEnd w:id="0"/>
    <w:p w:rsidR="00814AA1" w:rsidRPr="00192293" w:rsidRDefault="00814AA1" w:rsidP="00814AA1">
      <w:pPr>
        <w:spacing w:after="0" w:line="240" w:lineRule="auto"/>
        <w:ind w:firstLine="300"/>
        <w:jc w:val="center"/>
        <w:rPr>
          <w:rFonts w:ascii="Times New Roman" w:eastAsia="Times New Roman" w:hAnsi="Times New Roman"/>
          <w:b/>
          <w:bCs/>
          <w:sz w:val="24"/>
          <w:szCs w:val="24"/>
          <w:lang w:eastAsia="lv-LV"/>
        </w:rPr>
      </w:pP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8"/>
        <w:gridCol w:w="6509"/>
      </w:tblGrid>
      <w:tr w:rsidR="00192293" w:rsidRPr="00192293" w:rsidTr="00192293">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192293" w:rsidRPr="00192293" w:rsidTr="006E0D2C">
        <w:trPr>
          <w:trHeight w:val="405"/>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21" w:type="pct"/>
            <w:tcBorders>
              <w:top w:val="outset" w:sz="6" w:space="0" w:color="414142"/>
              <w:left w:val="outset" w:sz="6" w:space="0" w:color="414142"/>
              <w:bottom w:val="outset" w:sz="6" w:space="0" w:color="414142"/>
              <w:right w:val="outset" w:sz="6" w:space="0" w:color="414142"/>
            </w:tcBorders>
            <w:hideMark/>
          </w:tcPr>
          <w:p w:rsidR="00603BB6" w:rsidRPr="00192293" w:rsidRDefault="00603BB6" w:rsidP="006B202E">
            <w:pPr>
              <w:spacing w:after="0" w:line="240" w:lineRule="auto"/>
              <w:jc w:val="both"/>
              <w:rPr>
                <w:rFonts w:ascii="Times New Roman" w:hAnsi="Times New Roman"/>
                <w:sz w:val="24"/>
                <w:szCs w:val="24"/>
              </w:rPr>
            </w:pPr>
            <w:r w:rsidRPr="00192293">
              <w:rPr>
                <w:rFonts w:ascii="Times New Roman" w:hAnsi="Times New Roman"/>
                <w:sz w:val="24"/>
                <w:szCs w:val="24"/>
              </w:rPr>
              <w:t xml:space="preserve">Likumprojekts </w:t>
            </w:r>
            <w:r w:rsidR="00BC1D7D">
              <w:rPr>
                <w:rFonts w:ascii="Times New Roman" w:hAnsi="Times New Roman"/>
                <w:b/>
                <w:sz w:val="24"/>
                <w:szCs w:val="24"/>
              </w:rPr>
              <w:t>“</w:t>
            </w:r>
            <w:r w:rsidR="00635078">
              <w:rPr>
                <w:rFonts w:ascii="Times New Roman" w:hAnsi="Times New Roman"/>
                <w:b/>
                <w:sz w:val="24"/>
                <w:szCs w:val="24"/>
              </w:rPr>
              <w:t xml:space="preserve"> Grozījumi </w:t>
            </w:r>
            <w:r w:rsidR="00BC1D7D" w:rsidRPr="00192293">
              <w:rPr>
                <w:rFonts w:ascii="Times New Roman" w:hAnsi="Times New Roman"/>
                <w:b/>
                <w:sz w:val="24"/>
                <w:szCs w:val="24"/>
              </w:rPr>
              <w:t xml:space="preserve">Alternatīvo ieguldījumu fondu </w:t>
            </w:r>
            <w:r w:rsidR="00635078">
              <w:rPr>
                <w:rFonts w:ascii="Times New Roman" w:hAnsi="Times New Roman"/>
                <w:b/>
                <w:sz w:val="24"/>
                <w:szCs w:val="24"/>
              </w:rPr>
              <w:t xml:space="preserve">un to </w:t>
            </w:r>
            <w:r w:rsidR="00BC1D7D" w:rsidRPr="00192293">
              <w:rPr>
                <w:rFonts w:ascii="Times New Roman" w:hAnsi="Times New Roman"/>
                <w:b/>
                <w:sz w:val="24"/>
                <w:szCs w:val="24"/>
              </w:rPr>
              <w:t>pārvaldnieku likum</w:t>
            </w:r>
            <w:r w:rsidR="00635078">
              <w:rPr>
                <w:rFonts w:ascii="Times New Roman" w:hAnsi="Times New Roman"/>
                <w:b/>
                <w:sz w:val="24"/>
                <w:szCs w:val="24"/>
              </w:rPr>
              <w:t>ā</w:t>
            </w:r>
            <w:r w:rsidR="00BC1D7D">
              <w:rPr>
                <w:rFonts w:ascii="Times New Roman" w:hAnsi="Times New Roman"/>
                <w:b/>
                <w:sz w:val="24"/>
                <w:szCs w:val="24"/>
              </w:rPr>
              <w:t>”</w:t>
            </w:r>
            <w:r w:rsidR="00BC1D7D" w:rsidRPr="00192293">
              <w:rPr>
                <w:rFonts w:ascii="Times New Roman" w:hAnsi="Times New Roman"/>
                <w:b/>
                <w:sz w:val="24"/>
                <w:szCs w:val="24"/>
              </w:rPr>
              <w:t xml:space="preserve"> </w:t>
            </w:r>
            <w:r w:rsidR="00BC1D7D">
              <w:rPr>
                <w:rFonts w:ascii="Times New Roman" w:hAnsi="Times New Roman"/>
                <w:b/>
                <w:sz w:val="24"/>
                <w:szCs w:val="24"/>
              </w:rPr>
              <w:t xml:space="preserve"> (turpmāk – likumprojekts) </w:t>
            </w:r>
            <w:r w:rsidRPr="00192293">
              <w:rPr>
                <w:rFonts w:ascii="Times New Roman" w:hAnsi="Times New Roman"/>
                <w:sz w:val="24"/>
                <w:szCs w:val="24"/>
              </w:rPr>
              <w:t>tika izstrādāts, lai tiktu precizētas pārkāpuma procedūras</w:t>
            </w:r>
            <w:r w:rsidRPr="00192293">
              <w:t xml:space="preserve"> </w:t>
            </w:r>
            <w:r w:rsidRPr="00192293">
              <w:rPr>
                <w:rFonts w:ascii="Times New Roman" w:hAnsi="Times New Roman"/>
                <w:sz w:val="24"/>
                <w:szCs w:val="24"/>
              </w:rPr>
              <w:t>lietā Nr.2013/0316  konstatētās nepilnības attiecībā uz Eiropas Parlamenta un padomes 2011.</w:t>
            </w:r>
            <w:r w:rsidR="007F79C6">
              <w:rPr>
                <w:rFonts w:ascii="Times New Roman" w:hAnsi="Times New Roman"/>
                <w:sz w:val="24"/>
                <w:szCs w:val="24"/>
              </w:rPr>
              <w:t>gada 8.jūnija</w:t>
            </w:r>
            <w:r w:rsidRPr="00192293">
              <w:rPr>
                <w:rFonts w:ascii="Times New Roman" w:hAnsi="Times New Roman"/>
                <w:sz w:val="24"/>
                <w:szCs w:val="24"/>
              </w:rPr>
              <w:t xml:space="preserve"> </w:t>
            </w:r>
            <w:r w:rsidR="004B4B9E">
              <w:rPr>
                <w:rFonts w:ascii="Times New Roman" w:hAnsi="Times New Roman"/>
                <w:sz w:val="24"/>
                <w:szCs w:val="24"/>
              </w:rPr>
              <w:t>D</w:t>
            </w:r>
            <w:r w:rsidRPr="00192293">
              <w:rPr>
                <w:rFonts w:ascii="Times New Roman" w:hAnsi="Times New Roman"/>
                <w:sz w:val="24"/>
                <w:szCs w:val="24"/>
              </w:rPr>
              <w:t xml:space="preserve">irektīvas 2011/61/ES par alternatīvo ieguldījumu fondu pārvaldniekiem un par grozījumiem Direktīvā 2003/41/EK, Direktīvā 2009/65/EK, Regulā (EK) Nr. 1060/2009 un Regulā (ES) Nr. 1095/2010 ieviešanu, </w:t>
            </w:r>
            <w:r w:rsidR="00967497">
              <w:rPr>
                <w:rFonts w:ascii="Times New Roman" w:hAnsi="Times New Roman"/>
                <w:sz w:val="24"/>
                <w:szCs w:val="24"/>
              </w:rPr>
              <w:t>un ievie</w:t>
            </w:r>
            <w:r w:rsidR="004B4B9E">
              <w:rPr>
                <w:rFonts w:ascii="Times New Roman" w:hAnsi="Times New Roman"/>
                <w:sz w:val="24"/>
                <w:szCs w:val="24"/>
              </w:rPr>
              <w:t>stu</w:t>
            </w:r>
            <w:r w:rsidR="00967497">
              <w:rPr>
                <w:rFonts w:ascii="Times New Roman" w:hAnsi="Times New Roman"/>
                <w:sz w:val="24"/>
                <w:szCs w:val="24"/>
              </w:rPr>
              <w:t xml:space="preserve"> </w:t>
            </w:r>
            <w:r w:rsidRPr="00192293">
              <w:rPr>
                <w:rFonts w:ascii="Times New Roman" w:hAnsi="Times New Roman"/>
                <w:sz w:val="24"/>
                <w:szCs w:val="24"/>
              </w:rPr>
              <w:t>direktīv</w:t>
            </w:r>
            <w:r w:rsidR="004B4B9E">
              <w:rPr>
                <w:rFonts w:ascii="Times New Roman" w:hAnsi="Times New Roman"/>
                <w:sz w:val="24"/>
                <w:szCs w:val="24"/>
              </w:rPr>
              <w:t>u</w:t>
            </w:r>
            <w:r w:rsidRPr="00192293">
              <w:rPr>
                <w:rFonts w:ascii="Times New Roman" w:hAnsi="Times New Roman"/>
                <w:sz w:val="24"/>
                <w:szCs w:val="24"/>
              </w:rPr>
              <w:t xml:space="preserve"> 2014/65/EK (2014.gada 15.maijs) par finanšu instrumentu tirgiem un ar ko groza Direktīvu 2002/92/ES un Direktīvu 2011/61/ES 92.pant</w:t>
            </w:r>
            <w:r w:rsidR="004B4B9E">
              <w:rPr>
                <w:rFonts w:ascii="Times New Roman" w:hAnsi="Times New Roman"/>
                <w:sz w:val="24"/>
                <w:szCs w:val="24"/>
              </w:rPr>
              <w:t>u</w:t>
            </w:r>
            <w:r w:rsidRPr="00192293">
              <w:rPr>
                <w:rFonts w:ascii="Times New Roman" w:hAnsi="Times New Roman"/>
                <w:sz w:val="24"/>
                <w:szCs w:val="24"/>
              </w:rPr>
              <w:t>.</w:t>
            </w:r>
          </w:p>
        </w:tc>
      </w:tr>
      <w:tr w:rsidR="00192293" w:rsidRPr="00192293"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21" w:type="pct"/>
            <w:tcBorders>
              <w:top w:val="outset" w:sz="6" w:space="0" w:color="414142"/>
              <w:left w:val="outset" w:sz="6" w:space="0" w:color="414142"/>
              <w:bottom w:val="outset" w:sz="6" w:space="0" w:color="414142"/>
              <w:right w:val="outset" w:sz="6" w:space="0" w:color="414142"/>
            </w:tcBorders>
            <w:hideMark/>
          </w:tcPr>
          <w:p w:rsidR="00983689" w:rsidRPr="00192293" w:rsidRDefault="00983689" w:rsidP="00E6754D">
            <w:pPr>
              <w:pStyle w:val="naisf"/>
              <w:spacing w:after="0" w:line="256" w:lineRule="auto"/>
              <w:rPr>
                <w:lang w:eastAsia="en-US"/>
              </w:rPr>
            </w:pPr>
            <w:r w:rsidRPr="00192293">
              <w:rPr>
                <w:lang w:eastAsia="en-US"/>
              </w:rPr>
              <w:t>Latvija ir saņēmusi Eiropas Komisijas (turpmāk</w:t>
            </w:r>
            <w:r w:rsidR="007F79C6">
              <w:rPr>
                <w:lang w:eastAsia="en-US"/>
              </w:rPr>
              <w:t xml:space="preserve"> – </w:t>
            </w:r>
            <w:r w:rsidRPr="00192293">
              <w:rPr>
                <w:lang w:eastAsia="en-US"/>
              </w:rPr>
              <w:t>Komisija) 2014.gada 26.novembra argumentēto atzinumu pārkāpuma procedūras lietā Nr.2013/0316 pret Latvijas Republiku saistībā ar Eiropas Parlamenta un Padomes 2011.gada 8.jūnija Direktīvu 2011/61/ES par alternatīvo ieguldījumu fondu pārvaldniekiem un par grozījumiem Direktīvā 2003/41/EK, Direktīvā 2009/65/EK, Regulā (EK) Nr. 1060/2009 un Regulā (ES) Nr. 1095/2010 (turpmāk</w:t>
            </w:r>
            <w:r w:rsidR="007F79C6">
              <w:rPr>
                <w:lang w:eastAsia="en-US"/>
              </w:rPr>
              <w:t xml:space="preserve"> –</w:t>
            </w:r>
            <w:r w:rsidRPr="00192293">
              <w:rPr>
                <w:lang w:eastAsia="en-US"/>
              </w:rPr>
              <w:t xml:space="preserve"> Direktīva 2011/61/ES), kurā norādītos pārkāpumus Latvija atzīst daļēji. Lai novērstu konstatēt</w:t>
            </w:r>
            <w:r w:rsidR="006B202E">
              <w:rPr>
                <w:lang w:eastAsia="en-US"/>
              </w:rPr>
              <w:t>ās nepilnības</w:t>
            </w:r>
            <w:r w:rsidRPr="00192293">
              <w:rPr>
                <w:lang w:eastAsia="en-US"/>
              </w:rPr>
              <w:t xml:space="preserve"> un Direktīvas 2011/61/ES prasības transponēt</w:t>
            </w:r>
            <w:r w:rsidR="006B202E">
              <w:rPr>
                <w:lang w:eastAsia="en-US"/>
              </w:rPr>
              <w:t>u precīzi</w:t>
            </w:r>
            <w:r w:rsidRPr="00192293">
              <w:rPr>
                <w:lang w:eastAsia="en-US"/>
              </w:rPr>
              <w:t xml:space="preserve">, </w:t>
            </w:r>
            <w:r w:rsidR="006B202E">
              <w:rPr>
                <w:lang w:eastAsia="en-US"/>
              </w:rPr>
              <w:t>ir</w:t>
            </w:r>
            <w:r w:rsidR="006B202E" w:rsidRPr="00192293">
              <w:rPr>
                <w:lang w:eastAsia="en-US"/>
              </w:rPr>
              <w:t xml:space="preserve"> </w:t>
            </w:r>
            <w:r w:rsidRPr="00192293">
              <w:rPr>
                <w:lang w:eastAsia="en-US"/>
              </w:rPr>
              <w:t>izstrādāts likumprojekts “Grozījumi Alternatīvo ieguldījumu fondu un to pārvaldnieku likumā”.</w:t>
            </w:r>
          </w:p>
          <w:p w:rsidR="007F79C6" w:rsidRDefault="00E91669" w:rsidP="00E6754D">
            <w:pPr>
              <w:pStyle w:val="naisf"/>
              <w:spacing w:after="0" w:line="256" w:lineRule="auto"/>
              <w:rPr>
                <w:lang w:eastAsia="en-US"/>
              </w:rPr>
            </w:pPr>
            <w:r w:rsidRPr="00192293">
              <w:rPr>
                <w:lang w:eastAsia="en-US"/>
              </w:rPr>
              <w:t xml:space="preserve">No Komisijas argumentētā atzinuma Latvija </w:t>
            </w:r>
            <w:r w:rsidR="006B202E">
              <w:rPr>
                <w:lang w:eastAsia="en-US"/>
              </w:rPr>
              <w:t>sniedza</w:t>
            </w:r>
            <w:r w:rsidR="006B202E" w:rsidRPr="00192293">
              <w:rPr>
                <w:lang w:eastAsia="en-US"/>
              </w:rPr>
              <w:t xml:space="preserve"> </w:t>
            </w:r>
            <w:r w:rsidR="007F79C6">
              <w:rPr>
                <w:lang w:eastAsia="en-US"/>
              </w:rPr>
              <w:t xml:space="preserve">šādus </w:t>
            </w:r>
            <w:r w:rsidR="006B202E">
              <w:rPr>
                <w:lang w:eastAsia="en-US"/>
              </w:rPr>
              <w:t xml:space="preserve">komentārus par tajā minētajiem </w:t>
            </w:r>
            <w:r w:rsidRPr="00192293">
              <w:rPr>
                <w:lang w:eastAsia="en-US"/>
              </w:rPr>
              <w:t>pārkāpum</w:t>
            </w:r>
            <w:r w:rsidR="006B202E">
              <w:rPr>
                <w:lang w:eastAsia="en-US"/>
              </w:rPr>
              <w:t>iem</w:t>
            </w:r>
            <w:r w:rsidRPr="00192293">
              <w:rPr>
                <w:lang w:eastAsia="en-US"/>
              </w:rPr>
              <w:t xml:space="preserve"> attiecībā uz Direktīvas 2011/61/ES</w:t>
            </w:r>
            <w:r w:rsidR="006B202E">
              <w:rPr>
                <w:lang w:eastAsia="en-US"/>
              </w:rPr>
              <w:t>:</w:t>
            </w:r>
          </w:p>
          <w:p w:rsidR="00983689" w:rsidRPr="00192293" w:rsidRDefault="007F79C6" w:rsidP="00635078">
            <w:pPr>
              <w:pStyle w:val="naisf"/>
              <w:spacing w:after="0" w:line="256" w:lineRule="auto"/>
              <w:rPr>
                <w:lang w:eastAsia="en-US"/>
              </w:rPr>
            </w:pPr>
            <w:r>
              <w:rPr>
                <w:lang w:eastAsia="en-US"/>
              </w:rPr>
              <w:t xml:space="preserve">1. </w:t>
            </w:r>
            <w:r w:rsidR="00C77BA6" w:rsidRPr="00192293">
              <w:rPr>
                <w:lang w:eastAsia="en-US"/>
              </w:rPr>
              <w:t xml:space="preserve">14.panta 1.punkta pirmās daļas c) un e) apakšpunktu </w:t>
            </w:r>
            <w:r w:rsidR="004330CE">
              <w:rPr>
                <w:lang w:eastAsia="en-US"/>
              </w:rPr>
              <w:t>-</w:t>
            </w:r>
            <w:r w:rsidR="00E91669" w:rsidRPr="00192293">
              <w:rPr>
                <w:lang w:eastAsia="en-US"/>
              </w:rPr>
              <w:t xml:space="preserve"> i</w:t>
            </w:r>
            <w:r w:rsidR="00983689" w:rsidRPr="00192293">
              <w:rPr>
                <w:lang w:eastAsia="en-US"/>
              </w:rPr>
              <w:t>zstrādājot Alternatīvo ieguldījumu fondu un to pārvaldnieku likumu</w:t>
            </w:r>
            <w:r>
              <w:rPr>
                <w:lang w:eastAsia="en-US"/>
              </w:rPr>
              <w:t>,</w:t>
            </w:r>
            <w:r w:rsidR="00983689" w:rsidRPr="00192293">
              <w:rPr>
                <w:lang w:eastAsia="en-US"/>
              </w:rPr>
              <w:t xml:space="preserve"> tika izmantot</w:t>
            </w:r>
            <w:r w:rsidR="006B202E">
              <w:rPr>
                <w:lang w:eastAsia="en-US"/>
              </w:rPr>
              <w:t>a</w:t>
            </w:r>
            <w:r w:rsidR="00983689" w:rsidRPr="00192293">
              <w:rPr>
                <w:lang w:eastAsia="en-US"/>
              </w:rPr>
              <w:t xml:space="preserve"> izvēles iespēj</w:t>
            </w:r>
            <w:r w:rsidR="006B202E">
              <w:rPr>
                <w:lang w:eastAsia="en-US"/>
              </w:rPr>
              <w:t>a, kas neparedzēja</w:t>
            </w:r>
            <w:r w:rsidR="00983689" w:rsidRPr="00192293">
              <w:rPr>
                <w:lang w:eastAsia="en-US"/>
              </w:rPr>
              <w:t xml:space="preserve"> licencētiem ārējiem pārvaldniekiem veikt ieguldītāja finanšu instrumentu portfeļa individuālu pārvaldīšanu saskaņā ar ieguldītāja pilnvarojumu, ja šo portfeli veido viens vai vairāki Finanšu instrumentu tirgus likuma 3.panta otrajā daļā minētie finanšu instrumenti, kā arī sniegt konsultācijas par ieguldījumiem Finanšu instrumentu tirgus likuma 3.panta otrajā daļā minētajos finanšu instrumentos, veikt fondu ieguldījumu daļu un ieguldījumu fondu ieguldījumu apliecību turēšanu un administrēšanu, kā arī ieguldītāju rīkojumu par darījumiem ar finanšu instrumentiem pieņemšanu un nodošanu izpildei (turpmāk – ieguldījumu pakalpojumi).</w:t>
            </w:r>
          </w:p>
          <w:p w:rsidR="00C77BA6" w:rsidRDefault="00983689" w:rsidP="00C77BA6">
            <w:pPr>
              <w:pStyle w:val="naisf"/>
              <w:spacing w:after="0" w:line="256" w:lineRule="auto"/>
              <w:ind w:firstLine="0"/>
              <w:rPr>
                <w:lang w:eastAsia="en-US"/>
              </w:rPr>
            </w:pPr>
            <w:r w:rsidRPr="00192293">
              <w:rPr>
                <w:lang w:eastAsia="en-US"/>
              </w:rPr>
              <w:lastRenderedPageBreak/>
              <w:t>Ņemot vērā, ka Komisija veica grozījumus direktīvā 2011/61/ES, nosakot vienādas prasības licencētiem ārējiem pārvaldniekiem minēto pakalpojumu pārrobežu sniegšanā, lai novērstu nevienlīdzīgu situāciju, ka Latvijā licencētam pārvaldniekam nav tiesību sniegt iepriekš minētos pakalpojumus, ne arī tādējādi tos p</w:t>
            </w:r>
            <w:r w:rsidR="00E91669" w:rsidRPr="00192293">
              <w:rPr>
                <w:lang w:eastAsia="en-US"/>
              </w:rPr>
              <w:t>iedāvāt citās dalībvalstīs, tika</w:t>
            </w:r>
            <w:r w:rsidRPr="00192293">
              <w:rPr>
                <w:lang w:eastAsia="en-US"/>
              </w:rPr>
              <w:t xml:space="preserve"> veikti grozījumi Alternatīvo ieguldījumu fondu un to pārvaldnieku likumā, lai atļautu Latvijā licencētam pārvaldniekam veikt ieguldījumu pakalpojumus.</w:t>
            </w:r>
            <w:r w:rsidR="00C77BA6" w:rsidRPr="00192293">
              <w:rPr>
                <w:lang w:eastAsia="en-US"/>
              </w:rPr>
              <w:t xml:space="preserve">     </w:t>
            </w:r>
            <w:r w:rsidR="00C77BA6">
              <w:rPr>
                <w:lang w:eastAsia="en-US"/>
              </w:rPr>
              <w:t>A</w:t>
            </w:r>
            <w:r w:rsidR="00C77BA6" w:rsidRPr="00192293">
              <w:rPr>
                <w:lang w:eastAsia="en-US"/>
              </w:rPr>
              <w:t>tzinumā norādīt</w:t>
            </w:r>
            <w:r w:rsidR="00C77BA6">
              <w:rPr>
                <w:lang w:eastAsia="en-US"/>
              </w:rPr>
              <w:t>os</w:t>
            </w:r>
            <w:r w:rsidR="00C77BA6" w:rsidRPr="00192293">
              <w:rPr>
                <w:lang w:eastAsia="en-US"/>
              </w:rPr>
              <w:t xml:space="preserve"> punkt</w:t>
            </w:r>
            <w:r w:rsidR="00C77BA6">
              <w:rPr>
                <w:lang w:eastAsia="en-US"/>
              </w:rPr>
              <w:t xml:space="preserve">us, kas </w:t>
            </w:r>
            <w:r w:rsidR="00C77BA6" w:rsidRPr="00192293">
              <w:rPr>
                <w:lang w:eastAsia="en-US"/>
              </w:rPr>
              <w:t>attiecas uz Direktīvas 2011/61/ES 14.panta 1.punkta pirmās daļas c) un e) punktu par interešu konfliktu starp klientiem, kuriem pārvaldnieks sniedz ieguldījumu pakalpojumus</w:t>
            </w:r>
            <w:r w:rsidR="00C77BA6">
              <w:rPr>
                <w:lang w:eastAsia="en-US"/>
              </w:rPr>
              <w:t xml:space="preserve"> pārņemšanu, nebija jāievieš, jo</w:t>
            </w:r>
            <w:r w:rsidR="00C77BA6" w:rsidRPr="00192293">
              <w:rPr>
                <w:lang w:eastAsia="en-US"/>
              </w:rPr>
              <w:t xml:space="preserve"> pārvaldniekam juridiski nebija tiesību sniegt ieguldījumu pakalpojumus klientiem. Tādējādi arī minēto Direktīvas 2011/61/ES punktu ieviešana, būtu bijusi pretrunā ar esošo juridisko ietvaru un praksi. Ņemot vērā grozījumus Direktīvā 2011/61/ES, kas izdarīti ar Eiropas Parlamenta un padomes 2014.gada 15.maija Direktīvu 2014/65/EK par finanšu instrumentu tirgiem un, ar ko groza Direktīvu 2002/92/ES un Direktīvu 2011/61/ES (turpmāk</w:t>
            </w:r>
            <w:r w:rsidR="00C77BA6">
              <w:rPr>
                <w:lang w:eastAsia="en-US"/>
              </w:rPr>
              <w:t xml:space="preserve"> </w:t>
            </w:r>
            <w:r w:rsidR="00C77BA6" w:rsidRPr="00192293">
              <w:rPr>
                <w:lang w:eastAsia="en-US"/>
              </w:rPr>
              <w:t>- MIFID II) un, lai nodrošinātu vienlīdzīgu attieksmi tiem dalībvalstu pārvaldniekiem, kas sniedz ieguldījumu pakalpojumus Latvijā izmantojot pases principu, vienlaicīgi ar MIFID II 92.pantu tiek ieviests arī Direktīvas 2011/61/ES 6.panta 4.punkts (atļauja Latvijā licencētam pārvaldniekam veikt ieguldījumu pakalpojumus</w:t>
            </w:r>
            <w:r w:rsidR="00C77BA6">
              <w:rPr>
                <w:lang w:eastAsia="en-US"/>
              </w:rPr>
              <w:t>)</w:t>
            </w:r>
            <w:r w:rsidR="00C77BA6" w:rsidRPr="00192293">
              <w:rPr>
                <w:lang w:eastAsia="en-US"/>
              </w:rPr>
              <w:t>. Tas nozīmē tiesisku pamatojumu arī 14.panta 1.punkta pirmās daļas c) un e) punkta ieviešanai, jo tad pārvaldniekam būs tiesības slēgt līgumus arī ar klientiem, kuriem tas sniegs ieguldījumu pakalpojumus.</w:t>
            </w:r>
          </w:p>
          <w:p w:rsidR="00983689" w:rsidRPr="00192293" w:rsidRDefault="00983689" w:rsidP="00983689">
            <w:pPr>
              <w:pStyle w:val="naisf"/>
              <w:spacing w:after="0" w:line="256" w:lineRule="auto"/>
              <w:rPr>
                <w:lang w:eastAsia="en-US"/>
              </w:rPr>
            </w:pPr>
          </w:p>
          <w:p w:rsidR="00E91669" w:rsidRPr="00192293" w:rsidRDefault="007F79C6" w:rsidP="00635078">
            <w:pPr>
              <w:pStyle w:val="naisf"/>
              <w:spacing w:after="0" w:line="256" w:lineRule="auto"/>
              <w:ind w:left="-41" w:firstLine="0"/>
              <w:rPr>
                <w:lang w:eastAsia="en-US"/>
              </w:rPr>
            </w:pPr>
            <w:r>
              <w:rPr>
                <w:lang w:eastAsia="en-US"/>
              </w:rPr>
              <w:t xml:space="preserve">2. </w:t>
            </w:r>
            <w:r w:rsidR="00C77BA6" w:rsidRPr="00192293">
              <w:rPr>
                <w:lang w:eastAsia="en-US"/>
              </w:rPr>
              <w:t>3.panta 3.punkta pirm</w:t>
            </w:r>
            <w:r w:rsidR="00C77BA6">
              <w:rPr>
                <w:lang w:eastAsia="en-US"/>
              </w:rPr>
              <w:t>ās</w:t>
            </w:r>
            <w:r w:rsidR="00C77BA6" w:rsidRPr="00192293">
              <w:rPr>
                <w:lang w:eastAsia="en-US"/>
              </w:rPr>
              <w:t xml:space="preserve"> daļ</w:t>
            </w:r>
            <w:r w:rsidR="00C77BA6">
              <w:rPr>
                <w:lang w:eastAsia="en-US"/>
              </w:rPr>
              <w:t>as e) punkts</w:t>
            </w:r>
            <w:r w:rsidR="00C77BA6" w:rsidRPr="00192293" w:rsidDel="00C77BA6">
              <w:rPr>
                <w:lang w:eastAsia="en-US"/>
              </w:rPr>
              <w:t xml:space="preserve"> </w:t>
            </w:r>
            <w:r w:rsidR="004330CE">
              <w:rPr>
                <w:lang w:eastAsia="en-US"/>
              </w:rPr>
              <w:t>-</w:t>
            </w:r>
            <w:r w:rsidR="00E91669" w:rsidRPr="00192293">
              <w:rPr>
                <w:lang w:eastAsia="en-US"/>
              </w:rPr>
              <w:t xml:space="preserve"> </w:t>
            </w:r>
            <w:r w:rsidR="00983689" w:rsidRPr="00192293">
              <w:rPr>
                <w:lang w:eastAsia="en-US"/>
              </w:rPr>
              <w:t>Latvija ir ieviesusi stingrāku prasību, kas paredz</w:t>
            </w:r>
            <w:r>
              <w:rPr>
                <w:lang w:eastAsia="en-US"/>
              </w:rPr>
              <w:t xml:space="preserve"> – </w:t>
            </w:r>
            <w:r w:rsidR="00983689" w:rsidRPr="00192293">
              <w:rPr>
                <w:lang w:eastAsia="en-US"/>
              </w:rPr>
              <w:t>ja pārvaldnieka pārvaldē esošo fondu darbība un aktīvu apmērs sasniedz vai pārsniedz kaut vienu no likuma 7.panta pirmajā daļā minētajiem kritērijiem, pārvaldnieks 30 dienu laikā pēc neatbilstības iestāšanās iesniedz Komisijai iesniegumu, lai saņemtu licenci alternatīvo ieguldījumu fondu pārvaldnieka darbībai. Regula 231/2013 paredz pagaidu periodu līdz trim mēnešiem, kura laikā pārvaldniekam ir tiesības informēt uzraudzības institūciju par neatbilstību esamību, taču prasība licences saņemšanai iestājas, ja šis pagaidu periods ilgst vairāk par trim mēnešiem.</w:t>
            </w:r>
          </w:p>
          <w:p w:rsidR="00983689" w:rsidRPr="00192293" w:rsidRDefault="00AE1E60" w:rsidP="00635078">
            <w:pPr>
              <w:pStyle w:val="naisf"/>
              <w:spacing w:after="0" w:line="256" w:lineRule="auto"/>
              <w:ind w:firstLine="0"/>
              <w:rPr>
                <w:lang w:eastAsia="en-US"/>
              </w:rPr>
            </w:pPr>
            <w:r>
              <w:rPr>
                <w:lang w:eastAsia="en-US"/>
              </w:rPr>
              <w:t>3</w:t>
            </w:r>
            <w:r w:rsidR="007F79C6">
              <w:rPr>
                <w:lang w:eastAsia="en-US"/>
              </w:rPr>
              <w:t xml:space="preserve">. </w:t>
            </w:r>
            <w:r w:rsidR="00E91669" w:rsidRPr="00192293">
              <w:rPr>
                <w:lang w:eastAsia="en-US"/>
              </w:rPr>
              <w:t xml:space="preserve">31.panta 3.punkta otro daļu </w:t>
            </w:r>
            <w:r w:rsidR="00E54888">
              <w:rPr>
                <w:lang w:eastAsia="en-US"/>
              </w:rPr>
              <w:t xml:space="preserve">- </w:t>
            </w:r>
            <w:r w:rsidR="00983689" w:rsidRPr="00192293">
              <w:rPr>
                <w:lang w:eastAsia="en-US"/>
              </w:rPr>
              <w:t xml:space="preserve">Latvijā </w:t>
            </w:r>
            <w:r w:rsidR="00E91669" w:rsidRPr="00192293">
              <w:rPr>
                <w:lang w:eastAsia="en-US"/>
              </w:rPr>
              <w:t>alternatīvo ieguldījumu fondu (turpmāk</w:t>
            </w:r>
            <w:r w:rsidR="007F79C6">
              <w:rPr>
                <w:lang w:eastAsia="en-US"/>
              </w:rPr>
              <w:t xml:space="preserve"> – </w:t>
            </w:r>
            <w:r w:rsidR="00983689" w:rsidRPr="00192293">
              <w:rPr>
                <w:lang w:eastAsia="en-US"/>
              </w:rPr>
              <w:t>AIF</w:t>
            </w:r>
            <w:r w:rsidR="00E91669" w:rsidRPr="00192293">
              <w:rPr>
                <w:lang w:eastAsia="en-US"/>
              </w:rPr>
              <w:t>)</w:t>
            </w:r>
            <w:r w:rsidR="00983689" w:rsidRPr="00192293">
              <w:rPr>
                <w:lang w:eastAsia="en-US"/>
              </w:rPr>
              <w:t xml:space="preserve"> un </w:t>
            </w:r>
            <w:proofErr w:type="spellStart"/>
            <w:r w:rsidR="00E91669" w:rsidRPr="00192293">
              <w:rPr>
                <w:lang w:eastAsia="en-US"/>
              </w:rPr>
              <w:t>ārpussavienības</w:t>
            </w:r>
            <w:proofErr w:type="spellEnd"/>
            <w:r w:rsidR="00E91669" w:rsidRPr="00192293">
              <w:rPr>
                <w:lang w:eastAsia="en-US"/>
              </w:rPr>
              <w:t xml:space="preserve"> alternatīvo ieguldījumu fondu pārvaldniek</w:t>
            </w:r>
            <w:r w:rsidR="005D33C9" w:rsidRPr="00192293">
              <w:rPr>
                <w:lang w:eastAsia="en-US"/>
              </w:rPr>
              <w:t>u (turpmāk</w:t>
            </w:r>
            <w:r>
              <w:rPr>
                <w:lang w:eastAsia="en-US"/>
              </w:rPr>
              <w:t xml:space="preserve"> – </w:t>
            </w:r>
            <w:r w:rsidR="00983689" w:rsidRPr="00192293">
              <w:rPr>
                <w:lang w:eastAsia="en-US"/>
              </w:rPr>
              <w:t>AIFP</w:t>
            </w:r>
            <w:r w:rsidR="005D33C9" w:rsidRPr="00192293">
              <w:rPr>
                <w:lang w:eastAsia="en-US"/>
              </w:rPr>
              <w:t>)</w:t>
            </w:r>
            <w:r w:rsidR="00983689" w:rsidRPr="00192293">
              <w:rPr>
                <w:lang w:eastAsia="en-US"/>
              </w:rPr>
              <w:t xml:space="preserve"> uzraudzības institūcija ir viena un tā ir F</w:t>
            </w:r>
            <w:r w:rsidR="00E91669" w:rsidRPr="00192293">
              <w:rPr>
                <w:lang w:eastAsia="en-US"/>
              </w:rPr>
              <w:t>inanšu un kapitāla tirgus komisija</w:t>
            </w:r>
            <w:r w:rsidR="00983689" w:rsidRPr="00192293">
              <w:rPr>
                <w:lang w:eastAsia="en-US"/>
              </w:rPr>
              <w:t>, līdz ar to nebija nepieciešama atsevišķa paziņošana. Tomēr, lai Direktīvas norma būtu pilnībā t</w:t>
            </w:r>
            <w:r w:rsidR="005D33C9" w:rsidRPr="00192293">
              <w:rPr>
                <w:lang w:eastAsia="en-US"/>
              </w:rPr>
              <w:t>ransponēta, likuma 66.pants tika</w:t>
            </w:r>
            <w:r w:rsidR="00983689" w:rsidRPr="00192293">
              <w:rPr>
                <w:lang w:eastAsia="en-US"/>
              </w:rPr>
              <w:t xml:space="preserve"> precizēts attiecībā uz </w:t>
            </w:r>
            <w:r w:rsidR="00983689" w:rsidRPr="00192293">
              <w:rPr>
                <w:lang w:eastAsia="en-US"/>
              </w:rPr>
              <w:lastRenderedPageBreak/>
              <w:t>paziņošanu E</w:t>
            </w:r>
            <w:r w:rsidR="005D33C9" w:rsidRPr="00192293">
              <w:rPr>
                <w:lang w:eastAsia="en-US"/>
              </w:rPr>
              <w:t xml:space="preserve">iropas </w:t>
            </w:r>
            <w:r w:rsidR="00983689" w:rsidRPr="00192293">
              <w:rPr>
                <w:lang w:eastAsia="en-US"/>
              </w:rPr>
              <w:t>S</w:t>
            </w:r>
            <w:r w:rsidR="005D33C9" w:rsidRPr="00192293">
              <w:rPr>
                <w:lang w:eastAsia="en-US"/>
              </w:rPr>
              <w:t>avienības</w:t>
            </w:r>
            <w:r w:rsidR="00983689" w:rsidRPr="00192293">
              <w:rPr>
                <w:lang w:eastAsia="en-US"/>
              </w:rPr>
              <w:t xml:space="preserve"> dalībvalstu uzraudzības institūcijām.</w:t>
            </w:r>
          </w:p>
          <w:p w:rsidR="00814AA1" w:rsidRPr="00192293" w:rsidRDefault="00983689" w:rsidP="00E54888">
            <w:pPr>
              <w:pStyle w:val="naisf"/>
              <w:spacing w:after="0" w:line="256" w:lineRule="auto"/>
              <w:rPr>
                <w:lang w:eastAsia="en-US"/>
              </w:rPr>
            </w:pPr>
            <w:r w:rsidRPr="00192293">
              <w:rPr>
                <w:lang w:eastAsia="en-US"/>
              </w:rPr>
              <w:t xml:space="preserve"> Atļaujot pārvaldniekam sniegt ieguldījumu pakalpojumus un blakus</w:t>
            </w:r>
            <w:r w:rsidR="001E25B3">
              <w:rPr>
                <w:lang w:eastAsia="en-US"/>
              </w:rPr>
              <w:t xml:space="preserve"> </w:t>
            </w:r>
            <w:r w:rsidRPr="00192293">
              <w:rPr>
                <w:lang w:eastAsia="en-US"/>
              </w:rPr>
              <w:t xml:space="preserve">pakalpojumus, nepieciešams papildināt arī pantu par maksājumiem Komisijas darbības finansēšanai. Paredzēts maksājums līdz vienam procentam no pārvaldnieka sniegto ieguldījumu pakalpojumu bruto ieņēmumiem ceturksnī, bet ne mazāk par 711 </w:t>
            </w:r>
            <w:proofErr w:type="spellStart"/>
            <w:r w:rsidRPr="00635078">
              <w:rPr>
                <w:i/>
                <w:lang w:eastAsia="en-US"/>
              </w:rPr>
              <w:t>euro</w:t>
            </w:r>
            <w:proofErr w:type="spellEnd"/>
            <w:r w:rsidRPr="00192293">
              <w:rPr>
                <w:lang w:eastAsia="en-US"/>
              </w:rPr>
              <w:t xml:space="preserve"> gadā, ja licencēts ārējais pārvaldnieks sniedz ieguldījumu pakalpojumus</w:t>
            </w:r>
            <w:r w:rsidR="00AE1E60">
              <w:rPr>
                <w:lang w:eastAsia="en-US"/>
              </w:rPr>
              <w:t>.</w:t>
            </w:r>
            <w:r w:rsidRPr="00192293">
              <w:rPr>
                <w:lang w:eastAsia="en-US"/>
              </w:rPr>
              <w:t xml:space="preserve"> Identiska maksa par uzraudzību paredzēta arī dalībvalstī licencēta pārvaldnieka filiālei, kas reģistrēta Latvijā un sniedz ie</w:t>
            </w:r>
            <w:r w:rsidR="005D33C9" w:rsidRPr="00192293">
              <w:rPr>
                <w:lang w:eastAsia="en-US"/>
              </w:rPr>
              <w:t xml:space="preserve">guldījumu pakalpojumus Latvijā. </w:t>
            </w:r>
            <w:r w:rsidRPr="00192293">
              <w:rPr>
                <w:lang w:eastAsia="en-US"/>
              </w:rPr>
              <w:t>Minētās maksas ir identiskas ar ieguldījumu pārvaldes sabiedrībām noteiktajam maksām.</w:t>
            </w:r>
          </w:p>
        </w:tc>
      </w:tr>
      <w:tr w:rsidR="00192293" w:rsidRPr="00192293"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35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21" w:type="pct"/>
            <w:tcBorders>
              <w:top w:val="outset" w:sz="6" w:space="0" w:color="414142"/>
              <w:left w:val="outset" w:sz="6" w:space="0" w:color="414142"/>
              <w:bottom w:val="outset" w:sz="6" w:space="0" w:color="414142"/>
              <w:right w:val="outset" w:sz="6" w:space="0" w:color="414142"/>
            </w:tcBorders>
            <w:hideMark/>
          </w:tcPr>
          <w:p w:rsidR="00814AA1" w:rsidRPr="00192293" w:rsidRDefault="00635078">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Finanšu un kapitāla tirgus komisija.</w:t>
            </w:r>
          </w:p>
        </w:tc>
      </w:tr>
      <w:tr w:rsidR="00192293" w:rsidRPr="00192293" w:rsidTr="006E0D2C">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5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rsidR="00983689" w:rsidRPr="00192293" w:rsidRDefault="00BC1D7D" w:rsidP="00983689">
            <w:pPr>
              <w:snapToGrid w:val="0"/>
              <w:spacing w:after="0" w:line="240" w:lineRule="auto"/>
              <w:jc w:val="both"/>
              <w:rPr>
                <w:rFonts w:ascii="Times New Roman" w:hAnsi="Times New Roman"/>
                <w:sz w:val="24"/>
                <w:szCs w:val="24"/>
              </w:rPr>
            </w:pPr>
            <w:r>
              <w:rPr>
                <w:rFonts w:ascii="Times New Roman" w:hAnsi="Times New Roman"/>
                <w:sz w:val="24"/>
                <w:szCs w:val="24"/>
              </w:rPr>
              <w:t>Likumprojekts</w:t>
            </w:r>
            <w:r w:rsidR="00983689" w:rsidRPr="00192293">
              <w:rPr>
                <w:rFonts w:ascii="Times New Roman" w:hAnsi="Times New Roman"/>
                <w:sz w:val="24"/>
                <w:szCs w:val="24"/>
              </w:rPr>
              <w:t xml:space="preserve"> ietver šādus pamatjautājumus</w:t>
            </w:r>
            <w:r w:rsidR="00AE1E60">
              <w:rPr>
                <w:rFonts w:ascii="Times New Roman" w:hAnsi="Times New Roman"/>
                <w:sz w:val="24"/>
                <w:szCs w:val="24"/>
              </w:rPr>
              <w:t>.</w:t>
            </w:r>
          </w:p>
          <w:p w:rsidR="00983689" w:rsidRPr="00192293" w:rsidRDefault="006B5EB9" w:rsidP="00983689">
            <w:pPr>
              <w:snapToGri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Direktīvas 2011/61</w:t>
            </w:r>
            <w:r w:rsidR="00983689" w:rsidRPr="00192293">
              <w:rPr>
                <w:rFonts w:ascii="Times New Roman" w:hAnsi="Times New Roman"/>
                <w:sz w:val="24"/>
                <w:szCs w:val="24"/>
              </w:rPr>
              <w:t>/ES 92.panta ieviešana, kas secīgi ievieš arī līdz šim nepiemēroto izvēles iespēju, kas izriet no Direktīvas 2011/61/ES 6.panta 4.punkta un 12.panta 2.punkta.</w:t>
            </w:r>
          </w:p>
          <w:p w:rsidR="00983689" w:rsidRPr="00192293" w:rsidRDefault="00983689" w:rsidP="00983689">
            <w:pPr>
              <w:snapToGrid w:val="0"/>
              <w:spacing w:after="0" w:line="240" w:lineRule="auto"/>
              <w:jc w:val="both"/>
              <w:rPr>
                <w:rFonts w:ascii="Times New Roman" w:hAnsi="Times New Roman"/>
                <w:sz w:val="24"/>
                <w:szCs w:val="24"/>
              </w:rPr>
            </w:pPr>
            <w:r w:rsidRPr="00192293">
              <w:rPr>
                <w:rFonts w:ascii="Times New Roman" w:hAnsi="Times New Roman"/>
                <w:sz w:val="24"/>
                <w:szCs w:val="24"/>
              </w:rPr>
              <w:t>2.</w:t>
            </w:r>
            <w:r w:rsidRPr="00192293">
              <w:rPr>
                <w:rFonts w:ascii="Times New Roman" w:hAnsi="Times New Roman"/>
                <w:sz w:val="24"/>
                <w:szCs w:val="24"/>
              </w:rPr>
              <w:tab/>
              <w:t>Novērš Eiropas Komisijas pārkāpuma vēstulē norādītās nepilnības atsevišķu Direktīvas 2011/61/ES punktu ieviešanā.</w:t>
            </w:r>
          </w:p>
          <w:p w:rsidR="002A1D98" w:rsidRPr="00192293" w:rsidRDefault="00983689" w:rsidP="00E6754D">
            <w:pPr>
              <w:snapToGrid w:val="0"/>
              <w:spacing w:after="0" w:line="240" w:lineRule="auto"/>
              <w:jc w:val="both"/>
              <w:rPr>
                <w:rFonts w:ascii="Times New Roman" w:hAnsi="Times New Roman"/>
                <w:sz w:val="24"/>
                <w:szCs w:val="24"/>
              </w:rPr>
            </w:pPr>
            <w:r w:rsidRPr="00192293">
              <w:rPr>
                <w:rFonts w:ascii="Times New Roman" w:hAnsi="Times New Roman"/>
                <w:sz w:val="24"/>
                <w:szCs w:val="24"/>
              </w:rPr>
              <w:t>3.</w:t>
            </w:r>
            <w:r w:rsidRPr="00192293">
              <w:rPr>
                <w:rFonts w:ascii="Times New Roman" w:hAnsi="Times New Roman"/>
                <w:sz w:val="24"/>
                <w:szCs w:val="24"/>
              </w:rPr>
              <w:tab/>
              <w:t>Precizē Alternatīvo ieguldījumu fondu un to pārvaldnieku likuma atsevišķas normas, kuru labojumi nepieciešami, pielietojot likumu praksē.</w:t>
            </w:r>
          </w:p>
          <w:p w:rsidR="00814AA1" w:rsidRDefault="00192293" w:rsidP="002A1D98">
            <w:pPr>
              <w:snapToGrid w:val="0"/>
              <w:spacing w:after="0" w:line="240" w:lineRule="auto"/>
              <w:jc w:val="both"/>
              <w:rPr>
                <w:rFonts w:ascii="Times New Roman" w:hAnsi="Times New Roman"/>
                <w:sz w:val="24"/>
                <w:szCs w:val="24"/>
              </w:rPr>
            </w:pPr>
            <w:r w:rsidRPr="00192293">
              <w:rPr>
                <w:rFonts w:ascii="Times New Roman" w:hAnsi="Times New Roman"/>
                <w:sz w:val="24"/>
                <w:szCs w:val="24"/>
              </w:rPr>
              <w:t xml:space="preserve">       </w:t>
            </w:r>
            <w:r w:rsidR="00E6754D" w:rsidRPr="00192293">
              <w:rPr>
                <w:rFonts w:ascii="Times New Roman" w:hAnsi="Times New Roman"/>
                <w:sz w:val="24"/>
                <w:szCs w:val="24"/>
              </w:rPr>
              <w:t xml:space="preserve">Likumprojekta tiesiskā regulējuma mērķis ir </w:t>
            </w:r>
            <w:r w:rsidR="002A1D98">
              <w:rPr>
                <w:rFonts w:ascii="Times New Roman" w:hAnsi="Times New Roman"/>
                <w:sz w:val="24"/>
                <w:szCs w:val="24"/>
              </w:rPr>
              <w:t>atļaut ieguldījumu pakalpojumu sniegšanu un novērst nepilnības pārkāpuma procedūrā minētajos punktos.</w:t>
            </w:r>
          </w:p>
          <w:p w:rsidR="0047483A" w:rsidRDefault="0047483A" w:rsidP="0047483A">
            <w:pPr>
              <w:snapToGrid w:val="0"/>
              <w:spacing w:after="0" w:line="240" w:lineRule="auto"/>
              <w:jc w:val="both"/>
              <w:rPr>
                <w:rFonts w:ascii="Times New Roman" w:hAnsi="Times New Roman"/>
                <w:sz w:val="24"/>
                <w:szCs w:val="24"/>
              </w:rPr>
            </w:pPr>
            <w:r>
              <w:rPr>
                <w:rFonts w:ascii="Times New Roman" w:hAnsi="Times New Roman"/>
                <w:sz w:val="24"/>
                <w:szCs w:val="24"/>
              </w:rPr>
              <w:t>Papildus tiek norādīts, ka ar:</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1.panta 20.punktu tiek ieviests Direktīvas 20</w:t>
            </w:r>
            <w:r w:rsidR="006B5EB9">
              <w:rPr>
                <w:rFonts w:ascii="Times New Roman" w:hAnsi="Times New Roman"/>
                <w:sz w:val="24"/>
                <w:szCs w:val="24"/>
              </w:rPr>
              <w:t>11/61</w:t>
            </w:r>
            <w:r>
              <w:rPr>
                <w:rFonts w:ascii="Times New Roman" w:hAnsi="Times New Roman"/>
                <w:sz w:val="24"/>
                <w:szCs w:val="24"/>
              </w:rPr>
              <w:t>/EK 92.panta prasības;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5.panta grozījumi paredz ieviest AIFMD 6.panta 4.daļas prasības;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9.panta t</w:t>
            </w:r>
            <w:r w:rsidR="006B5EB9">
              <w:rPr>
                <w:rFonts w:ascii="Times New Roman" w:hAnsi="Times New Roman"/>
                <w:sz w:val="24"/>
                <w:szCs w:val="24"/>
              </w:rPr>
              <w:t>rešā daļa ievieš Direktīvas 2011/61</w:t>
            </w:r>
            <w:r>
              <w:rPr>
                <w:rFonts w:ascii="Times New Roman" w:hAnsi="Times New Roman"/>
                <w:sz w:val="24"/>
                <w:szCs w:val="24"/>
              </w:rPr>
              <w:t>/EK 3.panta 3.punkta 1.daļas e) apakšpunktu, kurā ir atrunāta kārtība par to, ko dara pārvaldnieks, kā tiek informēts uzraugs, pārkāpjot slieksni;</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16.panta astoto daļu tiek precizēta AIFMD 9.panta 5.punktā minētā norma par pastāvīgo izmaksu aprēķināšanas kārtību;</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18.panta un 22.panta grozījumi ir c</w:t>
            </w:r>
            <w:r w:rsidR="006B5EB9">
              <w:rPr>
                <w:rFonts w:ascii="Times New Roman" w:hAnsi="Times New Roman"/>
                <w:sz w:val="24"/>
                <w:szCs w:val="24"/>
              </w:rPr>
              <w:t>ieši saistīti ar Direktīvas 2011/61</w:t>
            </w:r>
            <w:r>
              <w:rPr>
                <w:rFonts w:ascii="Times New Roman" w:hAnsi="Times New Roman"/>
                <w:sz w:val="24"/>
                <w:szCs w:val="24"/>
              </w:rPr>
              <w:t>/EK 14.panta 1.punkta pirmās daļas c) un e) apakšpunktu pārņemšanu. Gadījumā, ja likuma 5.pants atļauj sniegt atsevišķus ieguldījumu pakalpojumus, tad ar grozījumiem likumprojekta 8. un 9. pantā tiek noteikta kārtība, kādā par pakalpojumu sniegšanu tiek informēta Komisija un noteiktas prasības šo pakalpojumu sniegšanai, lai tiktu nodrošināta ieguldītāju aizsardzība;</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23.panta pirmās daļas 3. un 4.punktu tiek ieviestas AIFMD 14.panta 1.punkta c) un e) apakšpunkta prasības;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lastRenderedPageBreak/>
              <w:t>24.pantu tiek ieviestas likumā noteiktās prasības atalgojuma politikai un praksei arī tiem AIFP darbiniekiem, kuri sniedz ieguldījumu pakalpojumus;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41.panta grozījumiem tiek mazināts administratīvais slogs fonda pārvaldniekiem sagatavot vēl vienu dokumentu, kas pēc būtības būtu identisks jau esošajiem. Norma paredz dokumentu pielīdzināšanu, tādējādi mazinot slogu. Šī panta desmitā daļa precizē noteikumus, kādā IBS un KI var izplatīt daļas, jo iepriekš likumā nebija konkrētu normu, kā to darīt;</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47.panta pirmā daļa </w:t>
            </w:r>
            <w:r w:rsidRPr="000D2DF5">
              <w:rPr>
                <w:rFonts w:ascii="Times New Roman" w:hAnsi="Times New Roman"/>
                <w:sz w:val="24"/>
                <w:szCs w:val="24"/>
              </w:rPr>
              <w:t>precizēta saistībā ar OECD norādījumiem, ka trešo valstu IBS vai KI filiāles tiek diskriminētas turētājbanka</w:t>
            </w:r>
            <w:r>
              <w:rPr>
                <w:rFonts w:ascii="Times New Roman" w:hAnsi="Times New Roman"/>
                <w:sz w:val="24"/>
                <w:szCs w:val="24"/>
              </w:rPr>
              <w:t>s pakalpojumu sniegšanā pat tad</w:t>
            </w:r>
            <w:r w:rsidRPr="000D2DF5">
              <w:rPr>
                <w:rFonts w:ascii="Times New Roman" w:hAnsi="Times New Roman"/>
                <w:sz w:val="24"/>
                <w:szCs w:val="24"/>
              </w:rPr>
              <w:t>, ja tām ir fili</w:t>
            </w:r>
            <w:r>
              <w:rPr>
                <w:rFonts w:ascii="Times New Roman" w:hAnsi="Times New Roman"/>
                <w:sz w:val="24"/>
                <w:szCs w:val="24"/>
              </w:rPr>
              <w:t>āle dalībvalstī. Norma ieviesta</w:t>
            </w:r>
            <w:r w:rsidRPr="000D2DF5">
              <w:rPr>
                <w:rFonts w:ascii="Times New Roman" w:hAnsi="Times New Roman"/>
                <w:sz w:val="24"/>
                <w:szCs w:val="24"/>
              </w:rPr>
              <w:t>, lai izpildītu saistības p</w:t>
            </w:r>
            <w:r>
              <w:rPr>
                <w:rFonts w:ascii="Times New Roman" w:hAnsi="Times New Roman"/>
                <w:sz w:val="24"/>
                <w:szCs w:val="24"/>
              </w:rPr>
              <w:t>ret OECD saistībā ar iestāšanos;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 54.panta pirmā daļa precizēta,</w:t>
            </w:r>
            <w:r w:rsidRPr="000D2DF5">
              <w:rPr>
                <w:rFonts w:ascii="Times New Roman" w:hAnsi="Times New Roman"/>
                <w:sz w:val="24"/>
                <w:szCs w:val="24"/>
              </w:rPr>
              <w:t xml:space="preserve"> lai </w:t>
            </w:r>
            <w:r>
              <w:rPr>
                <w:rFonts w:ascii="Times New Roman" w:hAnsi="Times New Roman"/>
                <w:sz w:val="24"/>
                <w:szCs w:val="24"/>
              </w:rPr>
              <w:t>skaidrāk ieviestu direktīvas 21.panta</w:t>
            </w:r>
            <w:r w:rsidRPr="000D2DF5">
              <w:rPr>
                <w:rFonts w:ascii="Times New Roman" w:hAnsi="Times New Roman"/>
                <w:sz w:val="24"/>
                <w:szCs w:val="24"/>
              </w:rPr>
              <w:t xml:space="preserve"> 11.punkta otrās daļas a</w:t>
            </w:r>
            <w:r>
              <w:rPr>
                <w:rFonts w:ascii="Times New Roman" w:hAnsi="Times New Roman"/>
                <w:sz w:val="24"/>
                <w:szCs w:val="24"/>
              </w:rPr>
              <w:t>) apakšpunkta prasības;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 58.panta otrās daļas 7.punkts papildināts, lai sniegtu informāciju par ārējā vērtētāja piesaistīšanu;</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 67.panta piektā daļas precizēta, lai s</w:t>
            </w:r>
            <w:r w:rsidR="006B5EB9">
              <w:rPr>
                <w:rFonts w:ascii="Times New Roman" w:hAnsi="Times New Roman"/>
                <w:sz w:val="24"/>
                <w:szCs w:val="24"/>
              </w:rPr>
              <w:t>kaidrāk ieviestu Direktīvas 2011/61</w:t>
            </w:r>
            <w:r>
              <w:rPr>
                <w:rFonts w:ascii="Times New Roman" w:hAnsi="Times New Roman"/>
                <w:sz w:val="24"/>
                <w:szCs w:val="24"/>
              </w:rPr>
              <w:t>/EK 32.panta 4.punkta otrās daļas prasības;</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 81.pants papildināts ar astoto daļu, lai </w:t>
            </w:r>
            <w:r>
              <w:t xml:space="preserve"> </w:t>
            </w:r>
            <w:r>
              <w:rPr>
                <w:rFonts w:ascii="Times New Roman" w:hAnsi="Times New Roman"/>
                <w:sz w:val="24"/>
                <w:szCs w:val="24"/>
              </w:rPr>
              <w:t>Komisijai tiktu</w:t>
            </w:r>
            <w:r w:rsidRPr="000D2DF5">
              <w:rPr>
                <w:rFonts w:ascii="Times New Roman" w:hAnsi="Times New Roman"/>
                <w:sz w:val="24"/>
                <w:szCs w:val="24"/>
              </w:rPr>
              <w:t xml:space="preserve"> lik</w:t>
            </w:r>
            <w:r>
              <w:rPr>
                <w:rFonts w:ascii="Times New Roman" w:hAnsi="Times New Roman"/>
                <w:sz w:val="24"/>
                <w:szCs w:val="24"/>
              </w:rPr>
              <w:t>umā noteikts deleģējums pieņemt</w:t>
            </w:r>
            <w:r w:rsidRPr="000D2DF5">
              <w:rPr>
                <w:rFonts w:ascii="Times New Roman" w:hAnsi="Times New Roman"/>
                <w:sz w:val="24"/>
                <w:szCs w:val="24"/>
              </w:rPr>
              <w:t xml:space="preserve"> normatīvos aktus</w:t>
            </w:r>
            <w:r>
              <w:rPr>
                <w:rFonts w:ascii="Times New Roman" w:hAnsi="Times New Roman"/>
                <w:sz w:val="24"/>
                <w:szCs w:val="24"/>
              </w:rPr>
              <w:t>;</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 xml:space="preserve"> 86.panta piektā daļa papildina K</w:t>
            </w:r>
            <w:r w:rsidRPr="000D2DF5">
              <w:rPr>
                <w:rFonts w:ascii="Times New Roman" w:hAnsi="Times New Roman"/>
                <w:sz w:val="24"/>
                <w:szCs w:val="24"/>
              </w:rPr>
              <w:t>omisijas tiesības attiecībā uz dalībvalstu pārvaldniekiem, kuri uz pārrobežu principa izplata Latvijā daļas. Komisijai ir jābūt tiesībām iedarboties pret šādiem pārvaldniekiem, lai nodrošinātu Latvij</w:t>
            </w:r>
            <w:r>
              <w:rPr>
                <w:rFonts w:ascii="Times New Roman" w:hAnsi="Times New Roman"/>
                <w:sz w:val="24"/>
                <w:szCs w:val="24"/>
              </w:rPr>
              <w:t>a</w:t>
            </w:r>
            <w:r w:rsidRPr="000D2DF5">
              <w:rPr>
                <w:rFonts w:ascii="Times New Roman" w:hAnsi="Times New Roman"/>
                <w:sz w:val="24"/>
                <w:szCs w:val="24"/>
              </w:rPr>
              <w:t>s tirgus un ieguldītāju aizsardzību</w:t>
            </w:r>
            <w:r>
              <w:rPr>
                <w:rFonts w:ascii="Times New Roman" w:hAnsi="Times New Roman"/>
                <w:sz w:val="24"/>
                <w:szCs w:val="24"/>
              </w:rPr>
              <w:t>;</w:t>
            </w:r>
          </w:p>
          <w:p w:rsid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Pr>
                <w:rFonts w:ascii="Times New Roman" w:hAnsi="Times New Roman"/>
                <w:sz w:val="24"/>
                <w:szCs w:val="24"/>
              </w:rPr>
              <w:t>Pārejas noteikumu 9.punkts precizēts, lai</w:t>
            </w:r>
            <w:r w:rsidRPr="000D2DF5">
              <w:rPr>
                <w:rFonts w:ascii="Times New Roman" w:hAnsi="Times New Roman"/>
                <w:sz w:val="24"/>
                <w:szCs w:val="24"/>
              </w:rPr>
              <w:t xml:space="preserve"> visi fondi, arī tie kuri nav atzīstami par AIF konsekventi ievērotu prasības grāmatvedības kārtošanai un finanšu pārskatu sagatavošanai,  kādas bija spēkā to dibināšanas brīdī</w:t>
            </w:r>
            <w:r>
              <w:rPr>
                <w:rFonts w:ascii="Times New Roman" w:hAnsi="Times New Roman"/>
                <w:sz w:val="24"/>
                <w:szCs w:val="24"/>
              </w:rPr>
              <w:t>;</w:t>
            </w:r>
          </w:p>
          <w:p w:rsidR="0047483A" w:rsidRPr="0047483A" w:rsidRDefault="0047483A" w:rsidP="0047483A">
            <w:pPr>
              <w:pStyle w:val="ListParagraph"/>
              <w:numPr>
                <w:ilvl w:val="0"/>
                <w:numId w:val="2"/>
              </w:numPr>
              <w:snapToGrid w:val="0"/>
              <w:spacing w:after="0" w:line="240" w:lineRule="auto"/>
              <w:jc w:val="both"/>
              <w:rPr>
                <w:rFonts w:ascii="Times New Roman" w:hAnsi="Times New Roman"/>
                <w:sz w:val="24"/>
                <w:szCs w:val="24"/>
              </w:rPr>
            </w:pPr>
            <w:r w:rsidRPr="0047483A">
              <w:rPr>
                <w:rFonts w:ascii="Times New Roman" w:hAnsi="Times New Roman"/>
                <w:sz w:val="24"/>
                <w:szCs w:val="24"/>
              </w:rPr>
              <w:t>6.panta sestā daļa, 10.panta astotās daļas 2.punkts, 16.pants, 25.pants, 36.panta ceturtā daļa, 58.panta otrās daļas 4.punkts un Pārejas noteikumu 5.punts tika precizēti kā redakcionāli precizējumi likuma nepārprotamai un viennozīmīgai piemērošanai.</w:t>
            </w:r>
          </w:p>
        </w:tc>
      </w:tr>
      <w:tr w:rsidR="00192293" w:rsidRPr="00192293" w:rsidTr="00192293">
        <w:trPr>
          <w:trHeight w:val="128"/>
        </w:trPr>
        <w:tc>
          <w:tcPr>
            <w:tcW w:w="4997" w:type="pct"/>
            <w:gridSpan w:val="3"/>
            <w:tcBorders>
              <w:top w:val="outset" w:sz="6" w:space="0" w:color="414142"/>
              <w:left w:val="nil"/>
              <w:bottom w:val="outset" w:sz="6" w:space="0" w:color="414142"/>
              <w:right w:val="nil"/>
            </w:tcBorders>
          </w:tcPr>
          <w:p w:rsidR="00814AA1" w:rsidRPr="00192293" w:rsidRDefault="00814AA1">
            <w:pPr>
              <w:tabs>
                <w:tab w:val="left" w:pos="990"/>
              </w:tabs>
              <w:spacing w:after="0" w:line="240" w:lineRule="auto"/>
              <w:rPr>
                <w:rFonts w:ascii="Times New Roman" w:eastAsia="Times New Roman" w:hAnsi="Times New Roman"/>
                <w:sz w:val="24"/>
                <w:szCs w:val="24"/>
                <w:lang w:eastAsia="lv-LV"/>
              </w:rPr>
            </w:pPr>
          </w:p>
        </w:tc>
      </w:tr>
      <w:tr w:rsidR="00192293" w:rsidRPr="00192293" w:rsidTr="00192293">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jc w:val="center"/>
              <w:rPr>
                <w:rFonts w:ascii="Times New Roman" w:eastAsia="Times New Roman" w:hAnsi="Times New Roman"/>
                <w:sz w:val="24"/>
                <w:szCs w:val="24"/>
                <w:lang w:eastAsia="lv-LV"/>
              </w:rPr>
            </w:pPr>
            <w:r w:rsidRPr="00192293">
              <w:rPr>
                <w:rFonts w:ascii="Times New Roman" w:eastAsia="Times New Roman" w:hAnsi="Times New Roman"/>
                <w:b/>
                <w:bCs/>
                <w:sz w:val="24"/>
                <w:szCs w:val="24"/>
                <w:lang w:eastAsia="lv-LV"/>
              </w:rPr>
              <w:t>II. Tiesību akta projekta ietekme uz sabiedrību, tautsaimniecības attīstību un administratīvo slogu</w:t>
            </w:r>
          </w:p>
        </w:tc>
      </w:tr>
      <w:tr w:rsidR="00192293" w:rsidRPr="00192293"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Sabiedrības </w:t>
            </w:r>
            <w:proofErr w:type="spellStart"/>
            <w:r w:rsidRPr="00192293">
              <w:rPr>
                <w:rFonts w:ascii="Times New Roman" w:eastAsia="Times New Roman" w:hAnsi="Times New Roman"/>
                <w:sz w:val="24"/>
                <w:szCs w:val="24"/>
                <w:lang w:eastAsia="lv-LV"/>
              </w:rPr>
              <w:t>mērķgrupas</w:t>
            </w:r>
            <w:proofErr w:type="spellEnd"/>
            <w:r w:rsidRPr="00192293">
              <w:rPr>
                <w:rFonts w:ascii="Times New Roman" w:eastAsia="Times New Roman" w:hAnsi="Times New Roman"/>
                <w:sz w:val="24"/>
                <w:szCs w:val="24"/>
                <w:lang w:eastAsia="lv-LV"/>
              </w:rPr>
              <w:t>, kuras tiesiskais regulējums ietekmē vai varētu ietekmēt</w:t>
            </w:r>
          </w:p>
        </w:tc>
        <w:tc>
          <w:tcPr>
            <w:tcW w:w="3421" w:type="pct"/>
            <w:tcBorders>
              <w:top w:val="outset" w:sz="6" w:space="0" w:color="414142"/>
              <w:left w:val="outset" w:sz="6" w:space="0" w:color="414142"/>
              <w:bottom w:val="outset" w:sz="6" w:space="0" w:color="414142"/>
              <w:right w:val="outset" w:sz="6" w:space="0" w:color="414142"/>
            </w:tcBorders>
            <w:hideMark/>
          </w:tcPr>
          <w:p w:rsidR="00814AA1" w:rsidRPr="00192293" w:rsidRDefault="00E6754D" w:rsidP="00E5488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Regulējums attiecas uz </w:t>
            </w:r>
            <w:r w:rsidR="006760A1" w:rsidRPr="00192293">
              <w:rPr>
                <w:rFonts w:ascii="Times New Roman" w:eastAsia="Times New Roman" w:hAnsi="Times New Roman"/>
                <w:sz w:val="24"/>
                <w:szCs w:val="24"/>
                <w:lang w:eastAsia="lv-LV"/>
              </w:rPr>
              <w:t>1</w:t>
            </w:r>
            <w:r w:rsidR="006760A1">
              <w:rPr>
                <w:rFonts w:ascii="Times New Roman" w:eastAsia="Times New Roman" w:hAnsi="Times New Roman"/>
                <w:sz w:val="24"/>
                <w:szCs w:val="24"/>
                <w:lang w:eastAsia="lv-LV"/>
              </w:rPr>
              <w:t>2</w:t>
            </w:r>
            <w:r w:rsidR="006760A1" w:rsidRPr="00192293">
              <w:rPr>
                <w:rFonts w:ascii="Times New Roman" w:eastAsia="Times New Roman" w:hAnsi="Times New Roman"/>
                <w:sz w:val="24"/>
                <w:szCs w:val="24"/>
                <w:lang w:eastAsia="lv-LV"/>
              </w:rPr>
              <w:t xml:space="preserve"> </w:t>
            </w:r>
            <w:r w:rsidRPr="00192293">
              <w:rPr>
                <w:rFonts w:ascii="Times New Roman" w:eastAsia="Times New Roman" w:hAnsi="Times New Roman"/>
                <w:sz w:val="24"/>
                <w:szCs w:val="24"/>
                <w:lang w:eastAsia="lv-LV"/>
              </w:rPr>
              <w:t xml:space="preserve">licencētajām ieguldījumu pārvaldes sabiedrībām, kurām paredzētas tiesības papildus savai pamatdarbībai – ieguldījumu fondu pārvaldei – izvēlēties arī alternatīvo ieguldījumu fondu pārvaldi. Likumprojekta tiesiskais regulējums </w:t>
            </w:r>
            <w:r w:rsidR="006760A1" w:rsidRPr="00192293">
              <w:rPr>
                <w:rFonts w:ascii="Times New Roman" w:eastAsia="Times New Roman" w:hAnsi="Times New Roman"/>
                <w:sz w:val="24"/>
                <w:szCs w:val="24"/>
                <w:lang w:eastAsia="lv-LV"/>
              </w:rPr>
              <w:t>attie</w:t>
            </w:r>
            <w:r w:rsidR="006760A1">
              <w:rPr>
                <w:rFonts w:ascii="Times New Roman" w:eastAsia="Times New Roman" w:hAnsi="Times New Roman"/>
                <w:sz w:val="24"/>
                <w:szCs w:val="24"/>
                <w:lang w:eastAsia="lv-LV"/>
              </w:rPr>
              <w:t>cas</w:t>
            </w:r>
            <w:r w:rsidR="006760A1" w:rsidRPr="00192293">
              <w:rPr>
                <w:rFonts w:ascii="Times New Roman" w:eastAsia="Times New Roman" w:hAnsi="Times New Roman"/>
                <w:sz w:val="24"/>
                <w:szCs w:val="24"/>
                <w:lang w:eastAsia="lv-LV"/>
              </w:rPr>
              <w:t xml:space="preserve"> </w:t>
            </w:r>
            <w:r w:rsidRPr="00192293">
              <w:rPr>
                <w:rFonts w:ascii="Times New Roman" w:eastAsia="Times New Roman" w:hAnsi="Times New Roman"/>
                <w:sz w:val="24"/>
                <w:szCs w:val="24"/>
                <w:lang w:eastAsia="lv-LV"/>
              </w:rPr>
              <w:t xml:space="preserve">arī uz </w:t>
            </w:r>
            <w:r w:rsidR="00B42E4D">
              <w:rPr>
                <w:rFonts w:ascii="Times New Roman" w:eastAsia="Times New Roman" w:hAnsi="Times New Roman"/>
                <w:sz w:val="24"/>
                <w:szCs w:val="24"/>
                <w:lang w:eastAsia="lv-LV"/>
              </w:rPr>
              <w:t xml:space="preserve">4 licencētiem un 6 reģistrētiem </w:t>
            </w:r>
            <w:r w:rsidRPr="00192293">
              <w:rPr>
                <w:rFonts w:ascii="Times New Roman" w:eastAsia="Times New Roman" w:hAnsi="Times New Roman"/>
                <w:sz w:val="24"/>
                <w:szCs w:val="24"/>
                <w:lang w:eastAsia="lv-LV"/>
              </w:rPr>
              <w:t xml:space="preserve">alternatīvo ieguldījumu fondu pārvaldniekiem </w:t>
            </w:r>
            <w:r w:rsidR="00E54888">
              <w:rPr>
                <w:rFonts w:ascii="Times New Roman" w:eastAsia="Times New Roman" w:hAnsi="Times New Roman"/>
                <w:sz w:val="24"/>
                <w:szCs w:val="24"/>
                <w:lang w:eastAsia="lv-LV"/>
              </w:rPr>
              <w:t xml:space="preserve"> un </w:t>
            </w:r>
            <w:r w:rsidRPr="00192293">
              <w:rPr>
                <w:rFonts w:ascii="Times New Roman" w:eastAsia="Times New Roman" w:hAnsi="Times New Roman"/>
                <w:sz w:val="24"/>
                <w:szCs w:val="24"/>
                <w:lang w:eastAsia="lv-LV"/>
              </w:rPr>
              <w:t>kredītiestādēm, kuras var tikt izvēlētas par fonda turētājbanku.</w:t>
            </w:r>
          </w:p>
        </w:tc>
      </w:tr>
      <w:tr w:rsidR="00192293" w:rsidRPr="00192293"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360"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Tiesiskā regulējuma ietekme uz tautsaimniecību un administratīvo slogu</w:t>
            </w:r>
          </w:p>
        </w:tc>
        <w:tc>
          <w:tcPr>
            <w:tcW w:w="342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jc w:val="both"/>
              <w:rPr>
                <w:rFonts w:ascii="Times New Roman" w:eastAsia="Times New Roman" w:hAnsi="Times New Roman"/>
                <w:sz w:val="24"/>
                <w:szCs w:val="24"/>
                <w:lang w:eastAsia="lv-LV"/>
              </w:rPr>
            </w:pPr>
            <w:r w:rsidRPr="00192293">
              <w:rPr>
                <w:rFonts w:ascii="Times New Roman" w:hAnsi="Times New Roman"/>
                <w:sz w:val="24"/>
                <w:szCs w:val="24"/>
              </w:rPr>
              <w:t>Netiek paredzētas papildu administratīvās procedūras.</w:t>
            </w:r>
          </w:p>
        </w:tc>
      </w:tr>
      <w:tr w:rsidR="00192293" w:rsidRPr="00192293"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Administratīvo izmaksu monetārs novērtējums</w:t>
            </w:r>
          </w:p>
        </w:tc>
        <w:tc>
          <w:tcPr>
            <w:tcW w:w="3421" w:type="pct"/>
            <w:tcBorders>
              <w:top w:val="outset" w:sz="6" w:space="0" w:color="414142"/>
              <w:left w:val="outset" w:sz="6" w:space="0" w:color="414142"/>
              <w:bottom w:val="outset" w:sz="6" w:space="0" w:color="414142"/>
              <w:right w:val="outset" w:sz="6" w:space="0" w:color="414142"/>
            </w:tcBorders>
            <w:hideMark/>
          </w:tcPr>
          <w:p w:rsidR="00814AA1" w:rsidRPr="00192293" w:rsidRDefault="00AE1E60">
            <w:pPr>
              <w:spacing w:after="0" w:line="240" w:lineRule="auto"/>
              <w:jc w:val="both"/>
              <w:rPr>
                <w:rFonts w:ascii="Times New Roman" w:eastAsia="Times New Roman" w:hAnsi="Times New Roman"/>
                <w:sz w:val="24"/>
                <w:szCs w:val="24"/>
                <w:lang w:eastAsia="lv-LV"/>
              </w:rPr>
            </w:pPr>
            <w:r w:rsidRPr="00AE1E60">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r w:rsidR="00192293" w:rsidRPr="00192293" w:rsidTr="006E0D2C">
        <w:trPr>
          <w:trHeight w:val="345"/>
        </w:trPr>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rsidR="00814AA1"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6E0D2C" w:rsidRPr="00803B09"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6E0D2C" w:rsidRPr="006E0D2C" w:rsidRDefault="006E0D2C" w:rsidP="006760A1">
            <w:pPr>
              <w:spacing w:after="0" w:line="240" w:lineRule="auto"/>
              <w:ind w:firstLine="300"/>
              <w:jc w:val="center"/>
              <w:rPr>
                <w:rFonts w:ascii="Times New Roman" w:eastAsia="Times New Roman" w:hAnsi="Times New Roman"/>
                <w:b/>
                <w:bCs/>
                <w:sz w:val="24"/>
                <w:szCs w:val="24"/>
                <w:lang w:eastAsia="lv-LV"/>
              </w:rPr>
            </w:pPr>
            <w:r w:rsidRPr="006E0D2C">
              <w:rPr>
                <w:rFonts w:ascii="Times New Roman" w:eastAsia="Times New Roman" w:hAnsi="Times New Roman"/>
                <w:b/>
                <w:bCs/>
                <w:sz w:val="24"/>
                <w:szCs w:val="24"/>
                <w:lang w:eastAsia="lv-LV"/>
              </w:rPr>
              <w:t>III. Tiesību akta projekta ietekme uz valsts budžetu un pašvaldību budžetiem</w:t>
            </w:r>
          </w:p>
        </w:tc>
      </w:tr>
      <w:tr w:rsidR="006E0D2C" w:rsidRPr="00803B09"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6E0D2C" w:rsidRPr="006E0D2C" w:rsidRDefault="006E0D2C" w:rsidP="006760A1">
            <w:pPr>
              <w:spacing w:after="0" w:line="240" w:lineRule="auto"/>
              <w:ind w:firstLine="300"/>
              <w:jc w:val="center"/>
              <w:rPr>
                <w:rFonts w:ascii="Times New Roman" w:eastAsia="Times New Roman" w:hAnsi="Times New Roman"/>
                <w:b/>
                <w:bCs/>
                <w:i/>
                <w:sz w:val="24"/>
                <w:szCs w:val="24"/>
                <w:lang w:eastAsia="lv-LV"/>
              </w:rPr>
            </w:pPr>
            <w:r w:rsidRPr="006E0D2C">
              <w:rPr>
                <w:rFonts w:ascii="Times New Roman" w:eastAsia="Times New Roman" w:hAnsi="Times New Roman"/>
                <w:bCs/>
                <w:i/>
                <w:sz w:val="24"/>
                <w:szCs w:val="24"/>
                <w:lang w:eastAsia="lv-LV"/>
              </w:rPr>
              <w:t>Projekts šo jomu neskar</w:t>
            </w:r>
            <w:r>
              <w:rPr>
                <w:rFonts w:ascii="Times New Roman" w:eastAsia="Times New Roman" w:hAnsi="Times New Roman"/>
                <w:bCs/>
                <w:i/>
                <w:sz w:val="24"/>
                <w:szCs w:val="24"/>
                <w:lang w:eastAsia="lv-LV"/>
              </w:rPr>
              <w:t>.</w:t>
            </w:r>
          </w:p>
        </w:tc>
      </w:tr>
    </w:tbl>
    <w:p w:rsidR="006E0D2C" w:rsidRDefault="006E0D2C" w:rsidP="00814AA1">
      <w:pPr>
        <w:spacing w:after="0" w:line="240" w:lineRule="auto"/>
        <w:rPr>
          <w:rFonts w:ascii="Times New Roman" w:eastAsia="Times New Roman" w:hAnsi="Times New Roman"/>
          <w:sz w:val="24"/>
          <w:szCs w:val="24"/>
          <w:lang w:eastAsia="lv-LV"/>
        </w:rPr>
      </w:pPr>
    </w:p>
    <w:p w:rsidR="00814AA1" w:rsidRPr="00192293" w:rsidRDefault="00814AA1" w:rsidP="001E2E73">
      <w:pPr>
        <w:spacing w:after="0" w:line="240" w:lineRule="auto"/>
        <w:ind w:left="567"/>
        <w:rPr>
          <w:rFonts w:ascii="Times New Roman" w:hAnsi="Times New Roman"/>
          <w:sz w:val="24"/>
          <w:szCs w:val="24"/>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rsidTr="0019229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IV. Tiesību akta projekta ietekme uz spēkā esošo tiesību normu sistēmu</w:t>
            </w: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Nepieciešamie saistītie tiesību aktu projekti</w:t>
            </w:r>
          </w:p>
        </w:tc>
        <w:tc>
          <w:tcPr>
            <w:tcW w:w="3515" w:type="pct"/>
            <w:tcBorders>
              <w:top w:val="outset" w:sz="6" w:space="0" w:color="414142"/>
              <w:left w:val="outset" w:sz="6" w:space="0" w:color="414142"/>
              <w:bottom w:val="outset" w:sz="6" w:space="0" w:color="414142"/>
              <w:right w:val="outset" w:sz="6" w:space="0" w:color="414142"/>
            </w:tcBorders>
            <w:hideMark/>
          </w:tcPr>
          <w:p w:rsidR="00814AA1" w:rsidRPr="00192293" w:rsidRDefault="002A1D98" w:rsidP="004B4651">
            <w:pPr>
              <w:spacing w:after="0" w:line="240" w:lineRule="auto"/>
              <w:jc w:val="both"/>
              <w:rPr>
                <w:rFonts w:ascii="Times New Roman" w:hAnsi="Times New Roman"/>
                <w:sz w:val="24"/>
                <w:szCs w:val="24"/>
              </w:rPr>
            </w:pPr>
            <w:r>
              <w:rPr>
                <w:rFonts w:ascii="Times New Roman" w:hAnsi="Times New Roman"/>
                <w:sz w:val="24"/>
                <w:szCs w:val="24"/>
              </w:rPr>
              <w:t>Papildus</w:t>
            </w:r>
            <w:r>
              <w:t xml:space="preserve"> </w:t>
            </w:r>
            <w:r>
              <w:rPr>
                <w:rFonts w:ascii="Times New Roman" w:hAnsi="Times New Roman"/>
                <w:sz w:val="24"/>
                <w:szCs w:val="24"/>
              </w:rPr>
              <w:t>t</w:t>
            </w:r>
            <w:r w:rsidRPr="002A1D98">
              <w:rPr>
                <w:rFonts w:ascii="Times New Roman" w:hAnsi="Times New Roman"/>
                <w:sz w:val="24"/>
                <w:szCs w:val="24"/>
              </w:rPr>
              <w:t xml:space="preserve">iek veikts arī grozījums likumā ''Par privātajiem pensiju fondiem''. Ņemot vērā, ka alternatīvo ieguldījumu fondu pārvaldniekiem tiek atļauts pārvaldīt klientu finanšu instrumentu portfeļus, tostarp, pensiju fondu un papildpensijas kapitāla uzkrāšanas institūciju portfeļus, nepieciešams papildināt privāto pensiju likumā minēto privāto pensiju fondu pensiju plāna līdzekļu pārvaldītāju sarakstu, iekļaujot arī alternatīvo ieguldījumu fondu pārvaldnieku, kurš ir tiesīgs sniegt ieguldījumu pakalpojumus.  </w:t>
            </w:r>
            <w:r w:rsidR="003A7FD6" w:rsidRPr="00192293">
              <w:rPr>
                <w:rFonts w:ascii="Times New Roman" w:hAnsi="Times New Roman"/>
                <w:sz w:val="24"/>
                <w:szCs w:val="24"/>
              </w:rPr>
              <w:t>Minētais likumprojekts ir sagatavots</w:t>
            </w:r>
            <w:r w:rsidR="00E6754D" w:rsidRPr="00192293">
              <w:rPr>
                <w:rFonts w:ascii="Times New Roman" w:hAnsi="Times New Roman"/>
                <w:sz w:val="24"/>
                <w:szCs w:val="24"/>
              </w:rPr>
              <w:t xml:space="preserve"> un </w:t>
            </w:r>
            <w:r w:rsidR="003A7FD6" w:rsidRPr="00192293">
              <w:rPr>
                <w:rFonts w:ascii="Times New Roman" w:hAnsi="Times New Roman"/>
                <w:sz w:val="24"/>
                <w:szCs w:val="24"/>
              </w:rPr>
              <w:t>tiks iesniegts</w:t>
            </w:r>
            <w:r w:rsidR="00E6754D" w:rsidRPr="00192293">
              <w:rPr>
                <w:rFonts w:ascii="Times New Roman" w:hAnsi="Times New Roman"/>
                <w:sz w:val="24"/>
                <w:szCs w:val="24"/>
              </w:rPr>
              <w:t xml:space="preserve"> vienotā paketē ar likumprojektu ''Alternatīvo ieguldījumu fondu </w:t>
            </w:r>
            <w:r w:rsidR="003A7FD6" w:rsidRPr="00192293">
              <w:rPr>
                <w:rFonts w:ascii="Times New Roman" w:hAnsi="Times New Roman"/>
                <w:sz w:val="24"/>
                <w:szCs w:val="24"/>
              </w:rPr>
              <w:t xml:space="preserve">un to </w:t>
            </w:r>
            <w:r w:rsidR="00E6754D" w:rsidRPr="00192293">
              <w:rPr>
                <w:rFonts w:ascii="Times New Roman" w:hAnsi="Times New Roman"/>
                <w:sz w:val="24"/>
                <w:szCs w:val="24"/>
              </w:rPr>
              <w:t>pārvaldnieku likums''.</w:t>
            </w: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Atbildīgā institūcija</w:t>
            </w:r>
          </w:p>
        </w:tc>
        <w:tc>
          <w:tcPr>
            <w:tcW w:w="35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Finanšu ministrija, Finanšu un kapitāla tirgus komisija.</w:t>
            </w: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rsidR="00814AA1" w:rsidRPr="00192293"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rsidTr="001922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515" w:type="pct"/>
            <w:tcBorders>
              <w:top w:val="outset" w:sz="6" w:space="0" w:color="414142"/>
              <w:left w:val="outset" w:sz="6" w:space="0" w:color="414142"/>
              <w:bottom w:val="outset" w:sz="6" w:space="0" w:color="414142"/>
              <w:right w:val="outset" w:sz="6" w:space="0" w:color="414142"/>
            </w:tcBorders>
            <w:hideMark/>
          </w:tcPr>
          <w:p w:rsidR="006760A1" w:rsidRPr="002A1D98" w:rsidRDefault="00E6754D" w:rsidP="003A7FD6">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Eiropas Parlamenta un Padomes 2011.gada 8.jūnija Direktīva 2011/61/ES par alternatīvo ieguldījumu fondu pārvaldniekiem un par grozījumiem Direktīvā 2003/41/EK, Direktīvā 2009/65/EK, Regulā (EK) Nr.1060/2009 un Regulā (ES) Nr.1095/2010</w:t>
            </w:r>
            <w:r w:rsidR="003A7FD6" w:rsidRPr="00192293">
              <w:rPr>
                <w:rFonts w:ascii="Times New Roman" w:eastAsia="Times New Roman" w:hAnsi="Times New Roman"/>
                <w:sz w:val="24"/>
                <w:szCs w:val="24"/>
                <w:lang w:eastAsia="lv-LV"/>
              </w:rPr>
              <w:t>.</w:t>
            </w:r>
            <w:r w:rsidR="009E74DE">
              <w:rPr>
                <w:rFonts w:ascii="Times New Roman" w:eastAsia="Times New Roman" w:hAnsi="Times New Roman"/>
                <w:sz w:val="24"/>
                <w:szCs w:val="24"/>
                <w:lang w:eastAsia="lv-LV"/>
              </w:rPr>
              <w:t xml:space="preserve"> </w:t>
            </w:r>
            <w:r w:rsidR="006760A1" w:rsidRPr="002A1D98">
              <w:rPr>
                <w:rFonts w:ascii="Times New Roman" w:hAnsi="Times New Roman"/>
                <w:sz w:val="24"/>
                <w:szCs w:val="24"/>
              </w:rPr>
              <w:t>Eiropas Parlamenta un padomes 2014.gada 15.maija Direktīva 2014/65/EK par finanšu instrumentu tirgiem un ar ko groza Direktīvu 2002/92/ES un Direktīvu 2011/61/ES</w:t>
            </w:r>
            <w:r w:rsidR="002A1D98">
              <w:rPr>
                <w:rFonts w:ascii="Times New Roman" w:hAnsi="Times New Roman"/>
                <w:sz w:val="24"/>
                <w:szCs w:val="24"/>
              </w:rPr>
              <w:t>.</w:t>
            </w:r>
          </w:p>
          <w:p w:rsidR="006760A1" w:rsidRPr="00192293" w:rsidRDefault="006760A1" w:rsidP="003A7FD6">
            <w:pPr>
              <w:spacing w:after="0" w:line="240" w:lineRule="auto"/>
              <w:jc w:val="both"/>
              <w:rPr>
                <w:rFonts w:ascii="Times New Roman" w:eastAsia="Times New Roman" w:hAnsi="Times New Roman"/>
                <w:sz w:val="24"/>
                <w:szCs w:val="24"/>
                <w:lang w:eastAsia="lv-LV"/>
              </w:rPr>
            </w:pP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5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r w:rsidR="00192293" w:rsidRPr="00192293" w:rsidTr="00192293">
        <w:tc>
          <w:tcPr>
            <w:tcW w:w="21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bl>
    <w:p w:rsidR="00814AA1" w:rsidRPr="00192293" w:rsidRDefault="00814AA1" w:rsidP="00814AA1">
      <w:pPr>
        <w:spacing w:after="0" w:line="240" w:lineRule="auto"/>
        <w:rPr>
          <w:rFonts w:ascii="Times New Roman" w:eastAsia="Times New Roman" w:hAnsi="Times New Roman"/>
          <w:sz w:val="24"/>
          <w:szCs w:val="24"/>
          <w:lang w:eastAsia="lv-LV"/>
        </w:rPr>
      </w:pPr>
    </w:p>
    <w:tbl>
      <w:tblPr>
        <w:tblW w:w="5779" w:type="pct"/>
        <w:tblInd w:w="-3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
        <w:gridCol w:w="2120"/>
        <w:gridCol w:w="2526"/>
        <w:gridCol w:w="2486"/>
        <w:gridCol w:w="2415"/>
      </w:tblGrid>
      <w:tr w:rsidR="00192293" w:rsidRPr="00192293" w:rsidTr="00192293">
        <w:trPr>
          <w:gridBefore w:val="1"/>
          <w:wBefore w:w="19" w:type="pct"/>
        </w:trPr>
        <w:tc>
          <w:tcPr>
            <w:tcW w:w="4981" w:type="pct"/>
            <w:gridSpan w:val="4"/>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pStyle w:val="naisnod"/>
              <w:spacing w:before="0" w:after="0" w:line="256" w:lineRule="auto"/>
              <w:rPr>
                <w:lang w:eastAsia="en-US"/>
              </w:rPr>
            </w:pPr>
            <w:r w:rsidRPr="00192293">
              <w:rPr>
                <w:lang w:eastAsia="en-US"/>
              </w:rPr>
              <w:t xml:space="preserve">1.tabula </w:t>
            </w:r>
          </w:p>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rsidTr="00192293">
        <w:trPr>
          <w:gridBefore w:val="1"/>
          <w:wBefore w:w="19" w:type="pct"/>
        </w:trPr>
        <w:tc>
          <w:tcPr>
            <w:tcW w:w="4981" w:type="pct"/>
            <w:gridSpan w:val="4"/>
            <w:hideMark/>
          </w:tcPr>
          <w:p w:rsidR="00C36711" w:rsidRPr="00192293" w:rsidRDefault="00C36711" w:rsidP="00C36711">
            <w:pPr>
              <w:spacing w:after="0"/>
              <w:jc w:val="center"/>
              <w:rPr>
                <w:b/>
                <w:bCs/>
                <w:lang w:eastAsia="lv-LV"/>
              </w:rPr>
            </w:pPr>
            <w:r w:rsidRPr="00192293">
              <w:rPr>
                <w:b/>
                <w:bCs/>
                <w:lang w:eastAsia="lv-LV"/>
              </w:rPr>
              <w:t xml:space="preserve">1.tabula </w:t>
            </w:r>
          </w:p>
          <w:p w:rsidR="00C36711" w:rsidRPr="00192293" w:rsidRDefault="00C36711" w:rsidP="00C36711">
            <w:pPr>
              <w:spacing w:after="0"/>
              <w:jc w:val="center"/>
              <w:rPr>
                <w:rFonts w:ascii="Times New Roman" w:hAnsi="Times New Roman"/>
                <w:b/>
                <w:bCs/>
                <w:i/>
                <w:lang w:eastAsia="lv-LV"/>
              </w:rPr>
            </w:pPr>
            <w:r w:rsidRPr="00192293">
              <w:rPr>
                <w:rFonts w:ascii="Times New Roman" w:hAnsi="Times New Roman"/>
                <w:b/>
                <w:bCs/>
                <w:lang w:eastAsia="lv-LV"/>
              </w:rPr>
              <w:lastRenderedPageBreak/>
              <w:t>Tiesību akta projekta atbilstība ES tiesību aktiem</w:t>
            </w:r>
          </w:p>
        </w:tc>
      </w:tr>
      <w:tr w:rsidR="00192293" w:rsidRPr="00192293" w:rsidTr="00C3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058"/>
        </w:trPr>
        <w:tc>
          <w:tcPr>
            <w:tcW w:w="1125" w:type="pct"/>
            <w:gridSpan w:val="2"/>
            <w:vAlign w:val="center"/>
          </w:tcPr>
          <w:p w:rsidR="00C36711" w:rsidRPr="00192293" w:rsidRDefault="00C36711" w:rsidP="00C36711">
            <w:pPr>
              <w:spacing w:after="0"/>
              <w:ind w:hanging="10"/>
              <w:jc w:val="center"/>
              <w:rPr>
                <w:rFonts w:ascii="Times New Roman" w:hAnsi="Times New Roman"/>
                <w:sz w:val="24"/>
                <w:szCs w:val="24"/>
                <w:lang w:eastAsia="lv-LV"/>
              </w:rPr>
            </w:pPr>
            <w:r w:rsidRPr="00192293">
              <w:rPr>
                <w:rFonts w:ascii="Times New Roman" w:hAnsi="Times New Roman"/>
                <w:sz w:val="24"/>
                <w:szCs w:val="24"/>
                <w:lang w:eastAsia="lv-LV"/>
              </w:rPr>
              <w:lastRenderedPageBreak/>
              <w:t>Attiecīgā ES tiesību akta datums, numurs un nosaukums</w:t>
            </w:r>
          </w:p>
        </w:tc>
        <w:tc>
          <w:tcPr>
            <w:tcW w:w="3875" w:type="pct"/>
            <w:gridSpan w:val="3"/>
            <w:vAlign w:val="center"/>
          </w:tcPr>
          <w:p w:rsidR="00C36711" w:rsidRPr="00192293" w:rsidRDefault="00C36711" w:rsidP="00C36711">
            <w:pPr>
              <w:spacing w:after="0"/>
              <w:jc w:val="center"/>
              <w:rPr>
                <w:rFonts w:ascii="Times New Roman" w:hAnsi="Times New Roman"/>
                <w:sz w:val="24"/>
                <w:szCs w:val="24"/>
                <w:lang w:eastAsia="lv-LV"/>
              </w:rPr>
            </w:pPr>
            <w:r w:rsidRPr="00192293">
              <w:rPr>
                <w:rFonts w:ascii="Times New Roman" w:hAnsi="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trPr>
        <w:tc>
          <w:tcPr>
            <w:tcW w:w="1125" w:type="pct"/>
            <w:gridSpan w:val="2"/>
            <w:vAlign w:val="center"/>
          </w:tcPr>
          <w:p w:rsidR="00C36711" w:rsidRPr="00192293" w:rsidRDefault="00C36711" w:rsidP="00C36711">
            <w:pPr>
              <w:spacing w:after="0"/>
              <w:jc w:val="center"/>
              <w:rPr>
                <w:rFonts w:ascii="Times New Roman" w:hAnsi="Times New Roman"/>
                <w:sz w:val="24"/>
                <w:szCs w:val="24"/>
                <w:lang w:eastAsia="lv-LV"/>
              </w:rPr>
            </w:pPr>
            <w:r w:rsidRPr="00192293">
              <w:rPr>
                <w:rFonts w:ascii="Times New Roman" w:hAnsi="Times New Roman"/>
                <w:sz w:val="24"/>
                <w:szCs w:val="24"/>
                <w:lang w:eastAsia="lv-LV"/>
              </w:rPr>
              <w:t>A</w:t>
            </w:r>
          </w:p>
        </w:tc>
        <w:tc>
          <w:tcPr>
            <w:tcW w:w="1318" w:type="pct"/>
            <w:vAlign w:val="center"/>
          </w:tcPr>
          <w:p w:rsidR="00C36711" w:rsidRPr="00192293" w:rsidRDefault="00C36711" w:rsidP="00C36711">
            <w:pPr>
              <w:spacing w:after="0"/>
              <w:jc w:val="center"/>
              <w:rPr>
                <w:rFonts w:ascii="Times New Roman" w:hAnsi="Times New Roman"/>
                <w:sz w:val="24"/>
                <w:szCs w:val="24"/>
                <w:lang w:eastAsia="lv-LV"/>
              </w:rPr>
            </w:pPr>
            <w:r w:rsidRPr="00192293">
              <w:rPr>
                <w:rFonts w:ascii="Times New Roman" w:hAnsi="Times New Roman"/>
                <w:sz w:val="24"/>
                <w:szCs w:val="24"/>
                <w:lang w:eastAsia="lv-LV"/>
              </w:rPr>
              <w:t>B</w:t>
            </w:r>
          </w:p>
        </w:tc>
        <w:tc>
          <w:tcPr>
            <w:tcW w:w="1297" w:type="pct"/>
            <w:vAlign w:val="center"/>
          </w:tcPr>
          <w:p w:rsidR="00C36711" w:rsidRPr="00192293" w:rsidRDefault="00C36711" w:rsidP="00C36711">
            <w:pPr>
              <w:spacing w:after="0"/>
              <w:jc w:val="center"/>
              <w:rPr>
                <w:rFonts w:ascii="Times New Roman" w:hAnsi="Times New Roman"/>
                <w:sz w:val="24"/>
                <w:szCs w:val="24"/>
                <w:lang w:eastAsia="lv-LV"/>
              </w:rPr>
            </w:pPr>
            <w:r w:rsidRPr="00192293">
              <w:rPr>
                <w:rFonts w:ascii="Times New Roman" w:hAnsi="Times New Roman"/>
                <w:sz w:val="24"/>
                <w:szCs w:val="24"/>
                <w:lang w:eastAsia="lv-LV"/>
              </w:rPr>
              <w:t>C</w:t>
            </w:r>
          </w:p>
        </w:tc>
        <w:tc>
          <w:tcPr>
            <w:tcW w:w="1260" w:type="pct"/>
            <w:vAlign w:val="center"/>
          </w:tcPr>
          <w:p w:rsidR="00C36711" w:rsidRPr="00192293" w:rsidRDefault="00C36711" w:rsidP="00C36711">
            <w:pPr>
              <w:spacing w:after="0"/>
              <w:jc w:val="center"/>
              <w:rPr>
                <w:rFonts w:ascii="Times New Roman" w:hAnsi="Times New Roman"/>
                <w:sz w:val="24"/>
                <w:szCs w:val="24"/>
                <w:lang w:eastAsia="lv-LV"/>
              </w:rPr>
            </w:pPr>
            <w:r w:rsidRPr="00192293">
              <w:rPr>
                <w:rFonts w:ascii="Times New Roman" w:hAnsi="Times New Roman"/>
                <w:sz w:val="24"/>
                <w:szCs w:val="24"/>
                <w:lang w:eastAsia="lv-LV"/>
              </w:rPr>
              <w:t>D</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857"/>
        </w:trPr>
        <w:tc>
          <w:tcPr>
            <w:tcW w:w="1125" w:type="pct"/>
            <w:gridSpan w:val="2"/>
          </w:tcPr>
          <w:p w:rsidR="00C36711" w:rsidRPr="00192293" w:rsidRDefault="00C36711" w:rsidP="00C36711">
            <w:pPr>
              <w:spacing w:after="0"/>
              <w:jc w:val="both"/>
              <w:rPr>
                <w:rFonts w:ascii="Times New Roman" w:hAnsi="Times New Roman"/>
                <w:sz w:val="24"/>
                <w:szCs w:val="24"/>
                <w:lang w:eastAsia="lv-LV"/>
              </w:rPr>
            </w:pPr>
            <w:r w:rsidRPr="00192293">
              <w:rPr>
                <w:rFonts w:ascii="Times New Roman" w:hAnsi="Times New Roman"/>
                <w:sz w:val="24"/>
                <w:szCs w:val="24"/>
                <w:lang w:eastAsia="lv-LV"/>
              </w:rPr>
              <w:t>Attiecīgā ES tiesību akta panta numurs (uzskaitot katru tiesību akta vienību - pantu, daļu, punktu, apakšpunktu)</w:t>
            </w:r>
          </w:p>
        </w:tc>
        <w:tc>
          <w:tcPr>
            <w:tcW w:w="1318" w:type="pct"/>
          </w:tcPr>
          <w:p w:rsidR="00C36711" w:rsidRPr="00192293" w:rsidRDefault="00C36711" w:rsidP="00C36711">
            <w:pPr>
              <w:spacing w:after="0"/>
              <w:jc w:val="both"/>
              <w:rPr>
                <w:rFonts w:ascii="Times New Roman" w:hAnsi="Times New Roman"/>
                <w:sz w:val="24"/>
                <w:szCs w:val="24"/>
                <w:lang w:eastAsia="lv-LV"/>
              </w:rPr>
            </w:pPr>
            <w:r w:rsidRPr="00192293">
              <w:rPr>
                <w:rFonts w:ascii="Times New Roman" w:hAnsi="Times New Roman"/>
                <w:sz w:val="24"/>
                <w:szCs w:val="24"/>
                <w:lang w:eastAsia="lv-LV"/>
              </w:rPr>
              <w:t>Projekta vienība, kas pārņem vai ievieš katru šīs tabulas A ailē minēto ES tiesību akta vienību</w:t>
            </w:r>
          </w:p>
        </w:tc>
        <w:tc>
          <w:tcPr>
            <w:tcW w:w="1297" w:type="pct"/>
          </w:tcPr>
          <w:p w:rsidR="00C36711" w:rsidRPr="00192293" w:rsidRDefault="00C36711" w:rsidP="00C36711">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Informācija par to, vai šīs tabulas A ailē minētās ES tiesību akta vienības tiek pārņemtas vai ieviestas pilnībā vai daļēji.</w:t>
            </w:r>
          </w:p>
          <w:p w:rsidR="00C36711" w:rsidRPr="00192293" w:rsidRDefault="00C36711" w:rsidP="00C36711">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C36711" w:rsidRPr="00192293" w:rsidRDefault="00C36711" w:rsidP="00C36711">
            <w:pPr>
              <w:spacing w:after="0"/>
              <w:jc w:val="both"/>
              <w:rPr>
                <w:rFonts w:ascii="Times New Roman" w:hAnsi="Times New Roman"/>
                <w:sz w:val="24"/>
                <w:szCs w:val="24"/>
                <w:lang w:eastAsia="lv-LV"/>
              </w:rPr>
            </w:pPr>
            <w:r w:rsidRPr="00192293">
              <w:rPr>
                <w:rFonts w:ascii="Times New Roman" w:hAnsi="Times New Roman"/>
                <w:sz w:val="24"/>
                <w:szCs w:val="24"/>
                <w:lang w:eastAsia="lv-LV"/>
              </w:rPr>
              <w:t>Norāda institūciju, kas ir atbildīga par šo saistību izpildi pilnībā</w:t>
            </w:r>
          </w:p>
        </w:tc>
        <w:tc>
          <w:tcPr>
            <w:tcW w:w="1260" w:type="pct"/>
          </w:tcPr>
          <w:p w:rsidR="00C36711" w:rsidRPr="00192293" w:rsidRDefault="00C36711" w:rsidP="00C36711">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Informācija par to, vai šīs tabulas B ailē minētās projekta vienības paredz stingrākas prasības nekā šīs tabulas A ailē minētās ES tiesību akta vienības.</w:t>
            </w:r>
          </w:p>
          <w:p w:rsidR="00C36711" w:rsidRPr="00192293" w:rsidRDefault="00C36711" w:rsidP="00C36711">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Ja projekts satur stingrākas prasības nekā attiecīgais ES tiesību akts, - norāda pamatojumu un samērīgumu.</w:t>
            </w:r>
          </w:p>
          <w:p w:rsidR="00C36711" w:rsidRPr="00192293" w:rsidRDefault="00C36711" w:rsidP="00C36711">
            <w:pPr>
              <w:spacing w:after="0"/>
              <w:jc w:val="both"/>
              <w:rPr>
                <w:rFonts w:ascii="Times New Roman" w:hAnsi="Times New Roman"/>
                <w:spacing w:val="-6"/>
                <w:sz w:val="24"/>
                <w:szCs w:val="24"/>
                <w:lang w:eastAsia="lv-LV"/>
              </w:rPr>
            </w:pPr>
            <w:r w:rsidRPr="00192293">
              <w:rPr>
                <w:rFonts w:ascii="Times New Roman" w:hAnsi="Times New Roman"/>
                <w:spacing w:val="-6"/>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92293" w:rsidRPr="00192293" w:rsidTr="00C3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trPr>
        <w:tc>
          <w:tcPr>
            <w:tcW w:w="5000" w:type="pct"/>
            <w:gridSpan w:val="5"/>
          </w:tcPr>
          <w:p w:rsidR="00C36711" w:rsidRPr="00192293" w:rsidRDefault="00C36711" w:rsidP="00C36711">
            <w:pPr>
              <w:spacing w:after="0"/>
              <w:jc w:val="both"/>
              <w:rPr>
                <w:rFonts w:ascii="Times New Roman" w:hAnsi="Times New Roman"/>
                <w:b/>
                <w:sz w:val="24"/>
                <w:szCs w:val="24"/>
                <w:lang w:eastAsia="lv-LV"/>
              </w:rPr>
            </w:pPr>
            <w:r w:rsidRPr="00192293">
              <w:rPr>
                <w:rFonts w:ascii="Times New Roman" w:hAnsi="Times New Roman"/>
                <w:b/>
                <w:sz w:val="24"/>
                <w:szCs w:val="24"/>
                <w:lang w:eastAsia="lv-LV"/>
              </w:rPr>
              <w:t>Direktīva 2011/61/ES</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27"/>
        </w:trPr>
        <w:tc>
          <w:tcPr>
            <w:tcW w:w="1125" w:type="pct"/>
            <w:gridSpan w:val="2"/>
          </w:tcPr>
          <w:p w:rsidR="00191B84" w:rsidRPr="00192293" w:rsidRDefault="00191B84" w:rsidP="00191B84">
            <w:pPr>
              <w:rPr>
                <w:rFonts w:ascii="Times New Roman" w:hAnsi="Times New Roman"/>
                <w:sz w:val="24"/>
                <w:szCs w:val="24"/>
              </w:rPr>
            </w:pPr>
            <w:r w:rsidRPr="00192293">
              <w:rPr>
                <w:rFonts w:ascii="Times New Roman" w:hAnsi="Times New Roman"/>
                <w:sz w:val="24"/>
                <w:szCs w:val="24"/>
              </w:rPr>
              <w:t>3.panta 3.punkts</w:t>
            </w:r>
            <w:r w:rsidR="00C77BA6">
              <w:rPr>
                <w:rFonts w:ascii="Times New Roman" w:hAnsi="Times New Roman"/>
                <w:sz w:val="24"/>
                <w:szCs w:val="24"/>
              </w:rPr>
              <w:t xml:space="preserve"> 1. daļas e) punkts</w:t>
            </w:r>
          </w:p>
        </w:tc>
        <w:tc>
          <w:tcPr>
            <w:tcW w:w="1318" w:type="pct"/>
          </w:tcPr>
          <w:p w:rsidR="00191B84" w:rsidRPr="00192293" w:rsidRDefault="00967497" w:rsidP="00967497">
            <w:pPr>
              <w:rPr>
                <w:rFonts w:ascii="Times New Roman" w:hAnsi="Times New Roman"/>
                <w:sz w:val="24"/>
                <w:szCs w:val="24"/>
              </w:rPr>
            </w:pPr>
            <w:r>
              <w:rPr>
                <w:rFonts w:ascii="Times New Roman" w:hAnsi="Times New Roman"/>
                <w:sz w:val="24"/>
                <w:szCs w:val="24"/>
              </w:rPr>
              <w:t xml:space="preserve">4.pants (Alternatīvo ieguldījumu fondu un to pārvaldnieku likuma </w:t>
            </w:r>
            <w:r w:rsidR="00A72F6D" w:rsidRPr="00192293">
              <w:rPr>
                <w:rFonts w:ascii="Times New Roman" w:hAnsi="Times New Roman"/>
                <w:sz w:val="24"/>
                <w:szCs w:val="24"/>
              </w:rPr>
              <w:t>9.panta trešā daļa</w:t>
            </w:r>
            <w:r>
              <w:rPr>
                <w:rFonts w:ascii="Times New Roman" w:hAnsi="Times New Roman"/>
                <w:sz w:val="24"/>
                <w:szCs w:val="24"/>
              </w:rPr>
              <w:t>)</w:t>
            </w:r>
          </w:p>
        </w:tc>
        <w:tc>
          <w:tcPr>
            <w:tcW w:w="1297" w:type="pct"/>
          </w:tcPr>
          <w:p w:rsidR="00191B84" w:rsidRPr="00192293" w:rsidRDefault="00191B84" w:rsidP="00191B84">
            <w:pPr>
              <w:rPr>
                <w:rFonts w:ascii="Times New Roman" w:hAnsi="Times New Roman"/>
                <w:sz w:val="24"/>
                <w:szCs w:val="24"/>
              </w:rPr>
            </w:pPr>
            <w:r w:rsidRPr="00192293">
              <w:rPr>
                <w:rFonts w:ascii="Times New Roman" w:hAnsi="Times New Roman"/>
                <w:sz w:val="24"/>
                <w:szCs w:val="24"/>
              </w:rPr>
              <w:t>ES tiesību akta vienība tiek ieviesta pilnībā.</w:t>
            </w:r>
          </w:p>
        </w:tc>
        <w:tc>
          <w:tcPr>
            <w:tcW w:w="1260" w:type="pct"/>
          </w:tcPr>
          <w:p w:rsidR="00191B84" w:rsidRPr="00192293" w:rsidRDefault="00191B84" w:rsidP="0068110C">
            <w:pPr>
              <w:rPr>
                <w:rFonts w:ascii="Times New Roman" w:hAnsi="Times New Roman"/>
                <w:sz w:val="24"/>
                <w:szCs w:val="24"/>
              </w:rPr>
            </w:pPr>
            <w:r w:rsidRPr="00192293">
              <w:rPr>
                <w:rFonts w:ascii="Times New Roman" w:hAnsi="Times New Roman"/>
                <w:sz w:val="24"/>
                <w:szCs w:val="24"/>
              </w:rPr>
              <w:t xml:space="preserve">Projekts </w:t>
            </w:r>
            <w:r w:rsidR="002A1D98">
              <w:rPr>
                <w:rFonts w:ascii="Times New Roman" w:hAnsi="Times New Roman"/>
                <w:sz w:val="24"/>
                <w:szCs w:val="24"/>
              </w:rPr>
              <w:t>ne</w:t>
            </w:r>
            <w:r w:rsidRPr="00192293">
              <w:rPr>
                <w:rFonts w:ascii="Times New Roman" w:hAnsi="Times New Roman"/>
                <w:sz w:val="24"/>
                <w:szCs w:val="24"/>
              </w:rPr>
              <w:t xml:space="preserve">paredz ieviest stingrākas prasības, kā to paredz direktīva. </w:t>
            </w:r>
          </w:p>
        </w:tc>
      </w:tr>
      <w:tr w:rsidR="00FE5AE2"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99"/>
        </w:trPr>
        <w:tc>
          <w:tcPr>
            <w:tcW w:w="1125" w:type="pct"/>
            <w:gridSpan w:val="2"/>
          </w:tcPr>
          <w:p w:rsidR="00FE5AE2" w:rsidRPr="00377D22" w:rsidRDefault="00FE5AE2" w:rsidP="00FE5AE2">
            <w:pPr>
              <w:spacing w:after="0"/>
              <w:rPr>
                <w:rFonts w:ascii="Times New Roman" w:hAnsi="Times New Roman"/>
                <w:sz w:val="24"/>
                <w:szCs w:val="24"/>
                <w:lang w:eastAsia="lv-LV"/>
              </w:rPr>
            </w:pPr>
            <w:r w:rsidRPr="00377D22">
              <w:rPr>
                <w:rFonts w:ascii="Times New Roman" w:hAnsi="Times New Roman"/>
                <w:sz w:val="24"/>
                <w:szCs w:val="24"/>
                <w:lang w:eastAsia="lv-LV"/>
              </w:rPr>
              <w:t>12.panta 2.punkts</w:t>
            </w:r>
          </w:p>
        </w:tc>
        <w:tc>
          <w:tcPr>
            <w:tcW w:w="1318" w:type="pct"/>
          </w:tcPr>
          <w:p w:rsidR="00FE5AE2" w:rsidRPr="00377D22" w:rsidRDefault="00FE5AE2" w:rsidP="00FE5AE2">
            <w:pPr>
              <w:spacing w:after="0"/>
              <w:jc w:val="both"/>
              <w:rPr>
                <w:rFonts w:ascii="Times New Roman" w:hAnsi="Times New Roman"/>
                <w:sz w:val="24"/>
                <w:szCs w:val="24"/>
              </w:rPr>
            </w:pPr>
            <w:r w:rsidRPr="00377D22">
              <w:rPr>
                <w:rFonts w:ascii="Times New Roman" w:hAnsi="Times New Roman"/>
                <w:sz w:val="24"/>
                <w:szCs w:val="24"/>
              </w:rPr>
              <w:t>9.pants (Alternatīvo ieguldījumu fondu un to pārvaldnieku likuma 22.panta ceturtā daļa)</w:t>
            </w:r>
          </w:p>
        </w:tc>
        <w:tc>
          <w:tcPr>
            <w:tcW w:w="1297" w:type="pct"/>
          </w:tcPr>
          <w:p w:rsidR="00FE5AE2" w:rsidRPr="00377D22" w:rsidRDefault="00FE5AE2" w:rsidP="00191B84">
            <w:pPr>
              <w:spacing w:after="0"/>
              <w:jc w:val="both"/>
              <w:rPr>
                <w:rFonts w:ascii="Times New Roman" w:hAnsi="Times New Roman"/>
                <w:sz w:val="24"/>
                <w:szCs w:val="24"/>
                <w:lang w:eastAsia="lv-LV"/>
              </w:rPr>
            </w:pPr>
            <w:r w:rsidRPr="00377D22">
              <w:rPr>
                <w:rFonts w:ascii="Times New Roman" w:hAnsi="Times New Roman"/>
                <w:sz w:val="24"/>
                <w:szCs w:val="24"/>
              </w:rPr>
              <w:t>ES tiesību akta vienība tiek ieviesta pilnībā.</w:t>
            </w:r>
          </w:p>
        </w:tc>
        <w:tc>
          <w:tcPr>
            <w:tcW w:w="1260" w:type="pct"/>
          </w:tcPr>
          <w:p w:rsidR="00FE5AE2" w:rsidRPr="00377D22" w:rsidRDefault="00FE5AE2" w:rsidP="00191B84">
            <w:pPr>
              <w:spacing w:after="0"/>
              <w:jc w:val="both"/>
              <w:rPr>
                <w:rFonts w:ascii="Times New Roman" w:hAnsi="Times New Roman"/>
                <w:sz w:val="24"/>
                <w:szCs w:val="24"/>
                <w:lang w:eastAsia="lv-LV"/>
              </w:rPr>
            </w:pPr>
            <w:r w:rsidRPr="00377D22">
              <w:rPr>
                <w:rFonts w:ascii="Times New Roman" w:hAnsi="Times New Roman"/>
                <w:sz w:val="24"/>
                <w:szCs w:val="24"/>
              </w:rPr>
              <w:t>Projekts neparedz ieviest stingrākas prasības, kā to paredz direktīva.</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99"/>
        </w:trPr>
        <w:tc>
          <w:tcPr>
            <w:tcW w:w="1125" w:type="pct"/>
            <w:gridSpan w:val="2"/>
          </w:tcPr>
          <w:p w:rsidR="00191B84" w:rsidRPr="00377D22" w:rsidRDefault="00191B84" w:rsidP="00191B84">
            <w:pPr>
              <w:spacing w:after="0"/>
              <w:rPr>
                <w:rFonts w:ascii="Times New Roman" w:hAnsi="Times New Roman"/>
                <w:sz w:val="24"/>
                <w:szCs w:val="24"/>
                <w:lang w:eastAsia="lv-LV"/>
              </w:rPr>
            </w:pPr>
            <w:r w:rsidRPr="00377D22">
              <w:rPr>
                <w:rFonts w:ascii="Times New Roman" w:hAnsi="Times New Roman"/>
                <w:sz w:val="24"/>
                <w:szCs w:val="24"/>
                <w:lang w:eastAsia="lv-LV"/>
              </w:rPr>
              <w:t>14.panta 1.punkta c) apakšpunkts</w:t>
            </w:r>
          </w:p>
        </w:tc>
        <w:tc>
          <w:tcPr>
            <w:tcW w:w="1318" w:type="pct"/>
          </w:tcPr>
          <w:p w:rsidR="00967497" w:rsidRPr="00377D22" w:rsidRDefault="00967497" w:rsidP="00A72F6D">
            <w:pPr>
              <w:spacing w:after="0"/>
              <w:jc w:val="both"/>
              <w:rPr>
                <w:rFonts w:ascii="Times New Roman" w:hAnsi="Times New Roman"/>
                <w:sz w:val="24"/>
                <w:szCs w:val="24"/>
              </w:rPr>
            </w:pPr>
            <w:r w:rsidRPr="00377D22">
              <w:rPr>
                <w:rFonts w:ascii="Times New Roman" w:hAnsi="Times New Roman"/>
                <w:sz w:val="24"/>
                <w:szCs w:val="24"/>
              </w:rPr>
              <w:t>10.pants</w:t>
            </w:r>
          </w:p>
          <w:p w:rsidR="00191B84" w:rsidRPr="00377D22" w:rsidRDefault="00967497" w:rsidP="00FE5AE2">
            <w:pPr>
              <w:spacing w:after="0"/>
              <w:jc w:val="both"/>
              <w:rPr>
                <w:rFonts w:ascii="Times New Roman" w:hAnsi="Times New Roman"/>
                <w:sz w:val="24"/>
                <w:szCs w:val="24"/>
                <w:lang w:eastAsia="lv-LV"/>
              </w:rPr>
            </w:pPr>
            <w:r w:rsidRPr="00377D22">
              <w:rPr>
                <w:rFonts w:ascii="Times New Roman" w:hAnsi="Times New Roman"/>
                <w:sz w:val="24"/>
                <w:szCs w:val="24"/>
              </w:rPr>
              <w:t xml:space="preserve">(Alternatīvo ieguldījumu fondu un to pārvaldnieku likuma </w:t>
            </w:r>
            <w:r w:rsidR="00A72F6D" w:rsidRPr="00377D22">
              <w:rPr>
                <w:rFonts w:ascii="Times New Roman" w:hAnsi="Times New Roman"/>
                <w:sz w:val="24"/>
                <w:szCs w:val="24"/>
                <w:lang w:eastAsia="lv-LV"/>
              </w:rPr>
              <w:t xml:space="preserve">23.panta </w:t>
            </w:r>
            <w:r w:rsidR="005665C9" w:rsidRPr="00377D22">
              <w:rPr>
                <w:rFonts w:ascii="Times New Roman" w:hAnsi="Times New Roman"/>
                <w:sz w:val="24"/>
                <w:szCs w:val="24"/>
                <w:lang w:eastAsia="lv-LV"/>
              </w:rPr>
              <w:t>pirmās daļas</w:t>
            </w:r>
            <w:r w:rsidR="00A72F6D" w:rsidRPr="00377D22">
              <w:rPr>
                <w:rFonts w:ascii="Times New Roman" w:hAnsi="Times New Roman"/>
                <w:sz w:val="24"/>
                <w:szCs w:val="24"/>
                <w:lang w:eastAsia="lv-LV"/>
              </w:rPr>
              <w:t xml:space="preserve"> </w:t>
            </w:r>
            <w:r w:rsidR="00FE5AE2" w:rsidRPr="00377D22">
              <w:rPr>
                <w:rFonts w:ascii="Times New Roman" w:hAnsi="Times New Roman"/>
                <w:sz w:val="24"/>
                <w:szCs w:val="24"/>
                <w:lang w:eastAsia="lv-LV"/>
              </w:rPr>
              <w:t>4</w:t>
            </w:r>
            <w:r w:rsidR="005665C9" w:rsidRPr="00377D22">
              <w:rPr>
                <w:rFonts w:ascii="Times New Roman" w:hAnsi="Times New Roman"/>
                <w:sz w:val="24"/>
                <w:szCs w:val="24"/>
                <w:lang w:eastAsia="lv-LV"/>
              </w:rPr>
              <w:t>.</w:t>
            </w:r>
            <w:r w:rsidR="00A72F6D" w:rsidRPr="00377D22">
              <w:rPr>
                <w:rFonts w:ascii="Times New Roman" w:hAnsi="Times New Roman"/>
                <w:sz w:val="24"/>
                <w:szCs w:val="24"/>
                <w:lang w:eastAsia="lv-LV"/>
              </w:rPr>
              <w:t xml:space="preserve"> </w:t>
            </w:r>
            <w:r w:rsidR="005665C9" w:rsidRPr="00377D22">
              <w:rPr>
                <w:rFonts w:ascii="Times New Roman" w:hAnsi="Times New Roman"/>
                <w:sz w:val="24"/>
                <w:szCs w:val="24"/>
                <w:lang w:eastAsia="lv-LV"/>
              </w:rPr>
              <w:t>punkts</w:t>
            </w:r>
            <w:r w:rsidRPr="00377D22">
              <w:rPr>
                <w:rFonts w:ascii="Times New Roman" w:hAnsi="Times New Roman"/>
                <w:sz w:val="24"/>
                <w:szCs w:val="24"/>
                <w:lang w:eastAsia="lv-LV"/>
              </w:rPr>
              <w:t>)</w:t>
            </w:r>
          </w:p>
        </w:tc>
        <w:tc>
          <w:tcPr>
            <w:tcW w:w="1297" w:type="pct"/>
          </w:tcPr>
          <w:p w:rsidR="00191B84" w:rsidRPr="00377D22" w:rsidRDefault="00A72F6D" w:rsidP="00191B84">
            <w:pPr>
              <w:spacing w:after="0"/>
              <w:jc w:val="both"/>
              <w:rPr>
                <w:rFonts w:ascii="Times New Roman" w:hAnsi="Times New Roman"/>
                <w:sz w:val="24"/>
                <w:szCs w:val="24"/>
                <w:lang w:eastAsia="lv-LV"/>
              </w:rPr>
            </w:pPr>
            <w:r w:rsidRPr="00377D22">
              <w:rPr>
                <w:rFonts w:ascii="Times New Roman" w:hAnsi="Times New Roman"/>
                <w:sz w:val="24"/>
                <w:szCs w:val="24"/>
                <w:lang w:eastAsia="lv-LV"/>
              </w:rPr>
              <w:t>ES tiesību akta vienība tiek ieviesta pilnībā.</w:t>
            </w:r>
          </w:p>
        </w:tc>
        <w:tc>
          <w:tcPr>
            <w:tcW w:w="1260" w:type="pct"/>
          </w:tcPr>
          <w:p w:rsidR="00191B84" w:rsidRPr="00377D22" w:rsidRDefault="00A72F6D" w:rsidP="00191B84">
            <w:pPr>
              <w:spacing w:after="0"/>
              <w:jc w:val="both"/>
              <w:rPr>
                <w:rFonts w:ascii="Times New Roman" w:hAnsi="Times New Roman"/>
                <w:sz w:val="24"/>
                <w:szCs w:val="24"/>
                <w:lang w:eastAsia="lv-LV"/>
              </w:rPr>
            </w:pPr>
            <w:r w:rsidRPr="00377D22">
              <w:rPr>
                <w:rFonts w:ascii="Times New Roman" w:hAnsi="Times New Roman"/>
                <w:sz w:val="24"/>
                <w:szCs w:val="24"/>
                <w:lang w:eastAsia="lv-LV"/>
              </w:rPr>
              <w:t>Projekts neparedz ieviest stingrākas prasības, kā to paredz direktīva.</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trPr>
        <w:tc>
          <w:tcPr>
            <w:tcW w:w="1125" w:type="pct"/>
            <w:gridSpan w:val="2"/>
          </w:tcPr>
          <w:p w:rsidR="00191B84" w:rsidRPr="00377D22" w:rsidRDefault="00191B84" w:rsidP="00191B84">
            <w:pPr>
              <w:spacing w:after="0"/>
              <w:rPr>
                <w:rFonts w:ascii="Times New Roman" w:hAnsi="Times New Roman"/>
                <w:sz w:val="24"/>
                <w:szCs w:val="24"/>
                <w:lang w:eastAsia="lv-LV"/>
              </w:rPr>
            </w:pPr>
            <w:r w:rsidRPr="00377D22">
              <w:rPr>
                <w:rFonts w:ascii="Times New Roman" w:hAnsi="Times New Roman"/>
                <w:sz w:val="24"/>
                <w:szCs w:val="24"/>
                <w:lang w:eastAsia="lv-LV"/>
              </w:rPr>
              <w:lastRenderedPageBreak/>
              <w:t>14.panta 1.punkta e) apakšpunkts</w:t>
            </w:r>
          </w:p>
        </w:tc>
        <w:tc>
          <w:tcPr>
            <w:tcW w:w="1318" w:type="pct"/>
          </w:tcPr>
          <w:p w:rsidR="00967497" w:rsidRPr="00377D22" w:rsidRDefault="00967497" w:rsidP="00191B84">
            <w:pPr>
              <w:spacing w:after="0"/>
              <w:jc w:val="both"/>
              <w:rPr>
                <w:rFonts w:ascii="Times New Roman" w:hAnsi="Times New Roman"/>
                <w:sz w:val="24"/>
                <w:szCs w:val="24"/>
              </w:rPr>
            </w:pPr>
            <w:r w:rsidRPr="00377D22">
              <w:rPr>
                <w:rFonts w:ascii="Times New Roman" w:hAnsi="Times New Roman"/>
                <w:sz w:val="24"/>
                <w:szCs w:val="24"/>
              </w:rPr>
              <w:t>10.pants</w:t>
            </w:r>
          </w:p>
          <w:p w:rsidR="00191B84" w:rsidRPr="00377D22" w:rsidRDefault="00967497" w:rsidP="00FE5AE2">
            <w:pPr>
              <w:spacing w:after="0"/>
              <w:jc w:val="both"/>
              <w:rPr>
                <w:rFonts w:ascii="Times New Roman" w:hAnsi="Times New Roman"/>
                <w:sz w:val="24"/>
                <w:szCs w:val="24"/>
                <w:lang w:eastAsia="lv-LV"/>
              </w:rPr>
            </w:pPr>
            <w:r w:rsidRPr="00377D22">
              <w:rPr>
                <w:rFonts w:ascii="Times New Roman" w:hAnsi="Times New Roman"/>
                <w:sz w:val="24"/>
                <w:szCs w:val="24"/>
              </w:rPr>
              <w:t xml:space="preserve">(Alternatīvo ieguldījumu fondu un to pārvaldnieku likuma </w:t>
            </w:r>
            <w:r w:rsidR="00A72F6D" w:rsidRPr="00377D22">
              <w:rPr>
                <w:rFonts w:ascii="Times New Roman" w:hAnsi="Times New Roman"/>
                <w:sz w:val="24"/>
                <w:szCs w:val="24"/>
                <w:lang w:eastAsia="lv-LV"/>
              </w:rPr>
              <w:t xml:space="preserve">23.panta </w:t>
            </w:r>
            <w:r w:rsidR="005665C9" w:rsidRPr="00377D22">
              <w:rPr>
                <w:rFonts w:ascii="Times New Roman" w:hAnsi="Times New Roman"/>
                <w:sz w:val="24"/>
                <w:szCs w:val="24"/>
                <w:lang w:eastAsia="lv-LV"/>
              </w:rPr>
              <w:t xml:space="preserve">pirmās daļas </w:t>
            </w:r>
            <w:r w:rsidR="00FE5AE2" w:rsidRPr="00377D22">
              <w:rPr>
                <w:rFonts w:ascii="Times New Roman" w:hAnsi="Times New Roman"/>
                <w:sz w:val="24"/>
                <w:szCs w:val="24"/>
                <w:lang w:eastAsia="lv-LV"/>
              </w:rPr>
              <w:t>3</w:t>
            </w:r>
            <w:r w:rsidR="005665C9" w:rsidRPr="00377D22">
              <w:rPr>
                <w:rFonts w:ascii="Times New Roman" w:hAnsi="Times New Roman"/>
                <w:sz w:val="24"/>
                <w:szCs w:val="24"/>
                <w:lang w:eastAsia="lv-LV"/>
              </w:rPr>
              <w:t>. punkts</w:t>
            </w:r>
            <w:r w:rsidR="00A72F6D" w:rsidRPr="00377D22">
              <w:rPr>
                <w:rFonts w:ascii="Times New Roman" w:hAnsi="Times New Roman"/>
                <w:sz w:val="24"/>
                <w:szCs w:val="24"/>
                <w:lang w:eastAsia="lv-LV"/>
              </w:rPr>
              <w:t xml:space="preserve"> </w:t>
            </w:r>
            <w:r w:rsidRPr="00377D22">
              <w:rPr>
                <w:rFonts w:ascii="Times New Roman" w:hAnsi="Times New Roman"/>
                <w:sz w:val="24"/>
                <w:szCs w:val="24"/>
                <w:lang w:eastAsia="lv-LV"/>
              </w:rPr>
              <w:t>)</w:t>
            </w:r>
          </w:p>
        </w:tc>
        <w:tc>
          <w:tcPr>
            <w:tcW w:w="1297" w:type="pct"/>
          </w:tcPr>
          <w:p w:rsidR="00191B84" w:rsidRPr="00377D22" w:rsidRDefault="00A72F6D" w:rsidP="00191B84">
            <w:pPr>
              <w:spacing w:after="0"/>
              <w:jc w:val="both"/>
              <w:rPr>
                <w:rFonts w:ascii="Times New Roman" w:hAnsi="Times New Roman"/>
                <w:sz w:val="24"/>
                <w:szCs w:val="24"/>
                <w:lang w:eastAsia="lv-LV"/>
              </w:rPr>
            </w:pPr>
            <w:r w:rsidRPr="00377D22">
              <w:rPr>
                <w:rFonts w:ascii="Times New Roman" w:hAnsi="Times New Roman"/>
                <w:sz w:val="24"/>
                <w:szCs w:val="24"/>
                <w:lang w:eastAsia="lv-LV"/>
              </w:rPr>
              <w:t>ES tiesību akta vienība tiek ieviesta pilnībā.</w:t>
            </w:r>
          </w:p>
        </w:tc>
        <w:tc>
          <w:tcPr>
            <w:tcW w:w="1260" w:type="pct"/>
          </w:tcPr>
          <w:p w:rsidR="00191B84" w:rsidRPr="00377D22" w:rsidRDefault="00A72F6D" w:rsidP="00191B84">
            <w:pPr>
              <w:spacing w:after="0"/>
              <w:jc w:val="both"/>
              <w:rPr>
                <w:rFonts w:ascii="Times New Roman" w:hAnsi="Times New Roman"/>
                <w:sz w:val="24"/>
                <w:szCs w:val="24"/>
                <w:lang w:eastAsia="lv-LV"/>
              </w:rPr>
            </w:pPr>
            <w:r w:rsidRPr="00377D22">
              <w:rPr>
                <w:rFonts w:ascii="Times New Roman" w:hAnsi="Times New Roman"/>
                <w:sz w:val="24"/>
                <w:szCs w:val="24"/>
                <w:lang w:eastAsia="lv-LV"/>
              </w:rPr>
              <w:t>Projekts neparedz ieviest stingrākas prasības, kā to paredz direktīva.</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trPr>
        <w:tc>
          <w:tcPr>
            <w:tcW w:w="1125" w:type="pct"/>
            <w:gridSpan w:val="2"/>
          </w:tcPr>
          <w:p w:rsidR="00191B84" w:rsidRPr="00192293" w:rsidRDefault="00191B84"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6.panta 4.punkts</w:t>
            </w:r>
          </w:p>
        </w:tc>
        <w:tc>
          <w:tcPr>
            <w:tcW w:w="1318" w:type="pct"/>
          </w:tcPr>
          <w:p w:rsidR="00967497" w:rsidRDefault="006425FF" w:rsidP="00191B84">
            <w:pPr>
              <w:spacing w:after="0"/>
              <w:jc w:val="both"/>
              <w:rPr>
                <w:rFonts w:ascii="Times New Roman" w:hAnsi="Times New Roman"/>
                <w:sz w:val="24"/>
                <w:szCs w:val="24"/>
              </w:rPr>
            </w:pPr>
            <w:r>
              <w:rPr>
                <w:rFonts w:ascii="Times New Roman" w:hAnsi="Times New Roman"/>
                <w:sz w:val="24"/>
                <w:szCs w:val="24"/>
              </w:rPr>
              <w:t>2</w:t>
            </w:r>
            <w:r w:rsidR="00967497">
              <w:rPr>
                <w:rFonts w:ascii="Times New Roman" w:hAnsi="Times New Roman"/>
                <w:sz w:val="24"/>
                <w:szCs w:val="24"/>
              </w:rPr>
              <w:t>.pants</w:t>
            </w:r>
          </w:p>
          <w:p w:rsidR="00191B84" w:rsidRPr="00192293" w:rsidRDefault="00967497" w:rsidP="006425FF">
            <w:pPr>
              <w:spacing w:after="0"/>
              <w:jc w:val="both"/>
              <w:rPr>
                <w:rFonts w:ascii="Times New Roman" w:hAnsi="Times New Roman"/>
                <w:sz w:val="24"/>
                <w:szCs w:val="24"/>
                <w:lang w:eastAsia="lv-LV"/>
              </w:rPr>
            </w:pPr>
            <w:r>
              <w:rPr>
                <w:rFonts w:ascii="Times New Roman" w:hAnsi="Times New Roman"/>
                <w:sz w:val="24"/>
                <w:szCs w:val="24"/>
              </w:rPr>
              <w:t>(Alternatīvo ieguldījumu fondu un to pārvaldnieku likuma</w:t>
            </w:r>
            <w:r w:rsidR="006425FF">
              <w:rPr>
                <w:rFonts w:ascii="Times New Roman" w:hAnsi="Times New Roman"/>
                <w:sz w:val="24"/>
                <w:szCs w:val="24"/>
              </w:rPr>
              <w:t xml:space="preserve"> 5.pants</w:t>
            </w:r>
            <w:r>
              <w:rPr>
                <w:rFonts w:ascii="Times New Roman" w:hAnsi="Times New Roman"/>
                <w:sz w:val="24"/>
                <w:szCs w:val="24"/>
                <w:lang w:eastAsia="lv-LV"/>
              </w:rPr>
              <w:t>)</w:t>
            </w:r>
          </w:p>
        </w:tc>
        <w:tc>
          <w:tcPr>
            <w:tcW w:w="1297" w:type="pct"/>
          </w:tcPr>
          <w:p w:rsidR="00191B84" w:rsidRPr="00192293" w:rsidRDefault="00A72F6D"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ES tiesību akta vienība tiek ieviesta pilnībā.</w:t>
            </w:r>
          </w:p>
        </w:tc>
        <w:tc>
          <w:tcPr>
            <w:tcW w:w="1260" w:type="pct"/>
          </w:tcPr>
          <w:p w:rsidR="00191B84" w:rsidRPr="00192293" w:rsidRDefault="009B173A"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Projekts neparedz ieviest stingrākas prasības, kā to paredz direktīva.</w:t>
            </w:r>
          </w:p>
        </w:tc>
      </w:tr>
      <w:tr w:rsidR="00192293"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trPr>
        <w:tc>
          <w:tcPr>
            <w:tcW w:w="1125" w:type="pct"/>
            <w:gridSpan w:val="2"/>
          </w:tcPr>
          <w:p w:rsidR="00191B84" w:rsidRPr="00192293" w:rsidRDefault="00191B84"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31.panta 3.punkts</w:t>
            </w:r>
          </w:p>
        </w:tc>
        <w:tc>
          <w:tcPr>
            <w:tcW w:w="1318" w:type="pct"/>
          </w:tcPr>
          <w:p w:rsidR="00967497" w:rsidRDefault="00967497" w:rsidP="00A72F6D">
            <w:pPr>
              <w:spacing w:after="0"/>
              <w:jc w:val="both"/>
              <w:rPr>
                <w:rFonts w:ascii="Times New Roman" w:hAnsi="Times New Roman"/>
                <w:sz w:val="24"/>
                <w:szCs w:val="24"/>
              </w:rPr>
            </w:pPr>
            <w:r>
              <w:rPr>
                <w:rFonts w:ascii="Times New Roman" w:hAnsi="Times New Roman"/>
                <w:sz w:val="24"/>
                <w:szCs w:val="24"/>
              </w:rPr>
              <w:t>19.pants</w:t>
            </w:r>
          </w:p>
          <w:p w:rsidR="00191B84" w:rsidRPr="00192293" w:rsidRDefault="00967497" w:rsidP="00A72F6D">
            <w:pPr>
              <w:spacing w:after="0"/>
              <w:jc w:val="both"/>
              <w:rPr>
                <w:rFonts w:ascii="Times New Roman" w:hAnsi="Times New Roman"/>
                <w:sz w:val="24"/>
                <w:szCs w:val="24"/>
                <w:lang w:eastAsia="lv-LV"/>
              </w:rPr>
            </w:pPr>
            <w:r>
              <w:rPr>
                <w:rFonts w:ascii="Times New Roman" w:hAnsi="Times New Roman"/>
                <w:sz w:val="24"/>
                <w:szCs w:val="24"/>
              </w:rPr>
              <w:t xml:space="preserve">(Alternatīvo ieguldījumu fondu un to pārvaldnieku likuma </w:t>
            </w:r>
            <w:r w:rsidR="00191B84" w:rsidRPr="00192293">
              <w:rPr>
                <w:rFonts w:ascii="Times New Roman" w:hAnsi="Times New Roman"/>
                <w:sz w:val="24"/>
                <w:szCs w:val="24"/>
                <w:lang w:eastAsia="lv-LV"/>
              </w:rPr>
              <w:t>66.panta piektā daļa</w:t>
            </w:r>
            <w:r>
              <w:rPr>
                <w:rFonts w:ascii="Times New Roman" w:hAnsi="Times New Roman"/>
                <w:sz w:val="24"/>
                <w:szCs w:val="24"/>
                <w:lang w:eastAsia="lv-LV"/>
              </w:rPr>
              <w:t>)</w:t>
            </w:r>
          </w:p>
        </w:tc>
        <w:tc>
          <w:tcPr>
            <w:tcW w:w="1297" w:type="pct"/>
          </w:tcPr>
          <w:p w:rsidR="00191B84" w:rsidRPr="00192293" w:rsidRDefault="00A72F6D"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ES tiesību akta vienība tiek ieviesta pilnībā.</w:t>
            </w:r>
          </w:p>
        </w:tc>
        <w:tc>
          <w:tcPr>
            <w:tcW w:w="1260" w:type="pct"/>
          </w:tcPr>
          <w:p w:rsidR="00191B84" w:rsidRPr="00192293" w:rsidRDefault="00191B84"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Projekts neparedz ieviest stingrākas prasības, kā to paredz direktīva.</w:t>
            </w:r>
          </w:p>
        </w:tc>
      </w:tr>
      <w:tr w:rsidR="00967497" w:rsidRPr="00192293" w:rsidTr="00967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trPr>
        <w:tc>
          <w:tcPr>
            <w:tcW w:w="5000" w:type="pct"/>
            <w:gridSpan w:val="5"/>
          </w:tcPr>
          <w:p w:rsidR="00967497" w:rsidRPr="002A1D98" w:rsidRDefault="00967497" w:rsidP="00191B84">
            <w:pPr>
              <w:spacing w:after="0"/>
              <w:jc w:val="both"/>
              <w:rPr>
                <w:rFonts w:ascii="Times New Roman" w:hAnsi="Times New Roman"/>
                <w:sz w:val="24"/>
                <w:szCs w:val="24"/>
                <w:lang w:eastAsia="lv-LV"/>
              </w:rPr>
            </w:pPr>
            <w:r w:rsidRPr="002A1D98">
              <w:rPr>
                <w:rFonts w:ascii="Times New Roman" w:hAnsi="Times New Roman"/>
                <w:sz w:val="24"/>
                <w:szCs w:val="24"/>
              </w:rPr>
              <w:t>Direktīva 2014/65/EK</w:t>
            </w:r>
          </w:p>
        </w:tc>
      </w:tr>
      <w:tr w:rsidR="00967497" w:rsidRPr="00192293" w:rsidTr="0019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trPr>
        <w:tc>
          <w:tcPr>
            <w:tcW w:w="1125" w:type="pct"/>
            <w:gridSpan w:val="2"/>
          </w:tcPr>
          <w:p w:rsidR="00967497" w:rsidRPr="00192293" w:rsidRDefault="00967497" w:rsidP="00191B84">
            <w:pPr>
              <w:spacing w:after="0"/>
              <w:jc w:val="both"/>
              <w:rPr>
                <w:rFonts w:ascii="Times New Roman" w:hAnsi="Times New Roman"/>
                <w:sz w:val="24"/>
                <w:szCs w:val="24"/>
                <w:lang w:eastAsia="lv-LV"/>
              </w:rPr>
            </w:pPr>
            <w:r>
              <w:rPr>
                <w:rFonts w:ascii="Times New Roman" w:hAnsi="Times New Roman"/>
                <w:sz w:val="24"/>
                <w:szCs w:val="24"/>
                <w:lang w:eastAsia="lv-LV"/>
              </w:rPr>
              <w:t>92.pants</w:t>
            </w:r>
          </w:p>
        </w:tc>
        <w:tc>
          <w:tcPr>
            <w:tcW w:w="1318" w:type="pct"/>
          </w:tcPr>
          <w:p w:rsidR="00967497" w:rsidRDefault="00967497" w:rsidP="00967497">
            <w:pPr>
              <w:spacing w:after="0"/>
              <w:jc w:val="both"/>
              <w:rPr>
                <w:rFonts w:ascii="Times New Roman" w:hAnsi="Times New Roman"/>
                <w:sz w:val="24"/>
                <w:szCs w:val="24"/>
              </w:rPr>
            </w:pPr>
            <w:r>
              <w:rPr>
                <w:rFonts w:ascii="Times New Roman" w:hAnsi="Times New Roman"/>
                <w:sz w:val="24"/>
                <w:szCs w:val="24"/>
              </w:rPr>
              <w:t>21.pants</w:t>
            </w:r>
          </w:p>
          <w:p w:rsidR="00967497" w:rsidRPr="00192293" w:rsidRDefault="00967497" w:rsidP="00967497">
            <w:pPr>
              <w:spacing w:after="0"/>
              <w:jc w:val="both"/>
              <w:rPr>
                <w:rFonts w:ascii="Times New Roman" w:hAnsi="Times New Roman"/>
                <w:sz w:val="24"/>
                <w:szCs w:val="24"/>
                <w:lang w:eastAsia="lv-LV"/>
              </w:rPr>
            </w:pPr>
            <w:r>
              <w:rPr>
                <w:rFonts w:ascii="Times New Roman" w:hAnsi="Times New Roman"/>
                <w:sz w:val="24"/>
                <w:szCs w:val="24"/>
              </w:rPr>
              <w:t xml:space="preserve">(Alternatīvo ieguldījumu fondu un to pārvaldnieku likuma </w:t>
            </w:r>
            <w:r>
              <w:rPr>
                <w:rFonts w:ascii="Times New Roman" w:hAnsi="Times New Roman"/>
                <w:sz w:val="24"/>
                <w:szCs w:val="24"/>
                <w:lang w:eastAsia="lv-LV"/>
              </w:rPr>
              <w:t>69.pants )</w:t>
            </w:r>
          </w:p>
        </w:tc>
        <w:tc>
          <w:tcPr>
            <w:tcW w:w="1297" w:type="pct"/>
          </w:tcPr>
          <w:p w:rsidR="00967497" w:rsidRPr="00192293" w:rsidRDefault="00967497"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ES tiesību akta vienība tiek ieviesta pilnībā.</w:t>
            </w:r>
          </w:p>
        </w:tc>
        <w:tc>
          <w:tcPr>
            <w:tcW w:w="1260" w:type="pct"/>
          </w:tcPr>
          <w:p w:rsidR="00967497" w:rsidRPr="00192293" w:rsidRDefault="00967497" w:rsidP="00191B84">
            <w:pPr>
              <w:spacing w:after="0"/>
              <w:jc w:val="both"/>
              <w:rPr>
                <w:rFonts w:ascii="Times New Roman" w:hAnsi="Times New Roman"/>
                <w:sz w:val="24"/>
                <w:szCs w:val="24"/>
                <w:lang w:eastAsia="lv-LV"/>
              </w:rPr>
            </w:pPr>
            <w:r w:rsidRPr="00192293">
              <w:rPr>
                <w:rFonts w:ascii="Times New Roman" w:hAnsi="Times New Roman"/>
                <w:sz w:val="24"/>
                <w:szCs w:val="24"/>
                <w:lang w:eastAsia="lv-LV"/>
              </w:rPr>
              <w:t>Projekts neparedz ieviest stingrākas prasības, kā to paredz direktīva.</w:t>
            </w:r>
          </w:p>
        </w:tc>
      </w:tr>
    </w:tbl>
    <w:p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pStyle w:val="naisnod"/>
              <w:spacing w:before="0" w:after="0" w:line="256" w:lineRule="auto"/>
              <w:rPr>
                <w:lang w:eastAsia="en-US"/>
              </w:rPr>
            </w:pPr>
            <w:r w:rsidRPr="00192293">
              <w:rPr>
                <w:lang w:eastAsia="en-US"/>
              </w:rPr>
              <w:t xml:space="preserve">2.tabula </w:t>
            </w:r>
          </w:p>
          <w:p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p>
        </w:tc>
      </w:tr>
    </w:tbl>
    <w:p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6730"/>
      </w:tblGrid>
      <w:tr w:rsidR="00192293" w:rsidRPr="00192293" w:rsidTr="0019229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rsidTr="00192293">
        <w:trPr>
          <w:trHeight w:val="540"/>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9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rsidR="00814AA1" w:rsidRDefault="00814AA1" w:rsidP="00BE359D">
            <w:pPr>
              <w:spacing w:after="0" w:line="240" w:lineRule="auto"/>
              <w:jc w:val="both"/>
              <w:rPr>
                <w:rFonts w:ascii="Times New Roman" w:hAnsi="Times New Roman"/>
                <w:sz w:val="24"/>
                <w:szCs w:val="24"/>
              </w:rPr>
            </w:pPr>
            <w:r w:rsidRPr="00192293">
              <w:rPr>
                <w:rFonts w:ascii="Times New Roman" w:hAnsi="Times New Roman"/>
                <w:sz w:val="24"/>
                <w:szCs w:val="24"/>
              </w:rPr>
              <w:t xml:space="preserve">Par likumprojekta izstrādes uzsākšanu tika informēta </w:t>
            </w:r>
            <w:r w:rsidR="00895DE8" w:rsidRPr="00192293">
              <w:rPr>
                <w:rFonts w:ascii="Times New Roman" w:hAnsi="Times New Roman"/>
                <w:sz w:val="24"/>
                <w:szCs w:val="24"/>
              </w:rPr>
              <w:t>Eiropas Komisija</w:t>
            </w:r>
            <w:r w:rsidR="0000587E">
              <w:rPr>
                <w:rFonts w:ascii="Times New Roman" w:hAnsi="Times New Roman"/>
                <w:sz w:val="24"/>
                <w:szCs w:val="24"/>
              </w:rPr>
              <w:t>,</w:t>
            </w:r>
            <w:r w:rsidR="00895DE8" w:rsidRPr="00192293">
              <w:rPr>
                <w:rFonts w:ascii="Times New Roman" w:hAnsi="Times New Roman"/>
                <w:sz w:val="24"/>
                <w:szCs w:val="24"/>
              </w:rPr>
              <w:t xml:space="preserve"> ņemot vērā no tās saņemto 2014.gada 26.novembra argumentēto atzinumu pārkāpuma procedūras lietā Nr.2013/0316</w:t>
            </w:r>
            <w:r w:rsidR="00895DE8" w:rsidRPr="00192293">
              <w:t xml:space="preserve"> </w:t>
            </w:r>
            <w:r w:rsidR="00895DE8" w:rsidRPr="00192293">
              <w:rPr>
                <w:rFonts w:ascii="Times New Roman" w:hAnsi="Times New Roman"/>
                <w:sz w:val="24"/>
                <w:szCs w:val="24"/>
              </w:rPr>
              <w:t>pret Latvijas Republiku saistībā ar Eiropas Parlamenta un Padomes 2011.gada 8.jūnija Direktīvu 2011/61/ES par alternatīvo ieguldījumu fondu pārvaldniekiem un par grozījumiem Direktīvā 2003/41/EK, Direktīvā 2009/65/EK, Regulā (EK) Nr. 1060/20</w:t>
            </w:r>
            <w:r w:rsidR="00BE359D">
              <w:rPr>
                <w:rFonts w:ascii="Times New Roman" w:hAnsi="Times New Roman"/>
                <w:sz w:val="24"/>
                <w:szCs w:val="24"/>
              </w:rPr>
              <w:t>09 un Regulā (ES) Nr. 1095/2010.</w:t>
            </w:r>
            <w:r w:rsidR="001E2E73">
              <w:rPr>
                <w:rFonts w:ascii="Times New Roman" w:hAnsi="Times New Roman"/>
                <w:sz w:val="24"/>
                <w:szCs w:val="24"/>
              </w:rPr>
              <w:t xml:space="preserve"> </w:t>
            </w:r>
          </w:p>
          <w:p w:rsidR="002070C9" w:rsidRPr="00192293" w:rsidRDefault="002070C9" w:rsidP="0068110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Finanšu ministrijas </w:t>
            </w:r>
            <w:r w:rsidR="0000587E">
              <w:rPr>
                <w:rFonts w:ascii="Times New Roman" w:hAnsi="Times New Roman"/>
                <w:sz w:val="24"/>
                <w:szCs w:val="24"/>
              </w:rPr>
              <w:t>tīmekļa vietnē</w:t>
            </w:r>
            <w:r>
              <w:rPr>
                <w:rFonts w:ascii="Times New Roman" w:hAnsi="Times New Roman"/>
                <w:sz w:val="24"/>
                <w:szCs w:val="24"/>
              </w:rPr>
              <w:t xml:space="preserve"> tiks publicēta informācija par plānotajiem groz</w:t>
            </w:r>
            <w:r w:rsidR="009200C4">
              <w:rPr>
                <w:rFonts w:ascii="Times New Roman" w:hAnsi="Times New Roman"/>
                <w:sz w:val="24"/>
                <w:szCs w:val="24"/>
              </w:rPr>
              <w:t>ījumiem Alternatīvo ieguldījumu fondu un to pārvaldnieku likumā, kur tiks norādīts plānotais termiņš likumprojekta iesniegšanai Ministru kabinetā, kā arī atbildīgā amatpersona</w:t>
            </w:r>
            <w:r w:rsidR="00540EE9">
              <w:rPr>
                <w:rFonts w:ascii="Times New Roman" w:hAnsi="Times New Roman"/>
                <w:sz w:val="24"/>
                <w:szCs w:val="24"/>
              </w:rPr>
              <w:t>, tādējādi sabiedrība tiks informēta par projekta virzību.</w:t>
            </w:r>
          </w:p>
        </w:tc>
      </w:tr>
      <w:tr w:rsidR="00192293" w:rsidRPr="00192293" w:rsidTr="00192293">
        <w:trPr>
          <w:trHeight w:val="330"/>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29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rsidTr="00192293">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29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rsidTr="00192293">
        <w:trPr>
          <w:trHeight w:val="326"/>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49"/>
        <w:gridCol w:w="6068"/>
      </w:tblGrid>
      <w:tr w:rsidR="00192293" w:rsidRPr="00192293" w:rsidTr="00192293">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rsidTr="00192293">
        <w:trPr>
          <w:trHeight w:val="420"/>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jc w:val="both"/>
              <w:rPr>
                <w:rFonts w:ascii="Times New Roman" w:eastAsia="Times New Roman" w:hAnsi="Times New Roman"/>
                <w:sz w:val="24"/>
                <w:szCs w:val="24"/>
                <w:lang w:eastAsia="lv-LV"/>
              </w:rPr>
            </w:pPr>
            <w:r w:rsidRPr="00192293">
              <w:rPr>
                <w:rFonts w:ascii="Times New Roman" w:hAnsi="Times New Roman"/>
                <w:sz w:val="24"/>
                <w:szCs w:val="24"/>
              </w:rPr>
              <w:t>Likumprojekta prasību izpildi nodrošinās Finanšu un kapitāla tirgus komisija.</w:t>
            </w:r>
          </w:p>
        </w:tc>
      </w:tr>
      <w:tr w:rsidR="00192293" w:rsidRPr="00192293" w:rsidTr="00192293">
        <w:trPr>
          <w:trHeight w:val="450"/>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3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izpilde neietekmēs pārvaldes funkcijas vai institucionālo struktūru.</w:t>
            </w:r>
          </w:p>
        </w:tc>
      </w:tr>
      <w:tr w:rsidR="00192293" w:rsidRPr="00192293" w:rsidTr="00192293">
        <w:trPr>
          <w:trHeight w:val="390"/>
        </w:trPr>
        <w:tc>
          <w:tcPr>
            <w:tcW w:w="21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rsidR="00814AA1" w:rsidRDefault="00814AA1" w:rsidP="00814AA1">
      <w:pPr>
        <w:spacing w:after="0" w:line="240" w:lineRule="auto"/>
        <w:rPr>
          <w:rFonts w:ascii="Times New Roman" w:hAnsi="Times New Roman"/>
          <w:sz w:val="24"/>
          <w:szCs w:val="24"/>
        </w:rPr>
      </w:pPr>
    </w:p>
    <w:p w:rsidR="00862516" w:rsidRPr="00192293" w:rsidRDefault="00862516" w:rsidP="00814AA1">
      <w:pPr>
        <w:spacing w:after="0" w:line="240" w:lineRule="auto"/>
        <w:rPr>
          <w:rFonts w:ascii="Times New Roman" w:hAnsi="Times New Roman"/>
          <w:sz w:val="24"/>
          <w:szCs w:val="24"/>
        </w:rPr>
      </w:pPr>
    </w:p>
    <w:p w:rsidR="00814AA1" w:rsidRPr="00192293" w:rsidRDefault="00814AA1" w:rsidP="00814AA1">
      <w:pPr>
        <w:pStyle w:val="NormalWeb"/>
        <w:spacing w:before="0" w:beforeAutospacing="0" w:after="0" w:afterAutospacing="0"/>
        <w:ind w:left="540"/>
      </w:pPr>
      <w:r w:rsidRPr="00192293">
        <w:t>Finanšu ministrs</w:t>
      </w:r>
      <w:r w:rsidRPr="00192293">
        <w:tab/>
      </w:r>
      <w:r w:rsidRPr="00192293">
        <w:tab/>
      </w:r>
      <w:r w:rsidRPr="00192293">
        <w:tab/>
      </w:r>
      <w:r w:rsidRPr="00192293">
        <w:tab/>
      </w:r>
      <w:r w:rsidRPr="00192293">
        <w:tab/>
      </w:r>
      <w:r w:rsidRPr="00192293">
        <w:tab/>
      </w:r>
      <w:r w:rsidRPr="00192293">
        <w:tab/>
      </w:r>
      <w:r w:rsidRPr="00192293">
        <w:tab/>
      </w:r>
      <w:proofErr w:type="spellStart"/>
      <w:r w:rsidR="00C36711" w:rsidRPr="00192293">
        <w:t>J</w:t>
      </w:r>
      <w:r w:rsidR="00E6754D" w:rsidRPr="00192293">
        <w:t>.Reirs</w:t>
      </w:r>
      <w:proofErr w:type="spellEnd"/>
      <w:r w:rsidR="00E6754D" w:rsidRPr="00192293">
        <w:t xml:space="preserve"> </w:t>
      </w:r>
    </w:p>
    <w:p w:rsidR="00814AA1" w:rsidRPr="00192293" w:rsidRDefault="00814AA1" w:rsidP="00814AA1">
      <w:pPr>
        <w:spacing w:after="0"/>
        <w:rPr>
          <w:rFonts w:ascii="Times New Roman" w:hAnsi="Times New Roman"/>
          <w:sz w:val="24"/>
          <w:szCs w:val="24"/>
        </w:rPr>
      </w:pPr>
    </w:p>
    <w:p w:rsidR="00814AA1" w:rsidRPr="00192293" w:rsidRDefault="00377D22" w:rsidP="00814AA1">
      <w:pPr>
        <w:spacing w:after="0" w:line="240" w:lineRule="auto"/>
        <w:rPr>
          <w:rFonts w:ascii="Times New Roman" w:hAnsi="Times New Roman"/>
          <w:sz w:val="20"/>
          <w:szCs w:val="20"/>
        </w:rPr>
      </w:pPr>
      <w:r>
        <w:rPr>
          <w:rFonts w:ascii="Times New Roman" w:hAnsi="Times New Roman"/>
          <w:sz w:val="20"/>
          <w:szCs w:val="20"/>
        </w:rPr>
        <w:t>10</w:t>
      </w:r>
      <w:r w:rsidR="00192293" w:rsidRPr="00192293">
        <w:rPr>
          <w:rFonts w:ascii="Times New Roman" w:hAnsi="Times New Roman"/>
          <w:sz w:val="20"/>
          <w:szCs w:val="20"/>
        </w:rPr>
        <w:t>.02.2015</w:t>
      </w:r>
      <w:r w:rsidR="00814AA1" w:rsidRPr="00192293">
        <w:rPr>
          <w:rFonts w:ascii="Times New Roman" w:hAnsi="Times New Roman"/>
          <w:sz w:val="20"/>
          <w:szCs w:val="20"/>
        </w:rPr>
        <w:t xml:space="preserve"> 12.00</w:t>
      </w:r>
    </w:p>
    <w:p w:rsidR="00814AA1" w:rsidRPr="00192293" w:rsidRDefault="00862516" w:rsidP="00814AA1">
      <w:pPr>
        <w:spacing w:after="0" w:line="240" w:lineRule="auto"/>
        <w:rPr>
          <w:rFonts w:ascii="Times New Roman" w:hAnsi="Times New Roman"/>
          <w:sz w:val="20"/>
          <w:szCs w:val="20"/>
        </w:rPr>
      </w:pPr>
      <w:r>
        <w:rPr>
          <w:rFonts w:ascii="Times New Roman" w:hAnsi="Times New Roman"/>
          <w:sz w:val="20"/>
          <w:szCs w:val="20"/>
        </w:rPr>
        <w:t>17</w:t>
      </w:r>
      <w:r w:rsidR="00377D22">
        <w:rPr>
          <w:rFonts w:ascii="Times New Roman" w:hAnsi="Times New Roman"/>
          <w:sz w:val="20"/>
          <w:szCs w:val="20"/>
        </w:rPr>
        <w:t>64</w:t>
      </w:r>
    </w:p>
    <w:p w:rsidR="00814AA1" w:rsidRPr="00192293" w:rsidRDefault="00192293" w:rsidP="00814AA1">
      <w:pPr>
        <w:spacing w:after="0" w:line="240" w:lineRule="auto"/>
        <w:rPr>
          <w:rFonts w:ascii="Times New Roman" w:hAnsi="Times New Roman"/>
          <w:sz w:val="20"/>
          <w:szCs w:val="20"/>
        </w:rPr>
      </w:pPr>
      <w:proofErr w:type="spellStart"/>
      <w:r w:rsidRPr="00192293">
        <w:rPr>
          <w:rFonts w:ascii="Times New Roman" w:hAnsi="Times New Roman"/>
          <w:sz w:val="20"/>
          <w:szCs w:val="20"/>
        </w:rPr>
        <w:t>A.Brīze</w:t>
      </w:r>
      <w:proofErr w:type="spellEnd"/>
      <w:r w:rsidR="00814AA1" w:rsidRPr="00192293">
        <w:rPr>
          <w:rFonts w:ascii="Times New Roman" w:hAnsi="Times New Roman"/>
          <w:sz w:val="20"/>
          <w:szCs w:val="20"/>
        </w:rPr>
        <w:t>; 67</w:t>
      </w:r>
      <w:r w:rsidRPr="00192293">
        <w:rPr>
          <w:rFonts w:ascii="Times New Roman" w:hAnsi="Times New Roman"/>
          <w:sz w:val="20"/>
          <w:szCs w:val="20"/>
        </w:rPr>
        <w:t>095441</w:t>
      </w:r>
    </w:p>
    <w:p w:rsidR="00814AA1" w:rsidRPr="00192293" w:rsidRDefault="00192293" w:rsidP="00814AA1">
      <w:pPr>
        <w:spacing w:after="0" w:line="240" w:lineRule="auto"/>
        <w:rPr>
          <w:rFonts w:ascii="Times New Roman" w:hAnsi="Times New Roman"/>
          <w:sz w:val="20"/>
          <w:szCs w:val="20"/>
        </w:rPr>
      </w:pPr>
      <w:r w:rsidRPr="00192293">
        <w:rPr>
          <w:rFonts w:ascii="Times New Roman" w:hAnsi="Times New Roman"/>
          <w:sz w:val="20"/>
          <w:szCs w:val="20"/>
        </w:rPr>
        <w:t>anete.brize@fm.gov.lv</w:t>
      </w:r>
    </w:p>
    <w:p w:rsidR="005C653A" w:rsidRPr="00192293" w:rsidRDefault="005C653A"/>
    <w:sectPr w:rsidR="005C653A" w:rsidRPr="00192293" w:rsidSect="003F614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2C" w:rsidRDefault="00F4502C" w:rsidP="00593BC7">
      <w:pPr>
        <w:spacing w:after="0" w:line="240" w:lineRule="auto"/>
      </w:pPr>
      <w:r>
        <w:separator/>
      </w:r>
    </w:p>
  </w:endnote>
  <w:endnote w:type="continuationSeparator" w:id="0">
    <w:p w:rsidR="00F4502C" w:rsidRDefault="00F4502C"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BA6" w:rsidRPr="003F6148" w:rsidRDefault="00992624">
    <w:pPr>
      <w:pStyle w:val="Footer"/>
      <w:rPr>
        <w:rFonts w:ascii="Times New Roman" w:hAnsi="Times New Roman"/>
        <w:sz w:val="20"/>
        <w:szCs w:val="20"/>
      </w:rPr>
    </w:pPr>
    <w:r>
      <w:rPr>
        <w:rFonts w:ascii="Times New Roman" w:hAnsi="Times New Roman"/>
        <w:sz w:val="20"/>
        <w:szCs w:val="20"/>
      </w:rPr>
      <w:t>FMAnot_1003</w:t>
    </w:r>
    <w:r w:rsidR="00C77BA6" w:rsidRPr="003F6148">
      <w:rPr>
        <w:rFonts w:ascii="Times New Roman" w:hAnsi="Times New Roman"/>
        <w:sz w:val="20"/>
        <w:szCs w:val="20"/>
      </w:rPr>
      <w:t>15</w:t>
    </w:r>
    <w:r w:rsidR="00C77BA6" w:rsidRPr="003F6148">
      <w:rPr>
        <w:rFonts w:ascii="Times New Roman" w:hAnsi="Times New Roman"/>
        <w:sz w:val="20"/>
        <w:szCs w:val="20"/>
      </w:rPr>
      <w:softHyphen/>
      <w:t>_AIFPL; likumprojekts “Grozījumi Alternatīvo ieguldījumu fondu un to pārvaldnieku likumā”</w:t>
    </w:r>
  </w:p>
  <w:p w:rsidR="00C77BA6" w:rsidRDefault="00C77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24" w:rsidRDefault="00992624">
    <w:pPr>
      <w:pStyle w:val="Footer"/>
    </w:pPr>
    <w:r>
      <w:t>FMAnot_1003</w:t>
    </w:r>
    <w:r w:rsidRPr="00992624">
      <w:t>15_AIFPL; likumprojekts “Grozījumi Alternatīvo ieguldījumu fondu un to pārvaldnieku likumā”</w:t>
    </w:r>
  </w:p>
  <w:p w:rsidR="00C77BA6" w:rsidRPr="003F6148" w:rsidRDefault="00C77BA6">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2C" w:rsidRDefault="00F4502C" w:rsidP="00593BC7">
      <w:pPr>
        <w:spacing w:after="0" w:line="240" w:lineRule="auto"/>
      </w:pPr>
      <w:r>
        <w:separator/>
      </w:r>
    </w:p>
  </w:footnote>
  <w:footnote w:type="continuationSeparator" w:id="0">
    <w:p w:rsidR="00F4502C" w:rsidRDefault="00F4502C"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7249"/>
      <w:docPartObj>
        <w:docPartGallery w:val="Page Numbers (Top of Page)"/>
        <w:docPartUnique/>
      </w:docPartObj>
    </w:sdtPr>
    <w:sdtEndPr>
      <w:rPr>
        <w:noProof/>
      </w:rPr>
    </w:sdtEndPr>
    <w:sdtContent>
      <w:p w:rsidR="00C77BA6" w:rsidRDefault="00697E2B">
        <w:pPr>
          <w:pStyle w:val="Header"/>
          <w:jc w:val="center"/>
        </w:pPr>
        <w:r>
          <w:fldChar w:fldCharType="begin"/>
        </w:r>
        <w:r>
          <w:instrText xml:space="preserve"> PAGE   \* MERGEFORMAT </w:instrText>
        </w:r>
        <w:r>
          <w:fldChar w:fldCharType="separate"/>
        </w:r>
        <w:r w:rsidR="004D0FDA">
          <w:rPr>
            <w:noProof/>
          </w:rPr>
          <w:t>8</w:t>
        </w:r>
        <w:r>
          <w:rPr>
            <w:noProof/>
          </w:rPr>
          <w:fldChar w:fldCharType="end"/>
        </w:r>
      </w:p>
    </w:sdtContent>
  </w:sdt>
  <w:p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C7F63"/>
    <w:rsid w:val="000F13EC"/>
    <w:rsid w:val="000F1C47"/>
    <w:rsid w:val="00135EA9"/>
    <w:rsid w:val="00191B84"/>
    <w:rsid w:val="00192293"/>
    <w:rsid w:val="001A384A"/>
    <w:rsid w:val="001E25B3"/>
    <w:rsid w:val="001E2E73"/>
    <w:rsid w:val="002070C9"/>
    <w:rsid w:val="00255300"/>
    <w:rsid w:val="0027083C"/>
    <w:rsid w:val="002A1D98"/>
    <w:rsid w:val="002E3528"/>
    <w:rsid w:val="00302605"/>
    <w:rsid w:val="00327FE5"/>
    <w:rsid w:val="00333F59"/>
    <w:rsid w:val="003512F6"/>
    <w:rsid w:val="00377D22"/>
    <w:rsid w:val="00386E14"/>
    <w:rsid w:val="003A7FD6"/>
    <w:rsid w:val="003F6148"/>
    <w:rsid w:val="004330CE"/>
    <w:rsid w:val="00434808"/>
    <w:rsid w:val="004415F7"/>
    <w:rsid w:val="00473140"/>
    <w:rsid w:val="0047483A"/>
    <w:rsid w:val="004B4651"/>
    <w:rsid w:val="004B4B9E"/>
    <w:rsid w:val="004D0FDA"/>
    <w:rsid w:val="004E6EA2"/>
    <w:rsid w:val="004F418B"/>
    <w:rsid w:val="00540EE9"/>
    <w:rsid w:val="00564A06"/>
    <w:rsid w:val="005665C9"/>
    <w:rsid w:val="00570EFD"/>
    <w:rsid w:val="00574905"/>
    <w:rsid w:val="00593BC7"/>
    <w:rsid w:val="005C50A8"/>
    <w:rsid w:val="005C653A"/>
    <w:rsid w:val="005D33C9"/>
    <w:rsid w:val="005F62FF"/>
    <w:rsid w:val="00603BB6"/>
    <w:rsid w:val="00635078"/>
    <w:rsid w:val="006425FF"/>
    <w:rsid w:val="00655B7A"/>
    <w:rsid w:val="006622DE"/>
    <w:rsid w:val="006760A1"/>
    <w:rsid w:val="0068110C"/>
    <w:rsid w:val="00697E2B"/>
    <w:rsid w:val="006B202E"/>
    <w:rsid w:val="006B5EB9"/>
    <w:rsid w:val="006E0D2C"/>
    <w:rsid w:val="00745E02"/>
    <w:rsid w:val="00773705"/>
    <w:rsid w:val="00780CB3"/>
    <w:rsid w:val="00797060"/>
    <w:rsid w:val="007C7778"/>
    <w:rsid w:val="007E1938"/>
    <w:rsid w:val="007F79C6"/>
    <w:rsid w:val="00806FAF"/>
    <w:rsid w:val="00814AA1"/>
    <w:rsid w:val="00862516"/>
    <w:rsid w:val="00895247"/>
    <w:rsid w:val="00895DE8"/>
    <w:rsid w:val="008A1D8C"/>
    <w:rsid w:val="008A26EC"/>
    <w:rsid w:val="009200C4"/>
    <w:rsid w:val="00967497"/>
    <w:rsid w:val="00983689"/>
    <w:rsid w:val="00992624"/>
    <w:rsid w:val="009B173A"/>
    <w:rsid w:val="009D3D4B"/>
    <w:rsid w:val="009E74DE"/>
    <w:rsid w:val="00A72F6D"/>
    <w:rsid w:val="00AE1E60"/>
    <w:rsid w:val="00B243A9"/>
    <w:rsid w:val="00B42E4D"/>
    <w:rsid w:val="00B6198D"/>
    <w:rsid w:val="00BC1D7D"/>
    <w:rsid w:val="00BE359D"/>
    <w:rsid w:val="00BE55D3"/>
    <w:rsid w:val="00C317E7"/>
    <w:rsid w:val="00C36711"/>
    <w:rsid w:val="00C51F93"/>
    <w:rsid w:val="00C77BA6"/>
    <w:rsid w:val="00CD0D7F"/>
    <w:rsid w:val="00CF3756"/>
    <w:rsid w:val="00D203D2"/>
    <w:rsid w:val="00D51C98"/>
    <w:rsid w:val="00D716D4"/>
    <w:rsid w:val="00DF31ED"/>
    <w:rsid w:val="00E35A47"/>
    <w:rsid w:val="00E54888"/>
    <w:rsid w:val="00E6754D"/>
    <w:rsid w:val="00E91669"/>
    <w:rsid w:val="00EC3CB8"/>
    <w:rsid w:val="00F4502C"/>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E5D9-8E60-4B63-8ABA-9340DC6F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10964</Words>
  <Characters>6251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Anete Brīze</dc:creator>
  <dc:description>67095441, anete.brize@fm.gov.lv</dc:description>
  <cp:lastModifiedBy>Liene Strēlniece</cp:lastModifiedBy>
  <cp:revision>4</cp:revision>
  <dcterms:created xsi:type="dcterms:W3CDTF">2015-03-23T07:02:00Z</dcterms:created>
  <dcterms:modified xsi:type="dcterms:W3CDTF">2015-03-24T14:01:00Z</dcterms:modified>
</cp:coreProperties>
</file>