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E5" w:rsidRPr="00225B51" w:rsidRDefault="006F5CE5" w:rsidP="00CA17EB">
      <w:pPr>
        <w:jc w:val="center"/>
        <w:rPr>
          <w:rFonts w:cs="Times New Roman"/>
          <w:b/>
          <w:szCs w:val="24"/>
        </w:rPr>
      </w:pPr>
      <w:r w:rsidRPr="00225B51">
        <w:rPr>
          <w:rFonts w:cs="Times New Roman"/>
          <w:b/>
          <w:szCs w:val="24"/>
        </w:rPr>
        <w:t>Likumprojekta</w:t>
      </w:r>
    </w:p>
    <w:p w:rsidR="006F5CE5" w:rsidRPr="00225B51" w:rsidRDefault="00111AFE" w:rsidP="00CA17EB">
      <w:pPr>
        <w:jc w:val="center"/>
        <w:rPr>
          <w:rFonts w:cs="Times New Roman"/>
          <w:b/>
          <w:szCs w:val="24"/>
        </w:rPr>
      </w:pPr>
      <w:r w:rsidRPr="00225B51">
        <w:rPr>
          <w:rFonts w:cs="Times New Roman"/>
          <w:b/>
          <w:bCs/>
          <w:szCs w:val="24"/>
        </w:rPr>
        <w:t>„Grozījum</w:t>
      </w:r>
      <w:r w:rsidR="008D6C14" w:rsidRPr="00225B51">
        <w:rPr>
          <w:rFonts w:cs="Times New Roman"/>
          <w:b/>
          <w:bCs/>
          <w:szCs w:val="24"/>
        </w:rPr>
        <w:t>i</w:t>
      </w:r>
      <w:r w:rsidR="006F5CE5" w:rsidRPr="00225B51">
        <w:rPr>
          <w:rFonts w:cs="Times New Roman"/>
          <w:b/>
          <w:bCs/>
          <w:szCs w:val="24"/>
        </w:rPr>
        <w:t xml:space="preserve"> Noziedzīgi iegūtu līdzekļu legalizācijas un terorisma finansēšanas novēršanas likumā</w:t>
      </w:r>
      <w:r w:rsidR="006F5CE5" w:rsidRPr="00225B51">
        <w:rPr>
          <w:rFonts w:cs="Times New Roman"/>
          <w:b/>
          <w:szCs w:val="24"/>
        </w:rPr>
        <w:t>"</w:t>
      </w:r>
    </w:p>
    <w:p w:rsidR="008E5BD3" w:rsidRPr="00BB56CE" w:rsidRDefault="006F5CE5" w:rsidP="00BB56CE">
      <w:pPr>
        <w:jc w:val="center"/>
        <w:rPr>
          <w:rFonts w:cs="Times New Roman"/>
          <w:b/>
          <w:szCs w:val="24"/>
        </w:rPr>
      </w:pPr>
      <w:r w:rsidRPr="00225B51">
        <w:rPr>
          <w:rFonts w:cs="Times New Roman"/>
          <w:b/>
          <w:szCs w:val="24"/>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1"/>
        <w:gridCol w:w="1569"/>
        <w:gridCol w:w="6443"/>
      </w:tblGrid>
      <w:tr w:rsidR="00225B51" w:rsidRPr="00225B51" w:rsidTr="006F5CE5">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F5CE5" w:rsidRPr="00225B51" w:rsidRDefault="006F5CE5" w:rsidP="006F5CE5">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I. Tiesību akta projekta izstrādes nepieciešamība</w:t>
            </w:r>
          </w:p>
        </w:tc>
      </w:tr>
      <w:tr w:rsidR="00225B51" w:rsidRPr="00225B51" w:rsidTr="00433BC1">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rsidR="006F5CE5" w:rsidRPr="0036214C" w:rsidRDefault="00111AFE" w:rsidP="00111AFE">
            <w:pPr>
              <w:autoSpaceDE w:val="0"/>
              <w:autoSpaceDN w:val="0"/>
              <w:adjustRightInd w:val="0"/>
              <w:jc w:val="both"/>
              <w:rPr>
                <w:rFonts w:cs="Times New Roman"/>
                <w:szCs w:val="24"/>
              </w:rPr>
            </w:pPr>
            <w:r w:rsidRPr="00225B51">
              <w:rPr>
                <w:rFonts w:cs="Times New Roman"/>
                <w:bCs/>
                <w:szCs w:val="24"/>
              </w:rPr>
              <w:t xml:space="preserve">Likumprojekts sagatavots atbilstoši </w:t>
            </w:r>
            <w:r w:rsidR="006F5CE5" w:rsidRPr="00225B51">
              <w:rPr>
                <w:rFonts w:cs="Times New Roman"/>
                <w:bCs/>
                <w:szCs w:val="24"/>
              </w:rPr>
              <w:t xml:space="preserve">Latvijas Republikas Ministru Kabineta </w:t>
            </w:r>
            <w:r w:rsidRPr="00225B51">
              <w:rPr>
                <w:rFonts w:cs="Times New Roman"/>
                <w:szCs w:val="24"/>
              </w:rPr>
              <w:t xml:space="preserve">2014.gada 16.septembra </w:t>
            </w:r>
            <w:r w:rsidR="006F5CE5" w:rsidRPr="00225B51">
              <w:rPr>
                <w:rFonts w:cs="Times New Roman"/>
                <w:bCs/>
                <w:szCs w:val="24"/>
              </w:rPr>
              <w:t>sēdes protokola</w:t>
            </w:r>
            <w:r w:rsidR="006F5CE5" w:rsidRPr="00225B51">
              <w:rPr>
                <w:rFonts w:cs="Times New Roman"/>
                <w:szCs w:val="24"/>
              </w:rPr>
              <w:t xml:space="preserve"> Nr.49 64</w:t>
            </w:r>
            <w:r w:rsidRPr="00225B51">
              <w:rPr>
                <w:rFonts w:cs="Times New Roman"/>
                <w:szCs w:val="24"/>
              </w:rPr>
              <w:t>.</w:t>
            </w:r>
            <w:r w:rsidR="006F5CE5" w:rsidRPr="00225B51">
              <w:rPr>
                <w:rFonts w:cs="Times New Roman"/>
                <w:szCs w:val="24"/>
              </w:rPr>
              <w:t>§</w:t>
            </w:r>
            <w:r w:rsidRPr="00225B51">
              <w:rPr>
                <w:rFonts w:cs="Times New Roman"/>
                <w:bCs/>
                <w:szCs w:val="24"/>
              </w:rPr>
              <w:t xml:space="preserve"> </w:t>
            </w:r>
            <w:r w:rsidR="00C00F47" w:rsidRPr="00225B51">
              <w:rPr>
                <w:rFonts w:cs="Times New Roman"/>
                <w:bCs/>
                <w:szCs w:val="24"/>
              </w:rPr>
              <w:t>“</w:t>
            </w:r>
            <w:r w:rsidRPr="00225B51">
              <w:rPr>
                <w:szCs w:val="24"/>
              </w:rPr>
              <w:t xml:space="preserve">Informatīvais ziņojums </w:t>
            </w:r>
            <w:r w:rsidRPr="00225B51">
              <w:rPr>
                <w:rFonts w:cs="Times New Roman"/>
                <w:szCs w:val="24"/>
              </w:rPr>
              <w:t>"Par priekšlikumiem noziedzīgi iegūtu līdzekļu legalizācijas un terorisma finansēšanas risku novērtēšanas institucionālajam modelim”</w:t>
            </w:r>
            <w:r w:rsidR="00C00F47" w:rsidRPr="00225B51">
              <w:rPr>
                <w:rFonts w:cs="Times New Roman"/>
                <w:szCs w:val="24"/>
              </w:rPr>
              <w:t>”</w:t>
            </w:r>
            <w:r w:rsidRPr="00225B51">
              <w:rPr>
                <w:rFonts w:cs="Times New Roman"/>
                <w:szCs w:val="24"/>
              </w:rPr>
              <w:t xml:space="preserve"> 8. punktā dotajam uzdevumam.</w:t>
            </w:r>
          </w:p>
        </w:tc>
      </w:tr>
      <w:tr w:rsidR="00225B51" w:rsidRPr="00225B51" w:rsidTr="00433BC1">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hideMark/>
          </w:tcPr>
          <w:p w:rsidR="00787361" w:rsidRPr="00225B51" w:rsidRDefault="00787361" w:rsidP="00787361">
            <w:pPr>
              <w:widowControl w:val="0"/>
              <w:jc w:val="both"/>
              <w:outlineLvl w:val="2"/>
              <w:rPr>
                <w:rFonts w:eastAsia="Times New Roman" w:cs="Times New Roman"/>
                <w:szCs w:val="24"/>
              </w:rPr>
            </w:pPr>
            <w:r w:rsidRPr="00225B51">
              <w:rPr>
                <w:rFonts w:eastAsia="Times New Roman" w:cs="Times New Roman"/>
                <w:szCs w:val="24"/>
              </w:rPr>
              <w:t xml:space="preserve">Saskaņā ar </w:t>
            </w:r>
            <w:r w:rsidRPr="00225B51">
              <w:rPr>
                <w:rFonts w:cs="Times New Roman"/>
                <w:bCs/>
                <w:szCs w:val="24"/>
              </w:rPr>
              <w:t xml:space="preserve">Latvijas Republikas </w:t>
            </w:r>
            <w:r w:rsidRPr="00225B51">
              <w:rPr>
                <w:szCs w:val="24"/>
              </w:rPr>
              <w:t xml:space="preserve">Ministru kabineta 2014.gada 16.septembra sēdes </w:t>
            </w:r>
            <w:proofErr w:type="spellStart"/>
            <w:r w:rsidRPr="00225B51">
              <w:rPr>
                <w:szCs w:val="24"/>
              </w:rPr>
              <w:t>protokollēmuma</w:t>
            </w:r>
            <w:proofErr w:type="spellEnd"/>
            <w:r w:rsidRPr="00225B51">
              <w:rPr>
                <w:szCs w:val="24"/>
              </w:rPr>
              <w:t xml:space="preserve"> (prot. Nr.49 64.§) „Informatīvais ziņojums </w:t>
            </w:r>
            <w:r w:rsidRPr="00225B51">
              <w:rPr>
                <w:rFonts w:cs="Times New Roman"/>
                <w:szCs w:val="24"/>
              </w:rPr>
              <w:t>"Par priekšlikumiem noziedzīgi iegūtu līdzekļu legalizācijas un terorisma finansēšanas risku novērtēšanas institucionālajam modelim””</w:t>
            </w:r>
            <w:r w:rsidR="00DE0145">
              <w:rPr>
                <w:szCs w:val="24"/>
              </w:rPr>
              <w:t xml:space="preserve"> </w:t>
            </w:r>
            <w:r w:rsidRPr="00225B51">
              <w:rPr>
                <w:szCs w:val="24"/>
              </w:rPr>
              <w:t>(</w:t>
            </w:r>
            <w:r w:rsidR="00FB1705" w:rsidRPr="00225B51">
              <w:rPr>
                <w:szCs w:val="24"/>
              </w:rPr>
              <w:t>turpmāk</w:t>
            </w:r>
            <w:r w:rsidRPr="00225B51">
              <w:rPr>
                <w:szCs w:val="24"/>
              </w:rPr>
              <w:t xml:space="preserve"> – </w:t>
            </w:r>
            <w:proofErr w:type="spellStart"/>
            <w:r w:rsidRPr="00225B51">
              <w:rPr>
                <w:szCs w:val="24"/>
              </w:rPr>
              <w:t>Protokollēmums</w:t>
            </w:r>
            <w:proofErr w:type="spellEnd"/>
            <w:r w:rsidRPr="00225B51">
              <w:rPr>
                <w:szCs w:val="24"/>
              </w:rPr>
              <w:t>)</w:t>
            </w:r>
            <w:r w:rsidRPr="00225B51">
              <w:rPr>
                <w:rFonts w:eastAsia="Times New Roman" w:cs="Times New Roman"/>
                <w:szCs w:val="24"/>
              </w:rPr>
              <w:t xml:space="preserve"> 8.punktu </w:t>
            </w:r>
            <w:r w:rsidRPr="00225B51">
              <w:rPr>
                <w:rFonts w:eastAsia="Calibri" w:cs="Times New Roman"/>
                <w:szCs w:val="24"/>
              </w:rPr>
              <w:t xml:space="preserve">Finanšu ministrijai tika uzdots </w:t>
            </w:r>
            <w:r w:rsidRPr="00225B51">
              <w:rPr>
                <w:rFonts w:eastAsia="Times New Roman" w:cs="Times New Roman"/>
                <w:szCs w:val="24"/>
              </w:rPr>
              <w:t xml:space="preserve">izstrādāt un noteiktajā kārtībā </w:t>
            </w:r>
            <w:r w:rsidRPr="00225B51">
              <w:rPr>
                <w:rFonts w:cs="Times New Roman"/>
                <w:szCs w:val="24"/>
              </w:rPr>
              <w:t xml:space="preserve">Ministru kabinetā </w:t>
            </w:r>
            <w:r w:rsidRPr="00225B51">
              <w:rPr>
                <w:rFonts w:eastAsia="Times New Roman" w:cs="Times New Roman"/>
                <w:szCs w:val="24"/>
              </w:rPr>
              <w:t xml:space="preserve"> </w:t>
            </w:r>
            <w:r w:rsidRPr="00225B51">
              <w:rPr>
                <w:rFonts w:eastAsia="Calibri" w:cs="Times New Roman"/>
                <w:szCs w:val="24"/>
              </w:rPr>
              <w:t xml:space="preserve">iesniegt izskatīšanai likumprojektu </w:t>
            </w:r>
            <w:r w:rsidRPr="00225B51">
              <w:rPr>
                <w:rFonts w:eastAsia="Times New Roman" w:cs="Times New Roman"/>
                <w:szCs w:val="24"/>
              </w:rPr>
              <w:t>“</w:t>
            </w:r>
            <w:r w:rsidRPr="00225B51">
              <w:rPr>
                <w:rFonts w:cs="Times New Roman"/>
                <w:bCs/>
                <w:szCs w:val="24"/>
              </w:rPr>
              <w:t>Grozījum</w:t>
            </w:r>
            <w:r w:rsidR="0081198C" w:rsidRPr="00225B51">
              <w:rPr>
                <w:rFonts w:cs="Times New Roman"/>
                <w:bCs/>
                <w:szCs w:val="24"/>
              </w:rPr>
              <w:t>i</w:t>
            </w:r>
            <w:r w:rsidRPr="00225B51">
              <w:rPr>
                <w:rFonts w:cs="Times New Roman"/>
                <w:bCs/>
                <w:szCs w:val="24"/>
              </w:rPr>
              <w:t xml:space="preserve"> Noziedzīgi iegūtu līdzekļu legalizācijas un terorisma finansēšanas novēršanas likumā</w:t>
            </w:r>
            <w:r w:rsidRPr="00225B51">
              <w:rPr>
                <w:rFonts w:cs="Times New Roman"/>
                <w:szCs w:val="24"/>
              </w:rPr>
              <w:t xml:space="preserve">" (turpmāk – Likumprojekts), </w:t>
            </w:r>
            <w:r w:rsidRPr="00225B51">
              <w:rPr>
                <w:rFonts w:eastAsia="Times New Roman" w:cs="Times New Roman"/>
                <w:szCs w:val="24"/>
              </w:rPr>
              <w:t xml:space="preserve">papildinot </w:t>
            </w:r>
            <w:r w:rsidR="00FB1705" w:rsidRPr="00225B51">
              <w:rPr>
                <w:rFonts w:cs="Times New Roman"/>
                <w:szCs w:val="24"/>
              </w:rPr>
              <w:t>Noziedzīgi iegūtu līdzekļu legalizācijas un terorisma finansēšanas novēršanas likuma (turpmāk – Likums)</w:t>
            </w:r>
            <w:r w:rsidRPr="00225B51">
              <w:rPr>
                <w:rFonts w:cs="Times New Roman"/>
                <w:szCs w:val="24"/>
              </w:rPr>
              <w:t xml:space="preserve"> 51.panta pirmo daļu ar 14. punktu šādā redakcijā: "14</w:t>
            </w:r>
            <w:r w:rsidR="00B96223" w:rsidRPr="00225B51">
              <w:rPr>
                <w:rFonts w:cs="Times New Roman"/>
                <w:szCs w:val="24"/>
              </w:rPr>
              <w:t xml:space="preserve">) </w:t>
            </w:r>
            <w:r w:rsidR="00B96223" w:rsidRPr="00225B51">
              <w:rPr>
                <w:rFonts w:cs="Times New Roman"/>
                <w:bCs/>
                <w:szCs w:val="24"/>
              </w:rPr>
              <w:t xml:space="preserve">analizēt </w:t>
            </w:r>
            <w:r w:rsidR="00B96223" w:rsidRPr="00225B51">
              <w:rPr>
                <w:rFonts w:cs="Times New Roman"/>
                <w:szCs w:val="24"/>
              </w:rPr>
              <w:t>noziedzīgi iegūtu līdzekļu legalizācijas un terorisma finansēšanas novēršanas regulējošos normatīvos aktus, sagatavot priekšlikumus normatīvo aktu pilnveidošanai, organizēt un veikt noziedzīgi iegūtu līdzekļu legalizācijas un terorisma finansēšanas risku novērtēšanu, kā arī izstrādāt priekšlikumus šo risku līmeņa mazināšanai</w:t>
            </w:r>
            <w:r w:rsidRPr="00225B51">
              <w:rPr>
                <w:rFonts w:cs="Times New Roman"/>
                <w:szCs w:val="24"/>
              </w:rPr>
              <w:t>" un papildināt 51.panta otro daļu ar 8. punktu šādā redakcijā: "8) pieprasīt un saņemt informāciju, kas nepieciešama noziedzīgi iegūtu līdzekļu legalizācijas un terorisma finansēšanas risku novērtēšanai".</w:t>
            </w:r>
            <w:r w:rsidRPr="00225B51">
              <w:rPr>
                <w:rFonts w:eastAsia="Times New Roman" w:cs="Times New Roman"/>
                <w:szCs w:val="24"/>
              </w:rPr>
              <w:t xml:space="preserve"> </w:t>
            </w:r>
            <w:r w:rsidR="00FB1705" w:rsidRPr="00225B51">
              <w:rPr>
                <w:rFonts w:eastAsia="Times New Roman" w:cs="Times New Roman"/>
                <w:szCs w:val="24"/>
              </w:rPr>
              <w:t xml:space="preserve"> </w:t>
            </w:r>
          </w:p>
          <w:p w:rsidR="00671754" w:rsidRPr="00225B51" w:rsidRDefault="00787361" w:rsidP="00787361">
            <w:pPr>
              <w:widowControl w:val="0"/>
              <w:jc w:val="both"/>
              <w:rPr>
                <w:rFonts w:cs="Times New Roman"/>
                <w:szCs w:val="24"/>
              </w:rPr>
            </w:pPr>
            <w:r w:rsidRPr="00225B51">
              <w:rPr>
                <w:rFonts w:eastAsia="Times New Roman" w:cs="Times New Roman"/>
                <w:szCs w:val="24"/>
              </w:rPr>
              <w:t xml:space="preserve">Lai izpildītu minēto uzdevumu, Finanšu ministrija uzsāka </w:t>
            </w:r>
            <w:r w:rsidRPr="00225B51">
              <w:rPr>
                <w:rFonts w:cs="Times New Roman"/>
                <w:szCs w:val="24"/>
              </w:rPr>
              <w:t>Likumprojekta</w:t>
            </w:r>
            <w:r w:rsidR="001829AC" w:rsidRPr="00225B51">
              <w:rPr>
                <w:rFonts w:cs="Times New Roman"/>
                <w:szCs w:val="24"/>
              </w:rPr>
              <w:t xml:space="preserve"> izstrādi, kuras laikā</w:t>
            </w:r>
            <w:r w:rsidRPr="00225B51">
              <w:rPr>
                <w:rFonts w:cs="Times New Roman"/>
                <w:szCs w:val="24"/>
              </w:rPr>
              <w:t xml:space="preserve"> </w:t>
            </w:r>
            <w:r w:rsidR="001829AC" w:rsidRPr="00225B51">
              <w:rPr>
                <w:rFonts w:cs="Times New Roman"/>
                <w:szCs w:val="24"/>
              </w:rPr>
              <w:t xml:space="preserve">tika secināts, </w:t>
            </w:r>
            <w:r w:rsidRPr="00225B51">
              <w:rPr>
                <w:rFonts w:cs="Times New Roman"/>
                <w:szCs w:val="24"/>
              </w:rPr>
              <w:t xml:space="preserve">ka </w:t>
            </w:r>
            <w:proofErr w:type="spellStart"/>
            <w:r w:rsidRPr="00225B51">
              <w:rPr>
                <w:rFonts w:cs="Times New Roman"/>
                <w:szCs w:val="24"/>
              </w:rPr>
              <w:t>Protokollēmumā</w:t>
            </w:r>
            <w:proofErr w:type="spellEnd"/>
            <w:r w:rsidRPr="00225B51">
              <w:rPr>
                <w:rFonts w:cs="Times New Roman"/>
                <w:szCs w:val="24"/>
              </w:rPr>
              <w:t xml:space="preserve"> norādītā  Likuma 51.panta otrās daļas</w:t>
            </w:r>
            <w:r w:rsidR="00DE4670" w:rsidRPr="00225B51">
              <w:rPr>
                <w:rFonts w:cs="Times New Roman"/>
                <w:szCs w:val="24"/>
              </w:rPr>
              <w:t xml:space="preserve"> 8.punkta redakcija nav pilnīga, jo </w:t>
            </w:r>
            <w:r w:rsidR="000D2BD2" w:rsidRPr="00225B51">
              <w:rPr>
                <w:rFonts w:cs="Times New Roman"/>
                <w:szCs w:val="24"/>
              </w:rPr>
              <w:t xml:space="preserve">nav skaidri </w:t>
            </w:r>
            <w:r w:rsidR="00DE4670" w:rsidRPr="00225B51">
              <w:rPr>
                <w:rFonts w:cs="Times New Roman"/>
                <w:szCs w:val="24"/>
              </w:rPr>
              <w:t xml:space="preserve">norādīts to subjektu loks, kam </w:t>
            </w:r>
            <w:r w:rsidR="00DE4670" w:rsidRPr="00225B51">
              <w:t>Noziedzīgi iegūtu līdzekļu legalizācijas novēršanas dienests</w:t>
            </w:r>
            <w:r w:rsidR="00B87CCF" w:rsidRPr="00225B51">
              <w:t xml:space="preserve"> (turpmāk – Kontroles dienests)</w:t>
            </w:r>
            <w:r w:rsidR="00DE4670" w:rsidRPr="00225B51">
              <w:t xml:space="preserve"> </w:t>
            </w:r>
            <w:r w:rsidR="00DE4670" w:rsidRPr="00225B51">
              <w:rPr>
                <w:rFonts w:cs="Times New Roman"/>
                <w:szCs w:val="24"/>
              </w:rPr>
              <w:t>ir tiesīgs pieprasīt informāciju risku izvērtēšanai.</w:t>
            </w:r>
          </w:p>
          <w:p w:rsidR="003C3A7B" w:rsidRPr="00225B51" w:rsidRDefault="003429D8" w:rsidP="00DE4670">
            <w:pPr>
              <w:pStyle w:val="PlainText"/>
              <w:jc w:val="both"/>
              <w:rPr>
                <w:rFonts w:ascii="Times New Roman" w:hAnsi="Times New Roman" w:cs="Times New Roman"/>
                <w:sz w:val="24"/>
                <w:szCs w:val="24"/>
              </w:rPr>
            </w:pPr>
            <w:r w:rsidRPr="00225B51">
              <w:rPr>
                <w:rFonts w:ascii="Times New Roman" w:eastAsia="Times New Roman" w:hAnsi="Times New Roman" w:cs="Times New Roman"/>
                <w:sz w:val="24"/>
                <w:szCs w:val="24"/>
              </w:rPr>
              <w:t>Ņemot vērā iepriekš minēto Finanšu ministrija ir sagatavojusi</w:t>
            </w:r>
            <w:r w:rsidR="00DE4670" w:rsidRPr="00225B51">
              <w:rPr>
                <w:rFonts w:ascii="Times New Roman" w:eastAsia="Times New Roman" w:hAnsi="Times New Roman" w:cs="Times New Roman"/>
                <w:sz w:val="24"/>
                <w:szCs w:val="24"/>
              </w:rPr>
              <w:t xml:space="preserve"> precizētu </w:t>
            </w:r>
            <w:r w:rsidRPr="00225B51">
              <w:rPr>
                <w:rFonts w:ascii="Times New Roman" w:eastAsia="Times New Roman" w:hAnsi="Times New Roman" w:cs="Times New Roman"/>
                <w:sz w:val="24"/>
                <w:szCs w:val="24"/>
              </w:rPr>
              <w:t>Likuma 51.pant</w:t>
            </w:r>
            <w:r w:rsidR="0081198C" w:rsidRPr="00225B51">
              <w:rPr>
                <w:rFonts w:ascii="Times New Roman" w:eastAsia="Times New Roman" w:hAnsi="Times New Roman" w:cs="Times New Roman"/>
                <w:sz w:val="24"/>
                <w:szCs w:val="24"/>
              </w:rPr>
              <w:t>a</w:t>
            </w:r>
            <w:r w:rsidR="00DE4670" w:rsidRPr="00225B51">
              <w:rPr>
                <w:rFonts w:ascii="Times New Roman" w:eastAsia="Times New Roman" w:hAnsi="Times New Roman" w:cs="Times New Roman"/>
                <w:sz w:val="24"/>
                <w:szCs w:val="24"/>
              </w:rPr>
              <w:t xml:space="preserve"> otrās daļas 8.punkta redakciju, kas paredz: </w:t>
            </w:r>
            <w:r w:rsidR="00DE4670" w:rsidRPr="00225B51">
              <w:rPr>
                <w:rFonts w:ascii="Times New Roman" w:hAnsi="Times New Roman" w:cs="Times New Roman"/>
                <w:sz w:val="24"/>
                <w:szCs w:val="24"/>
              </w:rPr>
              <w:t xml:space="preserve">"8) </w:t>
            </w:r>
            <w:r w:rsidR="00F010D1" w:rsidRPr="00225B51">
              <w:rPr>
                <w:rFonts w:ascii="Times New Roman" w:hAnsi="Times New Roman" w:cs="Times New Roman"/>
                <w:sz w:val="24"/>
                <w:szCs w:val="24"/>
              </w:rPr>
              <w:t>pieprasīt un saņemt informāciju, kas nepieciešama noziedzīgi iegūtu līdzekļu legalizācijas un terorisma finansēšanas risku novērtēšanai no šā likuma 3.pantā norādītajiem subjektiem un 45.pantā minētajām institūcijām</w:t>
            </w:r>
            <w:r w:rsidR="00DE4670" w:rsidRPr="00225B51">
              <w:rPr>
                <w:rFonts w:ascii="Times New Roman" w:hAnsi="Times New Roman" w:cs="Times New Roman"/>
                <w:sz w:val="24"/>
                <w:szCs w:val="24"/>
              </w:rPr>
              <w:t>.</w:t>
            </w:r>
            <w:r w:rsidR="00D63FBC" w:rsidRPr="00225B51">
              <w:rPr>
                <w:rFonts w:ascii="Times New Roman" w:hAnsi="Times New Roman" w:cs="Times New Roman"/>
                <w:sz w:val="24"/>
                <w:szCs w:val="24"/>
              </w:rPr>
              <w:t>”</w:t>
            </w:r>
          </w:p>
          <w:p w:rsidR="003C3A7B" w:rsidRPr="00225B51" w:rsidRDefault="003C3A7B" w:rsidP="00A77BBA">
            <w:pPr>
              <w:widowControl w:val="0"/>
              <w:jc w:val="both"/>
              <w:rPr>
                <w:rFonts w:cs="Times New Roman"/>
                <w:szCs w:val="24"/>
              </w:rPr>
            </w:pPr>
            <w:r w:rsidRPr="00225B51">
              <w:rPr>
                <w:rFonts w:eastAsia="Times New Roman" w:cs="Times New Roman"/>
                <w:szCs w:val="24"/>
              </w:rPr>
              <w:t>G</w:t>
            </w:r>
            <w:r w:rsidR="0081198C" w:rsidRPr="00225B51">
              <w:rPr>
                <w:rFonts w:eastAsia="Times New Roman" w:cs="Times New Roman"/>
                <w:szCs w:val="24"/>
              </w:rPr>
              <w:t>rozījum</w:t>
            </w:r>
            <w:r w:rsidR="00501EC9" w:rsidRPr="00225B51">
              <w:rPr>
                <w:rFonts w:eastAsia="Times New Roman" w:cs="Times New Roman"/>
                <w:szCs w:val="24"/>
              </w:rPr>
              <w:t>u</w:t>
            </w:r>
            <w:r w:rsidR="00A77BBA" w:rsidRPr="00225B51">
              <w:rPr>
                <w:rFonts w:eastAsia="Times New Roman" w:cs="Times New Roman"/>
                <w:szCs w:val="24"/>
              </w:rPr>
              <w:t xml:space="preserve"> Likuma 51.panta pirmajā </w:t>
            </w:r>
            <w:r w:rsidR="00DE4670" w:rsidRPr="00225B51">
              <w:rPr>
                <w:rFonts w:eastAsia="Times New Roman" w:cs="Times New Roman"/>
                <w:szCs w:val="24"/>
              </w:rPr>
              <w:t xml:space="preserve">un otrajā </w:t>
            </w:r>
            <w:r w:rsidR="00A77BBA" w:rsidRPr="00225B51">
              <w:rPr>
                <w:rFonts w:eastAsia="Times New Roman" w:cs="Times New Roman"/>
                <w:szCs w:val="24"/>
              </w:rPr>
              <w:t xml:space="preserve">daļā </w:t>
            </w:r>
            <w:r w:rsidR="00FB1705" w:rsidRPr="00225B51">
              <w:rPr>
                <w:rFonts w:eastAsia="Times New Roman" w:cs="Times New Roman"/>
                <w:szCs w:val="24"/>
              </w:rPr>
              <w:t>nepieciešamība pamatota</w:t>
            </w:r>
            <w:r w:rsidRPr="00225B51">
              <w:rPr>
                <w:rFonts w:eastAsia="Times New Roman" w:cs="Times New Roman"/>
                <w:szCs w:val="24"/>
              </w:rPr>
              <w:t xml:space="preserve"> ar turpmāk minēto.</w:t>
            </w:r>
            <w:r w:rsidR="00A77BBA" w:rsidRPr="00225B51">
              <w:rPr>
                <w:rFonts w:cs="Times New Roman"/>
                <w:szCs w:val="24"/>
              </w:rPr>
              <w:t xml:space="preserve"> </w:t>
            </w:r>
          </w:p>
          <w:p w:rsidR="00111AFE" w:rsidRPr="00225B51" w:rsidRDefault="006F5CE5" w:rsidP="00A77BBA">
            <w:pPr>
              <w:widowControl w:val="0"/>
              <w:jc w:val="both"/>
              <w:rPr>
                <w:rFonts w:cs="Times New Roman"/>
                <w:szCs w:val="24"/>
              </w:rPr>
            </w:pPr>
            <w:r w:rsidRPr="00225B51">
              <w:rPr>
                <w:rFonts w:cs="Times New Roman"/>
                <w:szCs w:val="24"/>
              </w:rPr>
              <w:t xml:space="preserve">Eiropas Savienības finanšu izlūkošanas vienību projektu centra </w:t>
            </w:r>
            <w:r w:rsidRPr="00225B51">
              <w:rPr>
                <w:rFonts w:cs="Times New Roman"/>
                <w:i/>
                <w:szCs w:val="24"/>
              </w:rPr>
              <w:lastRenderedPageBreak/>
              <w:t xml:space="preserve">FIU.NET </w:t>
            </w:r>
            <w:proofErr w:type="spellStart"/>
            <w:r w:rsidRPr="00225B51">
              <w:rPr>
                <w:rFonts w:cs="Times New Roman"/>
                <w:i/>
                <w:szCs w:val="24"/>
              </w:rPr>
              <w:t>Bureau</w:t>
            </w:r>
            <w:proofErr w:type="spellEnd"/>
            <w:r w:rsidRPr="00225B51">
              <w:rPr>
                <w:rFonts w:cs="Times New Roman"/>
                <w:szCs w:val="24"/>
              </w:rPr>
              <w:t xml:space="preserve"> 2013. gada pētījumā par Eiropas Savienības valstu finanšu izlūkošanas vienības (turpmāk -  FIV) ieguldījumu nacionālo risku novērtēšanas procesā atbildes sniedza 18 valstis. No šīm 18 valstīm tikai 14 valstīm (tostarp Latvijai) 2013. gadā jau bija veikts</w:t>
            </w:r>
            <w:r w:rsidRPr="00225B51">
              <w:rPr>
                <w:rFonts w:cs="Times New Roman"/>
                <w:bCs/>
                <w:szCs w:val="24"/>
              </w:rPr>
              <w:t xml:space="preserve"> noziedzīgi iegūtu līdzekļu legalizācijas un terorisma finansēšanas novēršanas (turpmāk - NILLTFN) </w:t>
            </w:r>
            <w:r w:rsidRPr="00225B51">
              <w:rPr>
                <w:rFonts w:cs="Times New Roman"/>
                <w:szCs w:val="24"/>
              </w:rPr>
              <w:t xml:space="preserve"> risku novērtējums. Visu šo 14 dalībvalstu risku novērtējumu izstrādē bija piedalījušās finanšu izlūkošanas vienības (tostarp Latvija), no tām 55% bija izmantojušas pašu izstrādātas metodes, kas vairumā gadījumu bija balstītas vai kombinētas ar citu valstu vai organizāciju izstrādātām metodēm vai </w:t>
            </w:r>
            <w:r w:rsidRPr="00225B51">
              <w:rPr>
                <w:rFonts w:cs="Times New Roman"/>
                <w:bCs/>
                <w:i/>
                <w:szCs w:val="24"/>
              </w:rPr>
              <w:t>„</w:t>
            </w:r>
            <w:proofErr w:type="spellStart"/>
            <w:r w:rsidRPr="00225B51">
              <w:rPr>
                <w:rFonts w:cs="Times New Roman"/>
                <w:bCs/>
                <w:i/>
                <w:szCs w:val="24"/>
              </w:rPr>
              <w:t>The</w:t>
            </w:r>
            <w:proofErr w:type="spellEnd"/>
            <w:r w:rsidRPr="00225B51">
              <w:rPr>
                <w:rFonts w:cs="Times New Roman"/>
                <w:bCs/>
                <w:i/>
                <w:szCs w:val="24"/>
              </w:rPr>
              <w:t xml:space="preserve"> FATF </w:t>
            </w:r>
            <w:proofErr w:type="spellStart"/>
            <w:r w:rsidRPr="00225B51">
              <w:rPr>
                <w:rFonts w:cs="Times New Roman"/>
                <w:bCs/>
                <w:i/>
                <w:szCs w:val="24"/>
              </w:rPr>
              <w:t>Recommendations</w:t>
            </w:r>
            <w:proofErr w:type="spellEnd"/>
            <w:r w:rsidRPr="00225B51">
              <w:rPr>
                <w:rFonts w:cs="Times New Roman"/>
                <w:bCs/>
                <w:i/>
                <w:szCs w:val="24"/>
              </w:rPr>
              <w:t>”</w:t>
            </w:r>
            <w:r w:rsidRPr="00225B51">
              <w:rPr>
                <w:rFonts w:cs="Times New Roman"/>
                <w:bCs/>
                <w:szCs w:val="24"/>
              </w:rPr>
              <w:t xml:space="preserve">(turpmāk – </w:t>
            </w:r>
            <w:r w:rsidRPr="00225B51">
              <w:rPr>
                <w:rFonts w:cs="Times New Roman"/>
                <w:i/>
                <w:szCs w:val="24"/>
              </w:rPr>
              <w:t>FATF)</w:t>
            </w:r>
            <w:r w:rsidRPr="00225B51">
              <w:rPr>
                <w:rFonts w:cs="Times New Roman"/>
                <w:szCs w:val="24"/>
              </w:rPr>
              <w:t xml:space="preserve"> vadlīnijām (tostarp Latvija). </w:t>
            </w:r>
          </w:p>
          <w:p w:rsidR="006F5CE5" w:rsidRPr="00225B51" w:rsidRDefault="006F5CE5" w:rsidP="00111AFE">
            <w:pPr>
              <w:tabs>
                <w:tab w:val="left" w:pos="693"/>
              </w:tabs>
              <w:jc w:val="both"/>
              <w:rPr>
                <w:rFonts w:cs="Times New Roman"/>
                <w:bCs/>
                <w:szCs w:val="24"/>
              </w:rPr>
            </w:pPr>
            <w:r w:rsidRPr="00225B51">
              <w:rPr>
                <w:rFonts w:cs="Times New Roman"/>
                <w:szCs w:val="24"/>
              </w:rPr>
              <w:t>Jautājumā par ekspertīzes līmeni, kādā finanšu izlūkošanas vienības ir bijušas iesaistītas risku novērtēšanā, konstatēts, ka no 14 valstīm 13 FIV sniegušas vismaz statistiskos datus, bet 12 FIV veikušas arī stratēģisko un/vai operacionālo analīzi. Ir zināms pamats domāt, ka 10 dalībvalstis, kuras neatsaucās uz aicinājumu piedalīties pētījumā, nav veikušas NILLTF</w:t>
            </w:r>
            <w:r w:rsidR="008E0D9B">
              <w:rPr>
                <w:rFonts w:cs="Times New Roman"/>
                <w:szCs w:val="24"/>
              </w:rPr>
              <w:t>N</w:t>
            </w:r>
            <w:r w:rsidRPr="00225B51">
              <w:rPr>
                <w:rFonts w:cs="Times New Roman"/>
                <w:szCs w:val="24"/>
              </w:rPr>
              <w:t xml:space="preserve"> risku novērtējumu. No minētā pētījuma var konstatēt, ka ES vismaz 12 dalībvalstīs vadošā loma NILLTF</w:t>
            </w:r>
            <w:r w:rsidR="00122B0F">
              <w:rPr>
                <w:rFonts w:cs="Times New Roman"/>
                <w:szCs w:val="24"/>
              </w:rPr>
              <w:t>N</w:t>
            </w:r>
            <w:r w:rsidRPr="00225B51">
              <w:rPr>
                <w:rFonts w:cs="Times New Roman"/>
                <w:szCs w:val="24"/>
              </w:rPr>
              <w:t xml:space="preserve"> risku novērtēšanā ir bijusi FIV.</w:t>
            </w:r>
          </w:p>
          <w:p w:rsidR="006F5CE5" w:rsidRPr="00225B51" w:rsidRDefault="006F5CE5" w:rsidP="00111AFE">
            <w:pPr>
              <w:jc w:val="both"/>
              <w:rPr>
                <w:rFonts w:cs="Times New Roman"/>
                <w:szCs w:val="24"/>
              </w:rPr>
            </w:pPr>
            <w:r w:rsidRPr="00225B51">
              <w:rPr>
                <w:rFonts w:cs="Times New Roman"/>
                <w:szCs w:val="24"/>
              </w:rPr>
              <w:t xml:space="preserve">2012. gada </w:t>
            </w:r>
            <w:r w:rsidRPr="00225B51">
              <w:rPr>
                <w:rFonts w:cs="Times New Roman"/>
                <w:i/>
                <w:szCs w:val="24"/>
              </w:rPr>
              <w:t>FATF</w:t>
            </w:r>
            <w:r w:rsidRPr="00225B51">
              <w:rPr>
                <w:rFonts w:cs="Times New Roman"/>
                <w:szCs w:val="24"/>
              </w:rPr>
              <w:t xml:space="preserve"> 29. rekomendācija nosaka finanšu izlūkošanas vienībām bez operacionālās analīzes (finanšu līdzekļu, personu, to saistību analīze, līdzekļu izsekošana, to saistība ar predikatīvajiem noziegumiem utt.) veikt arī stratēģisko analīzi (NILLTF</w:t>
            </w:r>
            <w:r w:rsidR="00122B0F">
              <w:rPr>
                <w:rFonts w:cs="Times New Roman"/>
                <w:szCs w:val="24"/>
              </w:rPr>
              <w:t>N</w:t>
            </w:r>
            <w:r w:rsidRPr="00225B51">
              <w:rPr>
                <w:rFonts w:cs="Times New Roman"/>
                <w:szCs w:val="24"/>
              </w:rPr>
              <w:t xml:space="preserve"> metožu un tendenču identificēšana, kas izmantojama, lai noteiktu NILLTF</w:t>
            </w:r>
            <w:r w:rsidR="00122B0F">
              <w:rPr>
                <w:rFonts w:cs="Times New Roman"/>
                <w:szCs w:val="24"/>
              </w:rPr>
              <w:t>N</w:t>
            </w:r>
            <w:r w:rsidRPr="00225B51">
              <w:rPr>
                <w:rFonts w:cs="Times New Roman"/>
                <w:szCs w:val="24"/>
              </w:rPr>
              <w:t xml:space="preserve"> draudus vai sistēmas vājās vietas un</w:t>
            </w:r>
            <w:r w:rsidR="00215E18" w:rsidRPr="00225B51">
              <w:rPr>
                <w:rFonts w:cs="Times New Roman"/>
                <w:szCs w:val="24"/>
              </w:rPr>
              <w:t>,</w:t>
            </w:r>
            <w:r w:rsidRPr="00225B51">
              <w:rPr>
                <w:rFonts w:cs="Times New Roman"/>
                <w:szCs w:val="24"/>
              </w:rPr>
              <w:t xml:space="preserve"> lai palīdzētu noteikt NILLTF</w:t>
            </w:r>
            <w:r w:rsidR="00122B0F">
              <w:rPr>
                <w:rFonts w:cs="Times New Roman"/>
                <w:szCs w:val="24"/>
              </w:rPr>
              <w:t>N</w:t>
            </w:r>
            <w:r w:rsidRPr="00225B51">
              <w:rPr>
                <w:rFonts w:cs="Times New Roman"/>
                <w:szCs w:val="24"/>
              </w:rPr>
              <w:t xml:space="preserve"> novēršanas mērķus, veidot politiku, utt.). Minētā 29. rekomendācija Kontroles dienestam ir jāizpilda neatkarīgi no tā, vai Kontroles dienestam tiks uzlikts pienākums veikt arī NILLTF</w:t>
            </w:r>
            <w:r w:rsidR="00122B0F">
              <w:rPr>
                <w:rFonts w:cs="Times New Roman"/>
                <w:szCs w:val="24"/>
              </w:rPr>
              <w:t>N</w:t>
            </w:r>
            <w:r w:rsidRPr="00225B51">
              <w:rPr>
                <w:rFonts w:cs="Times New Roman"/>
                <w:szCs w:val="24"/>
              </w:rPr>
              <w:t xml:space="preserve"> risku novērtēšanu. Līdz ar to, ja par risku novērtēšanu atbildīgo institūciju noteiktu citu institūciju, nevis Kontroles dienestu, varētu notikt daļēja funkciju pārklāšanās.</w:t>
            </w:r>
          </w:p>
          <w:p w:rsidR="00742535" w:rsidRPr="00225B51" w:rsidRDefault="006F5CE5" w:rsidP="00111AFE">
            <w:pPr>
              <w:jc w:val="both"/>
              <w:rPr>
                <w:rFonts w:cs="Times New Roman"/>
                <w:szCs w:val="24"/>
              </w:rPr>
            </w:pPr>
            <w:r w:rsidRPr="00225B51">
              <w:rPr>
                <w:rFonts w:cs="Times New Roman"/>
                <w:szCs w:val="24"/>
              </w:rPr>
              <w:t>Ņemot vērā gan to, ka līdz 2013. gada vidum Eiropas Savienībā vadošā loma NILLTF</w:t>
            </w:r>
            <w:r w:rsidR="00122B0F">
              <w:rPr>
                <w:rFonts w:cs="Times New Roman"/>
                <w:szCs w:val="24"/>
              </w:rPr>
              <w:t>N</w:t>
            </w:r>
            <w:r w:rsidRPr="00225B51">
              <w:rPr>
                <w:rFonts w:cs="Times New Roman"/>
                <w:szCs w:val="24"/>
              </w:rPr>
              <w:t xml:space="preserve"> risku novērtēšanā ir bijusi finanšu izlūkošanas vienībām, gan to, ka Kontroles dienests jau šobrīd faktiski veic stratēģiskās analīzes funkcijas, t.i. informācijas par noziedzīgi iegūtu līdzekļu legalizācijas metodēm, tendencēm un dažādu nozaru likuma subjektu ziņošanas trūkumiem sistemātisku uzskaiti, apkopošanu un analīzi, vāc statistisko informāciju, kas valstij jāiesniedz, gatavojoties </w:t>
            </w:r>
            <w:r w:rsidRPr="00225B51">
              <w:rPr>
                <w:rFonts w:cs="Times New Roman"/>
                <w:i/>
                <w:szCs w:val="24"/>
              </w:rPr>
              <w:t>MONEYVAL</w:t>
            </w:r>
            <w:r w:rsidRPr="00225B51">
              <w:rPr>
                <w:rFonts w:cs="Times New Roman"/>
                <w:szCs w:val="24"/>
              </w:rPr>
              <w:t xml:space="preserve"> ekspertu pārbaudēm, ir jau ieguvis pieredzi NILL</w:t>
            </w:r>
            <w:r w:rsidR="00122B0F">
              <w:rPr>
                <w:rFonts w:cs="Times New Roman"/>
                <w:szCs w:val="24"/>
              </w:rPr>
              <w:t>TFN</w:t>
            </w:r>
            <w:r w:rsidRPr="00225B51">
              <w:rPr>
                <w:rFonts w:cs="Times New Roman"/>
                <w:szCs w:val="24"/>
              </w:rPr>
              <w:t xml:space="preserve"> riska novērtēšanā, turklāt dienesta rīcībā ir informācija, kas ir (citām iestādēm) neizpaužamas ziņas, līdz ar to par atbildīgo institūciju NILLTF</w:t>
            </w:r>
            <w:r w:rsidR="00122B0F">
              <w:rPr>
                <w:rFonts w:cs="Times New Roman"/>
                <w:szCs w:val="24"/>
              </w:rPr>
              <w:t>N</w:t>
            </w:r>
            <w:r w:rsidRPr="00225B51">
              <w:rPr>
                <w:rFonts w:cs="Times New Roman"/>
                <w:szCs w:val="24"/>
              </w:rPr>
              <w:t xml:space="preserve"> risku novērtēšanai ir noteikts Kontroles dienests.</w:t>
            </w:r>
          </w:p>
          <w:p w:rsidR="006F5CE5" w:rsidRPr="00225B51" w:rsidRDefault="00742535" w:rsidP="00F1294D">
            <w:pPr>
              <w:autoSpaceDE w:val="0"/>
              <w:autoSpaceDN w:val="0"/>
              <w:adjustRightInd w:val="0"/>
              <w:jc w:val="both"/>
              <w:rPr>
                <w:rFonts w:cs="Times New Roman"/>
                <w:szCs w:val="24"/>
              </w:rPr>
            </w:pPr>
            <w:r w:rsidRPr="00225B51">
              <w:rPr>
                <w:rFonts w:cs="Times New Roman"/>
                <w:szCs w:val="24"/>
              </w:rPr>
              <w:t xml:space="preserve">Šobrīd </w:t>
            </w:r>
            <w:r w:rsidR="009C592F" w:rsidRPr="00225B51">
              <w:rPr>
                <w:rFonts w:cs="Times New Roman"/>
                <w:szCs w:val="24"/>
              </w:rPr>
              <w:t>Likumā</w:t>
            </w:r>
            <w:r w:rsidRPr="00225B51">
              <w:rPr>
                <w:rFonts w:cs="Times New Roman"/>
                <w:szCs w:val="24"/>
              </w:rPr>
              <w:t xml:space="preserve"> netiek regulēts jautājums par Kontroles dienesta pilnvarojumu saistībā ar </w:t>
            </w:r>
            <w:r w:rsidR="00BC3FF1">
              <w:rPr>
                <w:rFonts w:cs="Times New Roman"/>
                <w:szCs w:val="24"/>
              </w:rPr>
              <w:t>NILLTFN</w:t>
            </w:r>
            <w:r w:rsidRPr="00225B51">
              <w:rPr>
                <w:rFonts w:cs="Times New Roman"/>
                <w:szCs w:val="24"/>
              </w:rPr>
              <w:t xml:space="preserve"> risku novērtēšanu. </w:t>
            </w:r>
          </w:p>
          <w:p w:rsidR="006F5CE5" w:rsidRPr="00225B51" w:rsidRDefault="006F5CE5" w:rsidP="006F5CE5">
            <w:pPr>
              <w:jc w:val="both"/>
              <w:rPr>
                <w:rFonts w:cs="Times New Roman"/>
                <w:szCs w:val="24"/>
              </w:rPr>
            </w:pPr>
            <w:r w:rsidRPr="00225B51">
              <w:rPr>
                <w:rFonts w:cs="Times New Roman"/>
                <w:szCs w:val="24"/>
              </w:rPr>
              <w:lastRenderedPageBreak/>
              <w:t xml:space="preserve">Piedāvātajā </w:t>
            </w:r>
            <w:r w:rsidR="009C592F" w:rsidRPr="00225B51">
              <w:t>Likumprojektā</w:t>
            </w:r>
            <w:r w:rsidRPr="00225B51">
              <w:rPr>
                <w:rFonts w:cs="Times New Roman"/>
                <w:szCs w:val="24"/>
              </w:rPr>
              <w:t xml:space="preserve">, lai noteiktu Kontroles dienesta pilnvarojumu saistībā ar </w:t>
            </w:r>
            <w:r w:rsidR="00BC3FF1">
              <w:rPr>
                <w:rFonts w:cs="Times New Roman"/>
                <w:szCs w:val="24"/>
              </w:rPr>
              <w:t>NILLTFN</w:t>
            </w:r>
            <w:r w:rsidRPr="00225B51">
              <w:rPr>
                <w:rFonts w:cs="Times New Roman"/>
                <w:szCs w:val="24"/>
              </w:rPr>
              <w:t xml:space="preserve"> risku novērtēšanu</w:t>
            </w:r>
            <w:r w:rsidR="00070782" w:rsidRPr="00225B51">
              <w:rPr>
                <w:rFonts w:cs="Times New Roman"/>
                <w:szCs w:val="24"/>
              </w:rPr>
              <w:t>,</w:t>
            </w:r>
            <w:r w:rsidR="00CC725A" w:rsidRPr="00225B51">
              <w:rPr>
                <w:rFonts w:cs="Times New Roman"/>
                <w:szCs w:val="24"/>
              </w:rPr>
              <w:t xml:space="preserve"> L</w:t>
            </w:r>
            <w:r w:rsidRPr="00225B51">
              <w:rPr>
                <w:rFonts w:cs="Times New Roman"/>
                <w:szCs w:val="24"/>
              </w:rPr>
              <w:t>ikumā tiek papildin</w:t>
            </w:r>
            <w:r w:rsidR="00E4242F" w:rsidRPr="00225B51">
              <w:rPr>
                <w:rFonts w:cs="Times New Roman"/>
                <w:szCs w:val="24"/>
              </w:rPr>
              <w:t>āts Kontroles dienesta</w:t>
            </w:r>
            <w:r w:rsidR="00117D40" w:rsidRPr="00225B51">
              <w:rPr>
                <w:rFonts w:cs="Times New Roman"/>
                <w:szCs w:val="24"/>
              </w:rPr>
              <w:t xml:space="preserve"> tiesību un</w:t>
            </w:r>
            <w:r w:rsidR="00E4242F" w:rsidRPr="00225B51">
              <w:rPr>
                <w:rFonts w:cs="Times New Roman"/>
                <w:szCs w:val="24"/>
              </w:rPr>
              <w:t xml:space="preserve"> pienākumu</w:t>
            </w:r>
            <w:r w:rsidRPr="00225B51">
              <w:rPr>
                <w:rFonts w:cs="Times New Roman"/>
                <w:szCs w:val="24"/>
              </w:rPr>
              <w:t xml:space="preserve"> </w:t>
            </w:r>
            <w:r w:rsidR="00742535" w:rsidRPr="00225B51">
              <w:rPr>
                <w:rFonts w:cs="Times New Roman"/>
                <w:szCs w:val="24"/>
              </w:rPr>
              <w:t>apjoms</w:t>
            </w:r>
            <w:r w:rsidRPr="00225B51">
              <w:rPr>
                <w:rFonts w:cs="Times New Roman"/>
                <w:szCs w:val="24"/>
              </w:rPr>
              <w:t>.</w:t>
            </w:r>
          </w:p>
          <w:p w:rsidR="006F5CE5" w:rsidRPr="00225B51" w:rsidRDefault="00CC725A" w:rsidP="00E4242F">
            <w:pPr>
              <w:jc w:val="both"/>
              <w:rPr>
                <w:rFonts w:cs="Times New Roman"/>
                <w:szCs w:val="24"/>
              </w:rPr>
            </w:pPr>
            <w:r w:rsidRPr="00225B51">
              <w:rPr>
                <w:rFonts w:cs="Times New Roman"/>
                <w:szCs w:val="24"/>
              </w:rPr>
              <w:t xml:space="preserve">Likuma </w:t>
            </w:r>
            <w:r w:rsidR="006F5CE5" w:rsidRPr="00225B51">
              <w:rPr>
                <w:rFonts w:cs="Times New Roman"/>
                <w:szCs w:val="24"/>
              </w:rPr>
              <w:t>51.panta pirmā daļa tiek papildināta ar 1</w:t>
            </w:r>
            <w:r w:rsidR="00E4242F" w:rsidRPr="00225B51">
              <w:rPr>
                <w:rFonts w:cs="Times New Roman"/>
                <w:szCs w:val="24"/>
              </w:rPr>
              <w:t>4</w:t>
            </w:r>
            <w:r w:rsidR="006F5CE5" w:rsidRPr="00225B51">
              <w:rPr>
                <w:rFonts w:cs="Times New Roman"/>
                <w:szCs w:val="24"/>
              </w:rPr>
              <w:t xml:space="preserve">.punktu, kas paredz Kontroles dienesta pienākumu </w:t>
            </w:r>
            <w:r w:rsidR="00B96223" w:rsidRPr="00225B51">
              <w:rPr>
                <w:rFonts w:cs="Times New Roman"/>
                <w:bCs/>
                <w:szCs w:val="24"/>
              </w:rPr>
              <w:t xml:space="preserve">analizēt </w:t>
            </w:r>
            <w:r w:rsidR="00B96223" w:rsidRPr="00225B51">
              <w:rPr>
                <w:rFonts w:cs="Times New Roman"/>
                <w:szCs w:val="24"/>
              </w:rPr>
              <w:t>noziedzīgi iegūtu līdzekļu legalizācijas un terorisma finansēšanas novēršanas regulējošos normatīvos aktus, sagatavot priekšlikumus normatīvo aktu pilnveidošanai, organizēt un veikt noziedzīgi iegūtu līdzekļu legalizācijas un terorisma finansēšanas risku novērtēšanu, kā arī izstrādāt priekšlikumus šo risku līmeņa mazināšanai</w:t>
            </w:r>
            <w:r w:rsidR="006F5CE5" w:rsidRPr="00225B51">
              <w:rPr>
                <w:rFonts w:cs="Times New Roman"/>
                <w:szCs w:val="24"/>
              </w:rPr>
              <w:t>.</w:t>
            </w:r>
          </w:p>
          <w:p w:rsidR="00961BCF" w:rsidRDefault="00501EC9" w:rsidP="005804BA">
            <w:pPr>
              <w:pStyle w:val="PlainText"/>
              <w:jc w:val="both"/>
              <w:rPr>
                <w:rFonts w:ascii="Times New Roman" w:hAnsi="Times New Roman" w:cs="Times New Roman"/>
                <w:sz w:val="24"/>
                <w:szCs w:val="24"/>
              </w:rPr>
            </w:pPr>
            <w:r w:rsidRPr="00225B51">
              <w:rPr>
                <w:rFonts w:ascii="Times New Roman" w:hAnsi="Times New Roman" w:cs="Times New Roman"/>
                <w:sz w:val="24"/>
                <w:szCs w:val="24"/>
              </w:rPr>
              <w:t xml:space="preserve">Likuma 51.panta otrā daļa tiek papildināta ar 8.punktu, kas paredz </w:t>
            </w:r>
            <w:r w:rsidR="00F010D1" w:rsidRPr="00225B51">
              <w:rPr>
                <w:rFonts w:ascii="Times New Roman" w:hAnsi="Times New Roman" w:cs="Times New Roman"/>
                <w:sz w:val="24"/>
                <w:szCs w:val="24"/>
              </w:rPr>
              <w:t>Kontroles dienesta tiesību pieprasīt un saņemt informāciju, kas nepieciešama noziedzīgi iegūtu līdzekļu legalizācijas un terorisma finansēšanas risku novērtēšanai no Likuma 3.pantā norādītajiem subjektiem un 45.pantā minētajām institūcijām.</w:t>
            </w:r>
          </w:p>
          <w:p w:rsidR="00E818A1" w:rsidRDefault="004358D0" w:rsidP="005804BA">
            <w:pPr>
              <w:pStyle w:val="PlainText"/>
              <w:jc w:val="both"/>
              <w:rPr>
                <w:rFonts w:ascii="Times New Roman" w:hAnsi="Times New Roman" w:cs="Times New Roman"/>
                <w:sz w:val="24"/>
                <w:szCs w:val="24"/>
              </w:rPr>
            </w:pPr>
            <w:r>
              <w:rPr>
                <w:rFonts w:ascii="Times New Roman" w:hAnsi="Times New Roman" w:cs="Times New Roman"/>
                <w:sz w:val="24"/>
                <w:szCs w:val="24"/>
              </w:rPr>
              <w:t>Esošā Li</w:t>
            </w:r>
            <w:r w:rsidR="005072B6">
              <w:rPr>
                <w:rFonts w:ascii="Times New Roman" w:hAnsi="Times New Roman" w:cs="Times New Roman"/>
                <w:sz w:val="24"/>
                <w:szCs w:val="24"/>
              </w:rPr>
              <w:t xml:space="preserve">kuma 43. panta otrā daļa paredz </w:t>
            </w:r>
            <w:r>
              <w:rPr>
                <w:rFonts w:ascii="Times New Roman" w:hAnsi="Times New Roman" w:cs="Times New Roman"/>
                <w:sz w:val="24"/>
                <w:szCs w:val="24"/>
              </w:rPr>
              <w:t xml:space="preserve"> </w:t>
            </w:r>
            <w:r w:rsidR="004E6681">
              <w:rPr>
                <w:rFonts w:ascii="Times New Roman" w:hAnsi="Times New Roman" w:cs="Times New Roman"/>
                <w:sz w:val="24"/>
                <w:szCs w:val="24"/>
              </w:rPr>
              <w:t>kredītiestādēm un finanšu iestādēm pienākumu ziņot Kontroles dienestam par darījum</w:t>
            </w:r>
            <w:r w:rsidR="00E818A1">
              <w:rPr>
                <w:rFonts w:ascii="Times New Roman" w:hAnsi="Times New Roman" w:cs="Times New Roman"/>
                <w:sz w:val="24"/>
                <w:szCs w:val="24"/>
              </w:rPr>
              <w:t>a</w:t>
            </w:r>
            <w:r w:rsidR="004E6681">
              <w:rPr>
                <w:rFonts w:ascii="Times New Roman" w:hAnsi="Times New Roman" w:cs="Times New Roman"/>
                <w:sz w:val="24"/>
                <w:szCs w:val="24"/>
              </w:rPr>
              <w:t xml:space="preserve"> attiecību izbeigšanu ar klientu arī tajos gadījumos, kad nav aizdomu par noziedzīgi iegūtu līdzekļu legalizāciju vai terorisma finansēšanu, kas uzskatāms par nelietderīgu slogu gan kredītiestādēm un finanšu iestādēm, gan</w:t>
            </w:r>
            <w:r w:rsidR="00E818A1">
              <w:rPr>
                <w:rFonts w:ascii="Times New Roman" w:hAnsi="Times New Roman" w:cs="Times New Roman"/>
                <w:sz w:val="24"/>
                <w:szCs w:val="24"/>
              </w:rPr>
              <w:t xml:space="preserve"> K</w:t>
            </w:r>
            <w:r w:rsidR="004E6681">
              <w:rPr>
                <w:rFonts w:ascii="Times New Roman" w:hAnsi="Times New Roman" w:cs="Times New Roman"/>
                <w:sz w:val="24"/>
                <w:szCs w:val="24"/>
              </w:rPr>
              <w:t>ontroles dienestam.</w:t>
            </w:r>
          </w:p>
          <w:p w:rsidR="00961BCF" w:rsidRPr="002333DC" w:rsidRDefault="00E51B00" w:rsidP="005804BA">
            <w:pPr>
              <w:pStyle w:val="PlainText"/>
              <w:jc w:val="both"/>
              <w:rPr>
                <w:rFonts w:ascii="Times New Roman" w:hAnsi="Times New Roman" w:cs="Times New Roman"/>
                <w:sz w:val="24"/>
                <w:szCs w:val="24"/>
              </w:rPr>
            </w:pPr>
            <w:r w:rsidRPr="002333DC">
              <w:rPr>
                <w:rFonts w:ascii="Times New Roman" w:hAnsi="Times New Roman" w:cs="Times New Roman"/>
                <w:sz w:val="24"/>
                <w:szCs w:val="24"/>
              </w:rPr>
              <w:t>Šī</w:t>
            </w:r>
            <w:r w:rsidR="00E818A1" w:rsidRPr="002333DC">
              <w:rPr>
                <w:rFonts w:ascii="Times New Roman" w:hAnsi="Times New Roman" w:cs="Times New Roman"/>
                <w:sz w:val="24"/>
                <w:szCs w:val="24"/>
              </w:rPr>
              <w:t xml:space="preserve">s ziņošanas rezultātā Kontroles dienestā nonāk ziņojumi, kas satur informāciju tikai par konta slēgšanu. </w:t>
            </w:r>
            <w:r w:rsidRPr="002333DC">
              <w:rPr>
                <w:rFonts w:ascii="Times New Roman" w:hAnsi="Times New Roman" w:cs="Times New Roman"/>
                <w:sz w:val="24"/>
                <w:szCs w:val="24"/>
              </w:rPr>
              <w:t>Tos</w:t>
            </w:r>
            <w:r w:rsidR="00E818A1" w:rsidRPr="002333DC">
              <w:rPr>
                <w:rFonts w:ascii="Times New Roman" w:hAnsi="Times New Roman" w:cs="Times New Roman"/>
                <w:sz w:val="24"/>
                <w:szCs w:val="24"/>
              </w:rPr>
              <w:t xml:space="preserve"> nav iespējams izmantot Likuma 50. panta pirmajā daļā noteiktajam Kontroles dienesta mērķim - novērst noziedzīgi iegūtu līdzekļu legalizāciju un terorisma finansēšanu. Šādu ziņojumu sniegšanas nepieciešamība palielina kopējo ziņojumu skaitu un rada efektivitātes procenta kritumu.</w:t>
            </w:r>
          </w:p>
          <w:p w:rsidR="00E51B00" w:rsidRPr="002333DC" w:rsidRDefault="0088499D" w:rsidP="00E51B00">
            <w:pPr>
              <w:pStyle w:val="PlainText"/>
              <w:jc w:val="both"/>
              <w:rPr>
                <w:rFonts w:ascii="Times New Roman" w:hAnsi="Times New Roman" w:cs="Times New Roman"/>
                <w:iCs/>
                <w:sz w:val="24"/>
                <w:szCs w:val="24"/>
              </w:rPr>
            </w:pPr>
            <w:r w:rsidRPr="002333DC">
              <w:rPr>
                <w:rFonts w:ascii="Times New Roman" w:hAnsi="Times New Roman" w:cs="Times New Roman"/>
                <w:sz w:val="24"/>
                <w:szCs w:val="24"/>
              </w:rPr>
              <w:t xml:space="preserve">Ievērojot to, ka </w:t>
            </w:r>
            <w:r w:rsidR="00E51B00" w:rsidRPr="002333DC">
              <w:rPr>
                <w:rFonts w:ascii="Times New Roman" w:hAnsi="Times New Roman" w:cs="Times New Roman"/>
                <w:iCs/>
                <w:sz w:val="24"/>
                <w:szCs w:val="24"/>
              </w:rPr>
              <w:t xml:space="preserve"> Kontroles dienesta pienākumos ietilpst neparastu un aizdomīgu darījumu kontrole, nevis kredītiestāžu</w:t>
            </w:r>
            <w:r w:rsidR="008556EE" w:rsidRPr="002333DC">
              <w:rPr>
                <w:rFonts w:ascii="Times New Roman" w:hAnsi="Times New Roman" w:cs="Times New Roman"/>
                <w:iCs/>
                <w:sz w:val="24"/>
                <w:szCs w:val="24"/>
              </w:rPr>
              <w:t xml:space="preserve"> vai finanšu iestāžu</w:t>
            </w:r>
            <w:r w:rsidR="00E51B00" w:rsidRPr="002333DC">
              <w:rPr>
                <w:rFonts w:ascii="Times New Roman" w:hAnsi="Times New Roman" w:cs="Times New Roman"/>
                <w:iCs/>
                <w:sz w:val="24"/>
                <w:szCs w:val="24"/>
              </w:rPr>
              <w:t xml:space="preserve"> un to klientu darījuma </w:t>
            </w:r>
            <w:r w:rsidRPr="002333DC">
              <w:rPr>
                <w:rFonts w:ascii="Times New Roman" w:hAnsi="Times New Roman" w:cs="Times New Roman"/>
                <w:iCs/>
                <w:sz w:val="24"/>
                <w:szCs w:val="24"/>
              </w:rPr>
              <w:t>attiecību izbeigšanas kontrole, nepieciešams veikt atbilstošus grozījumus Likuma 43. panta otrajā daļā.</w:t>
            </w:r>
          </w:p>
          <w:p w:rsidR="00E51B00" w:rsidRPr="002333DC" w:rsidRDefault="003D361E" w:rsidP="00E51B00">
            <w:pPr>
              <w:pStyle w:val="PlainText"/>
              <w:jc w:val="both"/>
              <w:rPr>
                <w:rFonts w:ascii="Times New Roman" w:hAnsi="Times New Roman" w:cs="Times New Roman"/>
                <w:iCs/>
                <w:sz w:val="24"/>
                <w:szCs w:val="24"/>
              </w:rPr>
            </w:pPr>
            <w:r w:rsidRPr="002333DC">
              <w:rPr>
                <w:rFonts w:ascii="Times New Roman" w:hAnsi="Times New Roman" w:cs="Times New Roman"/>
                <w:iCs/>
                <w:sz w:val="24"/>
                <w:szCs w:val="24"/>
              </w:rPr>
              <w:t>Likumprojekts paredz Lik</w:t>
            </w:r>
            <w:r w:rsidR="0088499D" w:rsidRPr="002333DC">
              <w:rPr>
                <w:rFonts w:ascii="Times New Roman" w:hAnsi="Times New Roman" w:cs="Times New Roman"/>
                <w:iCs/>
                <w:sz w:val="24"/>
                <w:szCs w:val="24"/>
              </w:rPr>
              <w:t>uma 43.panta otrajā daļā</w:t>
            </w:r>
            <w:r w:rsidR="004F0A2B" w:rsidRPr="002333DC">
              <w:rPr>
                <w:rFonts w:ascii="Times New Roman" w:hAnsi="Times New Roman" w:cs="Times New Roman"/>
                <w:iCs/>
                <w:sz w:val="24"/>
                <w:szCs w:val="24"/>
              </w:rPr>
              <w:t xml:space="preserve"> ietvert regulējumu, kas nosaka</w:t>
            </w:r>
            <w:r w:rsidR="002017DD" w:rsidRPr="002333DC">
              <w:rPr>
                <w:rFonts w:ascii="Times New Roman" w:hAnsi="Times New Roman" w:cs="Times New Roman"/>
                <w:iCs/>
                <w:sz w:val="24"/>
                <w:szCs w:val="24"/>
              </w:rPr>
              <w:t>,</w:t>
            </w:r>
            <w:r w:rsidR="00E51B00" w:rsidRPr="002333DC">
              <w:rPr>
                <w:rFonts w:ascii="Times New Roman" w:hAnsi="Times New Roman" w:cs="Times New Roman"/>
                <w:iCs/>
                <w:sz w:val="24"/>
                <w:szCs w:val="24"/>
              </w:rPr>
              <w:t xml:space="preserve"> kā kredītiestādēm vai finanšu iestādēm jārīkojas </w:t>
            </w:r>
            <w:r w:rsidR="004F0A2B" w:rsidRPr="002333DC">
              <w:rPr>
                <w:rFonts w:ascii="Times New Roman" w:hAnsi="Times New Roman" w:cs="Times New Roman"/>
                <w:iCs/>
                <w:sz w:val="24"/>
                <w:szCs w:val="24"/>
              </w:rPr>
              <w:t>gadījumos</w:t>
            </w:r>
            <w:r w:rsidR="00E51B00" w:rsidRPr="002333DC">
              <w:rPr>
                <w:rFonts w:ascii="Times New Roman" w:hAnsi="Times New Roman" w:cs="Times New Roman"/>
                <w:iCs/>
                <w:sz w:val="24"/>
                <w:szCs w:val="24"/>
              </w:rPr>
              <w:t xml:space="preserve">, </w:t>
            </w:r>
            <w:r w:rsidR="004F0A2B" w:rsidRPr="002333DC">
              <w:rPr>
                <w:rFonts w:ascii="Times New Roman" w:hAnsi="Times New Roman" w:cs="Times New Roman"/>
                <w:iCs/>
                <w:sz w:val="24"/>
                <w:szCs w:val="24"/>
              </w:rPr>
              <w:t>kad</w:t>
            </w:r>
            <w:r w:rsidR="00E51B00" w:rsidRPr="002333DC">
              <w:rPr>
                <w:rFonts w:ascii="Times New Roman" w:hAnsi="Times New Roman" w:cs="Times New Roman"/>
                <w:iCs/>
                <w:sz w:val="24"/>
                <w:szCs w:val="24"/>
              </w:rPr>
              <w:t xml:space="preserve"> slēdzot kontu tiek konstatētas aizdomas par noziedzīgi iegūtu līdzekļu legalizāciju vai terorisma finansēšanu, kas ir atbilstoša Likuma 30. un 32.pantā paredzētajai kārtībai</w:t>
            </w:r>
            <w:r w:rsidR="004F0A2B" w:rsidRPr="002333DC">
              <w:rPr>
                <w:rFonts w:ascii="Times New Roman" w:hAnsi="Times New Roman" w:cs="Times New Roman"/>
                <w:iCs/>
                <w:sz w:val="24"/>
                <w:szCs w:val="24"/>
              </w:rPr>
              <w:t>, kā arī</w:t>
            </w:r>
            <w:r w:rsidR="00E51B00" w:rsidRPr="002333DC">
              <w:rPr>
                <w:rFonts w:ascii="Times New Roman" w:hAnsi="Times New Roman" w:cs="Times New Roman"/>
                <w:iCs/>
                <w:sz w:val="24"/>
                <w:szCs w:val="24"/>
              </w:rPr>
              <w:t xml:space="preserve"> novērsīs nepieciešamību ziņot par darījumu attiecību izbeigšanu situācijās, kad nepastāv aizdomas par noziedzīgi iegūtu līdzekļu legalizāciju vai terorisma finansēšanu.  </w:t>
            </w:r>
            <w:r w:rsidR="002D045E" w:rsidRPr="002333DC">
              <w:rPr>
                <w:rFonts w:ascii="Times New Roman" w:hAnsi="Times New Roman" w:cs="Times New Roman"/>
                <w:iCs/>
                <w:sz w:val="24"/>
                <w:szCs w:val="24"/>
              </w:rPr>
              <w:t xml:space="preserve"> </w:t>
            </w:r>
          </w:p>
          <w:p w:rsidR="00E818A1" w:rsidRPr="002333DC" w:rsidRDefault="0088499D" w:rsidP="005804BA">
            <w:pPr>
              <w:pStyle w:val="PlainText"/>
              <w:jc w:val="both"/>
              <w:rPr>
                <w:rFonts w:ascii="Times New Roman" w:hAnsi="Times New Roman" w:cs="Times New Roman"/>
                <w:sz w:val="24"/>
                <w:szCs w:val="24"/>
              </w:rPr>
            </w:pPr>
            <w:r w:rsidRPr="002333DC">
              <w:rPr>
                <w:rFonts w:ascii="Times New Roman" w:hAnsi="Times New Roman" w:cs="Times New Roman"/>
                <w:iCs/>
                <w:sz w:val="24"/>
                <w:szCs w:val="24"/>
              </w:rPr>
              <w:t xml:space="preserve">Tāpat Likumprojekts paredz </w:t>
            </w:r>
            <w:r w:rsidR="002D045E" w:rsidRPr="002333DC">
              <w:rPr>
                <w:rFonts w:ascii="Times New Roman" w:hAnsi="Times New Roman" w:cs="Times New Roman"/>
                <w:iCs/>
                <w:sz w:val="24"/>
                <w:szCs w:val="24"/>
              </w:rPr>
              <w:t>precīzāku regulējumu rīcībai</w:t>
            </w:r>
            <w:r w:rsidRPr="002333DC">
              <w:rPr>
                <w:rFonts w:ascii="Times New Roman" w:hAnsi="Times New Roman" w:cs="Times New Roman"/>
                <w:iCs/>
                <w:sz w:val="24"/>
                <w:szCs w:val="24"/>
              </w:rPr>
              <w:t xml:space="preserve"> situācijās</w:t>
            </w:r>
            <w:r w:rsidR="00E51B00" w:rsidRPr="002333DC">
              <w:rPr>
                <w:rFonts w:ascii="Times New Roman" w:hAnsi="Times New Roman" w:cs="Times New Roman"/>
                <w:iCs/>
                <w:sz w:val="24"/>
                <w:szCs w:val="24"/>
              </w:rPr>
              <w:t xml:space="preserve">, kad </w:t>
            </w:r>
            <w:r w:rsidRPr="002333DC">
              <w:rPr>
                <w:rFonts w:ascii="Times New Roman" w:hAnsi="Times New Roman" w:cs="Times New Roman"/>
                <w:iCs/>
                <w:sz w:val="24"/>
                <w:szCs w:val="24"/>
              </w:rPr>
              <w:t xml:space="preserve">klientam nav </w:t>
            </w:r>
            <w:r w:rsidR="00E51B00" w:rsidRPr="002333DC">
              <w:rPr>
                <w:rFonts w:ascii="Times New Roman" w:hAnsi="Times New Roman" w:cs="Times New Roman"/>
                <w:iCs/>
                <w:sz w:val="24"/>
                <w:szCs w:val="24"/>
              </w:rPr>
              <w:t xml:space="preserve"> </w:t>
            </w:r>
            <w:r w:rsidRPr="002333DC">
              <w:rPr>
                <w:rFonts w:ascii="Times New Roman" w:hAnsi="Times New Roman" w:cs="Times New Roman"/>
                <w:iCs/>
                <w:sz w:val="24"/>
                <w:szCs w:val="24"/>
              </w:rPr>
              <w:t xml:space="preserve">iespējas </w:t>
            </w:r>
            <w:r w:rsidR="00E51B00" w:rsidRPr="002333DC">
              <w:rPr>
                <w:rFonts w:ascii="Times New Roman" w:hAnsi="Times New Roman" w:cs="Times New Roman"/>
                <w:iCs/>
                <w:sz w:val="24"/>
                <w:szCs w:val="24"/>
              </w:rPr>
              <w:t xml:space="preserve">piekļūt saviem līdzekļiem, izbeidzot darījuma attiecības ar kredītiestādi vai finanšu iestādi, neskatoties uz to, ka nepastāv aizdomas par noziedzīgi iegūtu līdzekļu legalizāciju vai terorisma finansēšanu, </w:t>
            </w:r>
            <w:r w:rsidRPr="002333DC">
              <w:rPr>
                <w:rFonts w:ascii="Times New Roman" w:hAnsi="Times New Roman" w:cs="Times New Roman"/>
                <w:iCs/>
                <w:sz w:val="24"/>
                <w:szCs w:val="24"/>
              </w:rPr>
              <w:t>un</w:t>
            </w:r>
            <w:r w:rsidR="00E51B00" w:rsidRPr="002333DC">
              <w:rPr>
                <w:rFonts w:ascii="Times New Roman" w:hAnsi="Times New Roman" w:cs="Times New Roman"/>
                <w:iCs/>
                <w:sz w:val="24"/>
                <w:szCs w:val="24"/>
              </w:rPr>
              <w:t xml:space="preserve"> klient</w:t>
            </w:r>
            <w:r w:rsidRPr="002333DC">
              <w:rPr>
                <w:rFonts w:ascii="Times New Roman" w:hAnsi="Times New Roman" w:cs="Times New Roman"/>
                <w:iCs/>
                <w:sz w:val="24"/>
                <w:szCs w:val="24"/>
              </w:rPr>
              <w:t xml:space="preserve">am nav </w:t>
            </w:r>
            <w:r w:rsidRPr="002333DC">
              <w:rPr>
                <w:rFonts w:ascii="Times New Roman" w:hAnsi="Times New Roman" w:cs="Times New Roman"/>
                <w:iCs/>
                <w:sz w:val="24"/>
                <w:szCs w:val="24"/>
              </w:rPr>
              <w:lastRenderedPageBreak/>
              <w:t xml:space="preserve">iespējas vai klients </w:t>
            </w:r>
            <w:r w:rsidR="00E51B00" w:rsidRPr="002333DC">
              <w:rPr>
                <w:rFonts w:ascii="Times New Roman" w:hAnsi="Times New Roman" w:cs="Times New Roman"/>
                <w:iCs/>
                <w:sz w:val="24"/>
                <w:szCs w:val="24"/>
              </w:rPr>
              <w:t>nevēlas atvērt norēķina kontu citā kredītiestādē vai finanšu iestādē.</w:t>
            </w:r>
            <w:r w:rsidR="00E51B00" w:rsidRPr="002333DC">
              <w:rPr>
                <w:rFonts w:ascii="Times New Roman" w:hAnsi="Times New Roman" w:cs="Times New Roman"/>
                <w:sz w:val="24"/>
                <w:szCs w:val="24"/>
              </w:rPr>
              <w:t xml:space="preserve"> </w:t>
            </w:r>
          </w:p>
          <w:p w:rsidR="00813558" w:rsidRPr="002F50FC" w:rsidRDefault="00E818A1" w:rsidP="005804BA">
            <w:pPr>
              <w:pStyle w:val="PlainText"/>
              <w:jc w:val="both"/>
              <w:rPr>
                <w:rFonts w:ascii="Times New Roman" w:hAnsi="Times New Roman" w:cs="Times New Roman"/>
                <w:sz w:val="24"/>
                <w:szCs w:val="24"/>
              </w:rPr>
            </w:pPr>
            <w:r w:rsidRPr="002333DC">
              <w:rPr>
                <w:rFonts w:ascii="Times New Roman" w:hAnsi="Times New Roman" w:cs="Times New Roman"/>
                <w:sz w:val="24"/>
                <w:szCs w:val="24"/>
              </w:rPr>
              <w:t>Tādējādi likumprojekts veicina klientu tiesību aizsardzību.</w:t>
            </w:r>
          </w:p>
        </w:tc>
      </w:tr>
      <w:tr w:rsidR="00225B51" w:rsidRPr="00225B51" w:rsidTr="00433BC1">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rsidR="00E4242F" w:rsidRPr="00225B51" w:rsidRDefault="007E2D24" w:rsidP="002A2871">
            <w:pPr>
              <w:jc w:val="both"/>
              <w:rPr>
                <w:rFonts w:cs="Times New Roman"/>
                <w:szCs w:val="24"/>
              </w:rPr>
            </w:pPr>
            <w:r w:rsidRPr="00225B51">
              <w:rPr>
                <w:rFonts w:cs="Times New Roman"/>
                <w:szCs w:val="24"/>
              </w:rPr>
              <w:t>Par likumprojekta izstrādi atbildīgā ins</w:t>
            </w:r>
            <w:r w:rsidR="002A2871" w:rsidRPr="00225B51">
              <w:rPr>
                <w:rFonts w:cs="Times New Roman"/>
                <w:szCs w:val="24"/>
              </w:rPr>
              <w:t>titūcija ir Finanšu ministrija.</w:t>
            </w:r>
          </w:p>
          <w:p w:rsidR="002A2871" w:rsidRPr="00225B51" w:rsidRDefault="00DE4670" w:rsidP="008638C6">
            <w:pPr>
              <w:jc w:val="both"/>
              <w:rPr>
                <w:rFonts w:cs="Times New Roman"/>
                <w:szCs w:val="24"/>
              </w:rPr>
            </w:pPr>
            <w:r w:rsidRPr="00225B51">
              <w:rPr>
                <w:rFonts w:cs="Times New Roman"/>
                <w:szCs w:val="24"/>
              </w:rPr>
              <w:t xml:space="preserve">Likumprojekts izstrādāts konsultējoties ar </w:t>
            </w:r>
            <w:r w:rsidR="00E62191" w:rsidRPr="00225B51">
              <w:rPr>
                <w:rFonts w:cs="Times New Roman"/>
                <w:szCs w:val="24"/>
              </w:rPr>
              <w:t>Kontroles dienestu</w:t>
            </w:r>
            <w:r w:rsidR="005072B6">
              <w:rPr>
                <w:rFonts w:cs="Times New Roman"/>
                <w:szCs w:val="24"/>
              </w:rPr>
              <w:t>, Finanšu un kapitāla tirgus komisiju</w:t>
            </w:r>
            <w:r w:rsidR="009631C6">
              <w:rPr>
                <w:rFonts w:cs="Times New Roman"/>
                <w:szCs w:val="24"/>
              </w:rPr>
              <w:t xml:space="preserve"> un</w:t>
            </w:r>
            <w:r w:rsidR="005072B6">
              <w:rPr>
                <w:rFonts w:cs="Times New Roman"/>
                <w:szCs w:val="24"/>
              </w:rPr>
              <w:t xml:space="preserve"> </w:t>
            </w:r>
            <w:r w:rsidR="00595BB9">
              <w:rPr>
                <w:rFonts w:cs="Times New Roman"/>
                <w:szCs w:val="24"/>
              </w:rPr>
              <w:t>Latvijas Komercbanku a</w:t>
            </w:r>
            <w:r w:rsidR="009631C6">
              <w:rPr>
                <w:rFonts w:cs="Times New Roman"/>
                <w:szCs w:val="24"/>
              </w:rPr>
              <w:t>sociāciju</w:t>
            </w:r>
            <w:r w:rsidR="00646173" w:rsidRPr="00225B51">
              <w:rPr>
                <w:rFonts w:cs="Times New Roman"/>
                <w:szCs w:val="24"/>
              </w:rPr>
              <w:t xml:space="preserve">. </w:t>
            </w:r>
          </w:p>
        </w:tc>
      </w:tr>
      <w:tr w:rsidR="00225B51" w:rsidRPr="00225B51" w:rsidTr="00433BC1">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rsidR="006F5CE5" w:rsidRPr="00225B51" w:rsidRDefault="006F5CE5" w:rsidP="004C68AC">
            <w:pPr>
              <w:spacing w:before="100" w:beforeAutospacing="1" w:after="100" w:afterAutospacing="1" w:line="360" w:lineRule="auto"/>
              <w:rPr>
                <w:rFonts w:eastAsia="Times New Roman" w:cs="Times New Roman"/>
                <w:szCs w:val="24"/>
                <w:lang w:eastAsia="lv-LV"/>
              </w:rPr>
            </w:pPr>
            <w:r w:rsidRPr="00225B51">
              <w:rPr>
                <w:rFonts w:eastAsia="Times New Roman" w:cs="Times New Roman"/>
                <w:szCs w:val="24"/>
                <w:lang w:eastAsia="lv-LV"/>
              </w:rPr>
              <w:t>Nav</w:t>
            </w:r>
          </w:p>
        </w:tc>
      </w:tr>
    </w:tbl>
    <w:p w:rsidR="006F5CE5" w:rsidRPr="00225B51" w:rsidRDefault="006F5CE5" w:rsidP="008E5BD3">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675"/>
        <w:gridCol w:w="5506"/>
      </w:tblGrid>
      <w:tr w:rsidR="00225B51" w:rsidRPr="00225B51" w:rsidTr="00C26F1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F5CE5" w:rsidRPr="00225B51" w:rsidRDefault="006F5CE5" w:rsidP="006F5CE5">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II. Tiesību akta projekta ietekme uz sabiedrību, tautsaimniecības attīstību un administratīvo slogu</w:t>
            </w:r>
          </w:p>
        </w:tc>
      </w:tr>
      <w:tr w:rsidR="00225B51" w:rsidRPr="00225B51" w:rsidTr="00C26F1D">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 xml:space="preserve">Sabiedrības </w:t>
            </w:r>
            <w:proofErr w:type="spellStart"/>
            <w:r w:rsidRPr="00225B51">
              <w:rPr>
                <w:rFonts w:eastAsia="Times New Roman" w:cs="Times New Roman"/>
                <w:szCs w:val="24"/>
                <w:lang w:eastAsia="lv-LV"/>
              </w:rPr>
              <w:t>mērķgrupas</w:t>
            </w:r>
            <w:proofErr w:type="spellEnd"/>
            <w:r w:rsidRPr="00225B51">
              <w:rPr>
                <w:rFonts w:eastAsia="Times New Roman" w:cs="Times New Roman"/>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rsidR="006F5CE5" w:rsidRPr="00225B51" w:rsidRDefault="00E62191" w:rsidP="0082392B">
            <w:pPr>
              <w:jc w:val="both"/>
              <w:rPr>
                <w:rFonts w:eastAsia="Times New Roman" w:cs="Times New Roman"/>
                <w:szCs w:val="24"/>
                <w:lang w:eastAsia="lv-LV"/>
              </w:rPr>
            </w:pPr>
            <w:r w:rsidRPr="00225B51">
              <w:rPr>
                <w:rFonts w:eastAsia="Times New Roman" w:cs="Times New Roman"/>
                <w:szCs w:val="24"/>
                <w:lang w:eastAsia="lv-LV"/>
              </w:rPr>
              <w:t xml:space="preserve">Kontroles dienests, </w:t>
            </w:r>
            <w:r w:rsidR="00031F2D" w:rsidRPr="00225B51">
              <w:rPr>
                <w:rFonts w:eastAsia="Times New Roman" w:cs="Times New Roman"/>
                <w:szCs w:val="24"/>
                <w:lang w:eastAsia="lv-LV"/>
              </w:rPr>
              <w:t>Likuma subjekti un</w:t>
            </w:r>
            <w:r w:rsidR="00B23861" w:rsidRPr="00225B51">
              <w:rPr>
                <w:rFonts w:eastAsia="Times New Roman" w:cs="Times New Roman"/>
                <w:szCs w:val="24"/>
                <w:lang w:eastAsia="lv-LV"/>
              </w:rPr>
              <w:t xml:space="preserve"> Likuma 45.pantā norādītās</w:t>
            </w:r>
            <w:r w:rsidR="00031F2D" w:rsidRPr="00225B51">
              <w:rPr>
                <w:rFonts w:eastAsia="Times New Roman" w:cs="Times New Roman"/>
                <w:szCs w:val="24"/>
                <w:lang w:eastAsia="lv-LV"/>
              </w:rPr>
              <w:t xml:space="preserve"> institūcijas</w:t>
            </w:r>
            <w:r w:rsidR="00B23861" w:rsidRPr="00225B51">
              <w:rPr>
                <w:rFonts w:eastAsia="Times New Roman" w:cs="Times New Roman"/>
                <w:szCs w:val="24"/>
                <w:lang w:eastAsia="lv-LV"/>
              </w:rPr>
              <w:t>,</w:t>
            </w:r>
            <w:r w:rsidRPr="00225B51">
              <w:rPr>
                <w:rFonts w:eastAsia="Times New Roman" w:cs="Times New Roman"/>
                <w:szCs w:val="24"/>
                <w:lang w:eastAsia="lv-LV"/>
              </w:rPr>
              <w:t xml:space="preserve"> uz kurām attieksies inf</w:t>
            </w:r>
            <w:r w:rsidR="005308AA">
              <w:rPr>
                <w:rFonts w:eastAsia="Times New Roman" w:cs="Times New Roman"/>
                <w:szCs w:val="24"/>
                <w:lang w:eastAsia="lv-LV"/>
              </w:rPr>
              <w:t>ormācijas sniegšanas pienākumus, kredītiestādes</w:t>
            </w:r>
            <w:r w:rsidR="00A43DB0">
              <w:rPr>
                <w:rFonts w:eastAsia="Times New Roman" w:cs="Times New Roman"/>
                <w:szCs w:val="24"/>
                <w:lang w:eastAsia="lv-LV"/>
              </w:rPr>
              <w:t>, finanšu iestādes</w:t>
            </w:r>
            <w:r w:rsidR="005308AA">
              <w:rPr>
                <w:rFonts w:eastAsia="Times New Roman" w:cs="Times New Roman"/>
                <w:szCs w:val="24"/>
                <w:lang w:eastAsia="lv-LV"/>
              </w:rPr>
              <w:t xml:space="preserve"> un to klienti. </w:t>
            </w:r>
          </w:p>
        </w:tc>
      </w:tr>
      <w:tr w:rsidR="00225B51" w:rsidRPr="00225B51" w:rsidTr="00C26F1D">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rsidR="00734710" w:rsidRPr="00225B51" w:rsidRDefault="00DC1C92" w:rsidP="00734710">
            <w:pPr>
              <w:jc w:val="both"/>
              <w:rPr>
                <w:rFonts w:cs="Times New Roman"/>
                <w:szCs w:val="24"/>
              </w:rPr>
            </w:pPr>
            <w:r w:rsidRPr="00225B51">
              <w:rPr>
                <w:rFonts w:eastAsia="Times New Roman" w:cs="Times New Roman"/>
                <w:szCs w:val="24"/>
                <w:lang w:eastAsia="lv-LV"/>
              </w:rPr>
              <w:t xml:space="preserve">Likumprojekts nodrošinās pilnīgāku valsts politikas īstenošanu attiecībā uz </w:t>
            </w:r>
            <w:r w:rsidRPr="00225B51">
              <w:rPr>
                <w:rFonts w:cs="Times New Roman"/>
                <w:szCs w:val="24"/>
              </w:rPr>
              <w:t xml:space="preserve">noziedzīgi iegūtu līdzekļu legalizācijas un terorisma finansēšanas </w:t>
            </w:r>
            <w:r w:rsidR="00ED51AF" w:rsidRPr="00225B51">
              <w:rPr>
                <w:rFonts w:cs="Times New Roman"/>
                <w:szCs w:val="24"/>
              </w:rPr>
              <w:t xml:space="preserve">risku </w:t>
            </w:r>
            <w:r w:rsidRPr="00225B51">
              <w:rPr>
                <w:rFonts w:cs="Times New Roman"/>
                <w:szCs w:val="24"/>
              </w:rPr>
              <w:t>nov</w:t>
            </w:r>
            <w:r w:rsidR="00ED51AF" w:rsidRPr="00225B51">
              <w:rPr>
                <w:rFonts w:cs="Times New Roman"/>
                <w:szCs w:val="24"/>
              </w:rPr>
              <w:t>ēršanu</w:t>
            </w:r>
            <w:r w:rsidRPr="00225B51">
              <w:rPr>
                <w:rFonts w:cs="Times New Roman"/>
                <w:szCs w:val="24"/>
              </w:rPr>
              <w:t xml:space="preserve">. </w:t>
            </w:r>
            <w:r w:rsidR="00734710" w:rsidRPr="00225B51">
              <w:rPr>
                <w:rFonts w:eastAsia="Times New Roman" w:cs="Times New Roman"/>
                <w:szCs w:val="24"/>
                <w:lang w:eastAsia="lv-LV"/>
              </w:rPr>
              <w:t xml:space="preserve">Līdz ar </w:t>
            </w:r>
            <w:r w:rsidR="00E4242F" w:rsidRPr="00225B51">
              <w:rPr>
                <w:rFonts w:eastAsia="Times New Roman" w:cs="Times New Roman"/>
                <w:szCs w:val="24"/>
                <w:lang w:eastAsia="lv-LV"/>
              </w:rPr>
              <w:t>likum</w:t>
            </w:r>
            <w:r w:rsidR="00734710" w:rsidRPr="00225B51">
              <w:rPr>
                <w:rFonts w:eastAsia="Times New Roman" w:cs="Times New Roman"/>
                <w:szCs w:val="24"/>
                <w:lang w:eastAsia="lv-LV"/>
              </w:rPr>
              <w:t xml:space="preserve">projekta apstiprināšanu Kontroles dienesta pienākums būs </w:t>
            </w:r>
            <w:r w:rsidR="00B96223" w:rsidRPr="00225B51">
              <w:rPr>
                <w:rFonts w:cs="Times New Roman"/>
                <w:bCs/>
                <w:szCs w:val="24"/>
              </w:rPr>
              <w:t xml:space="preserve">analizēt </w:t>
            </w:r>
            <w:r w:rsidR="00B96223" w:rsidRPr="00225B51">
              <w:rPr>
                <w:rFonts w:cs="Times New Roman"/>
                <w:szCs w:val="24"/>
              </w:rPr>
              <w:t>noziedzīgi iegūtu līdzekļu legalizācijas un terorisma finansēšanas novēršanas regulējošos normatīvos aktus, sagatavot priekšlikumus normatīvo aktu pilnveidošanai, organizēt un veikt noziedzīgi iegūtu līdzekļu legalizācijas un terorisma finansēšanas risku novērtēšanu, kā arī izstrādāt priekšlikumus šo risku līmeņa mazināšanai</w:t>
            </w:r>
            <w:r w:rsidR="00734710" w:rsidRPr="00225B51">
              <w:rPr>
                <w:rFonts w:cs="Times New Roman"/>
                <w:szCs w:val="24"/>
              </w:rPr>
              <w:t>.</w:t>
            </w:r>
          </w:p>
          <w:p w:rsidR="005804BA" w:rsidRDefault="00E62191" w:rsidP="001E40B7">
            <w:pPr>
              <w:jc w:val="both"/>
              <w:rPr>
                <w:rFonts w:cs="Times New Roman"/>
                <w:szCs w:val="24"/>
              </w:rPr>
            </w:pPr>
            <w:r w:rsidRPr="00225B51">
              <w:rPr>
                <w:rFonts w:cs="Times New Roman"/>
                <w:szCs w:val="24"/>
              </w:rPr>
              <w:t>Kontroles dienesta tiesība būs</w:t>
            </w:r>
            <w:r w:rsidR="00F010D1" w:rsidRPr="00225B51">
              <w:rPr>
                <w:rFonts w:cs="Times New Roman"/>
                <w:szCs w:val="24"/>
              </w:rPr>
              <w:t xml:space="preserve"> pieprasīt un saņemt informāciju, kas nepieciešama noziedzīgi iegūtu līdzekļu legalizācijas un terorisma finansēšanas risku novērtēšanai no Likuma 3.pantā norādītajiem subjektiem un 45.pantā minētajām institūcijām.</w:t>
            </w:r>
          </w:p>
          <w:p w:rsidR="00B37614" w:rsidRDefault="002F50FC" w:rsidP="001E40B7">
            <w:pPr>
              <w:jc w:val="both"/>
              <w:rPr>
                <w:rFonts w:cs="Times New Roman"/>
                <w:szCs w:val="24"/>
              </w:rPr>
            </w:pPr>
            <w:r>
              <w:rPr>
                <w:rFonts w:cs="Times New Roman"/>
                <w:szCs w:val="24"/>
              </w:rPr>
              <w:t>Kredītiestādēm un finanšu iestādēm nebūs nepieciešams sniegt ziņojumus</w:t>
            </w:r>
            <w:r w:rsidR="00CE384C">
              <w:rPr>
                <w:rFonts w:cs="Times New Roman"/>
                <w:szCs w:val="24"/>
              </w:rPr>
              <w:t xml:space="preserve"> Kontroles dienestam</w:t>
            </w:r>
            <w:r>
              <w:rPr>
                <w:rFonts w:cs="Times New Roman"/>
                <w:szCs w:val="24"/>
              </w:rPr>
              <w:t xml:space="preserve"> par kontu slēgšanu, kas uzskatāmi par tehniska rakstura ziņojumiem un nav izmantojami Kontroles dienesta funkciju veikšanai, līdz ar to nav uzskatāmi par lietderīgiem. </w:t>
            </w:r>
          </w:p>
          <w:p w:rsidR="00B37614" w:rsidRPr="00225B51" w:rsidRDefault="008C7488" w:rsidP="001E40B7">
            <w:pPr>
              <w:jc w:val="both"/>
              <w:rPr>
                <w:rFonts w:cs="Times New Roman"/>
                <w:szCs w:val="24"/>
              </w:rPr>
            </w:pPr>
            <w:r>
              <w:rPr>
                <w:rFonts w:cs="Times New Roman"/>
                <w:szCs w:val="24"/>
              </w:rPr>
              <w:t>Likumprojekts paredz</w:t>
            </w:r>
            <w:r w:rsidR="00CE384C">
              <w:rPr>
                <w:rFonts w:cs="Times New Roman"/>
                <w:szCs w:val="24"/>
              </w:rPr>
              <w:t xml:space="preserve"> precizēt</w:t>
            </w:r>
            <w:r>
              <w:rPr>
                <w:rFonts w:cs="Times New Roman"/>
                <w:szCs w:val="24"/>
              </w:rPr>
              <w:t xml:space="preserve"> </w:t>
            </w:r>
            <w:r w:rsidR="005B0A1B">
              <w:rPr>
                <w:rFonts w:cs="Times New Roman"/>
                <w:szCs w:val="24"/>
              </w:rPr>
              <w:t>regulējumu kredītiestāžu vai finanšu iestāžu rīcībai</w:t>
            </w:r>
            <w:r>
              <w:rPr>
                <w:rFonts w:cs="Times New Roman"/>
                <w:szCs w:val="24"/>
              </w:rPr>
              <w:t>,</w:t>
            </w:r>
            <w:r w:rsidR="005B0A1B">
              <w:rPr>
                <w:rFonts w:cs="Times New Roman"/>
                <w:szCs w:val="24"/>
              </w:rPr>
              <w:t xml:space="preserve"> gadījumos, kad tiek izbeigtas</w:t>
            </w:r>
            <w:r>
              <w:rPr>
                <w:rFonts w:cs="Times New Roman"/>
                <w:szCs w:val="24"/>
              </w:rPr>
              <w:t xml:space="preserve"> </w:t>
            </w:r>
            <w:r>
              <w:rPr>
                <w:rFonts w:cs="Times New Roman"/>
                <w:szCs w:val="24"/>
              </w:rPr>
              <w:lastRenderedPageBreak/>
              <w:t>darījuma attiecības</w:t>
            </w:r>
            <w:r w:rsidR="005B0A1B">
              <w:rPr>
                <w:rFonts w:cs="Times New Roman"/>
                <w:szCs w:val="24"/>
              </w:rPr>
              <w:t xml:space="preserve"> ar klientu</w:t>
            </w:r>
            <w:r>
              <w:rPr>
                <w:rFonts w:cs="Times New Roman"/>
                <w:szCs w:val="24"/>
              </w:rPr>
              <w:t>,</w:t>
            </w:r>
            <w:r w:rsidR="005B0A1B">
              <w:rPr>
                <w:rFonts w:cs="Times New Roman"/>
                <w:szCs w:val="24"/>
              </w:rPr>
              <w:t xml:space="preserve"> </w:t>
            </w:r>
            <w:r w:rsidR="00CE384C">
              <w:rPr>
                <w:rFonts w:cs="Times New Roman"/>
                <w:szCs w:val="24"/>
              </w:rPr>
              <w:t>veicinot to tiesību ievērošanu.</w:t>
            </w:r>
            <w:r w:rsidR="005B0A1B">
              <w:rPr>
                <w:rFonts w:ascii="Book Antiqua" w:hAnsi="Book Antiqua"/>
                <w:i/>
                <w:iCs/>
              </w:rPr>
              <w:t xml:space="preserve"> </w:t>
            </w:r>
          </w:p>
        </w:tc>
      </w:tr>
      <w:tr w:rsidR="00225B51" w:rsidRPr="00225B51" w:rsidTr="00C26F1D">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rsidR="002A2871" w:rsidRPr="00B66FB4" w:rsidRDefault="00B66FB4" w:rsidP="00B66FB4">
            <w:pPr>
              <w:jc w:val="both"/>
              <w:rPr>
                <w:rFonts w:eastAsia="Calibri" w:cs="Times New Roman"/>
                <w:szCs w:val="24"/>
              </w:rPr>
            </w:pPr>
            <w:r>
              <w:rPr>
                <w:rFonts w:eastAsia="Calibri" w:cs="Times New Roman"/>
                <w:szCs w:val="24"/>
              </w:rPr>
              <w:t>Ņemot</w:t>
            </w:r>
            <w:r w:rsidR="006628BE">
              <w:rPr>
                <w:rFonts w:eastAsia="Calibri" w:cs="Times New Roman"/>
                <w:szCs w:val="24"/>
              </w:rPr>
              <w:t xml:space="preserve"> vērā, ka risku analīzes procesu būs iespējams   uzsākt tikai pēc Likumprojekta spēkā stāšanās</w:t>
            </w:r>
            <w:r>
              <w:rPr>
                <w:rFonts w:eastAsia="Calibri" w:cs="Times New Roman"/>
                <w:szCs w:val="24"/>
              </w:rPr>
              <w:t xml:space="preserve">, </w:t>
            </w:r>
            <w:r w:rsidR="006628BE">
              <w:rPr>
                <w:rFonts w:eastAsia="Calibri" w:cs="Times New Roman"/>
                <w:szCs w:val="24"/>
              </w:rPr>
              <w:t xml:space="preserve">šobrīd </w:t>
            </w:r>
            <w:r>
              <w:rPr>
                <w:rFonts w:eastAsia="Calibri" w:cs="Times New Roman"/>
                <w:szCs w:val="24"/>
              </w:rPr>
              <w:t xml:space="preserve">nav iespējams precīzi noteikt pieprasāmās informācijas apjomu un tās veidus, līdz ar to </w:t>
            </w:r>
            <w:r>
              <w:rPr>
                <w:rFonts w:eastAsia="Times New Roman" w:cs="Times New Roman"/>
                <w:szCs w:val="24"/>
                <w:lang w:eastAsia="lv-LV"/>
              </w:rPr>
              <w:t>a</w:t>
            </w:r>
            <w:r w:rsidRPr="00225B51">
              <w:rPr>
                <w:rFonts w:eastAsia="Times New Roman" w:cs="Times New Roman"/>
                <w:szCs w:val="24"/>
                <w:lang w:eastAsia="lv-LV"/>
              </w:rPr>
              <w:t>dministratīvo izmaksu mon</w:t>
            </w:r>
            <w:r>
              <w:rPr>
                <w:rFonts w:eastAsia="Times New Roman" w:cs="Times New Roman"/>
                <w:szCs w:val="24"/>
                <w:lang w:eastAsia="lv-LV"/>
              </w:rPr>
              <w:t>etāro novērtējumu</w:t>
            </w:r>
            <w:r>
              <w:rPr>
                <w:rFonts w:eastAsia="Calibri" w:cs="Times New Roman"/>
                <w:szCs w:val="24"/>
              </w:rPr>
              <w:t xml:space="preserve">  š</w:t>
            </w:r>
            <w:r w:rsidR="0057708B" w:rsidRPr="00225B51">
              <w:rPr>
                <w:rFonts w:eastAsia="Calibri" w:cs="Times New Roman"/>
                <w:szCs w:val="24"/>
              </w:rPr>
              <w:t>obrīd nav iespējams noteikt vai prognozēt.</w:t>
            </w:r>
          </w:p>
        </w:tc>
      </w:tr>
      <w:tr w:rsidR="00225B51" w:rsidRPr="00225B51" w:rsidTr="00C26F1D">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6F5CE5" w:rsidRPr="00225B51" w:rsidRDefault="00734710" w:rsidP="00734710">
            <w:pPr>
              <w:spacing w:before="100" w:beforeAutospacing="1" w:after="100" w:afterAutospacing="1" w:line="360" w:lineRule="auto"/>
              <w:jc w:val="both"/>
              <w:rPr>
                <w:rFonts w:eastAsia="Times New Roman" w:cs="Times New Roman"/>
                <w:szCs w:val="24"/>
                <w:lang w:eastAsia="lv-LV"/>
              </w:rPr>
            </w:pPr>
            <w:r w:rsidRPr="00225B51">
              <w:rPr>
                <w:rFonts w:eastAsia="Times New Roman" w:cs="Times New Roman"/>
                <w:szCs w:val="24"/>
                <w:lang w:eastAsia="lv-LV"/>
              </w:rPr>
              <w:t>Nav</w:t>
            </w:r>
            <w:r w:rsidR="00B96223" w:rsidRPr="00225B51">
              <w:rPr>
                <w:rFonts w:eastAsia="Times New Roman" w:cs="Times New Roman"/>
                <w:szCs w:val="24"/>
                <w:lang w:eastAsia="lv-LV"/>
              </w:rPr>
              <w:t xml:space="preserve"> </w:t>
            </w:r>
          </w:p>
        </w:tc>
      </w:tr>
    </w:tbl>
    <w:p w:rsidR="002329CE" w:rsidRPr="00225B51" w:rsidRDefault="002329CE" w:rsidP="008E5BD3">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75"/>
        <w:gridCol w:w="1201"/>
        <w:gridCol w:w="1340"/>
        <w:gridCol w:w="1372"/>
        <w:gridCol w:w="1372"/>
        <w:gridCol w:w="1693"/>
      </w:tblGrid>
      <w:tr w:rsidR="00225B51" w:rsidRPr="00225B51" w:rsidTr="00B76AFD">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III. Tiesību akta projekta ietekme uz valsts budžetu un pašvaldību budžetiem</w:t>
            </w:r>
          </w:p>
        </w:tc>
      </w:tr>
      <w:tr w:rsidR="00225B51" w:rsidRPr="00225B51" w:rsidTr="007A1011">
        <w:trPr>
          <w:tblCellSpacing w:w="15" w:type="dxa"/>
          <w:jc w:val="center"/>
        </w:trPr>
        <w:tc>
          <w:tcPr>
            <w:tcW w:w="955" w:type="pct"/>
            <w:vMerge w:val="restar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Rādītāji</w:t>
            </w:r>
          </w:p>
        </w:tc>
        <w:tc>
          <w:tcPr>
            <w:tcW w:w="145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76AFD" w:rsidRPr="00225B51" w:rsidRDefault="007A1011" w:rsidP="00B76AFD">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2015</w:t>
            </w:r>
            <w:r w:rsidR="00E505FB" w:rsidRPr="00225B51">
              <w:rPr>
                <w:rFonts w:eastAsia="Times New Roman" w:cs="Times New Roman"/>
                <w:b/>
                <w:bCs/>
                <w:szCs w:val="24"/>
                <w:lang w:eastAsia="lv-LV"/>
              </w:rPr>
              <w:t>.</w:t>
            </w:r>
            <w:r w:rsidR="00B76AFD" w:rsidRPr="00225B51">
              <w:rPr>
                <w:rFonts w:eastAsia="Times New Roman" w:cs="Times New Roman"/>
                <w:b/>
                <w:bCs/>
                <w:szCs w:val="24"/>
                <w:lang w:eastAsia="lv-LV"/>
              </w:rPr>
              <w:t xml:space="preserve"> gads</w:t>
            </w:r>
          </w:p>
        </w:tc>
        <w:tc>
          <w:tcPr>
            <w:tcW w:w="2519" w:type="pct"/>
            <w:gridSpan w:val="3"/>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Turpmākie trīs gadi (</w:t>
            </w:r>
            <w:proofErr w:type="spellStart"/>
            <w:r w:rsidRPr="00225B51">
              <w:rPr>
                <w:rFonts w:eastAsia="Times New Roman" w:cs="Times New Roman"/>
                <w:i/>
                <w:iCs/>
                <w:szCs w:val="24"/>
                <w:lang w:eastAsia="lv-LV"/>
              </w:rPr>
              <w:t>euro</w:t>
            </w:r>
            <w:proofErr w:type="spellEnd"/>
            <w:r w:rsidRPr="00225B51">
              <w:rPr>
                <w:rFonts w:eastAsia="Times New Roman" w:cs="Times New Roman"/>
                <w:szCs w:val="24"/>
                <w:lang w:eastAsia="lv-LV"/>
              </w:rPr>
              <w:t>)</w:t>
            </w:r>
          </w:p>
        </w:tc>
      </w:tr>
      <w:tr w:rsidR="00225B51" w:rsidRPr="00225B51" w:rsidTr="007A101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rPr>
                <w:rFonts w:eastAsia="Times New Roman" w:cs="Times New Roman"/>
                <w:b/>
                <w:bCs/>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rPr>
                <w:rFonts w:eastAsia="Times New Roman" w:cs="Times New Roman"/>
                <w:b/>
                <w:bCs/>
                <w:szCs w:val="24"/>
                <w:lang w:eastAsia="lv-LV"/>
              </w:rPr>
            </w:pPr>
          </w:p>
        </w:tc>
        <w:tc>
          <w:tcPr>
            <w:tcW w:w="786"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7A1011" w:rsidP="00B76AFD">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2016</w:t>
            </w:r>
          </w:p>
        </w:tc>
        <w:tc>
          <w:tcPr>
            <w:tcW w:w="786"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E505FB" w:rsidP="007A1011">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201</w:t>
            </w:r>
            <w:r w:rsidR="007A1011">
              <w:rPr>
                <w:rFonts w:eastAsia="Times New Roman" w:cs="Times New Roman"/>
                <w:b/>
                <w:bCs/>
                <w:szCs w:val="24"/>
                <w:lang w:eastAsia="lv-LV"/>
              </w:rPr>
              <w:t>7</w:t>
            </w:r>
          </w:p>
        </w:tc>
        <w:tc>
          <w:tcPr>
            <w:tcW w:w="910"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E505FB" w:rsidP="007A1011">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201</w:t>
            </w:r>
            <w:r w:rsidR="007A1011">
              <w:rPr>
                <w:rFonts w:eastAsia="Times New Roman" w:cs="Times New Roman"/>
                <w:b/>
                <w:bCs/>
                <w:szCs w:val="24"/>
                <w:lang w:eastAsia="lv-LV"/>
              </w:rPr>
              <w:t>8</w:t>
            </w:r>
          </w:p>
        </w:tc>
      </w:tr>
      <w:tr w:rsidR="00225B51" w:rsidRPr="00225B51" w:rsidTr="007A101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rPr>
                <w:rFonts w:eastAsia="Times New Roman" w:cs="Times New Roman"/>
                <w:b/>
                <w:bCs/>
                <w:szCs w:val="24"/>
                <w:lang w:eastAsia="lv-LV"/>
              </w:rPr>
            </w:pPr>
          </w:p>
        </w:tc>
        <w:tc>
          <w:tcPr>
            <w:tcW w:w="686"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saskaņā ar valsts budžetu kārtējam gadam</w:t>
            </w:r>
          </w:p>
        </w:tc>
        <w:tc>
          <w:tcPr>
            <w:tcW w:w="750"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izmaiņas kārtējā gadā, salīdzinot ar valsts budžetu kārtējam gadam</w:t>
            </w:r>
          </w:p>
        </w:tc>
        <w:tc>
          <w:tcPr>
            <w:tcW w:w="786"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izmaiņas, salīdzinot ar kārtējo (n) gadu</w:t>
            </w:r>
          </w:p>
        </w:tc>
        <w:tc>
          <w:tcPr>
            <w:tcW w:w="786"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izmaiņas, salīdzinot ar kārtējo (n) gadu</w:t>
            </w:r>
          </w:p>
        </w:tc>
        <w:tc>
          <w:tcPr>
            <w:tcW w:w="910"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izmaiņas, salīdzinot ar kārtējo (n) gadu</w:t>
            </w:r>
          </w:p>
        </w:tc>
      </w:tr>
      <w:tr w:rsidR="00225B5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1</w:t>
            </w:r>
          </w:p>
        </w:tc>
        <w:tc>
          <w:tcPr>
            <w:tcW w:w="686"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3</w:t>
            </w:r>
          </w:p>
        </w:tc>
        <w:tc>
          <w:tcPr>
            <w:tcW w:w="786"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4</w:t>
            </w:r>
          </w:p>
        </w:tc>
        <w:tc>
          <w:tcPr>
            <w:tcW w:w="786"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5</w:t>
            </w:r>
          </w:p>
        </w:tc>
        <w:tc>
          <w:tcPr>
            <w:tcW w:w="910" w:type="pct"/>
            <w:tcBorders>
              <w:top w:val="outset" w:sz="6" w:space="0" w:color="auto"/>
              <w:left w:val="outset" w:sz="6" w:space="0" w:color="auto"/>
              <w:bottom w:val="outset" w:sz="6" w:space="0" w:color="auto"/>
              <w:right w:val="outset" w:sz="6" w:space="0" w:color="auto"/>
            </w:tcBorders>
            <w:vAlign w:val="center"/>
            <w:hideMark/>
          </w:tcPr>
          <w:p w:rsidR="00B76AFD" w:rsidRPr="00225B51" w:rsidRDefault="00B76AFD" w:rsidP="00B76AFD">
            <w:pPr>
              <w:spacing w:before="100" w:beforeAutospacing="1" w:after="100" w:afterAutospacing="1" w:line="360" w:lineRule="auto"/>
              <w:ind w:firstLine="300"/>
              <w:jc w:val="center"/>
              <w:rPr>
                <w:rFonts w:eastAsia="Times New Roman" w:cs="Times New Roman"/>
                <w:szCs w:val="24"/>
                <w:lang w:eastAsia="lv-LV"/>
              </w:rPr>
            </w:pPr>
            <w:r w:rsidRPr="00225B51">
              <w:rPr>
                <w:rFonts w:eastAsia="Times New Roman" w:cs="Times New Roman"/>
                <w:szCs w:val="24"/>
                <w:lang w:eastAsia="lv-LV"/>
              </w:rPr>
              <w:t>6</w:t>
            </w:r>
          </w:p>
        </w:tc>
      </w:tr>
      <w:tr w:rsidR="00225B5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B76AFD" w:rsidRPr="00225B51" w:rsidRDefault="00B76AFD" w:rsidP="00B76AFD">
            <w:pPr>
              <w:rPr>
                <w:rFonts w:eastAsia="Times New Roman" w:cs="Times New Roman"/>
                <w:szCs w:val="24"/>
                <w:lang w:eastAsia="lv-LV"/>
              </w:rPr>
            </w:pPr>
            <w:r w:rsidRPr="00225B51">
              <w:rPr>
                <w:rFonts w:eastAsia="Times New Roman" w:cs="Times New Roman"/>
                <w:szCs w:val="24"/>
                <w:lang w:eastAsia="lv-LV"/>
              </w:rPr>
              <w:t>1. Budžeta ieņēmumi:</w:t>
            </w:r>
          </w:p>
        </w:tc>
        <w:tc>
          <w:tcPr>
            <w:tcW w:w="6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E710B6">
              <w:rPr>
                <w:rFonts w:eastAsia="Times New Roman" w:cs="Times New Roman"/>
                <w:szCs w:val="24"/>
                <w:lang w:eastAsia="lv-LV"/>
              </w:rPr>
              <w:t>95275</w:t>
            </w:r>
          </w:p>
        </w:tc>
        <w:tc>
          <w:tcPr>
            <w:tcW w:w="750"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r>
      <w:tr w:rsidR="00225B5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B76AFD" w:rsidRPr="00225B51" w:rsidRDefault="00B76AFD" w:rsidP="00B76AFD">
            <w:pPr>
              <w:rPr>
                <w:rFonts w:eastAsia="Times New Roman" w:cs="Times New Roman"/>
                <w:szCs w:val="24"/>
                <w:lang w:eastAsia="lv-LV"/>
              </w:rPr>
            </w:pPr>
            <w:r w:rsidRPr="00225B51">
              <w:rPr>
                <w:rFonts w:eastAsia="Times New Roman" w:cs="Times New Roman"/>
                <w:szCs w:val="24"/>
                <w:lang w:eastAsia="lv-LV"/>
              </w:rPr>
              <w:t>1.1. valsts pamatbudžets, tai skaitā ieņēmumi no maksas pakalpojumiem un citi pašu ieņēmumi</w:t>
            </w:r>
          </w:p>
        </w:tc>
        <w:tc>
          <w:tcPr>
            <w:tcW w:w="6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E710B6">
              <w:rPr>
                <w:rFonts w:eastAsia="Times New Roman" w:cs="Times New Roman"/>
                <w:szCs w:val="24"/>
                <w:lang w:eastAsia="lv-LV"/>
              </w:rPr>
              <w:t>95275</w:t>
            </w:r>
          </w:p>
        </w:tc>
        <w:tc>
          <w:tcPr>
            <w:tcW w:w="750"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r>
      <w:tr w:rsidR="00225B5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B76AFD" w:rsidRPr="00225B51" w:rsidRDefault="00B76AFD" w:rsidP="00B76AFD">
            <w:pPr>
              <w:rPr>
                <w:rFonts w:eastAsia="Times New Roman" w:cs="Times New Roman"/>
                <w:szCs w:val="24"/>
                <w:lang w:eastAsia="lv-LV"/>
              </w:rPr>
            </w:pPr>
            <w:r w:rsidRPr="00225B51">
              <w:rPr>
                <w:rFonts w:eastAsia="Times New Roman" w:cs="Times New Roman"/>
                <w:szCs w:val="24"/>
                <w:lang w:eastAsia="lv-LV"/>
              </w:rPr>
              <w:lastRenderedPageBreak/>
              <w:t>1.2. valsts speciālais budžets</w:t>
            </w:r>
          </w:p>
        </w:tc>
        <w:tc>
          <w:tcPr>
            <w:tcW w:w="6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r>
      <w:tr w:rsidR="00225B5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B76AFD" w:rsidRPr="00225B51" w:rsidRDefault="00B76AFD" w:rsidP="00B76AFD">
            <w:pPr>
              <w:rPr>
                <w:rFonts w:eastAsia="Times New Roman" w:cs="Times New Roman"/>
                <w:szCs w:val="24"/>
                <w:lang w:eastAsia="lv-LV"/>
              </w:rPr>
            </w:pPr>
            <w:r w:rsidRPr="00225B51">
              <w:rPr>
                <w:rFonts w:eastAsia="Times New Roman" w:cs="Times New Roman"/>
                <w:szCs w:val="24"/>
                <w:lang w:eastAsia="lv-LV"/>
              </w:rPr>
              <w:t>1.3. pašvaldību budžets</w:t>
            </w:r>
          </w:p>
        </w:tc>
        <w:tc>
          <w:tcPr>
            <w:tcW w:w="6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rsidR="00B76AFD" w:rsidRPr="00225B51" w:rsidRDefault="00B76AFD"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2. Budžeta izdevumi:</w:t>
            </w:r>
          </w:p>
        </w:tc>
        <w:tc>
          <w:tcPr>
            <w:tcW w:w="6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A37AF" w:rsidRPr="00225B51">
              <w:rPr>
                <w:rFonts w:eastAsia="Times New Roman" w:cs="Times New Roman"/>
                <w:szCs w:val="24"/>
                <w:lang w:eastAsia="lv-LV"/>
              </w:rPr>
              <w:t>95275</w:t>
            </w: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363497" w:rsidP="00363497">
            <w:pPr>
              <w:jc w:val="right"/>
              <w:rPr>
                <w:rFonts w:eastAsia="Times New Roman" w:cs="Times New Roman"/>
                <w:szCs w:val="24"/>
                <w:lang w:eastAsia="lv-LV"/>
              </w:rPr>
            </w:pPr>
            <w:r>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tcPr>
          <w:p w:rsidR="007A1011" w:rsidRPr="00225B51" w:rsidRDefault="007A1011" w:rsidP="00363497">
            <w:pPr>
              <w:jc w:val="right"/>
              <w:rPr>
                <w:rFonts w:eastAsia="Times New Roman" w:cs="Times New Roman"/>
                <w:szCs w:val="24"/>
                <w:lang w:eastAsia="lv-LV"/>
              </w:rPr>
            </w:pPr>
            <w:r>
              <w:rPr>
                <w:rFonts w:eastAsia="Times New Roman" w:cs="Times New Roman"/>
                <w:szCs w:val="24"/>
                <w:lang w:eastAsia="lv-LV"/>
              </w:rPr>
              <w:t>46045</w:t>
            </w:r>
          </w:p>
        </w:tc>
        <w:tc>
          <w:tcPr>
            <w:tcW w:w="786" w:type="pct"/>
            <w:tcBorders>
              <w:top w:val="outset" w:sz="6" w:space="0" w:color="auto"/>
              <w:left w:val="outset" w:sz="6" w:space="0" w:color="auto"/>
              <w:bottom w:val="outset" w:sz="6" w:space="0" w:color="auto"/>
              <w:right w:val="outset" w:sz="6" w:space="0" w:color="auto"/>
            </w:tcBorders>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Pr>
                <w:rFonts w:eastAsia="Times New Roman" w:cs="Times New Roman"/>
                <w:szCs w:val="24"/>
                <w:lang w:eastAsia="lv-LV"/>
              </w:rPr>
              <w:t>8878</w:t>
            </w:r>
          </w:p>
        </w:tc>
        <w:tc>
          <w:tcPr>
            <w:tcW w:w="910" w:type="pct"/>
            <w:tcBorders>
              <w:top w:val="outset" w:sz="6" w:space="0" w:color="auto"/>
              <w:left w:val="outset" w:sz="6" w:space="0" w:color="auto"/>
              <w:bottom w:val="outset" w:sz="6" w:space="0" w:color="auto"/>
              <w:right w:val="outset" w:sz="6" w:space="0" w:color="auto"/>
            </w:tcBorders>
          </w:tcPr>
          <w:p w:rsidR="007A1011" w:rsidRPr="00225B51" w:rsidRDefault="00BD4504" w:rsidP="00363497">
            <w:pPr>
              <w:jc w:val="right"/>
              <w:rPr>
                <w:rFonts w:eastAsia="Times New Roman" w:cs="Times New Roman"/>
                <w:szCs w:val="24"/>
                <w:lang w:eastAsia="lv-LV"/>
              </w:rPr>
            </w:pPr>
            <w:r>
              <w:rPr>
                <w:rFonts w:eastAsia="Times New Roman" w:cs="Times New Roman"/>
                <w:szCs w:val="24"/>
                <w:lang w:eastAsia="lv-LV"/>
              </w:rPr>
              <w:t>8878</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2.1. valsts pamatbudžets</w:t>
            </w:r>
          </w:p>
        </w:tc>
        <w:tc>
          <w:tcPr>
            <w:tcW w:w="6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A37AF" w:rsidRPr="00225B51">
              <w:rPr>
                <w:rFonts w:eastAsia="Times New Roman" w:cs="Times New Roman"/>
                <w:szCs w:val="24"/>
                <w:lang w:eastAsia="lv-LV"/>
              </w:rPr>
              <w:t>95275</w:t>
            </w: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tcPr>
          <w:p w:rsidR="007A1011" w:rsidRPr="00225B51" w:rsidRDefault="007A1011" w:rsidP="00363497">
            <w:pPr>
              <w:jc w:val="right"/>
              <w:rPr>
                <w:rFonts w:eastAsia="Times New Roman" w:cs="Times New Roman"/>
                <w:szCs w:val="24"/>
                <w:lang w:eastAsia="lv-LV"/>
              </w:rPr>
            </w:pPr>
            <w:r>
              <w:rPr>
                <w:rFonts w:eastAsia="Times New Roman" w:cs="Times New Roman"/>
                <w:szCs w:val="24"/>
                <w:lang w:eastAsia="lv-LV"/>
              </w:rPr>
              <w:t>46045</w:t>
            </w:r>
          </w:p>
        </w:tc>
        <w:tc>
          <w:tcPr>
            <w:tcW w:w="786" w:type="pct"/>
            <w:tcBorders>
              <w:top w:val="outset" w:sz="6" w:space="0" w:color="auto"/>
              <w:left w:val="outset" w:sz="6" w:space="0" w:color="auto"/>
              <w:bottom w:val="outset" w:sz="6" w:space="0" w:color="auto"/>
              <w:right w:val="outset" w:sz="6" w:space="0" w:color="auto"/>
            </w:tcBorders>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Pr>
                <w:rFonts w:eastAsia="Times New Roman" w:cs="Times New Roman"/>
                <w:szCs w:val="24"/>
                <w:lang w:eastAsia="lv-LV"/>
              </w:rPr>
              <w:t>8878</w:t>
            </w:r>
          </w:p>
        </w:tc>
        <w:tc>
          <w:tcPr>
            <w:tcW w:w="910" w:type="pct"/>
            <w:tcBorders>
              <w:top w:val="outset" w:sz="6" w:space="0" w:color="auto"/>
              <w:left w:val="outset" w:sz="6" w:space="0" w:color="auto"/>
              <w:bottom w:val="outset" w:sz="6" w:space="0" w:color="auto"/>
              <w:right w:val="outset" w:sz="6" w:space="0" w:color="auto"/>
            </w:tcBorders>
          </w:tcPr>
          <w:p w:rsidR="007A1011" w:rsidRPr="00225B51" w:rsidRDefault="00BD4504" w:rsidP="00363497">
            <w:pPr>
              <w:jc w:val="right"/>
              <w:rPr>
                <w:rFonts w:eastAsia="Times New Roman" w:cs="Times New Roman"/>
                <w:szCs w:val="24"/>
                <w:lang w:eastAsia="lv-LV"/>
              </w:rPr>
            </w:pPr>
            <w:r>
              <w:rPr>
                <w:rFonts w:eastAsia="Times New Roman" w:cs="Times New Roman"/>
                <w:szCs w:val="24"/>
                <w:lang w:eastAsia="lv-LV"/>
              </w:rPr>
              <w:t>8878</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2.2. valsts speciālais budžets</w:t>
            </w:r>
          </w:p>
        </w:tc>
        <w:tc>
          <w:tcPr>
            <w:tcW w:w="6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2.3. pašvaldību budžets</w:t>
            </w:r>
          </w:p>
        </w:tc>
        <w:tc>
          <w:tcPr>
            <w:tcW w:w="6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3. Finansiālā ietekme:</w:t>
            </w:r>
          </w:p>
        </w:tc>
        <w:tc>
          <w:tcPr>
            <w:tcW w:w="686" w:type="pct"/>
            <w:tcBorders>
              <w:top w:val="outset" w:sz="6" w:space="0" w:color="auto"/>
              <w:left w:val="outset" w:sz="6" w:space="0" w:color="auto"/>
              <w:bottom w:val="outset" w:sz="6" w:space="0" w:color="auto"/>
              <w:right w:val="outset" w:sz="6" w:space="0" w:color="auto"/>
            </w:tcBorders>
            <w:vAlign w:val="center"/>
            <w:hideMark/>
          </w:tcPr>
          <w:p w:rsidR="007A1011" w:rsidRPr="00225B51" w:rsidRDefault="00363497" w:rsidP="00363497">
            <w:pPr>
              <w:jc w:val="right"/>
              <w:rPr>
                <w:rFonts w:eastAsia="Times New Roman" w:cs="Times New Roman"/>
                <w:szCs w:val="24"/>
                <w:lang w:eastAsia="lv-LV"/>
              </w:rPr>
            </w:pPr>
            <w:r>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Pr>
                <w:rFonts w:eastAsia="Times New Roman" w:cs="Times New Roman"/>
                <w:szCs w:val="24"/>
                <w:lang w:eastAsia="lv-LV"/>
              </w:rPr>
              <w:t>-</w:t>
            </w:r>
            <w:r w:rsidRPr="00225B51">
              <w:rPr>
                <w:rFonts w:eastAsia="Times New Roman" w:cs="Times New Roman"/>
                <w:szCs w:val="24"/>
                <w:lang w:eastAsia="lv-LV"/>
              </w:rPr>
              <w:t> </w:t>
            </w:r>
            <w:r>
              <w:rPr>
                <w:rFonts w:eastAsia="Times New Roman" w:cs="Times New Roman"/>
                <w:szCs w:val="24"/>
                <w:lang w:eastAsia="lv-LV"/>
              </w:rPr>
              <w:t>46045</w:t>
            </w:r>
          </w:p>
        </w:tc>
        <w:tc>
          <w:tcPr>
            <w:tcW w:w="786" w:type="pct"/>
            <w:tcBorders>
              <w:top w:val="outset" w:sz="6" w:space="0" w:color="auto"/>
              <w:left w:val="outset" w:sz="6" w:space="0" w:color="auto"/>
              <w:bottom w:val="outset" w:sz="6" w:space="0" w:color="auto"/>
              <w:right w:val="outset" w:sz="6" w:space="0" w:color="auto"/>
            </w:tcBorders>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Pr>
                <w:rFonts w:eastAsia="Times New Roman" w:cs="Times New Roman"/>
                <w:szCs w:val="24"/>
                <w:lang w:eastAsia="lv-LV"/>
              </w:rPr>
              <w:t>8878</w:t>
            </w:r>
          </w:p>
        </w:tc>
        <w:tc>
          <w:tcPr>
            <w:tcW w:w="910" w:type="pct"/>
            <w:tcBorders>
              <w:top w:val="outset" w:sz="6" w:space="0" w:color="auto"/>
              <w:left w:val="outset" w:sz="6" w:space="0" w:color="auto"/>
              <w:bottom w:val="outset" w:sz="6" w:space="0" w:color="auto"/>
              <w:right w:val="outset" w:sz="6" w:space="0" w:color="auto"/>
            </w:tcBorders>
          </w:tcPr>
          <w:p w:rsidR="007A1011" w:rsidRPr="00225B51" w:rsidRDefault="00BD4504" w:rsidP="00363497">
            <w:pPr>
              <w:jc w:val="right"/>
              <w:rPr>
                <w:rFonts w:eastAsia="Times New Roman" w:cs="Times New Roman"/>
                <w:szCs w:val="24"/>
                <w:lang w:eastAsia="lv-LV"/>
              </w:rPr>
            </w:pPr>
            <w:r>
              <w:rPr>
                <w:rFonts w:eastAsia="Times New Roman" w:cs="Times New Roman"/>
                <w:szCs w:val="24"/>
                <w:lang w:eastAsia="lv-LV"/>
              </w:rPr>
              <w:t>-8878</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3.1. valsts pamatbudžets</w:t>
            </w:r>
          </w:p>
        </w:tc>
        <w:tc>
          <w:tcPr>
            <w:tcW w:w="6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Pr>
                <w:rFonts w:eastAsia="Times New Roman" w:cs="Times New Roman"/>
                <w:szCs w:val="24"/>
                <w:lang w:eastAsia="lv-LV"/>
              </w:rPr>
              <w:t>-</w:t>
            </w:r>
            <w:r w:rsidRPr="00225B51">
              <w:rPr>
                <w:rFonts w:eastAsia="Times New Roman" w:cs="Times New Roman"/>
                <w:szCs w:val="24"/>
                <w:lang w:eastAsia="lv-LV"/>
              </w:rPr>
              <w:t> </w:t>
            </w:r>
            <w:r>
              <w:rPr>
                <w:rFonts w:eastAsia="Times New Roman" w:cs="Times New Roman"/>
                <w:szCs w:val="24"/>
                <w:lang w:eastAsia="lv-LV"/>
              </w:rPr>
              <w:t>46045</w:t>
            </w:r>
          </w:p>
        </w:tc>
        <w:tc>
          <w:tcPr>
            <w:tcW w:w="786" w:type="pct"/>
            <w:tcBorders>
              <w:top w:val="outset" w:sz="6" w:space="0" w:color="auto"/>
              <w:left w:val="outset" w:sz="6" w:space="0" w:color="auto"/>
              <w:bottom w:val="outset" w:sz="6" w:space="0" w:color="auto"/>
              <w:right w:val="outset" w:sz="6" w:space="0" w:color="auto"/>
            </w:tcBorders>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Pr>
                <w:rFonts w:eastAsia="Times New Roman" w:cs="Times New Roman"/>
                <w:szCs w:val="24"/>
                <w:lang w:eastAsia="lv-LV"/>
              </w:rPr>
              <w:t>8878</w:t>
            </w:r>
          </w:p>
        </w:tc>
        <w:tc>
          <w:tcPr>
            <w:tcW w:w="910" w:type="pct"/>
            <w:tcBorders>
              <w:top w:val="outset" w:sz="6" w:space="0" w:color="auto"/>
              <w:left w:val="outset" w:sz="6" w:space="0" w:color="auto"/>
              <w:bottom w:val="outset" w:sz="6" w:space="0" w:color="auto"/>
              <w:right w:val="outset" w:sz="6" w:space="0" w:color="auto"/>
            </w:tcBorders>
          </w:tcPr>
          <w:p w:rsidR="007A1011" w:rsidRPr="00225B51" w:rsidRDefault="00BD4504" w:rsidP="00363497">
            <w:pPr>
              <w:jc w:val="right"/>
              <w:rPr>
                <w:rFonts w:eastAsia="Times New Roman" w:cs="Times New Roman"/>
                <w:szCs w:val="24"/>
                <w:lang w:eastAsia="lv-LV"/>
              </w:rPr>
            </w:pPr>
            <w:r>
              <w:rPr>
                <w:rFonts w:eastAsia="Times New Roman" w:cs="Times New Roman"/>
                <w:szCs w:val="24"/>
                <w:lang w:eastAsia="lv-LV"/>
              </w:rPr>
              <w:t>-8878</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3.2. speciālais budžets</w:t>
            </w:r>
          </w:p>
        </w:tc>
        <w:tc>
          <w:tcPr>
            <w:tcW w:w="6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3.3. pašvaldību budžets</w:t>
            </w:r>
          </w:p>
        </w:tc>
        <w:tc>
          <w:tcPr>
            <w:tcW w:w="6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r>
      <w:tr w:rsidR="007A1011" w:rsidRPr="00225B51" w:rsidTr="007A1011">
        <w:trPr>
          <w:tblCellSpacing w:w="15" w:type="dxa"/>
          <w:jc w:val="center"/>
        </w:trPr>
        <w:tc>
          <w:tcPr>
            <w:tcW w:w="955" w:type="pct"/>
            <w:vMerge w:val="restar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4. Finanšu līdzekļi papildu izdevumu finansēšanai (kompensējošu izdevumu samazinājumu norāda ar "+" zīmi)</w:t>
            </w:r>
          </w:p>
        </w:tc>
        <w:tc>
          <w:tcPr>
            <w:tcW w:w="686" w:type="pct"/>
            <w:vMerge w:val="restart"/>
            <w:tcBorders>
              <w:top w:val="outset" w:sz="6" w:space="0" w:color="auto"/>
              <w:left w:val="outset" w:sz="6" w:space="0" w:color="auto"/>
              <w:bottom w:val="outset" w:sz="6" w:space="0" w:color="auto"/>
              <w:right w:val="outset" w:sz="6" w:space="0" w:color="auto"/>
            </w:tcBorders>
            <w:hideMark/>
          </w:tcPr>
          <w:p w:rsidR="007A1011" w:rsidRPr="00225B51" w:rsidRDefault="00363497" w:rsidP="00363497">
            <w:pPr>
              <w:spacing w:before="100" w:beforeAutospacing="1" w:after="100" w:afterAutospacing="1" w:line="360" w:lineRule="auto"/>
              <w:ind w:firstLine="300"/>
              <w:jc w:val="right"/>
              <w:rPr>
                <w:rFonts w:eastAsia="Times New Roman" w:cs="Times New Roman"/>
                <w:szCs w:val="24"/>
                <w:lang w:eastAsia="lv-LV"/>
              </w:rPr>
            </w:pPr>
            <w:r>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tcPr>
          <w:p w:rsidR="007A1011" w:rsidRPr="00225B51" w:rsidRDefault="00363497" w:rsidP="00363497">
            <w:pPr>
              <w:jc w:val="right"/>
              <w:rPr>
                <w:rFonts w:eastAsia="Times New Roman" w:cs="Times New Roman"/>
                <w:szCs w:val="24"/>
                <w:lang w:eastAsia="lv-LV"/>
              </w:rPr>
            </w:pPr>
            <w:r>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tcPr>
          <w:p w:rsidR="007A1011" w:rsidRPr="00225B51" w:rsidRDefault="00363497" w:rsidP="00363497">
            <w:pPr>
              <w:jc w:val="right"/>
              <w:rPr>
                <w:rFonts w:eastAsia="Times New Roman" w:cs="Times New Roman"/>
                <w:szCs w:val="24"/>
                <w:lang w:eastAsia="lv-LV"/>
              </w:rPr>
            </w:pPr>
            <w:r>
              <w:rPr>
                <w:rFonts w:eastAsia="Times New Roman" w:cs="Times New Roman"/>
                <w:szCs w:val="24"/>
                <w:lang w:eastAsia="lv-LV"/>
              </w:rPr>
              <w:t>0</w:t>
            </w:r>
          </w:p>
        </w:tc>
      </w:tr>
      <w:tr w:rsidR="007A1011" w:rsidRPr="00225B51" w:rsidTr="007A101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1011" w:rsidRPr="00225B51" w:rsidRDefault="007A1011" w:rsidP="007A1011">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011" w:rsidRPr="00225B51" w:rsidRDefault="007A1011" w:rsidP="007A1011">
            <w:pPr>
              <w:rPr>
                <w:rFonts w:eastAsia="Times New Roman" w:cs="Times New Roman"/>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 </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 </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 </w:t>
            </w:r>
          </w:p>
        </w:tc>
        <w:tc>
          <w:tcPr>
            <w:tcW w:w="91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 </w:t>
            </w:r>
          </w:p>
        </w:tc>
      </w:tr>
      <w:tr w:rsidR="007A1011" w:rsidRPr="00225B51" w:rsidTr="007A101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1011" w:rsidRPr="00225B51" w:rsidRDefault="007A1011" w:rsidP="007A1011">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011" w:rsidRPr="00225B51" w:rsidRDefault="007A1011" w:rsidP="007A1011">
            <w:pPr>
              <w:rPr>
                <w:rFonts w:eastAsia="Times New Roman" w:cs="Times New Roman"/>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 </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 </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 </w:t>
            </w:r>
          </w:p>
        </w:tc>
        <w:tc>
          <w:tcPr>
            <w:tcW w:w="91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 </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5. Precizēta finansiālā ietekme:</w:t>
            </w:r>
          </w:p>
        </w:tc>
        <w:tc>
          <w:tcPr>
            <w:tcW w:w="686" w:type="pct"/>
            <w:vMerge w:val="restart"/>
            <w:tcBorders>
              <w:top w:val="outset" w:sz="6" w:space="0" w:color="auto"/>
              <w:left w:val="outset" w:sz="6" w:space="0" w:color="auto"/>
              <w:bottom w:val="outset" w:sz="6" w:space="0" w:color="auto"/>
              <w:right w:val="outset" w:sz="6" w:space="0" w:color="auto"/>
            </w:tcBorders>
            <w:hideMark/>
          </w:tcPr>
          <w:p w:rsidR="007A1011" w:rsidRPr="00225B51" w:rsidRDefault="003A37AF" w:rsidP="00363497">
            <w:pPr>
              <w:spacing w:before="100" w:beforeAutospacing="1" w:after="100" w:afterAutospacing="1" w:line="360" w:lineRule="auto"/>
              <w:ind w:firstLine="300"/>
              <w:jc w:val="right"/>
              <w:rPr>
                <w:rFonts w:eastAsia="Times New Roman" w:cs="Times New Roman"/>
                <w:szCs w:val="24"/>
                <w:lang w:eastAsia="lv-LV"/>
              </w:rPr>
            </w:pPr>
            <w:r>
              <w:rPr>
                <w:rFonts w:eastAsia="Times New Roman" w:cs="Times New Roman"/>
                <w:szCs w:val="24"/>
                <w:lang w:eastAsia="lv-LV"/>
              </w:rPr>
              <w:t>0</w:t>
            </w: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tcPr>
          <w:p w:rsidR="007A1011" w:rsidRPr="00363497" w:rsidRDefault="00363497" w:rsidP="00363497">
            <w:pPr>
              <w:jc w:val="right"/>
              <w:rPr>
                <w:rFonts w:eastAsia="Times New Roman" w:cs="Times New Roman"/>
                <w:szCs w:val="24"/>
                <w:lang w:eastAsia="lv-LV"/>
              </w:rPr>
            </w:pPr>
            <w:r>
              <w:rPr>
                <w:rFonts w:eastAsia="Times New Roman" w:cs="Times New Roman"/>
                <w:szCs w:val="24"/>
                <w:lang w:eastAsia="lv-LV"/>
              </w:rPr>
              <w:t>-</w:t>
            </w:r>
            <w:r w:rsidR="007A1011" w:rsidRPr="00363497">
              <w:rPr>
                <w:rFonts w:eastAsia="Times New Roman" w:cs="Times New Roman"/>
                <w:szCs w:val="24"/>
                <w:lang w:eastAsia="lv-LV"/>
              </w:rPr>
              <w:t>46045</w:t>
            </w:r>
          </w:p>
        </w:tc>
        <w:tc>
          <w:tcPr>
            <w:tcW w:w="786" w:type="pct"/>
            <w:tcBorders>
              <w:top w:val="outset" w:sz="6" w:space="0" w:color="auto"/>
              <w:left w:val="outset" w:sz="6" w:space="0" w:color="auto"/>
              <w:bottom w:val="outset" w:sz="6" w:space="0" w:color="auto"/>
              <w:right w:val="outset" w:sz="6" w:space="0" w:color="auto"/>
            </w:tcBorders>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w:t>
            </w:r>
            <w:r>
              <w:rPr>
                <w:rFonts w:eastAsia="Times New Roman" w:cs="Times New Roman"/>
                <w:szCs w:val="24"/>
                <w:lang w:eastAsia="lv-LV"/>
              </w:rPr>
              <w:t>8878</w:t>
            </w:r>
          </w:p>
        </w:tc>
        <w:tc>
          <w:tcPr>
            <w:tcW w:w="910" w:type="pct"/>
            <w:tcBorders>
              <w:top w:val="outset" w:sz="6" w:space="0" w:color="auto"/>
              <w:left w:val="outset" w:sz="6" w:space="0" w:color="auto"/>
              <w:bottom w:val="outset" w:sz="6" w:space="0" w:color="auto"/>
              <w:right w:val="outset" w:sz="6" w:space="0" w:color="auto"/>
            </w:tcBorders>
          </w:tcPr>
          <w:p w:rsidR="007A1011" w:rsidRPr="00225B51" w:rsidRDefault="00363497" w:rsidP="00363497">
            <w:pPr>
              <w:jc w:val="right"/>
              <w:rPr>
                <w:rFonts w:eastAsia="Times New Roman" w:cs="Times New Roman"/>
                <w:szCs w:val="24"/>
                <w:lang w:eastAsia="lv-LV"/>
              </w:rPr>
            </w:pPr>
            <w:r>
              <w:rPr>
                <w:rFonts w:eastAsia="Times New Roman" w:cs="Times New Roman"/>
                <w:szCs w:val="24"/>
                <w:lang w:eastAsia="lv-LV"/>
              </w:rPr>
              <w:t>-</w:t>
            </w:r>
            <w:r w:rsidR="00BD4504">
              <w:rPr>
                <w:rFonts w:eastAsia="Times New Roman" w:cs="Times New Roman"/>
                <w:szCs w:val="24"/>
                <w:lang w:eastAsia="lv-LV"/>
              </w:rPr>
              <w:t>8878</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011" w:rsidRPr="00225B51" w:rsidRDefault="007A1011" w:rsidP="00363497">
            <w:pPr>
              <w:jc w:val="right"/>
              <w:rPr>
                <w:rFonts w:eastAsia="Times New Roman" w:cs="Times New Roman"/>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011" w:rsidRPr="00225B51" w:rsidRDefault="007A1011" w:rsidP="00363497">
            <w:pPr>
              <w:jc w:val="right"/>
              <w:rPr>
                <w:rFonts w:eastAsia="Times New Roman" w:cs="Times New Roman"/>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011" w:rsidRPr="00225B51" w:rsidRDefault="007A1011" w:rsidP="00363497">
            <w:pPr>
              <w:jc w:val="right"/>
              <w:rPr>
                <w:rFonts w:eastAsia="Times New Roman" w:cs="Times New Roman"/>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786"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c>
          <w:tcPr>
            <w:tcW w:w="910" w:type="pct"/>
            <w:tcBorders>
              <w:top w:val="outset" w:sz="6" w:space="0" w:color="auto"/>
              <w:left w:val="outset" w:sz="6" w:space="0" w:color="auto"/>
              <w:bottom w:val="outset" w:sz="6" w:space="0" w:color="auto"/>
              <w:right w:val="outset" w:sz="6" w:space="0" w:color="auto"/>
            </w:tcBorders>
            <w:hideMark/>
          </w:tcPr>
          <w:p w:rsidR="007A1011" w:rsidRPr="00225B51" w:rsidRDefault="007A1011" w:rsidP="00363497">
            <w:pPr>
              <w:jc w:val="right"/>
              <w:rPr>
                <w:rFonts w:eastAsia="Times New Roman" w:cs="Times New Roman"/>
                <w:szCs w:val="24"/>
                <w:lang w:eastAsia="lv-LV"/>
              </w:rPr>
            </w:pPr>
            <w:r w:rsidRPr="00225B51">
              <w:rPr>
                <w:rFonts w:eastAsia="Times New Roman" w:cs="Times New Roman"/>
                <w:szCs w:val="24"/>
                <w:lang w:eastAsia="lv-LV"/>
              </w:rPr>
              <w:t> </w:t>
            </w:r>
            <w:r w:rsidR="00363497">
              <w:rPr>
                <w:rFonts w:eastAsia="Times New Roman" w:cs="Times New Roman"/>
                <w:szCs w:val="24"/>
                <w:lang w:eastAsia="lv-LV"/>
              </w:rPr>
              <w:t>0</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lastRenderedPageBreak/>
              <w:t>6. Detalizēts ieņēmumu un izdevumu aprēķins (ja nepieciešams, detalizētu ieņēmumu un izdevumu aprēķinu var pievienot anotācijas pielikumā):</w:t>
            </w:r>
          </w:p>
        </w:tc>
        <w:tc>
          <w:tcPr>
            <w:tcW w:w="3991"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 Detalizēti izdevumu aprēķini pievienoti pielikumā</w:t>
            </w: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7A1011" w:rsidRPr="00225B51" w:rsidRDefault="007A1011" w:rsidP="007A1011">
            <w:pPr>
              <w:rPr>
                <w:rFonts w:eastAsia="Times New Roman" w:cs="Times New Roman"/>
                <w:szCs w:val="24"/>
                <w:lang w:eastAsia="lv-LV"/>
              </w:rPr>
            </w:pPr>
          </w:p>
        </w:tc>
      </w:tr>
      <w:tr w:rsidR="007A1011" w:rsidRPr="00225B51" w:rsidTr="007A1011">
        <w:trPr>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7A1011" w:rsidRPr="00225B51" w:rsidRDefault="007A1011" w:rsidP="007A1011">
            <w:pPr>
              <w:rPr>
                <w:rFonts w:eastAsia="Times New Roman" w:cs="Times New Roman"/>
                <w:szCs w:val="24"/>
                <w:lang w:eastAsia="lv-LV"/>
              </w:rPr>
            </w:pPr>
          </w:p>
        </w:tc>
      </w:tr>
      <w:tr w:rsidR="007A1011" w:rsidRPr="00225B51" w:rsidTr="007A1011">
        <w:trPr>
          <w:trHeight w:val="555"/>
          <w:tblCellSpacing w:w="15" w:type="dxa"/>
          <w:jc w:val="center"/>
        </w:trPr>
        <w:tc>
          <w:tcPr>
            <w:tcW w:w="955" w:type="pct"/>
            <w:tcBorders>
              <w:top w:val="outset" w:sz="6" w:space="0" w:color="auto"/>
              <w:left w:val="outset" w:sz="6" w:space="0" w:color="auto"/>
              <w:bottom w:val="outset" w:sz="6" w:space="0" w:color="auto"/>
              <w:right w:val="outset" w:sz="6" w:space="0" w:color="auto"/>
            </w:tcBorders>
            <w:hideMark/>
          </w:tcPr>
          <w:p w:rsidR="007A1011" w:rsidRPr="00225B51" w:rsidRDefault="007A1011" w:rsidP="007A1011">
            <w:pPr>
              <w:rPr>
                <w:rFonts w:eastAsia="Times New Roman" w:cs="Times New Roman"/>
                <w:szCs w:val="24"/>
                <w:lang w:eastAsia="lv-LV"/>
              </w:rPr>
            </w:pPr>
            <w:r w:rsidRPr="00225B51">
              <w:rPr>
                <w:rFonts w:eastAsia="Times New Roman" w:cs="Times New Roman"/>
                <w:szCs w:val="24"/>
                <w:lang w:eastAsia="lv-LV"/>
              </w:rPr>
              <w:t>7. Cita informācija</w:t>
            </w:r>
          </w:p>
        </w:tc>
        <w:tc>
          <w:tcPr>
            <w:tcW w:w="3991" w:type="pct"/>
            <w:gridSpan w:val="5"/>
            <w:tcBorders>
              <w:top w:val="outset" w:sz="6" w:space="0" w:color="auto"/>
              <w:left w:val="outset" w:sz="6" w:space="0" w:color="auto"/>
              <w:bottom w:val="outset" w:sz="6" w:space="0" w:color="auto"/>
              <w:right w:val="outset" w:sz="6" w:space="0" w:color="auto"/>
            </w:tcBorders>
            <w:hideMark/>
          </w:tcPr>
          <w:p w:rsidR="007A1011" w:rsidRPr="008D1856" w:rsidRDefault="007A1011" w:rsidP="007A1011">
            <w:pPr>
              <w:jc w:val="both"/>
              <w:rPr>
                <w:rFonts w:cs="Times New Roman"/>
                <w:szCs w:val="24"/>
              </w:rPr>
            </w:pPr>
            <w:r w:rsidRPr="008D1856">
              <w:rPr>
                <w:rFonts w:cs="Times New Roman"/>
                <w:szCs w:val="24"/>
              </w:rPr>
              <w:t xml:space="preserve">Atbilstoši Ministru kabineta 2014.gada 10.novembra sēdes protokola Nr.61 28.§ “Informatīvais ziņojums "Par ministriju iesniegtajiem priekšlikumiem likumā "Par vidēja termiņa budžeta ietvaru 2014., 2015. un 2016.gadam" 2015.gadam un turpmākajiem gadiem paredzētajam finansējumam jauno politikas iniciatīvu īstenošanai un citu ministriju iesniegto pasākumu, kas pozitīvi ietekmē fiskālās telpas apjomu, izdevumu </w:t>
            </w:r>
            <w:proofErr w:type="spellStart"/>
            <w:r w:rsidRPr="008D1856">
              <w:rPr>
                <w:rFonts w:cs="Times New Roman"/>
                <w:szCs w:val="24"/>
              </w:rPr>
              <w:t>izvērtējums</w:t>
            </w:r>
            <w:proofErr w:type="spellEnd"/>
            <w:r w:rsidRPr="008D1856">
              <w:rPr>
                <w:rFonts w:cs="Times New Roman"/>
                <w:szCs w:val="24"/>
              </w:rPr>
              <w:t xml:space="preserve">"” </w:t>
            </w:r>
            <w:r w:rsidRPr="008D1856">
              <w:rPr>
                <w:rFonts w:cs="Times New Roman"/>
                <w:bCs/>
                <w:szCs w:val="24"/>
              </w:rPr>
              <w:t xml:space="preserve">28.punktā noteiktajam tika </w:t>
            </w:r>
            <w:r w:rsidRPr="008D1856">
              <w:rPr>
                <w:rFonts w:cs="Times New Roman"/>
                <w:szCs w:val="24"/>
              </w:rPr>
              <w:t xml:space="preserve">atbalstīts </w:t>
            </w:r>
            <w:r w:rsidR="00FA1C24">
              <w:rPr>
                <w:rFonts w:cs="Times New Roman"/>
                <w:szCs w:val="24"/>
              </w:rPr>
              <w:t>Ģenerālp</w:t>
            </w:r>
            <w:r w:rsidRPr="008D1856">
              <w:rPr>
                <w:rFonts w:cs="Times New Roman"/>
                <w:szCs w:val="24"/>
              </w:rPr>
              <w:t>rokuratūras priekšlikum</w:t>
            </w:r>
            <w:r>
              <w:rPr>
                <w:rFonts w:cs="Times New Roman"/>
                <w:szCs w:val="24"/>
              </w:rPr>
              <w:t>s</w:t>
            </w:r>
            <w:r w:rsidRPr="008D1856">
              <w:rPr>
                <w:rFonts w:cs="Times New Roman"/>
                <w:szCs w:val="24"/>
              </w:rPr>
              <w:t xml:space="preserve"> par līdzekļu pārdali starp budžeta programmām, samazinot likumā “Par vidēja termiņa budžeta ietvaru 2014., 2015. un 2016.gadam” paredzētos izdevumus jaunajai politikas iniciatīvai “Prokuratūras apsaimniekošanā un lietošanā nodoto nekustamo īpašumu nomas maksa” budžeta programmā 01.00.00 “Prokuratūras iestāžu uzturēšana” 2015.gada</w:t>
            </w:r>
            <w:r w:rsidR="003C1AE8">
              <w:rPr>
                <w:rFonts w:cs="Times New Roman"/>
                <w:szCs w:val="24"/>
              </w:rPr>
              <w:t>m un turpmākajiem gadiem par 95</w:t>
            </w:r>
            <w:r w:rsidRPr="008D1856">
              <w:rPr>
                <w:rFonts w:cs="Times New Roman"/>
                <w:szCs w:val="24"/>
              </w:rPr>
              <w:t>275 EUR katru gadu (izdevumi precēm un pakalpojumiem) un attiecīgi palielinot izdevumus budžeta programmā 02.00.00 “Noziedzīgi iegūtu līdzekļu legalizācijas nov</w:t>
            </w:r>
            <w:r w:rsidR="003C1AE8">
              <w:rPr>
                <w:rFonts w:cs="Times New Roman"/>
                <w:szCs w:val="24"/>
              </w:rPr>
              <w:t>ēršana” (izdevumi atlīdzībai 43</w:t>
            </w:r>
            <w:r w:rsidRPr="008D1856">
              <w:rPr>
                <w:rFonts w:cs="Times New Roman"/>
                <w:szCs w:val="24"/>
              </w:rPr>
              <w:t>764</w:t>
            </w:r>
            <w:r w:rsidR="003C1AE8">
              <w:rPr>
                <w:rFonts w:cs="Times New Roman"/>
                <w:szCs w:val="24"/>
              </w:rPr>
              <w:t xml:space="preserve"> EUR, tai skaitā atalgojumam 35</w:t>
            </w:r>
            <w:r w:rsidRPr="008D1856">
              <w:rPr>
                <w:rFonts w:cs="Times New Roman"/>
                <w:szCs w:val="24"/>
              </w:rPr>
              <w:t>410 EUR, izde</w:t>
            </w:r>
            <w:r w:rsidR="003C1AE8">
              <w:rPr>
                <w:rFonts w:cs="Times New Roman"/>
                <w:szCs w:val="24"/>
              </w:rPr>
              <w:t>vumi precēm un pakalpojumiem 42</w:t>
            </w:r>
            <w:r w:rsidRPr="008D1856">
              <w:rPr>
                <w:rFonts w:cs="Times New Roman"/>
                <w:szCs w:val="24"/>
              </w:rPr>
              <w:t>151 EUR un izde</w:t>
            </w:r>
            <w:r w:rsidR="003C1AE8">
              <w:rPr>
                <w:rFonts w:cs="Times New Roman"/>
                <w:szCs w:val="24"/>
              </w:rPr>
              <w:t>vumi pamatkapitāla veidošanai 9</w:t>
            </w:r>
            <w:r w:rsidRPr="008D1856">
              <w:rPr>
                <w:rFonts w:cs="Times New Roman"/>
                <w:szCs w:val="24"/>
              </w:rPr>
              <w:t xml:space="preserve">360 EUR), lai nodrošinātu </w:t>
            </w:r>
            <w:r w:rsidR="00FA1C24">
              <w:rPr>
                <w:rFonts w:cs="Times New Roman"/>
                <w:szCs w:val="24"/>
              </w:rPr>
              <w:t>Kontroles</w:t>
            </w:r>
            <w:r w:rsidRPr="008D1856">
              <w:rPr>
                <w:rFonts w:cs="Times New Roman"/>
                <w:szCs w:val="24"/>
              </w:rPr>
              <w:t xml:space="preserve"> dienesta kapacitātes stiprināšanu saistībā ar jaunu funkciju izpildi noziedzīgi iegūtu līdzekļu legalizācijas un terorisma finansēšanas risku novēršanā. </w:t>
            </w:r>
          </w:p>
          <w:p w:rsidR="007A1011" w:rsidRPr="00A63A78" w:rsidRDefault="00915F84" w:rsidP="009276AC">
            <w:pPr>
              <w:jc w:val="both"/>
              <w:rPr>
                <w:rFonts w:cs="Times New Roman"/>
                <w:szCs w:val="24"/>
              </w:rPr>
            </w:pPr>
            <w:r>
              <w:rPr>
                <w:rFonts w:cs="Times New Roman"/>
                <w:szCs w:val="28"/>
              </w:rPr>
              <w:t>Jautājumu par</w:t>
            </w:r>
            <w:r>
              <w:rPr>
                <w:rFonts w:eastAsia="Times New Roman" w:cs="Times New Roman"/>
                <w:szCs w:val="28"/>
                <w:lang w:eastAsia="lv-LV"/>
              </w:rPr>
              <w:t xml:space="preserve"> Ģenerālprokuratūrai (</w:t>
            </w:r>
            <w:r w:rsidR="00FA1C24">
              <w:t xml:space="preserve">Kontroles </w:t>
            </w:r>
            <w:r>
              <w:t>dienestam)</w:t>
            </w:r>
            <w:r>
              <w:rPr>
                <w:rFonts w:eastAsia="Times New Roman" w:cs="Times New Roman"/>
                <w:szCs w:val="28"/>
                <w:lang w:eastAsia="lv-LV"/>
              </w:rPr>
              <w:t xml:space="preserve"> </w:t>
            </w:r>
            <w:r w:rsidR="00551B93">
              <w:rPr>
                <w:rFonts w:cs="Times New Roman"/>
                <w:szCs w:val="24"/>
              </w:rPr>
              <w:t xml:space="preserve">papildu nepieciešamo finansējumu 2016.gadam 46045 EUR apmērā, 2017. un </w:t>
            </w:r>
            <w:r w:rsidR="009276AC">
              <w:rPr>
                <w:rFonts w:cs="Times New Roman"/>
                <w:szCs w:val="24"/>
              </w:rPr>
              <w:t>turpmāk ik gadu</w:t>
            </w:r>
            <w:r w:rsidR="00551B93">
              <w:rPr>
                <w:rFonts w:cs="Times New Roman"/>
                <w:szCs w:val="24"/>
              </w:rPr>
              <w:t xml:space="preserve"> 8878 EUR apmērā, izskatīt Ministru  kabinetā likumprojekta “Par valsts budžetu 2016. gadam” un likumprojekta “Par vidēja termiņa budžeta ietvaru 2016., 2017. un 2018. gadam” </w:t>
            </w:r>
            <w:r w:rsidR="00551B93">
              <w:rPr>
                <w:rFonts w:cs="Times New Roman"/>
                <w:szCs w:val="24"/>
              </w:rPr>
              <w:lastRenderedPageBreak/>
              <w:t>sagatavošanas un izskatīšanas procesā kopā ar visu ministriju un citu centrālo valsts iestāžu priekšlikumiem jaunajām politikas iniciatīvām.</w:t>
            </w:r>
            <w:r w:rsidRPr="00193DF8">
              <w:rPr>
                <w:rFonts w:cs="Times New Roman"/>
                <w:szCs w:val="24"/>
              </w:rPr>
              <w:t xml:space="preserve"> </w:t>
            </w:r>
            <w:r w:rsidRPr="00E01481">
              <w:rPr>
                <w:rFonts w:eastAsia="Times New Roman" w:cs="Times New Roman"/>
                <w:szCs w:val="28"/>
                <w:lang w:eastAsia="lv-LV"/>
              </w:rPr>
              <w:t xml:space="preserve"> </w:t>
            </w:r>
            <w:r>
              <w:rPr>
                <w:rFonts w:eastAsia="Times New Roman" w:cs="Times New Roman"/>
                <w:szCs w:val="28"/>
                <w:lang w:eastAsia="lv-LV"/>
              </w:rPr>
              <w:t xml:space="preserve"> </w:t>
            </w:r>
          </w:p>
        </w:tc>
      </w:tr>
    </w:tbl>
    <w:p w:rsidR="000D2D03" w:rsidRPr="00225B51" w:rsidRDefault="000D2D03" w:rsidP="005A5E87">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504"/>
        <w:gridCol w:w="5677"/>
      </w:tblGrid>
      <w:tr w:rsidR="00225B51" w:rsidRPr="00225B51" w:rsidTr="006F5CE5">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F5CE5" w:rsidRPr="00225B51" w:rsidRDefault="006F5CE5" w:rsidP="006F5CE5">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IV. Tiesību akta projekta ietekme uz spēkā esošo tiesību normu sistēmu</w:t>
            </w:r>
          </w:p>
        </w:tc>
      </w:tr>
      <w:tr w:rsidR="00225B51" w:rsidRPr="00225B51" w:rsidTr="000A1C3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1.</w:t>
            </w:r>
          </w:p>
        </w:tc>
        <w:tc>
          <w:tcPr>
            <w:tcW w:w="1429"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Nepieciešamie saistītie tiesību aktu projekti</w:t>
            </w:r>
          </w:p>
        </w:tc>
        <w:tc>
          <w:tcPr>
            <w:tcW w:w="3252"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pStyle w:val="Footer"/>
              <w:tabs>
                <w:tab w:val="clear" w:pos="4153"/>
                <w:tab w:val="clear" w:pos="8306"/>
                <w:tab w:val="left" w:pos="3150"/>
              </w:tabs>
              <w:jc w:val="both"/>
            </w:pPr>
            <w:r w:rsidRPr="00225B51">
              <w:rPr>
                <w:i/>
              </w:rPr>
              <w:t>Projekts šo jomu neskar.</w:t>
            </w:r>
          </w:p>
        </w:tc>
      </w:tr>
      <w:tr w:rsidR="00225B51" w:rsidRPr="00225B51" w:rsidTr="000A1C3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2.</w:t>
            </w:r>
          </w:p>
        </w:tc>
        <w:tc>
          <w:tcPr>
            <w:tcW w:w="1429"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Atbildīgā institūcija</w:t>
            </w:r>
          </w:p>
        </w:tc>
        <w:tc>
          <w:tcPr>
            <w:tcW w:w="3252"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pStyle w:val="Footer"/>
              <w:tabs>
                <w:tab w:val="clear" w:pos="4153"/>
                <w:tab w:val="clear" w:pos="8306"/>
                <w:tab w:val="left" w:pos="3150"/>
              </w:tabs>
              <w:jc w:val="both"/>
            </w:pPr>
            <w:r w:rsidRPr="00225B51">
              <w:t>Nav.</w:t>
            </w:r>
          </w:p>
        </w:tc>
      </w:tr>
      <w:tr w:rsidR="000A1C32" w:rsidRPr="00225B51" w:rsidTr="000A1C3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3.</w:t>
            </w:r>
          </w:p>
        </w:tc>
        <w:tc>
          <w:tcPr>
            <w:tcW w:w="1429"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Cita informācija</w:t>
            </w:r>
          </w:p>
        </w:tc>
        <w:tc>
          <w:tcPr>
            <w:tcW w:w="3252"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ind w:firstLine="34"/>
              <w:jc w:val="both"/>
              <w:rPr>
                <w:rFonts w:cs="Times New Roman"/>
                <w:szCs w:val="24"/>
              </w:rPr>
            </w:pPr>
            <w:r w:rsidRPr="00225B51">
              <w:rPr>
                <w:rFonts w:cs="Times New Roman"/>
                <w:szCs w:val="24"/>
              </w:rPr>
              <w:t>Nav.</w:t>
            </w:r>
          </w:p>
        </w:tc>
      </w:tr>
    </w:tbl>
    <w:p w:rsidR="008E5BD3" w:rsidRPr="00225B51" w:rsidRDefault="008E5BD3" w:rsidP="005A5E87">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2467"/>
        <w:gridCol w:w="5719"/>
      </w:tblGrid>
      <w:tr w:rsidR="00225B51" w:rsidRPr="00225B51" w:rsidTr="000A1C32">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rsidR="006F5CE5" w:rsidRPr="00225B51" w:rsidRDefault="006F5CE5" w:rsidP="006F5CE5">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V. Tiesību akta projekta atbilstība Latvijas Republikas starptautiskajām saistībām</w:t>
            </w:r>
          </w:p>
        </w:tc>
      </w:tr>
      <w:tr w:rsidR="00225B51" w:rsidRPr="00225B51" w:rsidTr="000A1C32">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rsidR="000A1C32" w:rsidRPr="00225B51" w:rsidRDefault="007A33AE" w:rsidP="0057708B">
            <w:pPr>
              <w:jc w:val="both"/>
              <w:rPr>
                <w:rFonts w:cs="Times New Roman"/>
                <w:szCs w:val="24"/>
              </w:rPr>
            </w:pPr>
            <w:r w:rsidRPr="00225B51">
              <w:rPr>
                <w:rFonts w:cs="Times New Roman"/>
                <w:i/>
                <w:szCs w:val="24"/>
              </w:rPr>
              <w:t>Projekts šo jomu neskar.</w:t>
            </w:r>
          </w:p>
        </w:tc>
      </w:tr>
      <w:tr w:rsidR="00225B51" w:rsidRPr="00225B51" w:rsidTr="000A1C32">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2.</w:t>
            </w:r>
          </w:p>
        </w:tc>
        <w:tc>
          <w:tcPr>
            <w:tcW w:w="1418"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rsidR="000A1C32" w:rsidRPr="00225B51" w:rsidRDefault="007A33AE" w:rsidP="008E5BD3">
            <w:pPr>
              <w:jc w:val="both"/>
              <w:rPr>
                <w:rFonts w:cs="Times New Roman"/>
                <w:iCs/>
                <w:szCs w:val="24"/>
              </w:rPr>
            </w:pPr>
            <w:r w:rsidRPr="00225B51">
              <w:rPr>
                <w:rFonts w:cs="Times New Roman"/>
                <w:szCs w:val="24"/>
              </w:rPr>
              <w:t xml:space="preserve">Likumprojekts izstrādāts, lai nodrošinātu atbilstību  2012.gada 16.februāra </w:t>
            </w:r>
            <w:proofErr w:type="spellStart"/>
            <w:r w:rsidRPr="0050557A">
              <w:rPr>
                <w:rFonts w:cs="Times New Roman"/>
                <w:szCs w:val="24"/>
              </w:rPr>
              <w:t>The</w:t>
            </w:r>
            <w:proofErr w:type="spellEnd"/>
            <w:r w:rsidRPr="0050557A">
              <w:rPr>
                <w:rFonts w:cs="Times New Roman"/>
                <w:szCs w:val="24"/>
              </w:rPr>
              <w:t xml:space="preserve"> </w:t>
            </w:r>
            <w:proofErr w:type="spellStart"/>
            <w:r w:rsidRPr="0050557A">
              <w:rPr>
                <w:rFonts w:cs="Times New Roman"/>
                <w:szCs w:val="24"/>
              </w:rPr>
              <w:t>Financial</w:t>
            </w:r>
            <w:proofErr w:type="spellEnd"/>
            <w:r w:rsidRPr="0050557A">
              <w:rPr>
                <w:rFonts w:cs="Times New Roman"/>
                <w:szCs w:val="24"/>
              </w:rPr>
              <w:t xml:space="preserve"> </w:t>
            </w:r>
            <w:proofErr w:type="spellStart"/>
            <w:r w:rsidRPr="0050557A">
              <w:rPr>
                <w:rFonts w:cs="Times New Roman"/>
                <w:szCs w:val="24"/>
              </w:rPr>
              <w:t>Action</w:t>
            </w:r>
            <w:proofErr w:type="spellEnd"/>
            <w:r w:rsidRPr="0050557A">
              <w:rPr>
                <w:rFonts w:cs="Times New Roman"/>
                <w:szCs w:val="24"/>
              </w:rPr>
              <w:t xml:space="preserve"> </w:t>
            </w:r>
            <w:proofErr w:type="spellStart"/>
            <w:r w:rsidRPr="0050557A">
              <w:rPr>
                <w:rFonts w:cs="Times New Roman"/>
                <w:szCs w:val="24"/>
              </w:rPr>
              <w:t>Task</w:t>
            </w:r>
            <w:proofErr w:type="spellEnd"/>
            <w:r w:rsidRPr="0050557A">
              <w:rPr>
                <w:rFonts w:cs="Times New Roman"/>
                <w:szCs w:val="24"/>
              </w:rPr>
              <w:t xml:space="preserve"> </w:t>
            </w:r>
            <w:proofErr w:type="spellStart"/>
            <w:r w:rsidRPr="0050557A">
              <w:rPr>
                <w:rFonts w:cs="Times New Roman"/>
                <w:szCs w:val="24"/>
              </w:rPr>
              <w:t>Force</w:t>
            </w:r>
            <w:proofErr w:type="spellEnd"/>
            <w:r w:rsidRPr="0050557A">
              <w:rPr>
                <w:rFonts w:cs="Times New Roman"/>
                <w:szCs w:val="24"/>
              </w:rPr>
              <w:t xml:space="preserve"> (FATF) </w:t>
            </w:r>
            <w:r w:rsidRPr="00225B51">
              <w:rPr>
                <w:rFonts w:cs="Times New Roman"/>
                <w:szCs w:val="24"/>
              </w:rPr>
              <w:t xml:space="preserve">izstrādātiem </w:t>
            </w:r>
            <w:r w:rsidRPr="00225B51">
              <w:rPr>
                <w:rFonts w:cs="Times New Roman"/>
                <w:bCs/>
                <w:szCs w:val="24"/>
              </w:rPr>
              <w:t xml:space="preserve">starptautiskiem standartiem cīņai ar noziedzīgi iegūtu līdzekļu legalizāciju, kā arī terorismu un </w:t>
            </w:r>
            <w:proofErr w:type="spellStart"/>
            <w:r w:rsidRPr="00225B51">
              <w:rPr>
                <w:rFonts w:cs="Times New Roman"/>
                <w:bCs/>
                <w:szCs w:val="24"/>
              </w:rPr>
              <w:t>proliferāciju</w:t>
            </w:r>
            <w:proofErr w:type="spellEnd"/>
            <w:r w:rsidRPr="00225B51">
              <w:rPr>
                <w:rFonts w:cs="Times New Roman"/>
                <w:bCs/>
                <w:szCs w:val="24"/>
              </w:rPr>
              <w:t>.</w:t>
            </w:r>
          </w:p>
        </w:tc>
      </w:tr>
      <w:tr w:rsidR="00225B51" w:rsidRPr="00225B51" w:rsidTr="000A1C32">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rPr>
                <w:rFonts w:eastAsia="Times New Roman" w:cs="Times New Roman"/>
                <w:szCs w:val="24"/>
                <w:lang w:eastAsia="lv-LV"/>
              </w:rPr>
            </w:pPr>
            <w:r w:rsidRPr="00225B51">
              <w:rPr>
                <w:rFonts w:eastAsia="Times New Roman" w:cs="Times New Roman"/>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rsidR="000A1C32" w:rsidRPr="00225B51" w:rsidRDefault="000A1C32" w:rsidP="000A1C32">
            <w:pPr>
              <w:jc w:val="both"/>
              <w:rPr>
                <w:rFonts w:cs="Times New Roman"/>
                <w:szCs w:val="24"/>
              </w:rPr>
            </w:pPr>
            <w:r w:rsidRPr="00225B51">
              <w:rPr>
                <w:rFonts w:cs="Times New Roman"/>
                <w:szCs w:val="24"/>
              </w:rPr>
              <w:t>Nav.</w:t>
            </w:r>
            <w:r w:rsidR="007A33AE" w:rsidRPr="00225B51">
              <w:rPr>
                <w:rFonts w:cs="Times New Roman"/>
                <w:szCs w:val="24"/>
              </w:rPr>
              <w:t xml:space="preserve"> </w:t>
            </w:r>
          </w:p>
        </w:tc>
      </w:tr>
    </w:tbl>
    <w:p w:rsidR="009601F4" w:rsidRPr="00225B51" w:rsidRDefault="009601F4" w:rsidP="008E5BD3">
      <w:pPr>
        <w:spacing w:before="100" w:beforeAutospacing="1" w:after="100" w:afterAutospacing="1" w:line="360" w:lineRule="auto"/>
        <w:rPr>
          <w:rFonts w:eastAsia="Times New Roman" w:cs="Times New Roman"/>
          <w:szCs w:val="24"/>
          <w:lang w:eastAsia="lv-LV"/>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625"/>
        <w:gridCol w:w="6692"/>
      </w:tblGrid>
      <w:tr w:rsidR="00225B51" w:rsidRPr="00225B51" w:rsidTr="000A1C32">
        <w:trPr>
          <w:trHeight w:val="437"/>
          <w:jc w:val="center"/>
        </w:trPr>
        <w:tc>
          <w:tcPr>
            <w:tcW w:w="8317" w:type="dxa"/>
            <w:gridSpan w:val="2"/>
            <w:vAlign w:val="center"/>
          </w:tcPr>
          <w:p w:rsidR="000A1C32" w:rsidRPr="00225B51" w:rsidRDefault="000A1C32" w:rsidP="0033105C">
            <w:pPr>
              <w:pStyle w:val="naisnod"/>
              <w:spacing w:before="0" w:after="0"/>
            </w:pPr>
            <w:r w:rsidRPr="00225B51">
              <w:t xml:space="preserve">1. tabula </w:t>
            </w:r>
          </w:p>
          <w:p w:rsidR="000A1C32" w:rsidRPr="00225B51" w:rsidRDefault="000A1C32" w:rsidP="0033105C">
            <w:pPr>
              <w:pStyle w:val="naisnod"/>
              <w:spacing w:before="0" w:after="0"/>
              <w:rPr>
                <w:i/>
              </w:rPr>
            </w:pPr>
            <w:r w:rsidRPr="00225B51">
              <w:t>Tiesību akta projekta atbilstība ES tiesību aktiem</w:t>
            </w:r>
          </w:p>
        </w:tc>
      </w:tr>
      <w:tr w:rsidR="000A1C32" w:rsidRPr="00225B51" w:rsidTr="000A1C32">
        <w:trPr>
          <w:trHeight w:val="273"/>
          <w:jc w:val="center"/>
        </w:trPr>
        <w:tc>
          <w:tcPr>
            <w:tcW w:w="1625" w:type="dxa"/>
            <w:vAlign w:val="center"/>
          </w:tcPr>
          <w:p w:rsidR="000A1C32" w:rsidRPr="00225B51" w:rsidRDefault="000A1C32" w:rsidP="0033105C">
            <w:pPr>
              <w:pStyle w:val="naiskr"/>
              <w:spacing w:before="0" w:after="0"/>
              <w:ind w:hanging="10"/>
              <w:jc w:val="center"/>
            </w:pPr>
          </w:p>
        </w:tc>
        <w:tc>
          <w:tcPr>
            <w:tcW w:w="6691" w:type="dxa"/>
            <w:vAlign w:val="center"/>
          </w:tcPr>
          <w:p w:rsidR="000A1C32" w:rsidRPr="00225B51" w:rsidRDefault="000A1C32" w:rsidP="0033105C">
            <w:pPr>
              <w:pStyle w:val="naiskr"/>
              <w:spacing w:before="0" w:after="0"/>
              <w:jc w:val="center"/>
            </w:pPr>
            <w:r w:rsidRPr="00225B51">
              <w:t>Projekts šo jomu neskar.</w:t>
            </w:r>
          </w:p>
        </w:tc>
      </w:tr>
    </w:tbl>
    <w:p w:rsidR="000A1C32" w:rsidRPr="00225B51" w:rsidRDefault="000A1C32" w:rsidP="000A1C32">
      <w:pPr>
        <w:pStyle w:val="naisf"/>
        <w:spacing w:before="0" w:after="0"/>
        <w:ind w:firstLine="0"/>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73"/>
      </w:tblGrid>
      <w:tr w:rsidR="00225B51" w:rsidRPr="00225B51" w:rsidTr="000A1C32">
        <w:trPr>
          <w:trHeight w:val="698"/>
          <w:jc w:val="center"/>
        </w:trPr>
        <w:tc>
          <w:tcPr>
            <w:tcW w:w="8373" w:type="dxa"/>
            <w:vAlign w:val="center"/>
          </w:tcPr>
          <w:p w:rsidR="000A1C32" w:rsidRPr="00225B51" w:rsidRDefault="000A1C32" w:rsidP="0033105C">
            <w:pPr>
              <w:pStyle w:val="naisnod"/>
              <w:spacing w:before="0" w:after="0"/>
            </w:pPr>
            <w:r w:rsidRPr="00225B51">
              <w:t xml:space="preserve">2. tabula </w:t>
            </w:r>
          </w:p>
          <w:p w:rsidR="000A1C32" w:rsidRPr="00225B51" w:rsidRDefault="000A1C32" w:rsidP="0033105C">
            <w:pPr>
              <w:pStyle w:val="naisnod"/>
              <w:spacing w:before="0" w:after="0"/>
            </w:pPr>
            <w:r w:rsidRPr="00225B51">
              <w:t>Ar tiesību akta projektu uzņemtās saistības, kas izriet no starptautiskajiem tiesību aktiem vai starptautiskas institūcijas vai organizācijas dokumentiem.</w:t>
            </w:r>
          </w:p>
          <w:p w:rsidR="000A1C32" w:rsidRPr="00225B51" w:rsidRDefault="000A1C32" w:rsidP="0033105C">
            <w:pPr>
              <w:pStyle w:val="naisnod"/>
              <w:spacing w:before="0" w:after="0"/>
            </w:pPr>
            <w:r w:rsidRPr="00225B51">
              <w:t>Pasākumi šo saistību izpildei</w:t>
            </w:r>
          </w:p>
        </w:tc>
      </w:tr>
      <w:tr w:rsidR="00225B51" w:rsidRPr="00225B51" w:rsidTr="000A1C32">
        <w:trPr>
          <w:trHeight w:val="223"/>
          <w:jc w:val="center"/>
        </w:trPr>
        <w:tc>
          <w:tcPr>
            <w:tcW w:w="8373" w:type="dxa"/>
            <w:vAlign w:val="center"/>
          </w:tcPr>
          <w:p w:rsidR="000A1C32" w:rsidRPr="00225B51" w:rsidRDefault="000A1C32" w:rsidP="0033105C">
            <w:pPr>
              <w:pStyle w:val="naisnod"/>
              <w:spacing w:before="0" w:after="0"/>
              <w:rPr>
                <w:b w:val="0"/>
              </w:rPr>
            </w:pPr>
            <w:r w:rsidRPr="00225B51">
              <w:rPr>
                <w:b w:val="0"/>
                <w:i/>
              </w:rPr>
              <w:t>Projekts šo jomu neskar.</w:t>
            </w:r>
          </w:p>
        </w:tc>
      </w:tr>
    </w:tbl>
    <w:p w:rsidR="00BB56CE" w:rsidRPr="00225B51" w:rsidRDefault="00BB56CE" w:rsidP="008E5BD3">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590"/>
        <w:gridCol w:w="5591"/>
      </w:tblGrid>
      <w:tr w:rsidR="00225B51" w:rsidRPr="00225B51" w:rsidTr="006F5CE5">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F5CE5" w:rsidRPr="00225B51" w:rsidRDefault="006F5CE5" w:rsidP="006F5CE5">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lastRenderedPageBreak/>
              <w:t>VI. Sabiedrības līdzdalība un komunikācijas aktivitātes</w:t>
            </w:r>
          </w:p>
        </w:tc>
      </w:tr>
      <w:tr w:rsidR="00225B51" w:rsidRPr="00225B51" w:rsidTr="00CE7A16">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rsidR="00595BB9" w:rsidRPr="005308AA" w:rsidRDefault="007E4EE0" w:rsidP="00722189">
            <w:pPr>
              <w:jc w:val="both"/>
              <w:rPr>
                <w:rFonts w:cs="Times New Roman"/>
                <w:szCs w:val="24"/>
              </w:rPr>
            </w:pPr>
            <w:r w:rsidRPr="00225B51">
              <w:rPr>
                <w:rFonts w:cs="Times New Roman"/>
                <w:szCs w:val="24"/>
              </w:rPr>
              <w:t xml:space="preserve">Likumprojekta izstrāde notika </w:t>
            </w:r>
            <w:r w:rsidR="00722189">
              <w:rPr>
                <w:rFonts w:cs="Times New Roman"/>
                <w:szCs w:val="24"/>
              </w:rPr>
              <w:t>konsultējoties</w:t>
            </w:r>
            <w:r w:rsidR="00FB5F82" w:rsidRPr="00225B51">
              <w:rPr>
                <w:rFonts w:cs="Times New Roman"/>
                <w:szCs w:val="24"/>
              </w:rPr>
              <w:t xml:space="preserve"> ar Kontroles dienestu</w:t>
            </w:r>
            <w:r w:rsidR="002F50E4">
              <w:rPr>
                <w:rFonts w:cs="Times New Roman"/>
                <w:szCs w:val="24"/>
              </w:rPr>
              <w:t>, Finanšu un kapitāla tirgus komisiju</w:t>
            </w:r>
            <w:r w:rsidR="005308AA">
              <w:rPr>
                <w:rFonts w:cs="Times New Roman"/>
                <w:szCs w:val="24"/>
              </w:rPr>
              <w:t xml:space="preserve"> un </w:t>
            </w:r>
            <w:r w:rsidR="00595BB9">
              <w:rPr>
                <w:rFonts w:cs="Times New Roman"/>
                <w:szCs w:val="24"/>
              </w:rPr>
              <w:t>Latvijas Komercbanku a</w:t>
            </w:r>
            <w:r w:rsidR="005308AA">
              <w:rPr>
                <w:rFonts w:cs="Times New Roman"/>
                <w:szCs w:val="24"/>
              </w:rPr>
              <w:t>sociāciju</w:t>
            </w:r>
            <w:r w:rsidR="00595BB9" w:rsidRPr="00225B51">
              <w:rPr>
                <w:rFonts w:cs="Times New Roman"/>
                <w:szCs w:val="24"/>
              </w:rPr>
              <w:t>.</w:t>
            </w:r>
          </w:p>
        </w:tc>
      </w:tr>
      <w:tr w:rsidR="00225B51" w:rsidRPr="00225B51" w:rsidTr="00CE7A16">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E7A16" w:rsidRPr="00225B51" w:rsidRDefault="00CE7A16" w:rsidP="00CE7A16">
            <w:pPr>
              <w:rPr>
                <w:rFonts w:eastAsia="Times New Roman" w:cs="Times New Roman"/>
                <w:szCs w:val="24"/>
                <w:lang w:eastAsia="lv-LV"/>
              </w:rPr>
            </w:pPr>
            <w:r w:rsidRPr="00225B51">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rsidR="00CE7A16" w:rsidRPr="00225B51" w:rsidRDefault="00CE7A16" w:rsidP="00CE7A16">
            <w:pPr>
              <w:rPr>
                <w:rFonts w:eastAsia="Times New Roman" w:cs="Times New Roman"/>
                <w:szCs w:val="24"/>
                <w:lang w:eastAsia="lv-LV"/>
              </w:rPr>
            </w:pPr>
            <w:r w:rsidRPr="00225B51">
              <w:rPr>
                <w:rFonts w:eastAsia="Times New Roman" w:cs="Times New Roman"/>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rsidR="00CE7A16" w:rsidRPr="00225B51" w:rsidRDefault="007E4EE0" w:rsidP="00CE7A16">
            <w:pPr>
              <w:rPr>
                <w:rFonts w:cs="Times New Roman"/>
                <w:szCs w:val="24"/>
              </w:rPr>
            </w:pPr>
            <w:r w:rsidRPr="00225B51">
              <w:rPr>
                <w:rFonts w:cs="Times New Roman"/>
                <w:szCs w:val="24"/>
              </w:rPr>
              <w:t>Notikušas iepriekšējā punktā minētās konsultācijas.</w:t>
            </w:r>
          </w:p>
        </w:tc>
      </w:tr>
      <w:tr w:rsidR="00225B51" w:rsidRPr="00225B51" w:rsidTr="00CE7A16">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E7A16" w:rsidRPr="00225B51" w:rsidRDefault="00CE7A16" w:rsidP="00CE7A16">
            <w:pPr>
              <w:rPr>
                <w:rFonts w:eastAsia="Times New Roman" w:cs="Times New Roman"/>
                <w:szCs w:val="24"/>
                <w:lang w:eastAsia="lv-LV"/>
              </w:rPr>
            </w:pPr>
            <w:r w:rsidRPr="00225B51">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rsidR="00CE7A16" w:rsidRPr="00225B51" w:rsidRDefault="00CE7A16" w:rsidP="00CE7A16">
            <w:pPr>
              <w:rPr>
                <w:rFonts w:eastAsia="Times New Roman" w:cs="Times New Roman"/>
                <w:szCs w:val="24"/>
                <w:lang w:eastAsia="lv-LV"/>
              </w:rPr>
            </w:pPr>
            <w:r w:rsidRPr="00225B51">
              <w:rPr>
                <w:rFonts w:eastAsia="Times New Roman" w:cs="Times New Roman"/>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rsidR="00CE7A16" w:rsidRDefault="005E22D3" w:rsidP="002A385F">
            <w:pPr>
              <w:jc w:val="both"/>
              <w:rPr>
                <w:rFonts w:cs="Times New Roman"/>
                <w:szCs w:val="24"/>
              </w:rPr>
            </w:pPr>
            <w:r>
              <w:rPr>
                <w:rFonts w:cs="Times New Roman"/>
                <w:szCs w:val="24"/>
              </w:rPr>
              <w:t>Izstrādājot likumprojektu, tika ņemt</w:t>
            </w:r>
            <w:r w:rsidR="00871CF4">
              <w:rPr>
                <w:rFonts w:cs="Times New Roman"/>
                <w:szCs w:val="24"/>
              </w:rPr>
              <w:t>i vērā Kontroles dienesta</w:t>
            </w:r>
            <w:r w:rsidR="002F50E4">
              <w:rPr>
                <w:rFonts w:cs="Times New Roman"/>
                <w:szCs w:val="24"/>
              </w:rPr>
              <w:t>, Finanšu un kapitāla tirgus komisijas</w:t>
            </w:r>
            <w:r>
              <w:rPr>
                <w:rFonts w:cs="Times New Roman"/>
                <w:szCs w:val="24"/>
              </w:rPr>
              <w:t xml:space="preserve"> </w:t>
            </w:r>
            <w:r w:rsidR="002A385F">
              <w:rPr>
                <w:rFonts w:cs="Times New Roman"/>
                <w:szCs w:val="24"/>
              </w:rPr>
              <w:t xml:space="preserve">un Latvijas Komercbanku asociācijas </w:t>
            </w:r>
            <w:r>
              <w:rPr>
                <w:rFonts w:cs="Times New Roman"/>
                <w:szCs w:val="24"/>
              </w:rPr>
              <w:t>ieteikumi un iebildumi</w:t>
            </w:r>
            <w:r w:rsidR="00552690" w:rsidRPr="00225B51">
              <w:rPr>
                <w:rFonts w:cs="Times New Roman"/>
                <w:szCs w:val="24"/>
              </w:rPr>
              <w:t>.</w:t>
            </w:r>
          </w:p>
          <w:p w:rsidR="00063133" w:rsidRPr="00225B51" w:rsidRDefault="00063133" w:rsidP="002A385F">
            <w:pPr>
              <w:jc w:val="both"/>
              <w:rPr>
                <w:rFonts w:cs="Times New Roman"/>
                <w:szCs w:val="24"/>
              </w:rPr>
            </w:pPr>
            <w:r>
              <w:rPr>
                <w:rFonts w:cs="Times New Roman"/>
                <w:szCs w:val="24"/>
              </w:rPr>
              <w:t>Uzziņa par likumprojektu tika publicēta Finanšu ministrijas mājas lapā</w:t>
            </w:r>
            <w:r w:rsidR="00444D74">
              <w:rPr>
                <w:rFonts w:cs="Times New Roman"/>
                <w:szCs w:val="24"/>
              </w:rPr>
              <w:t>, sadaļā</w:t>
            </w:r>
            <w:r>
              <w:rPr>
                <w:rFonts w:cs="Times New Roman"/>
                <w:szCs w:val="24"/>
              </w:rPr>
              <w:t xml:space="preserve"> “Sabiedrības līdzdalība”. </w:t>
            </w:r>
          </w:p>
        </w:tc>
      </w:tr>
      <w:tr w:rsidR="006F5CE5" w:rsidRPr="00225B51" w:rsidTr="00CE7A16">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rsidR="006F5CE5" w:rsidRPr="00225B51" w:rsidRDefault="00CE7A16" w:rsidP="00871CF4">
            <w:pPr>
              <w:spacing w:before="100" w:beforeAutospacing="1" w:after="100" w:afterAutospacing="1" w:line="360" w:lineRule="auto"/>
              <w:rPr>
                <w:rFonts w:eastAsia="Times New Roman" w:cs="Times New Roman"/>
                <w:szCs w:val="24"/>
                <w:lang w:eastAsia="lv-LV"/>
              </w:rPr>
            </w:pPr>
            <w:r w:rsidRPr="00225B51">
              <w:rPr>
                <w:rFonts w:eastAsia="Times New Roman" w:cs="Times New Roman"/>
                <w:szCs w:val="24"/>
                <w:lang w:eastAsia="lv-LV"/>
              </w:rPr>
              <w:t>Nav</w:t>
            </w:r>
          </w:p>
        </w:tc>
      </w:tr>
    </w:tbl>
    <w:p w:rsidR="00F21BAE" w:rsidRPr="00225B51" w:rsidRDefault="00F21BAE" w:rsidP="005A5E87">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3273"/>
        <w:gridCol w:w="4909"/>
      </w:tblGrid>
      <w:tr w:rsidR="00225B51" w:rsidRPr="00225B51" w:rsidTr="006F5CE5">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F5CE5" w:rsidRPr="00225B51" w:rsidRDefault="006F5CE5" w:rsidP="006F5CE5">
            <w:pPr>
              <w:spacing w:before="100" w:beforeAutospacing="1" w:after="100" w:afterAutospacing="1" w:line="360" w:lineRule="auto"/>
              <w:ind w:firstLine="300"/>
              <w:jc w:val="center"/>
              <w:rPr>
                <w:rFonts w:eastAsia="Times New Roman" w:cs="Times New Roman"/>
                <w:b/>
                <w:bCs/>
                <w:szCs w:val="24"/>
                <w:lang w:eastAsia="lv-LV"/>
              </w:rPr>
            </w:pPr>
            <w:r w:rsidRPr="00225B51">
              <w:rPr>
                <w:rFonts w:eastAsia="Times New Roman" w:cs="Times New Roman"/>
                <w:b/>
                <w:bCs/>
                <w:szCs w:val="24"/>
                <w:lang w:eastAsia="lv-LV"/>
              </w:rPr>
              <w:t>VII. Tiesību akta projekta izpildes nodrošināšana un tās ietekme uz institūcijām</w:t>
            </w:r>
          </w:p>
        </w:tc>
      </w:tr>
      <w:tr w:rsidR="00225B51" w:rsidRPr="00225B51" w:rsidTr="006F5CE5">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6F5CE5" w:rsidRPr="00225B51" w:rsidRDefault="00A31777" w:rsidP="00D20184">
            <w:pPr>
              <w:jc w:val="both"/>
              <w:rPr>
                <w:rFonts w:eastAsia="Times New Roman" w:cs="Times New Roman"/>
                <w:szCs w:val="24"/>
                <w:lang w:eastAsia="lv-LV"/>
              </w:rPr>
            </w:pPr>
            <w:r w:rsidRPr="00225B51">
              <w:rPr>
                <w:rFonts w:cs="Times New Roman"/>
                <w:szCs w:val="24"/>
              </w:rPr>
              <w:t xml:space="preserve">Likumprojekta izpildi </w:t>
            </w:r>
            <w:r w:rsidR="00893B16" w:rsidRPr="00225B51">
              <w:rPr>
                <w:rFonts w:cs="Times New Roman"/>
                <w:szCs w:val="24"/>
              </w:rPr>
              <w:t xml:space="preserve">nodrošinās </w:t>
            </w:r>
            <w:r w:rsidR="00CE7A16" w:rsidRPr="00225B51">
              <w:rPr>
                <w:rFonts w:eastAsia="Times New Roman" w:cs="Times New Roman"/>
                <w:szCs w:val="24"/>
                <w:lang w:eastAsia="lv-LV"/>
              </w:rPr>
              <w:t>Kontroles dienests</w:t>
            </w:r>
            <w:r w:rsidR="005308AA">
              <w:rPr>
                <w:rFonts w:eastAsia="Times New Roman" w:cs="Times New Roman"/>
                <w:szCs w:val="24"/>
                <w:lang w:eastAsia="lv-LV"/>
              </w:rPr>
              <w:t xml:space="preserve"> un kredītiestādes un finanšu iestādes</w:t>
            </w:r>
            <w:r w:rsidR="00D20184">
              <w:rPr>
                <w:rFonts w:eastAsia="Times New Roman" w:cs="Times New Roman"/>
                <w:szCs w:val="24"/>
                <w:lang w:eastAsia="lv-LV"/>
              </w:rPr>
              <w:t>.</w:t>
            </w:r>
          </w:p>
        </w:tc>
      </w:tr>
      <w:tr w:rsidR="00225B51" w:rsidRPr="00225B51" w:rsidTr="006F5CE5">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 xml:space="preserve">Projekta izpildes ietekme uz pārvaldes funkcijām un institucionālo struktūru. </w:t>
            </w:r>
          </w:p>
          <w:p w:rsidR="006F5CE5" w:rsidRPr="00225B51" w:rsidRDefault="006F5CE5" w:rsidP="006F5CE5">
            <w:pPr>
              <w:spacing w:before="100" w:beforeAutospacing="1" w:after="100" w:afterAutospacing="1" w:line="360" w:lineRule="auto"/>
              <w:ind w:firstLine="300"/>
              <w:rPr>
                <w:rFonts w:eastAsia="Times New Roman" w:cs="Times New Roman"/>
                <w:szCs w:val="24"/>
                <w:lang w:eastAsia="lv-LV"/>
              </w:rPr>
            </w:pPr>
            <w:r w:rsidRPr="00225B51">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CE7A16" w:rsidRPr="00225B51" w:rsidRDefault="00CE7A16" w:rsidP="00CE7A16">
            <w:pPr>
              <w:jc w:val="both"/>
              <w:rPr>
                <w:rFonts w:cs="Times New Roman"/>
                <w:szCs w:val="24"/>
              </w:rPr>
            </w:pPr>
            <w:r w:rsidRPr="00225B51">
              <w:rPr>
                <w:rFonts w:eastAsia="Times New Roman" w:cs="Times New Roman"/>
                <w:szCs w:val="24"/>
                <w:lang w:eastAsia="lv-LV"/>
              </w:rPr>
              <w:t>Tiesību akta projekta apstiprināšanas rezultātā Kontroles dienesta pie</w:t>
            </w:r>
            <w:r w:rsidR="0069381A" w:rsidRPr="00225B51">
              <w:rPr>
                <w:rFonts w:eastAsia="Times New Roman" w:cs="Times New Roman"/>
                <w:szCs w:val="24"/>
                <w:lang w:eastAsia="lv-LV"/>
              </w:rPr>
              <w:t>nākumi paplašinās paredzot, ka</w:t>
            </w:r>
            <w:r w:rsidRPr="00225B51">
              <w:rPr>
                <w:rFonts w:eastAsia="Times New Roman" w:cs="Times New Roman"/>
                <w:szCs w:val="24"/>
                <w:lang w:eastAsia="lv-LV"/>
              </w:rPr>
              <w:t xml:space="preserve"> Kontroles dienesta p</w:t>
            </w:r>
            <w:r w:rsidR="0069381A" w:rsidRPr="00225B51">
              <w:rPr>
                <w:rFonts w:eastAsia="Times New Roman" w:cs="Times New Roman"/>
                <w:szCs w:val="24"/>
                <w:lang w:eastAsia="lv-LV"/>
              </w:rPr>
              <w:t>ienākumos ietilps</w:t>
            </w:r>
            <w:r w:rsidRPr="00225B51">
              <w:rPr>
                <w:rFonts w:eastAsia="Times New Roman" w:cs="Times New Roman"/>
                <w:szCs w:val="24"/>
                <w:lang w:eastAsia="lv-LV"/>
              </w:rPr>
              <w:t xml:space="preserve"> arī </w:t>
            </w:r>
            <w:r w:rsidR="00B96223" w:rsidRPr="00225B51">
              <w:rPr>
                <w:rFonts w:cs="Times New Roman"/>
                <w:bCs/>
                <w:szCs w:val="24"/>
              </w:rPr>
              <w:t xml:space="preserve">analizēt </w:t>
            </w:r>
            <w:r w:rsidR="00B96223" w:rsidRPr="00225B51">
              <w:rPr>
                <w:rFonts w:cs="Times New Roman"/>
                <w:szCs w:val="24"/>
              </w:rPr>
              <w:t>noziedzīgi iegūtu līdzekļu legalizācijas un terorisma finansēšanas novēršanas regulējošos normatīvos aktus, sagatavot priekšlikumus normatīvo aktu pilnveidošanai, organizēt un veikt noziedzīgi iegūtu līdzekļu legalizācijas un terorisma finansēšanas risku novērtēšanu, kā arī izstrādāt priekšlikumus šo risku līmeņa mazināšanai</w:t>
            </w:r>
            <w:r w:rsidRPr="00225B51">
              <w:rPr>
                <w:rFonts w:cs="Times New Roman"/>
                <w:szCs w:val="24"/>
              </w:rPr>
              <w:t>.</w:t>
            </w:r>
          </w:p>
          <w:p w:rsidR="005804BA" w:rsidRDefault="00C80693" w:rsidP="005E22D3">
            <w:pPr>
              <w:jc w:val="both"/>
              <w:rPr>
                <w:rFonts w:cs="Times New Roman"/>
                <w:szCs w:val="24"/>
              </w:rPr>
            </w:pPr>
            <w:r w:rsidRPr="00225B51">
              <w:rPr>
                <w:rFonts w:cs="Times New Roman"/>
                <w:szCs w:val="24"/>
              </w:rPr>
              <w:t xml:space="preserve">Kontroles dienesta tiesības paplašinās, paredzot  tiesības </w:t>
            </w:r>
            <w:r w:rsidR="00F010D1" w:rsidRPr="00225B51">
              <w:rPr>
                <w:rFonts w:cs="Times New Roman"/>
                <w:szCs w:val="24"/>
              </w:rPr>
              <w:t>pieprasīt un saņemt informāciju, kas nepieciešama noziedzīgi iegūtu līdzekļu legalizācijas un terorisma finansēšanas risku novērtēšanai no Likuma 3.pantā norādītajiem subjektiem un 45.pantā minētajām institūcijām.</w:t>
            </w:r>
          </w:p>
          <w:p w:rsidR="007A09B2" w:rsidRDefault="007A09B2" w:rsidP="005E22D3">
            <w:pPr>
              <w:jc w:val="both"/>
              <w:rPr>
                <w:rFonts w:cs="Times New Roman"/>
                <w:szCs w:val="24"/>
              </w:rPr>
            </w:pPr>
            <w:r>
              <w:rPr>
                <w:rFonts w:cs="Times New Roman"/>
                <w:szCs w:val="24"/>
              </w:rPr>
              <w:t xml:space="preserve">Kredītiestādēm un finanšu iestādēm nebūs nepieciešams sniegt Kontroles dienestā ziņojumus, kas nav izmantojami Kontroles dienesta funkciju veikšanai. </w:t>
            </w:r>
          </w:p>
          <w:p w:rsidR="00D40DA1" w:rsidRPr="0030354A" w:rsidRDefault="00D40DA1" w:rsidP="005E22D3">
            <w:pPr>
              <w:jc w:val="both"/>
              <w:rPr>
                <w:rFonts w:cs="Times New Roman"/>
                <w:szCs w:val="24"/>
              </w:rPr>
            </w:pPr>
            <w:r>
              <w:rPr>
                <w:rFonts w:cs="Times New Roman"/>
                <w:szCs w:val="24"/>
              </w:rPr>
              <w:lastRenderedPageBreak/>
              <w:t xml:space="preserve">Tiks veicinātas kredītiestāžu vai finanšu iestāžu klientu tiesību ievērošana, kā arī tiks precizēta kredītiestāžu vai finanšu iestāžu rīcība, izbeidzot darījumu attiecības ar klientu. </w:t>
            </w:r>
          </w:p>
        </w:tc>
      </w:tr>
      <w:tr w:rsidR="006F5CE5" w:rsidRPr="00225B51" w:rsidTr="006F5CE5">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6F5CE5" w:rsidRPr="00225B51" w:rsidRDefault="006F5CE5" w:rsidP="006F5CE5">
            <w:pPr>
              <w:rPr>
                <w:rFonts w:eastAsia="Times New Roman" w:cs="Times New Roman"/>
                <w:szCs w:val="24"/>
                <w:lang w:eastAsia="lv-LV"/>
              </w:rPr>
            </w:pPr>
            <w:r w:rsidRPr="00225B51">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6F5CE5" w:rsidRPr="00225B51" w:rsidRDefault="00CE7A16" w:rsidP="00871CF4">
            <w:pPr>
              <w:spacing w:before="100" w:beforeAutospacing="1" w:after="100" w:afterAutospacing="1" w:line="360" w:lineRule="auto"/>
              <w:rPr>
                <w:rFonts w:eastAsia="Times New Roman" w:cs="Times New Roman"/>
                <w:szCs w:val="24"/>
                <w:lang w:eastAsia="lv-LV"/>
              </w:rPr>
            </w:pPr>
            <w:r w:rsidRPr="00225B51">
              <w:rPr>
                <w:rFonts w:eastAsia="Times New Roman" w:cs="Times New Roman"/>
                <w:szCs w:val="24"/>
                <w:lang w:eastAsia="lv-LV"/>
              </w:rPr>
              <w:t>Nav</w:t>
            </w:r>
          </w:p>
        </w:tc>
      </w:tr>
    </w:tbl>
    <w:p w:rsidR="0069381A" w:rsidRPr="00225B51" w:rsidRDefault="0069381A">
      <w:pPr>
        <w:rPr>
          <w:rFonts w:cs="Times New Roman"/>
          <w:szCs w:val="24"/>
        </w:rPr>
      </w:pPr>
    </w:p>
    <w:p w:rsidR="000B4D33" w:rsidRDefault="009009F5" w:rsidP="000B4D33">
      <w:pPr>
        <w:pStyle w:val="NormalWeb"/>
        <w:tabs>
          <w:tab w:val="left" w:pos="6521"/>
        </w:tabs>
        <w:spacing w:before="0" w:beforeAutospacing="0" w:after="0" w:afterAutospacing="0"/>
        <w:ind w:left="540" w:hanging="540"/>
      </w:pPr>
      <w:r w:rsidRPr="00225B51">
        <w:t xml:space="preserve">Finanšu ministrs        </w:t>
      </w:r>
    </w:p>
    <w:p w:rsidR="0030354A" w:rsidRPr="00225B51" w:rsidRDefault="009009F5" w:rsidP="000B4D33">
      <w:pPr>
        <w:pStyle w:val="NormalWeb"/>
        <w:tabs>
          <w:tab w:val="left" w:pos="6521"/>
        </w:tabs>
        <w:spacing w:before="0" w:beforeAutospacing="0" w:after="0" w:afterAutospacing="0"/>
        <w:ind w:left="540" w:hanging="540"/>
      </w:pPr>
      <w:r w:rsidRPr="00225B51">
        <w:t xml:space="preserve">                                                       </w:t>
      </w:r>
      <w:r w:rsidR="00CA17EB" w:rsidRPr="00225B51">
        <w:t xml:space="preserve">                                 </w:t>
      </w:r>
      <w:r w:rsidR="005659FE">
        <w:t xml:space="preserve"> </w:t>
      </w:r>
      <w:r w:rsidR="00CA17EB" w:rsidRPr="00225B51">
        <w:t xml:space="preserve">  </w:t>
      </w:r>
      <w:r w:rsidRPr="00225B51">
        <w:t xml:space="preserve"> </w:t>
      </w:r>
      <w:r w:rsidR="005B2CE2">
        <w:t xml:space="preserve">     </w:t>
      </w:r>
      <w:r w:rsidR="000B4D33">
        <w:t xml:space="preserve">                                    </w:t>
      </w:r>
      <w:proofErr w:type="spellStart"/>
      <w:r w:rsidR="005B53E7" w:rsidRPr="00225B51">
        <w:t>J.Reirs</w:t>
      </w:r>
      <w:proofErr w:type="spellEnd"/>
    </w:p>
    <w:p w:rsidR="00AC6705" w:rsidRPr="00BB56CE" w:rsidRDefault="00B32042" w:rsidP="00CA17EB">
      <w:pPr>
        <w:rPr>
          <w:rFonts w:eastAsia="Times New Roman" w:cs="Times New Roman"/>
          <w:sz w:val="20"/>
          <w:szCs w:val="20"/>
        </w:rPr>
      </w:pPr>
      <w:r>
        <w:rPr>
          <w:rFonts w:eastAsia="Times New Roman" w:cs="Times New Roman"/>
          <w:sz w:val="20"/>
          <w:szCs w:val="20"/>
        </w:rPr>
        <w:t>20</w:t>
      </w:r>
      <w:r w:rsidR="005659FE" w:rsidRPr="00BB56CE">
        <w:rPr>
          <w:rFonts w:eastAsia="Times New Roman" w:cs="Times New Roman"/>
          <w:sz w:val="20"/>
          <w:szCs w:val="20"/>
        </w:rPr>
        <w:t>.</w:t>
      </w:r>
      <w:r w:rsidR="00A0298E">
        <w:rPr>
          <w:rFonts w:eastAsia="Times New Roman" w:cs="Times New Roman"/>
          <w:sz w:val="20"/>
          <w:szCs w:val="20"/>
        </w:rPr>
        <w:t>02.2015</w:t>
      </w:r>
      <w:r w:rsidR="00AC6705" w:rsidRPr="00BB56CE">
        <w:rPr>
          <w:rFonts w:eastAsia="Times New Roman" w:cs="Times New Roman"/>
          <w:sz w:val="20"/>
          <w:szCs w:val="20"/>
        </w:rPr>
        <w:t>. 9:35</w:t>
      </w:r>
    </w:p>
    <w:p w:rsidR="00AC6705" w:rsidRPr="00BB56CE" w:rsidRDefault="00A0298E" w:rsidP="00CA17EB">
      <w:pPr>
        <w:rPr>
          <w:rFonts w:eastAsia="Times New Roman" w:cs="Times New Roman"/>
          <w:sz w:val="20"/>
          <w:szCs w:val="20"/>
        </w:rPr>
      </w:pPr>
      <w:r>
        <w:rPr>
          <w:rFonts w:eastAsia="Times New Roman" w:cs="Times New Roman"/>
          <w:sz w:val="20"/>
          <w:szCs w:val="20"/>
        </w:rPr>
        <w:t>2177</w:t>
      </w:r>
    </w:p>
    <w:p w:rsidR="00AC6705" w:rsidRPr="00BB56CE" w:rsidRDefault="00AC6705" w:rsidP="00CA17EB">
      <w:pPr>
        <w:rPr>
          <w:rFonts w:eastAsia="Times New Roman" w:cs="Times New Roman"/>
          <w:sz w:val="20"/>
          <w:szCs w:val="20"/>
        </w:rPr>
      </w:pPr>
      <w:r w:rsidRPr="00BB56CE">
        <w:rPr>
          <w:rFonts w:eastAsia="Times New Roman" w:cs="Times New Roman"/>
          <w:sz w:val="20"/>
          <w:szCs w:val="20"/>
        </w:rPr>
        <w:t>I. Repše</w:t>
      </w:r>
    </w:p>
    <w:p w:rsidR="009009F5" w:rsidRPr="000B4D33" w:rsidRDefault="00AC6705">
      <w:pPr>
        <w:rPr>
          <w:rFonts w:eastAsia="Times New Roman" w:cs="Times New Roman"/>
          <w:sz w:val="20"/>
          <w:szCs w:val="20"/>
        </w:rPr>
      </w:pPr>
      <w:bookmarkStart w:id="0" w:name="_GoBack"/>
      <w:r w:rsidRPr="00BB56CE">
        <w:rPr>
          <w:rFonts w:eastAsia="Times New Roman" w:cs="Times New Roman"/>
          <w:sz w:val="20"/>
          <w:szCs w:val="20"/>
        </w:rPr>
        <w:t xml:space="preserve">67095490, </w:t>
      </w:r>
      <w:hyperlink r:id="rId8" w:history="1">
        <w:r w:rsidRPr="00BB56CE">
          <w:rPr>
            <w:rStyle w:val="Hyperlink"/>
            <w:rFonts w:eastAsia="Times New Roman" w:cs="Times New Roman"/>
            <w:color w:val="auto"/>
            <w:sz w:val="20"/>
            <w:szCs w:val="20"/>
          </w:rPr>
          <w:t>inta.repse@fm.gov.lv</w:t>
        </w:r>
      </w:hyperlink>
      <w:bookmarkEnd w:id="0"/>
    </w:p>
    <w:sectPr w:rsidR="009009F5" w:rsidRPr="000B4D33" w:rsidSect="000D3407">
      <w:headerReference w:type="default" r:id="rId9"/>
      <w:footerReference w:type="default" r:id="rId10"/>
      <w:footerReference w:type="first" r:id="rId11"/>
      <w:pgSz w:w="11906" w:h="16838"/>
      <w:pgMar w:top="1440" w:right="1440"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E4" w:rsidRDefault="009244E4" w:rsidP="008A417E">
      <w:r>
        <w:separator/>
      </w:r>
    </w:p>
  </w:endnote>
  <w:endnote w:type="continuationSeparator" w:id="0">
    <w:p w:rsidR="009244E4" w:rsidRDefault="009244E4" w:rsidP="008A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CF" w:rsidRPr="008A417E" w:rsidRDefault="00961BCF" w:rsidP="00961BCF">
    <w:pPr>
      <w:jc w:val="both"/>
      <w:rPr>
        <w:rFonts w:cs="Times New Roman"/>
        <w:szCs w:val="24"/>
      </w:rPr>
    </w:pPr>
    <w:r>
      <w:rPr>
        <w:rFonts w:cs="Times New Roman"/>
        <w:szCs w:val="24"/>
      </w:rPr>
      <w:t>FMAnot_</w:t>
    </w:r>
    <w:r w:rsidR="00714E4D">
      <w:rPr>
        <w:rFonts w:cs="Times New Roman"/>
        <w:szCs w:val="24"/>
      </w:rPr>
      <w:t>2002</w:t>
    </w:r>
    <w:r>
      <w:rPr>
        <w:rFonts w:cs="Times New Roman"/>
        <w:szCs w:val="24"/>
      </w:rPr>
      <w:t>15</w:t>
    </w:r>
    <w:r w:rsidRPr="008A417E">
      <w:rPr>
        <w:rFonts w:cs="Times New Roman"/>
        <w:szCs w:val="24"/>
      </w:rPr>
      <w:t>_NILLTF</w:t>
    </w:r>
    <w:r w:rsidR="0039328E">
      <w:rPr>
        <w:rFonts w:cs="Times New Roman"/>
        <w:szCs w:val="24"/>
      </w:rPr>
      <w:t>N</w:t>
    </w:r>
    <w:r w:rsidRPr="008A417E">
      <w:rPr>
        <w:rFonts w:cs="Times New Roman"/>
        <w:szCs w:val="24"/>
      </w:rPr>
      <w:t xml:space="preserve">; Likumprojekta </w:t>
    </w:r>
    <w:r w:rsidRPr="008A417E">
      <w:rPr>
        <w:rFonts w:cs="Times New Roman"/>
        <w:bCs/>
        <w:szCs w:val="24"/>
      </w:rPr>
      <w:t>„Grozījumi Noziedzīgi iegūtu līdzekļu legalizācijas un terorisma finansēšanas novēršanas likumā</w:t>
    </w:r>
    <w:r w:rsidRPr="008A417E">
      <w:rPr>
        <w:rFonts w:cs="Times New Roman"/>
        <w:szCs w:val="24"/>
      </w:rPr>
      <w:t>" sākotnējās ietekmes novērtējuma ziņojums (anotācija)</w:t>
    </w:r>
  </w:p>
  <w:p w:rsidR="00BA4503" w:rsidRPr="008A417E" w:rsidRDefault="00BA4503" w:rsidP="002732A0">
    <w:pPr>
      <w:jc w:val="both"/>
      <w:rPr>
        <w:rFonts w:cs="Times New Roman"/>
        <w:szCs w:val="24"/>
      </w:rPr>
    </w:pPr>
  </w:p>
  <w:p w:rsidR="00BA4503" w:rsidRDefault="00BA4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03" w:rsidRPr="008A417E" w:rsidRDefault="00BA4503" w:rsidP="0050557A">
    <w:pPr>
      <w:jc w:val="both"/>
      <w:rPr>
        <w:rFonts w:cs="Times New Roman"/>
        <w:szCs w:val="24"/>
      </w:rPr>
    </w:pPr>
    <w:r>
      <w:rPr>
        <w:rFonts w:cs="Times New Roman"/>
        <w:szCs w:val="24"/>
      </w:rPr>
      <w:t>FMAnot_</w:t>
    </w:r>
    <w:r w:rsidR="00881012">
      <w:rPr>
        <w:rFonts w:cs="Times New Roman"/>
        <w:szCs w:val="24"/>
      </w:rPr>
      <w:t>2002</w:t>
    </w:r>
    <w:r w:rsidR="00961BCF">
      <w:rPr>
        <w:rFonts w:cs="Times New Roman"/>
        <w:szCs w:val="24"/>
      </w:rPr>
      <w:t>15</w:t>
    </w:r>
    <w:r w:rsidRPr="008A417E">
      <w:rPr>
        <w:rFonts w:cs="Times New Roman"/>
        <w:szCs w:val="24"/>
      </w:rPr>
      <w:t>_NILLTF</w:t>
    </w:r>
    <w:r>
      <w:rPr>
        <w:rFonts w:cs="Times New Roman"/>
        <w:szCs w:val="24"/>
      </w:rPr>
      <w:t>N</w:t>
    </w:r>
    <w:r w:rsidRPr="008A417E">
      <w:rPr>
        <w:rFonts w:cs="Times New Roman"/>
        <w:szCs w:val="24"/>
      </w:rPr>
      <w:t xml:space="preserve">; Likumprojekta </w:t>
    </w:r>
    <w:r w:rsidRPr="008A417E">
      <w:rPr>
        <w:rFonts w:cs="Times New Roman"/>
        <w:bCs/>
        <w:szCs w:val="24"/>
      </w:rPr>
      <w:t>„Grozījumi Noziedzīgi iegūtu līdzekļu legalizācijas un terorisma finansēšanas novēršanas likumā</w:t>
    </w:r>
    <w:r w:rsidRPr="008A417E">
      <w:rPr>
        <w:rFonts w:cs="Times New Roman"/>
        <w:szCs w:val="24"/>
      </w:rPr>
      <w:t>" sākotnējās ietekmes novērtējuma ziņojums (anotācija)</w:t>
    </w:r>
  </w:p>
  <w:p w:rsidR="00BA4503" w:rsidRDefault="00BA4503" w:rsidP="0050557A">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E4" w:rsidRDefault="009244E4" w:rsidP="008A417E">
      <w:r>
        <w:separator/>
      </w:r>
    </w:p>
  </w:footnote>
  <w:footnote w:type="continuationSeparator" w:id="0">
    <w:p w:rsidR="009244E4" w:rsidRDefault="009244E4" w:rsidP="008A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692685"/>
      <w:docPartObj>
        <w:docPartGallery w:val="Page Numbers (Top of Page)"/>
        <w:docPartUnique/>
      </w:docPartObj>
    </w:sdtPr>
    <w:sdtEndPr>
      <w:rPr>
        <w:noProof/>
      </w:rPr>
    </w:sdtEndPr>
    <w:sdtContent>
      <w:p w:rsidR="00BA4503" w:rsidRDefault="00BA4503">
        <w:pPr>
          <w:pStyle w:val="Header"/>
          <w:jc w:val="center"/>
        </w:pPr>
        <w:r>
          <w:fldChar w:fldCharType="begin"/>
        </w:r>
        <w:r>
          <w:instrText xml:space="preserve"> PAGE   \* MERGEFORMAT </w:instrText>
        </w:r>
        <w:r>
          <w:fldChar w:fldCharType="separate"/>
        </w:r>
        <w:r w:rsidR="005A2D6F">
          <w:rPr>
            <w:noProof/>
          </w:rPr>
          <w:t>10</w:t>
        </w:r>
        <w:r>
          <w:rPr>
            <w:noProof/>
          </w:rPr>
          <w:fldChar w:fldCharType="end"/>
        </w:r>
      </w:p>
    </w:sdtContent>
  </w:sdt>
  <w:p w:rsidR="00BA4503" w:rsidRDefault="00BA4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F5AB4"/>
    <w:multiLevelType w:val="hybridMultilevel"/>
    <w:tmpl w:val="F5789E56"/>
    <w:lvl w:ilvl="0" w:tplc="ADB6AC42">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E5"/>
    <w:rsid w:val="00026F47"/>
    <w:rsid w:val="00031F2D"/>
    <w:rsid w:val="00035BE4"/>
    <w:rsid w:val="00057CB6"/>
    <w:rsid w:val="00063133"/>
    <w:rsid w:val="00070782"/>
    <w:rsid w:val="00084B13"/>
    <w:rsid w:val="000A1C32"/>
    <w:rsid w:val="000A54F6"/>
    <w:rsid w:val="000B4D33"/>
    <w:rsid w:val="000C4E33"/>
    <w:rsid w:val="000D2BD2"/>
    <w:rsid w:val="000D2D03"/>
    <w:rsid w:val="000D3407"/>
    <w:rsid w:val="000D3C6A"/>
    <w:rsid w:val="00111AFE"/>
    <w:rsid w:val="00117D40"/>
    <w:rsid w:val="00122B0F"/>
    <w:rsid w:val="001275EF"/>
    <w:rsid w:val="00162173"/>
    <w:rsid w:val="001700E5"/>
    <w:rsid w:val="001829AC"/>
    <w:rsid w:val="00193DF8"/>
    <w:rsid w:val="001E40B7"/>
    <w:rsid w:val="001E46A0"/>
    <w:rsid w:val="002017DD"/>
    <w:rsid w:val="002025C9"/>
    <w:rsid w:val="00215E18"/>
    <w:rsid w:val="00225B51"/>
    <w:rsid w:val="002329CE"/>
    <w:rsid w:val="002333DC"/>
    <w:rsid w:val="0026039D"/>
    <w:rsid w:val="002731AF"/>
    <w:rsid w:val="002732A0"/>
    <w:rsid w:val="00277AC7"/>
    <w:rsid w:val="00287998"/>
    <w:rsid w:val="002A17B0"/>
    <w:rsid w:val="002A2871"/>
    <w:rsid w:val="002A385F"/>
    <w:rsid w:val="002B41AA"/>
    <w:rsid w:val="002B4540"/>
    <w:rsid w:val="002C2BC6"/>
    <w:rsid w:val="002C360C"/>
    <w:rsid w:val="002D045E"/>
    <w:rsid w:val="002E77EC"/>
    <w:rsid w:val="002F50E4"/>
    <w:rsid w:val="002F50FC"/>
    <w:rsid w:val="002F727F"/>
    <w:rsid w:val="0030354A"/>
    <w:rsid w:val="003212C7"/>
    <w:rsid w:val="00322220"/>
    <w:rsid w:val="0033105C"/>
    <w:rsid w:val="00332C2C"/>
    <w:rsid w:val="003429D8"/>
    <w:rsid w:val="00342E26"/>
    <w:rsid w:val="00345C2E"/>
    <w:rsid w:val="00346512"/>
    <w:rsid w:val="0036214C"/>
    <w:rsid w:val="00363497"/>
    <w:rsid w:val="00367EF3"/>
    <w:rsid w:val="00380D3F"/>
    <w:rsid w:val="0039328E"/>
    <w:rsid w:val="003A37AF"/>
    <w:rsid w:val="003C1AE8"/>
    <w:rsid w:val="003C3A7B"/>
    <w:rsid w:val="003D361E"/>
    <w:rsid w:val="003E754D"/>
    <w:rsid w:val="0040359E"/>
    <w:rsid w:val="00433BC1"/>
    <w:rsid w:val="004358D0"/>
    <w:rsid w:val="00444D74"/>
    <w:rsid w:val="004833ED"/>
    <w:rsid w:val="004C68AC"/>
    <w:rsid w:val="004E320C"/>
    <w:rsid w:val="004E6681"/>
    <w:rsid w:val="004F0A2B"/>
    <w:rsid w:val="005014F7"/>
    <w:rsid w:val="00501EC9"/>
    <w:rsid w:val="0050557A"/>
    <w:rsid w:val="005072B6"/>
    <w:rsid w:val="005308AA"/>
    <w:rsid w:val="005358A0"/>
    <w:rsid w:val="00537B4A"/>
    <w:rsid w:val="00551B93"/>
    <w:rsid w:val="00552690"/>
    <w:rsid w:val="005659FE"/>
    <w:rsid w:val="0057708B"/>
    <w:rsid w:val="005804BA"/>
    <w:rsid w:val="00581376"/>
    <w:rsid w:val="00594CC0"/>
    <w:rsid w:val="00595BB9"/>
    <w:rsid w:val="005A1AAC"/>
    <w:rsid w:val="005A2D6F"/>
    <w:rsid w:val="005A5E87"/>
    <w:rsid w:val="005B0A1B"/>
    <w:rsid w:val="005B2CE2"/>
    <w:rsid w:val="005B4B37"/>
    <w:rsid w:val="005B53E7"/>
    <w:rsid w:val="005E22D3"/>
    <w:rsid w:val="005E632A"/>
    <w:rsid w:val="006026F6"/>
    <w:rsid w:val="00616C78"/>
    <w:rsid w:val="00646173"/>
    <w:rsid w:val="006628BE"/>
    <w:rsid w:val="00671754"/>
    <w:rsid w:val="0068001F"/>
    <w:rsid w:val="00691765"/>
    <w:rsid w:val="0069381A"/>
    <w:rsid w:val="006A4B29"/>
    <w:rsid w:val="006A572D"/>
    <w:rsid w:val="006B1D3A"/>
    <w:rsid w:val="006C1840"/>
    <w:rsid w:val="006E4972"/>
    <w:rsid w:val="006F5CE5"/>
    <w:rsid w:val="007103DC"/>
    <w:rsid w:val="00714E4D"/>
    <w:rsid w:val="00722189"/>
    <w:rsid w:val="00726C9C"/>
    <w:rsid w:val="00734710"/>
    <w:rsid w:val="00741557"/>
    <w:rsid w:val="00742535"/>
    <w:rsid w:val="00780E7B"/>
    <w:rsid w:val="00784AA6"/>
    <w:rsid w:val="00786064"/>
    <w:rsid w:val="00787361"/>
    <w:rsid w:val="0079024B"/>
    <w:rsid w:val="00793CBB"/>
    <w:rsid w:val="007A09B2"/>
    <w:rsid w:val="007A1011"/>
    <w:rsid w:val="007A28CD"/>
    <w:rsid w:val="007A33AE"/>
    <w:rsid w:val="007E2D24"/>
    <w:rsid w:val="007E4EE0"/>
    <w:rsid w:val="0081198C"/>
    <w:rsid w:val="00813558"/>
    <w:rsid w:val="0082392B"/>
    <w:rsid w:val="008249DA"/>
    <w:rsid w:val="008556EE"/>
    <w:rsid w:val="0086357E"/>
    <w:rsid w:val="008638C6"/>
    <w:rsid w:val="00871CF4"/>
    <w:rsid w:val="0087624D"/>
    <w:rsid w:val="00881012"/>
    <w:rsid w:val="0088499D"/>
    <w:rsid w:val="00893B16"/>
    <w:rsid w:val="008A417E"/>
    <w:rsid w:val="008C7488"/>
    <w:rsid w:val="008D1856"/>
    <w:rsid w:val="008D6C14"/>
    <w:rsid w:val="008E0D9B"/>
    <w:rsid w:val="008E5BD3"/>
    <w:rsid w:val="009009F5"/>
    <w:rsid w:val="00915F84"/>
    <w:rsid w:val="009244E4"/>
    <w:rsid w:val="009276AC"/>
    <w:rsid w:val="00931B46"/>
    <w:rsid w:val="00937C83"/>
    <w:rsid w:val="00946E55"/>
    <w:rsid w:val="00952931"/>
    <w:rsid w:val="009601F4"/>
    <w:rsid w:val="00961BCF"/>
    <w:rsid w:val="009631C6"/>
    <w:rsid w:val="009C592F"/>
    <w:rsid w:val="00A0298E"/>
    <w:rsid w:val="00A31777"/>
    <w:rsid w:val="00A43DB0"/>
    <w:rsid w:val="00A63A78"/>
    <w:rsid w:val="00A77BBA"/>
    <w:rsid w:val="00A955BD"/>
    <w:rsid w:val="00AA10EE"/>
    <w:rsid w:val="00AB4928"/>
    <w:rsid w:val="00AC6705"/>
    <w:rsid w:val="00AF6BED"/>
    <w:rsid w:val="00B038C2"/>
    <w:rsid w:val="00B2121D"/>
    <w:rsid w:val="00B23861"/>
    <w:rsid w:val="00B32042"/>
    <w:rsid w:val="00B37614"/>
    <w:rsid w:val="00B56E51"/>
    <w:rsid w:val="00B66FB4"/>
    <w:rsid w:val="00B76AFD"/>
    <w:rsid w:val="00B834F4"/>
    <w:rsid w:val="00B87CCF"/>
    <w:rsid w:val="00B96223"/>
    <w:rsid w:val="00B96BAA"/>
    <w:rsid w:val="00B97945"/>
    <w:rsid w:val="00BA117C"/>
    <w:rsid w:val="00BA4503"/>
    <w:rsid w:val="00BB56CE"/>
    <w:rsid w:val="00BC3FF1"/>
    <w:rsid w:val="00BD4504"/>
    <w:rsid w:val="00BF0484"/>
    <w:rsid w:val="00C00F47"/>
    <w:rsid w:val="00C10C80"/>
    <w:rsid w:val="00C21A4B"/>
    <w:rsid w:val="00C26F1D"/>
    <w:rsid w:val="00C62036"/>
    <w:rsid w:val="00C643F3"/>
    <w:rsid w:val="00C80693"/>
    <w:rsid w:val="00C83401"/>
    <w:rsid w:val="00C97A0B"/>
    <w:rsid w:val="00CA17EB"/>
    <w:rsid w:val="00CB4A72"/>
    <w:rsid w:val="00CC48F3"/>
    <w:rsid w:val="00CC59E4"/>
    <w:rsid w:val="00CC725A"/>
    <w:rsid w:val="00CD4CD1"/>
    <w:rsid w:val="00CE384C"/>
    <w:rsid w:val="00CE7A16"/>
    <w:rsid w:val="00D00CC9"/>
    <w:rsid w:val="00D20184"/>
    <w:rsid w:val="00D302E0"/>
    <w:rsid w:val="00D40DA1"/>
    <w:rsid w:val="00D50AB8"/>
    <w:rsid w:val="00D63FBC"/>
    <w:rsid w:val="00D77C12"/>
    <w:rsid w:val="00D85563"/>
    <w:rsid w:val="00DA14A1"/>
    <w:rsid w:val="00DA24BD"/>
    <w:rsid w:val="00DB00AA"/>
    <w:rsid w:val="00DC1C92"/>
    <w:rsid w:val="00DE0145"/>
    <w:rsid w:val="00DE4670"/>
    <w:rsid w:val="00DF73DD"/>
    <w:rsid w:val="00E01619"/>
    <w:rsid w:val="00E4242F"/>
    <w:rsid w:val="00E505FB"/>
    <w:rsid w:val="00E51B00"/>
    <w:rsid w:val="00E62191"/>
    <w:rsid w:val="00E710B6"/>
    <w:rsid w:val="00E818A1"/>
    <w:rsid w:val="00E86E5E"/>
    <w:rsid w:val="00E9080D"/>
    <w:rsid w:val="00E95A8D"/>
    <w:rsid w:val="00EA0E41"/>
    <w:rsid w:val="00ED51AF"/>
    <w:rsid w:val="00EF34D8"/>
    <w:rsid w:val="00EF75AA"/>
    <w:rsid w:val="00F010D1"/>
    <w:rsid w:val="00F1294D"/>
    <w:rsid w:val="00F137CE"/>
    <w:rsid w:val="00F21BAE"/>
    <w:rsid w:val="00F31DC6"/>
    <w:rsid w:val="00F5588E"/>
    <w:rsid w:val="00FA1C24"/>
    <w:rsid w:val="00FB1705"/>
    <w:rsid w:val="00FB5F82"/>
    <w:rsid w:val="00FF12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59329-B7BD-4E09-B748-98293798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0A1C32"/>
    <w:pPr>
      <w:spacing w:before="150" w:after="150"/>
      <w:jc w:val="center"/>
    </w:pPr>
    <w:rPr>
      <w:rFonts w:eastAsia="Times New Roman" w:cs="Times New Roman"/>
      <w:b/>
      <w:bCs/>
      <w:szCs w:val="24"/>
      <w:lang w:eastAsia="lv-LV"/>
    </w:rPr>
  </w:style>
  <w:style w:type="paragraph" w:customStyle="1" w:styleId="naisf">
    <w:name w:val="naisf"/>
    <w:basedOn w:val="Normal"/>
    <w:rsid w:val="000A1C32"/>
    <w:pPr>
      <w:spacing w:before="75" w:after="75"/>
      <w:ind w:firstLine="375"/>
      <w:jc w:val="both"/>
    </w:pPr>
    <w:rPr>
      <w:rFonts w:eastAsia="Times New Roman" w:cs="Times New Roman"/>
      <w:szCs w:val="24"/>
      <w:lang w:eastAsia="lv-LV"/>
    </w:rPr>
  </w:style>
  <w:style w:type="paragraph" w:styleId="Header">
    <w:name w:val="header"/>
    <w:basedOn w:val="Normal"/>
    <w:link w:val="HeaderChar"/>
    <w:uiPriority w:val="99"/>
    <w:rsid w:val="000A1C32"/>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0A1C32"/>
    <w:rPr>
      <w:rFonts w:eastAsia="Times New Roman" w:cs="Times New Roman"/>
      <w:szCs w:val="24"/>
      <w:lang w:eastAsia="lv-LV"/>
    </w:rPr>
  </w:style>
  <w:style w:type="character" w:styleId="PageNumber">
    <w:name w:val="page number"/>
    <w:basedOn w:val="DefaultParagraphFont"/>
    <w:semiHidden/>
    <w:rsid w:val="000A1C32"/>
  </w:style>
  <w:style w:type="paragraph" w:customStyle="1" w:styleId="naislab">
    <w:name w:val="naislab"/>
    <w:basedOn w:val="Normal"/>
    <w:rsid w:val="000A1C32"/>
    <w:pPr>
      <w:spacing w:before="75" w:after="75"/>
      <w:jc w:val="right"/>
    </w:pPr>
    <w:rPr>
      <w:rFonts w:eastAsia="Times New Roman" w:cs="Times New Roman"/>
      <w:szCs w:val="24"/>
      <w:lang w:eastAsia="lv-LV"/>
    </w:rPr>
  </w:style>
  <w:style w:type="paragraph" w:styleId="Footer">
    <w:name w:val="footer"/>
    <w:basedOn w:val="Normal"/>
    <w:link w:val="FooterChar"/>
    <w:uiPriority w:val="99"/>
    <w:rsid w:val="000A1C32"/>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0A1C32"/>
    <w:rPr>
      <w:rFonts w:eastAsia="Times New Roman" w:cs="Times New Roman"/>
      <w:szCs w:val="24"/>
      <w:lang w:eastAsia="lv-LV"/>
    </w:rPr>
  </w:style>
  <w:style w:type="paragraph" w:customStyle="1" w:styleId="naisc">
    <w:name w:val="naisc"/>
    <w:basedOn w:val="Normal"/>
    <w:rsid w:val="000A1C32"/>
    <w:pPr>
      <w:spacing w:before="75" w:after="75"/>
      <w:jc w:val="center"/>
    </w:pPr>
    <w:rPr>
      <w:rFonts w:eastAsia="Times New Roman" w:cs="Times New Roman"/>
      <w:szCs w:val="24"/>
      <w:lang w:eastAsia="lv-LV"/>
    </w:rPr>
  </w:style>
  <w:style w:type="paragraph" w:customStyle="1" w:styleId="naiskr">
    <w:name w:val="naiskr"/>
    <w:basedOn w:val="Normal"/>
    <w:rsid w:val="000A1C32"/>
    <w:pPr>
      <w:spacing w:before="75" w:after="75"/>
    </w:pPr>
    <w:rPr>
      <w:rFonts w:eastAsia="Times New Roman" w:cs="Times New Roman"/>
      <w:szCs w:val="24"/>
      <w:lang w:eastAsia="lv-LV"/>
    </w:rPr>
  </w:style>
  <w:style w:type="paragraph" w:styleId="NormalWeb">
    <w:name w:val="Normal (Web)"/>
    <w:basedOn w:val="Normal"/>
    <w:semiHidden/>
    <w:rsid w:val="009009F5"/>
    <w:pPr>
      <w:spacing w:before="100" w:beforeAutospacing="1" w:after="100" w:afterAutospacing="1"/>
    </w:pPr>
    <w:rPr>
      <w:rFonts w:eastAsia="Times New Roman" w:cs="Times New Roman"/>
      <w:szCs w:val="24"/>
      <w:lang w:eastAsia="lv-LV"/>
    </w:rPr>
  </w:style>
  <w:style w:type="character" w:styleId="Hyperlink">
    <w:name w:val="Hyperlink"/>
    <w:semiHidden/>
    <w:rsid w:val="009009F5"/>
    <w:rPr>
      <w:color w:val="0000FF"/>
      <w:u w:val="single"/>
    </w:rPr>
  </w:style>
  <w:style w:type="paragraph" w:styleId="BlockText">
    <w:name w:val="Block Text"/>
    <w:basedOn w:val="Normal"/>
    <w:uiPriority w:val="99"/>
    <w:unhideWhenUsed/>
    <w:rsid w:val="009009F5"/>
    <w:pPr>
      <w:jc w:val="both"/>
    </w:pPr>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F13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CE"/>
    <w:rPr>
      <w:rFonts w:ascii="Segoe UI" w:hAnsi="Segoe UI" w:cs="Segoe UI"/>
      <w:sz w:val="18"/>
      <w:szCs w:val="18"/>
    </w:rPr>
  </w:style>
  <w:style w:type="paragraph" w:styleId="PlainText">
    <w:name w:val="Plain Text"/>
    <w:basedOn w:val="Normal"/>
    <w:link w:val="PlainTextChar"/>
    <w:uiPriority w:val="99"/>
    <w:unhideWhenUsed/>
    <w:rsid w:val="00DE4670"/>
    <w:rPr>
      <w:rFonts w:ascii="Calibri" w:hAnsi="Calibri"/>
      <w:sz w:val="22"/>
      <w:szCs w:val="21"/>
    </w:rPr>
  </w:style>
  <w:style w:type="character" w:customStyle="1" w:styleId="PlainTextChar">
    <w:name w:val="Plain Text Char"/>
    <w:basedOn w:val="DefaultParagraphFont"/>
    <w:link w:val="PlainText"/>
    <w:uiPriority w:val="99"/>
    <w:rsid w:val="00DE4670"/>
    <w:rPr>
      <w:rFonts w:ascii="Calibri" w:hAnsi="Calibri"/>
      <w:sz w:val="22"/>
      <w:szCs w:val="21"/>
    </w:rPr>
  </w:style>
  <w:style w:type="paragraph" w:styleId="ListParagraph">
    <w:name w:val="List Paragraph"/>
    <w:basedOn w:val="Normal"/>
    <w:uiPriority w:val="34"/>
    <w:qFormat/>
    <w:rsid w:val="0036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879">
      <w:bodyDiv w:val="1"/>
      <w:marLeft w:val="0"/>
      <w:marRight w:val="0"/>
      <w:marTop w:val="0"/>
      <w:marBottom w:val="0"/>
      <w:divBdr>
        <w:top w:val="none" w:sz="0" w:space="0" w:color="auto"/>
        <w:left w:val="none" w:sz="0" w:space="0" w:color="auto"/>
        <w:bottom w:val="none" w:sz="0" w:space="0" w:color="auto"/>
        <w:right w:val="none" w:sz="0" w:space="0" w:color="auto"/>
      </w:divBdr>
    </w:div>
    <w:div w:id="366221414">
      <w:bodyDiv w:val="1"/>
      <w:marLeft w:val="0"/>
      <w:marRight w:val="0"/>
      <w:marTop w:val="0"/>
      <w:marBottom w:val="0"/>
      <w:divBdr>
        <w:top w:val="none" w:sz="0" w:space="0" w:color="auto"/>
        <w:left w:val="none" w:sz="0" w:space="0" w:color="auto"/>
        <w:bottom w:val="none" w:sz="0" w:space="0" w:color="auto"/>
        <w:right w:val="none" w:sz="0" w:space="0" w:color="auto"/>
      </w:divBdr>
      <w:divsChild>
        <w:div w:id="1314215098">
          <w:marLeft w:val="0"/>
          <w:marRight w:val="0"/>
          <w:marTop w:val="0"/>
          <w:marBottom w:val="0"/>
          <w:divBdr>
            <w:top w:val="none" w:sz="0" w:space="0" w:color="auto"/>
            <w:left w:val="none" w:sz="0" w:space="0" w:color="auto"/>
            <w:bottom w:val="none" w:sz="0" w:space="0" w:color="auto"/>
            <w:right w:val="none" w:sz="0" w:space="0" w:color="auto"/>
          </w:divBdr>
          <w:divsChild>
            <w:div w:id="697513022">
              <w:marLeft w:val="0"/>
              <w:marRight w:val="0"/>
              <w:marTop w:val="0"/>
              <w:marBottom w:val="0"/>
              <w:divBdr>
                <w:top w:val="none" w:sz="0" w:space="0" w:color="auto"/>
                <w:left w:val="none" w:sz="0" w:space="0" w:color="auto"/>
                <w:bottom w:val="none" w:sz="0" w:space="0" w:color="auto"/>
                <w:right w:val="none" w:sz="0" w:space="0" w:color="auto"/>
              </w:divBdr>
              <w:divsChild>
                <w:div w:id="907500218">
                  <w:marLeft w:val="0"/>
                  <w:marRight w:val="0"/>
                  <w:marTop w:val="0"/>
                  <w:marBottom w:val="0"/>
                  <w:divBdr>
                    <w:top w:val="none" w:sz="0" w:space="0" w:color="auto"/>
                    <w:left w:val="none" w:sz="0" w:space="0" w:color="auto"/>
                    <w:bottom w:val="none" w:sz="0" w:space="0" w:color="auto"/>
                    <w:right w:val="none" w:sz="0" w:space="0" w:color="auto"/>
                  </w:divBdr>
                  <w:divsChild>
                    <w:div w:id="802037640">
                      <w:marLeft w:val="0"/>
                      <w:marRight w:val="0"/>
                      <w:marTop w:val="0"/>
                      <w:marBottom w:val="0"/>
                      <w:divBdr>
                        <w:top w:val="none" w:sz="0" w:space="0" w:color="auto"/>
                        <w:left w:val="none" w:sz="0" w:space="0" w:color="auto"/>
                        <w:bottom w:val="none" w:sz="0" w:space="0" w:color="auto"/>
                        <w:right w:val="none" w:sz="0" w:space="0" w:color="auto"/>
                      </w:divBdr>
                      <w:divsChild>
                        <w:div w:id="667558621">
                          <w:marLeft w:val="0"/>
                          <w:marRight w:val="0"/>
                          <w:marTop w:val="0"/>
                          <w:marBottom w:val="0"/>
                          <w:divBdr>
                            <w:top w:val="none" w:sz="0" w:space="0" w:color="auto"/>
                            <w:left w:val="none" w:sz="0" w:space="0" w:color="auto"/>
                            <w:bottom w:val="none" w:sz="0" w:space="0" w:color="auto"/>
                            <w:right w:val="none" w:sz="0" w:space="0" w:color="auto"/>
                          </w:divBdr>
                          <w:divsChild>
                            <w:div w:id="779564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99824">
      <w:bodyDiv w:val="1"/>
      <w:marLeft w:val="0"/>
      <w:marRight w:val="0"/>
      <w:marTop w:val="0"/>
      <w:marBottom w:val="0"/>
      <w:divBdr>
        <w:top w:val="none" w:sz="0" w:space="0" w:color="auto"/>
        <w:left w:val="none" w:sz="0" w:space="0" w:color="auto"/>
        <w:bottom w:val="none" w:sz="0" w:space="0" w:color="auto"/>
        <w:right w:val="none" w:sz="0" w:space="0" w:color="auto"/>
      </w:divBdr>
    </w:div>
    <w:div w:id="1757629488">
      <w:bodyDiv w:val="1"/>
      <w:marLeft w:val="0"/>
      <w:marRight w:val="0"/>
      <w:marTop w:val="0"/>
      <w:marBottom w:val="0"/>
      <w:divBdr>
        <w:top w:val="none" w:sz="0" w:space="0" w:color="auto"/>
        <w:left w:val="none" w:sz="0" w:space="0" w:color="auto"/>
        <w:bottom w:val="none" w:sz="0" w:space="0" w:color="auto"/>
        <w:right w:val="none" w:sz="0" w:space="0" w:color="auto"/>
      </w:divBdr>
      <w:divsChild>
        <w:div w:id="1927961796">
          <w:marLeft w:val="0"/>
          <w:marRight w:val="0"/>
          <w:marTop w:val="0"/>
          <w:marBottom w:val="0"/>
          <w:divBdr>
            <w:top w:val="none" w:sz="0" w:space="0" w:color="auto"/>
            <w:left w:val="none" w:sz="0" w:space="0" w:color="auto"/>
            <w:bottom w:val="none" w:sz="0" w:space="0" w:color="auto"/>
            <w:right w:val="none" w:sz="0" w:space="0" w:color="auto"/>
          </w:divBdr>
          <w:divsChild>
            <w:div w:id="1229073137">
              <w:marLeft w:val="0"/>
              <w:marRight w:val="0"/>
              <w:marTop w:val="0"/>
              <w:marBottom w:val="0"/>
              <w:divBdr>
                <w:top w:val="none" w:sz="0" w:space="0" w:color="auto"/>
                <w:left w:val="none" w:sz="0" w:space="0" w:color="auto"/>
                <w:bottom w:val="none" w:sz="0" w:space="0" w:color="auto"/>
                <w:right w:val="none" w:sz="0" w:space="0" w:color="auto"/>
              </w:divBdr>
              <w:divsChild>
                <w:div w:id="217059551">
                  <w:marLeft w:val="0"/>
                  <w:marRight w:val="0"/>
                  <w:marTop w:val="0"/>
                  <w:marBottom w:val="0"/>
                  <w:divBdr>
                    <w:top w:val="none" w:sz="0" w:space="0" w:color="auto"/>
                    <w:left w:val="none" w:sz="0" w:space="0" w:color="auto"/>
                    <w:bottom w:val="none" w:sz="0" w:space="0" w:color="auto"/>
                    <w:right w:val="none" w:sz="0" w:space="0" w:color="auto"/>
                  </w:divBdr>
                  <w:divsChild>
                    <w:div w:id="1686470342">
                      <w:marLeft w:val="0"/>
                      <w:marRight w:val="0"/>
                      <w:marTop w:val="0"/>
                      <w:marBottom w:val="0"/>
                      <w:divBdr>
                        <w:top w:val="none" w:sz="0" w:space="0" w:color="auto"/>
                        <w:left w:val="none" w:sz="0" w:space="0" w:color="auto"/>
                        <w:bottom w:val="none" w:sz="0" w:space="0" w:color="auto"/>
                        <w:right w:val="none" w:sz="0" w:space="0" w:color="auto"/>
                      </w:divBdr>
                      <w:divsChild>
                        <w:div w:id="350373957">
                          <w:marLeft w:val="0"/>
                          <w:marRight w:val="0"/>
                          <w:marTop w:val="0"/>
                          <w:marBottom w:val="0"/>
                          <w:divBdr>
                            <w:top w:val="none" w:sz="0" w:space="0" w:color="auto"/>
                            <w:left w:val="none" w:sz="0" w:space="0" w:color="auto"/>
                            <w:bottom w:val="none" w:sz="0" w:space="0" w:color="auto"/>
                            <w:right w:val="none" w:sz="0" w:space="0" w:color="auto"/>
                          </w:divBdr>
                          <w:divsChild>
                            <w:div w:id="2142917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46114">
      <w:bodyDiv w:val="1"/>
      <w:marLeft w:val="0"/>
      <w:marRight w:val="0"/>
      <w:marTop w:val="0"/>
      <w:marBottom w:val="0"/>
      <w:divBdr>
        <w:top w:val="none" w:sz="0" w:space="0" w:color="auto"/>
        <w:left w:val="none" w:sz="0" w:space="0" w:color="auto"/>
        <w:bottom w:val="none" w:sz="0" w:space="0" w:color="auto"/>
        <w:right w:val="none" w:sz="0" w:space="0" w:color="auto"/>
      </w:divBdr>
      <w:divsChild>
        <w:div w:id="1741900318">
          <w:marLeft w:val="0"/>
          <w:marRight w:val="0"/>
          <w:marTop w:val="0"/>
          <w:marBottom w:val="0"/>
          <w:divBdr>
            <w:top w:val="none" w:sz="0" w:space="0" w:color="auto"/>
            <w:left w:val="none" w:sz="0" w:space="0" w:color="auto"/>
            <w:bottom w:val="none" w:sz="0" w:space="0" w:color="auto"/>
            <w:right w:val="none" w:sz="0" w:space="0" w:color="auto"/>
          </w:divBdr>
          <w:divsChild>
            <w:div w:id="1162620013">
              <w:marLeft w:val="0"/>
              <w:marRight w:val="0"/>
              <w:marTop w:val="0"/>
              <w:marBottom w:val="0"/>
              <w:divBdr>
                <w:top w:val="none" w:sz="0" w:space="0" w:color="auto"/>
                <w:left w:val="none" w:sz="0" w:space="0" w:color="auto"/>
                <w:bottom w:val="none" w:sz="0" w:space="0" w:color="auto"/>
                <w:right w:val="none" w:sz="0" w:space="0" w:color="auto"/>
              </w:divBdr>
              <w:divsChild>
                <w:div w:id="1450860362">
                  <w:marLeft w:val="0"/>
                  <w:marRight w:val="0"/>
                  <w:marTop w:val="0"/>
                  <w:marBottom w:val="0"/>
                  <w:divBdr>
                    <w:top w:val="none" w:sz="0" w:space="0" w:color="auto"/>
                    <w:left w:val="none" w:sz="0" w:space="0" w:color="auto"/>
                    <w:bottom w:val="none" w:sz="0" w:space="0" w:color="auto"/>
                    <w:right w:val="none" w:sz="0" w:space="0" w:color="auto"/>
                  </w:divBdr>
                  <w:divsChild>
                    <w:div w:id="67047474">
                      <w:marLeft w:val="0"/>
                      <w:marRight w:val="0"/>
                      <w:marTop w:val="0"/>
                      <w:marBottom w:val="0"/>
                      <w:divBdr>
                        <w:top w:val="none" w:sz="0" w:space="0" w:color="auto"/>
                        <w:left w:val="none" w:sz="0" w:space="0" w:color="auto"/>
                        <w:bottom w:val="none" w:sz="0" w:space="0" w:color="auto"/>
                        <w:right w:val="none" w:sz="0" w:space="0" w:color="auto"/>
                      </w:divBdr>
                      <w:divsChild>
                        <w:div w:id="584267402">
                          <w:marLeft w:val="0"/>
                          <w:marRight w:val="0"/>
                          <w:marTop w:val="0"/>
                          <w:marBottom w:val="0"/>
                          <w:divBdr>
                            <w:top w:val="none" w:sz="0" w:space="0" w:color="auto"/>
                            <w:left w:val="none" w:sz="0" w:space="0" w:color="auto"/>
                            <w:bottom w:val="none" w:sz="0" w:space="0" w:color="auto"/>
                            <w:right w:val="none" w:sz="0" w:space="0" w:color="auto"/>
                          </w:divBdr>
                          <w:divsChild>
                            <w:div w:id="1148012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eps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AAED-131D-4DBB-B601-25683C43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1836</TotalTime>
  <Pages>1</Pages>
  <Words>11365</Words>
  <Characters>6479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Anotācija</dc:subject>
  <dc:creator>Inta Repše</dc:creator>
  <cp:keywords/>
  <dc:description>67095490, inta.repse@fm.gov.lv</dc:description>
  <cp:lastModifiedBy>Liene Strēlniece</cp:lastModifiedBy>
  <cp:revision>206</cp:revision>
  <cp:lastPrinted>2014-09-26T06:00:00Z</cp:lastPrinted>
  <dcterms:created xsi:type="dcterms:W3CDTF">2014-09-23T08:54:00Z</dcterms:created>
  <dcterms:modified xsi:type="dcterms:W3CDTF">2015-03-20T15:18:00Z</dcterms:modified>
</cp:coreProperties>
</file>