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77352" w14:textId="77777777" w:rsidR="00C43B92" w:rsidRDefault="00C43B92" w:rsidP="00C43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62C01197" w14:textId="77777777" w:rsidR="00C43B92" w:rsidRPr="00BC09FA" w:rsidRDefault="00C43B92" w:rsidP="00C43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6FB0FB" w14:textId="77777777" w:rsidR="00C43B92" w:rsidRPr="00BC09FA" w:rsidRDefault="00C43B92" w:rsidP="00C43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14:paraId="40E5994D" w14:textId="77777777" w:rsidR="00C43B92" w:rsidRPr="00BC09FA" w:rsidRDefault="00C43B92" w:rsidP="00C43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36EC39" w14:textId="77777777" w:rsidR="00C43B92" w:rsidRPr="00BC09FA" w:rsidRDefault="00C43B92" w:rsidP="00C43B9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6579A" w:rsidRPr="00BC09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>.gada ____. __________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ab/>
        <w:t>Noteikumi Nr._____</w:t>
      </w:r>
    </w:p>
    <w:p w14:paraId="2D112AF6" w14:textId="77777777" w:rsidR="00C43B92" w:rsidRPr="00BC09FA" w:rsidRDefault="00C43B92" w:rsidP="00C43B9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ab/>
        <w:t>(prot. Nr._____.§)</w:t>
      </w:r>
    </w:p>
    <w:p w14:paraId="06A9FA8F" w14:textId="77777777" w:rsidR="00C43B92" w:rsidRPr="00BC09FA" w:rsidRDefault="00C43B92" w:rsidP="00C43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FDF599" w14:textId="77777777" w:rsidR="00C43B92" w:rsidRPr="00BC09FA" w:rsidRDefault="00C43B92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C3CA85" w14:textId="77777777" w:rsidR="00C43B92" w:rsidRPr="00BC09FA" w:rsidRDefault="008A42AC" w:rsidP="008A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C09F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2014.gada 6.maija noteikumos Nr.237 „Valsts vērtspapīru izlaišanas noteikumi”</w:t>
      </w:r>
    </w:p>
    <w:p w14:paraId="603D2549" w14:textId="77777777" w:rsidR="008A42AC" w:rsidRPr="00BC09FA" w:rsidRDefault="008A42AC" w:rsidP="008A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CC3A9C" w14:textId="77777777" w:rsidR="00D76CB5" w:rsidRPr="00BC09FA" w:rsidRDefault="00D76CB5" w:rsidP="00C43B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i/>
          <w:sz w:val="28"/>
          <w:szCs w:val="28"/>
        </w:rPr>
        <w:t>Izdoti saskaņā ar Likuma par budžetu un finanšu vadību</w:t>
      </w:r>
    </w:p>
    <w:p w14:paraId="49F14B63" w14:textId="77777777" w:rsidR="00C43B92" w:rsidRPr="00BC09FA" w:rsidRDefault="00D76CB5" w:rsidP="00C43B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i/>
          <w:sz w:val="28"/>
          <w:szCs w:val="28"/>
        </w:rPr>
        <w:t>35.panta trešo daļu</w:t>
      </w:r>
    </w:p>
    <w:p w14:paraId="48E5F134" w14:textId="77777777" w:rsidR="00C43B92" w:rsidRPr="00BC09FA" w:rsidRDefault="00C43B92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63225F" w14:textId="77777777" w:rsidR="00C43B92" w:rsidRPr="00BC09FA" w:rsidRDefault="00C43B92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sz w:val="28"/>
          <w:szCs w:val="28"/>
        </w:rPr>
        <w:tab/>
        <w:t>Izdarīt Ministru kabineta</w:t>
      </w:r>
      <w:r w:rsidR="008A42AC" w:rsidRPr="00BC09FA">
        <w:rPr>
          <w:rFonts w:ascii="Times New Roman" w:eastAsia="Times New Roman" w:hAnsi="Times New Roman" w:cs="Times New Roman"/>
          <w:sz w:val="28"/>
          <w:szCs w:val="28"/>
        </w:rPr>
        <w:t xml:space="preserve"> 2014.gada 6.maija noteikumos Nr.237 „Valsts vērtspapīru izlaišanas noteikumi”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 xml:space="preserve"> (Latvijas Vēstnesis, </w:t>
      </w:r>
      <w:r w:rsidR="008A42AC" w:rsidRPr="00BC09FA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06579A" w:rsidRPr="00BC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2AC" w:rsidRPr="00BC09FA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601C" w:rsidRPr="00BC09FA">
        <w:rPr>
          <w:rFonts w:ascii="Times New Roman" w:eastAsia="Times New Roman" w:hAnsi="Times New Roman" w:cs="Times New Roman"/>
          <w:sz w:val="28"/>
          <w:szCs w:val="28"/>
        </w:rPr>
        <w:t>, 252.</w:t>
      </w:r>
      <w:r w:rsidR="00F16906" w:rsidRPr="00BC09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>nr.) šādus grozījumus:</w:t>
      </w:r>
    </w:p>
    <w:p w14:paraId="4E2A5F1E" w14:textId="77777777" w:rsidR="00C43B92" w:rsidRDefault="00C43B92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8FDC1D" w14:textId="0127C37B" w:rsidR="00C43B92" w:rsidRDefault="00D63331" w:rsidP="008A42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9A14BA">
        <w:rPr>
          <w:rFonts w:ascii="Times New Roman" w:eastAsia="Times New Roman" w:hAnsi="Times New Roman" w:cs="Times New Roman"/>
          <w:sz w:val="28"/>
          <w:szCs w:val="28"/>
        </w:rPr>
        <w:t>zteikt 2.</w:t>
      </w:r>
      <w:r w:rsidR="00EF0BCA">
        <w:rPr>
          <w:rFonts w:ascii="Times New Roman" w:eastAsia="Times New Roman" w:hAnsi="Times New Roman" w:cs="Times New Roman"/>
          <w:sz w:val="28"/>
          <w:szCs w:val="28"/>
        </w:rPr>
        <w:t>8</w:t>
      </w:r>
      <w:r w:rsidR="009A14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9BB">
        <w:rPr>
          <w:rFonts w:ascii="Times New Roman" w:eastAsia="Times New Roman" w:hAnsi="Times New Roman" w:cs="Times New Roman"/>
          <w:sz w:val="28"/>
          <w:szCs w:val="28"/>
        </w:rPr>
        <w:t xml:space="preserve"> un 2.9. </w:t>
      </w:r>
      <w:r w:rsidR="00AD74FE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9A14BA">
        <w:rPr>
          <w:rFonts w:ascii="Times New Roman" w:eastAsia="Times New Roman" w:hAnsi="Times New Roman" w:cs="Times New Roman"/>
          <w:sz w:val="28"/>
          <w:szCs w:val="28"/>
        </w:rPr>
        <w:t xml:space="preserve">punktu </w:t>
      </w:r>
      <w:r w:rsidR="00AD74FE">
        <w:rPr>
          <w:rFonts w:ascii="Times New Roman" w:eastAsia="Times New Roman" w:hAnsi="Times New Roman" w:cs="Times New Roman"/>
          <w:sz w:val="28"/>
          <w:szCs w:val="28"/>
        </w:rPr>
        <w:t xml:space="preserve">šādā </w:t>
      </w:r>
      <w:r w:rsidR="009A14BA">
        <w:rPr>
          <w:rFonts w:ascii="Times New Roman" w:eastAsia="Times New Roman" w:hAnsi="Times New Roman" w:cs="Times New Roman"/>
          <w:sz w:val="28"/>
          <w:szCs w:val="28"/>
        </w:rPr>
        <w:t>redakcijā:</w:t>
      </w:r>
    </w:p>
    <w:p w14:paraId="0BFC12B0" w14:textId="77777777" w:rsidR="009A14BA" w:rsidRDefault="009A14BA" w:rsidP="009A14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65AEB8" w14:textId="77777777" w:rsidR="009A14BA" w:rsidRDefault="009A14BA" w:rsidP="003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BA">
        <w:rPr>
          <w:rFonts w:ascii="Times New Roman" w:eastAsia="Times New Roman" w:hAnsi="Times New Roman" w:cs="Times New Roman"/>
          <w:sz w:val="28"/>
          <w:szCs w:val="28"/>
        </w:rPr>
        <w:t>„2.</w:t>
      </w:r>
      <w:r w:rsidR="00EF0BC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A14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0BCA" w:rsidRPr="00EF0BCA">
        <w:rPr>
          <w:rFonts w:ascii="Times New Roman" w:hAnsi="Times New Roman" w:cs="Times New Roman"/>
          <w:sz w:val="28"/>
          <w:szCs w:val="28"/>
        </w:rPr>
        <w:t>parādzīme – valsts vērtspapīrs, k</w:t>
      </w:r>
      <w:r w:rsidR="00ED6E7D">
        <w:rPr>
          <w:rFonts w:ascii="Times New Roman" w:hAnsi="Times New Roman" w:cs="Times New Roman"/>
          <w:sz w:val="28"/>
          <w:szCs w:val="28"/>
        </w:rPr>
        <w:t>as</w:t>
      </w:r>
      <w:r w:rsidR="00EF0BCA" w:rsidRPr="00EF0BCA">
        <w:rPr>
          <w:rFonts w:ascii="Times New Roman" w:hAnsi="Times New Roman" w:cs="Times New Roman"/>
          <w:sz w:val="28"/>
          <w:szCs w:val="28"/>
        </w:rPr>
        <w:t xml:space="preserve"> </w:t>
      </w:r>
      <w:r w:rsidR="00ED6E7D">
        <w:rPr>
          <w:rFonts w:ascii="Times New Roman" w:hAnsi="Times New Roman" w:cs="Times New Roman"/>
          <w:sz w:val="28"/>
          <w:szCs w:val="28"/>
        </w:rPr>
        <w:t>izlaists</w:t>
      </w:r>
      <w:r w:rsidR="00EF0BCA" w:rsidRPr="00EF0BCA">
        <w:rPr>
          <w:rFonts w:ascii="Times New Roman" w:hAnsi="Times New Roman" w:cs="Times New Roman"/>
          <w:sz w:val="28"/>
          <w:szCs w:val="28"/>
        </w:rPr>
        <w:t xml:space="preserve"> ar diskontu</w:t>
      </w:r>
      <w:r w:rsidR="00EF0BCA">
        <w:rPr>
          <w:rFonts w:ascii="Times New Roman" w:hAnsi="Times New Roman" w:cs="Times New Roman"/>
          <w:sz w:val="28"/>
          <w:szCs w:val="28"/>
        </w:rPr>
        <w:t xml:space="preserve">, prēmiju vai atbilstoši nominālvērtībai </w:t>
      </w:r>
      <w:r w:rsidR="00EF0BCA" w:rsidRPr="00EF0BCA">
        <w:rPr>
          <w:rFonts w:ascii="Times New Roman" w:hAnsi="Times New Roman" w:cs="Times New Roman"/>
          <w:sz w:val="28"/>
          <w:szCs w:val="28"/>
        </w:rPr>
        <w:t xml:space="preserve">un </w:t>
      </w:r>
      <w:r w:rsidR="00ED6E7D">
        <w:rPr>
          <w:rFonts w:ascii="Times New Roman" w:hAnsi="Times New Roman" w:cs="Times New Roman"/>
          <w:sz w:val="28"/>
          <w:szCs w:val="28"/>
        </w:rPr>
        <w:t xml:space="preserve">kuru </w:t>
      </w:r>
      <w:r w:rsidR="00EF0BCA" w:rsidRPr="00EF0BCA">
        <w:rPr>
          <w:rFonts w:ascii="Times New Roman" w:hAnsi="Times New Roman" w:cs="Times New Roman"/>
          <w:sz w:val="28"/>
          <w:szCs w:val="28"/>
        </w:rPr>
        <w:t>dzēš par tā nominālvērtību tā dzēšanas datumā un kurš var atrasties publiskā apgrozībā</w:t>
      </w:r>
      <w:r w:rsidRPr="00FF18C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ECBF4E" w14:textId="77777777" w:rsidR="00EF0BCA" w:rsidRPr="00EF0BCA" w:rsidRDefault="00EF0BCA" w:rsidP="00EF0BCA">
      <w:pPr>
        <w:pStyle w:val="ListParagraph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73F3D9" w14:textId="6D82EB38" w:rsidR="00EF0BCA" w:rsidRDefault="00EF0BCA" w:rsidP="00EF0B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EF0BCA">
        <w:rPr>
          <w:rFonts w:ascii="Times New Roman" w:hAnsi="Times New Roman" w:cs="Times New Roman"/>
          <w:sz w:val="28"/>
          <w:szCs w:val="28"/>
        </w:rPr>
        <w:t xml:space="preserve">obligācija – valsts vērtspapīrs, kas izlaists </w:t>
      </w:r>
      <w:r>
        <w:rPr>
          <w:rFonts w:ascii="Times New Roman" w:hAnsi="Times New Roman" w:cs="Times New Roman"/>
          <w:sz w:val="28"/>
          <w:szCs w:val="28"/>
        </w:rPr>
        <w:t xml:space="preserve">ar diskontu, prēmiju vai atbilstoši nominālvērtībai </w:t>
      </w:r>
      <w:r w:rsidRPr="00EF0BCA">
        <w:rPr>
          <w:rFonts w:ascii="Times New Roman" w:hAnsi="Times New Roman" w:cs="Times New Roman"/>
          <w:sz w:val="28"/>
          <w:szCs w:val="28"/>
        </w:rPr>
        <w:t xml:space="preserve">ar fiksētu vai mainīgu procentu likmi un noteiktos termiņos izmaksājamu fiksētu ienākumu, </w:t>
      </w:r>
      <w:r>
        <w:rPr>
          <w:rFonts w:ascii="Times New Roman" w:hAnsi="Times New Roman" w:cs="Times New Roman"/>
          <w:sz w:val="28"/>
          <w:szCs w:val="28"/>
        </w:rPr>
        <w:t xml:space="preserve">ja fiksētā ienākuma likme pārsniedz nulles līmeni, </w:t>
      </w:r>
      <w:r w:rsidRPr="00EF0BCA">
        <w:rPr>
          <w:rFonts w:ascii="Times New Roman" w:hAnsi="Times New Roman" w:cs="Times New Roman"/>
          <w:sz w:val="28"/>
          <w:szCs w:val="28"/>
        </w:rPr>
        <w:t>kuru dzēš par tā nominālvērtību un kurš var atrasties publiskā apgrozībā</w:t>
      </w:r>
      <w:r>
        <w:rPr>
          <w:rFonts w:ascii="Times New Roman" w:hAnsi="Times New Roman" w:cs="Times New Roman"/>
          <w:sz w:val="28"/>
          <w:szCs w:val="28"/>
        </w:rPr>
        <w:t>;”</w:t>
      </w:r>
      <w:r w:rsidR="00D63331">
        <w:rPr>
          <w:rFonts w:ascii="Times New Roman" w:hAnsi="Times New Roman" w:cs="Times New Roman"/>
          <w:sz w:val="28"/>
          <w:szCs w:val="28"/>
        </w:rPr>
        <w:t>;</w:t>
      </w:r>
    </w:p>
    <w:p w14:paraId="4B5E7D82" w14:textId="77777777" w:rsidR="00EF0BCA" w:rsidRDefault="00EF0BCA" w:rsidP="00EF0B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01CE7B" w14:textId="5286C39F" w:rsidR="008469BB" w:rsidRDefault="00D63331" w:rsidP="008469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8469BB">
        <w:rPr>
          <w:rFonts w:ascii="Times New Roman" w:eastAsia="Times New Roman" w:hAnsi="Times New Roman" w:cs="Times New Roman"/>
          <w:sz w:val="28"/>
          <w:szCs w:val="28"/>
        </w:rPr>
        <w:t>apildināt noteikumus ar 2.11.</w:t>
      </w:r>
      <w:r w:rsidR="008469BB" w:rsidRPr="00D169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8469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8469BB">
        <w:rPr>
          <w:rFonts w:ascii="Times New Roman" w:eastAsia="Times New Roman" w:hAnsi="Times New Roman" w:cs="Times New Roman"/>
          <w:sz w:val="28"/>
          <w:szCs w:val="28"/>
        </w:rPr>
        <w:t>apakšpunktu šādā redakcijā:</w:t>
      </w:r>
    </w:p>
    <w:p w14:paraId="775AE786" w14:textId="77777777" w:rsidR="008469BB" w:rsidRDefault="008469BB" w:rsidP="008469BB">
      <w:pPr>
        <w:pStyle w:val="ListParagraph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70EB47" w14:textId="170B8EF2" w:rsidR="008469BB" w:rsidRPr="00D1690F" w:rsidRDefault="008469BB" w:rsidP="008469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90F">
        <w:rPr>
          <w:rFonts w:ascii="Times New Roman" w:eastAsia="Times New Roman" w:hAnsi="Times New Roman" w:cs="Times New Roman"/>
          <w:sz w:val="28"/>
          <w:szCs w:val="28"/>
        </w:rPr>
        <w:t>„2.11.</w:t>
      </w:r>
      <w:r w:rsidRPr="00D169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169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690F">
        <w:rPr>
          <w:rFonts w:ascii="Times New Roman" w:hAnsi="Times New Roman"/>
          <w:color w:val="000000" w:themeColor="text1"/>
          <w:sz w:val="28"/>
          <w:szCs w:val="28"/>
        </w:rPr>
        <w:t>prēmij</w:t>
      </w: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D16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D1690F">
        <w:rPr>
          <w:rFonts w:ascii="Times New Roman" w:hAnsi="Times New Roman"/>
          <w:color w:val="000000" w:themeColor="text1"/>
          <w:sz w:val="28"/>
          <w:szCs w:val="28"/>
        </w:rPr>
        <w:t>starpīb</w:t>
      </w: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D1690F">
        <w:rPr>
          <w:rFonts w:ascii="Times New Roman" w:hAnsi="Times New Roman"/>
          <w:color w:val="000000" w:themeColor="text1"/>
          <w:sz w:val="28"/>
          <w:szCs w:val="28"/>
        </w:rPr>
        <w:t xml:space="preserve"> starp vērtspapīra nominālvērtību un vērtspapīra cenu, ja vērtspapīra cena ir lielāka par vērtspapīra nominālvērtību;</w:t>
      </w:r>
      <w:r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D633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7FEED6B" w14:textId="77777777" w:rsidR="008469BB" w:rsidRDefault="008469BB" w:rsidP="00EF0B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E6E7A1" w14:textId="317787C5" w:rsidR="00EF0BCA" w:rsidRDefault="00D63331" w:rsidP="008469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EF0BCA">
        <w:rPr>
          <w:rFonts w:ascii="Times New Roman" w:hAnsi="Times New Roman" w:cs="Times New Roman"/>
          <w:sz w:val="28"/>
          <w:szCs w:val="28"/>
        </w:rPr>
        <w:t>zteikt 2.28.apakšpunktu šādā redakcijā:</w:t>
      </w:r>
    </w:p>
    <w:p w14:paraId="0A50E974" w14:textId="77777777" w:rsidR="00EF0BCA" w:rsidRDefault="00EF0BCA" w:rsidP="00EF0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8B213" w14:textId="77777777" w:rsidR="009A14BA" w:rsidRDefault="00EF0BCA" w:rsidP="00EF0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„2.28. </w:t>
      </w:r>
      <w:r w:rsidR="00D1690F" w:rsidRPr="00D1690F">
        <w:rPr>
          <w:rFonts w:ascii="Times New Roman" w:hAnsi="Times New Roman" w:cs="Times New Roman"/>
          <w:sz w:val="28"/>
          <w:szCs w:val="28"/>
        </w:rPr>
        <w:t>peļņas likme – ieguldīj</w:t>
      </w:r>
      <w:r w:rsidR="00D1690F">
        <w:rPr>
          <w:rFonts w:ascii="Times New Roman" w:hAnsi="Times New Roman" w:cs="Times New Roman"/>
          <w:sz w:val="28"/>
          <w:szCs w:val="28"/>
        </w:rPr>
        <w:t>um</w:t>
      </w:r>
      <w:r w:rsidR="00D1690F" w:rsidRPr="00D1690F">
        <w:rPr>
          <w:rFonts w:ascii="Times New Roman" w:hAnsi="Times New Roman" w:cs="Times New Roman"/>
          <w:sz w:val="28"/>
          <w:szCs w:val="28"/>
        </w:rPr>
        <w:t xml:space="preserve">a </w:t>
      </w:r>
      <w:r w:rsidR="00D1690F">
        <w:rPr>
          <w:rFonts w:ascii="Times New Roman" w:hAnsi="Times New Roman" w:cs="Times New Roman"/>
          <w:sz w:val="28"/>
          <w:szCs w:val="28"/>
        </w:rPr>
        <w:t>atdeve</w:t>
      </w:r>
      <w:r w:rsidR="00D1690F" w:rsidRPr="00D1690F">
        <w:rPr>
          <w:rFonts w:ascii="Times New Roman" w:hAnsi="Times New Roman" w:cs="Times New Roman"/>
          <w:sz w:val="28"/>
          <w:szCs w:val="28"/>
        </w:rPr>
        <w:t xml:space="preserve"> gadā, kur</w:t>
      </w:r>
      <w:r w:rsidR="00D1690F">
        <w:rPr>
          <w:rFonts w:ascii="Times New Roman" w:hAnsi="Times New Roman" w:cs="Times New Roman"/>
          <w:sz w:val="28"/>
          <w:szCs w:val="28"/>
        </w:rPr>
        <w:t>a</w:t>
      </w:r>
      <w:r w:rsidR="00D1690F" w:rsidRPr="00D1690F">
        <w:rPr>
          <w:rFonts w:ascii="Times New Roman" w:hAnsi="Times New Roman" w:cs="Times New Roman"/>
          <w:sz w:val="28"/>
          <w:szCs w:val="28"/>
        </w:rPr>
        <w:t xml:space="preserve"> izteikt</w:t>
      </w:r>
      <w:r w:rsidR="00D1690F">
        <w:rPr>
          <w:rFonts w:ascii="Times New Roman" w:hAnsi="Times New Roman" w:cs="Times New Roman"/>
          <w:sz w:val="28"/>
          <w:szCs w:val="28"/>
        </w:rPr>
        <w:t>a</w:t>
      </w:r>
      <w:r w:rsidR="00D1690F" w:rsidRPr="00D1690F">
        <w:rPr>
          <w:rFonts w:ascii="Times New Roman" w:hAnsi="Times New Roman" w:cs="Times New Roman"/>
          <w:sz w:val="28"/>
          <w:szCs w:val="28"/>
        </w:rPr>
        <w:t xml:space="preserve"> procentos</w:t>
      </w:r>
      <w:r w:rsidR="00D1690F">
        <w:rPr>
          <w:rFonts w:ascii="Times New Roman" w:hAnsi="Times New Roman" w:cs="Times New Roman"/>
          <w:sz w:val="28"/>
          <w:szCs w:val="28"/>
        </w:rPr>
        <w:t xml:space="preserve">, ņemot vērā </w:t>
      </w:r>
      <w:r w:rsidR="00D1690F" w:rsidRPr="00D1690F">
        <w:rPr>
          <w:rFonts w:ascii="Times New Roman" w:hAnsi="Times New Roman" w:cs="Times New Roman"/>
          <w:sz w:val="28"/>
          <w:szCs w:val="28"/>
        </w:rPr>
        <w:t>valsts vērtspapīra cenu un sagaidām</w:t>
      </w:r>
      <w:r w:rsidR="00D1690F">
        <w:rPr>
          <w:rFonts w:ascii="Times New Roman" w:hAnsi="Times New Roman" w:cs="Times New Roman"/>
          <w:sz w:val="28"/>
          <w:szCs w:val="28"/>
        </w:rPr>
        <w:t>os</w:t>
      </w:r>
      <w:r w:rsidR="00D1690F" w:rsidRPr="00D1690F">
        <w:rPr>
          <w:rFonts w:ascii="Times New Roman" w:hAnsi="Times New Roman" w:cs="Times New Roman"/>
          <w:sz w:val="28"/>
          <w:szCs w:val="28"/>
        </w:rPr>
        <w:t xml:space="preserve"> ienākum</w:t>
      </w:r>
      <w:r w:rsidR="00D1690F">
        <w:rPr>
          <w:rFonts w:ascii="Times New Roman" w:hAnsi="Times New Roman" w:cs="Times New Roman"/>
          <w:sz w:val="28"/>
          <w:szCs w:val="28"/>
        </w:rPr>
        <w:t xml:space="preserve">us </w:t>
      </w:r>
      <w:r w:rsidR="00D1690F" w:rsidRPr="00D1690F">
        <w:rPr>
          <w:rFonts w:ascii="Times New Roman" w:hAnsi="Times New Roman" w:cs="Times New Roman"/>
          <w:sz w:val="28"/>
          <w:szCs w:val="28"/>
        </w:rPr>
        <w:t>no valsts vērtspapīra tā termiņa laikā</w:t>
      </w:r>
      <w:r w:rsidR="00D1690F">
        <w:rPr>
          <w:rFonts w:ascii="Times New Roman" w:hAnsi="Times New Roman" w:cs="Times New Roman"/>
          <w:sz w:val="28"/>
          <w:szCs w:val="28"/>
        </w:rPr>
        <w:t>;”</w:t>
      </w:r>
      <w:r w:rsidR="00D63331">
        <w:rPr>
          <w:rFonts w:ascii="Times New Roman" w:hAnsi="Times New Roman" w:cs="Times New Roman"/>
          <w:sz w:val="28"/>
          <w:szCs w:val="28"/>
        </w:rPr>
        <w:t>;</w:t>
      </w:r>
    </w:p>
    <w:p w14:paraId="17745FD1" w14:textId="77777777" w:rsidR="00D1690F" w:rsidRDefault="00D1690F" w:rsidP="00EF0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C9164" w14:textId="51A070B3" w:rsidR="00D1690F" w:rsidRDefault="00D63331" w:rsidP="008469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1690F">
        <w:rPr>
          <w:rFonts w:ascii="Times New Roman" w:hAnsi="Times New Roman" w:cs="Times New Roman"/>
          <w:sz w:val="28"/>
          <w:szCs w:val="28"/>
        </w:rPr>
        <w:t>zteikt 18.2.apakšpunktu šādā redakcijā:</w:t>
      </w:r>
    </w:p>
    <w:p w14:paraId="39B29992" w14:textId="77777777" w:rsidR="00D1690F" w:rsidRDefault="00D1690F" w:rsidP="00D1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A53A1" w14:textId="77777777" w:rsidR="00D1690F" w:rsidRDefault="00D1690F" w:rsidP="00D1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="009F3171" w:rsidRPr="009F3171">
        <w:rPr>
          <w:rFonts w:ascii="Times New Roman" w:hAnsi="Times New Roman" w:cs="Times New Roman"/>
          <w:sz w:val="28"/>
          <w:szCs w:val="28"/>
        </w:rPr>
        <w:t>18.2</w:t>
      </w:r>
      <w:r w:rsidRPr="009F3171">
        <w:rPr>
          <w:rFonts w:ascii="Times New Roman" w:hAnsi="Times New Roman" w:cs="Times New Roman"/>
          <w:sz w:val="28"/>
          <w:szCs w:val="28"/>
        </w:rPr>
        <w:t xml:space="preserve">. </w:t>
      </w:r>
      <w:r w:rsidRPr="00D1690F">
        <w:rPr>
          <w:rFonts w:ascii="Times New Roman" w:hAnsi="Times New Roman" w:cs="Times New Roman"/>
          <w:sz w:val="28"/>
          <w:szCs w:val="28"/>
        </w:rPr>
        <w:t>ja Valsts kases rīkojumā par obligāciju izlaišanu sērijas pirmajā laidienā fiksētais ienākums netiek noteikts, fiksēto ienākumu nosaka kā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26F5F1" w14:textId="77777777" w:rsidR="00D1690F" w:rsidRDefault="00D1690F" w:rsidP="00D1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18.2.1. </w:t>
      </w:r>
      <w:r w:rsidRPr="00D1690F">
        <w:rPr>
          <w:rFonts w:ascii="Times New Roman" w:hAnsi="Times New Roman" w:cs="Times New Roman"/>
          <w:sz w:val="28"/>
          <w:szCs w:val="28"/>
        </w:rPr>
        <w:t xml:space="preserve">vidējo svērto peļņas likmi no </w:t>
      </w:r>
      <w:r w:rsidR="00ED6E7D" w:rsidRPr="00D1690F">
        <w:rPr>
          <w:rFonts w:ascii="Times New Roman" w:hAnsi="Times New Roman"/>
          <w:sz w:val="28"/>
          <w:szCs w:val="28"/>
        </w:rPr>
        <w:t xml:space="preserve">konkurējošā </w:t>
      </w:r>
      <w:proofErr w:type="spellStart"/>
      <w:r w:rsidR="00ED6E7D" w:rsidRPr="00D1690F">
        <w:rPr>
          <w:rFonts w:ascii="Times New Roman" w:hAnsi="Times New Roman"/>
          <w:sz w:val="28"/>
          <w:szCs w:val="28"/>
        </w:rPr>
        <w:t>daudzcenu</w:t>
      </w:r>
      <w:proofErr w:type="spellEnd"/>
      <w:r w:rsidR="00ED6E7D" w:rsidRPr="00D1690F">
        <w:rPr>
          <w:rFonts w:ascii="Times New Roman" w:hAnsi="Times New Roman"/>
          <w:sz w:val="28"/>
          <w:szCs w:val="28"/>
        </w:rPr>
        <w:t xml:space="preserve"> </w:t>
      </w:r>
      <w:r w:rsidRPr="00D1690F">
        <w:rPr>
          <w:rFonts w:ascii="Times New Roman" w:hAnsi="Times New Roman" w:cs="Times New Roman"/>
          <w:sz w:val="28"/>
          <w:szCs w:val="28"/>
        </w:rPr>
        <w:t>izsolē apstiprinātajiem valsts vērtspapīru uzdevumiem, kas noapaļota uz leju līdz tuvākajai viena procenta likmes astotdaļai;</w:t>
      </w:r>
    </w:p>
    <w:p w14:paraId="67B61011" w14:textId="13105E98" w:rsidR="00D1690F" w:rsidRPr="00D1690F" w:rsidRDefault="00D1690F" w:rsidP="00D1690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18.2.2. </w:t>
      </w:r>
      <w:r w:rsidR="00BE3EF7">
        <w:rPr>
          <w:rFonts w:ascii="Times New Roman" w:hAnsi="Times New Roman" w:cs="Times New Roman"/>
          <w:sz w:val="28"/>
          <w:szCs w:val="28"/>
        </w:rPr>
        <w:t>null</w:t>
      </w:r>
      <w:r w:rsidR="00ED6E7D">
        <w:rPr>
          <w:rFonts w:ascii="Times New Roman" w:hAnsi="Times New Roman" w:cs="Times New Roman"/>
          <w:sz w:val="28"/>
          <w:szCs w:val="28"/>
        </w:rPr>
        <w:t>i</w:t>
      </w:r>
      <w:r w:rsidR="00BE3EF7">
        <w:rPr>
          <w:rFonts w:ascii="Times New Roman" w:hAnsi="Times New Roman" w:cs="Times New Roman"/>
          <w:sz w:val="28"/>
          <w:szCs w:val="28"/>
        </w:rPr>
        <w:t xml:space="preserve">, ja </w:t>
      </w:r>
      <w:r w:rsidRPr="00D1690F">
        <w:rPr>
          <w:rFonts w:ascii="Times New Roman" w:hAnsi="Times New Roman"/>
          <w:sz w:val="28"/>
          <w:szCs w:val="28"/>
        </w:rPr>
        <w:t>vidēj</w:t>
      </w:r>
      <w:r w:rsidR="00ED6E7D">
        <w:rPr>
          <w:rFonts w:ascii="Times New Roman" w:hAnsi="Times New Roman"/>
          <w:sz w:val="28"/>
          <w:szCs w:val="28"/>
        </w:rPr>
        <w:t>ā</w:t>
      </w:r>
      <w:r w:rsidRPr="00D1690F">
        <w:rPr>
          <w:rFonts w:ascii="Times New Roman" w:hAnsi="Times New Roman"/>
          <w:sz w:val="28"/>
          <w:szCs w:val="28"/>
        </w:rPr>
        <w:t xml:space="preserve"> svērt</w:t>
      </w:r>
      <w:r w:rsidR="00ED6E7D">
        <w:rPr>
          <w:rFonts w:ascii="Times New Roman" w:hAnsi="Times New Roman"/>
          <w:sz w:val="28"/>
          <w:szCs w:val="28"/>
        </w:rPr>
        <w:t>ā</w:t>
      </w:r>
      <w:r w:rsidRPr="00D1690F">
        <w:rPr>
          <w:rFonts w:ascii="Times New Roman" w:hAnsi="Times New Roman"/>
          <w:sz w:val="28"/>
          <w:szCs w:val="28"/>
        </w:rPr>
        <w:t xml:space="preserve"> peļņas likme no konkurējošā </w:t>
      </w:r>
      <w:proofErr w:type="spellStart"/>
      <w:r w:rsidRPr="00D1690F">
        <w:rPr>
          <w:rFonts w:ascii="Times New Roman" w:hAnsi="Times New Roman"/>
          <w:sz w:val="28"/>
          <w:szCs w:val="28"/>
        </w:rPr>
        <w:t>daudzcenu</w:t>
      </w:r>
      <w:proofErr w:type="spellEnd"/>
      <w:r w:rsidRPr="00D1690F">
        <w:rPr>
          <w:rFonts w:ascii="Times New Roman" w:hAnsi="Times New Roman"/>
          <w:sz w:val="28"/>
          <w:szCs w:val="28"/>
        </w:rPr>
        <w:t xml:space="preserve"> izsolē apstiprinātajiem valsts vērtspapīru uzdevumiem ir nulle vai zemāk</w:t>
      </w:r>
      <w:r w:rsidR="00ED6E7D">
        <w:rPr>
          <w:rFonts w:ascii="Times New Roman" w:hAnsi="Times New Roman"/>
          <w:sz w:val="28"/>
          <w:szCs w:val="28"/>
        </w:rPr>
        <w:t>a</w:t>
      </w:r>
      <w:r w:rsidR="00BE3EF7">
        <w:rPr>
          <w:rFonts w:ascii="Times New Roman" w:hAnsi="Times New Roman"/>
          <w:sz w:val="28"/>
          <w:szCs w:val="28"/>
        </w:rPr>
        <w:t>;”</w:t>
      </w:r>
      <w:r w:rsidR="00D63331">
        <w:rPr>
          <w:rFonts w:ascii="Times New Roman" w:hAnsi="Times New Roman"/>
          <w:sz w:val="28"/>
          <w:szCs w:val="28"/>
        </w:rPr>
        <w:t>;</w:t>
      </w:r>
    </w:p>
    <w:p w14:paraId="4E933D35" w14:textId="77777777" w:rsidR="00EF0BCA" w:rsidRDefault="00EF0BCA" w:rsidP="00EF0BC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FFCB7" w14:textId="76099F58" w:rsidR="00BE3EF7" w:rsidRDefault="00D63331" w:rsidP="008469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BE3EF7">
        <w:rPr>
          <w:rFonts w:ascii="Times New Roman" w:eastAsia="Times New Roman" w:hAnsi="Times New Roman" w:cs="Times New Roman"/>
          <w:sz w:val="28"/>
          <w:szCs w:val="28"/>
        </w:rPr>
        <w:t>apildināt noteikumus ar 22.</w:t>
      </w:r>
      <w:r w:rsidR="00BE3EF7" w:rsidRPr="00D169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E3E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BE3EF7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71AE9F84" w14:textId="77777777" w:rsidR="00BE3EF7" w:rsidRDefault="00BE3EF7" w:rsidP="00BE3EF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2A7D25" w14:textId="77777777" w:rsidR="00BE3EF7" w:rsidRDefault="00BE3EF7" w:rsidP="00BE3E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„22.</w:t>
      </w:r>
      <w:r w:rsidRPr="00D169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BE3EF7">
        <w:rPr>
          <w:rFonts w:ascii="Times New Roman" w:hAnsi="Times New Roman"/>
          <w:sz w:val="28"/>
          <w:szCs w:val="28"/>
        </w:rPr>
        <w:t>Sākotnējā izvietošanā piedāvājamo krājobligāciju fiksētā ienākuma likmes nosaka Valsts kase, pamatojoties uz finanšu tirgos pastāvošajām procentu likmēm.</w:t>
      </w:r>
      <w:r>
        <w:rPr>
          <w:rFonts w:ascii="Times New Roman" w:hAnsi="Times New Roman"/>
          <w:sz w:val="28"/>
          <w:szCs w:val="28"/>
        </w:rPr>
        <w:t>”</w:t>
      </w:r>
      <w:r w:rsidR="00D63331">
        <w:rPr>
          <w:rFonts w:ascii="Times New Roman" w:hAnsi="Times New Roman"/>
          <w:sz w:val="28"/>
          <w:szCs w:val="28"/>
        </w:rPr>
        <w:t>.</w:t>
      </w:r>
    </w:p>
    <w:p w14:paraId="324E50A1" w14:textId="77777777" w:rsidR="005A1BF7" w:rsidRPr="00BE3EF7" w:rsidRDefault="005A1BF7" w:rsidP="00BE3EF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77EF95" w14:textId="77777777" w:rsidR="00F074B8" w:rsidRPr="004B6C65" w:rsidRDefault="00F074B8" w:rsidP="00F074B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ED85B" w14:textId="77777777" w:rsidR="00461FE7" w:rsidRPr="00461FE7" w:rsidRDefault="00461FE7" w:rsidP="00461FE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2F01DD" w14:textId="77777777" w:rsidR="008A42AC" w:rsidRDefault="008A42AC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74263" w14:textId="77777777" w:rsidR="00C43B92" w:rsidRPr="009E562D" w:rsidRDefault="008A42AC" w:rsidP="00957F5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prezidente</w:t>
      </w:r>
      <w:r w:rsidR="0006579A">
        <w:rPr>
          <w:rFonts w:ascii="Times New Roman" w:eastAsia="Times New Roman" w:hAnsi="Times New Roman" w:cs="Times New Roman"/>
          <w:sz w:val="28"/>
          <w:szCs w:val="28"/>
        </w:rPr>
        <w:tab/>
      </w:r>
      <w:r w:rsidR="00C43B92" w:rsidRPr="009E562D">
        <w:rPr>
          <w:rFonts w:ascii="Times New Roman" w:eastAsia="Times New Roman" w:hAnsi="Times New Roman" w:cs="Times New Roman"/>
          <w:sz w:val="28"/>
          <w:szCs w:val="28"/>
        </w:rPr>
        <w:t>L.Straujuma</w:t>
      </w:r>
    </w:p>
    <w:p w14:paraId="376ADEA1" w14:textId="77777777" w:rsidR="00C43B92" w:rsidRPr="009E562D" w:rsidRDefault="00C43B92" w:rsidP="0006579A">
      <w:pPr>
        <w:tabs>
          <w:tab w:val="left" w:pos="6804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EB9A56" w14:textId="77777777" w:rsidR="00C43B92" w:rsidRPr="009E562D" w:rsidRDefault="00C43B92" w:rsidP="0006579A">
      <w:pPr>
        <w:tabs>
          <w:tab w:val="left" w:pos="6804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8C9288" w14:textId="77777777" w:rsidR="00C43B92" w:rsidRPr="009E562D" w:rsidRDefault="008A42AC" w:rsidP="0006579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82D9F"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82D9F">
        <w:rPr>
          <w:rFonts w:ascii="Times New Roman" w:eastAsia="Times New Roman" w:hAnsi="Times New Roman" w:cs="Times New Roman"/>
          <w:sz w:val="28"/>
          <w:szCs w:val="28"/>
        </w:rPr>
        <w:t>Reirs</w:t>
      </w:r>
      <w:proofErr w:type="spellEnd"/>
    </w:p>
    <w:p w14:paraId="71DE5B92" w14:textId="77777777" w:rsidR="009F61DC" w:rsidRDefault="009F61DC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7A6BED17" w14:textId="77777777"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197391B4" w14:textId="77777777"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01A97418" w14:textId="77777777"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CD77E0E" w14:textId="77777777"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20BC7E9" w14:textId="05F1BAF5" w:rsidR="001E7331" w:rsidRPr="001A5037" w:rsidRDefault="00017DD9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26</w:t>
      </w:r>
      <w:r w:rsidR="001E7331" w:rsidRPr="001A5037">
        <w:rPr>
          <w:rFonts w:ascii="Times New Roman" w:eastAsia="Times New Roman" w:hAnsi="Times New Roman" w:cs="Times New Roman"/>
          <w:sz w:val="18"/>
          <w:szCs w:val="24"/>
        </w:rPr>
        <w:t>.</w:t>
      </w:r>
      <w:r w:rsidR="00BE3EF7">
        <w:rPr>
          <w:rFonts w:ascii="Times New Roman" w:eastAsia="Times New Roman" w:hAnsi="Times New Roman" w:cs="Times New Roman"/>
          <w:sz w:val="18"/>
          <w:szCs w:val="24"/>
        </w:rPr>
        <w:t>03</w:t>
      </w:r>
      <w:r w:rsidR="001E7331" w:rsidRPr="001A5037">
        <w:rPr>
          <w:rFonts w:ascii="Times New Roman" w:eastAsia="Times New Roman" w:hAnsi="Times New Roman" w:cs="Times New Roman"/>
          <w:sz w:val="18"/>
          <w:szCs w:val="24"/>
        </w:rPr>
        <w:t>.201</w:t>
      </w:r>
      <w:r w:rsidR="00BE3EF7">
        <w:rPr>
          <w:rFonts w:ascii="Times New Roman" w:eastAsia="Times New Roman" w:hAnsi="Times New Roman" w:cs="Times New Roman"/>
          <w:sz w:val="18"/>
          <w:szCs w:val="24"/>
        </w:rPr>
        <w:t>5</w:t>
      </w:r>
      <w:r w:rsidR="001E7331" w:rsidRPr="001A5037">
        <w:rPr>
          <w:rFonts w:ascii="Times New Roman" w:eastAsia="Times New Roman" w:hAnsi="Times New Roman" w:cs="Times New Roman"/>
          <w:sz w:val="18"/>
          <w:szCs w:val="24"/>
        </w:rPr>
        <w:t xml:space="preserve">  </w:t>
      </w:r>
      <w:r w:rsidR="005E16B4">
        <w:rPr>
          <w:rFonts w:ascii="Times New Roman" w:eastAsia="Times New Roman" w:hAnsi="Times New Roman" w:cs="Times New Roman"/>
          <w:sz w:val="18"/>
          <w:szCs w:val="24"/>
        </w:rPr>
        <w:t>12</w:t>
      </w:r>
      <w:r w:rsidR="00DD4541">
        <w:rPr>
          <w:rFonts w:ascii="Times New Roman" w:eastAsia="Times New Roman" w:hAnsi="Times New Roman" w:cs="Times New Roman"/>
          <w:sz w:val="18"/>
          <w:szCs w:val="24"/>
        </w:rPr>
        <w:t>:15</w:t>
      </w:r>
    </w:p>
    <w:p w14:paraId="29011F5F" w14:textId="003DF884" w:rsidR="001E7331" w:rsidRPr="001A5037" w:rsidRDefault="00F22CD5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18"/>
          <w:szCs w:val="24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18"/>
          <w:szCs w:val="24"/>
        </w:rPr>
        <w:fldChar w:fldCharType="separate"/>
      </w:r>
      <w:r w:rsidR="00EC18B3">
        <w:rPr>
          <w:rFonts w:ascii="Times New Roman" w:eastAsia="Times New Roman" w:hAnsi="Times New Roman" w:cs="Times New Roman"/>
          <w:noProof/>
          <w:sz w:val="18"/>
          <w:szCs w:val="24"/>
        </w:rPr>
        <w:t>289</w:t>
      </w:r>
      <w:r>
        <w:rPr>
          <w:rFonts w:ascii="Times New Roman" w:eastAsia="Times New Roman" w:hAnsi="Times New Roman" w:cs="Times New Roman"/>
          <w:sz w:val="18"/>
          <w:szCs w:val="24"/>
        </w:rPr>
        <w:fldChar w:fldCharType="end"/>
      </w:r>
    </w:p>
    <w:p w14:paraId="2B1D3E4E" w14:textId="77777777" w:rsidR="001E7331" w:rsidRPr="001A5037" w:rsidRDefault="00D748A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V.Kačalovs</w:t>
      </w:r>
    </w:p>
    <w:p w14:paraId="1BEBF20E" w14:textId="77777777" w:rsidR="00957F57" w:rsidRDefault="001E7331" w:rsidP="001C1B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  <w:r w:rsidRPr="001A5037">
        <w:rPr>
          <w:rFonts w:ascii="Times New Roman" w:eastAsia="Times New Roman" w:hAnsi="Times New Roman" w:cs="Times New Roman"/>
          <w:sz w:val="18"/>
          <w:szCs w:val="24"/>
          <w:lang w:eastAsia="lv-LV"/>
        </w:rPr>
        <w:t>67094</w:t>
      </w:r>
      <w:r w:rsidR="00D748A3">
        <w:rPr>
          <w:rFonts w:ascii="Times New Roman" w:eastAsia="Times New Roman" w:hAnsi="Times New Roman" w:cs="Times New Roman"/>
          <w:sz w:val="18"/>
          <w:szCs w:val="24"/>
          <w:lang w:eastAsia="lv-LV"/>
        </w:rPr>
        <w:t>367</w:t>
      </w:r>
    </w:p>
    <w:p w14:paraId="45B1D402" w14:textId="69E1711A" w:rsidR="00D748A3" w:rsidRDefault="00D748A3" w:rsidP="001C1B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  <w:bookmarkStart w:id="0" w:name="_GoBack"/>
      <w:bookmarkEnd w:id="0"/>
      <w:r w:rsidRPr="00261F7C">
        <w:rPr>
          <w:rFonts w:ascii="Times New Roman" w:eastAsia="Times New Roman" w:hAnsi="Times New Roman" w:cs="Times New Roman"/>
          <w:sz w:val="18"/>
          <w:szCs w:val="24"/>
          <w:lang w:eastAsia="lv-LV"/>
        </w:rPr>
        <w:t>Viktors.Kacalovs@kase.gov.lv</w:t>
      </w:r>
    </w:p>
    <w:sectPr w:rsidR="00D748A3" w:rsidSect="001B52FA">
      <w:headerReference w:type="default" r:id="rId9"/>
      <w:footerReference w:type="default" r:id="rId10"/>
      <w:footerReference w:type="first" r:id="rId11"/>
      <w:pgSz w:w="11906" w:h="16838"/>
      <w:pgMar w:top="1440" w:right="1797" w:bottom="1440" w:left="1797" w:header="709" w:footer="50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C8EA46" w15:done="0"/>
  <w15:commentEx w15:paraId="2FD06E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53ECA" w14:textId="77777777" w:rsidR="002B5830" w:rsidRDefault="002B5830" w:rsidP="001E7331">
      <w:pPr>
        <w:spacing w:after="0" w:line="240" w:lineRule="auto"/>
      </w:pPr>
      <w:r>
        <w:separator/>
      </w:r>
    </w:p>
  </w:endnote>
  <w:endnote w:type="continuationSeparator" w:id="0">
    <w:p w14:paraId="4723CFF7" w14:textId="77777777" w:rsidR="002B5830" w:rsidRDefault="002B5830" w:rsidP="001E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866F" w14:textId="77777777" w:rsidR="00D1690F" w:rsidRPr="00EE18F2" w:rsidRDefault="00D1690F" w:rsidP="00957F57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\* FirstCap  \* MERGEFORMAT </w:instrText>
    </w:r>
    <w:r>
      <w:rPr>
        <w:rFonts w:ascii="Times New Roman" w:hAnsi="Times New Roman" w:cs="Times New Roman"/>
      </w:rPr>
      <w:fldChar w:fldCharType="separate"/>
    </w:r>
    <w:r w:rsidR="00EC18B3">
      <w:rPr>
        <w:rFonts w:ascii="Times New Roman" w:hAnsi="Times New Roman" w:cs="Times New Roman"/>
        <w:noProof/>
      </w:rPr>
      <w:t>FMNot_260315_groz_vertspap.docx</w:t>
    </w:r>
    <w:r>
      <w:rPr>
        <w:rFonts w:ascii="Times New Roman" w:hAnsi="Times New Roman" w:cs="Times New Roman"/>
      </w:rPr>
      <w:fldChar w:fldCharType="end"/>
    </w:r>
    <w:r w:rsidRPr="00EE18F2">
      <w:rPr>
        <w:rFonts w:ascii="Times New Roman" w:hAnsi="Times New Roman" w:cs="Times New Roman"/>
      </w:rPr>
      <w:t xml:space="preserve">; </w:t>
    </w:r>
    <w:r w:rsidR="00957F57">
      <w:rPr>
        <w:rFonts w:ascii="Times New Roman" w:hAnsi="Times New Roman" w:cs="Times New Roman"/>
      </w:rPr>
      <w:t>Ministru kabineta noteikumu projekts „</w:t>
    </w:r>
    <w:r w:rsidRPr="00EE18F2">
      <w:rPr>
        <w:rFonts w:ascii="Times New Roman" w:hAnsi="Times New Roman" w:cs="Times New Roman"/>
      </w:rPr>
      <w:t>Grozījumi Ministru kabineta 2014.gada 6.maija noteikumos Nr.237 „Valsts vērtspapīru izlaišanas noteikumi”</w:t>
    </w:r>
    <w:r w:rsidR="00957F57">
      <w:rPr>
        <w:rFonts w:ascii="Times New Roman" w:hAnsi="Times New Roman" w:cs="Times New Roman"/>
      </w:rPr>
      <w:t>”.</w:t>
    </w:r>
  </w:p>
  <w:p w14:paraId="2F750D64" w14:textId="77777777" w:rsidR="00AE45DF" w:rsidRDefault="00AE45DF" w:rsidP="006B4478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AD3D5" w14:textId="0A13BD7B" w:rsidR="00AE45DF" w:rsidRPr="00EE18F2" w:rsidRDefault="0006579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\* FirstCap  \* MERGEFORMAT </w:instrText>
    </w:r>
    <w:r>
      <w:rPr>
        <w:rFonts w:ascii="Times New Roman" w:hAnsi="Times New Roman" w:cs="Times New Roman"/>
      </w:rPr>
      <w:fldChar w:fldCharType="separate"/>
    </w:r>
    <w:r w:rsidR="009C7977">
      <w:rPr>
        <w:rFonts w:ascii="Times New Roman" w:hAnsi="Times New Roman" w:cs="Times New Roman"/>
        <w:noProof/>
      </w:rPr>
      <w:t>FMNot_090315_groz_vertspap_tiirs.docx</w:t>
    </w:r>
    <w:r>
      <w:rPr>
        <w:rFonts w:ascii="Times New Roman" w:hAnsi="Times New Roman" w:cs="Times New Roman"/>
      </w:rPr>
      <w:fldChar w:fldCharType="end"/>
    </w:r>
    <w:r w:rsidR="00AE45DF" w:rsidRPr="00EE18F2">
      <w:rPr>
        <w:rFonts w:ascii="Times New Roman" w:hAnsi="Times New Roman" w:cs="Times New Roman"/>
      </w:rPr>
      <w:t>; Grozījumi Ministru kabineta 2014.gada 6.maija noteikumos Nr.237 „Valsts vērtspapīru izlaišanas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CC9BF" w14:textId="77777777" w:rsidR="002B5830" w:rsidRDefault="002B5830" w:rsidP="001E7331">
      <w:pPr>
        <w:spacing w:after="0" w:line="240" w:lineRule="auto"/>
      </w:pPr>
      <w:r>
        <w:separator/>
      </w:r>
    </w:p>
  </w:footnote>
  <w:footnote w:type="continuationSeparator" w:id="0">
    <w:p w14:paraId="40A44E07" w14:textId="77777777" w:rsidR="002B5830" w:rsidRDefault="002B5830" w:rsidP="001E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24E3" w14:textId="77777777" w:rsidR="00AE45DF" w:rsidRPr="006677E9" w:rsidRDefault="00AE45DF">
    <w:pPr>
      <w:pStyle w:val="Header"/>
      <w:jc w:val="center"/>
      <w:rPr>
        <w:rFonts w:ascii="Times New Roman" w:hAnsi="Times New Roman" w:cs="Times New Roman"/>
      </w:rPr>
    </w:pPr>
  </w:p>
  <w:p w14:paraId="6F6ABF6D" w14:textId="77777777" w:rsidR="00AE45DF" w:rsidRDefault="00AE4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8C1"/>
    <w:multiLevelType w:val="hybridMultilevel"/>
    <w:tmpl w:val="C46AA3C4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1AA0"/>
    <w:multiLevelType w:val="hybridMultilevel"/>
    <w:tmpl w:val="98EABB1A"/>
    <w:lvl w:ilvl="0" w:tplc="3BC66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0A53"/>
    <w:multiLevelType w:val="multilevel"/>
    <w:tmpl w:val="BCC6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090B98"/>
    <w:multiLevelType w:val="hybridMultilevel"/>
    <w:tmpl w:val="A47E07F4"/>
    <w:lvl w:ilvl="0" w:tplc="B478147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8914B3B"/>
    <w:multiLevelType w:val="hybridMultilevel"/>
    <w:tmpl w:val="03CE6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F6EF5"/>
    <w:multiLevelType w:val="hybridMultilevel"/>
    <w:tmpl w:val="993C13C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67267"/>
    <w:multiLevelType w:val="hybridMultilevel"/>
    <w:tmpl w:val="7E60B8B6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B44DC"/>
    <w:multiLevelType w:val="hybridMultilevel"/>
    <w:tmpl w:val="DD34C68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ja Freiberga">
    <w15:presenceInfo w15:providerId="None" w15:userId="Aija Freiber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6C"/>
    <w:rsid w:val="00014575"/>
    <w:rsid w:val="00017DD9"/>
    <w:rsid w:val="000446F5"/>
    <w:rsid w:val="0004669B"/>
    <w:rsid w:val="0006187E"/>
    <w:rsid w:val="00064A93"/>
    <w:rsid w:val="0006579A"/>
    <w:rsid w:val="000664E9"/>
    <w:rsid w:val="00066CB5"/>
    <w:rsid w:val="00067A84"/>
    <w:rsid w:val="00075C1F"/>
    <w:rsid w:val="000940CF"/>
    <w:rsid w:val="000A7402"/>
    <w:rsid w:val="000B3CBA"/>
    <w:rsid w:val="000C532A"/>
    <w:rsid w:val="000D720D"/>
    <w:rsid w:val="000E4F04"/>
    <w:rsid w:val="000E6462"/>
    <w:rsid w:val="000F4262"/>
    <w:rsid w:val="000F498F"/>
    <w:rsid w:val="00100514"/>
    <w:rsid w:val="00103681"/>
    <w:rsid w:val="0011300D"/>
    <w:rsid w:val="001208FF"/>
    <w:rsid w:val="00124A18"/>
    <w:rsid w:val="001277FA"/>
    <w:rsid w:val="00135913"/>
    <w:rsid w:val="00136647"/>
    <w:rsid w:val="001408C2"/>
    <w:rsid w:val="00145416"/>
    <w:rsid w:val="00176B5C"/>
    <w:rsid w:val="00180934"/>
    <w:rsid w:val="0018245D"/>
    <w:rsid w:val="001831E4"/>
    <w:rsid w:val="001845DE"/>
    <w:rsid w:val="001939E7"/>
    <w:rsid w:val="001B342F"/>
    <w:rsid w:val="001B52FA"/>
    <w:rsid w:val="001C1B73"/>
    <w:rsid w:val="001E2FC0"/>
    <w:rsid w:val="001E3C81"/>
    <w:rsid w:val="001E6D15"/>
    <w:rsid w:val="001E7331"/>
    <w:rsid w:val="001F299E"/>
    <w:rsid w:val="00201C2A"/>
    <w:rsid w:val="002149B3"/>
    <w:rsid w:val="00227CCE"/>
    <w:rsid w:val="0025502E"/>
    <w:rsid w:val="00257802"/>
    <w:rsid w:val="00261F7C"/>
    <w:rsid w:val="00270811"/>
    <w:rsid w:val="00271103"/>
    <w:rsid w:val="00272D37"/>
    <w:rsid w:val="002750C3"/>
    <w:rsid w:val="002762B0"/>
    <w:rsid w:val="00276585"/>
    <w:rsid w:val="002A488D"/>
    <w:rsid w:val="002A54D7"/>
    <w:rsid w:val="002B39D2"/>
    <w:rsid w:val="002B5830"/>
    <w:rsid w:val="002C7554"/>
    <w:rsid w:val="002D2BC0"/>
    <w:rsid w:val="002D665D"/>
    <w:rsid w:val="002E1F15"/>
    <w:rsid w:val="002E2750"/>
    <w:rsid w:val="002E6BCB"/>
    <w:rsid w:val="003040B3"/>
    <w:rsid w:val="00306820"/>
    <w:rsid w:val="00320213"/>
    <w:rsid w:val="00335A57"/>
    <w:rsid w:val="00352916"/>
    <w:rsid w:val="00371498"/>
    <w:rsid w:val="00374EAA"/>
    <w:rsid w:val="00385B18"/>
    <w:rsid w:val="003928DE"/>
    <w:rsid w:val="00397E18"/>
    <w:rsid w:val="003A391F"/>
    <w:rsid w:val="003B0C45"/>
    <w:rsid w:val="003B1381"/>
    <w:rsid w:val="003B3108"/>
    <w:rsid w:val="003C14E6"/>
    <w:rsid w:val="003D3979"/>
    <w:rsid w:val="003F29F1"/>
    <w:rsid w:val="00400BA0"/>
    <w:rsid w:val="00406C31"/>
    <w:rsid w:val="0041601C"/>
    <w:rsid w:val="004266BE"/>
    <w:rsid w:val="00435BF4"/>
    <w:rsid w:val="004606BE"/>
    <w:rsid w:val="00461FE7"/>
    <w:rsid w:val="0046708A"/>
    <w:rsid w:val="00471547"/>
    <w:rsid w:val="00474225"/>
    <w:rsid w:val="004836E9"/>
    <w:rsid w:val="00486263"/>
    <w:rsid w:val="00492BB1"/>
    <w:rsid w:val="00494ABA"/>
    <w:rsid w:val="004B184A"/>
    <w:rsid w:val="004B6C65"/>
    <w:rsid w:val="004D0E7F"/>
    <w:rsid w:val="004D3B95"/>
    <w:rsid w:val="004D7094"/>
    <w:rsid w:val="00502B88"/>
    <w:rsid w:val="00511456"/>
    <w:rsid w:val="00516190"/>
    <w:rsid w:val="00521D3B"/>
    <w:rsid w:val="00532EEC"/>
    <w:rsid w:val="005338C5"/>
    <w:rsid w:val="00553EDA"/>
    <w:rsid w:val="005658F6"/>
    <w:rsid w:val="005757FB"/>
    <w:rsid w:val="005910AD"/>
    <w:rsid w:val="005975CC"/>
    <w:rsid w:val="005A05F8"/>
    <w:rsid w:val="005A1BF7"/>
    <w:rsid w:val="005A1C4C"/>
    <w:rsid w:val="005A5BDB"/>
    <w:rsid w:val="005C1AA3"/>
    <w:rsid w:val="005D14FB"/>
    <w:rsid w:val="005D5F45"/>
    <w:rsid w:val="005D7D59"/>
    <w:rsid w:val="005E16B4"/>
    <w:rsid w:val="005F23E1"/>
    <w:rsid w:val="005F6146"/>
    <w:rsid w:val="00615274"/>
    <w:rsid w:val="006220A2"/>
    <w:rsid w:val="006221BB"/>
    <w:rsid w:val="0062359B"/>
    <w:rsid w:val="006238A4"/>
    <w:rsid w:val="00624B9F"/>
    <w:rsid w:val="006338EF"/>
    <w:rsid w:val="0064325F"/>
    <w:rsid w:val="00645B6C"/>
    <w:rsid w:val="00652CAD"/>
    <w:rsid w:val="0066274C"/>
    <w:rsid w:val="00663C76"/>
    <w:rsid w:val="006646A8"/>
    <w:rsid w:val="006667E0"/>
    <w:rsid w:val="006676A4"/>
    <w:rsid w:val="006677E9"/>
    <w:rsid w:val="006775CA"/>
    <w:rsid w:val="00686BCD"/>
    <w:rsid w:val="00686E9E"/>
    <w:rsid w:val="00687E0C"/>
    <w:rsid w:val="00692774"/>
    <w:rsid w:val="00693464"/>
    <w:rsid w:val="006B16F2"/>
    <w:rsid w:val="006B2BCB"/>
    <w:rsid w:val="006B4478"/>
    <w:rsid w:val="006B45A8"/>
    <w:rsid w:val="006B6F48"/>
    <w:rsid w:val="006B7CEB"/>
    <w:rsid w:val="006C770D"/>
    <w:rsid w:val="006D1C18"/>
    <w:rsid w:val="006E3851"/>
    <w:rsid w:val="006E7960"/>
    <w:rsid w:val="007036CF"/>
    <w:rsid w:val="00725031"/>
    <w:rsid w:val="007311D2"/>
    <w:rsid w:val="007362A1"/>
    <w:rsid w:val="00781D8A"/>
    <w:rsid w:val="00782D13"/>
    <w:rsid w:val="0078545B"/>
    <w:rsid w:val="00787CBC"/>
    <w:rsid w:val="00787F04"/>
    <w:rsid w:val="00792FC6"/>
    <w:rsid w:val="007A7406"/>
    <w:rsid w:val="007A784B"/>
    <w:rsid w:val="007B081F"/>
    <w:rsid w:val="007B76FC"/>
    <w:rsid w:val="007C07E3"/>
    <w:rsid w:val="007C3948"/>
    <w:rsid w:val="007C6AC6"/>
    <w:rsid w:val="007D18E5"/>
    <w:rsid w:val="007E46C0"/>
    <w:rsid w:val="007F4BB0"/>
    <w:rsid w:val="00801EBB"/>
    <w:rsid w:val="00805D1C"/>
    <w:rsid w:val="008132F6"/>
    <w:rsid w:val="00835C55"/>
    <w:rsid w:val="008469BB"/>
    <w:rsid w:val="00846FBC"/>
    <w:rsid w:val="00851FB8"/>
    <w:rsid w:val="00857A6B"/>
    <w:rsid w:val="0087374E"/>
    <w:rsid w:val="0089003E"/>
    <w:rsid w:val="00894E87"/>
    <w:rsid w:val="008A2BC2"/>
    <w:rsid w:val="008A3113"/>
    <w:rsid w:val="008A42AC"/>
    <w:rsid w:val="008B598B"/>
    <w:rsid w:val="008B72BD"/>
    <w:rsid w:val="008D095C"/>
    <w:rsid w:val="008E42A0"/>
    <w:rsid w:val="008F0B02"/>
    <w:rsid w:val="008F0C26"/>
    <w:rsid w:val="00902798"/>
    <w:rsid w:val="00936251"/>
    <w:rsid w:val="00936D42"/>
    <w:rsid w:val="00943B9A"/>
    <w:rsid w:val="00957F57"/>
    <w:rsid w:val="0096141B"/>
    <w:rsid w:val="00974819"/>
    <w:rsid w:val="00975313"/>
    <w:rsid w:val="009755BE"/>
    <w:rsid w:val="009868F3"/>
    <w:rsid w:val="009870C0"/>
    <w:rsid w:val="009876E3"/>
    <w:rsid w:val="00990FDE"/>
    <w:rsid w:val="0099189C"/>
    <w:rsid w:val="009A14BA"/>
    <w:rsid w:val="009B34F9"/>
    <w:rsid w:val="009B3E79"/>
    <w:rsid w:val="009B4E17"/>
    <w:rsid w:val="009B5C28"/>
    <w:rsid w:val="009B7BC1"/>
    <w:rsid w:val="009C35A9"/>
    <w:rsid w:val="009C7977"/>
    <w:rsid w:val="009E2748"/>
    <w:rsid w:val="009E4ECC"/>
    <w:rsid w:val="009F3171"/>
    <w:rsid w:val="009F61DC"/>
    <w:rsid w:val="00A11C12"/>
    <w:rsid w:val="00A13208"/>
    <w:rsid w:val="00A466F5"/>
    <w:rsid w:val="00A51AA4"/>
    <w:rsid w:val="00A543E1"/>
    <w:rsid w:val="00A94A0E"/>
    <w:rsid w:val="00A9555C"/>
    <w:rsid w:val="00A97E41"/>
    <w:rsid w:val="00AA1AA1"/>
    <w:rsid w:val="00AB4F61"/>
    <w:rsid w:val="00AC1951"/>
    <w:rsid w:val="00AC433C"/>
    <w:rsid w:val="00AD383C"/>
    <w:rsid w:val="00AD3E1C"/>
    <w:rsid w:val="00AD74FE"/>
    <w:rsid w:val="00AE45DF"/>
    <w:rsid w:val="00AF77A0"/>
    <w:rsid w:val="00B015BD"/>
    <w:rsid w:val="00B06B21"/>
    <w:rsid w:val="00B14AD2"/>
    <w:rsid w:val="00B41BC8"/>
    <w:rsid w:val="00B5732C"/>
    <w:rsid w:val="00B57648"/>
    <w:rsid w:val="00B60282"/>
    <w:rsid w:val="00B67233"/>
    <w:rsid w:val="00B91ED3"/>
    <w:rsid w:val="00BB2292"/>
    <w:rsid w:val="00BB5AB8"/>
    <w:rsid w:val="00BC09FA"/>
    <w:rsid w:val="00BD5A5C"/>
    <w:rsid w:val="00BE31E8"/>
    <w:rsid w:val="00BE3EF7"/>
    <w:rsid w:val="00BE7967"/>
    <w:rsid w:val="00BF3873"/>
    <w:rsid w:val="00BF65A2"/>
    <w:rsid w:val="00C00BEF"/>
    <w:rsid w:val="00C15382"/>
    <w:rsid w:val="00C330F6"/>
    <w:rsid w:val="00C408E8"/>
    <w:rsid w:val="00C4125D"/>
    <w:rsid w:val="00C422A4"/>
    <w:rsid w:val="00C43B92"/>
    <w:rsid w:val="00C50B96"/>
    <w:rsid w:val="00C55DD2"/>
    <w:rsid w:val="00C61E97"/>
    <w:rsid w:val="00C6452E"/>
    <w:rsid w:val="00C716A7"/>
    <w:rsid w:val="00C72CFF"/>
    <w:rsid w:val="00C968D6"/>
    <w:rsid w:val="00CA14D3"/>
    <w:rsid w:val="00CA4BBB"/>
    <w:rsid w:val="00CA5F26"/>
    <w:rsid w:val="00CA66A6"/>
    <w:rsid w:val="00CB6862"/>
    <w:rsid w:val="00CC1578"/>
    <w:rsid w:val="00CD4547"/>
    <w:rsid w:val="00CD601B"/>
    <w:rsid w:val="00D01A9D"/>
    <w:rsid w:val="00D10A47"/>
    <w:rsid w:val="00D123FD"/>
    <w:rsid w:val="00D1690F"/>
    <w:rsid w:val="00D16FB7"/>
    <w:rsid w:val="00D243B5"/>
    <w:rsid w:val="00D25040"/>
    <w:rsid w:val="00D2794F"/>
    <w:rsid w:val="00D27DF6"/>
    <w:rsid w:val="00D321C9"/>
    <w:rsid w:val="00D461CA"/>
    <w:rsid w:val="00D50A46"/>
    <w:rsid w:val="00D63331"/>
    <w:rsid w:val="00D748A3"/>
    <w:rsid w:val="00D75620"/>
    <w:rsid w:val="00D76CB5"/>
    <w:rsid w:val="00D86A05"/>
    <w:rsid w:val="00D9226F"/>
    <w:rsid w:val="00D950B8"/>
    <w:rsid w:val="00DA5691"/>
    <w:rsid w:val="00DB0A8B"/>
    <w:rsid w:val="00DB4D65"/>
    <w:rsid w:val="00DC484C"/>
    <w:rsid w:val="00DC7815"/>
    <w:rsid w:val="00DD17DF"/>
    <w:rsid w:val="00DD4541"/>
    <w:rsid w:val="00DE5298"/>
    <w:rsid w:val="00DE5341"/>
    <w:rsid w:val="00DE6589"/>
    <w:rsid w:val="00DF3668"/>
    <w:rsid w:val="00DF634D"/>
    <w:rsid w:val="00E01BEE"/>
    <w:rsid w:val="00E077E0"/>
    <w:rsid w:val="00E14469"/>
    <w:rsid w:val="00E2168C"/>
    <w:rsid w:val="00E2375F"/>
    <w:rsid w:val="00E2472D"/>
    <w:rsid w:val="00E24F71"/>
    <w:rsid w:val="00E2691D"/>
    <w:rsid w:val="00E26DF9"/>
    <w:rsid w:val="00E279DF"/>
    <w:rsid w:val="00E36C49"/>
    <w:rsid w:val="00E42EF5"/>
    <w:rsid w:val="00E55059"/>
    <w:rsid w:val="00E72D4A"/>
    <w:rsid w:val="00E82D9F"/>
    <w:rsid w:val="00EA30ED"/>
    <w:rsid w:val="00EA32A4"/>
    <w:rsid w:val="00EA6644"/>
    <w:rsid w:val="00EB61A6"/>
    <w:rsid w:val="00EC18B3"/>
    <w:rsid w:val="00ED6E7D"/>
    <w:rsid w:val="00ED787A"/>
    <w:rsid w:val="00EE18F2"/>
    <w:rsid w:val="00EE44CF"/>
    <w:rsid w:val="00EF0BCA"/>
    <w:rsid w:val="00EF1517"/>
    <w:rsid w:val="00F00724"/>
    <w:rsid w:val="00F074B8"/>
    <w:rsid w:val="00F15029"/>
    <w:rsid w:val="00F16906"/>
    <w:rsid w:val="00F22CD5"/>
    <w:rsid w:val="00F35530"/>
    <w:rsid w:val="00F51CA8"/>
    <w:rsid w:val="00F86B2D"/>
    <w:rsid w:val="00F95C6A"/>
    <w:rsid w:val="00F9757F"/>
    <w:rsid w:val="00FA0788"/>
    <w:rsid w:val="00FA3555"/>
    <w:rsid w:val="00FC3E0A"/>
    <w:rsid w:val="00FD1F50"/>
    <w:rsid w:val="00FE4404"/>
    <w:rsid w:val="00FF176C"/>
    <w:rsid w:val="00FF18C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8F0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31"/>
  </w:style>
  <w:style w:type="paragraph" w:styleId="Footer">
    <w:name w:val="footer"/>
    <w:basedOn w:val="Normal"/>
    <w:link w:val="Foot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31"/>
  </w:style>
  <w:style w:type="paragraph" w:styleId="BalloonText">
    <w:name w:val="Balloon Text"/>
    <w:basedOn w:val="Normal"/>
    <w:link w:val="BalloonTextChar"/>
    <w:uiPriority w:val="99"/>
    <w:semiHidden/>
    <w:unhideWhenUsed/>
    <w:rsid w:val="001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1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6C65"/>
    <w:rPr>
      <w:color w:val="0000FF" w:themeColor="hyperlink"/>
      <w:u w:val="single"/>
    </w:rPr>
  </w:style>
  <w:style w:type="paragraph" w:customStyle="1" w:styleId="tv2131">
    <w:name w:val="tv2131"/>
    <w:basedOn w:val="Normal"/>
    <w:rsid w:val="007E46C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31"/>
  </w:style>
  <w:style w:type="paragraph" w:styleId="Footer">
    <w:name w:val="footer"/>
    <w:basedOn w:val="Normal"/>
    <w:link w:val="Foot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31"/>
  </w:style>
  <w:style w:type="paragraph" w:styleId="BalloonText">
    <w:name w:val="Balloon Text"/>
    <w:basedOn w:val="Normal"/>
    <w:link w:val="BalloonTextChar"/>
    <w:uiPriority w:val="99"/>
    <w:semiHidden/>
    <w:unhideWhenUsed/>
    <w:rsid w:val="001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1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6C65"/>
    <w:rPr>
      <w:color w:val="0000FF" w:themeColor="hyperlink"/>
      <w:u w:val="single"/>
    </w:rPr>
  </w:style>
  <w:style w:type="paragraph" w:customStyle="1" w:styleId="tv2131">
    <w:name w:val="tv2131"/>
    <w:basedOn w:val="Normal"/>
    <w:rsid w:val="007E46C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81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492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789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3587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616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805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451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2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7300-8272-4132-BCEA-57C3CF91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285</Words>
  <Characters>2087</Characters>
  <Application>Microsoft Office Word</Application>
  <DocSecurity>0</DocSecurity>
  <Lines>90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6.maija noteikumos Nr.237 „Valsts vērtspapīru izlaišanas noteikumi”</vt:lpstr>
    </vt:vector>
  </TitlesOfParts>
  <Company>Finanšu ministrija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6.maija noteikumos Nr.237 „Valsts vērtspapīru izlaišanas noteikumi”</dc:title>
  <dc:subject>Ministru kabineta noteikumu projekts</dc:subject>
  <dc:creator>Valsts kases Finanšu resursu departamenta vecākais eksperts Viktors Kačalovs</dc:creator>
  <dc:description>V.Kačalovs_x000d_
67094367, Viktors.Kacalovs@kase.gov.lv</dc:description>
  <cp:lastModifiedBy>Viktors Kačalovs</cp:lastModifiedBy>
  <cp:revision>22</cp:revision>
  <cp:lastPrinted>2015-03-09T14:42:00Z</cp:lastPrinted>
  <dcterms:created xsi:type="dcterms:W3CDTF">2015-03-09T11:06:00Z</dcterms:created>
  <dcterms:modified xsi:type="dcterms:W3CDTF">2015-03-26T15:39:00Z</dcterms:modified>
</cp:coreProperties>
</file>