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514CF" w14:textId="77777777" w:rsidR="00B831C6" w:rsidRPr="003F7486" w:rsidRDefault="00D2175A" w:rsidP="00B831C6">
      <w:pPr>
        <w:pStyle w:val="naislab"/>
        <w:spacing w:before="0" w:after="0"/>
        <w:jc w:val="center"/>
        <w:rPr>
          <w:b/>
          <w:sz w:val="28"/>
          <w:szCs w:val="28"/>
        </w:rPr>
      </w:pPr>
      <w:bookmarkStart w:id="0" w:name="OLE_LINK3"/>
      <w:bookmarkStart w:id="1" w:name="OLE_LINK4"/>
      <w:r w:rsidRPr="003F7486">
        <w:rPr>
          <w:b/>
          <w:sz w:val="28"/>
          <w:szCs w:val="28"/>
        </w:rPr>
        <w:t>Likumprojekta „</w:t>
      </w:r>
      <w:r w:rsidR="00621423" w:rsidRPr="003F7486">
        <w:rPr>
          <w:b/>
          <w:sz w:val="28"/>
          <w:szCs w:val="28"/>
        </w:rPr>
        <w:t>Grozījumi Sabiedrisko pakalpojumu sniedzēju iepirkumu likumā</w:t>
      </w:r>
      <w:r w:rsidR="00524791" w:rsidRPr="003F7486">
        <w:rPr>
          <w:b/>
          <w:sz w:val="28"/>
          <w:szCs w:val="28"/>
        </w:rPr>
        <w:t xml:space="preserve">” </w:t>
      </w:r>
      <w:r w:rsidR="00852042" w:rsidRPr="003F7486">
        <w:rPr>
          <w:b/>
          <w:sz w:val="28"/>
          <w:szCs w:val="28"/>
        </w:rPr>
        <w:t>sākotnējā</w:t>
      </w:r>
      <w:r w:rsidR="002D3306" w:rsidRPr="003F7486">
        <w:rPr>
          <w:b/>
          <w:sz w:val="28"/>
          <w:szCs w:val="28"/>
        </w:rPr>
        <w:t>s</w:t>
      </w:r>
      <w:r w:rsidR="00852042" w:rsidRPr="003F7486">
        <w:rPr>
          <w:b/>
          <w:sz w:val="28"/>
          <w:szCs w:val="28"/>
        </w:rPr>
        <w:t xml:space="preserve"> ietekmes novērtējuma </w:t>
      </w:r>
      <w:smartTag w:uri="schemas-tilde-lv/tildestengine" w:element="currency2">
        <w:smartTagPr>
          <w:attr w:name="text" w:val="ziņojums"/>
          <w:attr w:name="baseform" w:val="ziņojums"/>
          <w:attr w:name="id" w:val="-1"/>
        </w:smartTagPr>
        <w:r w:rsidR="00852042" w:rsidRPr="003F7486">
          <w:rPr>
            <w:b/>
            <w:sz w:val="28"/>
            <w:szCs w:val="28"/>
          </w:rPr>
          <w:t>ziņojums</w:t>
        </w:r>
      </w:smartTag>
      <w:r w:rsidR="00852042" w:rsidRPr="003F7486">
        <w:rPr>
          <w:b/>
          <w:sz w:val="28"/>
          <w:szCs w:val="28"/>
        </w:rPr>
        <w:t xml:space="preserve"> (anotācija)</w:t>
      </w:r>
      <w:bookmarkEnd w:id="0"/>
      <w:bookmarkEnd w:id="1"/>
    </w:p>
    <w:tbl>
      <w:tblPr>
        <w:tblpPr w:leftFromText="181" w:rightFromText="181" w:vertAnchor="page" w:horzAnchor="margin" w:tblpXSpec="center" w:tblpY="201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4"/>
        <w:gridCol w:w="1453"/>
        <w:gridCol w:w="7331"/>
      </w:tblGrid>
      <w:tr w:rsidR="00852042" w:rsidRPr="00306D47" w14:paraId="51CE4FEB" w14:textId="77777777" w:rsidTr="00D16C80">
        <w:tc>
          <w:tcPr>
            <w:tcW w:w="5000" w:type="pct"/>
            <w:gridSpan w:val="3"/>
            <w:vAlign w:val="center"/>
          </w:tcPr>
          <w:p w14:paraId="5D4C43B5" w14:textId="77777777" w:rsidR="00852042" w:rsidRPr="00306D47" w:rsidRDefault="00852042" w:rsidP="00BC5225">
            <w:pPr>
              <w:pStyle w:val="naisnod"/>
              <w:spacing w:before="0" w:after="0"/>
            </w:pPr>
            <w:r w:rsidRPr="00306D47">
              <w:t>I</w:t>
            </w:r>
            <w:r w:rsidR="000941C5" w:rsidRPr="00306D47">
              <w:t>.</w:t>
            </w:r>
            <w:r w:rsidRPr="00306D47">
              <w:t xml:space="preserve"> Tiesību akta </w:t>
            </w:r>
            <w:r w:rsidR="002E3FF4" w:rsidRPr="00306D47">
              <w:t xml:space="preserve">projekta </w:t>
            </w:r>
            <w:r w:rsidRPr="00306D47">
              <w:t>izstrādes nepieciešamība</w:t>
            </w:r>
          </w:p>
        </w:tc>
      </w:tr>
      <w:tr w:rsidR="00262E2B" w:rsidRPr="00306D47" w14:paraId="4F89B078" w14:textId="77777777" w:rsidTr="00D16C80">
        <w:tc>
          <w:tcPr>
            <w:tcW w:w="261" w:type="pct"/>
          </w:tcPr>
          <w:p w14:paraId="72DCCA0D" w14:textId="77777777" w:rsidR="00262E2B" w:rsidRPr="00306D47" w:rsidRDefault="00262E2B" w:rsidP="00BC5225">
            <w:pPr>
              <w:pStyle w:val="naiskr"/>
              <w:spacing w:before="0" w:after="0"/>
            </w:pPr>
            <w:r w:rsidRPr="00306D47">
              <w:t>1.</w:t>
            </w:r>
          </w:p>
        </w:tc>
        <w:tc>
          <w:tcPr>
            <w:tcW w:w="784" w:type="pct"/>
          </w:tcPr>
          <w:p w14:paraId="1B405334" w14:textId="77777777" w:rsidR="00262E2B" w:rsidRPr="00306D47" w:rsidRDefault="002D7F54" w:rsidP="00BC5225">
            <w:pPr>
              <w:pStyle w:val="naiskr"/>
              <w:spacing w:before="0" w:after="0"/>
              <w:ind w:hanging="10"/>
            </w:pPr>
            <w:r w:rsidRPr="00306D47">
              <w:t>Pamatojums</w:t>
            </w:r>
          </w:p>
        </w:tc>
        <w:tc>
          <w:tcPr>
            <w:tcW w:w="3955" w:type="pct"/>
          </w:tcPr>
          <w:p w14:paraId="0DC4BCBF" w14:textId="77777777" w:rsidR="00A81C89" w:rsidRPr="00306D47" w:rsidRDefault="003F7486" w:rsidP="00A83D5E">
            <w:pPr>
              <w:pStyle w:val="NormalWeb"/>
              <w:spacing w:before="0" w:beforeAutospacing="0" w:after="0" w:afterAutospacing="0"/>
              <w:jc w:val="both"/>
              <w:rPr>
                <w:rFonts w:ascii="Times New Roman" w:hAnsi="Times New Roman"/>
                <w:sz w:val="24"/>
                <w:szCs w:val="24"/>
                <w:lang w:val="lv-LV"/>
              </w:rPr>
            </w:pPr>
            <w:r>
              <w:rPr>
                <w:rFonts w:ascii="Times New Roman" w:hAnsi="Times New Roman"/>
                <w:sz w:val="24"/>
                <w:szCs w:val="24"/>
                <w:lang w:val="lv-LV"/>
              </w:rPr>
              <w:t>A</w:t>
            </w:r>
            <w:r w:rsidR="00530AF8" w:rsidRPr="00306D47">
              <w:rPr>
                <w:rFonts w:ascii="Times New Roman" w:hAnsi="Times New Roman"/>
                <w:sz w:val="24"/>
                <w:szCs w:val="24"/>
                <w:lang w:val="lv-LV"/>
              </w:rPr>
              <w:t>r Valsts kancelejas direktora 2012.gada 29.novembra rīkojumu Nr.78 "Par darba grupu" izveidot</w:t>
            </w:r>
            <w:r>
              <w:rPr>
                <w:rFonts w:ascii="Times New Roman" w:hAnsi="Times New Roman"/>
                <w:sz w:val="24"/>
                <w:szCs w:val="24"/>
                <w:lang w:val="lv-LV"/>
              </w:rPr>
              <w:t>ās</w:t>
            </w:r>
            <w:r w:rsidR="00530AF8" w:rsidRPr="00306D47">
              <w:rPr>
                <w:rFonts w:ascii="Times New Roman" w:hAnsi="Times New Roman"/>
                <w:sz w:val="24"/>
                <w:szCs w:val="24"/>
                <w:lang w:val="lv-LV"/>
              </w:rPr>
              <w:t xml:space="preserve"> augsta līmeņa ekspertu darba grupa</w:t>
            </w:r>
            <w:r>
              <w:rPr>
                <w:rFonts w:ascii="Times New Roman" w:hAnsi="Times New Roman"/>
                <w:sz w:val="24"/>
                <w:szCs w:val="24"/>
                <w:lang w:val="lv-LV"/>
              </w:rPr>
              <w:t>s</w:t>
            </w:r>
            <w:r w:rsidR="00530AF8" w:rsidRPr="00306D47">
              <w:rPr>
                <w:rFonts w:ascii="Times New Roman" w:hAnsi="Times New Roman"/>
                <w:sz w:val="24"/>
                <w:szCs w:val="24"/>
                <w:lang w:val="lv-LV"/>
              </w:rPr>
              <w:t xml:space="preserve"> </w:t>
            </w:r>
            <w:r>
              <w:rPr>
                <w:rFonts w:ascii="Times New Roman" w:hAnsi="Times New Roman"/>
                <w:sz w:val="24"/>
                <w:szCs w:val="24"/>
                <w:lang w:val="lv-LV"/>
              </w:rPr>
              <w:t>konstatētie secinājum</w:t>
            </w:r>
            <w:r w:rsidR="00A83D5E">
              <w:rPr>
                <w:rFonts w:ascii="Times New Roman" w:hAnsi="Times New Roman"/>
                <w:sz w:val="24"/>
                <w:szCs w:val="24"/>
                <w:lang w:val="lv-LV"/>
              </w:rPr>
              <w:t xml:space="preserve">i, kā arī konkrētie </w:t>
            </w:r>
            <w:r>
              <w:rPr>
                <w:rFonts w:ascii="Times New Roman" w:hAnsi="Times New Roman"/>
                <w:sz w:val="24"/>
                <w:szCs w:val="24"/>
                <w:lang w:val="lv-LV"/>
              </w:rPr>
              <w:t>priekšlikumi sabiedrisko pakalpojumu sniedzēju iepirkumu sistēmas</w:t>
            </w:r>
            <w:r w:rsidR="00530AF8" w:rsidRPr="00306D47">
              <w:rPr>
                <w:rFonts w:ascii="Times New Roman" w:hAnsi="Times New Roman"/>
                <w:sz w:val="24"/>
                <w:szCs w:val="24"/>
                <w:lang w:val="lv-LV"/>
              </w:rPr>
              <w:t xml:space="preserve"> pilnveidošanai</w:t>
            </w:r>
            <w:r>
              <w:rPr>
                <w:rFonts w:ascii="Times New Roman" w:hAnsi="Times New Roman"/>
                <w:sz w:val="24"/>
                <w:szCs w:val="24"/>
                <w:lang w:val="lv-LV"/>
              </w:rPr>
              <w:t xml:space="preserve"> sabiedrības un valsts interešu ievērošanai</w:t>
            </w:r>
            <w:r w:rsidR="00530AF8" w:rsidRPr="00306D47">
              <w:rPr>
                <w:rFonts w:ascii="Times New Roman" w:hAnsi="Times New Roman"/>
                <w:sz w:val="24"/>
                <w:szCs w:val="24"/>
                <w:lang w:val="lv-LV"/>
              </w:rPr>
              <w:t>.</w:t>
            </w:r>
          </w:p>
        </w:tc>
      </w:tr>
      <w:tr w:rsidR="00262E2B" w:rsidRPr="00306D47" w14:paraId="1D869E7D" w14:textId="77777777" w:rsidTr="00004838">
        <w:trPr>
          <w:trHeight w:val="674"/>
        </w:trPr>
        <w:tc>
          <w:tcPr>
            <w:tcW w:w="261" w:type="pct"/>
          </w:tcPr>
          <w:p w14:paraId="7043D790" w14:textId="77777777" w:rsidR="00262E2B" w:rsidRPr="00306D47" w:rsidRDefault="00262E2B" w:rsidP="00BC5225">
            <w:pPr>
              <w:pStyle w:val="naiskr"/>
              <w:spacing w:before="0" w:after="0"/>
            </w:pPr>
            <w:r w:rsidRPr="00306D47">
              <w:t>2.</w:t>
            </w:r>
          </w:p>
        </w:tc>
        <w:tc>
          <w:tcPr>
            <w:tcW w:w="784" w:type="pct"/>
          </w:tcPr>
          <w:p w14:paraId="75B1A5B2" w14:textId="628368FD" w:rsidR="00262E2B" w:rsidRPr="00306D47" w:rsidRDefault="00262E2B" w:rsidP="00BC5225">
            <w:pPr>
              <w:pStyle w:val="naiskr"/>
              <w:tabs>
                <w:tab w:val="left" w:pos="170"/>
              </w:tabs>
              <w:spacing w:before="0" w:after="0"/>
            </w:pPr>
            <w:r w:rsidRPr="00306D47">
              <w:t>Pašreizējā situācija</w:t>
            </w:r>
            <w:r w:rsidR="001F5CD6" w:rsidRPr="00306D47">
              <w:t xml:space="preserve"> un problēmas</w:t>
            </w:r>
            <w:r w:rsidR="00911727" w:rsidRPr="00A02514">
              <w:t>, kuru risināšanai tiesību akta projekts izstrādāts, tiesiskā regulējuma mērķis un būtība</w:t>
            </w:r>
          </w:p>
        </w:tc>
        <w:tc>
          <w:tcPr>
            <w:tcW w:w="3955" w:type="pct"/>
          </w:tcPr>
          <w:p w14:paraId="3B2E9D91" w14:textId="6B366351" w:rsidR="00306D47" w:rsidRDefault="00C2134B" w:rsidP="007B50C6">
            <w:pPr>
              <w:jc w:val="both"/>
            </w:pPr>
            <w:r>
              <w:t>Pašreizējie s</w:t>
            </w:r>
            <w:r w:rsidR="003F7486" w:rsidRPr="003F7486">
              <w:t>abiedrisko pakal</w:t>
            </w:r>
            <w:r>
              <w:t>pojumu sniedzēju iepirkumu likuma piemērošanas sliekšņi ir nesamērīgi augsti salīdzināj</w:t>
            </w:r>
            <w:r w:rsidR="00E0044F">
              <w:t xml:space="preserve">umā ar Publisko iepirkumu likumā paredzētajiem, lai gan, pēc būtības, abas sistēmas ir </w:t>
            </w:r>
            <w:r w:rsidR="00F25A66">
              <w:t>līdzīgas</w:t>
            </w:r>
            <w:r w:rsidR="00E0044F">
              <w:t>, turklāt tieši sabiedrisko pakalpojumu sniegšanas jomā arvien biežāk tiek skartas būtisk</w:t>
            </w:r>
            <w:r w:rsidR="007B50C6">
              <w:t>ākā</w:t>
            </w:r>
            <w:r w:rsidR="00E0044F">
              <w:t>s sabiedr</w:t>
            </w:r>
            <w:r w:rsidR="007B50C6">
              <w:t>ības</w:t>
            </w:r>
            <w:r w:rsidR="00E0044F">
              <w:t xml:space="preserve"> un valsts intereses.</w:t>
            </w:r>
            <w:r w:rsidR="007B50C6">
              <w:t xml:space="preserve"> No uzņēmējdarbības viedokļa savukārt pamatotas bažas tiek izteiktas saistībā ar praktiska efektīva pārsūdzības mehānisma neesamību liela apjoma iepirkumiem, kas formāli ir zem sabiedrisko pakalpojumu iepirkumu sliekšņiem (Iepirkumu uzraudzības birojs ir tiesīgs pārbaudīt tikai tos iepirkumus, kas pakļauti Sabiedrisko pakalpojumu sniedzēju iepirkumu likumam).</w:t>
            </w:r>
          </w:p>
          <w:p w14:paraId="5485E075" w14:textId="77777777" w:rsidR="007B50C6" w:rsidRDefault="007B50C6" w:rsidP="00C823EF">
            <w:pPr>
              <w:jc w:val="both"/>
            </w:pPr>
            <w:r>
              <w:t>Otrs likumprojektā skartais aspekts – svarīgāko iepirkumu sistēmas reformas aspektu (2013.gada 1.augustā spēkā stājušies grozījumi Publisko iepirkumu likumā) analoģiska attiecināšana uz sabiedrisko pakalpojumu sniedzēju iepirkumiem</w:t>
            </w:r>
            <w:r w:rsidR="00C823EF">
              <w:t>, tai skaitā, par</w:t>
            </w:r>
            <w:r w:rsidR="00D353A3">
              <w:t xml:space="preserve"> piedāvājuma</w:t>
            </w:r>
            <w:r w:rsidR="00C823EF">
              <w:t xml:space="preserve"> nodrošinājumu, regulējumu attiecībā uz</w:t>
            </w:r>
            <w:r w:rsidR="00D353A3">
              <w:t xml:space="preserve"> iepirkuma</w:t>
            </w:r>
            <w:r w:rsidR="00C823EF">
              <w:t xml:space="preserve"> līguma grozījumiem, kandidātu un pretendentu izslēgšanas nosacījumiem un to pārbaudes mehānismiem, kā arī depozīta sistēmu</w:t>
            </w:r>
            <w:r>
              <w:t>.</w:t>
            </w:r>
          </w:p>
          <w:p w14:paraId="2F00D4ED" w14:textId="77777777" w:rsidR="00911727" w:rsidRDefault="00911727" w:rsidP="00911727">
            <w:pPr>
              <w:jc w:val="both"/>
              <w:rPr>
                <w:bCs/>
              </w:rPr>
            </w:pPr>
            <w:r w:rsidRPr="00C07DC6">
              <w:t xml:space="preserve">Attiecībā uz likuma piemērošanas sliekšņiem </w:t>
            </w:r>
            <w:r>
              <w:t xml:space="preserve"> - </w:t>
            </w:r>
            <w:r w:rsidRPr="00C07DC6">
              <w:t xml:space="preserve">publiskiem būvdarbiem </w:t>
            </w:r>
            <w:r>
              <w:t xml:space="preserve">tas </w:t>
            </w:r>
            <w:r w:rsidRPr="00C07DC6">
              <w:t xml:space="preserve">tiek noteikts </w:t>
            </w:r>
            <w:r>
              <w:t>apmērā</w:t>
            </w:r>
            <w:r w:rsidRPr="00C07DC6">
              <w:t xml:space="preserve">, no kura Iepirkumu uzraudzība birojs veic </w:t>
            </w:r>
            <w:proofErr w:type="spellStart"/>
            <w:r w:rsidRPr="00C07DC6">
              <w:t>pirmspārbaudi</w:t>
            </w:r>
            <w:proofErr w:type="spellEnd"/>
            <w:r w:rsidRPr="00C07DC6">
              <w:t xml:space="preserve"> </w:t>
            </w:r>
            <w:r>
              <w:t xml:space="preserve">Eiropas Savienības fondu finansētajos projektos </w:t>
            </w:r>
            <w:r w:rsidRPr="00C07DC6">
              <w:t xml:space="preserve">atbilstoši Ministru kabineta 2007.gada 26.jūnija Noteikumu Nr.419 </w:t>
            </w:r>
            <w:r w:rsidRPr="00C07DC6">
              <w:rPr>
                <w:bCs/>
              </w:rPr>
              <w:t xml:space="preserve"> </w:t>
            </w:r>
            <w:r>
              <w:rPr>
                <w:bCs/>
              </w:rPr>
              <w:t>„</w:t>
            </w:r>
            <w:r w:rsidRPr="00C07DC6">
              <w:rPr>
                <w:bCs/>
              </w:rPr>
              <w:t>Kārtība, kādā Eiropas Savienības struktūrfondu un Kohēzijas fonda vadībā iesaistītās institūcijas nodrošina plānošanas dokumentu sagatavošanu un šo fondu ieviešanu</w:t>
            </w:r>
            <w:r>
              <w:rPr>
                <w:bCs/>
              </w:rPr>
              <w:t xml:space="preserve">” 31.punktam, tas ir, 1 422 800 </w:t>
            </w:r>
            <w:proofErr w:type="spellStart"/>
            <w:r w:rsidRPr="00C07DC6">
              <w:rPr>
                <w:bCs/>
                <w:i/>
              </w:rPr>
              <w:t>euro</w:t>
            </w:r>
            <w:proofErr w:type="spellEnd"/>
            <w:r>
              <w:rPr>
                <w:bCs/>
              </w:rPr>
              <w:t xml:space="preserve">. Savukārt attiecībā uz publiskiem piegādes un pakalpojumu līgumiem tas tiek noteikts apmērā, no kura ir paredzēta valsts amatpersonas paaugstinātā administratīvā atbildība </w:t>
            </w:r>
            <w:r w:rsidRPr="00D545C5">
              <w:rPr>
                <w:bCs/>
              </w:rPr>
              <w:t>(Latvijas Administratīvo pārkāpumu kodeksa 166.</w:t>
            </w:r>
            <w:r w:rsidRPr="00D545C5">
              <w:rPr>
                <w:bCs/>
                <w:vertAlign w:val="superscript"/>
              </w:rPr>
              <w:t>21</w:t>
            </w:r>
            <w:r w:rsidRPr="00D545C5">
              <w:rPr>
                <w:bCs/>
              </w:rPr>
              <w:t xml:space="preserve"> </w:t>
            </w:r>
            <w:r>
              <w:rPr>
                <w:bCs/>
              </w:rPr>
              <w:t xml:space="preserve">un </w:t>
            </w:r>
            <w:r w:rsidRPr="00D545C5">
              <w:rPr>
                <w:bCs/>
              </w:rPr>
              <w:t>166.</w:t>
            </w:r>
            <w:r w:rsidRPr="00D545C5">
              <w:rPr>
                <w:bCs/>
                <w:vertAlign w:val="superscript"/>
              </w:rPr>
              <w:t>24</w:t>
            </w:r>
            <w:r w:rsidRPr="00D545C5">
              <w:rPr>
                <w:bCs/>
              </w:rPr>
              <w:t xml:space="preserve"> pa</w:t>
            </w:r>
            <w:r>
              <w:rPr>
                <w:bCs/>
              </w:rPr>
              <w:t>nts</w:t>
            </w:r>
            <w:r w:rsidRPr="00D545C5">
              <w:rPr>
                <w:bCs/>
              </w:rPr>
              <w:t>)</w:t>
            </w:r>
            <w:r>
              <w:rPr>
                <w:bCs/>
              </w:rPr>
              <w:t xml:space="preserve">, tas ir, 145 000 </w:t>
            </w:r>
            <w:proofErr w:type="spellStart"/>
            <w:r w:rsidRPr="001D596C">
              <w:rPr>
                <w:bCs/>
                <w:i/>
              </w:rPr>
              <w:t>euro</w:t>
            </w:r>
            <w:proofErr w:type="spellEnd"/>
            <w:r>
              <w:rPr>
                <w:bCs/>
              </w:rPr>
              <w:t>.</w:t>
            </w:r>
          </w:p>
          <w:p w14:paraId="4DF55B91" w14:textId="77777777" w:rsidR="00911727" w:rsidRDefault="00911727" w:rsidP="00911727">
            <w:pPr>
              <w:jc w:val="both"/>
              <w:rPr>
                <w:bCs/>
              </w:rPr>
            </w:pPr>
            <w:r>
              <w:rPr>
                <w:bCs/>
              </w:rPr>
              <w:t>Attiecībā uz citiem publisko iepirkumu sistēmas reformas aspektiem tiek pārņemtas Publisko iepirkumu likuma normas par:</w:t>
            </w:r>
          </w:p>
          <w:p w14:paraId="58C6B0DA" w14:textId="77777777" w:rsidR="00911727" w:rsidRDefault="00911727" w:rsidP="00911727">
            <w:pPr>
              <w:jc w:val="both"/>
              <w:rPr>
                <w:bCs/>
              </w:rPr>
            </w:pPr>
            <w:r>
              <w:rPr>
                <w:bCs/>
              </w:rPr>
              <w:t>1) vienas pieturas aģentūras principu (izziņas par pretendentu no valsts iestādēm iegūst pats pasūtītājs);</w:t>
            </w:r>
          </w:p>
          <w:p w14:paraId="597B799B" w14:textId="77777777" w:rsidR="00911727" w:rsidRDefault="00911727" w:rsidP="00911727">
            <w:pPr>
              <w:jc w:val="both"/>
              <w:rPr>
                <w:bCs/>
              </w:rPr>
            </w:pPr>
            <w:r>
              <w:rPr>
                <w:bCs/>
              </w:rPr>
              <w:t>2) birokrātijas mazināšanu (pretendenta tiesības iesniegt visu dokumentu kopiju vai tulkojumu pareizības apliecinājumu ar vienu parakstu, ja piedāvājums tiek cauršūts; kā arī aizliegums prasīt iesniegt piedāvājumu papildus rakstveidā, ja ir tiesības to iesniegt elektroniski ar drošu elektronisko parakstu);</w:t>
            </w:r>
          </w:p>
          <w:p w14:paraId="70F5040D" w14:textId="77777777" w:rsidR="00911727" w:rsidRDefault="00911727" w:rsidP="00911727">
            <w:pPr>
              <w:jc w:val="both"/>
              <w:rPr>
                <w:bCs/>
              </w:rPr>
            </w:pPr>
            <w:r>
              <w:rPr>
                <w:bCs/>
              </w:rPr>
              <w:t>3) lai ierobežotu nepamatotu atlases prasību noteikšanu, rīcību, ja tikai viens kandidāts vai pretendents atbilst konkursā noteiktajām atlases prasībām;</w:t>
            </w:r>
          </w:p>
          <w:p w14:paraId="02A95146" w14:textId="77777777" w:rsidR="00911727" w:rsidRDefault="00911727" w:rsidP="00911727">
            <w:pPr>
              <w:jc w:val="both"/>
              <w:rPr>
                <w:bCs/>
              </w:rPr>
            </w:pPr>
            <w:r>
              <w:rPr>
                <w:bCs/>
              </w:rPr>
              <w:t>4) tiesībām izslēgt pretendentus, kas jau iepriekš nav pildījuši uzņemtās saistības citos iepirkumos;</w:t>
            </w:r>
          </w:p>
          <w:p w14:paraId="349FA94C" w14:textId="77777777" w:rsidR="00911727" w:rsidRDefault="00911727" w:rsidP="00911727">
            <w:pPr>
              <w:jc w:val="both"/>
              <w:rPr>
                <w:bCs/>
              </w:rPr>
            </w:pPr>
            <w:r>
              <w:rPr>
                <w:bCs/>
              </w:rPr>
              <w:lastRenderedPageBreak/>
              <w:t>5) piedāvājuma nodrošinājuma apmēra un termiņa ierobežojumiem, pretendenta tiesībām iesniegt nodrošinājumu gan kā kredītiestādes garantiju, gan kā apdrošināšanas sabiedrības polisi;</w:t>
            </w:r>
          </w:p>
          <w:p w14:paraId="6C2E8B4C" w14:textId="77777777" w:rsidR="00911727" w:rsidRDefault="00911727" w:rsidP="00911727">
            <w:pPr>
              <w:jc w:val="both"/>
              <w:rPr>
                <w:bCs/>
              </w:rPr>
            </w:pPr>
            <w:r>
              <w:rPr>
                <w:bCs/>
              </w:rPr>
              <w:t>6)kandidātu un pretendentu izslēgšanas noteikumu un to pārbaudes mehānismu, tai skaitā paredzot pārbaudi elektronisko izziņu sistēmā, tādējādi atvieglojot administratīvo slogu sabiedrisko pakalpojumu sniedzējiem;</w:t>
            </w:r>
          </w:p>
          <w:p w14:paraId="50A2C66A" w14:textId="77777777" w:rsidR="00911727" w:rsidRDefault="00911727" w:rsidP="00911727">
            <w:pPr>
              <w:jc w:val="both"/>
              <w:rPr>
                <w:bCs/>
              </w:rPr>
            </w:pPr>
            <w:r>
              <w:rPr>
                <w:bCs/>
              </w:rPr>
              <w:t>7) grozījumiem iepirkuma līgumā;</w:t>
            </w:r>
          </w:p>
          <w:p w14:paraId="0FA2A841" w14:textId="77777777" w:rsidR="00911727" w:rsidRDefault="00911727" w:rsidP="00911727">
            <w:pPr>
              <w:jc w:val="both"/>
              <w:rPr>
                <w:bCs/>
              </w:rPr>
            </w:pPr>
            <w:r>
              <w:rPr>
                <w:bCs/>
              </w:rPr>
              <w:t>8) uzaicināšanu un iesnieguma izskatīšanas komisijas sēdi elektroniski.</w:t>
            </w:r>
          </w:p>
          <w:p w14:paraId="6E1D6D9F" w14:textId="77777777" w:rsidR="00911727" w:rsidRDefault="00911727" w:rsidP="00911727">
            <w:pPr>
              <w:jc w:val="both"/>
              <w:rPr>
                <w:bCs/>
              </w:rPr>
            </w:pPr>
            <w:r>
              <w:rPr>
                <w:bCs/>
              </w:rPr>
              <w:t xml:space="preserve">Papildus tiek ieviests depozīta mehānisms (tāpat kā attiecībā uz Publisko iepirkumu likumu), kas mazinātu ļaunprātīgu iesniegumu iesniegšanas iespēju. Depozītu paredzēts ieviest attiecībā uz sabiedrībai svarīgākajiem iepirkumiem, kā kritēriju nosakot iepirkuma publikāciju Eiropas Savienības Oficiālajā Vēstnesī. Depozīta apmērs – 0,05% no iepirkuma summas, maksimālā robeža – 7000 </w:t>
            </w:r>
            <w:proofErr w:type="spellStart"/>
            <w:r w:rsidRPr="00050F60">
              <w:rPr>
                <w:bCs/>
                <w:i/>
              </w:rPr>
              <w:t>euro</w:t>
            </w:r>
            <w:proofErr w:type="spellEnd"/>
            <w:r>
              <w:rPr>
                <w:bCs/>
              </w:rPr>
              <w:t>.</w:t>
            </w:r>
          </w:p>
          <w:p w14:paraId="7F4918BB" w14:textId="77777777" w:rsidR="00004838" w:rsidRDefault="00004838" w:rsidP="00004838">
            <w:pPr>
              <w:pStyle w:val="ListParagraph"/>
              <w:ind w:left="0" w:firstLine="720"/>
              <w:jc w:val="both"/>
              <w:rPr>
                <w:rFonts w:ascii="Times New Roman" w:eastAsia="Times New Roman" w:hAnsi="Times New Roman"/>
                <w:lang w:eastAsia="lv-LV"/>
              </w:rPr>
            </w:pPr>
            <w:r w:rsidRPr="002C1574">
              <w:rPr>
                <w:rStyle w:val="spelle"/>
                <w:rFonts w:ascii="Times New Roman" w:hAnsi="Times New Roman"/>
              </w:rPr>
              <w:t xml:space="preserve">Piedāvātais modelis arī novērš Satversmes </w:t>
            </w:r>
            <w:proofErr w:type="gramStart"/>
            <w:r w:rsidRPr="002C1574">
              <w:rPr>
                <w:rStyle w:val="spelle"/>
                <w:rFonts w:ascii="Times New Roman" w:hAnsi="Times New Roman"/>
              </w:rPr>
              <w:t>2010.gada</w:t>
            </w:r>
            <w:proofErr w:type="gramEnd"/>
            <w:r w:rsidRPr="002C1574">
              <w:rPr>
                <w:rStyle w:val="spelle"/>
                <w:rFonts w:ascii="Times New Roman" w:hAnsi="Times New Roman"/>
              </w:rPr>
              <w:t xml:space="preserve"> 19.aprīļa spriedumā lietā Nr.</w:t>
            </w:r>
            <w:r w:rsidRPr="002C1574">
              <w:rPr>
                <w:rFonts w:ascii="Times New Roman" w:eastAsia="Times New Roman" w:hAnsi="Times New Roman"/>
                <w:lang w:eastAsia="lv-LV"/>
              </w:rPr>
              <w:t xml:space="preserve"> 2009-77-01 „Par Publisko iepirkumu likuma 83.</w:t>
            </w:r>
            <w:r w:rsidRPr="002C1574">
              <w:rPr>
                <w:rFonts w:ascii="Times New Roman" w:eastAsia="Times New Roman" w:hAnsi="Times New Roman"/>
                <w:vertAlign w:val="superscript"/>
                <w:lang w:eastAsia="lv-LV"/>
              </w:rPr>
              <w:t>2</w:t>
            </w:r>
            <w:r w:rsidRPr="002C1574">
              <w:rPr>
                <w:rFonts w:ascii="Times New Roman" w:eastAsia="Times New Roman" w:hAnsi="Times New Roman"/>
                <w:lang w:eastAsia="lv-LV"/>
              </w:rPr>
              <w:t xml:space="preserve"> panta un pārejas noteikumu 12.punkta atbilstību Latvijas Republikas Satversmes 1. un 92.pantam” minētās bažas. Pirmkārt, likumā ir noteikts konkrēts depozīta apmērs, kā arī gadījumi, kuros to neatmaksā (</w:t>
            </w:r>
            <w:r>
              <w:rPr>
                <w:rFonts w:ascii="Times New Roman" w:eastAsia="Times New Roman" w:hAnsi="Times New Roman"/>
                <w:lang w:eastAsia="lv-LV"/>
              </w:rPr>
              <w:t xml:space="preserve">iesnieguma </w:t>
            </w:r>
            <w:r w:rsidRPr="002C1574">
              <w:rPr>
                <w:rFonts w:ascii="Times New Roman" w:eastAsia="Times New Roman" w:hAnsi="Times New Roman"/>
                <w:lang w:eastAsia="lv-LV"/>
              </w:rPr>
              <w:t xml:space="preserve">noraidīšana vai – </w:t>
            </w:r>
            <w:r>
              <w:rPr>
                <w:rFonts w:ascii="Times New Roman" w:eastAsia="Times New Roman" w:hAnsi="Times New Roman"/>
                <w:lang w:eastAsia="lv-LV"/>
              </w:rPr>
              <w:t>iesnieguma</w:t>
            </w:r>
            <w:r w:rsidRPr="002C1574">
              <w:rPr>
                <w:rFonts w:ascii="Times New Roman" w:eastAsia="Times New Roman" w:hAnsi="Times New Roman"/>
                <w:lang w:eastAsia="lv-LV"/>
              </w:rPr>
              <w:t xml:space="preserve"> atsaukšana). Otrkārt, sabiedrības interese par tās labumam nepieciešamo darbu veikšanu vai preču piegādi bez liekas kavēšanās; valsts budžeta intereses novērst neattiecināmo izmaksu risku Eiropas Savienības fondu finansētajos projektos; kā arī uzvarētāja tiesības paļauties, ka ar konkurētspējīgu un korektu piedāvājumu tam ir tiesības uz nekavējošu projekta realizācijas uzsākšanu - norāda uz nepieciešamību riska sadalei (tai skaitā, runa ir par atturēšanu no citām nepamatot</w:t>
            </w:r>
            <w:r>
              <w:rPr>
                <w:rFonts w:ascii="Times New Roman" w:eastAsia="Times New Roman" w:hAnsi="Times New Roman"/>
                <w:lang w:eastAsia="lv-LV"/>
              </w:rPr>
              <w:t>iem</w:t>
            </w:r>
            <w:r w:rsidRPr="002C1574">
              <w:rPr>
                <w:rFonts w:ascii="Times New Roman" w:eastAsia="Times New Roman" w:hAnsi="Times New Roman"/>
                <w:lang w:eastAsia="lv-LV"/>
              </w:rPr>
              <w:t xml:space="preserve"> </w:t>
            </w:r>
            <w:r>
              <w:rPr>
                <w:rFonts w:ascii="Times New Roman" w:eastAsia="Times New Roman" w:hAnsi="Times New Roman"/>
                <w:lang w:eastAsia="lv-LV"/>
              </w:rPr>
              <w:t>iesniegumiem</w:t>
            </w:r>
            <w:r w:rsidRPr="002C1574">
              <w:rPr>
                <w:rFonts w:ascii="Times New Roman" w:eastAsia="Times New Roman" w:hAnsi="Times New Roman"/>
                <w:lang w:eastAsia="lv-LV"/>
              </w:rPr>
              <w:t>), kas šai gadījumā ir depozīta apmērs. Finansiālais jautājums komerciāli orientētiem pretendentiem liks rūpīgāk izvērtēt iesniedzamā</w:t>
            </w:r>
            <w:r>
              <w:rPr>
                <w:rFonts w:ascii="Times New Roman" w:eastAsia="Times New Roman" w:hAnsi="Times New Roman"/>
                <w:lang w:eastAsia="lv-LV"/>
              </w:rPr>
              <w:t xml:space="preserve"> iesnieguma </w:t>
            </w:r>
            <w:r w:rsidRPr="002C1574">
              <w:rPr>
                <w:rFonts w:ascii="Times New Roman" w:eastAsia="Times New Roman" w:hAnsi="Times New Roman"/>
                <w:lang w:eastAsia="lv-LV"/>
              </w:rPr>
              <w:t xml:space="preserve">pamatojumu un tā ietekmi uz cita, līdztiesīga komersanta (uzvarētāja) interešu aizsardzību, kā arī uz visas sabiedrības interešu aizsardzību kopumā. </w:t>
            </w:r>
          </w:p>
          <w:p w14:paraId="1FC4CEAC" w14:textId="77777777" w:rsidR="00004838" w:rsidRDefault="00004838" w:rsidP="00004838">
            <w:pPr>
              <w:pStyle w:val="ListParagraph"/>
              <w:ind w:left="0" w:firstLine="720"/>
              <w:jc w:val="both"/>
              <w:rPr>
                <w:rFonts w:ascii="Times New Roman" w:eastAsia="Times New Roman" w:hAnsi="Times New Roman"/>
                <w:lang w:eastAsia="lv-LV"/>
              </w:rPr>
            </w:pPr>
            <w:r>
              <w:rPr>
                <w:rFonts w:ascii="Times New Roman" w:eastAsia="Times New Roman" w:hAnsi="Times New Roman"/>
                <w:lang w:eastAsia="lv-LV"/>
              </w:rPr>
              <w:t>Tāpat tiek novērsti minētā Satversmes tiesas sprieduma 25., 30. un 31.paragrāfā minētie aspekti. Pirmkārt, nav pamata bažām, ka tiek nepamatoti skarti tie iesniedzēji, kas labā ticībā sūdzas par iepirkuma procedūras pārkāpumiem: depozīts tiek atmaksāts pat, ja iesniegums tiek apmierināts daļēji. Tāpat iesnieguma iesniedzēja labticība jāskata kontekstā ar uzvarētāja labticību, nevis</w:t>
            </w:r>
            <w:proofErr w:type="gramStart"/>
            <w:r>
              <w:rPr>
                <w:rFonts w:ascii="Times New Roman" w:eastAsia="Times New Roman" w:hAnsi="Times New Roman"/>
                <w:lang w:eastAsia="lv-LV"/>
              </w:rPr>
              <w:t xml:space="preserve"> nostādot to</w:t>
            </w:r>
            <w:proofErr w:type="gramEnd"/>
            <w:r>
              <w:rPr>
                <w:rFonts w:ascii="Times New Roman" w:eastAsia="Times New Roman" w:hAnsi="Times New Roman"/>
                <w:lang w:eastAsia="lv-LV"/>
              </w:rPr>
              <w:t xml:space="preserve"> virs uzvarētāja interešu un visas sabiedrības interešu ievērošanas. Tieši samērīgs depozīta apmērs dos stimulu iesniedzējam </w:t>
            </w:r>
            <w:proofErr w:type="spellStart"/>
            <w:r>
              <w:rPr>
                <w:rFonts w:ascii="Times New Roman" w:eastAsia="Times New Roman" w:hAnsi="Times New Roman"/>
                <w:lang w:eastAsia="lv-LV"/>
              </w:rPr>
              <w:t>padziļinātāk</w:t>
            </w:r>
            <w:proofErr w:type="spellEnd"/>
            <w:r>
              <w:rPr>
                <w:rFonts w:ascii="Times New Roman" w:eastAsia="Times New Roman" w:hAnsi="Times New Roman"/>
                <w:lang w:eastAsia="lv-LV"/>
              </w:rPr>
              <w:t xml:space="preserve"> izvērtēt sava iesnieguma pamatotību. Otrkārt, nav pamata bažām par efektīva iepirkumu sistēmas uzraudzības mehānisma ierobežošanu. Sistēmas efektivitāte jāskata arī pēc iespējas ātrākas rezultātu sasniegšanas (piegādātās preces, sniegtie pakalpojumi, uzbūvētās ēkas) kontekstā, nevis tikai procesa formalitāšu kontekstā. Ja iesniedzējam sabiedrības interešu vārdā ir uzlikts atsevišķs proporcionāls ierobežojums ļaunprātības novēršanai (depozīts), tas nevar tikt pārspīlēts kā efektīvas sistēmas ierobežojums. Efektivitāte nenozīmē bezmaksas automātiskas garantijas, jo jebkurā gadījumā iesnieguma aspektā finansiāli tiek ietekmētas uzvarētāja un visas sabiedrības intereses, savukārt iesniedzējs faktiski līdz šim ne ar ko neriskēja, tādējādi nostādot to priviliģētākā stāvoklī. Treškārt, nav arī pamata bažām par tiesu noslodzes </w:t>
            </w:r>
            <w:r>
              <w:rPr>
                <w:rFonts w:ascii="Times New Roman" w:eastAsia="Times New Roman" w:hAnsi="Times New Roman"/>
                <w:lang w:eastAsia="lv-LV"/>
              </w:rPr>
              <w:lastRenderedPageBreak/>
              <w:t xml:space="preserve">palielināšanos, jo depozīta ieviešana nemaina Iepirkumu uzraudzības biroja un tiesas kompetenci.   </w:t>
            </w:r>
            <w:bookmarkStart w:id="2" w:name="_GoBack"/>
            <w:bookmarkEnd w:id="2"/>
          </w:p>
          <w:p w14:paraId="065F9FEB" w14:textId="77777777" w:rsidR="00911727" w:rsidRPr="003F7486" w:rsidRDefault="00911727" w:rsidP="00C823EF">
            <w:pPr>
              <w:jc w:val="both"/>
            </w:pPr>
          </w:p>
        </w:tc>
      </w:tr>
      <w:tr w:rsidR="00A62E16" w:rsidRPr="00306D47" w14:paraId="774E2585" w14:textId="77777777" w:rsidTr="00D16C80">
        <w:tc>
          <w:tcPr>
            <w:tcW w:w="261" w:type="pct"/>
          </w:tcPr>
          <w:p w14:paraId="742BD28D" w14:textId="5F4F0F4D" w:rsidR="00A62E16" w:rsidRPr="00306D47" w:rsidRDefault="00911727" w:rsidP="00A62E16">
            <w:pPr>
              <w:pStyle w:val="naiskr"/>
              <w:spacing w:before="0" w:after="0"/>
            </w:pPr>
            <w:r>
              <w:lastRenderedPageBreak/>
              <w:t>3</w:t>
            </w:r>
            <w:r w:rsidR="00A62E16" w:rsidRPr="00306D47">
              <w:t>.</w:t>
            </w:r>
          </w:p>
        </w:tc>
        <w:tc>
          <w:tcPr>
            <w:tcW w:w="784" w:type="pct"/>
          </w:tcPr>
          <w:p w14:paraId="50395206" w14:textId="77777777" w:rsidR="00A62E16" w:rsidRPr="00306D47" w:rsidRDefault="00A62E16" w:rsidP="00A62E16">
            <w:pPr>
              <w:pStyle w:val="naiskr"/>
              <w:spacing w:before="0" w:after="0"/>
            </w:pPr>
            <w:r w:rsidRPr="00306D47">
              <w:t>Projekta izstrādē iesaistītās institūcijas</w:t>
            </w:r>
          </w:p>
        </w:tc>
        <w:tc>
          <w:tcPr>
            <w:tcW w:w="3955" w:type="pct"/>
          </w:tcPr>
          <w:p w14:paraId="420C921C" w14:textId="77777777" w:rsidR="00A62E16" w:rsidRPr="00306D47" w:rsidRDefault="007D431C" w:rsidP="007D431C">
            <w:pPr>
              <w:pStyle w:val="naiskr"/>
              <w:spacing w:before="0" w:after="0"/>
              <w:jc w:val="both"/>
            </w:pPr>
            <w:r>
              <w:t>Gan valsts iestādes, gan nevalstiskais sektors (</w:t>
            </w:r>
            <w:r w:rsidRPr="00306D47">
              <w:t>ar Valsts kancelejas direktora 2012.gada 29.novembra rīkojumu Nr.78 "Par darba grupu" izveidot</w:t>
            </w:r>
            <w:r>
              <w:t>ā</w:t>
            </w:r>
            <w:r w:rsidRPr="00306D47">
              <w:t xml:space="preserve"> augsta līmeņa</w:t>
            </w:r>
            <w:r>
              <w:t xml:space="preserve"> ekspertu darba grupa).</w:t>
            </w:r>
          </w:p>
        </w:tc>
      </w:tr>
      <w:tr w:rsidR="00A62E16" w:rsidRPr="00306D47" w14:paraId="0AF9947E" w14:textId="77777777" w:rsidTr="00D16C80">
        <w:tc>
          <w:tcPr>
            <w:tcW w:w="261" w:type="pct"/>
          </w:tcPr>
          <w:p w14:paraId="6FD6F39E" w14:textId="770AE951" w:rsidR="00A62E16" w:rsidRPr="00306D47" w:rsidRDefault="00911727" w:rsidP="00A62E16">
            <w:pPr>
              <w:pStyle w:val="naiskr"/>
              <w:spacing w:before="0" w:after="0"/>
            </w:pPr>
            <w:r>
              <w:t>4</w:t>
            </w:r>
            <w:r w:rsidR="00A62E16" w:rsidRPr="00306D47">
              <w:t>.</w:t>
            </w:r>
          </w:p>
        </w:tc>
        <w:tc>
          <w:tcPr>
            <w:tcW w:w="784" w:type="pct"/>
          </w:tcPr>
          <w:p w14:paraId="244CD5E2" w14:textId="77777777" w:rsidR="00A62E16" w:rsidRPr="00306D47" w:rsidRDefault="00A62E16" w:rsidP="00A62E16">
            <w:pPr>
              <w:pStyle w:val="naiskr"/>
              <w:spacing w:before="0" w:after="0"/>
            </w:pPr>
            <w:r w:rsidRPr="00306D47">
              <w:t>Cita informācija</w:t>
            </w:r>
          </w:p>
        </w:tc>
        <w:tc>
          <w:tcPr>
            <w:tcW w:w="3955" w:type="pct"/>
          </w:tcPr>
          <w:p w14:paraId="32B5FEB8" w14:textId="77777777" w:rsidR="00A62E16" w:rsidRPr="00306D47" w:rsidRDefault="00A62E16" w:rsidP="00A62E16">
            <w:pPr>
              <w:pStyle w:val="naiskr"/>
              <w:spacing w:before="0" w:after="0"/>
            </w:pPr>
            <w:r w:rsidRPr="00306D47">
              <w:t>Nav.</w:t>
            </w:r>
          </w:p>
        </w:tc>
      </w:tr>
    </w:tbl>
    <w:p w14:paraId="23C2495E" w14:textId="77777777" w:rsidR="00852042" w:rsidRPr="00306D47" w:rsidRDefault="00852042" w:rsidP="005C0C11">
      <w:pPr>
        <w:pStyle w:val="naisf"/>
        <w:spacing w:before="0" w:after="0"/>
      </w:pPr>
    </w:p>
    <w:p w14:paraId="6F855956" w14:textId="77777777" w:rsidR="005422C7" w:rsidRPr="00306D47" w:rsidRDefault="005422C7" w:rsidP="005C0C11">
      <w:pPr>
        <w:pStyle w:val="naisf"/>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4394"/>
        <w:gridCol w:w="4286"/>
      </w:tblGrid>
      <w:tr w:rsidR="005422C7" w:rsidRPr="00306D47" w14:paraId="33408EF1" w14:textId="77777777" w:rsidTr="00DB3B44">
        <w:tc>
          <w:tcPr>
            <w:tcW w:w="9202" w:type="dxa"/>
            <w:gridSpan w:val="3"/>
            <w:shd w:val="clear" w:color="auto" w:fill="auto"/>
          </w:tcPr>
          <w:p w14:paraId="69C12F4D" w14:textId="2D44AD6C" w:rsidR="005422C7" w:rsidRPr="00306D47" w:rsidRDefault="005422C7" w:rsidP="003F464A">
            <w:pPr>
              <w:spacing w:before="150" w:after="150"/>
              <w:jc w:val="center"/>
              <w:rPr>
                <w:b/>
                <w:bCs/>
              </w:rPr>
            </w:pPr>
            <w:r w:rsidRPr="00306D47">
              <w:rPr>
                <w:b/>
                <w:bCs/>
              </w:rPr>
              <w:t>II. Tiesību akta projekta ietekme uz sabiedrību</w:t>
            </w:r>
            <w:r w:rsidR="005453B7" w:rsidRPr="00A02514">
              <w:rPr>
                <w:b/>
                <w:bCs/>
              </w:rPr>
              <w:t>, tautsaimniecības attīstību un administratīvo slogu</w:t>
            </w:r>
          </w:p>
        </w:tc>
      </w:tr>
      <w:tr w:rsidR="008B7BF6" w:rsidRPr="00306D47" w14:paraId="0011E355" w14:textId="77777777" w:rsidTr="00DB3B44">
        <w:trPr>
          <w:trHeight w:val="467"/>
        </w:trPr>
        <w:tc>
          <w:tcPr>
            <w:tcW w:w="522" w:type="dxa"/>
            <w:shd w:val="clear" w:color="auto" w:fill="auto"/>
          </w:tcPr>
          <w:p w14:paraId="4EB87197" w14:textId="77777777" w:rsidR="008B7BF6" w:rsidRPr="00306D47" w:rsidRDefault="008B7BF6" w:rsidP="008B7BF6">
            <w:pPr>
              <w:spacing w:before="75" w:after="75"/>
            </w:pPr>
            <w:r w:rsidRPr="00306D47">
              <w:t> 1.</w:t>
            </w:r>
          </w:p>
        </w:tc>
        <w:tc>
          <w:tcPr>
            <w:tcW w:w="4394" w:type="dxa"/>
            <w:shd w:val="clear" w:color="auto" w:fill="auto"/>
          </w:tcPr>
          <w:p w14:paraId="14EA96FC" w14:textId="1AAD320A" w:rsidR="008B7BF6" w:rsidRPr="00306D47" w:rsidRDefault="008B7BF6" w:rsidP="008B7BF6">
            <w:pPr>
              <w:spacing w:before="75" w:after="75"/>
            </w:pPr>
            <w:r w:rsidRPr="00306D47">
              <w:t>Sabiedrības mērķgrupa</w:t>
            </w:r>
            <w:r w:rsidR="00B95D0A" w:rsidRPr="00A02514">
              <w:t>s, kuras tiesiskais regulējums ietekmē vai varētu ietekmēt</w:t>
            </w:r>
          </w:p>
        </w:tc>
        <w:tc>
          <w:tcPr>
            <w:tcW w:w="4286" w:type="dxa"/>
            <w:shd w:val="clear" w:color="auto" w:fill="auto"/>
          </w:tcPr>
          <w:p w14:paraId="06AEEEF5" w14:textId="77777777" w:rsidR="008B7BF6" w:rsidRPr="00306D47" w:rsidRDefault="008B7BF6" w:rsidP="008B7BF6">
            <w:pPr>
              <w:pStyle w:val="FootnoteText"/>
              <w:rPr>
                <w:sz w:val="24"/>
                <w:szCs w:val="24"/>
              </w:rPr>
            </w:pPr>
            <w:r w:rsidRPr="00306D47">
              <w:rPr>
                <w:sz w:val="24"/>
                <w:szCs w:val="24"/>
              </w:rPr>
              <w:t>Projekts šo jomu neskar.</w:t>
            </w:r>
          </w:p>
        </w:tc>
      </w:tr>
      <w:tr w:rsidR="005422C7" w:rsidRPr="00306D47" w14:paraId="14F17E26" w14:textId="77777777" w:rsidTr="00DB3B44">
        <w:trPr>
          <w:trHeight w:val="517"/>
        </w:trPr>
        <w:tc>
          <w:tcPr>
            <w:tcW w:w="522" w:type="dxa"/>
            <w:shd w:val="clear" w:color="auto" w:fill="auto"/>
          </w:tcPr>
          <w:p w14:paraId="029A516D" w14:textId="78A5BB4A" w:rsidR="005422C7" w:rsidRPr="00306D47" w:rsidRDefault="005422C7" w:rsidP="003F464A">
            <w:pPr>
              <w:spacing w:before="75" w:after="75"/>
            </w:pPr>
            <w:r w:rsidRPr="00306D47">
              <w:t> </w:t>
            </w:r>
            <w:r w:rsidR="00B95D0A">
              <w:t>2</w:t>
            </w:r>
            <w:r w:rsidRPr="00306D47">
              <w:t>.</w:t>
            </w:r>
          </w:p>
        </w:tc>
        <w:tc>
          <w:tcPr>
            <w:tcW w:w="4394" w:type="dxa"/>
            <w:shd w:val="clear" w:color="auto" w:fill="auto"/>
          </w:tcPr>
          <w:p w14:paraId="75326F07" w14:textId="090EF142" w:rsidR="005422C7" w:rsidRPr="00306D47" w:rsidRDefault="00B95D0A" w:rsidP="003F464A">
            <w:pPr>
              <w:spacing w:before="75" w:after="75"/>
            </w:pPr>
            <w:r w:rsidRPr="00A02514">
              <w:t>Tiesiskā regulējuma ietekme uz tautsaimniecību un administratīvo slogu</w:t>
            </w:r>
          </w:p>
        </w:tc>
        <w:tc>
          <w:tcPr>
            <w:tcW w:w="4286" w:type="dxa"/>
            <w:shd w:val="clear" w:color="auto" w:fill="auto"/>
          </w:tcPr>
          <w:p w14:paraId="2ADA54BC" w14:textId="77777777" w:rsidR="005422C7" w:rsidRPr="00306D47" w:rsidRDefault="008B7BF6" w:rsidP="008B7BF6">
            <w:pPr>
              <w:spacing w:before="75" w:after="75"/>
              <w:jc w:val="both"/>
            </w:pPr>
            <w:r>
              <w:t>Depozīta apmērs, kā arī atmaksas nosacījumi noteikti likumā.</w:t>
            </w:r>
          </w:p>
        </w:tc>
      </w:tr>
      <w:tr w:rsidR="008B7BF6" w:rsidRPr="00306D47" w14:paraId="7A5E593E" w14:textId="77777777" w:rsidTr="00DB3B44">
        <w:trPr>
          <w:trHeight w:val="357"/>
        </w:trPr>
        <w:tc>
          <w:tcPr>
            <w:tcW w:w="522" w:type="dxa"/>
            <w:shd w:val="clear" w:color="auto" w:fill="auto"/>
          </w:tcPr>
          <w:p w14:paraId="3D74C3B3" w14:textId="1D4A2FB2" w:rsidR="008B7BF6" w:rsidRPr="00306D47" w:rsidRDefault="008B7BF6" w:rsidP="008B7BF6">
            <w:pPr>
              <w:spacing w:before="75" w:after="75"/>
            </w:pPr>
            <w:r w:rsidRPr="00306D47">
              <w:t> </w:t>
            </w:r>
            <w:r w:rsidR="00B80651">
              <w:t>3</w:t>
            </w:r>
            <w:r w:rsidRPr="00306D47">
              <w:t>.</w:t>
            </w:r>
          </w:p>
        </w:tc>
        <w:tc>
          <w:tcPr>
            <w:tcW w:w="4394" w:type="dxa"/>
            <w:shd w:val="clear" w:color="auto" w:fill="auto"/>
          </w:tcPr>
          <w:p w14:paraId="43848B5C" w14:textId="77777777" w:rsidR="008B7BF6" w:rsidRPr="00306D47" w:rsidRDefault="008B7BF6" w:rsidP="008B7BF6">
            <w:pPr>
              <w:spacing w:before="75" w:after="75"/>
            </w:pPr>
            <w:r w:rsidRPr="00306D47">
              <w:t>Administratīvo izmaksu monetārs novērtējums</w:t>
            </w:r>
          </w:p>
        </w:tc>
        <w:tc>
          <w:tcPr>
            <w:tcW w:w="4286" w:type="dxa"/>
            <w:shd w:val="clear" w:color="auto" w:fill="auto"/>
          </w:tcPr>
          <w:p w14:paraId="4EE32063" w14:textId="77777777" w:rsidR="008B7BF6" w:rsidRPr="00306D47" w:rsidRDefault="008B7BF6" w:rsidP="008B7BF6">
            <w:pPr>
              <w:spacing w:before="75" w:after="75"/>
            </w:pPr>
            <w:r w:rsidRPr="00306D47">
              <w:t>Projekts šo jomu neskar.</w:t>
            </w:r>
          </w:p>
        </w:tc>
      </w:tr>
      <w:tr w:rsidR="008B7BF6" w:rsidRPr="00306D47" w14:paraId="6D59585E" w14:textId="77777777" w:rsidTr="00DB3B44">
        <w:tc>
          <w:tcPr>
            <w:tcW w:w="522" w:type="dxa"/>
            <w:shd w:val="clear" w:color="auto" w:fill="auto"/>
          </w:tcPr>
          <w:p w14:paraId="10929337" w14:textId="4214746A" w:rsidR="008B7BF6" w:rsidRPr="00306D47" w:rsidRDefault="008B7BF6" w:rsidP="00B80651">
            <w:pPr>
              <w:spacing w:before="75" w:after="75"/>
            </w:pPr>
            <w:r w:rsidRPr="00306D47">
              <w:t> </w:t>
            </w:r>
            <w:r w:rsidR="00B80651">
              <w:t>4</w:t>
            </w:r>
            <w:r w:rsidRPr="00306D47">
              <w:t>.</w:t>
            </w:r>
          </w:p>
        </w:tc>
        <w:tc>
          <w:tcPr>
            <w:tcW w:w="4394" w:type="dxa"/>
            <w:shd w:val="clear" w:color="auto" w:fill="auto"/>
          </w:tcPr>
          <w:p w14:paraId="622669D6" w14:textId="77777777" w:rsidR="008B7BF6" w:rsidRPr="00306D47" w:rsidRDefault="008B7BF6" w:rsidP="008B7BF6">
            <w:pPr>
              <w:spacing w:before="75" w:after="75"/>
            </w:pPr>
            <w:r w:rsidRPr="00306D47">
              <w:t xml:space="preserve">Cita informācija </w:t>
            </w:r>
          </w:p>
        </w:tc>
        <w:tc>
          <w:tcPr>
            <w:tcW w:w="4286" w:type="dxa"/>
            <w:shd w:val="clear" w:color="auto" w:fill="auto"/>
          </w:tcPr>
          <w:p w14:paraId="76B7342B" w14:textId="77777777" w:rsidR="008B7BF6" w:rsidRPr="00306D47" w:rsidRDefault="008B7BF6" w:rsidP="008B7BF6">
            <w:pPr>
              <w:spacing w:before="75" w:after="75"/>
            </w:pPr>
            <w:r w:rsidRPr="00306D47">
              <w:t>Nav.</w:t>
            </w:r>
          </w:p>
        </w:tc>
      </w:tr>
    </w:tbl>
    <w:p w14:paraId="17A00D01" w14:textId="77777777" w:rsidR="005422C7" w:rsidRPr="00306D47" w:rsidRDefault="005422C7" w:rsidP="005C0C11">
      <w:pPr>
        <w:pStyle w:val="naisf"/>
        <w:spacing w:before="0" w:after="0"/>
      </w:pPr>
    </w:p>
    <w:p w14:paraId="721FA6C4" w14:textId="77777777" w:rsidR="00A16CDA" w:rsidRPr="00306D47" w:rsidRDefault="00A16CDA" w:rsidP="008E429A">
      <w:pPr>
        <w:pStyle w:val="naisf"/>
        <w:spacing w:before="0" w:after="0"/>
        <w:ind w:firstLine="0"/>
        <w:rPr>
          <w:i/>
          <w:iCs/>
        </w:rPr>
      </w:pPr>
    </w:p>
    <w:tbl>
      <w:tblPr>
        <w:tblW w:w="507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28" w:type="dxa"/>
          <w:bottom w:w="28" w:type="dxa"/>
          <w:right w:w="28" w:type="dxa"/>
        </w:tblCellMar>
        <w:tblLook w:val="0000" w:firstRow="0" w:lastRow="0" w:firstColumn="0" w:lastColumn="0" w:noHBand="0" w:noVBand="0"/>
      </w:tblPr>
      <w:tblGrid>
        <w:gridCol w:w="3064"/>
        <w:gridCol w:w="1269"/>
        <w:gridCol w:w="1269"/>
        <w:gridCol w:w="1269"/>
        <w:gridCol w:w="1269"/>
        <w:gridCol w:w="1269"/>
      </w:tblGrid>
      <w:tr w:rsidR="008E429A" w:rsidRPr="00306D47" w14:paraId="169A999A" w14:textId="77777777" w:rsidTr="00C173EB">
        <w:tc>
          <w:tcPr>
            <w:tcW w:w="5000" w:type="pct"/>
            <w:gridSpan w:val="6"/>
          </w:tcPr>
          <w:p w14:paraId="434DB160" w14:textId="77777777" w:rsidR="008E429A" w:rsidRPr="00306D47" w:rsidRDefault="008E429A" w:rsidP="00F00A8B">
            <w:pPr>
              <w:spacing w:before="100" w:beforeAutospacing="1" w:after="100" w:afterAutospacing="1"/>
              <w:jc w:val="center"/>
              <w:rPr>
                <w:b/>
                <w:bCs/>
              </w:rPr>
            </w:pPr>
            <w:r w:rsidRPr="00306D47">
              <w:rPr>
                <w:b/>
                <w:bCs/>
              </w:rPr>
              <w:t>III. Tiesību akta projekta ietekme uz valsts budžetu un pašvaldību budžetiem</w:t>
            </w:r>
          </w:p>
        </w:tc>
      </w:tr>
      <w:tr w:rsidR="008E429A" w:rsidRPr="00306D47" w14:paraId="7979B853" w14:textId="77777777" w:rsidTr="00012992">
        <w:tc>
          <w:tcPr>
            <w:tcW w:w="0" w:type="auto"/>
            <w:vMerge w:val="restart"/>
            <w:vAlign w:val="center"/>
          </w:tcPr>
          <w:p w14:paraId="440367BC" w14:textId="77777777" w:rsidR="008E429A" w:rsidRPr="00306D47" w:rsidRDefault="008E429A" w:rsidP="00F00A8B">
            <w:pPr>
              <w:spacing w:before="100" w:beforeAutospacing="1" w:after="100" w:afterAutospacing="1"/>
              <w:jc w:val="center"/>
              <w:rPr>
                <w:b/>
                <w:bCs/>
              </w:rPr>
            </w:pPr>
            <w:r w:rsidRPr="00306D47">
              <w:rPr>
                <w:b/>
                <w:bCs/>
              </w:rPr>
              <w:t>Rādītāji</w:t>
            </w:r>
          </w:p>
        </w:tc>
        <w:tc>
          <w:tcPr>
            <w:tcW w:w="0" w:type="auto"/>
            <w:gridSpan w:val="2"/>
            <w:vMerge w:val="restart"/>
            <w:vAlign w:val="center"/>
          </w:tcPr>
          <w:p w14:paraId="51AF7961" w14:textId="25C2DB8E" w:rsidR="008E429A" w:rsidRPr="00306D47" w:rsidRDefault="008E429A" w:rsidP="00911727">
            <w:pPr>
              <w:spacing w:before="100" w:beforeAutospacing="1" w:after="100" w:afterAutospacing="1"/>
              <w:jc w:val="center"/>
              <w:rPr>
                <w:b/>
                <w:bCs/>
              </w:rPr>
            </w:pPr>
            <w:r w:rsidRPr="00306D47">
              <w:rPr>
                <w:b/>
                <w:bCs/>
              </w:rPr>
              <w:t>201</w:t>
            </w:r>
            <w:r w:rsidR="00911727">
              <w:rPr>
                <w:b/>
                <w:bCs/>
              </w:rPr>
              <w:t>5</w:t>
            </w:r>
            <w:r w:rsidRPr="00306D47">
              <w:rPr>
                <w:b/>
                <w:bCs/>
              </w:rPr>
              <w:t>. gads</w:t>
            </w:r>
          </w:p>
        </w:tc>
        <w:tc>
          <w:tcPr>
            <w:tcW w:w="1742" w:type="pct"/>
            <w:gridSpan w:val="3"/>
            <w:vAlign w:val="center"/>
          </w:tcPr>
          <w:p w14:paraId="53D04F29" w14:textId="77777777" w:rsidR="008E429A" w:rsidRPr="00306D47" w:rsidRDefault="008E429A" w:rsidP="00527BF8">
            <w:pPr>
              <w:spacing w:before="100" w:beforeAutospacing="1" w:after="100" w:afterAutospacing="1"/>
              <w:jc w:val="center"/>
            </w:pPr>
            <w:r w:rsidRPr="00306D47">
              <w:t xml:space="preserve">Turpmākie trīs gadi (tūkst. </w:t>
            </w:r>
            <w:proofErr w:type="spellStart"/>
            <w:r w:rsidR="00527BF8" w:rsidRPr="00527BF8">
              <w:rPr>
                <w:i/>
              </w:rPr>
              <w:t>euro</w:t>
            </w:r>
            <w:proofErr w:type="spellEnd"/>
            <w:r w:rsidRPr="00306D47">
              <w:t>)</w:t>
            </w:r>
          </w:p>
        </w:tc>
      </w:tr>
      <w:tr w:rsidR="008E429A" w:rsidRPr="00306D47" w14:paraId="6C2DDFEF" w14:textId="77777777" w:rsidTr="00012992">
        <w:tc>
          <w:tcPr>
            <w:tcW w:w="0" w:type="auto"/>
            <w:vMerge/>
            <w:vAlign w:val="center"/>
          </w:tcPr>
          <w:p w14:paraId="4DA13F96" w14:textId="77777777" w:rsidR="008E429A" w:rsidRPr="00306D47" w:rsidRDefault="008E429A" w:rsidP="00F00A8B">
            <w:pPr>
              <w:rPr>
                <w:b/>
                <w:bCs/>
              </w:rPr>
            </w:pPr>
          </w:p>
        </w:tc>
        <w:tc>
          <w:tcPr>
            <w:tcW w:w="0" w:type="auto"/>
            <w:gridSpan w:val="2"/>
            <w:vMerge/>
            <w:vAlign w:val="center"/>
          </w:tcPr>
          <w:p w14:paraId="3E114C03" w14:textId="77777777" w:rsidR="008E429A" w:rsidRPr="00306D47" w:rsidRDefault="008E429A" w:rsidP="00F00A8B">
            <w:pPr>
              <w:rPr>
                <w:b/>
                <w:bCs/>
              </w:rPr>
            </w:pPr>
          </w:p>
        </w:tc>
        <w:tc>
          <w:tcPr>
            <w:tcW w:w="0" w:type="auto"/>
            <w:vAlign w:val="center"/>
          </w:tcPr>
          <w:p w14:paraId="389DE5DC" w14:textId="3F6D9048" w:rsidR="008E429A" w:rsidRPr="00306D47" w:rsidRDefault="008E429A" w:rsidP="00911727">
            <w:pPr>
              <w:spacing w:before="100" w:beforeAutospacing="1" w:after="100" w:afterAutospacing="1"/>
              <w:jc w:val="center"/>
              <w:rPr>
                <w:b/>
                <w:bCs/>
              </w:rPr>
            </w:pPr>
            <w:r w:rsidRPr="00306D47">
              <w:rPr>
                <w:b/>
                <w:bCs/>
              </w:rPr>
              <w:t>201</w:t>
            </w:r>
            <w:r w:rsidR="00911727">
              <w:rPr>
                <w:b/>
                <w:bCs/>
              </w:rPr>
              <w:t>6</w:t>
            </w:r>
          </w:p>
        </w:tc>
        <w:tc>
          <w:tcPr>
            <w:tcW w:w="602" w:type="pct"/>
            <w:vAlign w:val="center"/>
          </w:tcPr>
          <w:p w14:paraId="1C87E970" w14:textId="6944EEC0" w:rsidR="008E429A" w:rsidRPr="00306D47" w:rsidRDefault="008E429A" w:rsidP="00F6386B">
            <w:pPr>
              <w:spacing w:before="100" w:beforeAutospacing="1" w:after="100" w:afterAutospacing="1"/>
              <w:jc w:val="center"/>
              <w:rPr>
                <w:b/>
                <w:bCs/>
              </w:rPr>
            </w:pPr>
            <w:r w:rsidRPr="00306D47">
              <w:rPr>
                <w:b/>
                <w:bCs/>
              </w:rPr>
              <w:t>201</w:t>
            </w:r>
            <w:r w:rsidR="00911727">
              <w:rPr>
                <w:b/>
                <w:bCs/>
              </w:rPr>
              <w:t>7</w:t>
            </w:r>
          </w:p>
        </w:tc>
        <w:tc>
          <w:tcPr>
            <w:tcW w:w="615" w:type="pct"/>
            <w:vAlign w:val="center"/>
          </w:tcPr>
          <w:p w14:paraId="2513303A" w14:textId="1488185D" w:rsidR="008E429A" w:rsidRPr="00306D47" w:rsidRDefault="008E429A" w:rsidP="00F6386B">
            <w:pPr>
              <w:spacing w:before="100" w:beforeAutospacing="1" w:after="100" w:afterAutospacing="1"/>
              <w:jc w:val="center"/>
              <w:rPr>
                <w:b/>
                <w:bCs/>
              </w:rPr>
            </w:pPr>
            <w:r w:rsidRPr="00306D47">
              <w:rPr>
                <w:b/>
                <w:bCs/>
              </w:rPr>
              <w:t>201</w:t>
            </w:r>
            <w:r w:rsidR="00911727">
              <w:rPr>
                <w:b/>
                <w:bCs/>
              </w:rPr>
              <w:t>8</w:t>
            </w:r>
          </w:p>
        </w:tc>
      </w:tr>
      <w:tr w:rsidR="008E429A" w:rsidRPr="00306D47" w14:paraId="20AB6CE8" w14:textId="77777777" w:rsidTr="00012992">
        <w:tc>
          <w:tcPr>
            <w:tcW w:w="0" w:type="auto"/>
            <w:vMerge/>
            <w:vAlign w:val="center"/>
          </w:tcPr>
          <w:p w14:paraId="36F4BCE0" w14:textId="77777777" w:rsidR="008E429A" w:rsidRPr="00306D47" w:rsidRDefault="008E429A" w:rsidP="00F00A8B">
            <w:pPr>
              <w:rPr>
                <w:b/>
                <w:bCs/>
              </w:rPr>
            </w:pPr>
          </w:p>
        </w:tc>
        <w:tc>
          <w:tcPr>
            <w:tcW w:w="0" w:type="auto"/>
            <w:vAlign w:val="center"/>
          </w:tcPr>
          <w:p w14:paraId="65FEAA53" w14:textId="77777777" w:rsidR="008E429A" w:rsidRPr="00306D47" w:rsidRDefault="008E429A" w:rsidP="00F00A8B">
            <w:pPr>
              <w:spacing w:before="100" w:beforeAutospacing="1" w:after="100" w:afterAutospacing="1"/>
              <w:jc w:val="center"/>
            </w:pPr>
            <w:r w:rsidRPr="00306D47">
              <w:t>Saskaņā ar valsts budžetu kārtējam gadam</w:t>
            </w:r>
          </w:p>
        </w:tc>
        <w:tc>
          <w:tcPr>
            <w:tcW w:w="0" w:type="auto"/>
            <w:vAlign w:val="center"/>
          </w:tcPr>
          <w:p w14:paraId="75D920E5" w14:textId="77777777" w:rsidR="008E429A" w:rsidRPr="00306D47" w:rsidRDefault="008E429A" w:rsidP="00F00A8B">
            <w:pPr>
              <w:spacing w:before="100" w:beforeAutospacing="1" w:after="100" w:afterAutospacing="1"/>
              <w:jc w:val="center"/>
            </w:pPr>
            <w:r w:rsidRPr="00306D47">
              <w:t>Izmaiņas kārtējā gadā, salīdzinot ar budžetu kārtējam gadam</w:t>
            </w:r>
          </w:p>
        </w:tc>
        <w:tc>
          <w:tcPr>
            <w:tcW w:w="0" w:type="auto"/>
            <w:vAlign w:val="center"/>
          </w:tcPr>
          <w:p w14:paraId="25CFDCDE" w14:textId="77777777" w:rsidR="008E429A" w:rsidRPr="00306D47" w:rsidRDefault="008E429A" w:rsidP="00F00A8B">
            <w:pPr>
              <w:spacing w:before="100" w:beforeAutospacing="1" w:after="100" w:afterAutospacing="1"/>
              <w:jc w:val="center"/>
            </w:pPr>
            <w:r w:rsidRPr="00306D47">
              <w:t>Izmaiņas, salīdzinot ar kārtējo (n) gadu</w:t>
            </w:r>
          </w:p>
        </w:tc>
        <w:tc>
          <w:tcPr>
            <w:tcW w:w="602" w:type="pct"/>
            <w:vAlign w:val="center"/>
          </w:tcPr>
          <w:p w14:paraId="3258E4E0" w14:textId="77777777" w:rsidR="008E429A" w:rsidRPr="00306D47" w:rsidRDefault="008E429A" w:rsidP="00F00A8B">
            <w:pPr>
              <w:spacing w:before="100" w:beforeAutospacing="1" w:after="100" w:afterAutospacing="1"/>
              <w:jc w:val="center"/>
            </w:pPr>
            <w:r w:rsidRPr="00306D47">
              <w:t>Izmaiņas, salīdzinot ar kārtējo (n) gadu</w:t>
            </w:r>
          </w:p>
        </w:tc>
        <w:tc>
          <w:tcPr>
            <w:tcW w:w="615" w:type="pct"/>
            <w:vAlign w:val="center"/>
          </w:tcPr>
          <w:p w14:paraId="17513002" w14:textId="77777777" w:rsidR="008E429A" w:rsidRPr="00306D47" w:rsidRDefault="008E429A" w:rsidP="00F00A8B">
            <w:pPr>
              <w:spacing w:before="100" w:beforeAutospacing="1" w:after="100" w:afterAutospacing="1"/>
              <w:jc w:val="center"/>
            </w:pPr>
            <w:r w:rsidRPr="00306D47">
              <w:t>Izmaiņas, salīdzinot ar kārtējo (n) gadu</w:t>
            </w:r>
          </w:p>
        </w:tc>
      </w:tr>
      <w:tr w:rsidR="008E429A" w:rsidRPr="00306D47" w14:paraId="7D8F8C92" w14:textId="77777777" w:rsidTr="00012992">
        <w:tc>
          <w:tcPr>
            <w:tcW w:w="0" w:type="auto"/>
            <w:vAlign w:val="center"/>
          </w:tcPr>
          <w:p w14:paraId="6B7DD240" w14:textId="77777777" w:rsidR="008E429A" w:rsidRPr="00306D47" w:rsidRDefault="008E429A" w:rsidP="00F00A8B">
            <w:pPr>
              <w:spacing w:before="100" w:beforeAutospacing="1" w:after="100" w:afterAutospacing="1"/>
              <w:jc w:val="center"/>
            </w:pPr>
            <w:r w:rsidRPr="00306D47">
              <w:t>1</w:t>
            </w:r>
          </w:p>
        </w:tc>
        <w:tc>
          <w:tcPr>
            <w:tcW w:w="0" w:type="auto"/>
            <w:vAlign w:val="center"/>
          </w:tcPr>
          <w:p w14:paraId="54F7D683" w14:textId="77777777" w:rsidR="008E429A" w:rsidRPr="00306D47" w:rsidRDefault="008E429A" w:rsidP="00F00A8B">
            <w:pPr>
              <w:spacing w:before="100" w:beforeAutospacing="1" w:after="100" w:afterAutospacing="1"/>
              <w:jc w:val="center"/>
            </w:pPr>
            <w:r w:rsidRPr="00306D47">
              <w:t>2</w:t>
            </w:r>
          </w:p>
        </w:tc>
        <w:tc>
          <w:tcPr>
            <w:tcW w:w="0" w:type="auto"/>
            <w:vAlign w:val="center"/>
          </w:tcPr>
          <w:p w14:paraId="42ED43C5" w14:textId="77777777" w:rsidR="008E429A" w:rsidRPr="00306D47" w:rsidRDefault="008E429A" w:rsidP="00F00A8B">
            <w:pPr>
              <w:spacing w:before="100" w:beforeAutospacing="1" w:after="100" w:afterAutospacing="1"/>
              <w:jc w:val="center"/>
            </w:pPr>
            <w:r w:rsidRPr="00306D47">
              <w:t>3</w:t>
            </w:r>
          </w:p>
        </w:tc>
        <w:tc>
          <w:tcPr>
            <w:tcW w:w="0" w:type="auto"/>
            <w:vAlign w:val="center"/>
          </w:tcPr>
          <w:p w14:paraId="234DB0CA" w14:textId="77777777" w:rsidR="008E429A" w:rsidRPr="00306D47" w:rsidRDefault="008E429A" w:rsidP="00F00A8B">
            <w:pPr>
              <w:spacing w:before="100" w:beforeAutospacing="1" w:after="100" w:afterAutospacing="1"/>
              <w:jc w:val="center"/>
            </w:pPr>
            <w:r w:rsidRPr="00306D47">
              <w:t>4</w:t>
            </w:r>
          </w:p>
        </w:tc>
        <w:tc>
          <w:tcPr>
            <w:tcW w:w="602" w:type="pct"/>
            <w:vAlign w:val="center"/>
          </w:tcPr>
          <w:p w14:paraId="7683EF26" w14:textId="77777777" w:rsidR="008E429A" w:rsidRPr="00306D47" w:rsidRDefault="008E429A" w:rsidP="00F00A8B">
            <w:pPr>
              <w:spacing w:before="100" w:beforeAutospacing="1" w:after="100" w:afterAutospacing="1"/>
              <w:jc w:val="center"/>
            </w:pPr>
            <w:r w:rsidRPr="00306D47">
              <w:t>5</w:t>
            </w:r>
          </w:p>
        </w:tc>
        <w:tc>
          <w:tcPr>
            <w:tcW w:w="615" w:type="pct"/>
            <w:vAlign w:val="center"/>
          </w:tcPr>
          <w:p w14:paraId="3E7A86BB" w14:textId="77777777" w:rsidR="008E429A" w:rsidRPr="00306D47" w:rsidRDefault="008E429A" w:rsidP="00F00A8B">
            <w:pPr>
              <w:spacing w:before="100" w:beforeAutospacing="1" w:after="100" w:afterAutospacing="1"/>
              <w:jc w:val="center"/>
            </w:pPr>
            <w:r w:rsidRPr="00306D47">
              <w:t>6</w:t>
            </w:r>
          </w:p>
        </w:tc>
      </w:tr>
      <w:tr w:rsidR="00012992" w:rsidRPr="00306D47" w14:paraId="6C48B6B1" w14:textId="77777777" w:rsidTr="00012992">
        <w:tc>
          <w:tcPr>
            <w:tcW w:w="0" w:type="auto"/>
          </w:tcPr>
          <w:p w14:paraId="0710B8AD" w14:textId="77777777" w:rsidR="00012992" w:rsidRPr="00306D47" w:rsidRDefault="00012992" w:rsidP="00F6386B">
            <w:pPr>
              <w:spacing w:before="100" w:beforeAutospacing="1" w:after="100" w:afterAutospacing="1"/>
            </w:pPr>
            <w:r w:rsidRPr="00306D47">
              <w:t>1. Budžeta ieņēmumi:</w:t>
            </w:r>
          </w:p>
        </w:tc>
        <w:tc>
          <w:tcPr>
            <w:tcW w:w="0" w:type="auto"/>
          </w:tcPr>
          <w:p w14:paraId="27896D3C" w14:textId="77777777" w:rsidR="00012992" w:rsidRDefault="00012992">
            <w:r w:rsidRPr="007A1A4F">
              <w:t>Skatīt 7.sadaļu „Cita informācija”</w:t>
            </w:r>
          </w:p>
        </w:tc>
        <w:tc>
          <w:tcPr>
            <w:tcW w:w="0" w:type="auto"/>
          </w:tcPr>
          <w:p w14:paraId="5E306CF7" w14:textId="77777777" w:rsidR="00012992" w:rsidRDefault="00012992">
            <w:r w:rsidRPr="007A1A4F">
              <w:t>Skatīt 7.sadaļu „Cita informācija”</w:t>
            </w:r>
          </w:p>
        </w:tc>
        <w:tc>
          <w:tcPr>
            <w:tcW w:w="0" w:type="auto"/>
          </w:tcPr>
          <w:p w14:paraId="02D1153A" w14:textId="77777777" w:rsidR="00012992" w:rsidRDefault="00012992">
            <w:r w:rsidRPr="007A1A4F">
              <w:t>Skatīt 7.sadaļu „Cita informācija”</w:t>
            </w:r>
          </w:p>
        </w:tc>
        <w:tc>
          <w:tcPr>
            <w:tcW w:w="602" w:type="pct"/>
          </w:tcPr>
          <w:p w14:paraId="2A280F37" w14:textId="77777777" w:rsidR="00012992" w:rsidRDefault="00012992">
            <w:r w:rsidRPr="007A1A4F">
              <w:t>Skatīt 7.sadaļu „Cita informācija”</w:t>
            </w:r>
          </w:p>
        </w:tc>
        <w:tc>
          <w:tcPr>
            <w:tcW w:w="615" w:type="pct"/>
          </w:tcPr>
          <w:p w14:paraId="5DDC6CD9" w14:textId="77777777" w:rsidR="00012992" w:rsidRDefault="00012992">
            <w:r w:rsidRPr="007A1A4F">
              <w:t>Skatīt 7.sadaļu „Cita informācija”</w:t>
            </w:r>
          </w:p>
        </w:tc>
      </w:tr>
      <w:tr w:rsidR="00012992" w:rsidRPr="00306D47" w14:paraId="2E8692C2" w14:textId="77777777" w:rsidTr="00012992">
        <w:tc>
          <w:tcPr>
            <w:tcW w:w="0" w:type="auto"/>
          </w:tcPr>
          <w:p w14:paraId="3C9599CA" w14:textId="77777777" w:rsidR="00012992" w:rsidRPr="00306D47" w:rsidRDefault="00012992" w:rsidP="00F6386B">
            <w:pPr>
              <w:spacing w:before="100" w:beforeAutospacing="1" w:after="100" w:afterAutospacing="1"/>
            </w:pPr>
            <w:r w:rsidRPr="00306D47">
              <w:t>1.1. valsts pamatbudžets, tai skaitā ieņēmumi no maksas pakalpo-</w:t>
            </w:r>
            <w:proofErr w:type="spellStart"/>
            <w:r w:rsidRPr="00306D47">
              <w:t>jumiem</w:t>
            </w:r>
            <w:proofErr w:type="spellEnd"/>
            <w:r w:rsidRPr="00306D47">
              <w:t xml:space="preserve"> un citi pašu ieņēmumi</w:t>
            </w:r>
          </w:p>
        </w:tc>
        <w:tc>
          <w:tcPr>
            <w:tcW w:w="0" w:type="auto"/>
          </w:tcPr>
          <w:p w14:paraId="5239AD07" w14:textId="77777777" w:rsidR="00012992" w:rsidRDefault="00012992">
            <w:r w:rsidRPr="007A1A4F">
              <w:t>Skatīt 7.sadaļu „Cita informācija”</w:t>
            </w:r>
          </w:p>
        </w:tc>
        <w:tc>
          <w:tcPr>
            <w:tcW w:w="0" w:type="auto"/>
          </w:tcPr>
          <w:p w14:paraId="09AFCCCC" w14:textId="77777777" w:rsidR="00012992" w:rsidRDefault="00012992">
            <w:r w:rsidRPr="007A1A4F">
              <w:t>Skatīt 7.sadaļu „Cita informācija”</w:t>
            </w:r>
          </w:p>
        </w:tc>
        <w:tc>
          <w:tcPr>
            <w:tcW w:w="0" w:type="auto"/>
          </w:tcPr>
          <w:p w14:paraId="38506D20" w14:textId="77777777" w:rsidR="00012992" w:rsidRDefault="00012992">
            <w:r w:rsidRPr="007A1A4F">
              <w:t>Skatīt 7.sadaļu „Cita informācija”</w:t>
            </w:r>
          </w:p>
        </w:tc>
        <w:tc>
          <w:tcPr>
            <w:tcW w:w="602" w:type="pct"/>
          </w:tcPr>
          <w:p w14:paraId="00773541" w14:textId="77777777" w:rsidR="00012992" w:rsidRDefault="00012992">
            <w:r w:rsidRPr="007A1A4F">
              <w:t>Skatīt 7.sadaļu „Cita informācija”</w:t>
            </w:r>
          </w:p>
        </w:tc>
        <w:tc>
          <w:tcPr>
            <w:tcW w:w="615" w:type="pct"/>
          </w:tcPr>
          <w:p w14:paraId="78429CCE" w14:textId="77777777" w:rsidR="00012992" w:rsidRDefault="00012992">
            <w:r w:rsidRPr="007A1A4F">
              <w:t>Skatīt 7.sadaļu „Cita informācija”</w:t>
            </w:r>
          </w:p>
        </w:tc>
      </w:tr>
      <w:tr w:rsidR="00012992" w:rsidRPr="00306D47" w14:paraId="392772FC" w14:textId="77777777" w:rsidTr="00012992">
        <w:tc>
          <w:tcPr>
            <w:tcW w:w="0" w:type="auto"/>
          </w:tcPr>
          <w:p w14:paraId="7BB8EE85" w14:textId="77777777" w:rsidR="00012992" w:rsidRPr="00306D47" w:rsidRDefault="00012992" w:rsidP="00F6386B">
            <w:pPr>
              <w:spacing w:before="100" w:beforeAutospacing="1" w:after="100" w:afterAutospacing="1"/>
            </w:pPr>
            <w:r w:rsidRPr="00306D47">
              <w:t>1.2. valsts speciālais budžets</w:t>
            </w:r>
          </w:p>
        </w:tc>
        <w:tc>
          <w:tcPr>
            <w:tcW w:w="0" w:type="auto"/>
          </w:tcPr>
          <w:p w14:paraId="00A3608D" w14:textId="77777777" w:rsidR="00012992" w:rsidRDefault="00012992">
            <w:r w:rsidRPr="007A1A4F">
              <w:t>Skatīt 7.sadaļu „Cita informācija”</w:t>
            </w:r>
          </w:p>
        </w:tc>
        <w:tc>
          <w:tcPr>
            <w:tcW w:w="0" w:type="auto"/>
          </w:tcPr>
          <w:p w14:paraId="16BBBAFF" w14:textId="77777777" w:rsidR="00012992" w:rsidRDefault="00012992">
            <w:r w:rsidRPr="007A1A4F">
              <w:t>Skatīt 7.sadaļu „Cita informācija”</w:t>
            </w:r>
          </w:p>
        </w:tc>
        <w:tc>
          <w:tcPr>
            <w:tcW w:w="0" w:type="auto"/>
          </w:tcPr>
          <w:p w14:paraId="3B017DD6" w14:textId="77777777" w:rsidR="00012992" w:rsidRDefault="00012992">
            <w:r w:rsidRPr="007A1A4F">
              <w:t>Skatīt 7.sadaļu „Cita informācija”</w:t>
            </w:r>
          </w:p>
        </w:tc>
        <w:tc>
          <w:tcPr>
            <w:tcW w:w="602" w:type="pct"/>
          </w:tcPr>
          <w:p w14:paraId="43455EBC" w14:textId="77777777" w:rsidR="00012992" w:rsidRDefault="00012992">
            <w:r w:rsidRPr="007A1A4F">
              <w:t>Skatīt 7.sadaļu „Cita informācija”</w:t>
            </w:r>
          </w:p>
        </w:tc>
        <w:tc>
          <w:tcPr>
            <w:tcW w:w="615" w:type="pct"/>
          </w:tcPr>
          <w:p w14:paraId="57502850" w14:textId="77777777" w:rsidR="00012992" w:rsidRDefault="00012992">
            <w:r w:rsidRPr="007A1A4F">
              <w:t>Skatīt 7.sadaļu „Cita informācija”</w:t>
            </w:r>
          </w:p>
        </w:tc>
      </w:tr>
      <w:tr w:rsidR="00012992" w:rsidRPr="00306D47" w14:paraId="375D46BF" w14:textId="77777777" w:rsidTr="00012992">
        <w:tc>
          <w:tcPr>
            <w:tcW w:w="0" w:type="auto"/>
          </w:tcPr>
          <w:p w14:paraId="3972F2EE" w14:textId="77777777" w:rsidR="00012992" w:rsidRPr="00306D47" w:rsidRDefault="00012992" w:rsidP="00F6386B">
            <w:pPr>
              <w:spacing w:before="100" w:beforeAutospacing="1" w:after="100" w:afterAutospacing="1"/>
            </w:pPr>
            <w:r w:rsidRPr="00306D47">
              <w:lastRenderedPageBreak/>
              <w:t>1.3. pašvaldību budžets</w:t>
            </w:r>
          </w:p>
        </w:tc>
        <w:tc>
          <w:tcPr>
            <w:tcW w:w="0" w:type="auto"/>
          </w:tcPr>
          <w:p w14:paraId="09DE75F2" w14:textId="77777777" w:rsidR="00012992" w:rsidRDefault="00012992">
            <w:r w:rsidRPr="007A1A4F">
              <w:t>Skatīt 7.sadaļu „Cita informācija”</w:t>
            </w:r>
          </w:p>
        </w:tc>
        <w:tc>
          <w:tcPr>
            <w:tcW w:w="0" w:type="auto"/>
          </w:tcPr>
          <w:p w14:paraId="365F8474" w14:textId="77777777" w:rsidR="00012992" w:rsidRDefault="00012992">
            <w:r w:rsidRPr="007A1A4F">
              <w:t>Skatīt 7.sadaļu „Cita informācija”</w:t>
            </w:r>
          </w:p>
        </w:tc>
        <w:tc>
          <w:tcPr>
            <w:tcW w:w="0" w:type="auto"/>
          </w:tcPr>
          <w:p w14:paraId="0969312F" w14:textId="77777777" w:rsidR="00012992" w:rsidRDefault="00012992">
            <w:r w:rsidRPr="007A1A4F">
              <w:t>Skatīt 7.sadaļu „Cita informācija”</w:t>
            </w:r>
          </w:p>
        </w:tc>
        <w:tc>
          <w:tcPr>
            <w:tcW w:w="602" w:type="pct"/>
          </w:tcPr>
          <w:p w14:paraId="23907FCA" w14:textId="77777777" w:rsidR="00012992" w:rsidRDefault="00012992">
            <w:r w:rsidRPr="007A1A4F">
              <w:t>Skatīt 7.sadaļu „Cita informācija”</w:t>
            </w:r>
          </w:p>
        </w:tc>
        <w:tc>
          <w:tcPr>
            <w:tcW w:w="615" w:type="pct"/>
          </w:tcPr>
          <w:p w14:paraId="79832632" w14:textId="77777777" w:rsidR="00012992" w:rsidRDefault="00012992">
            <w:r w:rsidRPr="007A1A4F">
              <w:t>Skatīt 7.sadaļu „Cita informācija”</w:t>
            </w:r>
          </w:p>
        </w:tc>
      </w:tr>
      <w:tr w:rsidR="00012992" w:rsidRPr="00306D47" w14:paraId="6E93A9C1" w14:textId="77777777" w:rsidTr="00012992">
        <w:tc>
          <w:tcPr>
            <w:tcW w:w="0" w:type="auto"/>
          </w:tcPr>
          <w:p w14:paraId="106FED86" w14:textId="77777777" w:rsidR="00012992" w:rsidRPr="00306D47" w:rsidRDefault="00012992" w:rsidP="00F6386B">
            <w:pPr>
              <w:spacing w:before="100" w:beforeAutospacing="1" w:after="100" w:afterAutospacing="1"/>
            </w:pPr>
            <w:r w:rsidRPr="00306D47">
              <w:t>2. Budžeta izdevumi:</w:t>
            </w:r>
          </w:p>
        </w:tc>
        <w:tc>
          <w:tcPr>
            <w:tcW w:w="0" w:type="auto"/>
          </w:tcPr>
          <w:p w14:paraId="30F7E2E1" w14:textId="77777777" w:rsidR="00012992" w:rsidRDefault="00012992">
            <w:r w:rsidRPr="007A1A4F">
              <w:t>Skatīt 7.sadaļu „Cita informācija”</w:t>
            </w:r>
          </w:p>
        </w:tc>
        <w:tc>
          <w:tcPr>
            <w:tcW w:w="0" w:type="auto"/>
          </w:tcPr>
          <w:p w14:paraId="30C7AA3B" w14:textId="77777777" w:rsidR="00012992" w:rsidRDefault="00012992">
            <w:r w:rsidRPr="007A1A4F">
              <w:t>Skatīt 7.sadaļu „Cita informācija”</w:t>
            </w:r>
          </w:p>
        </w:tc>
        <w:tc>
          <w:tcPr>
            <w:tcW w:w="0" w:type="auto"/>
          </w:tcPr>
          <w:p w14:paraId="76DA60C3" w14:textId="77777777" w:rsidR="00012992" w:rsidRDefault="00012992">
            <w:r w:rsidRPr="007A1A4F">
              <w:t>Skatīt 7.sadaļu „Cita informācija”</w:t>
            </w:r>
          </w:p>
        </w:tc>
        <w:tc>
          <w:tcPr>
            <w:tcW w:w="602" w:type="pct"/>
          </w:tcPr>
          <w:p w14:paraId="32BF160C" w14:textId="77777777" w:rsidR="00012992" w:rsidRDefault="00012992">
            <w:r w:rsidRPr="007A1A4F">
              <w:t>Skatīt 7.sadaļu „Cita informācija”</w:t>
            </w:r>
          </w:p>
        </w:tc>
        <w:tc>
          <w:tcPr>
            <w:tcW w:w="615" w:type="pct"/>
          </w:tcPr>
          <w:p w14:paraId="67BD91EA" w14:textId="77777777" w:rsidR="00012992" w:rsidRDefault="00012992">
            <w:r w:rsidRPr="007A1A4F">
              <w:t>Skatīt 7.sadaļu „Cita informācija”</w:t>
            </w:r>
          </w:p>
        </w:tc>
      </w:tr>
      <w:tr w:rsidR="00012992" w:rsidRPr="00306D47" w14:paraId="01704CBD" w14:textId="77777777" w:rsidTr="00012992">
        <w:tc>
          <w:tcPr>
            <w:tcW w:w="0" w:type="auto"/>
          </w:tcPr>
          <w:p w14:paraId="31E43299" w14:textId="77777777" w:rsidR="00012992" w:rsidRPr="00306D47" w:rsidRDefault="00012992" w:rsidP="00F6386B">
            <w:pPr>
              <w:spacing w:before="100" w:beforeAutospacing="1" w:after="100" w:afterAutospacing="1"/>
            </w:pPr>
            <w:r w:rsidRPr="00306D47">
              <w:t>2.1. valsts pamatbudžets</w:t>
            </w:r>
          </w:p>
        </w:tc>
        <w:tc>
          <w:tcPr>
            <w:tcW w:w="0" w:type="auto"/>
          </w:tcPr>
          <w:p w14:paraId="1A75D733" w14:textId="77777777" w:rsidR="00012992" w:rsidRDefault="00012992">
            <w:r w:rsidRPr="007A1A4F">
              <w:t>Skatīt 7.sadaļu „Cita informācija”</w:t>
            </w:r>
          </w:p>
        </w:tc>
        <w:tc>
          <w:tcPr>
            <w:tcW w:w="0" w:type="auto"/>
          </w:tcPr>
          <w:p w14:paraId="35CD7B2C" w14:textId="77777777" w:rsidR="00012992" w:rsidRDefault="00012992">
            <w:r w:rsidRPr="007A1A4F">
              <w:t>Skatīt 7.sadaļu „Cita informācija”</w:t>
            </w:r>
          </w:p>
        </w:tc>
        <w:tc>
          <w:tcPr>
            <w:tcW w:w="0" w:type="auto"/>
          </w:tcPr>
          <w:p w14:paraId="26FB10F1" w14:textId="77777777" w:rsidR="00012992" w:rsidRDefault="00012992">
            <w:r w:rsidRPr="007A1A4F">
              <w:t>Skatīt 7.sadaļu „Cita informācija”</w:t>
            </w:r>
          </w:p>
        </w:tc>
        <w:tc>
          <w:tcPr>
            <w:tcW w:w="602" w:type="pct"/>
          </w:tcPr>
          <w:p w14:paraId="08C5ABBF" w14:textId="77777777" w:rsidR="00012992" w:rsidRDefault="00012992">
            <w:r w:rsidRPr="007A1A4F">
              <w:t>Skatīt 7.sadaļu „Cita informācija”</w:t>
            </w:r>
          </w:p>
        </w:tc>
        <w:tc>
          <w:tcPr>
            <w:tcW w:w="615" w:type="pct"/>
          </w:tcPr>
          <w:p w14:paraId="225A68B9" w14:textId="77777777" w:rsidR="00012992" w:rsidRDefault="00012992">
            <w:r w:rsidRPr="007A1A4F">
              <w:t>Skatīt 7.sadaļu „Cita informācija”</w:t>
            </w:r>
          </w:p>
        </w:tc>
      </w:tr>
      <w:tr w:rsidR="00012992" w:rsidRPr="00306D47" w14:paraId="0BAF0C8A" w14:textId="77777777" w:rsidTr="00012992">
        <w:tc>
          <w:tcPr>
            <w:tcW w:w="0" w:type="auto"/>
          </w:tcPr>
          <w:p w14:paraId="4C3CA5BB" w14:textId="77777777" w:rsidR="00012992" w:rsidRPr="00306D47" w:rsidRDefault="00012992" w:rsidP="00F6386B">
            <w:pPr>
              <w:spacing w:before="100" w:beforeAutospacing="1" w:after="100" w:afterAutospacing="1"/>
            </w:pPr>
            <w:r w:rsidRPr="00306D47">
              <w:t>2.2. valsts speciālais budžets</w:t>
            </w:r>
          </w:p>
        </w:tc>
        <w:tc>
          <w:tcPr>
            <w:tcW w:w="0" w:type="auto"/>
          </w:tcPr>
          <w:p w14:paraId="4DAEE42E" w14:textId="77777777" w:rsidR="00012992" w:rsidRDefault="00012992">
            <w:r w:rsidRPr="007A1A4F">
              <w:t>Skatīt 7.sadaļu „Cita informācija”</w:t>
            </w:r>
          </w:p>
        </w:tc>
        <w:tc>
          <w:tcPr>
            <w:tcW w:w="0" w:type="auto"/>
          </w:tcPr>
          <w:p w14:paraId="49749792" w14:textId="77777777" w:rsidR="00012992" w:rsidRDefault="00012992">
            <w:r w:rsidRPr="007A1A4F">
              <w:t>Skatīt 7.sadaļu „Cita informācija”</w:t>
            </w:r>
          </w:p>
        </w:tc>
        <w:tc>
          <w:tcPr>
            <w:tcW w:w="0" w:type="auto"/>
          </w:tcPr>
          <w:p w14:paraId="18E7943B" w14:textId="77777777" w:rsidR="00012992" w:rsidRDefault="00012992">
            <w:r w:rsidRPr="007A1A4F">
              <w:t>Skatīt 7.sadaļu „Cita informācija”</w:t>
            </w:r>
          </w:p>
        </w:tc>
        <w:tc>
          <w:tcPr>
            <w:tcW w:w="602" w:type="pct"/>
          </w:tcPr>
          <w:p w14:paraId="072E6D42" w14:textId="77777777" w:rsidR="00012992" w:rsidRDefault="00012992">
            <w:r w:rsidRPr="007A1A4F">
              <w:t>Skatīt 7.sadaļu „Cita informācija”</w:t>
            </w:r>
          </w:p>
        </w:tc>
        <w:tc>
          <w:tcPr>
            <w:tcW w:w="615" w:type="pct"/>
          </w:tcPr>
          <w:p w14:paraId="1B223DF1" w14:textId="77777777" w:rsidR="00012992" w:rsidRDefault="00012992">
            <w:r w:rsidRPr="007A1A4F">
              <w:t>Skatīt 7.sadaļu „Cita informācija”</w:t>
            </w:r>
          </w:p>
        </w:tc>
      </w:tr>
      <w:tr w:rsidR="00012992" w:rsidRPr="00306D47" w14:paraId="5D12B0FC" w14:textId="77777777" w:rsidTr="00012992">
        <w:tc>
          <w:tcPr>
            <w:tcW w:w="0" w:type="auto"/>
          </w:tcPr>
          <w:p w14:paraId="5580B045" w14:textId="77777777" w:rsidR="00012992" w:rsidRPr="00306D47" w:rsidRDefault="00012992" w:rsidP="00F6386B">
            <w:pPr>
              <w:spacing w:before="100" w:beforeAutospacing="1" w:after="100" w:afterAutospacing="1"/>
            </w:pPr>
            <w:r w:rsidRPr="00306D47">
              <w:t>2.3. pašvaldību budžets</w:t>
            </w:r>
          </w:p>
        </w:tc>
        <w:tc>
          <w:tcPr>
            <w:tcW w:w="0" w:type="auto"/>
          </w:tcPr>
          <w:p w14:paraId="44F7325D" w14:textId="77777777" w:rsidR="00012992" w:rsidRDefault="00012992">
            <w:r w:rsidRPr="007A1A4F">
              <w:t>Skatīt 7.sadaļu „Cita informācija”</w:t>
            </w:r>
          </w:p>
        </w:tc>
        <w:tc>
          <w:tcPr>
            <w:tcW w:w="0" w:type="auto"/>
          </w:tcPr>
          <w:p w14:paraId="5A53F7D2" w14:textId="77777777" w:rsidR="00012992" w:rsidRDefault="00012992">
            <w:r w:rsidRPr="007A1A4F">
              <w:t>Skatīt 7.sadaļu „Cita informācija”</w:t>
            </w:r>
          </w:p>
        </w:tc>
        <w:tc>
          <w:tcPr>
            <w:tcW w:w="0" w:type="auto"/>
          </w:tcPr>
          <w:p w14:paraId="62570B8E" w14:textId="77777777" w:rsidR="00012992" w:rsidRDefault="00012992">
            <w:r w:rsidRPr="007A1A4F">
              <w:t>Skatīt 7.sadaļu „Cita informācija”</w:t>
            </w:r>
          </w:p>
        </w:tc>
        <w:tc>
          <w:tcPr>
            <w:tcW w:w="602" w:type="pct"/>
          </w:tcPr>
          <w:p w14:paraId="40631F60" w14:textId="77777777" w:rsidR="00012992" w:rsidRDefault="00012992">
            <w:r w:rsidRPr="007A1A4F">
              <w:t>Skatīt 7.sadaļu „Cita informācija”</w:t>
            </w:r>
          </w:p>
        </w:tc>
        <w:tc>
          <w:tcPr>
            <w:tcW w:w="615" w:type="pct"/>
          </w:tcPr>
          <w:p w14:paraId="35B78915" w14:textId="77777777" w:rsidR="00012992" w:rsidRDefault="00012992">
            <w:r w:rsidRPr="007A1A4F">
              <w:t>Skatīt 7.sadaļu „Cita informācija”</w:t>
            </w:r>
          </w:p>
        </w:tc>
      </w:tr>
      <w:tr w:rsidR="00012992" w:rsidRPr="00306D47" w14:paraId="7F3572FB" w14:textId="77777777" w:rsidTr="00012992">
        <w:tc>
          <w:tcPr>
            <w:tcW w:w="0" w:type="auto"/>
          </w:tcPr>
          <w:p w14:paraId="311CA2E4" w14:textId="77777777" w:rsidR="00012992" w:rsidRPr="00306D47" w:rsidRDefault="00012992" w:rsidP="00F6386B">
            <w:pPr>
              <w:spacing w:before="100" w:beforeAutospacing="1" w:after="100" w:afterAutospacing="1"/>
            </w:pPr>
            <w:r w:rsidRPr="00306D47">
              <w:t>3. Finansiālā ietekme:</w:t>
            </w:r>
          </w:p>
        </w:tc>
        <w:tc>
          <w:tcPr>
            <w:tcW w:w="0" w:type="auto"/>
          </w:tcPr>
          <w:p w14:paraId="32A1DB85" w14:textId="77777777" w:rsidR="00012992" w:rsidRDefault="00012992">
            <w:r w:rsidRPr="007A1A4F">
              <w:t>Skatīt 7.sadaļu „Cita informācija”</w:t>
            </w:r>
          </w:p>
        </w:tc>
        <w:tc>
          <w:tcPr>
            <w:tcW w:w="0" w:type="auto"/>
          </w:tcPr>
          <w:p w14:paraId="066F5D3A" w14:textId="77777777" w:rsidR="00012992" w:rsidRDefault="00012992">
            <w:r w:rsidRPr="007A1A4F">
              <w:t>Skatīt 7.sadaļu „Cita informācija”</w:t>
            </w:r>
          </w:p>
        </w:tc>
        <w:tc>
          <w:tcPr>
            <w:tcW w:w="0" w:type="auto"/>
          </w:tcPr>
          <w:p w14:paraId="795840B9" w14:textId="77777777" w:rsidR="00012992" w:rsidRDefault="00012992">
            <w:r w:rsidRPr="007A1A4F">
              <w:t>Skatīt 7.sadaļu „Cita informācija”</w:t>
            </w:r>
          </w:p>
        </w:tc>
        <w:tc>
          <w:tcPr>
            <w:tcW w:w="602" w:type="pct"/>
          </w:tcPr>
          <w:p w14:paraId="49B8046C" w14:textId="77777777" w:rsidR="00012992" w:rsidRDefault="00012992">
            <w:r w:rsidRPr="007A1A4F">
              <w:t>Skatīt 7.sadaļu „Cita informācija”</w:t>
            </w:r>
          </w:p>
        </w:tc>
        <w:tc>
          <w:tcPr>
            <w:tcW w:w="615" w:type="pct"/>
          </w:tcPr>
          <w:p w14:paraId="338E8FF5" w14:textId="77777777" w:rsidR="00012992" w:rsidRDefault="00012992">
            <w:r w:rsidRPr="007A1A4F">
              <w:t>Skatīt 7.sadaļu „Cita informācija”</w:t>
            </w:r>
          </w:p>
        </w:tc>
      </w:tr>
      <w:tr w:rsidR="00012992" w:rsidRPr="00306D47" w14:paraId="20A2ED56" w14:textId="77777777" w:rsidTr="00012992">
        <w:tc>
          <w:tcPr>
            <w:tcW w:w="0" w:type="auto"/>
          </w:tcPr>
          <w:p w14:paraId="4089043D" w14:textId="77777777" w:rsidR="00012992" w:rsidRPr="00306D47" w:rsidRDefault="00012992" w:rsidP="00F6386B">
            <w:pPr>
              <w:spacing w:before="100" w:beforeAutospacing="1" w:after="100" w:afterAutospacing="1"/>
            </w:pPr>
            <w:r w:rsidRPr="00306D47">
              <w:t>3.1. valsts pamatbudžets</w:t>
            </w:r>
          </w:p>
        </w:tc>
        <w:tc>
          <w:tcPr>
            <w:tcW w:w="0" w:type="auto"/>
          </w:tcPr>
          <w:p w14:paraId="63747824" w14:textId="77777777" w:rsidR="00012992" w:rsidRDefault="00012992">
            <w:r w:rsidRPr="007A1A4F">
              <w:t>Skatīt 7.sadaļu „Cita informācija”</w:t>
            </w:r>
          </w:p>
        </w:tc>
        <w:tc>
          <w:tcPr>
            <w:tcW w:w="0" w:type="auto"/>
          </w:tcPr>
          <w:p w14:paraId="0631F112" w14:textId="77777777" w:rsidR="00012992" w:rsidRDefault="00012992">
            <w:r w:rsidRPr="007A1A4F">
              <w:t>Skatīt 7.sadaļu „Cita informācija”</w:t>
            </w:r>
          </w:p>
        </w:tc>
        <w:tc>
          <w:tcPr>
            <w:tcW w:w="0" w:type="auto"/>
          </w:tcPr>
          <w:p w14:paraId="44F9F9E9" w14:textId="77777777" w:rsidR="00012992" w:rsidRDefault="00012992">
            <w:r w:rsidRPr="007A1A4F">
              <w:t>Skatīt 7.sadaļu „Cita informācija”</w:t>
            </w:r>
          </w:p>
        </w:tc>
        <w:tc>
          <w:tcPr>
            <w:tcW w:w="602" w:type="pct"/>
          </w:tcPr>
          <w:p w14:paraId="44F5263A" w14:textId="77777777" w:rsidR="00012992" w:rsidRDefault="00012992">
            <w:r w:rsidRPr="007A1A4F">
              <w:t>Skatīt 7.sadaļu „Cita informācija”</w:t>
            </w:r>
          </w:p>
        </w:tc>
        <w:tc>
          <w:tcPr>
            <w:tcW w:w="615" w:type="pct"/>
          </w:tcPr>
          <w:p w14:paraId="0BC85CF5" w14:textId="77777777" w:rsidR="00012992" w:rsidRDefault="00012992">
            <w:r w:rsidRPr="007A1A4F">
              <w:t>Skatīt 7.sadaļu „Cita informācija”</w:t>
            </w:r>
          </w:p>
        </w:tc>
      </w:tr>
      <w:tr w:rsidR="00012992" w:rsidRPr="00306D47" w14:paraId="28F51052" w14:textId="77777777" w:rsidTr="00012992">
        <w:tc>
          <w:tcPr>
            <w:tcW w:w="0" w:type="auto"/>
          </w:tcPr>
          <w:p w14:paraId="2577B6EA" w14:textId="77777777" w:rsidR="00012992" w:rsidRPr="00306D47" w:rsidRDefault="00012992" w:rsidP="00F6386B">
            <w:pPr>
              <w:spacing w:before="100" w:beforeAutospacing="1" w:after="100" w:afterAutospacing="1"/>
            </w:pPr>
            <w:r w:rsidRPr="00306D47">
              <w:t>3.2. speciālais budžets</w:t>
            </w:r>
          </w:p>
        </w:tc>
        <w:tc>
          <w:tcPr>
            <w:tcW w:w="0" w:type="auto"/>
          </w:tcPr>
          <w:p w14:paraId="7CB0EB19" w14:textId="77777777" w:rsidR="00012992" w:rsidRDefault="00012992">
            <w:r w:rsidRPr="007A1A4F">
              <w:t>Skatīt 7.sadaļu „Cita informācija”</w:t>
            </w:r>
          </w:p>
        </w:tc>
        <w:tc>
          <w:tcPr>
            <w:tcW w:w="0" w:type="auto"/>
          </w:tcPr>
          <w:p w14:paraId="2A3811D9" w14:textId="77777777" w:rsidR="00012992" w:rsidRDefault="00012992">
            <w:r w:rsidRPr="007A1A4F">
              <w:t>Skatīt 7.sadaļu „Cita informācija”</w:t>
            </w:r>
          </w:p>
        </w:tc>
        <w:tc>
          <w:tcPr>
            <w:tcW w:w="0" w:type="auto"/>
          </w:tcPr>
          <w:p w14:paraId="44117DBC" w14:textId="77777777" w:rsidR="00012992" w:rsidRDefault="00012992">
            <w:r w:rsidRPr="007A1A4F">
              <w:t>Skatīt 7.sadaļu „Cita informācija”</w:t>
            </w:r>
          </w:p>
        </w:tc>
        <w:tc>
          <w:tcPr>
            <w:tcW w:w="602" w:type="pct"/>
          </w:tcPr>
          <w:p w14:paraId="6E116F35" w14:textId="77777777" w:rsidR="00012992" w:rsidRDefault="00012992">
            <w:r w:rsidRPr="007A1A4F">
              <w:t>Skatīt 7.sadaļu „Cita informācija”</w:t>
            </w:r>
          </w:p>
        </w:tc>
        <w:tc>
          <w:tcPr>
            <w:tcW w:w="615" w:type="pct"/>
          </w:tcPr>
          <w:p w14:paraId="2DE44342" w14:textId="77777777" w:rsidR="00012992" w:rsidRDefault="00012992">
            <w:r w:rsidRPr="007A1A4F">
              <w:t>Skatīt 7.sadaļu „Cita informācija”</w:t>
            </w:r>
          </w:p>
        </w:tc>
      </w:tr>
      <w:tr w:rsidR="00012992" w:rsidRPr="00306D47" w14:paraId="214ADA2B" w14:textId="77777777" w:rsidTr="00012992">
        <w:tc>
          <w:tcPr>
            <w:tcW w:w="0" w:type="auto"/>
          </w:tcPr>
          <w:p w14:paraId="5C7FEF5B" w14:textId="77777777" w:rsidR="00012992" w:rsidRPr="00306D47" w:rsidRDefault="00012992" w:rsidP="00F6386B">
            <w:pPr>
              <w:spacing w:before="100" w:beforeAutospacing="1" w:after="100" w:afterAutospacing="1"/>
            </w:pPr>
            <w:r w:rsidRPr="00306D47">
              <w:t>3.3. pašvaldību budžets</w:t>
            </w:r>
          </w:p>
        </w:tc>
        <w:tc>
          <w:tcPr>
            <w:tcW w:w="0" w:type="auto"/>
          </w:tcPr>
          <w:p w14:paraId="330E6088" w14:textId="77777777" w:rsidR="00012992" w:rsidRDefault="00012992">
            <w:r w:rsidRPr="007A1A4F">
              <w:t>Skatīt 7.sadaļu „Cita informācija”</w:t>
            </w:r>
          </w:p>
        </w:tc>
        <w:tc>
          <w:tcPr>
            <w:tcW w:w="0" w:type="auto"/>
          </w:tcPr>
          <w:p w14:paraId="499A1F84" w14:textId="77777777" w:rsidR="00012992" w:rsidRDefault="00012992">
            <w:r w:rsidRPr="007A1A4F">
              <w:t>Skatīt 7.sadaļu „Cita informācija”</w:t>
            </w:r>
          </w:p>
        </w:tc>
        <w:tc>
          <w:tcPr>
            <w:tcW w:w="0" w:type="auto"/>
          </w:tcPr>
          <w:p w14:paraId="38B7EA30" w14:textId="77777777" w:rsidR="00012992" w:rsidRDefault="00012992">
            <w:r w:rsidRPr="007A1A4F">
              <w:t>Skatīt 7.sadaļu „Cita informācija”</w:t>
            </w:r>
          </w:p>
        </w:tc>
        <w:tc>
          <w:tcPr>
            <w:tcW w:w="602" w:type="pct"/>
          </w:tcPr>
          <w:p w14:paraId="02A0081C" w14:textId="77777777" w:rsidR="00012992" w:rsidRDefault="00012992">
            <w:r w:rsidRPr="007A1A4F">
              <w:t>Skatīt 7.sadaļu „Cita informācija”</w:t>
            </w:r>
          </w:p>
        </w:tc>
        <w:tc>
          <w:tcPr>
            <w:tcW w:w="615" w:type="pct"/>
          </w:tcPr>
          <w:p w14:paraId="5063D763" w14:textId="77777777" w:rsidR="00012992" w:rsidRDefault="00012992">
            <w:r w:rsidRPr="007A1A4F">
              <w:t>Skatīt 7.sadaļu „Cita informācija”</w:t>
            </w:r>
          </w:p>
        </w:tc>
      </w:tr>
      <w:tr w:rsidR="00012992" w:rsidRPr="00306D47" w14:paraId="44184AF5" w14:textId="77777777" w:rsidTr="00012992">
        <w:tc>
          <w:tcPr>
            <w:tcW w:w="0" w:type="auto"/>
            <w:vMerge w:val="restart"/>
          </w:tcPr>
          <w:p w14:paraId="4FA06F00" w14:textId="77777777" w:rsidR="00012992" w:rsidRPr="00306D47" w:rsidRDefault="00012992" w:rsidP="00F6386B">
            <w:pPr>
              <w:spacing w:before="100" w:beforeAutospacing="1" w:after="100" w:afterAutospacing="1"/>
            </w:pPr>
            <w:r w:rsidRPr="00306D47">
              <w:t>4. Finanšu līdzekļi papildu izde</w:t>
            </w:r>
            <w:r w:rsidRPr="00306D47">
              <w:softHyphen/>
              <w:t>vumu finansēšanai (kompensējošu izdevumu samazinājumu norāda ar "+" zīmi)</w:t>
            </w:r>
          </w:p>
        </w:tc>
        <w:tc>
          <w:tcPr>
            <w:tcW w:w="0" w:type="auto"/>
            <w:vMerge w:val="restart"/>
          </w:tcPr>
          <w:p w14:paraId="58CF227F" w14:textId="77777777" w:rsidR="00012992" w:rsidRDefault="00012992">
            <w:r w:rsidRPr="007A1A4F">
              <w:t>Skatīt 7.sadaļu „Cita informācija”</w:t>
            </w:r>
          </w:p>
        </w:tc>
        <w:tc>
          <w:tcPr>
            <w:tcW w:w="0" w:type="auto"/>
          </w:tcPr>
          <w:p w14:paraId="1D6B57A0" w14:textId="77777777" w:rsidR="00012992" w:rsidRDefault="00012992">
            <w:r w:rsidRPr="007A1A4F">
              <w:t>Skatīt 7.sadaļu „Cita informācija”</w:t>
            </w:r>
          </w:p>
        </w:tc>
        <w:tc>
          <w:tcPr>
            <w:tcW w:w="0" w:type="auto"/>
          </w:tcPr>
          <w:p w14:paraId="3A0D67C6" w14:textId="77777777" w:rsidR="00012992" w:rsidRDefault="00012992">
            <w:r w:rsidRPr="007A1A4F">
              <w:t>Skatīt 7.sadaļu „Cita informācija”</w:t>
            </w:r>
          </w:p>
        </w:tc>
        <w:tc>
          <w:tcPr>
            <w:tcW w:w="602" w:type="pct"/>
          </w:tcPr>
          <w:p w14:paraId="2F52D7D2" w14:textId="77777777" w:rsidR="00012992" w:rsidRDefault="00012992">
            <w:r w:rsidRPr="007A1A4F">
              <w:t>Skatīt 7.sadaļu „Cita informācija”</w:t>
            </w:r>
          </w:p>
        </w:tc>
        <w:tc>
          <w:tcPr>
            <w:tcW w:w="615" w:type="pct"/>
          </w:tcPr>
          <w:p w14:paraId="182E524E" w14:textId="77777777" w:rsidR="00012992" w:rsidRDefault="00012992">
            <w:r w:rsidRPr="007A1A4F">
              <w:t>Skatīt 7.sadaļu „Cita informācija”</w:t>
            </w:r>
          </w:p>
        </w:tc>
      </w:tr>
      <w:tr w:rsidR="00012992" w:rsidRPr="00306D47" w14:paraId="3D6EE192" w14:textId="77777777" w:rsidTr="00012992">
        <w:tc>
          <w:tcPr>
            <w:tcW w:w="0" w:type="auto"/>
            <w:vMerge/>
            <w:vAlign w:val="center"/>
          </w:tcPr>
          <w:p w14:paraId="730083EC" w14:textId="77777777" w:rsidR="00012992" w:rsidRPr="00306D47" w:rsidRDefault="00012992" w:rsidP="00F6386B"/>
        </w:tc>
        <w:tc>
          <w:tcPr>
            <w:tcW w:w="0" w:type="auto"/>
            <w:vMerge/>
          </w:tcPr>
          <w:p w14:paraId="75D1FCA7" w14:textId="77777777" w:rsidR="00012992" w:rsidRPr="00306D47" w:rsidRDefault="00012992" w:rsidP="00F6386B">
            <w:pPr>
              <w:jc w:val="center"/>
            </w:pPr>
          </w:p>
        </w:tc>
        <w:tc>
          <w:tcPr>
            <w:tcW w:w="0" w:type="auto"/>
          </w:tcPr>
          <w:p w14:paraId="13D67FB1" w14:textId="77777777" w:rsidR="00012992" w:rsidRDefault="00012992">
            <w:r w:rsidRPr="007A1A4F">
              <w:t>Skatīt 7.sadaļu „Cita informācija”</w:t>
            </w:r>
          </w:p>
        </w:tc>
        <w:tc>
          <w:tcPr>
            <w:tcW w:w="0" w:type="auto"/>
          </w:tcPr>
          <w:p w14:paraId="26ED67DE" w14:textId="77777777" w:rsidR="00012992" w:rsidRDefault="00012992">
            <w:r w:rsidRPr="007A1A4F">
              <w:t>Skatīt 7.sadaļu „Cita informācija”</w:t>
            </w:r>
          </w:p>
        </w:tc>
        <w:tc>
          <w:tcPr>
            <w:tcW w:w="602" w:type="pct"/>
          </w:tcPr>
          <w:p w14:paraId="7CB67CD2" w14:textId="77777777" w:rsidR="00012992" w:rsidRDefault="00012992">
            <w:r w:rsidRPr="007A1A4F">
              <w:t>Skatīt 7.sadaļu „Cita informācija”</w:t>
            </w:r>
          </w:p>
        </w:tc>
        <w:tc>
          <w:tcPr>
            <w:tcW w:w="615" w:type="pct"/>
          </w:tcPr>
          <w:p w14:paraId="7FDF87EF" w14:textId="77777777" w:rsidR="00012992" w:rsidRDefault="00012992">
            <w:r w:rsidRPr="007A1A4F">
              <w:t>Skatīt 7.sadaļu „Cita informācija”</w:t>
            </w:r>
          </w:p>
        </w:tc>
      </w:tr>
      <w:tr w:rsidR="00012992" w:rsidRPr="00306D47" w14:paraId="6A0DFF63" w14:textId="77777777" w:rsidTr="00012992">
        <w:tc>
          <w:tcPr>
            <w:tcW w:w="0" w:type="auto"/>
            <w:vMerge/>
            <w:vAlign w:val="center"/>
          </w:tcPr>
          <w:p w14:paraId="61D080B8" w14:textId="77777777" w:rsidR="00012992" w:rsidRPr="00306D47" w:rsidRDefault="00012992" w:rsidP="00F6386B"/>
        </w:tc>
        <w:tc>
          <w:tcPr>
            <w:tcW w:w="0" w:type="auto"/>
            <w:vMerge/>
          </w:tcPr>
          <w:p w14:paraId="16E6F527" w14:textId="77777777" w:rsidR="00012992" w:rsidRPr="00306D47" w:rsidRDefault="00012992" w:rsidP="00F6386B">
            <w:pPr>
              <w:jc w:val="center"/>
            </w:pPr>
          </w:p>
        </w:tc>
        <w:tc>
          <w:tcPr>
            <w:tcW w:w="0" w:type="auto"/>
          </w:tcPr>
          <w:p w14:paraId="355798A2" w14:textId="77777777" w:rsidR="00012992" w:rsidRDefault="00012992">
            <w:r w:rsidRPr="007A1A4F">
              <w:t>Skatīt 7.sadaļu „Cita informācija”</w:t>
            </w:r>
          </w:p>
        </w:tc>
        <w:tc>
          <w:tcPr>
            <w:tcW w:w="0" w:type="auto"/>
          </w:tcPr>
          <w:p w14:paraId="7C8752EB" w14:textId="77777777" w:rsidR="00012992" w:rsidRDefault="00012992">
            <w:r w:rsidRPr="007A1A4F">
              <w:t>Skatīt 7.sadaļu „Cita informācija”</w:t>
            </w:r>
          </w:p>
        </w:tc>
        <w:tc>
          <w:tcPr>
            <w:tcW w:w="602" w:type="pct"/>
          </w:tcPr>
          <w:p w14:paraId="6E84F9EE" w14:textId="77777777" w:rsidR="00012992" w:rsidRDefault="00012992">
            <w:r w:rsidRPr="007A1A4F">
              <w:t>Skatīt 7.sadaļu „Cita informācija”</w:t>
            </w:r>
          </w:p>
        </w:tc>
        <w:tc>
          <w:tcPr>
            <w:tcW w:w="615" w:type="pct"/>
          </w:tcPr>
          <w:p w14:paraId="7E750356" w14:textId="77777777" w:rsidR="00012992" w:rsidRDefault="00012992">
            <w:r w:rsidRPr="007A1A4F">
              <w:t>Skatīt 7.sadaļu „Cita informācija”</w:t>
            </w:r>
          </w:p>
        </w:tc>
      </w:tr>
      <w:tr w:rsidR="00012992" w:rsidRPr="00306D47" w14:paraId="30CA8C0A" w14:textId="77777777" w:rsidTr="00012992">
        <w:tc>
          <w:tcPr>
            <w:tcW w:w="0" w:type="auto"/>
          </w:tcPr>
          <w:p w14:paraId="360B70A0" w14:textId="77777777" w:rsidR="00012992" w:rsidRPr="00306D47" w:rsidRDefault="00012992" w:rsidP="00F6386B">
            <w:pPr>
              <w:spacing w:before="100" w:beforeAutospacing="1" w:after="100" w:afterAutospacing="1"/>
            </w:pPr>
            <w:r w:rsidRPr="00306D47">
              <w:lastRenderedPageBreak/>
              <w:t>5. Precizēta finansiālā ietekme:</w:t>
            </w:r>
          </w:p>
        </w:tc>
        <w:tc>
          <w:tcPr>
            <w:tcW w:w="0" w:type="auto"/>
            <w:vMerge w:val="restart"/>
          </w:tcPr>
          <w:p w14:paraId="6FEC8709" w14:textId="77777777" w:rsidR="00012992" w:rsidRDefault="00012992">
            <w:r w:rsidRPr="007A1A4F">
              <w:t>Skatīt 7.sadaļu „Cita informācija”</w:t>
            </w:r>
          </w:p>
        </w:tc>
        <w:tc>
          <w:tcPr>
            <w:tcW w:w="0" w:type="auto"/>
          </w:tcPr>
          <w:p w14:paraId="60054719" w14:textId="77777777" w:rsidR="00012992" w:rsidRDefault="00012992">
            <w:r w:rsidRPr="007A1A4F">
              <w:t>Skatīt 7.sadaļu „Cita informācija”</w:t>
            </w:r>
          </w:p>
        </w:tc>
        <w:tc>
          <w:tcPr>
            <w:tcW w:w="0" w:type="auto"/>
          </w:tcPr>
          <w:p w14:paraId="45857A66" w14:textId="77777777" w:rsidR="00012992" w:rsidRDefault="00012992">
            <w:r w:rsidRPr="007A1A4F">
              <w:t>Skatīt 7.sadaļu „Cita informācija”</w:t>
            </w:r>
          </w:p>
        </w:tc>
        <w:tc>
          <w:tcPr>
            <w:tcW w:w="602" w:type="pct"/>
          </w:tcPr>
          <w:p w14:paraId="2CB57F9C" w14:textId="77777777" w:rsidR="00012992" w:rsidRDefault="00012992">
            <w:r w:rsidRPr="007A1A4F">
              <w:t>Skatīt 7.sadaļu „Cita informācija”</w:t>
            </w:r>
          </w:p>
        </w:tc>
        <w:tc>
          <w:tcPr>
            <w:tcW w:w="615" w:type="pct"/>
          </w:tcPr>
          <w:p w14:paraId="49ED545F" w14:textId="77777777" w:rsidR="00012992" w:rsidRDefault="00012992">
            <w:r w:rsidRPr="007A1A4F">
              <w:t>Skatīt 7.sadaļu „Cita informācija”</w:t>
            </w:r>
          </w:p>
        </w:tc>
      </w:tr>
      <w:tr w:rsidR="00012992" w:rsidRPr="00306D47" w14:paraId="76817858" w14:textId="77777777" w:rsidTr="00012992">
        <w:tc>
          <w:tcPr>
            <w:tcW w:w="0" w:type="auto"/>
          </w:tcPr>
          <w:p w14:paraId="656B3911" w14:textId="77777777" w:rsidR="00012992" w:rsidRPr="00306D47" w:rsidRDefault="00012992" w:rsidP="00F6386B">
            <w:pPr>
              <w:spacing w:before="100" w:beforeAutospacing="1" w:after="100" w:afterAutospacing="1"/>
            </w:pPr>
            <w:r w:rsidRPr="00306D47">
              <w:t>5.1. valsts pamatbudžets</w:t>
            </w:r>
          </w:p>
        </w:tc>
        <w:tc>
          <w:tcPr>
            <w:tcW w:w="0" w:type="auto"/>
            <w:vMerge/>
          </w:tcPr>
          <w:p w14:paraId="5D792E6B" w14:textId="77777777" w:rsidR="00012992" w:rsidRPr="00306D47" w:rsidRDefault="00012992" w:rsidP="00F6386B">
            <w:pPr>
              <w:jc w:val="center"/>
            </w:pPr>
          </w:p>
        </w:tc>
        <w:tc>
          <w:tcPr>
            <w:tcW w:w="0" w:type="auto"/>
          </w:tcPr>
          <w:p w14:paraId="0CF6B8A2" w14:textId="77777777" w:rsidR="00012992" w:rsidRDefault="00012992">
            <w:r w:rsidRPr="007A1A4F">
              <w:t>Skatīt 7.sadaļu „Cita informācija”</w:t>
            </w:r>
          </w:p>
        </w:tc>
        <w:tc>
          <w:tcPr>
            <w:tcW w:w="0" w:type="auto"/>
          </w:tcPr>
          <w:p w14:paraId="7015D8B2" w14:textId="77777777" w:rsidR="00012992" w:rsidRDefault="00012992">
            <w:r w:rsidRPr="007A1A4F">
              <w:t>Skatīt 7.sadaļu „Cita informācija”</w:t>
            </w:r>
          </w:p>
        </w:tc>
        <w:tc>
          <w:tcPr>
            <w:tcW w:w="602" w:type="pct"/>
          </w:tcPr>
          <w:p w14:paraId="11270733" w14:textId="77777777" w:rsidR="00012992" w:rsidRDefault="00012992">
            <w:r w:rsidRPr="007A1A4F">
              <w:t>Skatīt 7.sadaļu „Cita informācija”</w:t>
            </w:r>
          </w:p>
        </w:tc>
        <w:tc>
          <w:tcPr>
            <w:tcW w:w="615" w:type="pct"/>
          </w:tcPr>
          <w:p w14:paraId="214BDD9C" w14:textId="77777777" w:rsidR="00012992" w:rsidRDefault="00012992">
            <w:r w:rsidRPr="007A1A4F">
              <w:t>Skatīt 7.sadaļu „Cita informācija”</w:t>
            </w:r>
          </w:p>
        </w:tc>
      </w:tr>
      <w:tr w:rsidR="00012992" w:rsidRPr="00306D47" w14:paraId="4D326B68" w14:textId="77777777" w:rsidTr="00012992">
        <w:tc>
          <w:tcPr>
            <w:tcW w:w="0" w:type="auto"/>
          </w:tcPr>
          <w:p w14:paraId="5FF2BD88" w14:textId="77777777" w:rsidR="00012992" w:rsidRPr="00306D47" w:rsidRDefault="00012992" w:rsidP="00F6386B">
            <w:pPr>
              <w:spacing w:before="100" w:beforeAutospacing="1" w:after="100" w:afterAutospacing="1"/>
            </w:pPr>
            <w:r w:rsidRPr="00306D47">
              <w:t>5.2. speciālais budžets</w:t>
            </w:r>
          </w:p>
        </w:tc>
        <w:tc>
          <w:tcPr>
            <w:tcW w:w="0" w:type="auto"/>
            <w:vMerge/>
          </w:tcPr>
          <w:p w14:paraId="7E5DE418" w14:textId="77777777" w:rsidR="00012992" w:rsidRPr="00306D47" w:rsidRDefault="00012992" w:rsidP="00F6386B">
            <w:pPr>
              <w:jc w:val="center"/>
            </w:pPr>
          </w:p>
        </w:tc>
        <w:tc>
          <w:tcPr>
            <w:tcW w:w="0" w:type="auto"/>
          </w:tcPr>
          <w:p w14:paraId="730456D0" w14:textId="77777777" w:rsidR="00012992" w:rsidRDefault="00012992">
            <w:r w:rsidRPr="007A1A4F">
              <w:t>Skatīt 7.sadaļu „Cita informācija”</w:t>
            </w:r>
          </w:p>
        </w:tc>
        <w:tc>
          <w:tcPr>
            <w:tcW w:w="0" w:type="auto"/>
          </w:tcPr>
          <w:p w14:paraId="08837190" w14:textId="77777777" w:rsidR="00012992" w:rsidRDefault="00012992">
            <w:r w:rsidRPr="007A1A4F">
              <w:t>Skatīt 7.sadaļu „Cita informācija”</w:t>
            </w:r>
          </w:p>
        </w:tc>
        <w:tc>
          <w:tcPr>
            <w:tcW w:w="602" w:type="pct"/>
          </w:tcPr>
          <w:p w14:paraId="35A84880" w14:textId="77777777" w:rsidR="00012992" w:rsidRDefault="00012992">
            <w:r w:rsidRPr="007A1A4F">
              <w:t>Skatīt 7.sadaļu „Cita informācija”</w:t>
            </w:r>
          </w:p>
        </w:tc>
        <w:tc>
          <w:tcPr>
            <w:tcW w:w="615" w:type="pct"/>
          </w:tcPr>
          <w:p w14:paraId="13F23044" w14:textId="77777777" w:rsidR="00012992" w:rsidRDefault="00012992">
            <w:r w:rsidRPr="007A1A4F">
              <w:t>Skatīt 7.sadaļu „Cita informācija”</w:t>
            </w:r>
          </w:p>
        </w:tc>
      </w:tr>
      <w:tr w:rsidR="00012992" w:rsidRPr="00306D47" w14:paraId="1106AD58" w14:textId="77777777" w:rsidTr="00012992">
        <w:tc>
          <w:tcPr>
            <w:tcW w:w="0" w:type="auto"/>
          </w:tcPr>
          <w:p w14:paraId="224F524B" w14:textId="77777777" w:rsidR="00012992" w:rsidRPr="00306D47" w:rsidRDefault="00012992" w:rsidP="00F6386B">
            <w:pPr>
              <w:spacing w:before="100" w:beforeAutospacing="1" w:after="100" w:afterAutospacing="1"/>
            </w:pPr>
            <w:r w:rsidRPr="00306D47">
              <w:t>5.3. pašvaldību budžets</w:t>
            </w:r>
          </w:p>
        </w:tc>
        <w:tc>
          <w:tcPr>
            <w:tcW w:w="0" w:type="auto"/>
            <w:vMerge/>
          </w:tcPr>
          <w:p w14:paraId="5814D518" w14:textId="77777777" w:rsidR="00012992" w:rsidRPr="00306D47" w:rsidRDefault="00012992" w:rsidP="00F6386B">
            <w:pPr>
              <w:jc w:val="center"/>
            </w:pPr>
          </w:p>
        </w:tc>
        <w:tc>
          <w:tcPr>
            <w:tcW w:w="0" w:type="auto"/>
          </w:tcPr>
          <w:p w14:paraId="323FEF5B" w14:textId="77777777" w:rsidR="00012992" w:rsidRDefault="00012992">
            <w:r w:rsidRPr="007A1A4F">
              <w:t>Skatīt 7.sadaļu „Cita informācija”</w:t>
            </w:r>
          </w:p>
        </w:tc>
        <w:tc>
          <w:tcPr>
            <w:tcW w:w="0" w:type="auto"/>
          </w:tcPr>
          <w:p w14:paraId="59CE56A4" w14:textId="77777777" w:rsidR="00012992" w:rsidRDefault="00012992">
            <w:r w:rsidRPr="007A1A4F">
              <w:t>Skatīt 7.sadaļu „Cita informācija”</w:t>
            </w:r>
          </w:p>
        </w:tc>
        <w:tc>
          <w:tcPr>
            <w:tcW w:w="602" w:type="pct"/>
          </w:tcPr>
          <w:p w14:paraId="5BDEB096" w14:textId="77777777" w:rsidR="00012992" w:rsidRDefault="00012992">
            <w:r w:rsidRPr="007A1A4F">
              <w:t>Skatīt 7.sadaļu „Cita informācija”</w:t>
            </w:r>
          </w:p>
        </w:tc>
        <w:tc>
          <w:tcPr>
            <w:tcW w:w="615" w:type="pct"/>
          </w:tcPr>
          <w:p w14:paraId="092950A0" w14:textId="77777777" w:rsidR="00012992" w:rsidRDefault="00012992">
            <w:r w:rsidRPr="007A1A4F">
              <w:t>Skatīt 7.sadaļu „Cita informācija”</w:t>
            </w:r>
          </w:p>
        </w:tc>
      </w:tr>
      <w:tr w:rsidR="008E429A" w:rsidRPr="00306D47" w14:paraId="21AD439C" w14:textId="77777777" w:rsidTr="00012992">
        <w:tc>
          <w:tcPr>
            <w:tcW w:w="0" w:type="auto"/>
          </w:tcPr>
          <w:p w14:paraId="4834CAAE" w14:textId="77777777" w:rsidR="008E429A" w:rsidRPr="00306D47" w:rsidRDefault="008E429A" w:rsidP="00F00A8B">
            <w:pPr>
              <w:spacing w:before="100" w:beforeAutospacing="1" w:after="100" w:afterAutospacing="1"/>
            </w:pPr>
            <w:r w:rsidRPr="00306D47">
              <w:t>6. Detalizēts ieņēmumu un izdevu</w:t>
            </w:r>
            <w:r w:rsidRPr="00306D47">
              <w:softHyphen/>
              <w:t>mu aprēķins (ja nepieciešams, detalizētu ieņēmumu un izdevumu aprēķinu var pievienot anotācijas pielikumā):</w:t>
            </w:r>
          </w:p>
        </w:tc>
        <w:tc>
          <w:tcPr>
            <w:tcW w:w="3097" w:type="pct"/>
            <w:gridSpan w:val="5"/>
            <w:vMerge w:val="restart"/>
          </w:tcPr>
          <w:p w14:paraId="2C505A84" w14:textId="77777777" w:rsidR="008E429A" w:rsidRPr="00306D47" w:rsidRDefault="008E429A" w:rsidP="00A93494"/>
        </w:tc>
      </w:tr>
      <w:tr w:rsidR="008E429A" w:rsidRPr="00306D47" w14:paraId="33F3CAC5" w14:textId="77777777" w:rsidTr="00012992">
        <w:tc>
          <w:tcPr>
            <w:tcW w:w="0" w:type="auto"/>
          </w:tcPr>
          <w:p w14:paraId="0F07805B" w14:textId="77777777" w:rsidR="008E429A" w:rsidRPr="00306D47" w:rsidRDefault="008E429A" w:rsidP="00F00A8B">
            <w:pPr>
              <w:spacing w:before="100" w:beforeAutospacing="1" w:after="100" w:afterAutospacing="1"/>
            </w:pPr>
            <w:r w:rsidRPr="00306D47">
              <w:t>6.1. detalizēts ieņēmumu aprēķins</w:t>
            </w:r>
          </w:p>
        </w:tc>
        <w:tc>
          <w:tcPr>
            <w:tcW w:w="3097" w:type="pct"/>
            <w:gridSpan w:val="5"/>
            <w:vMerge/>
            <w:vAlign w:val="center"/>
          </w:tcPr>
          <w:p w14:paraId="2DD3DDE1" w14:textId="77777777" w:rsidR="008E429A" w:rsidRPr="00306D47" w:rsidRDefault="008E429A" w:rsidP="00F00A8B"/>
        </w:tc>
      </w:tr>
      <w:tr w:rsidR="008E429A" w:rsidRPr="00306D47" w14:paraId="3CCA05B5" w14:textId="77777777" w:rsidTr="00012992">
        <w:tc>
          <w:tcPr>
            <w:tcW w:w="0" w:type="auto"/>
          </w:tcPr>
          <w:p w14:paraId="2AB6ACBA" w14:textId="77777777" w:rsidR="008E429A" w:rsidRPr="00306D47" w:rsidRDefault="008E429A" w:rsidP="00F00A8B">
            <w:pPr>
              <w:spacing w:before="100" w:beforeAutospacing="1" w:after="100" w:afterAutospacing="1"/>
            </w:pPr>
            <w:r w:rsidRPr="00306D47">
              <w:t>6.2. detalizēts izdevumu aprēķins</w:t>
            </w:r>
          </w:p>
        </w:tc>
        <w:tc>
          <w:tcPr>
            <w:tcW w:w="3097" w:type="pct"/>
            <w:gridSpan w:val="5"/>
            <w:vMerge/>
            <w:vAlign w:val="center"/>
          </w:tcPr>
          <w:p w14:paraId="3D0D2826" w14:textId="77777777" w:rsidR="008E429A" w:rsidRPr="00306D47" w:rsidRDefault="008E429A" w:rsidP="00F00A8B"/>
        </w:tc>
      </w:tr>
      <w:tr w:rsidR="008E429A" w:rsidRPr="00306D47" w14:paraId="6D05401B" w14:textId="77777777" w:rsidTr="00012992">
        <w:tc>
          <w:tcPr>
            <w:tcW w:w="0" w:type="auto"/>
          </w:tcPr>
          <w:p w14:paraId="2D49CAAB" w14:textId="77777777" w:rsidR="008E429A" w:rsidRPr="00306D47" w:rsidRDefault="008E429A" w:rsidP="00F00A8B">
            <w:pPr>
              <w:spacing w:before="100" w:beforeAutospacing="1" w:after="100" w:afterAutospacing="1"/>
            </w:pPr>
            <w:r w:rsidRPr="00306D47">
              <w:t>7. Cita informācija</w:t>
            </w:r>
          </w:p>
        </w:tc>
        <w:tc>
          <w:tcPr>
            <w:tcW w:w="3097" w:type="pct"/>
            <w:gridSpan w:val="5"/>
          </w:tcPr>
          <w:p w14:paraId="02F0DAC4" w14:textId="77777777" w:rsidR="008E429A" w:rsidRPr="00306D47" w:rsidRDefault="00A13E12" w:rsidP="00F027DA">
            <w:pPr>
              <w:ind w:rightChars="45" w:right="108"/>
              <w:jc w:val="both"/>
              <w:rPr>
                <w:highlight w:val="yellow"/>
              </w:rPr>
            </w:pPr>
            <w:r>
              <w:t xml:space="preserve">Konkrēto ieņēmumu </w:t>
            </w:r>
            <w:r w:rsidR="00F027DA">
              <w:t xml:space="preserve">un izdevumu </w:t>
            </w:r>
            <w:r>
              <w:t>prognoze būs atkarīga no iesniegto sūdzību, kā arī to izskatīšanas rezultātiem.</w:t>
            </w:r>
            <w:r w:rsidR="00F6386B">
              <w:t xml:space="preserve"> </w:t>
            </w:r>
            <w:r w:rsidR="00F027DA">
              <w:t>Paralēli tiek risināts jautājums par nepieciešamo papildu finansējumu Iepirkumu uzraudzības birojam, lai kvalitatīvi nodrošinātu jauno normu ieviešanu atbilstoši to iecerētajam mērķim.</w:t>
            </w:r>
          </w:p>
        </w:tc>
      </w:tr>
    </w:tbl>
    <w:p w14:paraId="7D7940C5" w14:textId="77777777" w:rsidR="00EB5522" w:rsidRPr="00306D47" w:rsidRDefault="00EB5522" w:rsidP="005C0C11">
      <w:pPr>
        <w:ind w:firstLine="720"/>
        <w:jc w:val="both"/>
      </w:pPr>
    </w:p>
    <w:tbl>
      <w:tblPr>
        <w:tblW w:w="5045"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3"/>
        <w:gridCol w:w="3327"/>
        <w:gridCol w:w="5675"/>
      </w:tblGrid>
      <w:tr w:rsidR="00EB5522" w:rsidRPr="00306D47" w14:paraId="129CDF01" w14:textId="77777777" w:rsidTr="00AF6DAE">
        <w:tc>
          <w:tcPr>
            <w:tcW w:w="5000" w:type="pct"/>
            <w:gridSpan w:val="3"/>
            <w:tcBorders>
              <w:top w:val="single" w:sz="6" w:space="0" w:color="auto"/>
              <w:left w:val="single" w:sz="6" w:space="0" w:color="auto"/>
              <w:bottom w:val="outset" w:sz="6" w:space="0" w:color="auto"/>
              <w:right w:val="single" w:sz="6" w:space="0" w:color="auto"/>
            </w:tcBorders>
            <w:hideMark/>
          </w:tcPr>
          <w:p w14:paraId="2FB6CB2A" w14:textId="77777777" w:rsidR="00EB5522" w:rsidRPr="00306D47" w:rsidRDefault="00EB5522" w:rsidP="00AF6DAE">
            <w:pPr>
              <w:spacing w:before="100" w:beforeAutospacing="1"/>
              <w:jc w:val="center"/>
            </w:pPr>
            <w:r w:rsidRPr="00306D47">
              <w:rPr>
                <w:b/>
                <w:bCs/>
              </w:rPr>
              <w:t>IV. Tiesību akta projekta ietekme uz spēkā esošo tiesību normu sistēmu</w:t>
            </w:r>
          </w:p>
        </w:tc>
      </w:tr>
      <w:tr w:rsidR="00EB5522" w:rsidRPr="00306D47" w14:paraId="17176105" w14:textId="77777777" w:rsidTr="00AF6DAE">
        <w:tc>
          <w:tcPr>
            <w:tcW w:w="189" w:type="pct"/>
            <w:tcBorders>
              <w:top w:val="outset" w:sz="6" w:space="0" w:color="auto"/>
              <w:left w:val="outset" w:sz="6" w:space="0" w:color="auto"/>
              <w:bottom w:val="outset" w:sz="6" w:space="0" w:color="auto"/>
              <w:right w:val="outset" w:sz="6" w:space="0" w:color="auto"/>
            </w:tcBorders>
            <w:hideMark/>
          </w:tcPr>
          <w:p w14:paraId="2723ED8D" w14:textId="77777777" w:rsidR="00EB5522" w:rsidRPr="00306D47" w:rsidRDefault="00EB5522" w:rsidP="00AF6DAE">
            <w:pPr>
              <w:spacing w:before="100" w:beforeAutospacing="1"/>
            </w:pPr>
            <w:r w:rsidRPr="00306D47">
              <w:t>1.</w:t>
            </w:r>
          </w:p>
        </w:tc>
        <w:tc>
          <w:tcPr>
            <w:tcW w:w="0" w:type="auto"/>
            <w:tcBorders>
              <w:top w:val="outset" w:sz="6" w:space="0" w:color="auto"/>
              <w:left w:val="outset" w:sz="6" w:space="0" w:color="auto"/>
              <w:bottom w:val="outset" w:sz="6" w:space="0" w:color="auto"/>
              <w:right w:val="outset" w:sz="6" w:space="0" w:color="auto"/>
            </w:tcBorders>
            <w:hideMark/>
          </w:tcPr>
          <w:p w14:paraId="285CF8F0" w14:textId="77777777" w:rsidR="00EB5522" w:rsidRPr="00306D47" w:rsidRDefault="00EB5522" w:rsidP="00AF6DAE">
            <w:pPr>
              <w:spacing w:before="100" w:beforeAutospacing="1"/>
            </w:pPr>
            <w:r w:rsidRPr="00306D47">
              <w:t>Nepieciešamie saistītie tiesību aktu projekti</w:t>
            </w:r>
          </w:p>
        </w:tc>
        <w:tc>
          <w:tcPr>
            <w:tcW w:w="3033" w:type="pct"/>
            <w:tcBorders>
              <w:top w:val="outset" w:sz="6" w:space="0" w:color="auto"/>
              <w:left w:val="outset" w:sz="6" w:space="0" w:color="auto"/>
              <w:bottom w:val="outset" w:sz="6" w:space="0" w:color="auto"/>
              <w:right w:val="outset" w:sz="6" w:space="0" w:color="auto"/>
            </w:tcBorders>
            <w:hideMark/>
          </w:tcPr>
          <w:p w14:paraId="11C6EA4E" w14:textId="441B6EBE" w:rsidR="00EB5522" w:rsidRPr="00306D47" w:rsidRDefault="00E60BE4" w:rsidP="0095570F">
            <w:pPr>
              <w:jc w:val="both"/>
            </w:pPr>
            <w:r>
              <w:t xml:space="preserve">Ministru kabineta noteikumi par praktisko depozīta iemaksas un izmaksas kārtību </w:t>
            </w:r>
          </w:p>
        </w:tc>
      </w:tr>
      <w:tr w:rsidR="00C4010D" w:rsidRPr="00306D47" w14:paraId="5EBC3F72" w14:textId="77777777" w:rsidTr="00AF6DAE">
        <w:tc>
          <w:tcPr>
            <w:tcW w:w="189" w:type="pct"/>
            <w:tcBorders>
              <w:top w:val="outset" w:sz="6" w:space="0" w:color="auto"/>
              <w:left w:val="outset" w:sz="6" w:space="0" w:color="auto"/>
              <w:bottom w:val="outset" w:sz="6" w:space="0" w:color="auto"/>
              <w:right w:val="outset" w:sz="6" w:space="0" w:color="auto"/>
            </w:tcBorders>
          </w:tcPr>
          <w:p w14:paraId="794AB03F" w14:textId="73798C61" w:rsidR="00C4010D" w:rsidRPr="00306D47" w:rsidRDefault="00C4010D" w:rsidP="00AF6DAE">
            <w:pPr>
              <w:spacing w:before="100" w:beforeAutospacing="1"/>
            </w:pPr>
            <w:r>
              <w:t>2.</w:t>
            </w:r>
          </w:p>
        </w:tc>
        <w:tc>
          <w:tcPr>
            <w:tcW w:w="0" w:type="auto"/>
            <w:tcBorders>
              <w:top w:val="outset" w:sz="6" w:space="0" w:color="auto"/>
              <w:left w:val="outset" w:sz="6" w:space="0" w:color="auto"/>
              <w:bottom w:val="outset" w:sz="6" w:space="0" w:color="auto"/>
              <w:right w:val="outset" w:sz="6" w:space="0" w:color="auto"/>
            </w:tcBorders>
          </w:tcPr>
          <w:p w14:paraId="41585F5E" w14:textId="536108CD" w:rsidR="00C4010D" w:rsidRPr="00306D47" w:rsidRDefault="00C4010D" w:rsidP="00AF6DAE">
            <w:pPr>
              <w:spacing w:before="100" w:beforeAutospacing="1"/>
            </w:pPr>
            <w:r>
              <w:t>Atbildīgā institūcija</w:t>
            </w:r>
          </w:p>
        </w:tc>
        <w:tc>
          <w:tcPr>
            <w:tcW w:w="3033" w:type="pct"/>
            <w:tcBorders>
              <w:top w:val="outset" w:sz="6" w:space="0" w:color="auto"/>
              <w:left w:val="outset" w:sz="6" w:space="0" w:color="auto"/>
              <w:bottom w:val="outset" w:sz="6" w:space="0" w:color="auto"/>
              <w:right w:val="outset" w:sz="6" w:space="0" w:color="auto"/>
            </w:tcBorders>
          </w:tcPr>
          <w:p w14:paraId="764F6400" w14:textId="35C984F6" w:rsidR="00C4010D" w:rsidRPr="00306D47" w:rsidRDefault="00C4010D" w:rsidP="00AF6DAE">
            <w:pPr>
              <w:spacing w:before="100" w:beforeAutospacing="1"/>
            </w:pPr>
            <w:r>
              <w:t>Valsts kanceleja kopīgi ar Finanšu ministriju.</w:t>
            </w:r>
          </w:p>
        </w:tc>
      </w:tr>
      <w:tr w:rsidR="00EB5522" w:rsidRPr="00306D47" w14:paraId="5E3225C4" w14:textId="77777777" w:rsidTr="00AF6DAE">
        <w:tc>
          <w:tcPr>
            <w:tcW w:w="189" w:type="pct"/>
            <w:tcBorders>
              <w:top w:val="outset" w:sz="6" w:space="0" w:color="auto"/>
              <w:left w:val="outset" w:sz="6" w:space="0" w:color="auto"/>
              <w:bottom w:val="outset" w:sz="6" w:space="0" w:color="auto"/>
              <w:right w:val="outset" w:sz="6" w:space="0" w:color="auto"/>
            </w:tcBorders>
            <w:hideMark/>
          </w:tcPr>
          <w:p w14:paraId="76F1B682" w14:textId="6B744962" w:rsidR="00EB5522" w:rsidRPr="00306D47" w:rsidRDefault="00C4010D" w:rsidP="00AF6DAE">
            <w:pPr>
              <w:spacing w:before="100" w:beforeAutospacing="1"/>
            </w:pPr>
            <w:r>
              <w:t>3</w:t>
            </w:r>
            <w:r w:rsidR="00EB5522" w:rsidRPr="00306D47">
              <w:t>.</w:t>
            </w:r>
          </w:p>
        </w:tc>
        <w:tc>
          <w:tcPr>
            <w:tcW w:w="0" w:type="auto"/>
            <w:tcBorders>
              <w:top w:val="outset" w:sz="6" w:space="0" w:color="auto"/>
              <w:left w:val="outset" w:sz="6" w:space="0" w:color="auto"/>
              <w:bottom w:val="outset" w:sz="6" w:space="0" w:color="auto"/>
              <w:right w:val="outset" w:sz="6" w:space="0" w:color="auto"/>
            </w:tcBorders>
            <w:hideMark/>
          </w:tcPr>
          <w:p w14:paraId="31F3942F" w14:textId="77777777" w:rsidR="00EB5522" w:rsidRPr="00306D47" w:rsidRDefault="00EB5522" w:rsidP="00AF6DAE">
            <w:pPr>
              <w:spacing w:before="100" w:beforeAutospacing="1"/>
            </w:pPr>
            <w:r w:rsidRPr="00306D47">
              <w:t>Cita informācija</w:t>
            </w:r>
          </w:p>
        </w:tc>
        <w:tc>
          <w:tcPr>
            <w:tcW w:w="3033" w:type="pct"/>
            <w:tcBorders>
              <w:top w:val="outset" w:sz="6" w:space="0" w:color="auto"/>
              <w:left w:val="outset" w:sz="6" w:space="0" w:color="auto"/>
              <w:bottom w:val="outset" w:sz="6" w:space="0" w:color="auto"/>
              <w:right w:val="outset" w:sz="6" w:space="0" w:color="auto"/>
            </w:tcBorders>
            <w:hideMark/>
          </w:tcPr>
          <w:p w14:paraId="6888ABC2" w14:textId="77777777" w:rsidR="00EB5522" w:rsidRPr="00306D47" w:rsidRDefault="00EB5522" w:rsidP="00AF6DAE">
            <w:pPr>
              <w:spacing w:before="100" w:beforeAutospacing="1"/>
            </w:pPr>
            <w:r w:rsidRPr="00306D47">
              <w:t>Nav.</w:t>
            </w:r>
          </w:p>
        </w:tc>
      </w:tr>
    </w:tbl>
    <w:p w14:paraId="44DFA672" w14:textId="77777777" w:rsidR="00EB5522" w:rsidRPr="00306D47" w:rsidRDefault="00EB5522" w:rsidP="005C0C11">
      <w:pPr>
        <w:ind w:firstLine="720"/>
        <w:jc w:val="both"/>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471"/>
        <w:gridCol w:w="5471"/>
      </w:tblGrid>
      <w:tr w:rsidR="0065226B" w:rsidRPr="00306D47" w14:paraId="71FC53C2" w14:textId="77777777" w:rsidTr="00AF6DAE">
        <w:trPr>
          <w:trHeight w:val="279"/>
        </w:trPr>
        <w:tc>
          <w:tcPr>
            <w:tcW w:w="5000" w:type="pct"/>
            <w:gridSpan w:val="3"/>
            <w:shd w:val="clear" w:color="auto" w:fill="auto"/>
          </w:tcPr>
          <w:p w14:paraId="53013FE0" w14:textId="77777777" w:rsidR="0065226B" w:rsidRPr="00306D47" w:rsidRDefault="0065226B" w:rsidP="003E463D">
            <w:pPr>
              <w:jc w:val="center"/>
              <w:rPr>
                <w:b/>
              </w:rPr>
            </w:pPr>
            <w:r w:rsidRPr="00306D47">
              <w:rPr>
                <w:b/>
              </w:rPr>
              <w:t>V. Tiesību akta projekta atbilstība Latvijas Republikas starptautiskajām saistībām</w:t>
            </w:r>
          </w:p>
        </w:tc>
      </w:tr>
      <w:tr w:rsidR="0065226B" w:rsidRPr="00306D47" w14:paraId="27A96BC7" w14:textId="77777777" w:rsidTr="00AF6DAE">
        <w:trPr>
          <w:trHeight w:val="279"/>
        </w:trPr>
        <w:tc>
          <w:tcPr>
            <w:tcW w:w="234" w:type="pct"/>
            <w:shd w:val="clear" w:color="auto" w:fill="auto"/>
          </w:tcPr>
          <w:p w14:paraId="78261C14" w14:textId="77777777" w:rsidR="0065226B" w:rsidRPr="00306D47" w:rsidRDefault="0065226B" w:rsidP="003E463D">
            <w:pPr>
              <w:jc w:val="both"/>
            </w:pPr>
            <w:r w:rsidRPr="00306D47">
              <w:t>1.</w:t>
            </w:r>
          </w:p>
        </w:tc>
        <w:tc>
          <w:tcPr>
            <w:tcW w:w="1850" w:type="pct"/>
            <w:shd w:val="clear" w:color="auto" w:fill="auto"/>
          </w:tcPr>
          <w:p w14:paraId="69102CF7" w14:textId="77777777" w:rsidR="0065226B" w:rsidRPr="00306D47" w:rsidRDefault="0065226B" w:rsidP="003E463D">
            <w:pPr>
              <w:jc w:val="both"/>
            </w:pPr>
            <w:r w:rsidRPr="00306D47">
              <w:t>Saistības pret Eiropas Savienību</w:t>
            </w:r>
          </w:p>
        </w:tc>
        <w:tc>
          <w:tcPr>
            <w:tcW w:w="2916" w:type="pct"/>
            <w:shd w:val="clear" w:color="auto" w:fill="auto"/>
          </w:tcPr>
          <w:p w14:paraId="2C99E9C1" w14:textId="77777777" w:rsidR="0065226B" w:rsidRPr="00306D47" w:rsidRDefault="009C3895" w:rsidP="003E463D">
            <w:pPr>
              <w:jc w:val="both"/>
            </w:pPr>
            <w:r w:rsidRPr="00306D47">
              <w:t>Projekts šo jomu neskar</w:t>
            </w:r>
          </w:p>
        </w:tc>
      </w:tr>
      <w:tr w:rsidR="0065226B" w:rsidRPr="00306D47" w14:paraId="2D160CF6" w14:textId="77777777" w:rsidTr="00AF6DAE">
        <w:trPr>
          <w:trHeight w:val="279"/>
        </w:trPr>
        <w:tc>
          <w:tcPr>
            <w:tcW w:w="234" w:type="pct"/>
            <w:shd w:val="clear" w:color="auto" w:fill="auto"/>
          </w:tcPr>
          <w:p w14:paraId="299882E4" w14:textId="77777777" w:rsidR="0065226B" w:rsidRPr="00306D47" w:rsidRDefault="0065226B" w:rsidP="003E463D">
            <w:pPr>
              <w:jc w:val="both"/>
            </w:pPr>
            <w:r w:rsidRPr="00306D47">
              <w:t>2.</w:t>
            </w:r>
          </w:p>
        </w:tc>
        <w:tc>
          <w:tcPr>
            <w:tcW w:w="1850" w:type="pct"/>
            <w:shd w:val="clear" w:color="auto" w:fill="auto"/>
          </w:tcPr>
          <w:p w14:paraId="5AE2373F" w14:textId="77777777" w:rsidR="0065226B" w:rsidRPr="00306D47" w:rsidRDefault="0065226B" w:rsidP="003E463D">
            <w:pPr>
              <w:jc w:val="both"/>
            </w:pPr>
            <w:r w:rsidRPr="00306D47">
              <w:t>Citas starptautiskās saistības</w:t>
            </w:r>
          </w:p>
        </w:tc>
        <w:tc>
          <w:tcPr>
            <w:tcW w:w="2916" w:type="pct"/>
            <w:shd w:val="clear" w:color="auto" w:fill="auto"/>
          </w:tcPr>
          <w:p w14:paraId="336E6499" w14:textId="77777777" w:rsidR="0065226B" w:rsidRPr="00306D47" w:rsidRDefault="0065226B" w:rsidP="003E463D">
            <w:pPr>
              <w:jc w:val="both"/>
            </w:pPr>
            <w:r w:rsidRPr="00306D47">
              <w:rPr>
                <w:lang w:eastAsia="en-US"/>
              </w:rPr>
              <w:t>Projekts šo jomu neskar</w:t>
            </w:r>
            <w:r w:rsidRPr="00306D47">
              <w:t>.</w:t>
            </w:r>
          </w:p>
        </w:tc>
      </w:tr>
      <w:tr w:rsidR="0065226B" w:rsidRPr="00306D47" w14:paraId="18A6C7BB" w14:textId="77777777" w:rsidTr="00AF6DAE">
        <w:trPr>
          <w:trHeight w:val="279"/>
        </w:trPr>
        <w:tc>
          <w:tcPr>
            <w:tcW w:w="234" w:type="pct"/>
            <w:shd w:val="clear" w:color="auto" w:fill="auto"/>
          </w:tcPr>
          <w:p w14:paraId="41FC08DE" w14:textId="77777777" w:rsidR="0065226B" w:rsidRPr="00306D47" w:rsidRDefault="0065226B" w:rsidP="003E463D">
            <w:pPr>
              <w:jc w:val="both"/>
            </w:pPr>
            <w:r w:rsidRPr="00306D47">
              <w:t>3.</w:t>
            </w:r>
          </w:p>
        </w:tc>
        <w:tc>
          <w:tcPr>
            <w:tcW w:w="1850" w:type="pct"/>
            <w:shd w:val="clear" w:color="auto" w:fill="auto"/>
          </w:tcPr>
          <w:p w14:paraId="7CECFBC5" w14:textId="77777777" w:rsidR="0065226B" w:rsidRPr="00306D47" w:rsidRDefault="0065226B" w:rsidP="003E463D">
            <w:pPr>
              <w:jc w:val="both"/>
            </w:pPr>
            <w:r w:rsidRPr="00306D47">
              <w:t>Cita informācija</w:t>
            </w:r>
          </w:p>
        </w:tc>
        <w:tc>
          <w:tcPr>
            <w:tcW w:w="2916" w:type="pct"/>
            <w:shd w:val="clear" w:color="auto" w:fill="auto"/>
          </w:tcPr>
          <w:p w14:paraId="2A83AD94" w14:textId="77777777" w:rsidR="0065226B" w:rsidRPr="00306D47" w:rsidRDefault="0065226B" w:rsidP="003E463D">
            <w:pPr>
              <w:jc w:val="both"/>
            </w:pPr>
            <w:r w:rsidRPr="00306D47">
              <w:t>Nav.</w:t>
            </w:r>
          </w:p>
        </w:tc>
      </w:tr>
    </w:tbl>
    <w:p w14:paraId="514916EA" w14:textId="77777777" w:rsidR="0065226B" w:rsidRPr="00306D47" w:rsidRDefault="0065226B" w:rsidP="0065226B">
      <w:pPr>
        <w:pStyle w:val="NormalWeb"/>
        <w:spacing w:before="0" w:beforeAutospacing="0" w:after="0" w:afterAutospacing="0"/>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503"/>
        <w:gridCol w:w="2214"/>
        <w:gridCol w:w="2493"/>
        <w:gridCol w:w="2636"/>
      </w:tblGrid>
      <w:tr w:rsidR="0065226B" w:rsidRPr="00306D47" w14:paraId="3538BBBC" w14:textId="77777777" w:rsidTr="00AF6DAE">
        <w:trPr>
          <w:trHeight w:val="279"/>
        </w:trPr>
        <w:tc>
          <w:tcPr>
            <w:tcW w:w="9322" w:type="dxa"/>
            <w:gridSpan w:val="5"/>
            <w:shd w:val="clear" w:color="auto" w:fill="auto"/>
          </w:tcPr>
          <w:p w14:paraId="7C0101DF" w14:textId="77777777" w:rsidR="0065226B" w:rsidRPr="00306D47" w:rsidRDefault="0065226B" w:rsidP="003E463D">
            <w:pPr>
              <w:pStyle w:val="naisnod"/>
              <w:spacing w:before="0" w:after="0"/>
            </w:pPr>
            <w:r w:rsidRPr="00306D47">
              <w:t xml:space="preserve">1.tabula </w:t>
            </w:r>
          </w:p>
          <w:p w14:paraId="4DB1B34F" w14:textId="77777777" w:rsidR="0065226B" w:rsidRPr="00306D47" w:rsidRDefault="0065226B" w:rsidP="003E463D">
            <w:pPr>
              <w:jc w:val="center"/>
              <w:rPr>
                <w:b/>
              </w:rPr>
            </w:pPr>
            <w:r w:rsidRPr="00306D47">
              <w:rPr>
                <w:b/>
              </w:rPr>
              <w:t>Tiesību akta projekta atbilstība ES tiesību aktiem</w:t>
            </w:r>
          </w:p>
        </w:tc>
      </w:tr>
      <w:tr w:rsidR="0065226B" w:rsidRPr="00306D47" w14:paraId="271C2CA7" w14:textId="77777777" w:rsidTr="00AF6DAE">
        <w:trPr>
          <w:trHeight w:val="279"/>
        </w:trPr>
        <w:tc>
          <w:tcPr>
            <w:tcW w:w="1476" w:type="dxa"/>
            <w:shd w:val="clear" w:color="auto" w:fill="auto"/>
          </w:tcPr>
          <w:p w14:paraId="5C86F390" w14:textId="77777777" w:rsidR="0065226B" w:rsidRPr="00306D47" w:rsidRDefault="0065226B" w:rsidP="003E463D">
            <w:pPr>
              <w:jc w:val="center"/>
            </w:pPr>
            <w:r w:rsidRPr="00306D47">
              <w:t xml:space="preserve">Attiecīgā ES tiesību akta datums, </w:t>
            </w:r>
            <w:r w:rsidRPr="00306D47">
              <w:lastRenderedPageBreak/>
              <w:t>numurs un nosaukums</w:t>
            </w:r>
          </w:p>
        </w:tc>
        <w:tc>
          <w:tcPr>
            <w:tcW w:w="7846" w:type="dxa"/>
            <w:gridSpan w:val="4"/>
            <w:shd w:val="clear" w:color="auto" w:fill="auto"/>
          </w:tcPr>
          <w:p w14:paraId="403AB41A" w14:textId="77777777" w:rsidR="0065226B" w:rsidRPr="00306D47" w:rsidRDefault="00223E35" w:rsidP="00223E35">
            <w:pPr>
              <w:jc w:val="both"/>
            </w:pPr>
            <w:r>
              <w:lastRenderedPageBreak/>
              <w:t>Projekts šo jomu neskar.</w:t>
            </w:r>
          </w:p>
        </w:tc>
      </w:tr>
      <w:tr w:rsidR="0065226B" w:rsidRPr="00306D47" w14:paraId="69D1DA85" w14:textId="77777777" w:rsidTr="00AF6DAE">
        <w:trPr>
          <w:trHeight w:val="279"/>
        </w:trPr>
        <w:tc>
          <w:tcPr>
            <w:tcW w:w="9322" w:type="dxa"/>
            <w:gridSpan w:val="5"/>
            <w:shd w:val="clear" w:color="auto" w:fill="auto"/>
          </w:tcPr>
          <w:p w14:paraId="7EE9C906" w14:textId="77777777" w:rsidR="0065226B" w:rsidRPr="00306D47" w:rsidRDefault="0065226B" w:rsidP="003E463D">
            <w:pPr>
              <w:jc w:val="both"/>
            </w:pPr>
          </w:p>
        </w:tc>
      </w:tr>
      <w:tr w:rsidR="0065226B" w:rsidRPr="00306D47" w14:paraId="478BCE99" w14:textId="77777777" w:rsidTr="00AF6DAE">
        <w:trPr>
          <w:trHeight w:val="279"/>
        </w:trPr>
        <w:tc>
          <w:tcPr>
            <w:tcW w:w="1979" w:type="dxa"/>
            <w:gridSpan w:val="2"/>
            <w:shd w:val="clear" w:color="auto" w:fill="auto"/>
          </w:tcPr>
          <w:p w14:paraId="32B91D86" w14:textId="77777777" w:rsidR="0065226B" w:rsidRPr="00306D47" w:rsidRDefault="0065226B" w:rsidP="003E463D">
            <w:pPr>
              <w:jc w:val="center"/>
            </w:pPr>
            <w:r w:rsidRPr="00306D47">
              <w:t>A</w:t>
            </w:r>
          </w:p>
        </w:tc>
        <w:tc>
          <w:tcPr>
            <w:tcW w:w="2214" w:type="dxa"/>
            <w:shd w:val="clear" w:color="auto" w:fill="auto"/>
          </w:tcPr>
          <w:p w14:paraId="02AE652A" w14:textId="77777777" w:rsidR="0065226B" w:rsidRPr="00306D47" w:rsidRDefault="0065226B" w:rsidP="003E463D">
            <w:pPr>
              <w:jc w:val="center"/>
            </w:pPr>
            <w:r w:rsidRPr="00306D47">
              <w:t>B</w:t>
            </w:r>
          </w:p>
        </w:tc>
        <w:tc>
          <w:tcPr>
            <w:tcW w:w="2493" w:type="dxa"/>
            <w:shd w:val="clear" w:color="auto" w:fill="auto"/>
          </w:tcPr>
          <w:p w14:paraId="776BBAAC" w14:textId="77777777" w:rsidR="0065226B" w:rsidRPr="00306D47" w:rsidRDefault="0065226B" w:rsidP="003E463D">
            <w:pPr>
              <w:jc w:val="center"/>
            </w:pPr>
            <w:r w:rsidRPr="00306D47">
              <w:t>C</w:t>
            </w:r>
          </w:p>
        </w:tc>
        <w:tc>
          <w:tcPr>
            <w:tcW w:w="2636" w:type="dxa"/>
            <w:shd w:val="clear" w:color="auto" w:fill="auto"/>
          </w:tcPr>
          <w:p w14:paraId="7AE53E16" w14:textId="77777777" w:rsidR="0065226B" w:rsidRPr="00306D47" w:rsidRDefault="0065226B" w:rsidP="003E463D">
            <w:pPr>
              <w:jc w:val="center"/>
            </w:pPr>
            <w:r w:rsidRPr="00306D47">
              <w:t>D</w:t>
            </w:r>
          </w:p>
        </w:tc>
      </w:tr>
      <w:tr w:rsidR="0065226B" w:rsidRPr="00306D47" w14:paraId="50FE3611" w14:textId="77777777" w:rsidTr="00AF6DAE">
        <w:trPr>
          <w:trHeight w:val="279"/>
        </w:trPr>
        <w:tc>
          <w:tcPr>
            <w:tcW w:w="1979" w:type="dxa"/>
            <w:gridSpan w:val="2"/>
            <w:shd w:val="clear" w:color="auto" w:fill="auto"/>
          </w:tcPr>
          <w:p w14:paraId="5981A01E" w14:textId="77777777" w:rsidR="0065226B" w:rsidRPr="00306D47" w:rsidRDefault="0065226B" w:rsidP="003E463D">
            <w:pPr>
              <w:jc w:val="both"/>
            </w:pPr>
            <w:r w:rsidRPr="00306D47">
              <w:t xml:space="preserve">Attiecīgā ES tiesību akta panta numurs (uzskaitot katru tiesību akta </w:t>
            </w:r>
            <w:r w:rsidRPr="00306D47">
              <w:br/>
              <w:t>vienību – pantu, daļu, punktu, apakšpunktu)</w:t>
            </w:r>
          </w:p>
        </w:tc>
        <w:tc>
          <w:tcPr>
            <w:tcW w:w="2214" w:type="dxa"/>
            <w:shd w:val="clear" w:color="auto" w:fill="auto"/>
          </w:tcPr>
          <w:p w14:paraId="5CE88540" w14:textId="77777777" w:rsidR="0065226B" w:rsidRPr="00306D47" w:rsidRDefault="0065226B" w:rsidP="003E463D">
            <w:pPr>
              <w:jc w:val="both"/>
            </w:pPr>
            <w:r w:rsidRPr="00306D47">
              <w:t>Projekta vienība, kas pārņem vai ievieš katru šīs tabulas A ailē minēto ES tiesību akta vienību, vai tiesību akts, kur attiecīgā ES tiesību akta vienība pārņemta vai ieviesta</w:t>
            </w:r>
          </w:p>
        </w:tc>
        <w:tc>
          <w:tcPr>
            <w:tcW w:w="2493" w:type="dxa"/>
            <w:shd w:val="clear" w:color="auto" w:fill="auto"/>
          </w:tcPr>
          <w:p w14:paraId="5F4CC6BC" w14:textId="77777777" w:rsidR="0065226B" w:rsidRPr="00306D47" w:rsidRDefault="0065226B" w:rsidP="003E463D">
            <w:pPr>
              <w:pStyle w:val="naiskr"/>
              <w:spacing w:before="0" w:after="0"/>
            </w:pPr>
            <w:r w:rsidRPr="00306D47">
              <w:t>Informācija par to, vai šīs tabulas A ailē minētās ES tiesību akta vienības tiek pārņemtas vai ieviestas pilnībā vai daļēji.</w:t>
            </w:r>
          </w:p>
          <w:p w14:paraId="1F70F603" w14:textId="77777777" w:rsidR="0065226B" w:rsidRPr="00306D47" w:rsidRDefault="0065226B" w:rsidP="003E463D">
            <w:pPr>
              <w:pStyle w:val="naiskr"/>
              <w:spacing w:before="0" w:after="0"/>
            </w:pPr>
            <w:r w:rsidRPr="00306D47">
              <w:t>Ja attiecīgā ES tiesību akta vienība tiek pārņemta vai ieviesta daļēji, – sniedz attiecīgu skaidrojumu, kā arī precīzi norāda, kad un kādā veidā ES tiesību akta vienība tiks pārņemta vai ieviesta pilnībā.</w:t>
            </w:r>
          </w:p>
          <w:p w14:paraId="4B9A9127" w14:textId="77777777" w:rsidR="0065226B" w:rsidRPr="00306D47" w:rsidRDefault="0065226B" w:rsidP="003E463D">
            <w:pPr>
              <w:jc w:val="both"/>
            </w:pPr>
            <w:r w:rsidRPr="00306D47">
              <w:t>Norāda institūciju, kas ir atbildīga par šo saistību izpildi pilnībā</w:t>
            </w:r>
          </w:p>
        </w:tc>
        <w:tc>
          <w:tcPr>
            <w:tcW w:w="2636" w:type="dxa"/>
            <w:shd w:val="clear" w:color="auto" w:fill="auto"/>
          </w:tcPr>
          <w:p w14:paraId="03BF6AA0" w14:textId="77777777" w:rsidR="0065226B" w:rsidRPr="00306D47" w:rsidRDefault="0065226B" w:rsidP="003E463D">
            <w:pPr>
              <w:pStyle w:val="naiskr"/>
              <w:spacing w:before="0" w:after="0"/>
            </w:pPr>
            <w:r w:rsidRPr="00306D47">
              <w:t>Informācija par to, vai šīs tabulas B ailē minētās projekta vienības paredz stingrākas prasības nekā šīs tabulas A ailē minētās ES tiesību akta vienības.</w:t>
            </w:r>
          </w:p>
          <w:p w14:paraId="616A2D5A" w14:textId="77777777" w:rsidR="0065226B" w:rsidRPr="00306D47" w:rsidRDefault="0065226B" w:rsidP="003E463D">
            <w:pPr>
              <w:pStyle w:val="naiskr"/>
              <w:spacing w:before="0" w:after="0"/>
            </w:pPr>
            <w:r w:rsidRPr="00306D47">
              <w:t xml:space="preserve">Ja projekts satur stingrākas prasības nekā attiecīgais ES tiesību </w:t>
            </w:r>
            <w:smartTag w:uri="schemas-tilde-lv/tildestengine" w:element="veidnes">
              <w:smartTagPr>
                <w:attr w:name="text" w:val="akts"/>
                <w:attr w:name="baseform" w:val="akts"/>
                <w:attr w:name="id" w:val="-1"/>
              </w:smartTagPr>
              <w:r w:rsidRPr="00306D47">
                <w:t>akts</w:t>
              </w:r>
            </w:smartTag>
            <w:r w:rsidRPr="00306D47">
              <w:t>, – norāda pamatojumu un samērīgumu.</w:t>
            </w:r>
          </w:p>
          <w:p w14:paraId="415ABC7F" w14:textId="77777777" w:rsidR="0065226B" w:rsidRPr="00306D47" w:rsidRDefault="0065226B" w:rsidP="003E463D">
            <w:pPr>
              <w:jc w:val="both"/>
            </w:pPr>
            <w:r w:rsidRPr="00306D47">
              <w:t>Norāda iespējamās alternatīvas (t.sk. alternatīvas, kas neparedz tiesiskā regulējuma izstrādi) – kādos gadījumos būtu iespējams izvairīties no stingrāku prasību noteikšanas, nekā paredzēts attiecīgajos ES tiesību aktos</w:t>
            </w:r>
          </w:p>
        </w:tc>
      </w:tr>
      <w:tr w:rsidR="009C3895" w:rsidRPr="00306D47" w14:paraId="47805759" w14:textId="77777777" w:rsidTr="00AF6DAE">
        <w:trPr>
          <w:trHeight w:val="279"/>
        </w:trPr>
        <w:tc>
          <w:tcPr>
            <w:tcW w:w="1979" w:type="dxa"/>
            <w:gridSpan w:val="2"/>
            <w:shd w:val="clear" w:color="auto" w:fill="auto"/>
          </w:tcPr>
          <w:p w14:paraId="436D1386" w14:textId="77777777" w:rsidR="009C3895" w:rsidRDefault="009C3895">
            <w:r w:rsidRPr="00C57F94">
              <w:t>Projekts šo jomu neskar</w:t>
            </w:r>
          </w:p>
        </w:tc>
        <w:tc>
          <w:tcPr>
            <w:tcW w:w="2214" w:type="dxa"/>
            <w:shd w:val="clear" w:color="auto" w:fill="auto"/>
          </w:tcPr>
          <w:p w14:paraId="4A92E45B" w14:textId="77777777" w:rsidR="009C3895" w:rsidRDefault="009C3895">
            <w:r w:rsidRPr="00C57F94">
              <w:t>Projekts šo jomu neskar</w:t>
            </w:r>
          </w:p>
        </w:tc>
        <w:tc>
          <w:tcPr>
            <w:tcW w:w="2493" w:type="dxa"/>
            <w:shd w:val="clear" w:color="auto" w:fill="auto"/>
          </w:tcPr>
          <w:p w14:paraId="004F4763" w14:textId="77777777" w:rsidR="009C3895" w:rsidRDefault="009C3895">
            <w:r w:rsidRPr="00C57F94">
              <w:t>Projekts šo jomu neskar</w:t>
            </w:r>
          </w:p>
        </w:tc>
        <w:tc>
          <w:tcPr>
            <w:tcW w:w="2636" w:type="dxa"/>
            <w:shd w:val="clear" w:color="auto" w:fill="auto"/>
          </w:tcPr>
          <w:p w14:paraId="7C7249A6" w14:textId="77777777" w:rsidR="009C3895" w:rsidRPr="00306D47" w:rsidRDefault="009C3895" w:rsidP="003E463D">
            <w:pPr>
              <w:pStyle w:val="naiskr"/>
              <w:spacing w:before="0" w:after="0"/>
            </w:pPr>
            <w:r w:rsidRPr="00306D47">
              <w:rPr>
                <w:lang w:eastAsia="en-US"/>
              </w:rPr>
              <w:t>Projekts stingrākas prasības neparedz</w:t>
            </w:r>
            <w:r w:rsidRPr="00306D47">
              <w:t>.</w:t>
            </w:r>
          </w:p>
        </w:tc>
      </w:tr>
      <w:tr w:rsidR="009C3895" w:rsidRPr="00306D47" w14:paraId="5F4387E2" w14:textId="77777777" w:rsidTr="00AF6DAE">
        <w:trPr>
          <w:trHeight w:val="279"/>
        </w:trPr>
        <w:tc>
          <w:tcPr>
            <w:tcW w:w="1979" w:type="dxa"/>
            <w:gridSpan w:val="2"/>
            <w:shd w:val="clear" w:color="auto" w:fill="auto"/>
          </w:tcPr>
          <w:p w14:paraId="21A3C4BB" w14:textId="77777777" w:rsidR="009C3895" w:rsidRDefault="009C3895">
            <w:r w:rsidRPr="00C57F94">
              <w:t>Projekts šo jomu neskar</w:t>
            </w:r>
          </w:p>
        </w:tc>
        <w:tc>
          <w:tcPr>
            <w:tcW w:w="2214" w:type="dxa"/>
            <w:shd w:val="clear" w:color="auto" w:fill="auto"/>
          </w:tcPr>
          <w:p w14:paraId="22BEF3C8" w14:textId="77777777" w:rsidR="009C3895" w:rsidRDefault="009C3895">
            <w:r w:rsidRPr="00C57F94">
              <w:t>Projekts šo jomu neskar</w:t>
            </w:r>
          </w:p>
        </w:tc>
        <w:tc>
          <w:tcPr>
            <w:tcW w:w="2493" w:type="dxa"/>
            <w:shd w:val="clear" w:color="auto" w:fill="auto"/>
          </w:tcPr>
          <w:p w14:paraId="129AFBD4" w14:textId="77777777" w:rsidR="009C3895" w:rsidRDefault="009C3895">
            <w:r w:rsidRPr="00C57F94">
              <w:t>Projekts šo jomu neskar</w:t>
            </w:r>
          </w:p>
        </w:tc>
        <w:tc>
          <w:tcPr>
            <w:tcW w:w="2636" w:type="dxa"/>
            <w:shd w:val="clear" w:color="auto" w:fill="auto"/>
          </w:tcPr>
          <w:p w14:paraId="5EBBA205" w14:textId="77777777" w:rsidR="009C3895" w:rsidRPr="00306D47" w:rsidRDefault="009C3895" w:rsidP="003E463D">
            <w:pPr>
              <w:pStyle w:val="naiskr"/>
              <w:spacing w:before="0" w:after="0"/>
              <w:rPr>
                <w:lang w:eastAsia="en-US"/>
              </w:rPr>
            </w:pPr>
            <w:r w:rsidRPr="00306D47">
              <w:rPr>
                <w:lang w:eastAsia="en-US"/>
              </w:rPr>
              <w:t>Projekts stingrākas prasības neparedz</w:t>
            </w:r>
            <w:r w:rsidRPr="00306D47">
              <w:t>.</w:t>
            </w:r>
          </w:p>
        </w:tc>
      </w:tr>
      <w:tr w:rsidR="0065226B" w:rsidRPr="00306D47" w14:paraId="1091787C" w14:textId="77777777" w:rsidTr="00AF6DAE">
        <w:trPr>
          <w:trHeight w:val="279"/>
        </w:trPr>
        <w:tc>
          <w:tcPr>
            <w:tcW w:w="1979" w:type="dxa"/>
            <w:gridSpan w:val="2"/>
            <w:shd w:val="clear" w:color="auto" w:fill="auto"/>
          </w:tcPr>
          <w:p w14:paraId="3CC0E2C9" w14:textId="77777777" w:rsidR="0065226B" w:rsidRPr="00306D47" w:rsidRDefault="0065226B" w:rsidP="003E463D">
            <w:pPr>
              <w:pStyle w:val="naiskr"/>
              <w:spacing w:before="0" w:after="0"/>
            </w:pPr>
            <w:r w:rsidRPr="00306D47">
              <w:t>Kā ir izmantota ES tiesību aktā paredzētā rīcības brīvība dalībvalstij pārņemt vai ieviest noteiktas ES tiesību akta normas.</w:t>
            </w:r>
          </w:p>
          <w:p w14:paraId="4EC91242" w14:textId="77777777" w:rsidR="0065226B" w:rsidRPr="00306D47" w:rsidRDefault="0065226B" w:rsidP="003E463D">
            <w:pPr>
              <w:jc w:val="both"/>
            </w:pPr>
            <w:r w:rsidRPr="00306D47">
              <w:t>Kādēļ?</w:t>
            </w:r>
          </w:p>
        </w:tc>
        <w:tc>
          <w:tcPr>
            <w:tcW w:w="7343" w:type="dxa"/>
            <w:gridSpan w:val="3"/>
            <w:shd w:val="clear" w:color="auto" w:fill="auto"/>
          </w:tcPr>
          <w:p w14:paraId="12CE54A2" w14:textId="77777777" w:rsidR="0065226B" w:rsidRPr="00306D47" w:rsidRDefault="009C3895" w:rsidP="003E463D">
            <w:pPr>
              <w:jc w:val="both"/>
            </w:pPr>
            <w:r w:rsidRPr="00306D47">
              <w:t>Projekts šo jomu neskar</w:t>
            </w:r>
            <w:r w:rsidR="0065226B" w:rsidRPr="00306D47">
              <w:rPr>
                <w:lang w:eastAsia="en-US"/>
              </w:rPr>
              <w:t>.</w:t>
            </w:r>
          </w:p>
        </w:tc>
      </w:tr>
      <w:tr w:rsidR="0065226B" w:rsidRPr="00306D47" w14:paraId="006E9E80" w14:textId="77777777" w:rsidTr="00AF6DAE">
        <w:trPr>
          <w:trHeight w:val="682"/>
        </w:trPr>
        <w:tc>
          <w:tcPr>
            <w:tcW w:w="1979" w:type="dxa"/>
            <w:gridSpan w:val="2"/>
            <w:shd w:val="clear" w:color="auto" w:fill="auto"/>
          </w:tcPr>
          <w:p w14:paraId="37C7F847" w14:textId="77777777" w:rsidR="0065226B" w:rsidRPr="00306D47" w:rsidRDefault="0065226B" w:rsidP="003E463D">
            <w:r w:rsidRPr="00306D47">
              <w:t xml:space="preserve">Saistības sniegt paziņojumu ES institūcijām un ES dalībvalstīm atbilstoši normatīvajiem aktiem, kas regulē informācijas </w:t>
            </w:r>
            <w:r w:rsidRPr="00306D47">
              <w:lastRenderedPageBreak/>
              <w:t>sniegšanu par tehnisko noteikumu, valsts atbalsta piešķiršanas un finanšu noteikumu (attiecībā uz monetāro politiku) projektiem</w:t>
            </w:r>
          </w:p>
          <w:p w14:paraId="0D8C7D5C" w14:textId="77777777" w:rsidR="0065226B" w:rsidRPr="00306D47" w:rsidRDefault="0065226B" w:rsidP="003E463D"/>
        </w:tc>
        <w:tc>
          <w:tcPr>
            <w:tcW w:w="7343" w:type="dxa"/>
            <w:gridSpan w:val="3"/>
            <w:shd w:val="clear" w:color="auto" w:fill="auto"/>
          </w:tcPr>
          <w:p w14:paraId="61B1E36C" w14:textId="77777777" w:rsidR="0065226B" w:rsidRPr="00306D47" w:rsidRDefault="0065226B" w:rsidP="003E463D">
            <w:pPr>
              <w:jc w:val="both"/>
            </w:pPr>
            <w:r w:rsidRPr="00306D47">
              <w:rPr>
                <w:lang w:eastAsia="en-US"/>
              </w:rPr>
              <w:lastRenderedPageBreak/>
              <w:t>Projekts šo jomu neskar</w:t>
            </w:r>
            <w:r w:rsidRPr="00306D47">
              <w:t>.</w:t>
            </w:r>
          </w:p>
        </w:tc>
      </w:tr>
      <w:tr w:rsidR="0065226B" w:rsidRPr="00306D47" w14:paraId="5B14D1CB" w14:textId="77777777" w:rsidTr="00AF6DAE">
        <w:trPr>
          <w:trHeight w:val="279"/>
        </w:trPr>
        <w:tc>
          <w:tcPr>
            <w:tcW w:w="1979" w:type="dxa"/>
            <w:gridSpan w:val="2"/>
            <w:shd w:val="clear" w:color="auto" w:fill="auto"/>
          </w:tcPr>
          <w:p w14:paraId="2EC33612" w14:textId="77777777" w:rsidR="0065226B" w:rsidRPr="00306D47" w:rsidRDefault="0065226B" w:rsidP="003E463D">
            <w:pPr>
              <w:jc w:val="both"/>
            </w:pPr>
            <w:r w:rsidRPr="00306D47">
              <w:lastRenderedPageBreak/>
              <w:t>Cita informācija</w:t>
            </w:r>
          </w:p>
        </w:tc>
        <w:tc>
          <w:tcPr>
            <w:tcW w:w="7343" w:type="dxa"/>
            <w:gridSpan w:val="3"/>
            <w:shd w:val="clear" w:color="auto" w:fill="auto"/>
          </w:tcPr>
          <w:p w14:paraId="11FE1268" w14:textId="77777777" w:rsidR="0065226B" w:rsidRPr="00306D47" w:rsidRDefault="009C3895" w:rsidP="00EA4270">
            <w:pPr>
              <w:jc w:val="both"/>
            </w:pPr>
            <w:r>
              <w:t>Nav</w:t>
            </w:r>
            <w:r w:rsidR="008407E7" w:rsidRPr="00306D47">
              <w:t>.</w:t>
            </w:r>
          </w:p>
        </w:tc>
      </w:tr>
    </w:tbl>
    <w:p w14:paraId="48C14F2C" w14:textId="77777777" w:rsidR="0065226B" w:rsidRPr="00306D47" w:rsidRDefault="0065226B" w:rsidP="0065226B">
      <w:pPr>
        <w:spacing w:before="75" w:after="75"/>
        <w:ind w:firstLine="375"/>
        <w:jc w:val="both"/>
        <w:rPr>
          <w:lang w:eastAsia="en-US"/>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102"/>
        <w:gridCol w:w="4093"/>
      </w:tblGrid>
      <w:tr w:rsidR="0065226B" w:rsidRPr="00306D47" w14:paraId="11801089" w14:textId="77777777" w:rsidTr="003E463D">
        <w:trPr>
          <w:trHeight w:val="20"/>
        </w:trPr>
        <w:tc>
          <w:tcPr>
            <w:tcW w:w="9240" w:type="dxa"/>
            <w:gridSpan w:val="3"/>
            <w:shd w:val="clear" w:color="auto" w:fill="auto"/>
          </w:tcPr>
          <w:p w14:paraId="3B0714DD" w14:textId="77777777" w:rsidR="0065226B" w:rsidRPr="00306D47" w:rsidRDefault="0065226B" w:rsidP="003E463D">
            <w:pPr>
              <w:ind w:left="57"/>
              <w:jc w:val="center"/>
              <w:rPr>
                <w:b/>
              </w:rPr>
            </w:pPr>
            <w:r w:rsidRPr="00306D47">
              <w:rPr>
                <w:b/>
              </w:rPr>
              <w:t>2.tabula</w:t>
            </w:r>
          </w:p>
          <w:p w14:paraId="19B83FE0" w14:textId="77777777" w:rsidR="0065226B" w:rsidRPr="00306D47" w:rsidRDefault="0065226B" w:rsidP="003E463D">
            <w:pPr>
              <w:ind w:left="57"/>
              <w:jc w:val="center"/>
              <w:rPr>
                <w:b/>
              </w:rPr>
            </w:pPr>
            <w:r w:rsidRPr="00306D47">
              <w:rPr>
                <w:b/>
              </w:rPr>
              <w:t>Ar tiesību akta projektu izpildītās vai uzņemtās saistības, kas izriet no starptautiskajiem tiesību aktiem vai starptautiskas institūcijas vai organizācijas dokumentiem.</w:t>
            </w:r>
          </w:p>
          <w:p w14:paraId="4C7722D5" w14:textId="77777777" w:rsidR="0065226B" w:rsidRPr="00306D47" w:rsidRDefault="0065226B" w:rsidP="003E463D">
            <w:pPr>
              <w:ind w:left="57"/>
              <w:jc w:val="center"/>
              <w:rPr>
                <w:b/>
              </w:rPr>
            </w:pPr>
            <w:r w:rsidRPr="00306D47">
              <w:rPr>
                <w:b/>
              </w:rPr>
              <w:t>Pasākumi šo saistību izpildei</w:t>
            </w:r>
          </w:p>
        </w:tc>
      </w:tr>
      <w:tr w:rsidR="0065226B" w:rsidRPr="00306D47" w14:paraId="1ACC3007" w14:textId="77777777" w:rsidTr="003E463D">
        <w:trPr>
          <w:trHeight w:val="20"/>
        </w:trPr>
        <w:tc>
          <w:tcPr>
            <w:tcW w:w="2045" w:type="dxa"/>
            <w:shd w:val="clear" w:color="auto" w:fill="auto"/>
          </w:tcPr>
          <w:p w14:paraId="7907125C" w14:textId="77777777" w:rsidR="0065226B" w:rsidRPr="00306D47" w:rsidRDefault="0065226B" w:rsidP="003E463D">
            <w:pPr>
              <w:ind w:left="57"/>
            </w:pPr>
            <w:r w:rsidRPr="00306D47">
              <w:t>Attiecīgā starptautiskā tiesību akta vai starptautiskas institūcijas vai organizācijas dokumenta (turpmāk – starptautiskais dokuments) datums, numurs un nosaukums</w:t>
            </w:r>
          </w:p>
        </w:tc>
        <w:tc>
          <w:tcPr>
            <w:tcW w:w="7195" w:type="dxa"/>
            <w:gridSpan w:val="2"/>
            <w:shd w:val="clear" w:color="auto" w:fill="auto"/>
          </w:tcPr>
          <w:p w14:paraId="1F585546" w14:textId="77777777" w:rsidR="0065226B" w:rsidRPr="00306D47" w:rsidRDefault="0065226B" w:rsidP="003E463D">
            <w:pPr>
              <w:ind w:left="57"/>
            </w:pPr>
            <w:r w:rsidRPr="00306D47">
              <w:rPr>
                <w:lang w:eastAsia="en-US"/>
              </w:rPr>
              <w:t>Projekts šo jomu neskar</w:t>
            </w:r>
            <w:r w:rsidRPr="00306D47">
              <w:t>.</w:t>
            </w:r>
          </w:p>
        </w:tc>
      </w:tr>
      <w:tr w:rsidR="0065226B" w:rsidRPr="00306D47" w14:paraId="75B57770" w14:textId="77777777" w:rsidTr="003E463D">
        <w:trPr>
          <w:trHeight w:val="20"/>
        </w:trPr>
        <w:tc>
          <w:tcPr>
            <w:tcW w:w="2045" w:type="dxa"/>
            <w:shd w:val="clear" w:color="auto" w:fill="auto"/>
          </w:tcPr>
          <w:p w14:paraId="265B4EF7" w14:textId="77777777" w:rsidR="0065226B" w:rsidRPr="00306D47" w:rsidRDefault="0065226B" w:rsidP="003E463D">
            <w:pPr>
              <w:ind w:left="57"/>
              <w:jc w:val="center"/>
            </w:pPr>
            <w:r w:rsidRPr="00306D47">
              <w:t>A</w:t>
            </w:r>
          </w:p>
        </w:tc>
        <w:tc>
          <w:tcPr>
            <w:tcW w:w="3102" w:type="dxa"/>
            <w:shd w:val="clear" w:color="auto" w:fill="auto"/>
          </w:tcPr>
          <w:p w14:paraId="17F12C14" w14:textId="77777777" w:rsidR="0065226B" w:rsidRPr="00306D47" w:rsidRDefault="0065226B" w:rsidP="003E463D">
            <w:pPr>
              <w:ind w:left="57"/>
              <w:jc w:val="center"/>
            </w:pPr>
            <w:r w:rsidRPr="00306D47">
              <w:t>B</w:t>
            </w:r>
          </w:p>
        </w:tc>
        <w:tc>
          <w:tcPr>
            <w:tcW w:w="4093" w:type="dxa"/>
            <w:shd w:val="clear" w:color="auto" w:fill="auto"/>
          </w:tcPr>
          <w:p w14:paraId="1A34C6A5" w14:textId="77777777" w:rsidR="0065226B" w:rsidRPr="00306D47" w:rsidRDefault="0065226B" w:rsidP="003E463D">
            <w:pPr>
              <w:ind w:left="57"/>
              <w:jc w:val="center"/>
            </w:pPr>
            <w:r w:rsidRPr="00306D47">
              <w:t>C</w:t>
            </w:r>
          </w:p>
        </w:tc>
      </w:tr>
      <w:tr w:rsidR="0065226B" w:rsidRPr="00306D47" w14:paraId="7C268F92" w14:textId="77777777" w:rsidTr="003E463D">
        <w:trPr>
          <w:trHeight w:val="20"/>
        </w:trPr>
        <w:tc>
          <w:tcPr>
            <w:tcW w:w="2045" w:type="dxa"/>
            <w:shd w:val="clear" w:color="auto" w:fill="auto"/>
          </w:tcPr>
          <w:p w14:paraId="4DB3F92D" w14:textId="77777777" w:rsidR="0065226B" w:rsidRPr="00306D47" w:rsidRDefault="0065226B" w:rsidP="003E463D">
            <w:pPr>
              <w:spacing w:after="120"/>
              <w:ind w:left="57"/>
            </w:pPr>
            <w:r w:rsidRPr="00306D47">
              <w:t>Starptautiskās saistības (pēc būtības), kas izriet no norādītā starptautiskā dokumenta.</w:t>
            </w:r>
          </w:p>
          <w:p w14:paraId="0C6B05FF" w14:textId="77777777" w:rsidR="0065226B" w:rsidRPr="00306D47" w:rsidRDefault="0065226B" w:rsidP="003E463D">
            <w:pPr>
              <w:ind w:left="57"/>
            </w:pPr>
            <w:r w:rsidRPr="00306D47">
              <w:t>Konkrēti veicamie pasākumi vai uzdevumi, kas nepieciešami šo starptautisko saistību izpildei</w:t>
            </w:r>
          </w:p>
        </w:tc>
        <w:tc>
          <w:tcPr>
            <w:tcW w:w="3102" w:type="dxa"/>
            <w:shd w:val="clear" w:color="auto" w:fill="auto"/>
          </w:tcPr>
          <w:p w14:paraId="00D1C887" w14:textId="77777777" w:rsidR="0065226B" w:rsidRPr="00306D47" w:rsidRDefault="0065226B" w:rsidP="003E463D">
            <w:pPr>
              <w:ind w:left="57"/>
            </w:pPr>
            <w:r w:rsidRPr="00306D47">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093" w:type="dxa"/>
            <w:shd w:val="clear" w:color="auto" w:fill="auto"/>
          </w:tcPr>
          <w:p w14:paraId="0B06A210" w14:textId="77777777" w:rsidR="0065226B" w:rsidRPr="00306D47" w:rsidRDefault="0065226B" w:rsidP="003E463D">
            <w:pPr>
              <w:spacing w:after="120"/>
              <w:ind w:left="57"/>
            </w:pPr>
            <w:r w:rsidRPr="00306D47">
              <w:t>Informācija par to, vai starptautiskās saistības, kas minētas šīs tabulas A ailē, tiek izpildītas pilnībā vai daļēji.</w:t>
            </w:r>
          </w:p>
          <w:p w14:paraId="1883EA13" w14:textId="77777777" w:rsidR="0065226B" w:rsidRPr="00306D47" w:rsidRDefault="0065226B" w:rsidP="003E463D">
            <w:pPr>
              <w:spacing w:after="120"/>
              <w:ind w:left="57"/>
            </w:pPr>
            <w:r w:rsidRPr="00306D47">
              <w:t>Ja attiecīgās starptautiskās saistības tiek izpildītas daļēji, sniedz attiecīgu skaidrojumu, kā arī precīzi norāda, kad un kādā veidā starptautiskās saistības tiks izpildītas pilnībā.</w:t>
            </w:r>
          </w:p>
          <w:p w14:paraId="17B7AAF7" w14:textId="77777777" w:rsidR="0065226B" w:rsidRPr="00306D47" w:rsidRDefault="0065226B" w:rsidP="003E463D">
            <w:pPr>
              <w:ind w:left="57" w:right="57"/>
            </w:pPr>
            <w:r w:rsidRPr="00306D47">
              <w:t>Norāda institūciju, kas ir atbildīga par šo saistību izpildi pilnībā</w:t>
            </w:r>
          </w:p>
        </w:tc>
      </w:tr>
      <w:tr w:rsidR="0065226B" w:rsidRPr="00306D47" w14:paraId="0F993453" w14:textId="77777777" w:rsidTr="003E463D">
        <w:trPr>
          <w:trHeight w:val="20"/>
        </w:trPr>
        <w:tc>
          <w:tcPr>
            <w:tcW w:w="2045" w:type="dxa"/>
            <w:shd w:val="clear" w:color="auto" w:fill="auto"/>
          </w:tcPr>
          <w:p w14:paraId="6E5EC152" w14:textId="77777777" w:rsidR="0065226B" w:rsidRPr="00306D47" w:rsidRDefault="0065226B" w:rsidP="003E463D">
            <w:pPr>
              <w:rPr>
                <w:rFonts w:eastAsia="SimSun"/>
                <w:bCs/>
                <w:iCs/>
                <w:lang w:eastAsia="zh-CN"/>
              </w:rPr>
            </w:pPr>
            <w:r w:rsidRPr="00306D47">
              <w:t>Nav attiecināms.</w:t>
            </w:r>
          </w:p>
        </w:tc>
        <w:tc>
          <w:tcPr>
            <w:tcW w:w="3102" w:type="dxa"/>
            <w:shd w:val="clear" w:color="auto" w:fill="auto"/>
          </w:tcPr>
          <w:p w14:paraId="442B50F6" w14:textId="77777777" w:rsidR="0065226B" w:rsidRPr="00306D47" w:rsidRDefault="0065226B" w:rsidP="003E463D">
            <w:pPr>
              <w:spacing w:before="100" w:beforeAutospacing="1" w:after="100" w:afterAutospacing="1"/>
              <w:jc w:val="both"/>
              <w:rPr>
                <w:rFonts w:eastAsia="SimSun"/>
                <w:bCs/>
                <w:iCs/>
                <w:lang w:eastAsia="zh-CN"/>
              </w:rPr>
            </w:pPr>
            <w:r w:rsidRPr="00306D47">
              <w:rPr>
                <w:lang w:eastAsia="en-US"/>
              </w:rPr>
              <w:t>Projekts šo jomu neskar</w:t>
            </w:r>
            <w:r w:rsidRPr="00306D47">
              <w:t>.</w:t>
            </w:r>
          </w:p>
        </w:tc>
        <w:tc>
          <w:tcPr>
            <w:tcW w:w="4093" w:type="dxa"/>
            <w:shd w:val="clear" w:color="auto" w:fill="auto"/>
          </w:tcPr>
          <w:p w14:paraId="4CCDD60B" w14:textId="77777777" w:rsidR="0065226B" w:rsidRPr="00306D47" w:rsidRDefault="0065226B" w:rsidP="003E463D">
            <w:pPr>
              <w:spacing w:before="100" w:beforeAutospacing="1" w:after="100" w:afterAutospacing="1"/>
              <w:rPr>
                <w:rFonts w:eastAsia="SimSun"/>
                <w:bCs/>
                <w:iCs/>
                <w:lang w:eastAsia="zh-CN"/>
              </w:rPr>
            </w:pPr>
            <w:r w:rsidRPr="00306D47">
              <w:rPr>
                <w:lang w:eastAsia="en-US"/>
              </w:rPr>
              <w:t>Projekts šo jomu neskar</w:t>
            </w:r>
            <w:r w:rsidRPr="00306D47">
              <w:t>.</w:t>
            </w:r>
          </w:p>
        </w:tc>
      </w:tr>
      <w:tr w:rsidR="0065226B" w:rsidRPr="00306D47" w14:paraId="3900D707" w14:textId="77777777" w:rsidTr="003E463D">
        <w:trPr>
          <w:trHeight w:val="20"/>
        </w:trPr>
        <w:tc>
          <w:tcPr>
            <w:tcW w:w="2045" w:type="dxa"/>
            <w:shd w:val="clear" w:color="auto" w:fill="auto"/>
          </w:tcPr>
          <w:p w14:paraId="0378FCD8" w14:textId="77777777" w:rsidR="0065226B" w:rsidRPr="00306D47" w:rsidRDefault="0065226B" w:rsidP="003E463D">
            <w:pPr>
              <w:ind w:left="57"/>
            </w:pPr>
            <w:r w:rsidRPr="00306D47">
              <w:t xml:space="preserve">Vai starptautiskajā dokumentā paredzētās </w:t>
            </w:r>
            <w:r w:rsidRPr="00306D47">
              <w:lastRenderedPageBreak/>
              <w:t>saistības nav pretrunā ar jau esošajām Latvijas Republikas starptautiskajām saistībām</w:t>
            </w:r>
          </w:p>
        </w:tc>
        <w:tc>
          <w:tcPr>
            <w:tcW w:w="7195" w:type="dxa"/>
            <w:gridSpan w:val="2"/>
            <w:shd w:val="clear" w:color="auto" w:fill="auto"/>
          </w:tcPr>
          <w:p w14:paraId="53888FC8" w14:textId="77777777" w:rsidR="0065226B" w:rsidRPr="00306D47" w:rsidRDefault="0065226B" w:rsidP="003E463D">
            <w:r w:rsidRPr="00306D47">
              <w:rPr>
                <w:lang w:eastAsia="en-US"/>
              </w:rPr>
              <w:lastRenderedPageBreak/>
              <w:t>Projekts šo jomu neskar</w:t>
            </w:r>
            <w:r w:rsidRPr="00306D47">
              <w:t>.</w:t>
            </w:r>
          </w:p>
        </w:tc>
      </w:tr>
      <w:tr w:rsidR="0065226B" w:rsidRPr="00306D47" w14:paraId="4CEA9E9A" w14:textId="77777777" w:rsidTr="003E463D">
        <w:trPr>
          <w:trHeight w:val="20"/>
        </w:trPr>
        <w:tc>
          <w:tcPr>
            <w:tcW w:w="2045" w:type="dxa"/>
            <w:shd w:val="clear" w:color="auto" w:fill="auto"/>
          </w:tcPr>
          <w:p w14:paraId="70460C8B" w14:textId="77777777" w:rsidR="0065226B" w:rsidRPr="00306D47" w:rsidRDefault="0065226B" w:rsidP="003E463D">
            <w:pPr>
              <w:ind w:left="57"/>
            </w:pPr>
            <w:r w:rsidRPr="00306D47">
              <w:lastRenderedPageBreak/>
              <w:t>Cita informācija</w:t>
            </w:r>
          </w:p>
        </w:tc>
        <w:tc>
          <w:tcPr>
            <w:tcW w:w="7195" w:type="dxa"/>
            <w:gridSpan w:val="2"/>
            <w:shd w:val="clear" w:color="auto" w:fill="auto"/>
          </w:tcPr>
          <w:p w14:paraId="4A5C2B01" w14:textId="77777777" w:rsidR="0065226B" w:rsidRPr="00306D47" w:rsidRDefault="0065226B" w:rsidP="003E463D">
            <w:pPr>
              <w:ind w:left="57"/>
            </w:pPr>
            <w:r w:rsidRPr="00306D47">
              <w:t>Nav.</w:t>
            </w:r>
          </w:p>
        </w:tc>
      </w:tr>
    </w:tbl>
    <w:p w14:paraId="5FD36098" w14:textId="77777777" w:rsidR="00E46559" w:rsidRPr="00306D47" w:rsidRDefault="00E46559" w:rsidP="005C0C11">
      <w:pPr>
        <w:pStyle w:val="naisf"/>
        <w:spacing w:before="0" w:after="0"/>
        <w:jc w:val="center"/>
        <w:rPr>
          <w:b/>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2538"/>
        <w:gridCol w:w="5479"/>
        <w:gridCol w:w="1245"/>
      </w:tblGrid>
      <w:tr w:rsidR="00345F01" w:rsidRPr="002C1574" w14:paraId="116D2939" w14:textId="77777777" w:rsidTr="00DB3B44">
        <w:trPr>
          <w:trHeight w:val="262"/>
          <w:jc w:val="center"/>
        </w:trPr>
        <w:tc>
          <w:tcPr>
            <w:tcW w:w="5000" w:type="pct"/>
            <w:gridSpan w:val="3"/>
            <w:tcBorders>
              <w:top w:val="single" w:sz="4" w:space="0" w:color="auto"/>
              <w:left w:val="single" w:sz="4" w:space="0" w:color="auto"/>
              <w:bottom w:val="single" w:sz="4" w:space="0" w:color="auto"/>
              <w:right w:val="single" w:sz="4" w:space="0" w:color="auto"/>
            </w:tcBorders>
          </w:tcPr>
          <w:p w14:paraId="09620BD9" w14:textId="77777777" w:rsidR="00345F01" w:rsidRPr="00DB3B44" w:rsidRDefault="00345F01" w:rsidP="00DB3B44">
            <w:pPr>
              <w:jc w:val="center"/>
              <w:rPr>
                <w:b/>
              </w:rPr>
            </w:pPr>
            <w:r w:rsidRPr="00DB3B44">
              <w:rPr>
                <w:b/>
              </w:rPr>
              <w:t>VI. Sabiedrības līdzdalība un komunikācijas aktivitātes</w:t>
            </w:r>
          </w:p>
        </w:tc>
      </w:tr>
      <w:tr w:rsidR="00345F01" w:rsidRPr="002C1574" w14:paraId="5E972205" w14:textId="77777777" w:rsidTr="00DB3B44">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0" w:type="dxa"/>
            <w:left w:w="20" w:type="dxa"/>
            <w:bottom w:w="20" w:type="dxa"/>
            <w:right w:w="20" w:type="dxa"/>
          </w:tblCellMar>
          <w:tblLook w:val="04A0" w:firstRow="1" w:lastRow="0" w:firstColumn="1" w:lastColumn="0" w:noHBand="0" w:noVBand="1"/>
        </w:tblPrEx>
        <w:trPr>
          <w:gridAfter w:val="1"/>
          <w:wAfter w:w="672" w:type="pct"/>
          <w:trHeight w:val="360"/>
          <w:tblCellSpacing w:w="15" w:type="dxa"/>
          <w:jc w:val="center"/>
        </w:trPr>
        <w:tc>
          <w:tcPr>
            <w:tcW w:w="1370" w:type="pct"/>
            <w:tcBorders>
              <w:top w:val="outset" w:sz="6" w:space="0" w:color="auto"/>
              <w:left w:val="outset" w:sz="6" w:space="0" w:color="auto"/>
              <w:bottom w:val="outset" w:sz="6" w:space="0" w:color="auto"/>
              <w:right w:val="outset" w:sz="6" w:space="0" w:color="auto"/>
            </w:tcBorders>
            <w:hideMark/>
          </w:tcPr>
          <w:p w14:paraId="23D33BB0" w14:textId="5AC2E02B" w:rsidR="00345F01" w:rsidRPr="002C1574" w:rsidRDefault="00345F01" w:rsidP="00050F60">
            <w:r>
              <w:t xml:space="preserve">1. </w:t>
            </w:r>
            <w:r w:rsidRPr="002C1574">
              <w:t>Plānotās sabiedrības līdzdalības un komunikācijas aktivitātes saistībā ar projektu</w:t>
            </w:r>
          </w:p>
        </w:tc>
        <w:tc>
          <w:tcPr>
            <w:tcW w:w="2958" w:type="pct"/>
            <w:tcBorders>
              <w:top w:val="outset" w:sz="6" w:space="0" w:color="auto"/>
              <w:left w:val="outset" w:sz="6" w:space="0" w:color="auto"/>
              <w:bottom w:val="outset" w:sz="6" w:space="0" w:color="auto"/>
              <w:right w:val="outset" w:sz="6" w:space="0" w:color="auto"/>
            </w:tcBorders>
            <w:hideMark/>
          </w:tcPr>
          <w:p w14:paraId="79A58974" w14:textId="77777777" w:rsidR="00345F01" w:rsidRPr="002C1574" w:rsidRDefault="00345F01" w:rsidP="00050F60">
            <w:r w:rsidRPr="002C1574">
              <w:t xml:space="preserve">Projekts šo jomu neskar. </w:t>
            </w:r>
          </w:p>
        </w:tc>
      </w:tr>
      <w:tr w:rsidR="00345F01" w:rsidRPr="002C1574" w14:paraId="693B81EC" w14:textId="77777777" w:rsidTr="00DB3B44">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0" w:type="dxa"/>
            <w:left w:w="20" w:type="dxa"/>
            <w:bottom w:w="20" w:type="dxa"/>
            <w:right w:w="20" w:type="dxa"/>
          </w:tblCellMar>
          <w:tblLook w:val="04A0" w:firstRow="1" w:lastRow="0" w:firstColumn="1" w:lastColumn="0" w:noHBand="0" w:noVBand="1"/>
        </w:tblPrEx>
        <w:trPr>
          <w:gridAfter w:val="1"/>
          <w:wAfter w:w="672" w:type="pct"/>
          <w:trHeight w:val="220"/>
          <w:tblCellSpacing w:w="15" w:type="dxa"/>
          <w:jc w:val="center"/>
        </w:trPr>
        <w:tc>
          <w:tcPr>
            <w:tcW w:w="1370" w:type="pct"/>
            <w:tcBorders>
              <w:top w:val="outset" w:sz="6" w:space="0" w:color="auto"/>
              <w:left w:val="outset" w:sz="6" w:space="0" w:color="auto"/>
              <w:bottom w:val="outset" w:sz="6" w:space="0" w:color="auto"/>
              <w:right w:val="outset" w:sz="6" w:space="0" w:color="auto"/>
            </w:tcBorders>
            <w:hideMark/>
          </w:tcPr>
          <w:p w14:paraId="670115D2" w14:textId="39A3537C" w:rsidR="00345F01" w:rsidRPr="002C1574" w:rsidRDefault="00345F01" w:rsidP="00050F60">
            <w:r>
              <w:t xml:space="preserve">2. </w:t>
            </w:r>
            <w:r w:rsidRPr="002C1574">
              <w:t>Sabiedrības līdzdalība projekta izstrādē</w:t>
            </w:r>
          </w:p>
        </w:tc>
        <w:tc>
          <w:tcPr>
            <w:tcW w:w="2958" w:type="pct"/>
            <w:tcBorders>
              <w:top w:val="outset" w:sz="6" w:space="0" w:color="auto"/>
              <w:left w:val="outset" w:sz="6" w:space="0" w:color="auto"/>
              <w:bottom w:val="outset" w:sz="6" w:space="0" w:color="auto"/>
              <w:right w:val="outset" w:sz="6" w:space="0" w:color="auto"/>
            </w:tcBorders>
            <w:hideMark/>
          </w:tcPr>
          <w:p w14:paraId="2FAF0ABB" w14:textId="77777777" w:rsidR="00345F01" w:rsidRPr="002C1574" w:rsidRDefault="00345F01" w:rsidP="00050F60">
            <w:r w:rsidRPr="002C1574">
              <w:t>Nevalstiskais un privātais sektors piedalījās projekta izstrādē</w:t>
            </w:r>
          </w:p>
        </w:tc>
      </w:tr>
      <w:tr w:rsidR="00345F01" w:rsidRPr="002C1574" w14:paraId="268414E0" w14:textId="77777777" w:rsidTr="00DB3B44">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0" w:type="dxa"/>
            <w:left w:w="20" w:type="dxa"/>
            <w:bottom w:w="20" w:type="dxa"/>
            <w:right w:w="20" w:type="dxa"/>
          </w:tblCellMar>
          <w:tblLook w:val="04A0" w:firstRow="1" w:lastRow="0" w:firstColumn="1" w:lastColumn="0" w:noHBand="0" w:noVBand="1"/>
        </w:tblPrEx>
        <w:trPr>
          <w:gridAfter w:val="1"/>
          <w:wAfter w:w="672" w:type="pct"/>
          <w:trHeight w:val="310"/>
          <w:tblCellSpacing w:w="15" w:type="dxa"/>
          <w:jc w:val="center"/>
        </w:trPr>
        <w:tc>
          <w:tcPr>
            <w:tcW w:w="1370" w:type="pct"/>
            <w:tcBorders>
              <w:top w:val="outset" w:sz="6" w:space="0" w:color="auto"/>
              <w:left w:val="outset" w:sz="6" w:space="0" w:color="auto"/>
              <w:bottom w:val="outset" w:sz="6" w:space="0" w:color="auto"/>
              <w:right w:val="outset" w:sz="6" w:space="0" w:color="auto"/>
            </w:tcBorders>
            <w:hideMark/>
          </w:tcPr>
          <w:p w14:paraId="2AF41A58" w14:textId="49C68613" w:rsidR="00345F01" w:rsidRPr="002C1574" w:rsidRDefault="00345F01" w:rsidP="00050F60">
            <w:r>
              <w:t xml:space="preserve">3. </w:t>
            </w:r>
            <w:r w:rsidRPr="002C1574">
              <w:t>Sabiedrības līdzdalības rezultāti</w:t>
            </w:r>
          </w:p>
        </w:tc>
        <w:tc>
          <w:tcPr>
            <w:tcW w:w="2958" w:type="pct"/>
            <w:tcBorders>
              <w:top w:val="outset" w:sz="6" w:space="0" w:color="auto"/>
              <w:left w:val="outset" w:sz="6" w:space="0" w:color="auto"/>
              <w:bottom w:val="outset" w:sz="6" w:space="0" w:color="auto"/>
              <w:right w:val="outset" w:sz="6" w:space="0" w:color="auto"/>
            </w:tcBorders>
            <w:hideMark/>
          </w:tcPr>
          <w:p w14:paraId="71A3731D" w14:textId="77777777" w:rsidR="00345F01" w:rsidRPr="002C1574" w:rsidRDefault="00345F01" w:rsidP="00050F60">
            <w:r w:rsidRPr="002C1574">
              <w:t>Priekšlikums ir kopīgs ar Valsts kancelejas direktora 2012.gada 29.novembra rīkojumu Nr.78 "Par darba grupu" izveidotās ekspertu darba grupas rezultāts.</w:t>
            </w:r>
          </w:p>
        </w:tc>
      </w:tr>
      <w:tr w:rsidR="00345F01" w:rsidRPr="002C1574" w14:paraId="52A7E8AC" w14:textId="77777777" w:rsidTr="00DB3B44">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0" w:type="dxa"/>
            <w:left w:w="20" w:type="dxa"/>
            <w:bottom w:w="20" w:type="dxa"/>
            <w:right w:w="20" w:type="dxa"/>
          </w:tblCellMar>
          <w:tblLook w:val="04A0" w:firstRow="1" w:lastRow="0" w:firstColumn="1" w:lastColumn="0" w:noHBand="0" w:noVBand="1"/>
        </w:tblPrEx>
        <w:trPr>
          <w:gridAfter w:val="1"/>
          <w:wAfter w:w="672" w:type="pct"/>
          <w:trHeight w:val="310"/>
          <w:tblCellSpacing w:w="15" w:type="dxa"/>
          <w:jc w:val="center"/>
        </w:trPr>
        <w:tc>
          <w:tcPr>
            <w:tcW w:w="1370" w:type="pct"/>
            <w:tcBorders>
              <w:top w:val="outset" w:sz="6" w:space="0" w:color="auto"/>
              <w:left w:val="outset" w:sz="6" w:space="0" w:color="auto"/>
              <w:bottom w:val="outset" w:sz="6" w:space="0" w:color="auto"/>
              <w:right w:val="outset" w:sz="6" w:space="0" w:color="auto"/>
            </w:tcBorders>
            <w:hideMark/>
          </w:tcPr>
          <w:p w14:paraId="34219A3C" w14:textId="6012726C" w:rsidR="00345F01" w:rsidRPr="002C1574" w:rsidRDefault="00345F01" w:rsidP="00050F60">
            <w:r>
              <w:t xml:space="preserve">4. </w:t>
            </w:r>
            <w:r w:rsidRPr="002C1574">
              <w:t>Cita informācija</w:t>
            </w:r>
          </w:p>
        </w:tc>
        <w:tc>
          <w:tcPr>
            <w:tcW w:w="2958" w:type="pct"/>
            <w:tcBorders>
              <w:top w:val="outset" w:sz="6" w:space="0" w:color="auto"/>
              <w:left w:val="outset" w:sz="6" w:space="0" w:color="auto"/>
              <w:bottom w:val="outset" w:sz="6" w:space="0" w:color="auto"/>
              <w:right w:val="outset" w:sz="6" w:space="0" w:color="auto"/>
            </w:tcBorders>
            <w:hideMark/>
          </w:tcPr>
          <w:p w14:paraId="0826C6DE" w14:textId="77777777" w:rsidR="00345F01" w:rsidRPr="002C1574" w:rsidRDefault="00345F01" w:rsidP="00050F60">
            <w:pPr>
              <w:spacing w:before="100" w:beforeAutospacing="1" w:after="100" w:afterAutospacing="1"/>
            </w:pPr>
            <w:r w:rsidRPr="002C1574">
              <w:t>Nav</w:t>
            </w:r>
          </w:p>
        </w:tc>
      </w:tr>
    </w:tbl>
    <w:p w14:paraId="1D74D33E" w14:textId="77777777" w:rsidR="0015060C" w:rsidRPr="00306D47" w:rsidRDefault="0015060C" w:rsidP="005C0C11">
      <w:pPr>
        <w:pStyle w:val="naisf"/>
        <w:spacing w:before="0" w:after="0"/>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5"/>
        <w:gridCol w:w="3271"/>
        <w:gridCol w:w="5494"/>
      </w:tblGrid>
      <w:tr w:rsidR="0023436E" w:rsidRPr="00306D47" w14:paraId="02A66988" w14:textId="77777777" w:rsidTr="00C173EB">
        <w:tc>
          <w:tcPr>
            <w:tcW w:w="5000" w:type="pct"/>
            <w:gridSpan w:val="3"/>
            <w:tcBorders>
              <w:top w:val="single" w:sz="4" w:space="0" w:color="auto"/>
            </w:tcBorders>
          </w:tcPr>
          <w:p w14:paraId="25D8A108" w14:textId="77777777" w:rsidR="0023436E" w:rsidRPr="00306D47" w:rsidRDefault="0023436E" w:rsidP="005C0C11">
            <w:pPr>
              <w:pStyle w:val="naisnod"/>
              <w:spacing w:before="0" w:after="0"/>
              <w:ind w:left="57" w:right="57"/>
            </w:pPr>
            <w:r w:rsidRPr="00306D47">
              <w:t>VII</w:t>
            </w:r>
            <w:r w:rsidR="000941C5" w:rsidRPr="00306D47">
              <w:t>.</w:t>
            </w:r>
            <w:r w:rsidRPr="00306D47">
              <w:t xml:space="preserve"> Tiesību akta projekta izpildes nodrošināšana un tās ietekme uz institūcijām</w:t>
            </w:r>
          </w:p>
        </w:tc>
      </w:tr>
      <w:tr w:rsidR="00C173EB" w:rsidRPr="00306D47" w14:paraId="2C5F5443" w14:textId="77777777" w:rsidTr="00DB3B44">
        <w:trPr>
          <w:trHeight w:val="246"/>
        </w:trPr>
        <w:tc>
          <w:tcPr>
            <w:tcW w:w="257" w:type="pct"/>
          </w:tcPr>
          <w:p w14:paraId="452B2DAB" w14:textId="77777777" w:rsidR="00C173EB" w:rsidRPr="00306D47" w:rsidRDefault="00C173EB" w:rsidP="00C173EB">
            <w:pPr>
              <w:pStyle w:val="naisnod"/>
              <w:spacing w:before="0" w:after="0"/>
              <w:ind w:left="57" w:right="57"/>
              <w:jc w:val="left"/>
              <w:rPr>
                <w:b w:val="0"/>
              </w:rPr>
            </w:pPr>
            <w:r w:rsidRPr="00306D47">
              <w:rPr>
                <w:b w:val="0"/>
              </w:rPr>
              <w:t>1.</w:t>
            </w:r>
          </w:p>
        </w:tc>
        <w:tc>
          <w:tcPr>
            <w:tcW w:w="1752" w:type="pct"/>
          </w:tcPr>
          <w:p w14:paraId="2483D9DC" w14:textId="77777777" w:rsidR="00C173EB" w:rsidRPr="00306D47" w:rsidRDefault="00C173EB" w:rsidP="00C173EB">
            <w:pPr>
              <w:pStyle w:val="naisf"/>
              <w:spacing w:before="0" w:after="0"/>
              <w:ind w:left="57" w:right="57" w:firstLine="0"/>
              <w:jc w:val="left"/>
            </w:pPr>
            <w:r w:rsidRPr="00306D47">
              <w:t xml:space="preserve">Projekta izpildē iesaistītās institūcijas </w:t>
            </w:r>
          </w:p>
        </w:tc>
        <w:tc>
          <w:tcPr>
            <w:tcW w:w="2991" w:type="pct"/>
          </w:tcPr>
          <w:p w14:paraId="71498424" w14:textId="77777777" w:rsidR="00C173EB" w:rsidRPr="00306D47" w:rsidRDefault="009C3895" w:rsidP="00C173EB">
            <w:pPr>
              <w:pStyle w:val="naiskr"/>
              <w:spacing w:before="0" w:after="0"/>
              <w:jc w:val="both"/>
            </w:pPr>
            <w:r w:rsidRPr="00306D47">
              <w:t>Projekts šo jomu neskar</w:t>
            </w:r>
          </w:p>
        </w:tc>
      </w:tr>
      <w:tr w:rsidR="0023436E" w:rsidRPr="00306D47" w14:paraId="3BC3009C" w14:textId="77777777" w:rsidTr="00C173EB">
        <w:trPr>
          <w:trHeight w:val="780"/>
        </w:trPr>
        <w:tc>
          <w:tcPr>
            <w:tcW w:w="221" w:type="pct"/>
          </w:tcPr>
          <w:p w14:paraId="506C561A" w14:textId="6730370D" w:rsidR="0023436E" w:rsidRPr="00306D47" w:rsidRDefault="001A3610" w:rsidP="005C0C11">
            <w:pPr>
              <w:pStyle w:val="naisnod"/>
              <w:spacing w:before="0" w:after="0"/>
              <w:ind w:left="57" w:right="57"/>
              <w:jc w:val="left"/>
              <w:rPr>
                <w:b w:val="0"/>
              </w:rPr>
            </w:pPr>
            <w:r>
              <w:rPr>
                <w:b w:val="0"/>
              </w:rPr>
              <w:t>2</w:t>
            </w:r>
            <w:r w:rsidR="0023436E" w:rsidRPr="00306D47">
              <w:rPr>
                <w:b w:val="0"/>
              </w:rPr>
              <w:t>.</w:t>
            </w:r>
          </w:p>
        </w:tc>
        <w:tc>
          <w:tcPr>
            <w:tcW w:w="1770" w:type="pct"/>
          </w:tcPr>
          <w:p w14:paraId="67300D04" w14:textId="68CFC7C6" w:rsidR="0023436E" w:rsidRDefault="001A4066" w:rsidP="005C0C11">
            <w:pPr>
              <w:pStyle w:val="naisf"/>
              <w:spacing w:before="0" w:after="0"/>
              <w:ind w:left="57" w:right="57" w:firstLine="0"/>
              <w:jc w:val="left"/>
            </w:pPr>
            <w:r w:rsidRPr="00306D47">
              <w:t>Projekta i</w:t>
            </w:r>
            <w:r w:rsidR="0023436E" w:rsidRPr="00306D47">
              <w:t xml:space="preserve">zpildes ietekme uz pārvaldes </w:t>
            </w:r>
            <w:r w:rsidR="001A3610">
              <w:t xml:space="preserve">funkcijām un </w:t>
            </w:r>
            <w:r w:rsidR="0023436E" w:rsidRPr="00306D47">
              <w:t>institucionālo struktūru.</w:t>
            </w:r>
          </w:p>
          <w:p w14:paraId="0B7B43C3" w14:textId="77777777" w:rsidR="00F41BB1" w:rsidRPr="00306D47" w:rsidRDefault="00F41BB1" w:rsidP="005C0C11">
            <w:pPr>
              <w:pStyle w:val="naisf"/>
              <w:spacing w:before="0" w:after="0"/>
              <w:ind w:left="57" w:right="57" w:firstLine="0"/>
              <w:jc w:val="left"/>
            </w:pPr>
          </w:p>
          <w:p w14:paraId="39705009" w14:textId="3FBCD0B4" w:rsidR="0023436E" w:rsidRPr="00306D47" w:rsidRDefault="00F41BB1" w:rsidP="00F41BB1">
            <w:pPr>
              <w:pStyle w:val="naisf"/>
              <w:spacing w:before="0" w:after="0"/>
              <w:ind w:left="57" w:right="57" w:firstLine="0"/>
              <w:jc w:val="left"/>
            </w:pPr>
            <w:r>
              <w:t>Jaunu institūciju izveide, esošu institūciju likvidācija vai reorganizācija, to ietekme uz institūcijas cilvēkresursiem</w:t>
            </w:r>
          </w:p>
        </w:tc>
        <w:tc>
          <w:tcPr>
            <w:tcW w:w="3009" w:type="pct"/>
          </w:tcPr>
          <w:p w14:paraId="24BB2D3B" w14:textId="77777777" w:rsidR="0023436E" w:rsidRPr="00306D47" w:rsidRDefault="00A81C89" w:rsidP="00A26E74">
            <w:pPr>
              <w:pStyle w:val="naisnod"/>
              <w:spacing w:before="0" w:after="0"/>
              <w:ind w:right="57"/>
              <w:jc w:val="both"/>
              <w:rPr>
                <w:b w:val="0"/>
                <w:highlight w:val="yellow"/>
              </w:rPr>
            </w:pPr>
            <w:r w:rsidRPr="00306D47">
              <w:rPr>
                <w:b w:val="0"/>
              </w:rPr>
              <w:t>Projekts šo jomu neskar.</w:t>
            </w:r>
          </w:p>
        </w:tc>
      </w:tr>
      <w:tr w:rsidR="0023436E" w:rsidRPr="00306D47" w14:paraId="61758E44" w14:textId="77777777" w:rsidTr="00DB3B44">
        <w:trPr>
          <w:trHeight w:val="258"/>
        </w:trPr>
        <w:tc>
          <w:tcPr>
            <w:tcW w:w="257" w:type="pct"/>
          </w:tcPr>
          <w:p w14:paraId="1326D4E7" w14:textId="0261039A" w:rsidR="0023436E" w:rsidRPr="00306D47" w:rsidRDefault="00F41BB1" w:rsidP="005C0C11">
            <w:pPr>
              <w:pStyle w:val="naiskr"/>
              <w:spacing w:before="0" w:after="0"/>
              <w:ind w:left="57" w:right="57"/>
            </w:pPr>
            <w:r>
              <w:t>3.</w:t>
            </w:r>
          </w:p>
        </w:tc>
        <w:tc>
          <w:tcPr>
            <w:tcW w:w="1752" w:type="pct"/>
          </w:tcPr>
          <w:p w14:paraId="53C24FD9" w14:textId="77777777" w:rsidR="0023436E" w:rsidRPr="00306D47" w:rsidRDefault="006C4607" w:rsidP="005C0C11">
            <w:pPr>
              <w:pStyle w:val="naiskr"/>
              <w:spacing w:before="0" w:after="0"/>
              <w:ind w:left="57" w:right="57"/>
            </w:pPr>
            <w:r w:rsidRPr="00306D47">
              <w:t>Cita informācija</w:t>
            </w:r>
          </w:p>
        </w:tc>
        <w:tc>
          <w:tcPr>
            <w:tcW w:w="2991" w:type="pct"/>
          </w:tcPr>
          <w:p w14:paraId="607E1EEF" w14:textId="77777777" w:rsidR="0023436E" w:rsidRPr="00306D47" w:rsidRDefault="00593E8B" w:rsidP="005C0C11">
            <w:pPr>
              <w:pStyle w:val="naiskr"/>
              <w:spacing w:before="0" w:after="0"/>
              <w:ind w:left="57" w:right="57"/>
            </w:pPr>
            <w:r w:rsidRPr="00306D47">
              <w:t xml:space="preserve">Nav </w:t>
            </w:r>
          </w:p>
        </w:tc>
      </w:tr>
    </w:tbl>
    <w:p w14:paraId="75DF9F91" w14:textId="77777777" w:rsidR="00C173EB" w:rsidRPr="00306D47" w:rsidRDefault="00C173EB" w:rsidP="005E5BC3">
      <w:pPr>
        <w:pStyle w:val="naisf"/>
        <w:tabs>
          <w:tab w:val="left" w:pos="5760"/>
        </w:tabs>
        <w:spacing w:before="0" w:after="0"/>
        <w:ind w:firstLine="0"/>
      </w:pPr>
    </w:p>
    <w:p w14:paraId="1EF967DA" w14:textId="77777777" w:rsidR="00835614" w:rsidRDefault="00835614" w:rsidP="00654A0D">
      <w:pPr>
        <w:ind w:firstLine="720"/>
      </w:pPr>
    </w:p>
    <w:p w14:paraId="6111D881" w14:textId="77777777" w:rsidR="0018359E" w:rsidRPr="00306D47" w:rsidRDefault="0018359E" w:rsidP="00654A0D">
      <w:pPr>
        <w:ind w:firstLine="720"/>
      </w:pPr>
      <w:r>
        <w:t>Finanšu ministrs</w:t>
      </w:r>
      <w:r>
        <w:tab/>
      </w:r>
      <w:r>
        <w:tab/>
      </w:r>
      <w:r>
        <w:tab/>
      </w:r>
      <w:r>
        <w:tab/>
      </w:r>
      <w:r>
        <w:tab/>
      </w:r>
      <w:r>
        <w:tab/>
      </w:r>
      <w:r>
        <w:tab/>
      </w:r>
      <w:r w:rsidR="001B758A">
        <w:t>J.Reirs</w:t>
      </w:r>
    </w:p>
    <w:p w14:paraId="04ABC38E" w14:textId="77777777" w:rsidR="0018359E" w:rsidRDefault="0018359E" w:rsidP="00654A0D">
      <w:pPr>
        <w:ind w:firstLine="720"/>
      </w:pPr>
    </w:p>
    <w:p w14:paraId="4C79C746" w14:textId="77777777" w:rsidR="00654A0D" w:rsidRPr="00306D47" w:rsidRDefault="00654A0D" w:rsidP="00654A0D">
      <w:pPr>
        <w:ind w:firstLine="720"/>
      </w:pPr>
      <w:r w:rsidRPr="00306D47">
        <w:t>V</w:t>
      </w:r>
      <w:r w:rsidR="00835614" w:rsidRPr="00306D47">
        <w:t>ī</w:t>
      </w:r>
      <w:r w:rsidRPr="00306D47">
        <w:t>zē:</w:t>
      </w:r>
    </w:p>
    <w:p w14:paraId="76DE941B" w14:textId="77777777" w:rsidR="00654A0D" w:rsidRPr="00306D47" w:rsidRDefault="00654A0D" w:rsidP="0066411A">
      <w:pPr>
        <w:ind w:left="720"/>
      </w:pPr>
      <w:r w:rsidRPr="00306D47">
        <w:t>Valsts sekretār</w:t>
      </w:r>
      <w:r w:rsidR="0018359E">
        <w:t>e</w:t>
      </w:r>
      <w:r w:rsidR="0066411A" w:rsidRPr="00306D47">
        <w:t xml:space="preserve"> </w:t>
      </w:r>
      <w:r w:rsidR="0066411A" w:rsidRPr="00306D47">
        <w:tab/>
      </w:r>
      <w:r w:rsidR="0066411A" w:rsidRPr="00306D47">
        <w:tab/>
      </w:r>
      <w:r w:rsidR="0066411A" w:rsidRPr="00306D47">
        <w:tab/>
      </w:r>
      <w:r w:rsidR="0066411A" w:rsidRPr="00306D47">
        <w:tab/>
      </w:r>
      <w:r w:rsidR="0066411A" w:rsidRPr="00306D47">
        <w:tab/>
      </w:r>
      <w:r w:rsidR="0066411A" w:rsidRPr="00306D47">
        <w:tab/>
      </w:r>
      <w:r w:rsidR="00B831C6" w:rsidRPr="00306D47">
        <w:tab/>
      </w:r>
      <w:proofErr w:type="spellStart"/>
      <w:r w:rsidR="0018359E">
        <w:t>B.Bāne</w:t>
      </w:r>
      <w:proofErr w:type="spellEnd"/>
    </w:p>
    <w:p w14:paraId="53E4BB2E" w14:textId="77777777" w:rsidR="00654A0D" w:rsidRPr="00306D47" w:rsidRDefault="00654A0D" w:rsidP="00654A0D">
      <w:pPr>
        <w:jc w:val="both"/>
      </w:pPr>
    </w:p>
    <w:sectPr w:rsidR="00654A0D" w:rsidRPr="00306D47" w:rsidSect="00AF6DAE">
      <w:headerReference w:type="even" r:id="rId8"/>
      <w:headerReference w:type="default" r:id="rId9"/>
      <w:footerReference w:type="default" r:id="rId10"/>
      <w:footerReference w:type="first" r:id="rId11"/>
      <w:pgSz w:w="11906" w:h="16838" w:code="9"/>
      <w:pgMar w:top="899" w:right="1134" w:bottom="1560" w:left="1560" w:header="709" w:footer="2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1B31A" w14:textId="77777777" w:rsidR="00D6520F" w:rsidRDefault="00D6520F">
      <w:r>
        <w:separator/>
      </w:r>
    </w:p>
  </w:endnote>
  <w:endnote w:type="continuationSeparator" w:id="0">
    <w:p w14:paraId="51252554" w14:textId="77777777" w:rsidR="00D6520F" w:rsidRDefault="00D65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6163A" w14:textId="77777777" w:rsidR="00D10E60" w:rsidRPr="003A437F" w:rsidRDefault="00D10E60" w:rsidP="00D10E60">
    <w:pPr>
      <w:pStyle w:val="naislab"/>
      <w:spacing w:before="0" w:after="0"/>
      <w:jc w:val="both"/>
      <w:rPr>
        <w:szCs w:val="20"/>
      </w:rPr>
    </w:pPr>
    <w:r>
      <w:rPr>
        <w:sz w:val="20"/>
        <w:szCs w:val="20"/>
      </w:rPr>
      <w:t>F</w:t>
    </w:r>
    <w:r w:rsidRPr="009A1A66">
      <w:rPr>
        <w:sz w:val="20"/>
        <w:szCs w:val="20"/>
      </w:rPr>
      <w:t>MAnot_</w:t>
    </w:r>
    <w:r>
      <w:rPr>
        <w:sz w:val="20"/>
        <w:szCs w:val="20"/>
      </w:rPr>
      <w:t xml:space="preserve">110814_SPSIL; Likumprojekta „Grozījumi Sabiedrisko pakalpojumu sniedzēju iepirkumu likumā” </w:t>
    </w:r>
    <w:r w:rsidRPr="00B82546">
      <w:rPr>
        <w:sz w:val="20"/>
        <w:szCs w:val="20"/>
      </w:rPr>
      <w:t xml:space="preserve">sākotnējās ietekmes novērtējuma </w:t>
    </w:r>
    <w:smartTag w:uri="schemas-tilde-lv/tildestengine" w:element="currency2">
      <w:smartTagPr>
        <w:attr w:name="id" w:val="-1"/>
        <w:attr w:name="baseform" w:val="ziņojums"/>
        <w:attr w:name="text" w:val="ziņojums"/>
      </w:smartTagPr>
      <w:r w:rsidRPr="00B82546">
        <w:rPr>
          <w:sz w:val="20"/>
          <w:szCs w:val="20"/>
        </w:rPr>
        <w:t>ziņojums</w:t>
      </w:r>
    </w:smartTag>
    <w:r w:rsidRPr="00B82546">
      <w:rPr>
        <w:sz w:val="20"/>
        <w:szCs w:val="20"/>
      </w:rPr>
      <w:t xml:space="preserve"> (anotācija)</w:t>
    </w:r>
  </w:p>
  <w:p w14:paraId="16BF89D0" w14:textId="77777777" w:rsidR="00122B9E" w:rsidRPr="00B82546" w:rsidRDefault="00122B9E" w:rsidP="00D43592">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F0780" w14:textId="77777777" w:rsidR="003A437F" w:rsidRPr="00B82546" w:rsidRDefault="00E12CFC" w:rsidP="003A437F">
    <w:pPr>
      <w:pStyle w:val="naislab"/>
      <w:spacing w:before="0" w:after="0"/>
      <w:jc w:val="both"/>
      <w:rPr>
        <w:sz w:val="20"/>
        <w:szCs w:val="20"/>
      </w:rPr>
    </w:pPr>
    <w:r>
      <w:rPr>
        <w:sz w:val="20"/>
        <w:szCs w:val="20"/>
      </w:rPr>
      <w:t>F</w:t>
    </w:r>
    <w:r w:rsidR="003A437F" w:rsidRPr="009A1A66">
      <w:rPr>
        <w:sz w:val="20"/>
        <w:szCs w:val="20"/>
      </w:rPr>
      <w:t>MAnot_</w:t>
    </w:r>
    <w:r w:rsidR="000438DE">
      <w:rPr>
        <w:sz w:val="20"/>
        <w:szCs w:val="20"/>
      </w:rPr>
      <w:t>1</w:t>
    </w:r>
    <w:r>
      <w:rPr>
        <w:sz w:val="20"/>
        <w:szCs w:val="20"/>
      </w:rPr>
      <w:t>108</w:t>
    </w:r>
    <w:r w:rsidR="000438DE">
      <w:rPr>
        <w:sz w:val="20"/>
        <w:szCs w:val="20"/>
      </w:rPr>
      <w:t>1</w:t>
    </w:r>
    <w:r>
      <w:rPr>
        <w:sz w:val="20"/>
        <w:szCs w:val="20"/>
      </w:rPr>
      <w:t>4</w:t>
    </w:r>
    <w:r w:rsidR="00684AAE">
      <w:rPr>
        <w:sz w:val="20"/>
        <w:szCs w:val="20"/>
      </w:rPr>
      <w:t>_</w:t>
    </w:r>
    <w:r>
      <w:rPr>
        <w:sz w:val="20"/>
        <w:szCs w:val="20"/>
      </w:rPr>
      <w:t>SPSIL</w:t>
    </w:r>
    <w:r w:rsidR="003A437F">
      <w:rPr>
        <w:sz w:val="20"/>
        <w:szCs w:val="20"/>
      </w:rPr>
      <w:t xml:space="preserve">; Likumprojekta „Grozījumi </w:t>
    </w:r>
    <w:r>
      <w:rPr>
        <w:sz w:val="20"/>
        <w:szCs w:val="20"/>
      </w:rPr>
      <w:t xml:space="preserve">Sabiedrisko pakalpojumu sniedzēju iepirkumu </w:t>
    </w:r>
    <w:r w:rsidR="003A437F">
      <w:rPr>
        <w:sz w:val="20"/>
        <w:szCs w:val="20"/>
      </w:rPr>
      <w:t xml:space="preserve">likumā” </w:t>
    </w:r>
    <w:r w:rsidR="003A437F" w:rsidRPr="00B82546">
      <w:rPr>
        <w:sz w:val="20"/>
        <w:szCs w:val="20"/>
      </w:rPr>
      <w:t xml:space="preserve">sākotnējās ietekmes novērtējuma </w:t>
    </w:r>
    <w:smartTag w:uri="schemas-tilde-lv/tildestengine" w:element="currency2">
      <w:smartTagPr>
        <w:attr w:name="id" w:val="-1"/>
        <w:attr w:name="baseform" w:val="ziņojums"/>
        <w:attr w:name="text" w:val="ziņojums"/>
      </w:smartTagPr>
      <w:r w:rsidR="003A437F" w:rsidRPr="00B82546">
        <w:rPr>
          <w:sz w:val="20"/>
          <w:szCs w:val="20"/>
        </w:rPr>
        <w:t>ziņojums</w:t>
      </w:r>
    </w:smartTag>
    <w:r w:rsidR="003A437F" w:rsidRPr="00B82546">
      <w:rPr>
        <w:sz w:val="20"/>
        <w:szCs w:val="20"/>
      </w:rPr>
      <w:t xml:space="preserve"> (anotācija)</w:t>
    </w:r>
  </w:p>
  <w:p w14:paraId="567FB295" w14:textId="77777777" w:rsidR="00122B9E" w:rsidRPr="003A437F" w:rsidRDefault="00122B9E" w:rsidP="003A437F">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18B36" w14:textId="77777777" w:rsidR="00D6520F" w:rsidRDefault="00D6520F">
      <w:r>
        <w:separator/>
      </w:r>
    </w:p>
  </w:footnote>
  <w:footnote w:type="continuationSeparator" w:id="0">
    <w:p w14:paraId="40360D56" w14:textId="77777777" w:rsidR="00D6520F" w:rsidRDefault="00D65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4DEC" w14:textId="77777777" w:rsidR="00122B9E" w:rsidRDefault="00122B9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8B1AD8" w14:textId="77777777" w:rsidR="00122B9E" w:rsidRDefault="00122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34301" w14:textId="77777777" w:rsidR="00122B9E" w:rsidRDefault="00122B9E"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4838">
      <w:rPr>
        <w:rStyle w:val="PageNumber"/>
        <w:noProof/>
      </w:rPr>
      <w:t>2</w:t>
    </w:r>
    <w:r>
      <w:rPr>
        <w:rStyle w:val="PageNumber"/>
      </w:rPr>
      <w:fldChar w:fldCharType="end"/>
    </w:r>
  </w:p>
  <w:p w14:paraId="3E8E2BAB" w14:textId="77777777" w:rsidR="00122B9E" w:rsidRDefault="00122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1981"/>
    <w:rsid w:val="00004838"/>
    <w:rsid w:val="00006A5D"/>
    <w:rsid w:val="00011D24"/>
    <w:rsid w:val="00012487"/>
    <w:rsid w:val="00012992"/>
    <w:rsid w:val="00013FF4"/>
    <w:rsid w:val="00014A65"/>
    <w:rsid w:val="000162A6"/>
    <w:rsid w:val="00020FE1"/>
    <w:rsid w:val="00022E13"/>
    <w:rsid w:val="0002357C"/>
    <w:rsid w:val="0002781D"/>
    <w:rsid w:val="00032388"/>
    <w:rsid w:val="00034A9F"/>
    <w:rsid w:val="00035CE2"/>
    <w:rsid w:val="00037882"/>
    <w:rsid w:val="000438DE"/>
    <w:rsid w:val="00043E65"/>
    <w:rsid w:val="0004460F"/>
    <w:rsid w:val="000522B8"/>
    <w:rsid w:val="000532CB"/>
    <w:rsid w:val="0005553B"/>
    <w:rsid w:val="000604D2"/>
    <w:rsid w:val="00060951"/>
    <w:rsid w:val="000652D4"/>
    <w:rsid w:val="00080C7A"/>
    <w:rsid w:val="0008587D"/>
    <w:rsid w:val="00086732"/>
    <w:rsid w:val="00087461"/>
    <w:rsid w:val="0009005E"/>
    <w:rsid w:val="000941C5"/>
    <w:rsid w:val="00095928"/>
    <w:rsid w:val="00096212"/>
    <w:rsid w:val="00096451"/>
    <w:rsid w:val="000A3D2F"/>
    <w:rsid w:val="000A4255"/>
    <w:rsid w:val="000A530B"/>
    <w:rsid w:val="000A6451"/>
    <w:rsid w:val="000A71D6"/>
    <w:rsid w:val="000B064E"/>
    <w:rsid w:val="000B48F1"/>
    <w:rsid w:val="000B582F"/>
    <w:rsid w:val="000B69CF"/>
    <w:rsid w:val="000C2B55"/>
    <w:rsid w:val="000C790C"/>
    <w:rsid w:val="000E4F08"/>
    <w:rsid w:val="000E7996"/>
    <w:rsid w:val="000F061D"/>
    <w:rsid w:val="000F3DDE"/>
    <w:rsid w:val="000F4794"/>
    <w:rsid w:val="000F47A2"/>
    <w:rsid w:val="000F6955"/>
    <w:rsid w:val="00101DB2"/>
    <w:rsid w:val="00105D3C"/>
    <w:rsid w:val="00110643"/>
    <w:rsid w:val="00110E80"/>
    <w:rsid w:val="00113163"/>
    <w:rsid w:val="00120689"/>
    <w:rsid w:val="001228B2"/>
    <w:rsid w:val="00122B9E"/>
    <w:rsid w:val="00124F12"/>
    <w:rsid w:val="001373F1"/>
    <w:rsid w:val="00141468"/>
    <w:rsid w:val="001415DB"/>
    <w:rsid w:val="00142695"/>
    <w:rsid w:val="00144E3A"/>
    <w:rsid w:val="001450F2"/>
    <w:rsid w:val="001463C3"/>
    <w:rsid w:val="0015060C"/>
    <w:rsid w:val="001524C7"/>
    <w:rsid w:val="00153C21"/>
    <w:rsid w:val="001541D1"/>
    <w:rsid w:val="0016018A"/>
    <w:rsid w:val="00161F0E"/>
    <w:rsid w:val="00162469"/>
    <w:rsid w:val="0016726D"/>
    <w:rsid w:val="00170E2A"/>
    <w:rsid w:val="001712D7"/>
    <w:rsid w:val="00175FC4"/>
    <w:rsid w:val="00177394"/>
    <w:rsid w:val="001814E5"/>
    <w:rsid w:val="00181839"/>
    <w:rsid w:val="00182C18"/>
    <w:rsid w:val="0018359E"/>
    <w:rsid w:val="00183CC2"/>
    <w:rsid w:val="00185C20"/>
    <w:rsid w:val="001861E5"/>
    <w:rsid w:val="001870FF"/>
    <w:rsid w:val="00187828"/>
    <w:rsid w:val="001900E4"/>
    <w:rsid w:val="00190F88"/>
    <w:rsid w:val="001924F5"/>
    <w:rsid w:val="001A3610"/>
    <w:rsid w:val="001A4066"/>
    <w:rsid w:val="001A6AE4"/>
    <w:rsid w:val="001B01FD"/>
    <w:rsid w:val="001B3D4A"/>
    <w:rsid w:val="001B4A71"/>
    <w:rsid w:val="001B758A"/>
    <w:rsid w:val="001C1F88"/>
    <w:rsid w:val="001D596C"/>
    <w:rsid w:val="001D5B54"/>
    <w:rsid w:val="001D67ED"/>
    <w:rsid w:val="001E0129"/>
    <w:rsid w:val="001E1DBF"/>
    <w:rsid w:val="001E2FE3"/>
    <w:rsid w:val="001E4639"/>
    <w:rsid w:val="001E4A7D"/>
    <w:rsid w:val="001E5B4B"/>
    <w:rsid w:val="001F0037"/>
    <w:rsid w:val="001F35F2"/>
    <w:rsid w:val="001F4209"/>
    <w:rsid w:val="001F43A8"/>
    <w:rsid w:val="001F46CA"/>
    <w:rsid w:val="001F4AF0"/>
    <w:rsid w:val="001F55A0"/>
    <w:rsid w:val="001F5CD6"/>
    <w:rsid w:val="001F6C3E"/>
    <w:rsid w:val="0020035D"/>
    <w:rsid w:val="0020055A"/>
    <w:rsid w:val="002024E3"/>
    <w:rsid w:val="00205D57"/>
    <w:rsid w:val="0021263D"/>
    <w:rsid w:val="00213345"/>
    <w:rsid w:val="00213F0C"/>
    <w:rsid w:val="00214094"/>
    <w:rsid w:val="0021592D"/>
    <w:rsid w:val="00221693"/>
    <w:rsid w:val="00222D76"/>
    <w:rsid w:val="00223E35"/>
    <w:rsid w:val="00223EB1"/>
    <w:rsid w:val="00231344"/>
    <w:rsid w:val="00231BCD"/>
    <w:rsid w:val="002327E3"/>
    <w:rsid w:val="00233449"/>
    <w:rsid w:val="0023364D"/>
    <w:rsid w:val="0023436E"/>
    <w:rsid w:val="002347C0"/>
    <w:rsid w:val="00240640"/>
    <w:rsid w:val="00241A6C"/>
    <w:rsid w:val="00242D2B"/>
    <w:rsid w:val="0025006C"/>
    <w:rsid w:val="00252BA2"/>
    <w:rsid w:val="00255FA8"/>
    <w:rsid w:val="00260237"/>
    <w:rsid w:val="002616CE"/>
    <w:rsid w:val="00262E2B"/>
    <w:rsid w:val="00264629"/>
    <w:rsid w:val="0026680E"/>
    <w:rsid w:val="0026696E"/>
    <w:rsid w:val="002675C4"/>
    <w:rsid w:val="00270429"/>
    <w:rsid w:val="002712BA"/>
    <w:rsid w:val="002723E9"/>
    <w:rsid w:val="00277929"/>
    <w:rsid w:val="00283B82"/>
    <w:rsid w:val="002846E9"/>
    <w:rsid w:val="00284C34"/>
    <w:rsid w:val="0029066C"/>
    <w:rsid w:val="002A04AC"/>
    <w:rsid w:val="002A5840"/>
    <w:rsid w:val="002B43C9"/>
    <w:rsid w:val="002B50DB"/>
    <w:rsid w:val="002B69FC"/>
    <w:rsid w:val="002C12AB"/>
    <w:rsid w:val="002C7CAC"/>
    <w:rsid w:val="002D1F6C"/>
    <w:rsid w:val="002D3306"/>
    <w:rsid w:val="002D48AA"/>
    <w:rsid w:val="002D54D7"/>
    <w:rsid w:val="002D7BAA"/>
    <w:rsid w:val="002D7F54"/>
    <w:rsid w:val="002E384C"/>
    <w:rsid w:val="002E3FF4"/>
    <w:rsid w:val="002E51A8"/>
    <w:rsid w:val="002E5E97"/>
    <w:rsid w:val="002E7312"/>
    <w:rsid w:val="002F2A26"/>
    <w:rsid w:val="002F78C8"/>
    <w:rsid w:val="00300420"/>
    <w:rsid w:val="00301CF3"/>
    <w:rsid w:val="003025C5"/>
    <w:rsid w:val="00306219"/>
    <w:rsid w:val="00306D47"/>
    <w:rsid w:val="00313415"/>
    <w:rsid w:val="0032347D"/>
    <w:rsid w:val="003245B5"/>
    <w:rsid w:val="00324BAB"/>
    <w:rsid w:val="00324CEE"/>
    <w:rsid w:val="0032715C"/>
    <w:rsid w:val="0033311E"/>
    <w:rsid w:val="00337CA5"/>
    <w:rsid w:val="003409E2"/>
    <w:rsid w:val="00345B70"/>
    <w:rsid w:val="00345F01"/>
    <w:rsid w:val="00346DE5"/>
    <w:rsid w:val="00351290"/>
    <w:rsid w:val="00362478"/>
    <w:rsid w:val="003626A4"/>
    <w:rsid w:val="00362F0A"/>
    <w:rsid w:val="00371396"/>
    <w:rsid w:val="00371466"/>
    <w:rsid w:val="0037382D"/>
    <w:rsid w:val="00373B70"/>
    <w:rsid w:val="00375B25"/>
    <w:rsid w:val="0038132C"/>
    <w:rsid w:val="00381F86"/>
    <w:rsid w:val="003866B3"/>
    <w:rsid w:val="0039139D"/>
    <w:rsid w:val="003962F3"/>
    <w:rsid w:val="00396542"/>
    <w:rsid w:val="0039680E"/>
    <w:rsid w:val="0039685B"/>
    <w:rsid w:val="003A03AB"/>
    <w:rsid w:val="003A31A6"/>
    <w:rsid w:val="003A437F"/>
    <w:rsid w:val="003A7F0C"/>
    <w:rsid w:val="003A7F79"/>
    <w:rsid w:val="003B097C"/>
    <w:rsid w:val="003B145A"/>
    <w:rsid w:val="003B1B11"/>
    <w:rsid w:val="003B34E4"/>
    <w:rsid w:val="003B6404"/>
    <w:rsid w:val="003B7B28"/>
    <w:rsid w:val="003C449B"/>
    <w:rsid w:val="003C4E72"/>
    <w:rsid w:val="003D21FF"/>
    <w:rsid w:val="003D24BB"/>
    <w:rsid w:val="003D3B16"/>
    <w:rsid w:val="003D693E"/>
    <w:rsid w:val="003D7957"/>
    <w:rsid w:val="003E463D"/>
    <w:rsid w:val="003F0112"/>
    <w:rsid w:val="003F071A"/>
    <w:rsid w:val="003F160B"/>
    <w:rsid w:val="003F464A"/>
    <w:rsid w:val="003F6964"/>
    <w:rsid w:val="003F7486"/>
    <w:rsid w:val="00400032"/>
    <w:rsid w:val="00400B5B"/>
    <w:rsid w:val="00404723"/>
    <w:rsid w:val="00405A00"/>
    <w:rsid w:val="00406966"/>
    <w:rsid w:val="0042004C"/>
    <w:rsid w:val="00420870"/>
    <w:rsid w:val="00423BB6"/>
    <w:rsid w:val="0043284B"/>
    <w:rsid w:val="00432D0C"/>
    <w:rsid w:val="00433CF8"/>
    <w:rsid w:val="0043791B"/>
    <w:rsid w:val="00437DB1"/>
    <w:rsid w:val="00440264"/>
    <w:rsid w:val="004406BC"/>
    <w:rsid w:val="00440E2F"/>
    <w:rsid w:val="00441483"/>
    <w:rsid w:val="00441BCB"/>
    <w:rsid w:val="00442D5A"/>
    <w:rsid w:val="0045176A"/>
    <w:rsid w:val="00456332"/>
    <w:rsid w:val="00461826"/>
    <w:rsid w:val="00462B4D"/>
    <w:rsid w:val="004652C4"/>
    <w:rsid w:val="004706A4"/>
    <w:rsid w:val="0047606A"/>
    <w:rsid w:val="004800F9"/>
    <w:rsid w:val="00480CF6"/>
    <w:rsid w:val="00482904"/>
    <w:rsid w:val="00482BD7"/>
    <w:rsid w:val="00486AB0"/>
    <w:rsid w:val="00490AB9"/>
    <w:rsid w:val="0049134A"/>
    <w:rsid w:val="00491470"/>
    <w:rsid w:val="00492F03"/>
    <w:rsid w:val="00493C35"/>
    <w:rsid w:val="00494059"/>
    <w:rsid w:val="004A44D6"/>
    <w:rsid w:val="004A4503"/>
    <w:rsid w:val="004A5546"/>
    <w:rsid w:val="004A58CB"/>
    <w:rsid w:val="004B0576"/>
    <w:rsid w:val="004B1795"/>
    <w:rsid w:val="004B56DD"/>
    <w:rsid w:val="004B7003"/>
    <w:rsid w:val="004B7C30"/>
    <w:rsid w:val="004B7D21"/>
    <w:rsid w:val="004C020F"/>
    <w:rsid w:val="004C1AFD"/>
    <w:rsid w:val="004C5119"/>
    <w:rsid w:val="004C558B"/>
    <w:rsid w:val="004C7065"/>
    <w:rsid w:val="004C7906"/>
    <w:rsid w:val="004C7AF6"/>
    <w:rsid w:val="004D19F7"/>
    <w:rsid w:val="004D26E8"/>
    <w:rsid w:val="004D513B"/>
    <w:rsid w:val="004D7811"/>
    <w:rsid w:val="004E1B71"/>
    <w:rsid w:val="004F0C9F"/>
    <w:rsid w:val="004F1F88"/>
    <w:rsid w:val="004F532F"/>
    <w:rsid w:val="004F5F1B"/>
    <w:rsid w:val="0050099C"/>
    <w:rsid w:val="00500EE5"/>
    <w:rsid w:val="00502374"/>
    <w:rsid w:val="00502B98"/>
    <w:rsid w:val="00503561"/>
    <w:rsid w:val="005060A1"/>
    <w:rsid w:val="00511562"/>
    <w:rsid w:val="0051204A"/>
    <w:rsid w:val="005123B1"/>
    <w:rsid w:val="00515D23"/>
    <w:rsid w:val="00516072"/>
    <w:rsid w:val="00516A24"/>
    <w:rsid w:val="00524791"/>
    <w:rsid w:val="00527BF8"/>
    <w:rsid w:val="00530AF8"/>
    <w:rsid w:val="005324DA"/>
    <w:rsid w:val="005332B1"/>
    <w:rsid w:val="005332EC"/>
    <w:rsid w:val="00534418"/>
    <w:rsid w:val="005353AB"/>
    <w:rsid w:val="00537F8B"/>
    <w:rsid w:val="005422C7"/>
    <w:rsid w:val="00545132"/>
    <w:rsid w:val="005453B7"/>
    <w:rsid w:val="00545DD8"/>
    <w:rsid w:val="00545E3F"/>
    <w:rsid w:val="00547185"/>
    <w:rsid w:val="00554453"/>
    <w:rsid w:val="005560BC"/>
    <w:rsid w:val="005573BE"/>
    <w:rsid w:val="00563668"/>
    <w:rsid w:val="00571205"/>
    <w:rsid w:val="00572700"/>
    <w:rsid w:val="00574911"/>
    <w:rsid w:val="00580468"/>
    <w:rsid w:val="00582231"/>
    <w:rsid w:val="0058603B"/>
    <w:rsid w:val="00587863"/>
    <w:rsid w:val="00593E8B"/>
    <w:rsid w:val="0059431B"/>
    <w:rsid w:val="005A0CE2"/>
    <w:rsid w:val="005A39CC"/>
    <w:rsid w:val="005A7567"/>
    <w:rsid w:val="005B3CF0"/>
    <w:rsid w:val="005B4730"/>
    <w:rsid w:val="005B5499"/>
    <w:rsid w:val="005B7BC8"/>
    <w:rsid w:val="005C0C11"/>
    <w:rsid w:val="005C5824"/>
    <w:rsid w:val="005D28A1"/>
    <w:rsid w:val="005E01B0"/>
    <w:rsid w:val="005E05D7"/>
    <w:rsid w:val="005E1DD8"/>
    <w:rsid w:val="005E2A9D"/>
    <w:rsid w:val="005E41E7"/>
    <w:rsid w:val="005E450F"/>
    <w:rsid w:val="005E47F7"/>
    <w:rsid w:val="005E5BC3"/>
    <w:rsid w:val="005F1644"/>
    <w:rsid w:val="005F216C"/>
    <w:rsid w:val="005F26B6"/>
    <w:rsid w:val="005F3736"/>
    <w:rsid w:val="00601FE2"/>
    <w:rsid w:val="00603D20"/>
    <w:rsid w:val="0060440B"/>
    <w:rsid w:val="00606406"/>
    <w:rsid w:val="00607C28"/>
    <w:rsid w:val="00613509"/>
    <w:rsid w:val="00613ACB"/>
    <w:rsid w:val="00614B31"/>
    <w:rsid w:val="00616CC1"/>
    <w:rsid w:val="00621423"/>
    <w:rsid w:val="0062298A"/>
    <w:rsid w:val="006242F4"/>
    <w:rsid w:val="00624A0D"/>
    <w:rsid w:val="00624FDA"/>
    <w:rsid w:val="00626514"/>
    <w:rsid w:val="00626589"/>
    <w:rsid w:val="00631B83"/>
    <w:rsid w:val="006331CF"/>
    <w:rsid w:val="006339A0"/>
    <w:rsid w:val="006378D0"/>
    <w:rsid w:val="006413A8"/>
    <w:rsid w:val="00642E56"/>
    <w:rsid w:val="00643DE7"/>
    <w:rsid w:val="00646069"/>
    <w:rsid w:val="00646139"/>
    <w:rsid w:val="00651537"/>
    <w:rsid w:val="00651CF4"/>
    <w:rsid w:val="00651D1E"/>
    <w:rsid w:val="00651E00"/>
    <w:rsid w:val="0065226B"/>
    <w:rsid w:val="00654461"/>
    <w:rsid w:val="00654A0D"/>
    <w:rsid w:val="0066411A"/>
    <w:rsid w:val="00667213"/>
    <w:rsid w:val="00670116"/>
    <w:rsid w:val="00670460"/>
    <w:rsid w:val="00670775"/>
    <w:rsid w:val="00674572"/>
    <w:rsid w:val="00677380"/>
    <w:rsid w:val="00681B98"/>
    <w:rsid w:val="00682B20"/>
    <w:rsid w:val="00683F56"/>
    <w:rsid w:val="006849D2"/>
    <w:rsid w:val="00684AAE"/>
    <w:rsid w:val="0068736C"/>
    <w:rsid w:val="00687763"/>
    <w:rsid w:val="00692B0D"/>
    <w:rsid w:val="00692EEC"/>
    <w:rsid w:val="00693E0E"/>
    <w:rsid w:val="006A1AE3"/>
    <w:rsid w:val="006A41FE"/>
    <w:rsid w:val="006A482D"/>
    <w:rsid w:val="006A57AD"/>
    <w:rsid w:val="006A5A17"/>
    <w:rsid w:val="006A6966"/>
    <w:rsid w:val="006B13FA"/>
    <w:rsid w:val="006B2C9E"/>
    <w:rsid w:val="006C090A"/>
    <w:rsid w:val="006C0D7C"/>
    <w:rsid w:val="006C3042"/>
    <w:rsid w:val="006C30E1"/>
    <w:rsid w:val="006C4607"/>
    <w:rsid w:val="006C4E02"/>
    <w:rsid w:val="006C5AF5"/>
    <w:rsid w:val="006C5C2F"/>
    <w:rsid w:val="006D350C"/>
    <w:rsid w:val="006D366D"/>
    <w:rsid w:val="006D3E17"/>
    <w:rsid w:val="006D3FA3"/>
    <w:rsid w:val="006D48F1"/>
    <w:rsid w:val="006D528B"/>
    <w:rsid w:val="006D71E4"/>
    <w:rsid w:val="006E06FE"/>
    <w:rsid w:val="006E11CD"/>
    <w:rsid w:val="006E33F4"/>
    <w:rsid w:val="006E34C9"/>
    <w:rsid w:val="006E5E20"/>
    <w:rsid w:val="006F0C82"/>
    <w:rsid w:val="006F1FA5"/>
    <w:rsid w:val="006F45BE"/>
    <w:rsid w:val="006F4EC8"/>
    <w:rsid w:val="007004FC"/>
    <w:rsid w:val="00706670"/>
    <w:rsid w:val="0070728A"/>
    <w:rsid w:val="00711F59"/>
    <w:rsid w:val="0072417C"/>
    <w:rsid w:val="00734450"/>
    <w:rsid w:val="007350AB"/>
    <w:rsid w:val="00736B06"/>
    <w:rsid w:val="00744484"/>
    <w:rsid w:val="00744B59"/>
    <w:rsid w:val="00745F67"/>
    <w:rsid w:val="007477B8"/>
    <w:rsid w:val="0075039E"/>
    <w:rsid w:val="00752D9D"/>
    <w:rsid w:val="00754784"/>
    <w:rsid w:val="00757C6E"/>
    <w:rsid w:val="007620E2"/>
    <w:rsid w:val="00762774"/>
    <w:rsid w:val="00762BDA"/>
    <w:rsid w:val="007649E7"/>
    <w:rsid w:val="00765DC7"/>
    <w:rsid w:val="00766715"/>
    <w:rsid w:val="007760BF"/>
    <w:rsid w:val="007800A2"/>
    <w:rsid w:val="007805FD"/>
    <w:rsid w:val="00784422"/>
    <w:rsid w:val="00792A7C"/>
    <w:rsid w:val="00797334"/>
    <w:rsid w:val="007A4B40"/>
    <w:rsid w:val="007A5EE0"/>
    <w:rsid w:val="007B3B54"/>
    <w:rsid w:val="007B3FA0"/>
    <w:rsid w:val="007B50C6"/>
    <w:rsid w:val="007C0F2C"/>
    <w:rsid w:val="007C2BCC"/>
    <w:rsid w:val="007C3A1E"/>
    <w:rsid w:val="007C4EF0"/>
    <w:rsid w:val="007C65C9"/>
    <w:rsid w:val="007D099D"/>
    <w:rsid w:val="007D3510"/>
    <w:rsid w:val="007D431C"/>
    <w:rsid w:val="007D6737"/>
    <w:rsid w:val="007E2664"/>
    <w:rsid w:val="007E3ABF"/>
    <w:rsid w:val="007E5BFA"/>
    <w:rsid w:val="007E6689"/>
    <w:rsid w:val="007E67BC"/>
    <w:rsid w:val="007E731C"/>
    <w:rsid w:val="007F0A03"/>
    <w:rsid w:val="007F369C"/>
    <w:rsid w:val="007F5A11"/>
    <w:rsid w:val="007F5BE6"/>
    <w:rsid w:val="00804758"/>
    <w:rsid w:val="00810040"/>
    <w:rsid w:val="0081556F"/>
    <w:rsid w:val="00816FEA"/>
    <w:rsid w:val="0082023A"/>
    <w:rsid w:val="00821A7A"/>
    <w:rsid w:val="00823898"/>
    <w:rsid w:val="00823ACF"/>
    <w:rsid w:val="008253F8"/>
    <w:rsid w:val="00825B9E"/>
    <w:rsid w:val="0083047C"/>
    <w:rsid w:val="008325E4"/>
    <w:rsid w:val="00832A2B"/>
    <w:rsid w:val="00832D27"/>
    <w:rsid w:val="00835614"/>
    <w:rsid w:val="00840728"/>
    <w:rsid w:val="008407E7"/>
    <w:rsid w:val="00842AC6"/>
    <w:rsid w:val="008433AF"/>
    <w:rsid w:val="00845811"/>
    <w:rsid w:val="00846994"/>
    <w:rsid w:val="00850451"/>
    <w:rsid w:val="00850B9D"/>
    <w:rsid w:val="00852042"/>
    <w:rsid w:val="008534C9"/>
    <w:rsid w:val="00853E01"/>
    <w:rsid w:val="0085599D"/>
    <w:rsid w:val="00856A27"/>
    <w:rsid w:val="00862C48"/>
    <w:rsid w:val="008657E7"/>
    <w:rsid w:val="0086784C"/>
    <w:rsid w:val="0087101B"/>
    <w:rsid w:val="00872F83"/>
    <w:rsid w:val="00874E98"/>
    <w:rsid w:val="0087510C"/>
    <w:rsid w:val="00881F10"/>
    <w:rsid w:val="008830C7"/>
    <w:rsid w:val="00884170"/>
    <w:rsid w:val="0088793B"/>
    <w:rsid w:val="00887C7D"/>
    <w:rsid w:val="008922F1"/>
    <w:rsid w:val="008939C5"/>
    <w:rsid w:val="008968D2"/>
    <w:rsid w:val="0089738E"/>
    <w:rsid w:val="008A3B1E"/>
    <w:rsid w:val="008B5FDB"/>
    <w:rsid w:val="008B7BF6"/>
    <w:rsid w:val="008C50F4"/>
    <w:rsid w:val="008C5649"/>
    <w:rsid w:val="008D6478"/>
    <w:rsid w:val="008E429A"/>
    <w:rsid w:val="008E44A2"/>
    <w:rsid w:val="008E5478"/>
    <w:rsid w:val="008E697D"/>
    <w:rsid w:val="008F05B1"/>
    <w:rsid w:val="00903263"/>
    <w:rsid w:val="00903F36"/>
    <w:rsid w:val="0090475D"/>
    <w:rsid w:val="00906A21"/>
    <w:rsid w:val="009073B2"/>
    <w:rsid w:val="009079C3"/>
    <w:rsid w:val="00910462"/>
    <w:rsid w:val="00911668"/>
    <w:rsid w:val="00911727"/>
    <w:rsid w:val="00915A02"/>
    <w:rsid w:val="00915AB1"/>
    <w:rsid w:val="00915F9C"/>
    <w:rsid w:val="00917532"/>
    <w:rsid w:val="009235BA"/>
    <w:rsid w:val="00924023"/>
    <w:rsid w:val="00924CE2"/>
    <w:rsid w:val="00925B9F"/>
    <w:rsid w:val="00931AED"/>
    <w:rsid w:val="009339F1"/>
    <w:rsid w:val="00945102"/>
    <w:rsid w:val="009476A3"/>
    <w:rsid w:val="00952433"/>
    <w:rsid w:val="00952E48"/>
    <w:rsid w:val="0095334F"/>
    <w:rsid w:val="00954D91"/>
    <w:rsid w:val="0095570F"/>
    <w:rsid w:val="009606A9"/>
    <w:rsid w:val="00965897"/>
    <w:rsid w:val="009658F4"/>
    <w:rsid w:val="00965AD8"/>
    <w:rsid w:val="0096765C"/>
    <w:rsid w:val="00971ED3"/>
    <w:rsid w:val="009727E4"/>
    <w:rsid w:val="00980A1E"/>
    <w:rsid w:val="00981921"/>
    <w:rsid w:val="009821F8"/>
    <w:rsid w:val="0098562E"/>
    <w:rsid w:val="00986AED"/>
    <w:rsid w:val="009933C2"/>
    <w:rsid w:val="009934C5"/>
    <w:rsid w:val="00994C0F"/>
    <w:rsid w:val="009A2D57"/>
    <w:rsid w:val="009A421E"/>
    <w:rsid w:val="009A5206"/>
    <w:rsid w:val="009A655C"/>
    <w:rsid w:val="009A79EE"/>
    <w:rsid w:val="009B22D7"/>
    <w:rsid w:val="009B6383"/>
    <w:rsid w:val="009B72ED"/>
    <w:rsid w:val="009C118B"/>
    <w:rsid w:val="009C3895"/>
    <w:rsid w:val="009C6DEB"/>
    <w:rsid w:val="009D394C"/>
    <w:rsid w:val="009D6504"/>
    <w:rsid w:val="009E082C"/>
    <w:rsid w:val="009E12D7"/>
    <w:rsid w:val="009E461F"/>
    <w:rsid w:val="009E661A"/>
    <w:rsid w:val="009F7AD6"/>
    <w:rsid w:val="00A06781"/>
    <w:rsid w:val="00A074C3"/>
    <w:rsid w:val="00A10E1F"/>
    <w:rsid w:val="00A1216D"/>
    <w:rsid w:val="00A12891"/>
    <w:rsid w:val="00A13E12"/>
    <w:rsid w:val="00A1509C"/>
    <w:rsid w:val="00A16CDA"/>
    <w:rsid w:val="00A23994"/>
    <w:rsid w:val="00A23BD5"/>
    <w:rsid w:val="00A249B9"/>
    <w:rsid w:val="00A24DF6"/>
    <w:rsid w:val="00A26AF4"/>
    <w:rsid w:val="00A26E74"/>
    <w:rsid w:val="00A34260"/>
    <w:rsid w:val="00A342A9"/>
    <w:rsid w:val="00A45199"/>
    <w:rsid w:val="00A47BB6"/>
    <w:rsid w:val="00A6053C"/>
    <w:rsid w:val="00A62E16"/>
    <w:rsid w:val="00A67212"/>
    <w:rsid w:val="00A70CFD"/>
    <w:rsid w:val="00A71BFF"/>
    <w:rsid w:val="00A72A0B"/>
    <w:rsid w:val="00A77DDE"/>
    <w:rsid w:val="00A81C89"/>
    <w:rsid w:val="00A81E42"/>
    <w:rsid w:val="00A82A96"/>
    <w:rsid w:val="00A83D5E"/>
    <w:rsid w:val="00A84338"/>
    <w:rsid w:val="00A8519E"/>
    <w:rsid w:val="00A864FE"/>
    <w:rsid w:val="00A86F41"/>
    <w:rsid w:val="00A87D04"/>
    <w:rsid w:val="00A92D88"/>
    <w:rsid w:val="00A93494"/>
    <w:rsid w:val="00A950C5"/>
    <w:rsid w:val="00AA1D25"/>
    <w:rsid w:val="00AA1E55"/>
    <w:rsid w:val="00AB2B1A"/>
    <w:rsid w:val="00AB397F"/>
    <w:rsid w:val="00AB5832"/>
    <w:rsid w:val="00AC3931"/>
    <w:rsid w:val="00AC4BC1"/>
    <w:rsid w:val="00AC4C65"/>
    <w:rsid w:val="00AC51F2"/>
    <w:rsid w:val="00AD2422"/>
    <w:rsid w:val="00AD3269"/>
    <w:rsid w:val="00AE5066"/>
    <w:rsid w:val="00AE5E24"/>
    <w:rsid w:val="00AE61B7"/>
    <w:rsid w:val="00AE6CBA"/>
    <w:rsid w:val="00AE79AD"/>
    <w:rsid w:val="00AF015F"/>
    <w:rsid w:val="00AF35E4"/>
    <w:rsid w:val="00AF408E"/>
    <w:rsid w:val="00AF5619"/>
    <w:rsid w:val="00AF5CDE"/>
    <w:rsid w:val="00AF6DAE"/>
    <w:rsid w:val="00B03737"/>
    <w:rsid w:val="00B05FA8"/>
    <w:rsid w:val="00B0719F"/>
    <w:rsid w:val="00B11A57"/>
    <w:rsid w:val="00B16EA2"/>
    <w:rsid w:val="00B211C3"/>
    <w:rsid w:val="00B22D1C"/>
    <w:rsid w:val="00B25597"/>
    <w:rsid w:val="00B267B9"/>
    <w:rsid w:val="00B30E29"/>
    <w:rsid w:val="00B33E09"/>
    <w:rsid w:val="00B34A8A"/>
    <w:rsid w:val="00B36E32"/>
    <w:rsid w:val="00B42628"/>
    <w:rsid w:val="00B4459E"/>
    <w:rsid w:val="00B50708"/>
    <w:rsid w:val="00B50C68"/>
    <w:rsid w:val="00B51293"/>
    <w:rsid w:val="00B5161A"/>
    <w:rsid w:val="00B52B1E"/>
    <w:rsid w:val="00B55481"/>
    <w:rsid w:val="00B56C32"/>
    <w:rsid w:val="00B57ACF"/>
    <w:rsid w:val="00B61AFB"/>
    <w:rsid w:val="00B61D3D"/>
    <w:rsid w:val="00B629AA"/>
    <w:rsid w:val="00B64BB1"/>
    <w:rsid w:val="00B720ED"/>
    <w:rsid w:val="00B73166"/>
    <w:rsid w:val="00B768F6"/>
    <w:rsid w:val="00B80651"/>
    <w:rsid w:val="00B82546"/>
    <w:rsid w:val="00B831C6"/>
    <w:rsid w:val="00B8426C"/>
    <w:rsid w:val="00B91B8D"/>
    <w:rsid w:val="00B94E90"/>
    <w:rsid w:val="00B95D0A"/>
    <w:rsid w:val="00B97233"/>
    <w:rsid w:val="00BA0787"/>
    <w:rsid w:val="00BA4D90"/>
    <w:rsid w:val="00BB0A82"/>
    <w:rsid w:val="00BB2F3C"/>
    <w:rsid w:val="00BB4BCD"/>
    <w:rsid w:val="00BB7C94"/>
    <w:rsid w:val="00BC0A9D"/>
    <w:rsid w:val="00BC5225"/>
    <w:rsid w:val="00BD1921"/>
    <w:rsid w:val="00BD20B2"/>
    <w:rsid w:val="00BD5566"/>
    <w:rsid w:val="00BE0D28"/>
    <w:rsid w:val="00BE1264"/>
    <w:rsid w:val="00BE1AD0"/>
    <w:rsid w:val="00BE1F30"/>
    <w:rsid w:val="00BE4831"/>
    <w:rsid w:val="00BF40ED"/>
    <w:rsid w:val="00BF5BC2"/>
    <w:rsid w:val="00BF5D10"/>
    <w:rsid w:val="00BF62C4"/>
    <w:rsid w:val="00BF69D1"/>
    <w:rsid w:val="00BF7D9E"/>
    <w:rsid w:val="00C01052"/>
    <w:rsid w:val="00C022BA"/>
    <w:rsid w:val="00C03D25"/>
    <w:rsid w:val="00C07DC6"/>
    <w:rsid w:val="00C1133D"/>
    <w:rsid w:val="00C13A81"/>
    <w:rsid w:val="00C157EB"/>
    <w:rsid w:val="00C1627F"/>
    <w:rsid w:val="00C173EB"/>
    <w:rsid w:val="00C2134B"/>
    <w:rsid w:val="00C24ACF"/>
    <w:rsid w:val="00C2695D"/>
    <w:rsid w:val="00C27A08"/>
    <w:rsid w:val="00C27F2C"/>
    <w:rsid w:val="00C31312"/>
    <w:rsid w:val="00C31E36"/>
    <w:rsid w:val="00C3249E"/>
    <w:rsid w:val="00C326C6"/>
    <w:rsid w:val="00C33955"/>
    <w:rsid w:val="00C35295"/>
    <w:rsid w:val="00C36467"/>
    <w:rsid w:val="00C36ADD"/>
    <w:rsid w:val="00C36E74"/>
    <w:rsid w:val="00C37E7E"/>
    <w:rsid w:val="00C4010D"/>
    <w:rsid w:val="00C40140"/>
    <w:rsid w:val="00C40595"/>
    <w:rsid w:val="00C40F3B"/>
    <w:rsid w:val="00C40FD2"/>
    <w:rsid w:val="00C41621"/>
    <w:rsid w:val="00C42403"/>
    <w:rsid w:val="00C449FA"/>
    <w:rsid w:val="00C5384F"/>
    <w:rsid w:val="00C56964"/>
    <w:rsid w:val="00C61469"/>
    <w:rsid w:val="00C64222"/>
    <w:rsid w:val="00C656D5"/>
    <w:rsid w:val="00C663F8"/>
    <w:rsid w:val="00C67103"/>
    <w:rsid w:val="00C67EBC"/>
    <w:rsid w:val="00C71BB9"/>
    <w:rsid w:val="00C752E6"/>
    <w:rsid w:val="00C763B9"/>
    <w:rsid w:val="00C81E3C"/>
    <w:rsid w:val="00C823EF"/>
    <w:rsid w:val="00C82D86"/>
    <w:rsid w:val="00C83375"/>
    <w:rsid w:val="00C86F2C"/>
    <w:rsid w:val="00C910E0"/>
    <w:rsid w:val="00C935BE"/>
    <w:rsid w:val="00C94C28"/>
    <w:rsid w:val="00C974EF"/>
    <w:rsid w:val="00CA0888"/>
    <w:rsid w:val="00CA14C5"/>
    <w:rsid w:val="00CA6FC2"/>
    <w:rsid w:val="00CB0247"/>
    <w:rsid w:val="00CB0AA2"/>
    <w:rsid w:val="00CB3440"/>
    <w:rsid w:val="00CB5F61"/>
    <w:rsid w:val="00CB6230"/>
    <w:rsid w:val="00CC154A"/>
    <w:rsid w:val="00CC1692"/>
    <w:rsid w:val="00CC379E"/>
    <w:rsid w:val="00CC4218"/>
    <w:rsid w:val="00CC53A5"/>
    <w:rsid w:val="00CD072B"/>
    <w:rsid w:val="00CD1184"/>
    <w:rsid w:val="00CD138B"/>
    <w:rsid w:val="00CD1640"/>
    <w:rsid w:val="00CD3E31"/>
    <w:rsid w:val="00CD451F"/>
    <w:rsid w:val="00CD64FC"/>
    <w:rsid w:val="00CD6E4B"/>
    <w:rsid w:val="00CD6EE4"/>
    <w:rsid w:val="00CD74A3"/>
    <w:rsid w:val="00CE0527"/>
    <w:rsid w:val="00CE2A55"/>
    <w:rsid w:val="00CE3F42"/>
    <w:rsid w:val="00CE5B23"/>
    <w:rsid w:val="00CE7285"/>
    <w:rsid w:val="00CE7B48"/>
    <w:rsid w:val="00CF2263"/>
    <w:rsid w:val="00CF3382"/>
    <w:rsid w:val="00CF4D30"/>
    <w:rsid w:val="00CF70AD"/>
    <w:rsid w:val="00CF7729"/>
    <w:rsid w:val="00CF791D"/>
    <w:rsid w:val="00D00059"/>
    <w:rsid w:val="00D02FB4"/>
    <w:rsid w:val="00D03AA4"/>
    <w:rsid w:val="00D0607B"/>
    <w:rsid w:val="00D107FA"/>
    <w:rsid w:val="00D10E60"/>
    <w:rsid w:val="00D12275"/>
    <w:rsid w:val="00D12766"/>
    <w:rsid w:val="00D161AB"/>
    <w:rsid w:val="00D16C80"/>
    <w:rsid w:val="00D20FF4"/>
    <w:rsid w:val="00D2175A"/>
    <w:rsid w:val="00D24D2C"/>
    <w:rsid w:val="00D27A9F"/>
    <w:rsid w:val="00D32450"/>
    <w:rsid w:val="00D33B2B"/>
    <w:rsid w:val="00D353A3"/>
    <w:rsid w:val="00D35881"/>
    <w:rsid w:val="00D36F75"/>
    <w:rsid w:val="00D4008E"/>
    <w:rsid w:val="00D43592"/>
    <w:rsid w:val="00D518F8"/>
    <w:rsid w:val="00D53B59"/>
    <w:rsid w:val="00D545C5"/>
    <w:rsid w:val="00D57D99"/>
    <w:rsid w:val="00D601B9"/>
    <w:rsid w:val="00D64C27"/>
    <w:rsid w:val="00D6520F"/>
    <w:rsid w:val="00D653DC"/>
    <w:rsid w:val="00D66DE1"/>
    <w:rsid w:val="00D74961"/>
    <w:rsid w:val="00D801E5"/>
    <w:rsid w:val="00D841B4"/>
    <w:rsid w:val="00D90113"/>
    <w:rsid w:val="00D92D9B"/>
    <w:rsid w:val="00DA1C04"/>
    <w:rsid w:val="00DA2A83"/>
    <w:rsid w:val="00DA6002"/>
    <w:rsid w:val="00DA7DA5"/>
    <w:rsid w:val="00DB073B"/>
    <w:rsid w:val="00DB3343"/>
    <w:rsid w:val="00DB3B44"/>
    <w:rsid w:val="00DB553C"/>
    <w:rsid w:val="00DB78F0"/>
    <w:rsid w:val="00DC0CEA"/>
    <w:rsid w:val="00DC2E43"/>
    <w:rsid w:val="00DC35C3"/>
    <w:rsid w:val="00DC47A4"/>
    <w:rsid w:val="00DC4AD0"/>
    <w:rsid w:val="00DC78E5"/>
    <w:rsid w:val="00DD013A"/>
    <w:rsid w:val="00DD095C"/>
    <w:rsid w:val="00DD1020"/>
    <w:rsid w:val="00DD1330"/>
    <w:rsid w:val="00DD41F2"/>
    <w:rsid w:val="00DD4FE5"/>
    <w:rsid w:val="00DD7C0A"/>
    <w:rsid w:val="00DE0323"/>
    <w:rsid w:val="00DE09D9"/>
    <w:rsid w:val="00DE0B83"/>
    <w:rsid w:val="00DE1A81"/>
    <w:rsid w:val="00DE1C13"/>
    <w:rsid w:val="00DE2E62"/>
    <w:rsid w:val="00DE4611"/>
    <w:rsid w:val="00DE4E10"/>
    <w:rsid w:val="00DE7A44"/>
    <w:rsid w:val="00DF1A9C"/>
    <w:rsid w:val="00DF516D"/>
    <w:rsid w:val="00E0044F"/>
    <w:rsid w:val="00E02ABF"/>
    <w:rsid w:val="00E03C0F"/>
    <w:rsid w:val="00E05102"/>
    <w:rsid w:val="00E07B4A"/>
    <w:rsid w:val="00E105C9"/>
    <w:rsid w:val="00E12CFC"/>
    <w:rsid w:val="00E14995"/>
    <w:rsid w:val="00E15047"/>
    <w:rsid w:val="00E15915"/>
    <w:rsid w:val="00E179CD"/>
    <w:rsid w:val="00E20086"/>
    <w:rsid w:val="00E23E8D"/>
    <w:rsid w:val="00E30A11"/>
    <w:rsid w:val="00E34919"/>
    <w:rsid w:val="00E34A3D"/>
    <w:rsid w:val="00E37F98"/>
    <w:rsid w:val="00E407C8"/>
    <w:rsid w:val="00E41A82"/>
    <w:rsid w:val="00E4454E"/>
    <w:rsid w:val="00E45E3B"/>
    <w:rsid w:val="00E46559"/>
    <w:rsid w:val="00E46925"/>
    <w:rsid w:val="00E50338"/>
    <w:rsid w:val="00E528BB"/>
    <w:rsid w:val="00E52ABE"/>
    <w:rsid w:val="00E5608C"/>
    <w:rsid w:val="00E60BE4"/>
    <w:rsid w:val="00E62DB9"/>
    <w:rsid w:val="00E64BBD"/>
    <w:rsid w:val="00E6670C"/>
    <w:rsid w:val="00E75F3E"/>
    <w:rsid w:val="00E76B73"/>
    <w:rsid w:val="00E776E8"/>
    <w:rsid w:val="00E907CF"/>
    <w:rsid w:val="00E92C1F"/>
    <w:rsid w:val="00E93F28"/>
    <w:rsid w:val="00E95D4B"/>
    <w:rsid w:val="00E967FE"/>
    <w:rsid w:val="00E96CCE"/>
    <w:rsid w:val="00E97ACF"/>
    <w:rsid w:val="00EA4270"/>
    <w:rsid w:val="00EB199F"/>
    <w:rsid w:val="00EB3F46"/>
    <w:rsid w:val="00EB5522"/>
    <w:rsid w:val="00EB6E39"/>
    <w:rsid w:val="00EC23F7"/>
    <w:rsid w:val="00EC4BD8"/>
    <w:rsid w:val="00EC63EB"/>
    <w:rsid w:val="00EC755B"/>
    <w:rsid w:val="00ED412F"/>
    <w:rsid w:val="00ED5C5A"/>
    <w:rsid w:val="00ED6E87"/>
    <w:rsid w:val="00ED7366"/>
    <w:rsid w:val="00EE4417"/>
    <w:rsid w:val="00EE562A"/>
    <w:rsid w:val="00EE6991"/>
    <w:rsid w:val="00EF1E23"/>
    <w:rsid w:val="00EF36B2"/>
    <w:rsid w:val="00EF51C1"/>
    <w:rsid w:val="00EF68EA"/>
    <w:rsid w:val="00F00A8B"/>
    <w:rsid w:val="00F027DA"/>
    <w:rsid w:val="00F0392E"/>
    <w:rsid w:val="00F06F09"/>
    <w:rsid w:val="00F1246B"/>
    <w:rsid w:val="00F1284F"/>
    <w:rsid w:val="00F1600C"/>
    <w:rsid w:val="00F201EC"/>
    <w:rsid w:val="00F208A9"/>
    <w:rsid w:val="00F23BFE"/>
    <w:rsid w:val="00F24BFF"/>
    <w:rsid w:val="00F258A4"/>
    <w:rsid w:val="00F25A66"/>
    <w:rsid w:val="00F33A46"/>
    <w:rsid w:val="00F34610"/>
    <w:rsid w:val="00F34B3A"/>
    <w:rsid w:val="00F35244"/>
    <w:rsid w:val="00F37C42"/>
    <w:rsid w:val="00F41BB1"/>
    <w:rsid w:val="00F41D75"/>
    <w:rsid w:val="00F43866"/>
    <w:rsid w:val="00F44F01"/>
    <w:rsid w:val="00F47F8C"/>
    <w:rsid w:val="00F5139D"/>
    <w:rsid w:val="00F54705"/>
    <w:rsid w:val="00F54ADC"/>
    <w:rsid w:val="00F55E16"/>
    <w:rsid w:val="00F56A67"/>
    <w:rsid w:val="00F606A0"/>
    <w:rsid w:val="00F61F72"/>
    <w:rsid w:val="00F6386B"/>
    <w:rsid w:val="00F63DAC"/>
    <w:rsid w:val="00F7454F"/>
    <w:rsid w:val="00F75887"/>
    <w:rsid w:val="00F77988"/>
    <w:rsid w:val="00F77F48"/>
    <w:rsid w:val="00F80CB8"/>
    <w:rsid w:val="00F925D9"/>
    <w:rsid w:val="00F92FCD"/>
    <w:rsid w:val="00FA1ABA"/>
    <w:rsid w:val="00FA1ED5"/>
    <w:rsid w:val="00FA6C09"/>
    <w:rsid w:val="00FB30F1"/>
    <w:rsid w:val="00FB53E7"/>
    <w:rsid w:val="00FC077C"/>
    <w:rsid w:val="00FC17B7"/>
    <w:rsid w:val="00FC3866"/>
    <w:rsid w:val="00FC5DC0"/>
    <w:rsid w:val="00FD2A8A"/>
    <w:rsid w:val="00FE24C5"/>
    <w:rsid w:val="00FE2966"/>
    <w:rsid w:val="00FF4005"/>
    <w:rsid w:val="00FF525C"/>
    <w:rsid w:val="00FF5955"/>
    <w:rsid w:val="00FF71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currency2"/>
  <w:shapeDefaults>
    <o:shapedefaults v:ext="edit" spidmax="2049"/>
    <o:shapelayout v:ext="edit">
      <o:idmap v:ext="edit" data="1"/>
    </o:shapelayout>
  </w:shapeDefaults>
  <w:decimalSymbol w:val=","/>
  <w:listSeparator w:val=";"/>
  <w14:docId w14:val="2997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4">
    <w:name w:val="heading 4"/>
    <w:basedOn w:val="Normal"/>
    <w:link w:val="Heading4Char"/>
    <w:uiPriority w:val="9"/>
    <w:qFormat/>
    <w:rsid w:val="00A16CDA"/>
    <w:pPr>
      <w:spacing w:before="100" w:beforeAutospacing="1" w:after="100" w:afterAutospacing="1"/>
      <w:outlineLvl w:val="3"/>
    </w:pPr>
    <w:rPr>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rsid w:val="00524791"/>
    <w:pPr>
      <w:spacing w:before="100" w:beforeAutospacing="1" w:after="100" w:afterAutospacing="1"/>
    </w:pPr>
    <w:rPr>
      <w:rFonts w:ascii="Verdana" w:hAnsi="Verdana"/>
      <w:sz w:val="18"/>
      <w:szCs w:val="18"/>
      <w:lang w:val="en-GB" w:eastAsia="en-GB"/>
    </w:rPr>
  </w:style>
  <w:style w:type="paragraph" w:customStyle="1" w:styleId="Bezatstarpm">
    <w:name w:val="Bez atstarpēm"/>
    <w:uiPriority w:val="1"/>
    <w:qFormat/>
    <w:rsid w:val="00FC17B7"/>
    <w:rPr>
      <w:rFonts w:ascii="Calibri" w:eastAsia="Calibri" w:hAnsi="Calibri"/>
      <w:sz w:val="22"/>
      <w:szCs w:val="22"/>
      <w:lang w:eastAsia="en-US"/>
    </w:rPr>
  </w:style>
  <w:style w:type="character" w:customStyle="1" w:styleId="Heading4Char">
    <w:name w:val="Heading 4 Char"/>
    <w:link w:val="Heading4"/>
    <w:uiPriority w:val="9"/>
    <w:rsid w:val="00A16CDA"/>
    <w:rPr>
      <w:b/>
      <w:bCs/>
      <w:color w:val="000000"/>
      <w:sz w:val="24"/>
      <w:szCs w:val="24"/>
    </w:rPr>
  </w:style>
  <w:style w:type="paragraph" w:customStyle="1" w:styleId="StyleRight">
    <w:name w:val="Style Right"/>
    <w:basedOn w:val="Normal"/>
    <w:rsid w:val="00BF69D1"/>
    <w:pPr>
      <w:spacing w:after="120"/>
      <w:ind w:firstLine="720"/>
      <w:jc w:val="right"/>
    </w:pPr>
    <w:rPr>
      <w:sz w:val="28"/>
      <w:szCs w:val="28"/>
      <w:lang w:eastAsia="en-US"/>
    </w:rPr>
  </w:style>
  <w:style w:type="paragraph" w:customStyle="1" w:styleId="Sarakstarindkopa">
    <w:name w:val="Saraksta rindkopa"/>
    <w:basedOn w:val="Normal"/>
    <w:uiPriority w:val="34"/>
    <w:qFormat/>
    <w:rsid w:val="00A342A9"/>
    <w:pPr>
      <w:spacing w:before="100" w:beforeAutospacing="1" w:after="100" w:afterAutospacing="1"/>
    </w:pPr>
    <w:rPr>
      <w:color w:val="000000"/>
    </w:rPr>
  </w:style>
  <w:style w:type="paragraph" w:styleId="BodyText">
    <w:name w:val="Body Text"/>
    <w:basedOn w:val="Normal"/>
    <w:rsid w:val="006C5AF5"/>
    <w:pPr>
      <w:jc w:val="both"/>
    </w:pPr>
    <w:rPr>
      <w:lang w:eastAsia="en-US"/>
    </w:rPr>
  </w:style>
  <w:style w:type="paragraph" w:customStyle="1" w:styleId="EntEmet">
    <w:name w:val="EntEmet"/>
    <w:basedOn w:val="Normal"/>
    <w:rsid w:val="00C40140"/>
    <w:pPr>
      <w:widowControl w:val="0"/>
      <w:tabs>
        <w:tab w:val="left" w:pos="284"/>
        <w:tab w:val="left" w:pos="567"/>
        <w:tab w:val="left" w:pos="851"/>
        <w:tab w:val="left" w:pos="1134"/>
        <w:tab w:val="left" w:pos="1418"/>
      </w:tabs>
      <w:suppressAutoHyphens/>
      <w:spacing w:before="40"/>
    </w:pPr>
    <w:rPr>
      <w:szCs w:val="20"/>
      <w:lang w:val="en-GB" w:eastAsia="ar-SA"/>
    </w:rPr>
  </w:style>
  <w:style w:type="paragraph" w:customStyle="1" w:styleId="tv2131">
    <w:name w:val="tv2131"/>
    <w:basedOn w:val="Normal"/>
    <w:rsid w:val="00D16C80"/>
    <w:pPr>
      <w:spacing w:before="240" w:line="360" w:lineRule="auto"/>
      <w:ind w:firstLine="300"/>
      <w:jc w:val="both"/>
    </w:pPr>
    <w:rPr>
      <w:rFonts w:ascii="Verdana" w:hAnsi="Verdana"/>
      <w:sz w:val="18"/>
      <w:szCs w:val="18"/>
    </w:rPr>
  </w:style>
  <w:style w:type="paragraph" w:customStyle="1" w:styleId="tv2121">
    <w:name w:val="tv2121"/>
    <w:basedOn w:val="Normal"/>
    <w:rsid w:val="00EF1E23"/>
    <w:pPr>
      <w:spacing w:before="400" w:line="360" w:lineRule="auto"/>
      <w:jc w:val="center"/>
    </w:pPr>
    <w:rPr>
      <w:rFonts w:ascii="Verdana" w:hAnsi="Verdana"/>
      <w:b/>
      <w:bCs/>
      <w:sz w:val="20"/>
      <w:szCs w:val="20"/>
    </w:rPr>
  </w:style>
  <w:style w:type="paragraph" w:customStyle="1" w:styleId="tv213">
    <w:name w:val="tv213"/>
    <w:basedOn w:val="Normal"/>
    <w:rsid w:val="005422C7"/>
    <w:pPr>
      <w:spacing w:before="100" w:beforeAutospacing="1" w:after="100" w:afterAutospacing="1"/>
    </w:pPr>
  </w:style>
  <w:style w:type="paragraph" w:customStyle="1" w:styleId="tvhtml1">
    <w:name w:val="tv_html1"/>
    <w:basedOn w:val="Normal"/>
    <w:rsid w:val="00EB5522"/>
    <w:pPr>
      <w:spacing w:before="100" w:beforeAutospacing="1" w:line="360" w:lineRule="auto"/>
    </w:pPr>
    <w:rPr>
      <w:rFonts w:ascii="Verdana" w:hAnsi="Verdana"/>
      <w:sz w:val="18"/>
      <w:szCs w:val="18"/>
    </w:rPr>
  </w:style>
  <w:style w:type="paragraph" w:styleId="ListParagraph">
    <w:name w:val="List Paragraph"/>
    <w:basedOn w:val="Normal"/>
    <w:uiPriority w:val="34"/>
    <w:qFormat/>
    <w:rsid w:val="00CD6E4B"/>
    <w:pPr>
      <w:ind w:left="720"/>
      <w:contextualSpacing/>
    </w:pPr>
    <w:rPr>
      <w:rFonts w:asciiTheme="minorHAnsi" w:eastAsiaTheme="minorHAnsi" w:hAnsiTheme="minorHAnsi"/>
      <w:lang w:eastAsia="en-US"/>
    </w:rPr>
  </w:style>
  <w:style w:type="character" w:customStyle="1" w:styleId="spelle">
    <w:name w:val="spelle"/>
    <w:basedOn w:val="DefaultParagraphFont"/>
    <w:rsid w:val="00CD6E4B"/>
  </w:style>
  <w:style w:type="paragraph" w:customStyle="1" w:styleId="doc-ti">
    <w:name w:val="doc-ti"/>
    <w:basedOn w:val="Normal"/>
    <w:rsid w:val="00B30E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649"/>
    <w:rPr>
      <w:sz w:val="24"/>
      <w:szCs w:val="24"/>
    </w:rPr>
  </w:style>
  <w:style w:type="paragraph" w:styleId="Heading4">
    <w:name w:val="heading 4"/>
    <w:basedOn w:val="Normal"/>
    <w:link w:val="Heading4Char"/>
    <w:uiPriority w:val="9"/>
    <w:qFormat/>
    <w:rsid w:val="00A16CDA"/>
    <w:pPr>
      <w:spacing w:before="100" w:beforeAutospacing="1" w:after="100" w:afterAutospacing="1"/>
      <w:outlineLvl w:val="3"/>
    </w:pPr>
    <w:rPr>
      <w:b/>
      <w:bCs/>
      <w:color w:val="00000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basedOn w:val="Normal"/>
    <w:rsid w:val="00524791"/>
    <w:pPr>
      <w:spacing w:before="100" w:beforeAutospacing="1" w:after="100" w:afterAutospacing="1"/>
    </w:pPr>
    <w:rPr>
      <w:rFonts w:ascii="Verdana" w:hAnsi="Verdana"/>
      <w:sz w:val="18"/>
      <w:szCs w:val="18"/>
      <w:lang w:val="en-GB" w:eastAsia="en-GB"/>
    </w:rPr>
  </w:style>
  <w:style w:type="paragraph" w:customStyle="1" w:styleId="Bezatstarpm">
    <w:name w:val="Bez atstarpēm"/>
    <w:uiPriority w:val="1"/>
    <w:qFormat/>
    <w:rsid w:val="00FC17B7"/>
    <w:rPr>
      <w:rFonts w:ascii="Calibri" w:eastAsia="Calibri" w:hAnsi="Calibri"/>
      <w:sz w:val="22"/>
      <w:szCs w:val="22"/>
      <w:lang w:eastAsia="en-US"/>
    </w:rPr>
  </w:style>
  <w:style w:type="character" w:customStyle="1" w:styleId="Heading4Char">
    <w:name w:val="Heading 4 Char"/>
    <w:link w:val="Heading4"/>
    <w:uiPriority w:val="9"/>
    <w:rsid w:val="00A16CDA"/>
    <w:rPr>
      <w:b/>
      <w:bCs/>
      <w:color w:val="000000"/>
      <w:sz w:val="24"/>
      <w:szCs w:val="24"/>
    </w:rPr>
  </w:style>
  <w:style w:type="paragraph" w:customStyle="1" w:styleId="StyleRight">
    <w:name w:val="Style Right"/>
    <w:basedOn w:val="Normal"/>
    <w:rsid w:val="00BF69D1"/>
    <w:pPr>
      <w:spacing w:after="120"/>
      <w:ind w:firstLine="720"/>
      <w:jc w:val="right"/>
    </w:pPr>
    <w:rPr>
      <w:sz w:val="28"/>
      <w:szCs w:val="28"/>
      <w:lang w:eastAsia="en-US"/>
    </w:rPr>
  </w:style>
  <w:style w:type="paragraph" w:customStyle="1" w:styleId="Sarakstarindkopa">
    <w:name w:val="Saraksta rindkopa"/>
    <w:basedOn w:val="Normal"/>
    <w:uiPriority w:val="34"/>
    <w:qFormat/>
    <w:rsid w:val="00A342A9"/>
    <w:pPr>
      <w:spacing w:before="100" w:beforeAutospacing="1" w:after="100" w:afterAutospacing="1"/>
    </w:pPr>
    <w:rPr>
      <w:color w:val="000000"/>
    </w:rPr>
  </w:style>
  <w:style w:type="paragraph" w:styleId="BodyText">
    <w:name w:val="Body Text"/>
    <w:basedOn w:val="Normal"/>
    <w:rsid w:val="006C5AF5"/>
    <w:pPr>
      <w:jc w:val="both"/>
    </w:pPr>
    <w:rPr>
      <w:lang w:eastAsia="en-US"/>
    </w:rPr>
  </w:style>
  <w:style w:type="paragraph" w:customStyle="1" w:styleId="EntEmet">
    <w:name w:val="EntEmet"/>
    <w:basedOn w:val="Normal"/>
    <w:rsid w:val="00C40140"/>
    <w:pPr>
      <w:widowControl w:val="0"/>
      <w:tabs>
        <w:tab w:val="left" w:pos="284"/>
        <w:tab w:val="left" w:pos="567"/>
        <w:tab w:val="left" w:pos="851"/>
        <w:tab w:val="left" w:pos="1134"/>
        <w:tab w:val="left" w:pos="1418"/>
      </w:tabs>
      <w:suppressAutoHyphens/>
      <w:spacing w:before="40"/>
    </w:pPr>
    <w:rPr>
      <w:szCs w:val="20"/>
      <w:lang w:val="en-GB" w:eastAsia="ar-SA"/>
    </w:rPr>
  </w:style>
  <w:style w:type="paragraph" w:customStyle="1" w:styleId="tv2131">
    <w:name w:val="tv2131"/>
    <w:basedOn w:val="Normal"/>
    <w:rsid w:val="00D16C80"/>
    <w:pPr>
      <w:spacing w:before="240" w:line="360" w:lineRule="auto"/>
      <w:ind w:firstLine="300"/>
      <w:jc w:val="both"/>
    </w:pPr>
    <w:rPr>
      <w:rFonts w:ascii="Verdana" w:hAnsi="Verdana"/>
      <w:sz w:val="18"/>
      <w:szCs w:val="18"/>
    </w:rPr>
  </w:style>
  <w:style w:type="paragraph" w:customStyle="1" w:styleId="tv2121">
    <w:name w:val="tv2121"/>
    <w:basedOn w:val="Normal"/>
    <w:rsid w:val="00EF1E23"/>
    <w:pPr>
      <w:spacing w:before="400" w:line="360" w:lineRule="auto"/>
      <w:jc w:val="center"/>
    </w:pPr>
    <w:rPr>
      <w:rFonts w:ascii="Verdana" w:hAnsi="Verdana"/>
      <w:b/>
      <w:bCs/>
      <w:sz w:val="20"/>
      <w:szCs w:val="20"/>
    </w:rPr>
  </w:style>
  <w:style w:type="paragraph" w:customStyle="1" w:styleId="tv213">
    <w:name w:val="tv213"/>
    <w:basedOn w:val="Normal"/>
    <w:rsid w:val="005422C7"/>
    <w:pPr>
      <w:spacing w:before="100" w:beforeAutospacing="1" w:after="100" w:afterAutospacing="1"/>
    </w:pPr>
  </w:style>
  <w:style w:type="paragraph" w:customStyle="1" w:styleId="tvhtml1">
    <w:name w:val="tv_html1"/>
    <w:basedOn w:val="Normal"/>
    <w:rsid w:val="00EB5522"/>
    <w:pPr>
      <w:spacing w:before="100" w:beforeAutospacing="1" w:line="360" w:lineRule="auto"/>
    </w:pPr>
    <w:rPr>
      <w:rFonts w:ascii="Verdana" w:hAnsi="Verdana"/>
      <w:sz w:val="18"/>
      <w:szCs w:val="18"/>
    </w:rPr>
  </w:style>
  <w:style w:type="paragraph" w:styleId="ListParagraph">
    <w:name w:val="List Paragraph"/>
    <w:basedOn w:val="Normal"/>
    <w:uiPriority w:val="34"/>
    <w:qFormat/>
    <w:rsid w:val="00CD6E4B"/>
    <w:pPr>
      <w:ind w:left="720"/>
      <w:contextualSpacing/>
    </w:pPr>
    <w:rPr>
      <w:rFonts w:asciiTheme="minorHAnsi" w:eastAsiaTheme="minorHAnsi" w:hAnsiTheme="minorHAnsi"/>
      <w:lang w:eastAsia="en-US"/>
    </w:rPr>
  </w:style>
  <w:style w:type="character" w:customStyle="1" w:styleId="spelle">
    <w:name w:val="spelle"/>
    <w:basedOn w:val="DefaultParagraphFont"/>
    <w:rsid w:val="00CD6E4B"/>
  </w:style>
  <w:style w:type="paragraph" w:customStyle="1" w:styleId="doc-ti">
    <w:name w:val="doc-ti"/>
    <w:basedOn w:val="Normal"/>
    <w:rsid w:val="00B30E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3318">
      <w:bodyDiv w:val="1"/>
      <w:marLeft w:val="0"/>
      <w:marRight w:val="0"/>
      <w:marTop w:val="0"/>
      <w:marBottom w:val="0"/>
      <w:divBdr>
        <w:top w:val="none" w:sz="0" w:space="0" w:color="auto"/>
        <w:left w:val="none" w:sz="0" w:space="0" w:color="auto"/>
        <w:bottom w:val="none" w:sz="0" w:space="0" w:color="auto"/>
        <w:right w:val="none" w:sz="0" w:space="0" w:color="auto"/>
      </w:divBdr>
    </w:div>
    <w:div w:id="101149143">
      <w:bodyDiv w:val="1"/>
      <w:marLeft w:val="0"/>
      <w:marRight w:val="0"/>
      <w:marTop w:val="0"/>
      <w:marBottom w:val="0"/>
      <w:divBdr>
        <w:top w:val="none" w:sz="0" w:space="0" w:color="auto"/>
        <w:left w:val="none" w:sz="0" w:space="0" w:color="auto"/>
        <w:bottom w:val="none" w:sz="0" w:space="0" w:color="auto"/>
        <w:right w:val="none" w:sz="0" w:space="0" w:color="auto"/>
      </w:divBdr>
      <w:divsChild>
        <w:div w:id="502862275">
          <w:marLeft w:val="0"/>
          <w:marRight w:val="0"/>
          <w:marTop w:val="0"/>
          <w:marBottom w:val="0"/>
          <w:divBdr>
            <w:top w:val="none" w:sz="0" w:space="0" w:color="auto"/>
            <w:left w:val="none" w:sz="0" w:space="0" w:color="auto"/>
            <w:bottom w:val="none" w:sz="0" w:space="0" w:color="auto"/>
            <w:right w:val="none" w:sz="0" w:space="0" w:color="auto"/>
          </w:divBdr>
          <w:divsChild>
            <w:div w:id="11568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96381">
      <w:bodyDiv w:val="1"/>
      <w:marLeft w:val="0"/>
      <w:marRight w:val="0"/>
      <w:marTop w:val="0"/>
      <w:marBottom w:val="0"/>
      <w:divBdr>
        <w:top w:val="none" w:sz="0" w:space="0" w:color="auto"/>
        <w:left w:val="none" w:sz="0" w:space="0" w:color="auto"/>
        <w:bottom w:val="none" w:sz="0" w:space="0" w:color="auto"/>
        <w:right w:val="none" w:sz="0" w:space="0" w:color="auto"/>
      </w:divBdr>
      <w:divsChild>
        <w:div w:id="182458785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516962124">
      <w:bodyDiv w:val="1"/>
      <w:marLeft w:val="0"/>
      <w:marRight w:val="0"/>
      <w:marTop w:val="0"/>
      <w:marBottom w:val="0"/>
      <w:divBdr>
        <w:top w:val="none" w:sz="0" w:space="0" w:color="auto"/>
        <w:left w:val="none" w:sz="0" w:space="0" w:color="auto"/>
        <w:bottom w:val="none" w:sz="0" w:space="0" w:color="auto"/>
        <w:right w:val="none" w:sz="0" w:space="0" w:color="auto"/>
      </w:divBdr>
      <w:divsChild>
        <w:div w:id="1375084961">
          <w:marLeft w:val="0"/>
          <w:marRight w:val="0"/>
          <w:marTop w:val="0"/>
          <w:marBottom w:val="0"/>
          <w:divBdr>
            <w:top w:val="none" w:sz="0" w:space="0" w:color="auto"/>
            <w:left w:val="none" w:sz="0" w:space="0" w:color="auto"/>
            <w:bottom w:val="none" w:sz="0" w:space="0" w:color="auto"/>
            <w:right w:val="none" w:sz="0" w:space="0" w:color="auto"/>
          </w:divBdr>
          <w:divsChild>
            <w:div w:id="8207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7835">
      <w:bodyDiv w:val="1"/>
      <w:marLeft w:val="45"/>
      <w:marRight w:val="45"/>
      <w:marTop w:val="90"/>
      <w:marBottom w:val="90"/>
      <w:divBdr>
        <w:top w:val="none" w:sz="0" w:space="0" w:color="auto"/>
        <w:left w:val="none" w:sz="0" w:space="0" w:color="auto"/>
        <w:bottom w:val="none" w:sz="0" w:space="0" w:color="auto"/>
        <w:right w:val="none" w:sz="0" w:space="0" w:color="auto"/>
      </w:divBdr>
      <w:divsChild>
        <w:div w:id="503788732">
          <w:marLeft w:val="0"/>
          <w:marRight w:val="0"/>
          <w:marTop w:val="240"/>
          <w:marBottom w:val="0"/>
          <w:divBdr>
            <w:top w:val="none" w:sz="0" w:space="0" w:color="auto"/>
            <w:left w:val="none" w:sz="0" w:space="0" w:color="auto"/>
            <w:bottom w:val="none" w:sz="0" w:space="0" w:color="auto"/>
            <w:right w:val="none" w:sz="0" w:space="0" w:color="auto"/>
          </w:divBdr>
          <w:divsChild>
            <w:div w:id="1511018015">
              <w:marLeft w:val="0"/>
              <w:marRight w:val="0"/>
              <w:marTop w:val="45"/>
              <w:marBottom w:val="0"/>
              <w:divBdr>
                <w:top w:val="none" w:sz="0" w:space="0" w:color="auto"/>
                <w:left w:val="none" w:sz="0" w:space="0" w:color="auto"/>
                <w:bottom w:val="none" w:sz="0" w:space="0" w:color="auto"/>
                <w:right w:val="none" w:sz="0" w:space="0" w:color="auto"/>
              </w:divBdr>
            </w:div>
          </w:divsChild>
        </w:div>
        <w:div w:id="975720685">
          <w:marLeft w:val="0"/>
          <w:marRight w:val="0"/>
          <w:marTop w:val="240"/>
          <w:marBottom w:val="0"/>
          <w:divBdr>
            <w:top w:val="none" w:sz="0" w:space="0" w:color="auto"/>
            <w:left w:val="none" w:sz="0" w:space="0" w:color="auto"/>
            <w:bottom w:val="none" w:sz="0" w:space="0" w:color="auto"/>
            <w:right w:val="none" w:sz="0" w:space="0" w:color="auto"/>
          </w:divBdr>
        </w:div>
      </w:divsChild>
    </w:div>
    <w:div w:id="1140997729">
      <w:bodyDiv w:val="1"/>
      <w:marLeft w:val="0"/>
      <w:marRight w:val="0"/>
      <w:marTop w:val="0"/>
      <w:marBottom w:val="0"/>
      <w:divBdr>
        <w:top w:val="none" w:sz="0" w:space="0" w:color="auto"/>
        <w:left w:val="none" w:sz="0" w:space="0" w:color="auto"/>
        <w:bottom w:val="none" w:sz="0" w:space="0" w:color="auto"/>
        <w:right w:val="none" w:sz="0" w:space="0" w:color="auto"/>
      </w:divBdr>
    </w:div>
    <w:div w:id="1196697096">
      <w:bodyDiv w:val="1"/>
      <w:marLeft w:val="0"/>
      <w:marRight w:val="0"/>
      <w:marTop w:val="0"/>
      <w:marBottom w:val="0"/>
      <w:divBdr>
        <w:top w:val="none" w:sz="0" w:space="0" w:color="auto"/>
        <w:left w:val="none" w:sz="0" w:space="0" w:color="auto"/>
        <w:bottom w:val="none" w:sz="0" w:space="0" w:color="auto"/>
        <w:right w:val="none" w:sz="0" w:space="0" w:color="auto"/>
      </w:divBdr>
    </w:div>
    <w:div w:id="1727217438">
      <w:bodyDiv w:val="1"/>
      <w:marLeft w:val="0"/>
      <w:marRight w:val="0"/>
      <w:marTop w:val="0"/>
      <w:marBottom w:val="0"/>
      <w:divBdr>
        <w:top w:val="none" w:sz="0" w:space="0" w:color="auto"/>
        <w:left w:val="none" w:sz="0" w:space="0" w:color="auto"/>
        <w:bottom w:val="none" w:sz="0" w:space="0" w:color="auto"/>
        <w:right w:val="none" w:sz="0" w:space="0" w:color="auto"/>
      </w:divBdr>
    </w:div>
    <w:div w:id="19113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10915</Words>
  <Characters>6222</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Likumprojekts "Grozījumi likumā "Par aviāciju"</vt:lpstr>
    </vt:vector>
  </TitlesOfParts>
  <Company>VA "Civilās aviācijas aģentūra"</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aviāciju"</dc:title>
  <dc:subject>Sākotnējās ietekmes novērtējuma ziņojums (anotācija)</dc:subject>
  <dc:creator>Māris Andžāns</dc:creator>
  <dc:description>maris.andzans@latcaa.gov.lv; 20690636</dc:description>
  <cp:lastModifiedBy>Ivars Mekons</cp:lastModifiedBy>
  <cp:revision>2</cp:revision>
  <cp:lastPrinted>2014-08-11T11:47:00Z</cp:lastPrinted>
  <dcterms:created xsi:type="dcterms:W3CDTF">2015-04-02T07:59:00Z</dcterms:created>
  <dcterms:modified xsi:type="dcterms:W3CDTF">2015-04-02T07:59:00Z</dcterms:modified>
  <cp:category>Transporta un sakaru politika</cp:category>
</cp:coreProperties>
</file>