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5F608CDE" w:rsidR="00171D36" w:rsidRPr="005C14E6" w:rsidRDefault="00843AFD" w:rsidP="00F51FEF">
      <w:pPr>
        <w:pStyle w:val="naisvisr"/>
        <w:jc w:val="center"/>
        <w:rPr>
          <w:sz w:val="28"/>
          <w:szCs w:val="28"/>
        </w:rPr>
      </w:pPr>
      <w:r w:rsidRPr="005C14E6">
        <w:rPr>
          <w:b/>
          <w:sz w:val="28"/>
          <w:szCs w:val="28"/>
        </w:rPr>
        <w:t>Likum</w:t>
      </w:r>
      <w:r w:rsidR="00B241FD" w:rsidRPr="005C14E6">
        <w:rPr>
          <w:b/>
          <w:sz w:val="28"/>
          <w:szCs w:val="28"/>
        </w:rPr>
        <w:t xml:space="preserve">projekta </w:t>
      </w:r>
      <w:r w:rsidRPr="005C14E6">
        <w:rPr>
          <w:b/>
          <w:sz w:val="28"/>
          <w:szCs w:val="28"/>
        </w:rPr>
        <w:t>„</w:t>
      </w:r>
      <w:r w:rsidR="00F51FEF" w:rsidRPr="005C14E6">
        <w:rPr>
          <w:rStyle w:val="Strong"/>
          <w:sz w:val="28"/>
          <w:szCs w:val="28"/>
        </w:rPr>
        <w:t>Iekšējās drošības fonda un Patvēruma, migrācijas un integrācijas fonda 2014.-2020.gada plānošanas perioda vadības likums</w:t>
      </w:r>
      <w:r w:rsidRPr="005C14E6">
        <w:rPr>
          <w:b/>
          <w:sz w:val="28"/>
          <w:szCs w:val="28"/>
        </w:rPr>
        <w:t xml:space="preserve">” </w:t>
      </w:r>
      <w:r w:rsidR="00B241FD" w:rsidRPr="005C14E6">
        <w:rPr>
          <w:b/>
          <w:sz w:val="28"/>
          <w:szCs w:val="28"/>
        </w:rPr>
        <w:t>sākotnējās ietekmes novērtējuma ziņojums (anotācija)</w:t>
      </w:r>
    </w:p>
    <w:p w14:paraId="5EDF1D9D" w14:textId="77777777" w:rsidR="00184133" w:rsidRPr="005C14E6" w:rsidRDefault="00184133" w:rsidP="00171D36">
      <w:pPr>
        <w:pStyle w:val="naisf"/>
        <w:spacing w:before="0" w:beforeAutospacing="0" w:after="0" w:afterAutospacing="0"/>
        <w:jc w:val="right"/>
        <w:rPr>
          <w:sz w:val="28"/>
          <w:szCs w:val="28"/>
        </w:rPr>
      </w:pPr>
    </w:p>
    <w:tbl>
      <w:tblPr>
        <w:tblpPr w:leftFromText="180" w:rightFromText="180" w:vertAnchor="text" w:horzAnchor="margin" w:tblpXSpec="center" w:tblpY="149"/>
        <w:tblW w:w="5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
        <w:gridCol w:w="3229"/>
        <w:gridCol w:w="6004"/>
      </w:tblGrid>
      <w:tr w:rsidR="00DA6C86" w:rsidRPr="005C14E6" w14:paraId="5EDF1D9F" w14:textId="77777777" w:rsidTr="00981AE9">
        <w:trPr>
          <w:trHeight w:val="419"/>
        </w:trPr>
        <w:tc>
          <w:tcPr>
            <w:tcW w:w="5000" w:type="pct"/>
            <w:gridSpan w:val="3"/>
            <w:vAlign w:val="center"/>
          </w:tcPr>
          <w:p w14:paraId="5EDF1D9E" w14:textId="77777777" w:rsidR="00DA6C86" w:rsidRPr="005C14E6" w:rsidRDefault="00DA6C86" w:rsidP="00176CB2">
            <w:pPr>
              <w:pStyle w:val="naisnod"/>
              <w:spacing w:before="0" w:beforeAutospacing="0" w:after="0" w:afterAutospacing="0"/>
              <w:ind w:right="57"/>
              <w:jc w:val="center"/>
              <w:rPr>
                <w:b/>
              </w:rPr>
            </w:pPr>
            <w:r w:rsidRPr="005C14E6">
              <w:rPr>
                <w:b/>
              </w:rPr>
              <w:t>I. Tiesību akta projekta izstrādes nepieciešamība</w:t>
            </w:r>
          </w:p>
        </w:tc>
      </w:tr>
      <w:tr w:rsidR="00DA6C86" w:rsidRPr="005C14E6" w14:paraId="5EDF1DA3" w14:textId="77777777" w:rsidTr="00981AE9">
        <w:trPr>
          <w:trHeight w:val="415"/>
        </w:trPr>
        <w:tc>
          <w:tcPr>
            <w:tcW w:w="208" w:type="pct"/>
          </w:tcPr>
          <w:p w14:paraId="5EDF1DA0" w14:textId="77777777" w:rsidR="00DA6C86" w:rsidRPr="005C14E6" w:rsidRDefault="00DA6C86" w:rsidP="00176CB2">
            <w:pPr>
              <w:pStyle w:val="naiskr"/>
              <w:spacing w:before="0" w:beforeAutospacing="0" w:after="0" w:afterAutospacing="0"/>
              <w:ind w:right="57"/>
              <w:jc w:val="center"/>
            </w:pPr>
            <w:r w:rsidRPr="005C14E6">
              <w:t>1.</w:t>
            </w:r>
          </w:p>
        </w:tc>
        <w:tc>
          <w:tcPr>
            <w:tcW w:w="1676" w:type="pct"/>
          </w:tcPr>
          <w:p w14:paraId="5EDF1DA1" w14:textId="2DFEEE26" w:rsidR="00900304" w:rsidRPr="005C14E6" w:rsidRDefault="00DA6C86" w:rsidP="00F57E68">
            <w:pPr>
              <w:pStyle w:val="naiskr"/>
              <w:spacing w:before="0" w:beforeAutospacing="0" w:after="0" w:afterAutospacing="0"/>
              <w:ind w:left="57" w:right="57"/>
            </w:pPr>
            <w:r w:rsidRPr="005C14E6">
              <w:t>Pamatojums</w:t>
            </w:r>
          </w:p>
          <w:p w14:paraId="2802E2B3" w14:textId="77777777" w:rsidR="00DA6C86" w:rsidRPr="005C14E6" w:rsidRDefault="00DA6C86" w:rsidP="00900304">
            <w:pPr>
              <w:ind w:firstLine="720"/>
              <w:rPr>
                <w:rFonts w:ascii="Times New Roman" w:hAnsi="Times New Roman" w:cs="Times New Roman"/>
              </w:rPr>
            </w:pPr>
          </w:p>
        </w:tc>
        <w:tc>
          <w:tcPr>
            <w:tcW w:w="3116" w:type="pct"/>
          </w:tcPr>
          <w:p w14:paraId="413732E2" w14:textId="62560B8E" w:rsidR="00F51FEF" w:rsidRPr="005C14E6" w:rsidRDefault="00843AFD" w:rsidP="00985D5C">
            <w:pPr>
              <w:pStyle w:val="naisvisr"/>
              <w:spacing w:before="0" w:beforeAutospacing="0" w:after="0" w:afterAutospacing="0"/>
              <w:jc w:val="both"/>
            </w:pPr>
            <w:r w:rsidRPr="005C14E6">
              <w:t>Likumprojekts „</w:t>
            </w:r>
            <w:r w:rsidR="00F51FEF" w:rsidRPr="005C14E6">
              <w:rPr>
                <w:rStyle w:val="Strong"/>
                <w:b w:val="0"/>
                <w:szCs w:val="28"/>
              </w:rPr>
              <w:t>Iekšējās drošības fonda un Patvēruma, migrācijas un integrācijas fonda 2014.-2020.gada plānošanas perioda vadības likums</w:t>
            </w:r>
            <w:r w:rsidRPr="005C14E6">
              <w:t xml:space="preserve">” </w:t>
            </w:r>
            <w:r w:rsidR="00DE3EE8" w:rsidRPr="005C14E6">
              <w:t>(turpmāk – likumprojekts) izstrādāts saskaņā ar:</w:t>
            </w:r>
          </w:p>
          <w:p w14:paraId="2DCCF1EF" w14:textId="2624BA3E" w:rsidR="00F51FEF" w:rsidRPr="00154F50" w:rsidRDefault="00F51FEF" w:rsidP="00985D5C">
            <w:pPr>
              <w:pStyle w:val="ListParagraph"/>
              <w:numPr>
                <w:ilvl w:val="0"/>
                <w:numId w:val="36"/>
              </w:numPr>
              <w:spacing w:after="0" w:line="240" w:lineRule="auto"/>
              <w:ind w:right="39"/>
              <w:contextualSpacing w:val="0"/>
              <w:jc w:val="both"/>
              <w:rPr>
                <w:rFonts w:ascii="Times New Roman" w:hAnsi="Times New Roman" w:cs="Times New Roman"/>
                <w:bCs/>
                <w:sz w:val="24"/>
                <w:szCs w:val="24"/>
                <w:shd w:val="clear" w:color="auto" w:fill="FFFFFF"/>
              </w:rPr>
            </w:pPr>
            <w:r w:rsidRPr="00154F50">
              <w:rPr>
                <w:rFonts w:ascii="Times New Roman" w:hAnsi="Times New Roman" w:cs="Times New Roman"/>
                <w:sz w:val="24"/>
                <w:szCs w:val="24"/>
              </w:rPr>
              <w:t xml:space="preserve">Eiropas Parlamenta un Padomes 2014.gada 16.aprīļa regulu Nr.514/2014 </w:t>
            </w:r>
            <w:r w:rsidRPr="00154F50">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sidR="00C873AD" w:rsidRPr="00154F50">
              <w:rPr>
                <w:rFonts w:ascii="Times New Roman" w:hAnsi="Times New Roman" w:cs="Times New Roman"/>
                <w:bCs/>
                <w:sz w:val="24"/>
                <w:szCs w:val="24"/>
                <w:shd w:val="clear" w:color="auto" w:fill="FFFFFF"/>
              </w:rPr>
              <w:t xml:space="preserve"> (turpmāk – regula Nr.51</w:t>
            </w:r>
            <w:r w:rsidR="00FB74F4" w:rsidRPr="00154F50">
              <w:rPr>
                <w:rFonts w:ascii="Times New Roman" w:hAnsi="Times New Roman" w:cs="Times New Roman"/>
                <w:bCs/>
                <w:sz w:val="24"/>
                <w:szCs w:val="24"/>
                <w:shd w:val="clear" w:color="auto" w:fill="FFFFFF"/>
              </w:rPr>
              <w:t>4</w:t>
            </w:r>
            <w:r w:rsidR="00C873AD" w:rsidRPr="00154F50">
              <w:rPr>
                <w:rFonts w:ascii="Times New Roman" w:hAnsi="Times New Roman" w:cs="Times New Roman"/>
                <w:bCs/>
                <w:sz w:val="24"/>
                <w:szCs w:val="24"/>
                <w:shd w:val="clear" w:color="auto" w:fill="FFFFFF"/>
              </w:rPr>
              <w:t>/2014)</w:t>
            </w:r>
            <w:r w:rsidR="00154F50" w:rsidRPr="00154F50">
              <w:rPr>
                <w:rFonts w:ascii="Times New Roman" w:hAnsi="Times New Roman" w:cs="Times New Roman"/>
                <w:bCs/>
                <w:sz w:val="24"/>
                <w:szCs w:val="24"/>
                <w:shd w:val="clear" w:color="auto" w:fill="FFFFFF"/>
              </w:rPr>
              <w:t>.</w:t>
            </w:r>
          </w:p>
          <w:p w14:paraId="3215328F" w14:textId="1DCD9633" w:rsidR="00154F50" w:rsidRDefault="00154F50" w:rsidP="00985D5C">
            <w:pPr>
              <w:pStyle w:val="ListParagraph"/>
              <w:numPr>
                <w:ilvl w:val="0"/>
                <w:numId w:val="36"/>
              </w:numPr>
              <w:spacing w:after="0" w:line="240" w:lineRule="auto"/>
              <w:ind w:right="39"/>
              <w:contextualSpacing w:val="0"/>
              <w:jc w:val="both"/>
              <w:rPr>
                <w:rFonts w:ascii="Times New Roman" w:hAnsi="Times New Roman" w:cs="Times New Roman"/>
                <w:sz w:val="24"/>
                <w:szCs w:val="24"/>
              </w:rPr>
            </w:pPr>
            <w:r w:rsidRPr="00154F50">
              <w:rPr>
                <w:rFonts w:ascii="Times New Roman" w:hAnsi="Times New Roman" w:cs="Times New Roman"/>
                <w:sz w:val="24"/>
                <w:szCs w:val="24"/>
              </w:rPr>
              <w:t>Eiropas Komisijas 2014.gada 25.jūlija deleģēt</w:t>
            </w:r>
            <w:r w:rsidR="00E34335">
              <w:rPr>
                <w:rFonts w:ascii="Times New Roman" w:hAnsi="Times New Roman" w:cs="Times New Roman"/>
                <w:sz w:val="24"/>
                <w:szCs w:val="24"/>
              </w:rPr>
              <w:t>o</w:t>
            </w:r>
            <w:r w:rsidRPr="00154F50">
              <w:rPr>
                <w:rFonts w:ascii="Times New Roman" w:hAnsi="Times New Roman" w:cs="Times New Roman"/>
                <w:sz w:val="24"/>
                <w:szCs w:val="24"/>
              </w:rPr>
              <w:t xml:space="preserve"> regul</w:t>
            </w:r>
            <w:r w:rsidR="00E34335">
              <w:rPr>
                <w:rFonts w:ascii="Times New Roman" w:hAnsi="Times New Roman" w:cs="Times New Roman"/>
                <w:sz w:val="24"/>
                <w:szCs w:val="24"/>
              </w:rPr>
              <w:t>u</w:t>
            </w:r>
            <w:r w:rsidRPr="00154F50">
              <w:rPr>
                <w:rFonts w:ascii="Times New Roman" w:hAnsi="Times New Roman" w:cs="Times New Roman"/>
                <w:sz w:val="24"/>
                <w:szCs w:val="24"/>
              </w:rPr>
              <w:t xml:space="preserve"> Nr.1042/2014, ar ko papildina Regulu (ES) Nr.514/2014 attiecībā uz atbildīgo iestāžu izraudzīšanu un pienākumiem pārvaldības un kontroles jomā un attiecībā uz revīzijas iestāžu statusu un pienākumiem</w:t>
            </w:r>
            <w:r>
              <w:rPr>
                <w:rFonts w:ascii="Times New Roman" w:hAnsi="Times New Roman" w:cs="Times New Roman"/>
                <w:sz w:val="24"/>
                <w:szCs w:val="24"/>
              </w:rPr>
              <w:t xml:space="preserve"> (</w:t>
            </w:r>
            <w:r w:rsidRPr="00154F5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turpmāk – regula Nr.1042</w:t>
            </w:r>
            <w:r w:rsidRPr="00154F50">
              <w:rPr>
                <w:rFonts w:ascii="Times New Roman" w:hAnsi="Times New Roman" w:cs="Times New Roman"/>
                <w:bCs/>
                <w:sz w:val="24"/>
                <w:szCs w:val="24"/>
                <w:shd w:val="clear" w:color="auto" w:fill="FFFFFF"/>
              </w:rPr>
              <w:t>/2014</w:t>
            </w:r>
            <w:r>
              <w:rPr>
                <w:rFonts w:ascii="Times New Roman" w:hAnsi="Times New Roman" w:cs="Times New Roman"/>
                <w:bCs/>
                <w:sz w:val="24"/>
                <w:szCs w:val="24"/>
                <w:shd w:val="clear" w:color="auto" w:fill="FFFFFF"/>
              </w:rPr>
              <w:t>)</w:t>
            </w:r>
            <w:r>
              <w:rPr>
                <w:rFonts w:ascii="Times New Roman" w:hAnsi="Times New Roman" w:cs="Times New Roman"/>
                <w:sz w:val="24"/>
                <w:szCs w:val="24"/>
              </w:rPr>
              <w:t>.</w:t>
            </w:r>
          </w:p>
          <w:p w14:paraId="5EDF1DA2" w14:textId="4C13F19A" w:rsidR="001A3439" w:rsidRPr="005C14E6" w:rsidRDefault="00EF7BBB" w:rsidP="00985D5C">
            <w:pPr>
              <w:pStyle w:val="ListParagraph"/>
              <w:numPr>
                <w:ilvl w:val="0"/>
                <w:numId w:val="36"/>
              </w:numPr>
              <w:spacing w:after="0" w:line="240" w:lineRule="auto"/>
              <w:ind w:right="39"/>
              <w:contextualSpacing w:val="0"/>
              <w:jc w:val="both"/>
              <w:rPr>
                <w:rFonts w:ascii="Times New Roman" w:hAnsi="Times New Roman" w:cs="Times New Roman"/>
                <w:sz w:val="24"/>
                <w:szCs w:val="24"/>
              </w:rPr>
            </w:pPr>
            <w:r w:rsidRPr="00C372B2">
              <w:rPr>
                <w:rFonts w:ascii="Times New Roman" w:hAnsi="Times New Roman" w:cs="Times New Roman"/>
                <w:sz w:val="24"/>
                <w:szCs w:val="24"/>
              </w:rPr>
              <w:t>Ministru kabineta 201</w:t>
            </w:r>
            <w:r w:rsidR="00F51FEF" w:rsidRPr="00C372B2">
              <w:rPr>
                <w:rFonts w:ascii="Times New Roman" w:hAnsi="Times New Roman" w:cs="Times New Roman"/>
                <w:sz w:val="24"/>
                <w:szCs w:val="24"/>
              </w:rPr>
              <w:t>4</w:t>
            </w:r>
            <w:r w:rsidRPr="00C372B2">
              <w:rPr>
                <w:rFonts w:ascii="Times New Roman" w:hAnsi="Times New Roman" w:cs="Times New Roman"/>
                <w:sz w:val="24"/>
                <w:szCs w:val="24"/>
              </w:rPr>
              <w:t xml:space="preserve">.gada </w:t>
            </w:r>
            <w:r w:rsidR="00C372B2" w:rsidRPr="00C372B2">
              <w:rPr>
                <w:rFonts w:ascii="Times New Roman" w:hAnsi="Times New Roman" w:cs="Times New Roman"/>
                <w:sz w:val="24"/>
                <w:szCs w:val="24"/>
              </w:rPr>
              <w:t>10.decembra</w:t>
            </w:r>
            <w:r w:rsidRPr="00C372B2">
              <w:rPr>
                <w:rFonts w:ascii="Times New Roman" w:hAnsi="Times New Roman" w:cs="Times New Roman"/>
                <w:sz w:val="24"/>
                <w:szCs w:val="24"/>
              </w:rPr>
              <w:t xml:space="preserve"> rīkojumu Nr.</w:t>
            </w:r>
            <w:r w:rsidR="00C372B2" w:rsidRPr="00C372B2">
              <w:rPr>
                <w:rFonts w:ascii="Times New Roman" w:hAnsi="Times New Roman" w:cs="Times New Roman"/>
                <w:sz w:val="24"/>
                <w:szCs w:val="24"/>
              </w:rPr>
              <w:t>764</w:t>
            </w:r>
            <w:r w:rsidRPr="00C372B2">
              <w:rPr>
                <w:rFonts w:ascii="Times New Roman" w:hAnsi="Times New Roman" w:cs="Times New Roman"/>
                <w:sz w:val="24"/>
                <w:szCs w:val="24"/>
              </w:rPr>
              <w:t xml:space="preserve"> </w:t>
            </w:r>
            <w:r w:rsidR="00F51FEF" w:rsidRPr="00C372B2">
              <w:rPr>
                <w:rFonts w:ascii="Times New Roman" w:hAnsi="Times New Roman" w:cs="Times New Roman"/>
                <w:bCs/>
                <w:sz w:val="24"/>
                <w:szCs w:val="24"/>
              </w:rPr>
              <w:t>„</w:t>
            </w:r>
            <w:r w:rsidR="00F51FEF" w:rsidRPr="00C372B2">
              <w:rPr>
                <w:rFonts w:ascii="Times New Roman" w:hAnsi="Times New Roman" w:cs="Times New Roman"/>
                <w:sz w:val="24"/>
                <w:szCs w:val="24"/>
              </w:rPr>
              <w:t>Par Iekšējās drošības fonda un Patvēruma, migrācijas un integrācijas fonda atbildīgajām iestādēm”</w:t>
            </w:r>
            <w:r w:rsidRPr="00C372B2">
              <w:rPr>
                <w:rFonts w:ascii="Times New Roman" w:hAnsi="Times New Roman" w:cs="Times New Roman"/>
                <w:sz w:val="24"/>
                <w:szCs w:val="24"/>
              </w:rPr>
              <w:t xml:space="preserve"> </w:t>
            </w:r>
            <w:r w:rsidR="00C372B2" w:rsidRPr="00C372B2">
              <w:rPr>
                <w:rFonts w:ascii="Times New Roman" w:hAnsi="Times New Roman" w:cs="Times New Roman"/>
                <w:sz w:val="24"/>
                <w:szCs w:val="24"/>
              </w:rPr>
              <w:t>2.</w:t>
            </w:r>
            <w:r w:rsidRPr="00C372B2">
              <w:rPr>
                <w:rFonts w:ascii="Times New Roman" w:hAnsi="Times New Roman" w:cs="Times New Roman"/>
                <w:sz w:val="24"/>
                <w:szCs w:val="24"/>
              </w:rPr>
              <w:t>punkt</w:t>
            </w:r>
            <w:r w:rsidR="001A3439" w:rsidRPr="00C372B2">
              <w:rPr>
                <w:rFonts w:ascii="Times New Roman" w:hAnsi="Times New Roman" w:cs="Times New Roman"/>
                <w:sz w:val="24"/>
                <w:szCs w:val="24"/>
              </w:rPr>
              <w:t>u</w:t>
            </w:r>
            <w:r w:rsidR="009C0C5D" w:rsidRPr="00C372B2">
              <w:rPr>
                <w:rFonts w:ascii="Times New Roman" w:hAnsi="Times New Roman" w:cs="Times New Roman"/>
                <w:sz w:val="24"/>
                <w:szCs w:val="24"/>
              </w:rPr>
              <w:t>.</w:t>
            </w:r>
          </w:p>
        </w:tc>
      </w:tr>
      <w:tr w:rsidR="00DA6C86" w:rsidRPr="005C14E6" w14:paraId="5EDF1DA7" w14:textId="77777777" w:rsidTr="00981AE9">
        <w:trPr>
          <w:trHeight w:val="472"/>
        </w:trPr>
        <w:tc>
          <w:tcPr>
            <w:tcW w:w="208" w:type="pct"/>
          </w:tcPr>
          <w:p w14:paraId="5EDF1DA4" w14:textId="3B2F7192" w:rsidR="00DA6C86" w:rsidRPr="005C14E6" w:rsidRDefault="00DA6C86" w:rsidP="00176CB2">
            <w:pPr>
              <w:pStyle w:val="naiskr"/>
              <w:spacing w:before="0" w:beforeAutospacing="0" w:after="0" w:afterAutospacing="0"/>
              <w:ind w:right="57"/>
              <w:jc w:val="center"/>
            </w:pPr>
            <w:r w:rsidRPr="005C14E6">
              <w:t>2.</w:t>
            </w:r>
          </w:p>
        </w:tc>
        <w:tc>
          <w:tcPr>
            <w:tcW w:w="1676" w:type="pct"/>
          </w:tcPr>
          <w:p w14:paraId="5EDF1DA5" w14:textId="573737DA" w:rsidR="00DA6C86" w:rsidRPr="005C14E6" w:rsidRDefault="00502937" w:rsidP="00F57E68">
            <w:pPr>
              <w:pStyle w:val="naiskr"/>
              <w:tabs>
                <w:tab w:val="left" w:pos="170"/>
              </w:tabs>
              <w:spacing w:before="0" w:beforeAutospacing="0" w:after="0" w:afterAutospacing="0"/>
              <w:ind w:left="57" w:right="57"/>
            </w:pPr>
            <w:r w:rsidRPr="005C14E6">
              <w:t>Pašreizējā situācija un problēmas, kuru risināšanai tiesību akta projekts izstrādāts, tiesiskā regulējuma mērķis un būtība</w:t>
            </w:r>
          </w:p>
        </w:tc>
        <w:tc>
          <w:tcPr>
            <w:tcW w:w="3116" w:type="pct"/>
          </w:tcPr>
          <w:p w14:paraId="6C095A7C" w14:textId="33E2409C" w:rsidR="00E80A81" w:rsidRPr="00002452" w:rsidRDefault="008A15DB"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 xml:space="preserve">No 2014.gada 1.janvāra Latvijas Republikā un pārējās Eiropas Savienības (turpmāk – ES) dalībvalstīs tiek uzsākts 2014.-2020.gada ES Iekšējās drošības fonda un Patvēruma, migrācijas un integrācijas fonda (turpmāk ES fondi) </w:t>
            </w:r>
            <w:r w:rsidR="00D76BFB">
              <w:rPr>
                <w:b w:val="0"/>
                <w:sz w:val="24"/>
                <w:szCs w:val="24"/>
              </w:rPr>
              <w:t>īstenošanas</w:t>
            </w:r>
            <w:r w:rsidRPr="00002452">
              <w:rPr>
                <w:b w:val="0"/>
                <w:sz w:val="24"/>
                <w:szCs w:val="24"/>
              </w:rPr>
              <w:t xml:space="preserve"> periods, </w:t>
            </w:r>
            <w:r w:rsidR="00E80A81" w:rsidRPr="00002452">
              <w:rPr>
                <w:b w:val="0"/>
                <w:sz w:val="24"/>
                <w:szCs w:val="24"/>
              </w:rPr>
              <w:t>kuru regulēs jaunas regula</w:t>
            </w:r>
            <w:r w:rsidR="00C66814" w:rsidRPr="00002452">
              <w:rPr>
                <w:b w:val="0"/>
                <w:sz w:val="24"/>
                <w:szCs w:val="24"/>
              </w:rPr>
              <w:t>s</w:t>
            </w:r>
            <w:r w:rsidR="00E80A81" w:rsidRPr="00002452">
              <w:rPr>
                <w:b w:val="0"/>
                <w:sz w:val="24"/>
                <w:szCs w:val="24"/>
              </w:rPr>
              <w:t xml:space="preserve"> (skat. anotācijas I sadaļas 1.punktu).</w:t>
            </w:r>
          </w:p>
          <w:p w14:paraId="5AD1089C" w14:textId="2E79EF22" w:rsidR="004B6B75" w:rsidRPr="00002452" w:rsidRDefault="00F17467"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 xml:space="preserve">Šobrīd </w:t>
            </w:r>
            <w:r w:rsidR="00177805" w:rsidRPr="00002452">
              <w:rPr>
                <w:b w:val="0"/>
                <w:sz w:val="24"/>
                <w:szCs w:val="24"/>
              </w:rPr>
              <w:t xml:space="preserve">iekšlietu jomā </w:t>
            </w:r>
            <w:r w:rsidRPr="00002452">
              <w:rPr>
                <w:b w:val="0"/>
                <w:sz w:val="24"/>
                <w:szCs w:val="24"/>
              </w:rPr>
              <w:t>ES fondu vadību Latvijas Republikā nosaka</w:t>
            </w:r>
            <w:r w:rsidR="008A15DB" w:rsidRPr="00002452">
              <w:rPr>
                <w:b w:val="0"/>
                <w:sz w:val="24"/>
                <w:szCs w:val="24"/>
              </w:rPr>
              <w:t xml:space="preserve"> “Vispārīgās programmas “Solidaritāte un migrācijas plūsmu pārvaldība” ietvaros izveidoto fondu vadības likums (turpmāk – ES fondu vadības likums), kas stājies spēkā 2009.gada 29.aprīlī. Minētā likum</w:t>
            </w:r>
            <w:r w:rsidR="00474644" w:rsidRPr="00002452">
              <w:rPr>
                <w:b w:val="0"/>
                <w:sz w:val="24"/>
                <w:szCs w:val="24"/>
              </w:rPr>
              <w:t>a</w:t>
            </w:r>
            <w:r w:rsidR="008A15DB" w:rsidRPr="00002452">
              <w:rPr>
                <w:b w:val="0"/>
                <w:sz w:val="24"/>
                <w:szCs w:val="24"/>
              </w:rPr>
              <w:t xml:space="preserve"> 3.pantā ir noteikts, ka likums attiecas uz ES fonda vadību</w:t>
            </w:r>
            <w:r w:rsidR="00177805" w:rsidRPr="00002452">
              <w:rPr>
                <w:b w:val="0"/>
                <w:sz w:val="24"/>
                <w:szCs w:val="24"/>
              </w:rPr>
              <w:t xml:space="preserve"> iekšlietu jomā</w:t>
            </w:r>
            <w:r w:rsidR="008A15DB" w:rsidRPr="00002452">
              <w:rPr>
                <w:b w:val="0"/>
                <w:sz w:val="24"/>
                <w:szCs w:val="24"/>
              </w:rPr>
              <w:t xml:space="preserve">, t.i. nosaka fonda vadībā iesaistīto institūciju un fonda finansējuma saņēmēju tiesības un pienākumus, fonda vadībā iesaistīto institūciju lēmumu pieņemšanas, apstrīdēšanas un pārsūdzēšanas kārtību, kā arī kārtību, kādā risināmi strīdi par piešķirto fonda finansējumu, un citus ar fonda vadību saistītus jautājumus. </w:t>
            </w:r>
          </w:p>
          <w:p w14:paraId="5AD69238" w14:textId="42C3BA18" w:rsidR="00634D96" w:rsidRPr="00002452" w:rsidRDefault="008A15DB" w:rsidP="00A67F42">
            <w:pPr>
              <w:pStyle w:val="Heading3"/>
              <w:shd w:val="clear" w:color="auto" w:fill="FFFFFF"/>
              <w:spacing w:before="0" w:beforeAutospacing="0" w:after="120" w:afterAutospacing="0"/>
              <w:ind w:left="57" w:right="57"/>
              <w:jc w:val="both"/>
              <w:rPr>
                <w:b w:val="0"/>
                <w:sz w:val="24"/>
                <w:szCs w:val="24"/>
              </w:rPr>
            </w:pPr>
            <w:r w:rsidRPr="00002452">
              <w:rPr>
                <w:b w:val="0"/>
                <w:sz w:val="24"/>
                <w:szCs w:val="24"/>
              </w:rPr>
              <w:t xml:space="preserve">Ņemot vērā, ka minētajā likumā ietvertais tiesiskais regulējums attiecas tikai uz </w:t>
            </w:r>
            <w:r w:rsidR="00D05D7B" w:rsidRPr="00002452">
              <w:rPr>
                <w:b w:val="0"/>
                <w:sz w:val="24"/>
                <w:szCs w:val="24"/>
              </w:rPr>
              <w:t xml:space="preserve">iekšlietu jomas </w:t>
            </w:r>
            <w:r w:rsidRPr="00002452">
              <w:rPr>
                <w:b w:val="0"/>
                <w:sz w:val="24"/>
                <w:szCs w:val="24"/>
              </w:rPr>
              <w:t>ES fondu</w:t>
            </w:r>
            <w:r w:rsidR="00634D96" w:rsidRPr="00002452">
              <w:rPr>
                <w:b w:val="0"/>
                <w:sz w:val="24"/>
                <w:szCs w:val="24"/>
              </w:rPr>
              <w:t xml:space="preserve"> 2007.-2013.gada plānošanas periodu, tad nepieciešams izstrādāt jaunu likumu, kurā ietvertais tiesiskais regulējums attiektos uz jauno plānošanas periodu. </w:t>
            </w:r>
            <w:r w:rsidR="00634D96" w:rsidRPr="00F222F5">
              <w:rPr>
                <w:b w:val="0"/>
                <w:sz w:val="24"/>
                <w:szCs w:val="24"/>
              </w:rPr>
              <w:t xml:space="preserve">Ievērojot minēto, ar Ministru </w:t>
            </w:r>
            <w:r w:rsidR="00634D96" w:rsidRPr="00F222F5">
              <w:rPr>
                <w:b w:val="0"/>
                <w:sz w:val="24"/>
                <w:szCs w:val="24"/>
              </w:rPr>
              <w:lastRenderedPageBreak/>
              <w:t xml:space="preserve">kabineta 2014.gada </w:t>
            </w:r>
            <w:r w:rsidR="00F222F5" w:rsidRPr="00F222F5">
              <w:rPr>
                <w:b w:val="0"/>
                <w:sz w:val="24"/>
                <w:szCs w:val="24"/>
              </w:rPr>
              <w:t>10.decembra</w:t>
            </w:r>
            <w:r w:rsidR="00634D96" w:rsidRPr="00F222F5">
              <w:rPr>
                <w:b w:val="0"/>
                <w:sz w:val="24"/>
                <w:szCs w:val="24"/>
              </w:rPr>
              <w:t xml:space="preserve"> rīkojuma Nr.</w:t>
            </w:r>
            <w:r w:rsidR="00F222F5" w:rsidRPr="00F222F5">
              <w:rPr>
                <w:b w:val="0"/>
                <w:sz w:val="24"/>
                <w:szCs w:val="24"/>
              </w:rPr>
              <w:t>764</w:t>
            </w:r>
            <w:r w:rsidR="00634D96" w:rsidRPr="00F222F5">
              <w:rPr>
                <w:b w:val="0"/>
                <w:sz w:val="24"/>
                <w:szCs w:val="24"/>
              </w:rPr>
              <w:t xml:space="preserve"> </w:t>
            </w:r>
            <w:r w:rsidR="00DC7DF5" w:rsidRPr="00F222F5">
              <w:rPr>
                <w:b w:val="0"/>
                <w:sz w:val="24"/>
                <w:szCs w:val="24"/>
              </w:rPr>
              <w:t>„Par Iekšējās drošības fonda un Patvēruma, migrācijas un integrācijas fonda atbildīgajām iestādēm”</w:t>
            </w:r>
            <w:r w:rsidR="00634D96" w:rsidRPr="00F222F5">
              <w:rPr>
                <w:b w:val="0"/>
                <w:sz w:val="24"/>
                <w:szCs w:val="24"/>
              </w:rPr>
              <w:t xml:space="preserve"> </w:t>
            </w:r>
            <w:r w:rsidR="00F222F5" w:rsidRPr="00F222F5">
              <w:rPr>
                <w:b w:val="0"/>
                <w:sz w:val="24"/>
                <w:szCs w:val="24"/>
              </w:rPr>
              <w:t>2.</w:t>
            </w:r>
            <w:r w:rsidR="00634D96" w:rsidRPr="00F222F5">
              <w:rPr>
                <w:b w:val="0"/>
                <w:sz w:val="24"/>
                <w:szCs w:val="24"/>
              </w:rPr>
              <w:t>punktu</w:t>
            </w:r>
            <w:r w:rsidR="00634D96" w:rsidRPr="00002452">
              <w:rPr>
                <w:b w:val="0"/>
                <w:sz w:val="24"/>
                <w:szCs w:val="24"/>
              </w:rPr>
              <w:t>, Iekšlietu ministrijai ir uzdots izstrādāt likumprojektu par ES fondu vadību 2014.-2020.gada plānošanas periodam. Lai izpildītu jaunajās regulās noteiktās ES fondu īstenošanas, uzraudzības, izvērtēšanas, kontroles un audita prasības un izpildītu iepriekš minēto rīkojumu, ir izstrādāts šis likumprojekts.</w:t>
            </w:r>
          </w:p>
          <w:p w14:paraId="01044FF0" w14:textId="71C2E277" w:rsidR="00190BFC" w:rsidRPr="00002452" w:rsidRDefault="00190BFC"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 xml:space="preserve">Likumprojekta panti ir sadalīti </w:t>
            </w:r>
            <w:r w:rsidR="007442EC" w:rsidRPr="00002452">
              <w:rPr>
                <w:b w:val="0"/>
                <w:sz w:val="24"/>
                <w:szCs w:val="24"/>
              </w:rPr>
              <w:t xml:space="preserve">piecās </w:t>
            </w:r>
            <w:r w:rsidRPr="00002452">
              <w:rPr>
                <w:b w:val="0"/>
                <w:sz w:val="24"/>
                <w:szCs w:val="24"/>
              </w:rPr>
              <w:t>nodaļās. Likumprojekta pirmajā nodaļā (vispārīgi noteikumi) iekļauti panti, kas nosaka likumā lietotos terminu atšifrējumu (1.pants), likuma mērķi (2.pants), likuma darbības jomu (3.pants) un definē fondu vadību (4.pants).</w:t>
            </w:r>
          </w:p>
          <w:p w14:paraId="6AD0C930" w14:textId="4BB69962" w:rsidR="00634D96" w:rsidRPr="00002452" w:rsidRDefault="00F17467"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 xml:space="preserve">Likumprojekta mērķis, līdzīgi kā </w:t>
            </w:r>
            <w:r w:rsidR="00634D96" w:rsidRPr="00002452">
              <w:rPr>
                <w:b w:val="0"/>
                <w:sz w:val="24"/>
                <w:szCs w:val="24"/>
              </w:rPr>
              <w:t>Vispārīgās programmas “Solidaritāte un migrācijas pl</w:t>
            </w:r>
            <w:r w:rsidR="00FC17B0">
              <w:rPr>
                <w:b w:val="0"/>
                <w:sz w:val="24"/>
                <w:szCs w:val="24"/>
              </w:rPr>
              <w:t>ūsmu</w:t>
            </w:r>
            <w:r w:rsidR="00634D96" w:rsidRPr="00002452">
              <w:rPr>
                <w:b w:val="0"/>
                <w:sz w:val="24"/>
                <w:szCs w:val="24"/>
              </w:rPr>
              <w:t xml:space="preserve"> pārvaldība” ietvaros izveidoto fondu</w:t>
            </w:r>
            <w:r w:rsidRPr="00002452">
              <w:rPr>
                <w:b w:val="0"/>
                <w:sz w:val="24"/>
                <w:szCs w:val="24"/>
              </w:rPr>
              <w:t xml:space="preserve"> 2007.-2013.gada plānošanas periodā, ir noteikt ES fondu vadības vispārējos pamatprincipus Latvijas Republikā.</w:t>
            </w:r>
            <w:r w:rsidRPr="00002452">
              <w:t xml:space="preserve"> </w:t>
            </w:r>
          </w:p>
          <w:p w14:paraId="119B301D" w14:textId="7FC4CD7D" w:rsidR="009C0C5D" w:rsidRPr="00002452" w:rsidRDefault="00F17467"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 xml:space="preserve">Likumprojekts nosaka ES fondu vadībā iesaistīto institūciju un finansējuma saņēmēja tiesības un pienākumus, uzraudzības komitejas darbības pamatnoteikumus un sastāvu, deleģējumu Ministru kabinetam noteikt, kā tiek nodrošināti ES fondu vadības posmi, </w:t>
            </w:r>
            <w:r w:rsidR="00D05D7B" w:rsidRPr="00002452">
              <w:rPr>
                <w:b w:val="0"/>
                <w:sz w:val="24"/>
                <w:szCs w:val="24"/>
              </w:rPr>
              <w:t>projektu atlases darbības, projekti iesniedzēju izslēgšanas noteikumus</w:t>
            </w:r>
            <w:r w:rsidR="00AD1EFA" w:rsidRPr="00002452">
              <w:rPr>
                <w:b w:val="0"/>
                <w:sz w:val="24"/>
                <w:szCs w:val="24"/>
              </w:rPr>
              <w:t xml:space="preserve">, </w:t>
            </w:r>
            <w:r w:rsidRPr="00002452">
              <w:rPr>
                <w:b w:val="0"/>
                <w:sz w:val="24"/>
                <w:szCs w:val="24"/>
              </w:rPr>
              <w:t xml:space="preserve">ES fondu vadībā iesaistīto institūciju pieņemto </w:t>
            </w:r>
            <w:r w:rsidR="00AD1EFA" w:rsidRPr="00002452">
              <w:rPr>
                <w:b w:val="0"/>
                <w:sz w:val="24"/>
                <w:szCs w:val="24"/>
              </w:rPr>
              <w:t xml:space="preserve">lēmumu veidus, pieņemto </w:t>
            </w:r>
            <w:r w:rsidRPr="00002452">
              <w:rPr>
                <w:b w:val="0"/>
                <w:sz w:val="24"/>
                <w:szCs w:val="24"/>
              </w:rPr>
              <w:t>lēmumu apstrīdēšanas un pārsūdzēšanas kārtību, kā arī informācijas atklātības nosacījumus attiecībā uz informāciju, kas saistīta ar projektiem.</w:t>
            </w:r>
            <w:r w:rsidR="00B24FE1" w:rsidRPr="00002452">
              <w:rPr>
                <w:b w:val="0"/>
                <w:sz w:val="24"/>
                <w:szCs w:val="24"/>
              </w:rPr>
              <w:t xml:space="preserve"> </w:t>
            </w:r>
          </w:p>
          <w:p w14:paraId="70E70CCC" w14:textId="7307E9EE" w:rsidR="007A001E" w:rsidRPr="00002452" w:rsidRDefault="007A001E" w:rsidP="00A67F42">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002452">
              <w:rPr>
                <w:b w:val="0"/>
                <w:color w:val="000000"/>
                <w:sz w:val="24"/>
                <w:shd w:val="clear" w:color="auto" w:fill="FFFFFF"/>
              </w:rPr>
              <w:t>Likumprojektā, tāpat kā ES fon</w:t>
            </w:r>
            <w:r w:rsidR="00E34335">
              <w:rPr>
                <w:b w:val="0"/>
                <w:color w:val="000000"/>
                <w:sz w:val="24"/>
                <w:shd w:val="clear" w:color="auto" w:fill="FFFFFF"/>
              </w:rPr>
              <w:t>d</w:t>
            </w:r>
            <w:r w:rsidRPr="00002452">
              <w:rPr>
                <w:b w:val="0"/>
                <w:color w:val="000000"/>
                <w:sz w:val="24"/>
                <w:shd w:val="clear" w:color="auto" w:fill="FFFFFF"/>
              </w:rPr>
              <w:t>u vadības likumā, ir iekļauta tiesību norma, kas nosaka, ka</w:t>
            </w:r>
            <w:r w:rsidRPr="00002452">
              <w:rPr>
                <w:rStyle w:val="apple-converted-space"/>
                <w:b w:val="0"/>
                <w:color w:val="000000"/>
                <w:sz w:val="24"/>
                <w:shd w:val="clear" w:color="auto" w:fill="FFFFFF"/>
              </w:rPr>
              <w:t> </w:t>
            </w:r>
            <w:r w:rsidRPr="00002452">
              <w:rPr>
                <w:b w:val="0"/>
                <w:color w:val="000000"/>
                <w:sz w:val="24"/>
                <w:shd w:val="clear" w:color="auto" w:fill="FFFFFF"/>
              </w:rPr>
              <w:t>projekta iesnieguma iesniegšana saskaņā ar šo likumu nerada</w:t>
            </w:r>
            <w:r w:rsidRPr="00002452">
              <w:rPr>
                <w:rStyle w:val="apple-converted-space"/>
                <w:b w:val="0"/>
                <w:color w:val="000000"/>
                <w:sz w:val="24"/>
                <w:shd w:val="clear" w:color="auto" w:fill="FFFFFF"/>
              </w:rPr>
              <w:t> </w:t>
            </w:r>
            <w:r w:rsidRPr="00002452">
              <w:rPr>
                <w:b w:val="0"/>
                <w:color w:val="000000"/>
                <w:sz w:val="24"/>
                <w:shd w:val="clear" w:color="auto" w:fill="FFFFFF"/>
              </w:rPr>
              <w:t xml:space="preserve"> pienākumu ES</w:t>
            </w:r>
            <w:r w:rsidRPr="00002452">
              <w:rPr>
                <w:rStyle w:val="apple-converted-space"/>
                <w:b w:val="0"/>
                <w:color w:val="000000"/>
                <w:sz w:val="24"/>
                <w:shd w:val="clear" w:color="auto" w:fill="FFFFFF"/>
              </w:rPr>
              <w:t> </w:t>
            </w:r>
            <w:r w:rsidRPr="00002452">
              <w:rPr>
                <w:b w:val="0"/>
                <w:color w:val="000000"/>
                <w:sz w:val="24"/>
                <w:shd w:val="clear" w:color="auto" w:fill="FFFFFF"/>
              </w:rPr>
              <w:t>fondu vadībā iesaistītajai institūcijai piešķirt</w:t>
            </w:r>
            <w:r w:rsidRPr="00002452">
              <w:rPr>
                <w:rStyle w:val="apple-converted-space"/>
                <w:b w:val="0"/>
                <w:color w:val="000000"/>
                <w:sz w:val="24"/>
                <w:shd w:val="clear" w:color="auto" w:fill="FFFFFF"/>
              </w:rPr>
              <w:t> </w:t>
            </w:r>
            <w:r w:rsidRPr="00002452">
              <w:rPr>
                <w:b w:val="0"/>
                <w:color w:val="000000"/>
                <w:sz w:val="24"/>
                <w:shd w:val="clear" w:color="auto" w:fill="FFFFFF"/>
              </w:rPr>
              <w:t xml:space="preserve"> projekta iesniedzējam finansējumu</w:t>
            </w:r>
            <w:r w:rsidRPr="00002452">
              <w:rPr>
                <w:rStyle w:val="apple-converted-space"/>
                <w:b w:val="0"/>
                <w:color w:val="000000"/>
                <w:sz w:val="24"/>
                <w:shd w:val="clear" w:color="auto" w:fill="FFFFFF"/>
              </w:rPr>
              <w:t> </w:t>
            </w:r>
            <w:r w:rsidRPr="00002452">
              <w:rPr>
                <w:b w:val="0"/>
                <w:color w:val="000000"/>
                <w:sz w:val="24"/>
                <w:shd w:val="clear" w:color="auto" w:fill="FFFFFF"/>
              </w:rPr>
              <w:t xml:space="preserve"> projekta īstenošanai</w:t>
            </w:r>
            <w:r w:rsidR="00E4130D" w:rsidRPr="00002452">
              <w:rPr>
                <w:b w:val="0"/>
                <w:color w:val="000000"/>
                <w:sz w:val="24"/>
                <w:shd w:val="clear" w:color="auto" w:fill="FFFFFF"/>
              </w:rPr>
              <w:t xml:space="preserve"> (5.pants)</w:t>
            </w:r>
            <w:r w:rsidRPr="00002452">
              <w:rPr>
                <w:b w:val="0"/>
                <w:color w:val="000000"/>
                <w:sz w:val="24"/>
                <w:shd w:val="clear" w:color="auto" w:fill="FFFFFF"/>
              </w:rPr>
              <w:t xml:space="preserve">. </w:t>
            </w:r>
            <w:r w:rsidR="00F719FE" w:rsidRPr="00002452">
              <w:rPr>
                <w:b w:val="0"/>
                <w:color w:val="000000"/>
                <w:sz w:val="24"/>
                <w:shd w:val="clear" w:color="auto" w:fill="FFFFFF"/>
              </w:rPr>
              <w:t xml:space="preserve">Šajā gadījumā regulējuma objekts ir subsīdiju jeb finansējuma piešķiršana, kas ietilpst tiesību nodrošinošajā valsts pārvaldē (vāc. – </w:t>
            </w:r>
            <w:r w:rsidR="00F719FE" w:rsidRPr="00002452">
              <w:rPr>
                <w:b w:val="0"/>
                <w:i/>
                <w:color w:val="000000"/>
                <w:sz w:val="24"/>
                <w:shd w:val="clear" w:color="auto" w:fill="FFFFFF"/>
              </w:rPr>
              <w:t>Leistungsverwaltung</w:t>
            </w:r>
            <w:r w:rsidR="00F719FE" w:rsidRPr="00002452">
              <w:rPr>
                <w:b w:val="0"/>
                <w:color w:val="000000"/>
                <w:sz w:val="24"/>
                <w:shd w:val="clear" w:color="auto" w:fill="FFFFFF"/>
              </w:rPr>
              <w:t>)</w:t>
            </w:r>
            <w:r w:rsidR="00F719FE" w:rsidRPr="00002452">
              <w:rPr>
                <w:rStyle w:val="FootnoteReference"/>
                <w:b w:val="0"/>
                <w:color w:val="000000"/>
                <w:sz w:val="24"/>
                <w:shd w:val="clear" w:color="auto" w:fill="FFFFFF"/>
              </w:rPr>
              <w:footnoteReference w:id="1"/>
            </w:r>
            <w:r w:rsidR="00F719FE" w:rsidRPr="00002452">
              <w:rPr>
                <w:b w:val="0"/>
                <w:color w:val="000000"/>
                <w:sz w:val="24"/>
                <w:shd w:val="clear" w:color="auto" w:fill="FFFFFF"/>
              </w:rPr>
              <w:t xml:space="preserve">, kā rezultātā personai nav subjektīvu </w:t>
            </w:r>
            <w:r w:rsidR="000B6416" w:rsidRPr="00002452">
              <w:rPr>
                <w:b w:val="0"/>
                <w:color w:val="000000"/>
                <w:sz w:val="24"/>
                <w:shd w:val="clear" w:color="auto" w:fill="FFFFFF"/>
              </w:rPr>
              <w:t xml:space="preserve">publisko </w:t>
            </w:r>
            <w:r w:rsidR="00F719FE" w:rsidRPr="00002452">
              <w:rPr>
                <w:b w:val="0"/>
                <w:color w:val="000000"/>
                <w:sz w:val="24"/>
                <w:shd w:val="clear" w:color="auto" w:fill="FFFFFF"/>
              </w:rPr>
              <w:t>tiesību prasīt projekta iesnieguma apstiprināšanu un finansējuma piešķiršanu</w:t>
            </w:r>
            <w:r w:rsidR="000B6416" w:rsidRPr="00002452">
              <w:rPr>
                <w:b w:val="0"/>
                <w:color w:val="000000"/>
                <w:sz w:val="24"/>
                <w:shd w:val="clear" w:color="auto" w:fill="FFFFFF"/>
              </w:rPr>
              <w:t>, tai skaitā tiesas ceļā</w:t>
            </w:r>
            <w:r w:rsidR="00F719FE" w:rsidRPr="00002452">
              <w:rPr>
                <w:b w:val="0"/>
                <w:color w:val="000000"/>
                <w:sz w:val="24"/>
                <w:shd w:val="clear" w:color="auto" w:fill="FFFFFF"/>
              </w:rPr>
              <w:t xml:space="preserve">. No tiesību nodrošinošās pārvaldes ir nošķirama </w:t>
            </w:r>
            <w:r w:rsidR="000B6416" w:rsidRPr="00002452">
              <w:rPr>
                <w:b w:val="0"/>
                <w:color w:val="000000"/>
                <w:sz w:val="24"/>
                <w:shd w:val="clear" w:color="auto" w:fill="FFFFFF"/>
              </w:rPr>
              <w:t xml:space="preserve">ierobežojošā pārvalde (vāc. – </w:t>
            </w:r>
            <w:r w:rsidR="000B6416" w:rsidRPr="00002452">
              <w:rPr>
                <w:b w:val="0"/>
                <w:i/>
                <w:color w:val="000000"/>
                <w:sz w:val="24"/>
                <w:shd w:val="clear" w:color="auto" w:fill="FFFFFF"/>
              </w:rPr>
              <w:t>Eingriffsverwaltung</w:t>
            </w:r>
            <w:r w:rsidR="000B6416" w:rsidRPr="00002452">
              <w:rPr>
                <w:b w:val="0"/>
                <w:color w:val="000000"/>
                <w:sz w:val="24"/>
                <w:shd w:val="clear" w:color="auto" w:fill="FFFFFF"/>
              </w:rPr>
              <w:t>), kurā personai ir subjektīvas publiskās tiesības no valsts vai cita publiskās varas nesēja prasīt veikt vai pārtraukt konkrētu darbību (ja nepieciešams, arī tiesas ceļā)</w:t>
            </w:r>
            <w:r w:rsidR="000B6416" w:rsidRPr="00002452">
              <w:rPr>
                <w:rStyle w:val="FootnoteReference"/>
                <w:b w:val="0"/>
                <w:color w:val="000000"/>
                <w:sz w:val="24"/>
                <w:shd w:val="clear" w:color="auto" w:fill="FFFFFF"/>
              </w:rPr>
              <w:footnoteReference w:id="2"/>
            </w:r>
            <w:r w:rsidR="000B6416" w:rsidRPr="00002452">
              <w:rPr>
                <w:b w:val="0"/>
                <w:color w:val="000000"/>
                <w:sz w:val="24"/>
                <w:shd w:val="clear" w:color="auto" w:fill="FFFFFF"/>
              </w:rPr>
              <w:t xml:space="preserve">, piemēram, būvniecībā. </w:t>
            </w:r>
            <w:r w:rsidR="001846D8" w:rsidRPr="00002452">
              <w:rPr>
                <w:b w:val="0"/>
                <w:color w:val="000000"/>
                <w:sz w:val="24"/>
                <w:shd w:val="clear" w:color="auto" w:fill="FFFFFF"/>
              </w:rPr>
              <w:t>Attiecībā uz subvenciju piešķiršanu</w:t>
            </w:r>
            <w:r w:rsidR="000B6416" w:rsidRPr="00002452">
              <w:rPr>
                <w:b w:val="0"/>
                <w:color w:val="000000"/>
                <w:sz w:val="24"/>
                <w:shd w:val="clear" w:color="auto" w:fill="FFFFFF"/>
              </w:rPr>
              <w:t xml:space="preserve"> projekta iesniedzējam ir tiesības un tiesisku </w:t>
            </w:r>
            <w:r w:rsidR="00B243A9" w:rsidRPr="00002452">
              <w:rPr>
                <w:b w:val="0"/>
                <w:color w:val="000000"/>
                <w:sz w:val="24"/>
                <w:shd w:val="clear" w:color="auto" w:fill="FFFFFF"/>
              </w:rPr>
              <w:t xml:space="preserve">un taisnīgu projekta </w:t>
            </w:r>
            <w:r w:rsidR="00B243A9" w:rsidRPr="00002452">
              <w:rPr>
                <w:b w:val="0"/>
                <w:color w:val="000000"/>
                <w:sz w:val="24"/>
                <w:shd w:val="clear" w:color="auto" w:fill="FFFFFF"/>
              </w:rPr>
              <w:lastRenderedPageBreak/>
              <w:t>iesnieguma vērtēšanas un lēmuma pieņemšanas procedūru</w:t>
            </w:r>
            <w:r w:rsidR="001846D8" w:rsidRPr="00002452">
              <w:rPr>
                <w:b w:val="0"/>
                <w:color w:val="000000"/>
                <w:sz w:val="24"/>
                <w:shd w:val="clear" w:color="auto" w:fill="FFFFFF"/>
              </w:rPr>
              <w:t>, kā arī vienlīdzīgu attieksmi</w:t>
            </w:r>
            <w:r w:rsidR="00B243A9" w:rsidRPr="00002452">
              <w:rPr>
                <w:b w:val="0"/>
                <w:color w:val="000000"/>
                <w:sz w:val="24"/>
                <w:shd w:val="clear" w:color="auto" w:fill="FFFFFF"/>
              </w:rPr>
              <w:t>.</w:t>
            </w:r>
            <w:r w:rsidR="001846D8" w:rsidRPr="00002452">
              <w:rPr>
                <w:rStyle w:val="FootnoteReference"/>
                <w:b w:val="0"/>
                <w:color w:val="000000"/>
                <w:sz w:val="24"/>
                <w:shd w:val="clear" w:color="auto" w:fill="FFFFFF"/>
              </w:rPr>
              <w:footnoteReference w:id="3"/>
            </w:r>
            <w:r w:rsidR="00D84835" w:rsidRPr="00002452">
              <w:rPr>
                <w:b w:val="0"/>
                <w:color w:val="000000"/>
                <w:sz w:val="24"/>
                <w:shd w:val="clear" w:color="auto" w:fill="FFFFFF"/>
              </w:rPr>
              <w:t xml:space="preserve"> Tas nozīmē, ka</w:t>
            </w:r>
            <w:r w:rsidR="00D84835" w:rsidRPr="00002452">
              <w:rPr>
                <w:rStyle w:val="apple-converted-space"/>
                <w:b w:val="0"/>
                <w:color w:val="000000"/>
                <w:sz w:val="24"/>
                <w:shd w:val="clear" w:color="auto" w:fill="FFFFFF"/>
              </w:rPr>
              <w:t> </w:t>
            </w:r>
            <w:r w:rsidR="00D84835" w:rsidRPr="00002452">
              <w:rPr>
                <w:b w:val="0"/>
                <w:color w:val="000000"/>
                <w:sz w:val="24"/>
                <w:shd w:val="clear" w:color="auto" w:fill="FFFFFF"/>
              </w:rPr>
              <w:t xml:space="preserve"> projekta iesniedzējs saskaņā ar Administratīvā procesa likumu </w:t>
            </w:r>
            <w:r w:rsidR="00A016C3" w:rsidRPr="00002452">
              <w:rPr>
                <w:b w:val="0"/>
                <w:color w:val="000000"/>
                <w:sz w:val="24"/>
                <w:shd w:val="clear" w:color="auto" w:fill="FFFFFF"/>
              </w:rPr>
              <w:t xml:space="preserve">un Valsts pārvaldes iestāžu nodarīto zaudējumu atlīdzināšanas likumu </w:t>
            </w:r>
            <w:r w:rsidR="00D84835" w:rsidRPr="00002452">
              <w:rPr>
                <w:b w:val="0"/>
                <w:color w:val="000000"/>
                <w:sz w:val="24"/>
                <w:shd w:val="clear" w:color="auto" w:fill="FFFFFF"/>
              </w:rPr>
              <w:t>var prasīt tikai zaudējumu atlīdzību, kas radušies attiecīgajam projekta iesniedzējam</w:t>
            </w:r>
            <w:r w:rsidR="00A016C3" w:rsidRPr="00002452">
              <w:rPr>
                <w:b w:val="0"/>
                <w:color w:val="000000"/>
                <w:sz w:val="24"/>
                <w:shd w:val="clear" w:color="auto" w:fill="FFFFFF"/>
              </w:rPr>
              <w:t>,</w:t>
            </w:r>
            <w:r w:rsidR="00D84835" w:rsidRPr="00002452">
              <w:rPr>
                <w:b w:val="0"/>
                <w:color w:val="000000"/>
                <w:sz w:val="24"/>
                <w:shd w:val="clear" w:color="auto" w:fill="FFFFFF"/>
              </w:rPr>
              <w:t xml:space="preserve"> sagatavojot vērtēšanas procesā noraidīto projekta iesniegumu (piemēram, projekta sagatavošanas izmaksas), nevis ES fonda finansējumu, kas pieejams tikai konkrētā specifiskā atbalsta mērķa ietvaros noteiktā laika periodā.</w:t>
            </w:r>
          </w:p>
          <w:p w14:paraId="7BB89229" w14:textId="54CCC762" w:rsidR="00F17467" w:rsidRPr="00002452" w:rsidRDefault="00ED4FE8" w:rsidP="00985D5C">
            <w:pPr>
              <w:pStyle w:val="Heading3"/>
              <w:numPr>
                <w:ilvl w:val="0"/>
                <w:numId w:val="22"/>
              </w:numPr>
              <w:shd w:val="clear" w:color="auto" w:fill="FFFFFF"/>
              <w:spacing w:before="0" w:beforeAutospacing="0" w:after="0" w:afterAutospacing="0"/>
              <w:ind w:left="57" w:right="57" w:firstLine="284"/>
              <w:jc w:val="both"/>
              <w:rPr>
                <w:b w:val="0"/>
                <w:sz w:val="24"/>
                <w:szCs w:val="24"/>
              </w:rPr>
            </w:pPr>
            <w:r w:rsidRPr="00002452">
              <w:rPr>
                <w:b w:val="0"/>
                <w:sz w:val="24"/>
                <w:szCs w:val="24"/>
              </w:rPr>
              <w:t>L</w:t>
            </w:r>
            <w:r w:rsidR="003E2964" w:rsidRPr="00002452">
              <w:rPr>
                <w:b w:val="0"/>
                <w:sz w:val="24"/>
                <w:szCs w:val="24"/>
              </w:rPr>
              <w:t>ikumprojekta otrajā nodaļā (fondu vadības un projektu īstenošanas nodrošināšana) ir noteiktas E</w:t>
            </w:r>
            <w:r w:rsidR="0072665C" w:rsidRPr="00002452">
              <w:rPr>
                <w:b w:val="0"/>
                <w:sz w:val="24"/>
                <w:szCs w:val="24"/>
              </w:rPr>
              <w:t>S</w:t>
            </w:r>
            <w:r w:rsidR="003E2964" w:rsidRPr="00002452">
              <w:rPr>
                <w:b w:val="0"/>
                <w:sz w:val="24"/>
                <w:szCs w:val="24"/>
              </w:rPr>
              <w:t xml:space="preserve"> fondu vadībā iesaistītās institūcijas (6.pants), to tiesības un pienākumi. A</w:t>
            </w:r>
            <w:r w:rsidR="00F17467" w:rsidRPr="00002452">
              <w:rPr>
                <w:b w:val="0"/>
                <w:sz w:val="24"/>
                <w:szCs w:val="24"/>
              </w:rPr>
              <w:t xml:space="preserve">tbilstoši </w:t>
            </w:r>
            <w:r w:rsidRPr="00002452">
              <w:rPr>
                <w:b w:val="0"/>
                <w:sz w:val="24"/>
                <w:szCs w:val="24"/>
              </w:rPr>
              <w:t>r</w:t>
            </w:r>
            <w:r w:rsidR="00F17467" w:rsidRPr="00002452">
              <w:rPr>
                <w:b w:val="0"/>
                <w:sz w:val="24"/>
                <w:szCs w:val="24"/>
              </w:rPr>
              <w:t>egulai Nr.</w:t>
            </w:r>
            <w:r w:rsidRPr="00002452">
              <w:rPr>
                <w:b w:val="0"/>
                <w:sz w:val="24"/>
                <w:szCs w:val="24"/>
              </w:rPr>
              <w:t>514</w:t>
            </w:r>
            <w:r w:rsidR="003714C5" w:rsidRPr="00002452">
              <w:rPr>
                <w:b w:val="0"/>
                <w:sz w:val="24"/>
                <w:szCs w:val="24"/>
              </w:rPr>
              <w:t>/201</w:t>
            </w:r>
            <w:r w:rsidRPr="00002452">
              <w:rPr>
                <w:b w:val="0"/>
                <w:sz w:val="24"/>
                <w:szCs w:val="24"/>
              </w:rPr>
              <w:t>4</w:t>
            </w:r>
            <w:r w:rsidR="003714C5" w:rsidRPr="00002452">
              <w:rPr>
                <w:b w:val="0"/>
                <w:sz w:val="24"/>
                <w:szCs w:val="24"/>
              </w:rPr>
              <w:t xml:space="preserve"> </w:t>
            </w:r>
            <w:r w:rsidR="003E2964" w:rsidRPr="00002452">
              <w:rPr>
                <w:b w:val="0"/>
                <w:sz w:val="24"/>
                <w:szCs w:val="24"/>
              </w:rPr>
              <w:t>l</w:t>
            </w:r>
            <w:r w:rsidR="00F17467" w:rsidRPr="00002452">
              <w:rPr>
                <w:b w:val="0"/>
                <w:sz w:val="24"/>
                <w:szCs w:val="24"/>
              </w:rPr>
              <w:t>ikumprojektā ir noteikts, ka ES fondu vadību Latvijas Republikā īsteno šādas institūcijas:</w:t>
            </w:r>
          </w:p>
          <w:p w14:paraId="52A1EBAA" w14:textId="0612EB18" w:rsidR="0090638D" w:rsidRPr="00002452" w:rsidRDefault="00ED4FE8" w:rsidP="00985D5C">
            <w:pPr>
              <w:pStyle w:val="Heading3"/>
              <w:numPr>
                <w:ilvl w:val="1"/>
                <w:numId w:val="22"/>
              </w:numPr>
              <w:shd w:val="clear" w:color="auto" w:fill="FFFFFF"/>
              <w:spacing w:before="0" w:beforeAutospacing="0" w:after="0" w:afterAutospacing="0"/>
              <w:ind w:left="1043" w:right="57" w:hanging="425"/>
              <w:jc w:val="both"/>
              <w:rPr>
                <w:b w:val="0"/>
                <w:sz w:val="24"/>
                <w:szCs w:val="24"/>
              </w:rPr>
            </w:pPr>
            <w:r w:rsidRPr="00002452">
              <w:rPr>
                <w:b w:val="0"/>
                <w:bCs w:val="0"/>
                <w:sz w:val="24"/>
                <w:szCs w:val="24"/>
              </w:rPr>
              <w:t>atbildīgā</w:t>
            </w:r>
            <w:r w:rsidR="0090638D" w:rsidRPr="00002452">
              <w:rPr>
                <w:b w:val="0"/>
                <w:bCs w:val="0"/>
                <w:sz w:val="24"/>
                <w:szCs w:val="24"/>
              </w:rPr>
              <w:t xml:space="preserve"> iestāde (</w:t>
            </w:r>
            <w:r w:rsidRPr="00002452">
              <w:rPr>
                <w:b w:val="0"/>
                <w:bCs w:val="0"/>
                <w:sz w:val="24"/>
                <w:szCs w:val="24"/>
              </w:rPr>
              <w:t>Iekšlietu</w:t>
            </w:r>
            <w:r w:rsidR="0090638D" w:rsidRPr="00002452">
              <w:rPr>
                <w:b w:val="0"/>
                <w:bCs w:val="0"/>
                <w:sz w:val="24"/>
                <w:szCs w:val="24"/>
              </w:rPr>
              <w:t xml:space="preserve"> ministrija);</w:t>
            </w:r>
          </w:p>
          <w:p w14:paraId="37ECB33F" w14:textId="4633B84A" w:rsidR="0090638D" w:rsidRPr="00002452" w:rsidRDefault="00ED4FE8" w:rsidP="00A67F42">
            <w:pPr>
              <w:pStyle w:val="Heading3"/>
              <w:numPr>
                <w:ilvl w:val="1"/>
                <w:numId w:val="22"/>
              </w:numPr>
              <w:shd w:val="clear" w:color="auto" w:fill="FFFFFF"/>
              <w:spacing w:before="0" w:beforeAutospacing="0" w:after="0" w:afterAutospacing="0"/>
              <w:ind w:left="1043" w:right="57" w:hanging="425"/>
              <w:jc w:val="both"/>
              <w:rPr>
                <w:b w:val="0"/>
                <w:sz w:val="24"/>
                <w:szCs w:val="24"/>
              </w:rPr>
            </w:pPr>
            <w:r w:rsidRPr="00002452">
              <w:rPr>
                <w:b w:val="0"/>
                <w:bCs w:val="0"/>
                <w:sz w:val="24"/>
                <w:szCs w:val="24"/>
              </w:rPr>
              <w:t xml:space="preserve"> deleģētā iestāde</w:t>
            </w:r>
            <w:r w:rsidR="0090638D" w:rsidRPr="00002452">
              <w:rPr>
                <w:b w:val="0"/>
                <w:bCs w:val="0"/>
                <w:sz w:val="24"/>
                <w:szCs w:val="24"/>
              </w:rPr>
              <w:t xml:space="preserve"> </w:t>
            </w:r>
            <w:r w:rsidR="006422C7" w:rsidRPr="00002452">
              <w:rPr>
                <w:b w:val="0"/>
                <w:bCs w:val="0"/>
                <w:sz w:val="24"/>
                <w:szCs w:val="24"/>
              </w:rPr>
              <w:t xml:space="preserve">Patvēruma, migrācijas un integrācijas fonda trešo valstu valstspiederīgo integrācijas jomā </w:t>
            </w:r>
            <w:r w:rsidR="0090638D" w:rsidRPr="00002452">
              <w:rPr>
                <w:b w:val="0"/>
                <w:bCs w:val="0"/>
                <w:sz w:val="24"/>
                <w:szCs w:val="24"/>
              </w:rPr>
              <w:t>(</w:t>
            </w:r>
            <w:r w:rsidRPr="00002452">
              <w:rPr>
                <w:b w:val="0"/>
                <w:bCs w:val="0"/>
                <w:sz w:val="24"/>
                <w:szCs w:val="24"/>
              </w:rPr>
              <w:t>Kultūras ministrija)</w:t>
            </w:r>
            <w:r w:rsidR="002C3AF6" w:rsidRPr="00002452">
              <w:rPr>
                <w:b w:val="0"/>
                <w:bCs w:val="0"/>
                <w:sz w:val="24"/>
                <w:szCs w:val="24"/>
              </w:rPr>
              <w:t>;</w:t>
            </w:r>
          </w:p>
          <w:p w14:paraId="5505F050" w14:textId="71CEDCEE" w:rsidR="0090638D" w:rsidRPr="00002452" w:rsidRDefault="0090638D" w:rsidP="00A67F42">
            <w:pPr>
              <w:pStyle w:val="Heading3"/>
              <w:numPr>
                <w:ilvl w:val="1"/>
                <w:numId w:val="22"/>
              </w:numPr>
              <w:shd w:val="clear" w:color="auto" w:fill="FFFFFF"/>
              <w:spacing w:before="0" w:beforeAutospacing="0" w:after="0" w:afterAutospacing="0"/>
              <w:ind w:left="1043" w:right="57" w:hanging="425"/>
              <w:jc w:val="both"/>
              <w:rPr>
                <w:b w:val="0"/>
                <w:sz w:val="24"/>
                <w:szCs w:val="24"/>
              </w:rPr>
            </w:pPr>
            <w:r w:rsidRPr="00002452">
              <w:rPr>
                <w:b w:val="0"/>
                <w:bCs w:val="0"/>
                <w:sz w:val="24"/>
                <w:szCs w:val="24"/>
              </w:rPr>
              <w:t>revīzijas iestāde (Finanšu ministrija);</w:t>
            </w:r>
          </w:p>
          <w:p w14:paraId="6794BB14" w14:textId="2826428E" w:rsidR="0090638D" w:rsidRDefault="0090638D" w:rsidP="00A67F42">
            <w:pPr>
              <w:pStyle w:val="Heading3"/>
              <w:numPr>
                <w:ilvl w:val="1"/>
                <w:numId w:val="22"/>
              </w:numPr>
              <w:shd w:val="clear" w:color="auto" w:fill="FFFFFF"/>
              <w:spacing w:before="0" w:beforeAutospacing="0" w:after="0" w:afterAutospacing="0"/>
              <w:ind w:left="1043" w:right="57" w:hanging="425"/>
              <w:jc w:val="both"/>
              <w:rPr>
                <w:b w:val="0"/>
                <w:sz w:val="24"/>
                <w:szCs w:val="24"/>
              </w:rPr>
            </w:pPr>
            <w:r w:rsidRPr="00002452">
              <w:rPr>
                <w:b w:val="0"/>
                <w:sz w:val="24"/>
                <w:szCs w:val="24"/>
              </w:rPr>
              <w:t>uzraudzības komiteja.</w:t>
            </w:r>
          </w:p>
          <w:p w14:paraId="268EF8C0" w14:textId="2299DC2A" w:rsidR="00967EB8" w:rsidRPr="00002452" w:rsidRDefault="00967EB8" w:rsidP="00907117">
            <w:pPr>
              <w:pStyle w:val="Heading3"/>
              <w:shd w:val="clear" w:color="auto" w:fill="FFFFFF"/>
              <w:spacing w:before="0" w:beforeAutospacing="0" w:after="120" w:afterAutospacing="0"/>
              <w:ind w:left="51" w:right="57"/>
              <w:jc w:val="both"/>
              <w:rPr>
                <w:b w:val="0"/>
                <w:sz w:val="24"/>
                <w:szCs w:val="24"/>
              </w:rPr>
            </w:pPr>
            <w:r>
              <w:rPr>
                <w:b w:val="0"/>
                <w:sz w:val="24"/>
                <w:szCs w:val="24"/>
              </w:rPr>
              <w:t>Lai sasniegtu likuma mērķi, fondu vadībā iesaistītās institūcijas izstrādā vadlīnijas un citus materiālus un sadarbojas ar citām institūcijām Valsts pārvaldes iekārtas likumā noteiktajā kārtībā.</w:t>
            </w:r>
            <w:r w:rsidRPr="00967EB8">
              <w:rPr>
                <w:b w:val="0"/>
                <w:sz w:val="24"/>
                <w:szCs w:val="24"/>
              </w:rPr>
              <w:t xml:space="preserve">  </w:t>
            </w:r>
            <w:r>
              <w:rPr>
                <w:b w:val="0"/>
                <w:sz w:val="24"/>
                <w:szCs w:val="24"/>
              </w:rPr>
              <w:t>A</w:t>
            </w:r>
            <w:r w:rsidRPr="00967EB8">
              <w:rPr>
                <w:b w:val="0"/>
                <w:sz w:val="24"/>
                <w:szCs w:val="24"/>
              </w:rPr>
              <w:t>tbildīgās iestādes vai deleģētās iestādes izstrādātajām vadlīnijām būs ieteikuma raksturs. Šobrīd ir paredzēts izdot vadlīnijas projektu iesniegumu veidlapas aizpildīšanai, kā arī vadlīnijas vērtēšanas kritēriju piemērošanai.</w:t>
            </w:r>
          </w:p>
          <w:p w14:paraId="42B22C88" w14:textId="77777777" w:rsidR="00342056" w:rsidRPr="00002452" w:rsidRDefault="0090638D" w:rsidP="00907117">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bCs w:val="0"/>
                <w:sz w:val="24"/>
                <w:szCs w:val="24"/>
              </w:rPr>
              <w:t>Atšķirībā no ES fondu 2007.-2013.gada plānošanas perioda, no augstāk minētā institūciju uzskaitījuma svītrota maksājumu iestāde un</w:t>
            </w:r>
            <w:r w:rsidRPr="00002452">
              <w:rPr>
                <w:b w:val="0"/>
                <w:sz w:val="24"/>
                <w:szCs w:val="24"/>
              </w:rPr>
              <w:t xml:space="preserve"> </w:t>
            </w:r>
            <w:r w:rsidR="00342056" w:rsidRPr="00002452">
              <w:rPr>
                <w:b w:val="0"/>
                <w:sz w:val="24"/>
                <w:szCs w:val="24"/>
              </w:rPr>
              <w:t xml:space="preserve">sertifikācijas iestāde.  Šīs iestādes no minētā uzskaitījuma ir svītrotas, jo šādas institūcijas vairs neparedz regula Nr.514/2014. </w:t>
            </w:r>
          </w:p>
          <w:p w14:paraId="33ADDFF3" w14:textId="614C7CA2" w:rsidR="002C3AF6" w:rsidRPr="00002452" w:rsidRDefault="002C3AF6"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Likumprojektā ir noteiktas atbildīgās iestādes un deleģētās iestādes funkcionālās padotības regulējums nosakot, ka deleģētā iestāde, pildot tai noteiktos pienākumus, atrodas tā Ministru kabineta locekļa funkcionālajā pārraudzībā, kuram ir padota atbildīgā iestāde.</w:t>
            </w:r>
          </w:p>
          <w:p w14:paraId="7770422D" w14:textId="52A05252" w:rsidR="009B00CA" w:rsidRPr="00002452" w:rsidRDefault="007B5F20" w:rsidP="00A67F42">
            <w:pPr>
              <w:pStyle w:val="Heading3"/>
              <w:numPr>
                <w:ilvl w:val="0"/>
                <w:numId w:val="22"/>
              </w:numPr>
              <w:shd w:val="clear" w:color="auto" w:fill="FFFFFF"/>
              <w:spacing w:before="0" w:beforeAutospacing="0" w:after="120" w:afterAutospacing="0"/>
              <w:ind w:left="57" w:right="57" w:firstLine="283"/>
              <w:jc w:val="both"/>
              <w:rPr>
                <w:b w:val="0"/>
                <w:sz w:val="24"/>
                <w:szCs w:val="24"/>
              </w:rPr>
            </w:pPr>
            <w:r w:rsidRPr="00002452">
              <w:rPr>
                <w:b w:val="0"/>
                <w:sz w:val="24"/>
                <w:szCs w:val="24"/>
              </w:rPr>
              <w:t>L</w:t>
            </w:r>
            <w:r w:rsidR="009B00CA" w:rsidRPr="00002452">
              <w:rPr>
                <w:b w:val="0"/>
                <w:sz w:val="24"/>
                <w:szCs w:val="24"/>
              </w:rPr>
              <w:t>ikumprojekts paredz skaidri nodalīt</w:t>
            </w:r>
            <w:r w:rsidRPr="00002452">
              <w:rPr>
                <w:b w:val="0"/>
                <w:sz w:val="24"/>
                <w:szCs w:val="24"/>
              </w:rPr>
              <w:t xml:space="preserve"> atbildīgās iestādes, deleģētās iestādes un revīzijas iestādes tiesības un pienākumus, lai novērtu funkciju dublēšanos.</w:t>
            </w:r>
          </w:p>
          <w:p w14:paraId="0F5FCD8E" w14:textId="72488457" w:rsidR="00C36BF0" w:rsidRPr="00002452" w:rsidRDefault="00700E2F" w:rsidP="00A67F42">
            <w:pPr>
              <w:pStyle w:val="Heading3"/>
              <w:numPr>
                <w:ilvl w:val="0"/>
                <w:numId w:val="22"/>
              </w:numPr>
              <w:shd w:val="clear" w:color="auto" w:fill="FFFFFF"/>
              <w:spacing w:before="0" w:beforeAutospacing="0" w:after="0" w:afterAutospacing="0"/>
              <w:ind w:left="57" w:right="57" w:firstLine="283"/>
              <w:jc w:val="both"/>
              <w:rPr>
                <w:b w:val="0"/>
                <w:sz w:val="24"/>
                <w:szCs w:val="24"/>
              </w:rPr>
            </w:pPr>
            <w:r w:rsidRPr="00002452">
              <w:rPr>
                <w:b w:val="0"/>
                <w:sz w:val="24"/>
                <w:szCs w:val="24"/>
              </w:rPr>
              <w:t>Likumprojektā noteiktie a</w:t>
            </w:r>
            <w:r w:rsidR="00C36BF0" w:rsidRPr="00002452">
              <w:rPr>
                <w:b w:val="0"/>
                <w:sz w:val="24"/>
                <w:szCs w:val="24"/>
              </w:rPr>
              <w:t xml:space="preserve">tbildīgās iestādes pienākumi (7.pants): </w:t>
            </w:r>
          </w:p>
          <w:p w14:paraId="110B6979" w14:textId="7AD970E0" w:rsidR="00E34335" w:rsidRPr="00E34335" w:rsidRDefault="00700E2F" w:rsidP="00A67F42">
            <w:pPr>
              <w:pStyle w:val="naispant"/>
              <w:spacing w:before="0" w:beforeAutospacing="0" w:after="0" w:afterAutospacing="0"/>
              <w:ind w:left="426"/>
              <w:jc w:val="both"/>
              <w:rPr>
                <w:bCs/>
                <w:szCs w:val="28"/>
              </w:rPr>
            </w:pPr>
            <w:r w:rsidRPr="00E34335">
              <w:rPr>
                <w:bCs/>
                <w:sz w:val="22"/>
                <w:szCs w:val="28"/>
              </w:rPr>
              <w:t>11.1.</w:t>
            </w:r>
            <w:r w:rsidRPr="00E34335">
              <w:rPr>
                <w:bCs/>
                <w:sz w:val="20"/>
                <w:szCs w:val="28"/>
              </w:rPr>
              <w:t xml:space="preserve"> </w:t>
            </w:r>
            <w:r w:rsidR="00E34335" w:rsidRPr="00E34335">
              <w:rPr>
                <w:bCs/>
                <w:szCs w:val="28"/>
              </w:rPr>
              <w:t xml:space="preserve">nodrošināt efektīvu fondu </w:t>
            </w:r>
            <w:r w:rsidR="00D76BFB">
              <w:rPr>
                <w:bCs/>
                <w:szCs w:val="28"/>
              </w:rPr>
              <w:t>īstenošanas</w:t>
            </w:r>
            <w:r w:rsidR="00E34335" w:rsidRPr="00E34335">
              <w:rPr>
                <w:bCs/>
                <w:szCs w:val="28"/>
              </w:rPr>
              <w:t xml:space="preserve"> vadību;</w:t>
            </w:r>
          </w:p>
          <w:p w14:paraId="7DD9F6E8" w14:textId="044E288F" w:rsidR="00E34335" w:rsidRPr="00E34335" w:rsidRDefault="00E34335" w:rsidP="00A67F42">
            <w:pPr>
              <w:pStyle w:val="naispant"/>
              <w:spacing w:before="0" w:beforeAutospacing="0" w:after="0" w:afterAutospacing="0"/>
              <w:ind w:left="426"/>
              <w:jc w:val="both"/>
              <w:rPr>
                <w:bCs/>
                <w:szCs w:val="28"/>
              </w:rPr>
            </w:pPr>
            <w:r>
              <w:rPr>
                <w:bCs/>
                <w:szCs w:val="28"/>
              </w:rPr>
              <w:lastRenderedPageBreak/>
              <w:t>11.2.</w:t>
            </w:r>
            <w:r w:rsidRPr="00E34335">
              <w:rPr>
                <w:bCs/>
                <w:szCs w:val="28"/>
              </w:rPr>
              <w:t>nodrošināt nacionālo programmu izstrādi un iesniegšanu apstiprināšanai Eiropas Komisijai;</w:t>
            </w:r>
          </w:p>
          <w:p w14:paraId="2DE22C13" w14:textId="75262291" w:rsidR="00E34335" w:rsidRPr="00E34335" w:rsidRDefault="00E34335" w:rsidP="00A67F42">
            <w:pPr>
              <w:pStyle w:val="naispant"/>
              <w:spacing w:before="0" w:beforeAutospacing="0" w:after="0" w:afterAutospacing="0"/>
              <w:ind w:left="426"/>
              <w:jc w:val="both"/>
              <w:rPr>
                <w:bCs/>
                <w:szCs w:val="28"/>
              </w:rPr>
            </w:pPr>
            <w:r>
              <w:rPr>
                <w:bCs/>
                <w:szCs w:val="28"/>
              </w:rPr>
              <w:t>11.3.</w:t>
            </w:r>
            <w:r w:rsidRPr="00E34335">
              <w:rPr>
                <w:bCs/>
                <w:szCs w:val="28"/>
              </w:rPr>
              <w:t>saskaņā ar</w:t>
            </w:r>
            <w:r w:rsidRPr="00E34335">
              <w:rPr>
                <w:szCs w:val="28"/>
              </w:rPr>
              <w:t xml:space="preserve"> Eiropas Parlamenta un Padomes 2014. gada 16. aprīļa Regulas Nr.514/2014, ar ko paredz vispārīgus noteikumus Patvēruma, migrācijas un integrācijas fondam un finansiālā atbalsta instrumentam policijas sadarbībai, noziedzības novēršanai un apkarošanai un krīžu pārvarēšanai (turpmāk – regula Nr.514/2014)</w:t>
            </w:r>
            <w:r w:rsidRPr="00E34335">
              <w:rPr>
                <w:bCs/>
                <w:szCs w:val="28"/>
              </w:rPr>
              <w:t xml:space="preserve"> 21.pantu izstrādāt un iesniegt revīzijas iestādē pārvaldības un kontroles sistēmas aprakstu; </w:t>
            </w:r>
          </w:p>
          <w:p w14:paraId="58C1B03D" w14:textId="5BAE74E5" w:rsidR="00E34335" w:rsidRPr="00E34335" w:rsidRDefault="00E34335" w:rsidP="00A67F42">
            <w:pPr>
              <w:pStyle w:val="naispant"/>
              <w:spacing w:before="0" w:beforeAutospacing="0" w:after="0" w:afterAutospacing="0"/>
              <w:ind w:left="426"/>
              <w:jc w:val="both"/>
              <w:rPr>
                <w:bCs/>
                <w:szCs w:val="28"/>
              </w:rPr>
            </w:pPr>
            <w:r>
              <w:rPr>
                <w:bCs/>
                <w:szCs w:val="28"/>
              </w:rPr>
              <w:t>11.4.</w:t>
            </w:r>
            <w:r w:rsidRPr="00E34335">
              <w:rPr>
                <w:bCs/>
                <w:szCs w:val="28"/>
              </w:rPr>
              <w:t xml:space="preserve"> veikt deleģētās iestādes funkciju izpildes uzraudzību un kontroli; </w:t>
            </w:r>
          </w:p>
          <w:p w14:paraId="1992FE1D" w14:textId="2D7BAE8E" w:rsidR="00E34335" w:rsidRPr="00E34335" w:rsidRDefault="00E34335" w:rsidP="00985D5C">
            <w:pPr>
              <w:pStyle w:val="naispant"/>
              <w:spacing w:before="0" w:beforeAutospacing="0" w:after="0" w:afterAutospacing="0"/>
              <w:ind w:left="426"/>
              <w:jc w:val="both"/>
              <w:rPr>
                <w:bCs/>
                <w:szCs w:val="28"/>
              </w:rPr>
            </w:pPr>
            <w:r>
              <w:rPr>
                <w:bCs/>
                <w:szCs w:val="28"/>
              </w:rPr>
              <w:t>11.5.</w:t>
            </w:r>
            <w:r w:rsidRPr="00E34335">
              <w:rPr>
                <w:bCs/>
                <w:szCs w:val="28"/>
              </w:rPr>
              <w:t xml:space="preserve"> nodrošināt fondu tehniskās palīdzības vadību un tās īstenošanas efektivitāti;</w:t>
            </w:r>
          </w:p>
          <w:p w14:paraId="372B4BDE" w14:textId="4A1598EE" w:rsidR="00E34335" w:rsidRPr="00E34335" w:rsidRDefault="00E34335" w:rsidP="00985D5C">
            <w:pPr>
              <w:pStyle w:val="naispant"/>
              <w:spacing w:before="0" w:beforeAutospacing="0" w:after="0" w:afterAutospacing="0"/>
              <w:ind w:left="426"/>
              <w:jc w:val="both"/>
              <w:rPr>
                <w:bCs/>
                <w:color w:val="FF0000"/>
                <w:szCs w:val="28"/>
              </w:rPr>
            </w:pPr>
            <w:r>
              <w:rPr>
                <w:bCs/>
                <w:szCs w:val="28"/>
              </w:rPr>
              <w:t>11.6.</w:t>
            </w:r>
            <w:r w:rsidRPr="00E34335">
              <w:rPr>
                <w:bCs/>
                <w:szCs w:val="28"/>
              </w:rPr>
              <w:t xml:space="preserve"> atbilstoši regulas Nr.514/2014 53.pant</w:t>
            </w:r>
            <w:r>
              <w:rPr>
                <w:bCs/>
                <w:szCs w:val="28"/>
              </w:rPr>
              <w:t>am</w:t>
            </w:r>
            <w:r w:rsidRPr="00E34335">
              <w:rPr>
                <w:bCs/>
                <w:szCs w:val="28"/>
              </w:rPr>
              <w:t>, nodrošināt fondu vadības informācijas, publicitātes un saziņas pasākumu izpildi;</w:t>
            </w:r>
          </w:p>
          <w:p w14:paraId="130A595F" w14:textId="475D7330" w:rsidR="00E34335" w:rsidRPr="00E34335" w:rsidRDefault="00E34335" w:rsidP="00985D5C">
            <w:pPr>
              <w:pStyle w:val="naispant"/>
              <w:spacing w:before="0" w:beforeAutospacing="0" w:after="0" w:afterAutospacing="0"/>
              <w:ind w:left="426"/>
              <w:jc w:val="both"/>
              <w:rPr>
                <w:bCs/>
                <w:szCs w:val="28"/>
              </w:rPr>
            </w:pPr>
            <w:r>
              <w:rPr>
                <w:bCs/>
                <w:szCs w:val="28"/>
              </w:rPr>
              <w:t>11.7.</w:t>
            </w:r>
            <w:r w:rsidRPr="00E34335">
              <w:rPr>
                <w:bCs/>
                <w:szCs w:val="28"/>
              </w:rPr>
              <w:t xml:space="preserve"> </w:t>
            </w:r>
            <w:r w:rsidRPr="00E34335">
              <w:rPr>
                <w:szCs w:val="28"/>
              </w:rPr>
              <w:t xml:space="preserve">izstrādāt un apstiprināt </w:t>
            </w:r>
            <w:r w:rsidRPr="00E34335">
              <w:t>projektu iesnieguma veidlapu un tās pielikumus;</w:t>
            </w:r>
          </w:p>
          <w:p w14:paraId="0F133D33" w14:textId="1D333ABB" w:rsidR="00E34335" w:rsidRPr="00E34335" w:rsidRDefault="00E34335" w:rsidP="00985D5C">
            <w:pPr>
              <w:pStyle w:val="naispant"/>
              <w:spacing w:before="0" w:beforeAutospacing="0" w:after="0" w:afterAutospacing="0"/>
              <w:ind w:left="426"/>
              <w:jc w:val="both"/>
              <w:rPr>
                <w:bCs/>
                <w:szCs w:val="28"/>
              </w:rPr>
            </w:pPr>
            <w:r>
              <w:rPr>
                <w:bCs/>
                <w:szCs w:val="28"/>
              </w:rPr>
              <w:t>11.8.</w:t>
            </w:r>
            <w:r w:rsidRPr="00E34335">
              <w:rPr>
                <w:bCs/>
                <w:szCs w:val="28"/>
              </w:rPr>
              <w:t xml:space="preserve"> saskaņā ar regulas Nr.514/2014 24.panta 4.punktu, izstrādāt </w:t>
            </w:r>
            <w:r w:rsidRPr="00E34335">
              <w:t xml:space="preserve">un iesniegt uzraudzības komitejā projektu iesniegumu vērtēšanas kritērijus, priekšlikumu par projektu iesniegumu atlases veidu un atklātas </w:t>
            </w:r>
            <w:r w:rsidRPr="00E34335">
              <w:rPr>
                <w:bCs/>
                <w:szCs w:val="28"/>
              </w:rPr>
              <w:t>projektu iesniegumu atlases nolikumu;</w:t>
            </w:r>
          </w:p>
          <w:p w14:paraId="701F7D07" w14:textId="521426D8" w:rsidR="00E34335" w:rsidRPr="00E34335" w:rsidRDefault="00E34335" w:rsidP="00985D5C">
            <w:pPr>
              <w:pStyle w:val="naispant"/>
              <w:spacing w:before="0" w:beforeAutospacing="0" w:after="0" w:afterAutospacing="0"/>
              <w:ind w:left="426"/>
              <w:jc w:val="both"/>
              <w:rPr>
                <w:bCs/>
                <w:szCs w:val="28"/>
              </w:rPr>
            </w:pPr>
            <w:r>
              <w:rPr>
                <w:bCs/>
                <w:szCs w:val="28"/>
              </w:rPr>
              <w:t>11.9.</w:t>
            </w:r>
            <w:r w:rsidRPr="00E34335">
              <w:rPr>
                <w:bCs/>
                <w:szCs w:val="28"/>
              </w:rPr>
              <w:t xml:space="preserve"> izstrādāt un apstiprināt projektu izmaksu attiecināmības nosacījumus;</w:t>
            </w:r>
          </w:p>
          <w:p w14:paraId="030C7BE5" w14:textId="11B920F4" w:rsidR="00E34335" w:rsidRPr="00E34335" w:rsidRDefault="00E34335" w:rsidP="00985D5C">
            <w:pPr>
              <w:pStyle w:val="naispant"/>
              <w:spacing w:before="0" w:beforeAutospacing="0" w:after="0" w:afterAutospacing="0"/>
              <w:ind w:left="426"/>
              <w:jc w:val="both"/>
              <w:rPr>
                <w:bCs/>
                <w:szCs w:val="28"/>
              </w:rPr>
            </w:pPr>
            <w:r>
              <w:rPr>
                <w:bCs/>
                <w:szCs w:val="28"/>
              </w:rPr>
              <w:t>11.10.</w:t>
            </w:r>
            <w:r w:rsidRPr="00E34335">
              <w:rPr>
                <w:bCs/>
                <w:szCs w:val="28"/>
              </w:rPr>
              <w:t xml:space="preserve"> nodrošināt fondu projektu iesniegumu atlasi;</w:t>
            </w:r>
          </w:p>
          <w:p w14:paraId="10F9A788" w14:textId="46425E95" w:rsidR="00E34335" w:rsidRPr="00E34335" w:rsidRDefault="00E34335" w:rsidP="00985D5C">
            <w:pPr>
              <w:pStyle w:val="naispant"/>
              <w:spacing w:before="0" w:beforeAutospacing="0" w:after="0" w:afterAutospacing="0"/>
              <w:ind w:left="426"/>
              <w:jc w:val="both"/>
              <w:rPr>
                <w:bCs/>
                <w:szCs w:val="28"/>
              </w:rPr>
            </w:pPr>
            <w:r>
              <w:rPr>
                <w:bCs/>
                <w:szCs w:val="28"/>
              </w:rPr>
              <w:t>11.11.</w:t>
            </w:r>
            <w:r w:rsidRPr="00E34335">
              <w:rPr>
                <w:bCs/>
                <w:szCs w:val="28"/>
              </w:rPr>
              <w:t xml:space="preserve"> slēgt ar finansējuma saņēmēju granta līgumu;</w:t>
            </w:r>
          </w:p>
          <w:p w14:paraId="549CCDBF" w14:textId="6FC8FB5A" w:rsidR="00E34335" w:rsidRPr="00E34335" w:rsidRDefault="00E34335" w:rsidP="00985D5C">
            <w:pPr>
              <w:pStyle w:val="naispant"/>
              <w:spacing w:before="0" w:beforeAutospacing="0" w:after="0" w:afterAutospacing="0"/>
              <w:ind w:left="426"/>
              <w:jc w:val="both"/>
              <w:rPr>
                <w:bCs/>
                <w:szCs w:val="28"/>
              </w:rPr>
            </w:pPr>
            <w:r>
              <w:rPr>
                <w:bCs/>
                <w:szCs w:val="28"/>
              </w:rPr>
              <w:t>11.12.</w:t>
            </w:r>
            <w:r w:rsidRPr="00E34335">
              <w:rPr>
                <w:bCs/>
                <w:szCs w:val="28"/>
              </w:rPr>
              <w:t xml:space="preserve"> konsultēt finansējuma saņēmējus par projektu īstenošanu;</w:t>
            </w:r>
          </w:p>
          <w:p w14:paraId="1E8DF1DA" w14:textId="1BB38D7E" w:rsidR="00E34335" w:rsidRPr="00E34335" w:rsidRDefault="00E34335" w:rsidP="00985D5C">
            <w:pPr>
              <w:pStyle w:val="naispant"/>
              <w:spacing w:before="0" w:beforeAutospacing="0" w:after="0" w:afterAutospacing="0"/>
              <w:ind w:left="426"/>
              <w:jc w:val="both"/>
              <w:rPr>
                <w:bCs/>
                <w:szCs w:val="28"/>
              </w:rPr>
            </w:pPr>
            <w:r>
              <w:rPr>
                <w:bCs/>
                <w:szCs w:val="28"/>
              </w:rPr>
              <w:t>11.13.</w:t>
            </w:r>
            <w:r w:rsidRPr="00E34335">
              <w:rPr>
                <w:bCs/>
                <w:szCs w:val="28"/>
              </w:rPr>
              <w:t xml:space="preserve"> nodrošināt fondu īstenošanas uzraudzību un kontroli;</w:t>
            </w:r>
          </w:p>
          <w:p w14:paraId="46840D64" w14:textId="3D9B0E30" w:rsidR="00E34335" w:rsidRPr="00E34335" w:rsidRDefault="00E34335" w:rsidP="00985D5C">
            <w:pPr>
              <w:pStyle w:val="naispant"/>
              <w:spacing w:before="0" w:beforeAutospacing="0" w:after="0" w:afterAutospacing="0"/>
              <w:ind w:left="426"/>
              <w:jc w:val="both"/>
              <w:rPr>
                <w:bCs/>
                <w:szCs w:val="28"/>
              </w:rPr>
            </w:pPr>
            <w:r>
              <w:rPr>
                <w:bCs/>
                <w:szCs w:val="28"/>
              </w:rPr>
              <w:t>11.14.</w:t>
            </w:r>
            <w:r w:rsidRPr="00E34335">
              <w:rPr>
                <w:bCs/>
                <w:szCs w:val="28"/>
              </w:rPr>
              <w:t xml:space="preserve"> atbilstoši regulas Nr.514/2014 27.pantam, nodrošināt projektu īstenošanas uzraudzību un kontroli;</w:t>
            </w:r>
          </w:p>
          <w:p w14:paraId="53027CF5" w14:textId="64115AED" w:rsidR="00E34335" w:rsidRPr="00E34335" w:rsidRDefault="00E34335" w:rsidP="00985D5C">
            <w:pPr>
              <w:pStyle w:val="naispant"/>
              <w:spacing w:before="0" w:beforeAutospacing="0" w:after="0" w:afterAutospacing="0"/>
              <w:ind w:left="426"/>
              <w:jc w:val="both"/>
              <w:rPr>
                <w:bCs/>
                <w:szCs w:val="28"/>
              </w:rPr>
            </w:pPr>
            <w:r>
              <w:rPr>
                <w:bCs/>
                <w:szCs w:val="28"/>
              </w:rPr>
              <w:t>11.15.</w:t>
            </w:r>
            <w:r w:rsidRPr="00E34335">
              <w:rPr>
                <w:bCs/>
                <w:szCs w:val="28"/>
              </w:rPr>
              <w:t xml:space="preserve"> veikt projektu iepirkuma dokumentācijas un iepirkuma procedūras norises pirmspārbaudi, kā arī nodrošināt projektu ietvaros veikto izdevumu attiecināmības pārbaudi;</w:t>
            </w:r>
          </w:p>
          <w:p w14:paraId="2180B5B9" w14:textId="0E2C4281" w:rsidR="00E34335" w:rsidRPr="00E34335" w:rsidRDefault="00E34335" w:rsidP="00985D5C">
            <w:pPr>
              <w:pStyle w:val="naispant"/>
              <w:spacing w:before="0" w:beforeAutospacing="0" w:after="0" w:afterAutospacing="0"/>
              <w:ind w:left="426"/>
              <w:jc w:val="both"/>
            </w:pPr>
            <w:r w:rsidRPr="00E34335">
              <w:t>1</w:t>
            </w:r>
            <w:r>
              <w:t>1.16.</w:t>
            </w:r>
            <w:r w:rsidRPr="00E34335">
              <w:t xml:space="preserve"> atbilstoši regulas Nr.514/2014 54. un 57.pantam, nodrošināt fondu ziņojumu sagatavošanu un iesniegšanu apstiprināšanai Eiropas Komisijai;</w:t>
            </w:r>
          </w:p>
          <w:p w14:paraId="61C83134" w14:textId="3DF09DB4" w:rsidR="00E34335" w:rsidRPr="00E34335" w:rsidRDefault="00E34335" w:rsidP="00985D5C">
            <w:pPr>
              <w:pStyle w:val="naispant"/>
              <w:spacing w:before="0" w:beforeAutospacing="0" w:after="0" w:afterAutospacing="0"/>
              <w:ind w:left="426"/>
              <w:jc w:val="both"/>
              <w:rPr>
                <w:bCs/>
                <w:szCs w:val="28"/>
              </w:rPr>
            </w:pPr>
            <w:r>
              <w:rPr>
                <w:bCs/>
                <w:szCs w:val="28"/>
              </w:rPr>
              <w:t>11.17.</w:t>
            </w:r>
            <w:r w:rsidRPr="00E34335">
              <w:rPr>
                <w:bCs/>
                <w:szCs w:val="28"/>
              </w:rPr>
              <w:t xml:space="preserve"> nodrošināt fondu </w:t>
            </w:r>
            <w:r w:rsidR="00D76BFB">
              <w:rPr>
                <w:bCs/>
                <w:szCs w:val="28"/>
              </w:rPr>
              <w:t xml:space="preserve">īstenošanas </w:t>
            </w:r>
            <w:r w:rsidRPr="00E34335">
              <w:rPr>
                <w:bCs/>
                <w:szCs w:val="28"/>
              </w:rPr>
              <w:t>izvērtēšanu;</w:t>
            </w:r>
          </w:p>
          <w:p w14:paraId="58147E2B" w14:textId="2A59A229" w:rsidR="00E34335" w:rsidRPr="00E34335" w:rsidRDefault="00E34335" w:rsidP="00985D5C">
            <w:pPr>
              <w:pStyle w:val="naispant"/>
              <w:spacing w:before="0" w:beforeAutospacing="0" w:after="0" w:afterAutospacing="0"/>
              <w:ind w:left="426"/>
              <w:jc w:val="both"/>
            </w:pPr>
            <w:r>
              <w:t>11.18.</w:t>
            </w:r>
            <w:r w:rsidRPr="00E34335">
              <w:t xml:space="preserve"> atbilstoši regulas Nr.514/2014 24.panta 5.punktam, nodrošināt datu ievadi Eiropas Komisijas izveidotajā elektronisko datu apmaiņas sistēmā;</w:t>
            </w:r>
          </w:p>
          <w:p w14:paraId="25390F24" w14:textId="55BF17E3" w:rsidR="00E34335" w:rsidRPr="00E34335" w:rsidRDefault="00E34335" w:rsidP="00985D5C">
            <w:pPr>
              <w:pStyle w:val="naispant"/>
              <w:spacing w:before="0" w:beforeAutospacing="0" w:after="0" w:afterAutospacing="0"/>
              <w:ind w:left="426"/>
              <w:jc w:val="both"/>
              <w:rPr>
                <w:bCs/>
                <w:szCs w:val="28"/>
              </w:rPr>
            </w:pPr>
            <w:r>
              <w:t>11.19.</w:t>
            </w:r>
            <w:r w:rsidRPr="00E34335">
              <w:t xml:space="preserve"> atbilstoši regulas Nr.514/2014 24.panta 5.punktam, nodrošināt saziņu ar Eiropas Komisiju par fondu </w:t>
            </w:r>
            <w:r w:rsidR="00D76BFB">
              <w:t>īstenošanas</w:t>
            </w:r>
            <w:r w:rsidRPr="00E34335">
              <w:t xml:space="preserve"> jautājumiem;</w:t>
            </w:r>
          </w:p>
          <w:p w14:paraId="1906918D" w14:textId="60FABF98" w:rsidR="00E34335" w:rsidRPr="00E34335" w:rsidRDefault="00E34335" w:rsidP="00985D5C">
            <w:pPr>
              <w:pStyle w:val="naispant"/>
              <w:spacing w:before="0" w:beforeAutospacing="0" w:after="0" w:afterAutospacing="0"/>
              <w:ind w:left="426"/>
              <w:jc w:val="both"/>
              <w:rPr>
                <w:bCs/>
                <w:szCs w:val="28"/>
              </w:rPr>
            </w:pPr>
            <w:r>
              <w:rPr>
                <w:bCs/>
                <w:szCs w:val="28"/>
              </w:rPr>
              <w:t>11.20.</w:t>
            </w:r>
            <w:r w:rsidRPr="00E34335">
              <w:rPr>
                <w:bCs/>
                <w:szCs w:val="28"/>
              </w:rPr>
              <w:t xml:space="preserve"> izstrādāt procedūras atbildīgās iestādes pienākumu īstenošanas nodrošināšanai;</w:t>
            </w:r>
          </w:p>
          <w:p w14:paraId="2C0A8DEA" w14:textId="30B7DD09" w:rsidR="00E34335" w:rsidRPr="00E34335" w:rsidRDefault="00E34335" w:rsidP="00985D5C">
            <w:pPr>
              <w:pStyle w:val="naispant"/>
              <w:spacing w:before="0" w:beforeAutospacing="0" w:after="0" w:afterAutospacing="0"/>
              <w:ind w:left="426"/>
              <w:jc w:val="both"/>
              <w:rPr>
                <w:bCs/>
                <w:szCs w:val="28"/>
              </w:rPr>
            </w:pPr>
            <w:r>
              <w:rPr>
                <w:bCs/>
                <w:szCs w:val="28"/>
              </w:rPr>
              <w:t>11.21.</w:t>
            </w:r>
            <w:r w:rsidRPr="00E34335">
              <w:rPr>
                <w:bCs/>
                <w:szCs w:val="28"/>
              </w:rPr>
              <w:t xml:space="preserve"> veikt citus likumā noteiktos pienākumus.</w:t>
            </w:r>
          </w:p>
          <w:p w14:paraId="0125D007" w14:textId="2246CBF6" w:rsidR="00700E2F" w:rsidRPr="00002452" w:rsidRDefault="00700E2F" w:rsidP="00985D5C">
            <w:pPr>
              <w:pStyle w:val="naispant"/>
              <w:spacing w:before="0" w:beforeAutospacing="0" w:after="0" w:afterAutospacing="0"/>
              <w:ind w:left="426"/>
              <w:jc w:val="both"/>
              <w:rPr>
                <w:bCs/>
                <w:szCs w:val="28"/>
              </w:rPr>
            </w:pPr>
          </w:p>
          <w:p w14:paraId="5DFCD188" w14:textId="77777777" w:rsidR="00997DEA" w:rsidRPr="00002452" w:rsidRDefault="00700E2F" w:rsidP="00985D5C">
            <w:pPr>
              <w:pStyle w:val="naispant"/>
              <w:numPr>
                <w:ilvl w:val="0"/>
                <w:numId w:val="22"/>
              </w:numPr>
              <w:spacing w:before="0" w:beforeAutospacing="0" w:after="0" w:afterAutospacing="0"/>
              <w:ind w:left="51" w:firstLine="284"/>
              <w:jc w:val="both"/>
              <w:rPr>
                <w:bCs/>
                <w:szCs w:val="28"/>
              </w:rPr>
            </w:pPr>
            <w:r w:rsidRPr="00002452">
              <w:rPr>
                <w:bCs/>
                <w:szCs w:val="28"/>
              </w:rPr>
              <w:t>Deleģētās iestādes pienākumi (8.pants) nosaka, ka tā veic atbildīgās iestādes deleģētos pienākumus saskaņā ar atbildīgās iestādes un deleģētās iestādes noslēgto starpresoru vienošanos. Deleģētajai iestādei var nodot visus atbildīgās iestādes pienākumus, izņemot saziņu ar Eiropas Komisiju.</w:t>
            </w:r>
          </w:p>
          <w:p w14:paraId="5576DDC3" w14:textId="77777777" w:rsidR="00997DEA" w:rsidRPr="00002452" w:rsidRDefault="00997DEA" w:rsidP="00985D5C">
            <w:pPr>
              <w:pStyle w:val="naispant"/>
              <w:spacing w:before="0" w:beforeAutospacing="0" w:after="0" w:afterAutospacing="0"/>
              <w:ind w:left="335"/>
              <w:jc w:val="both"/>
              <w:rPr>
                <w:bCs/>
                <w:szCs w:val="28"/>
              </w:rPr>
            </w:pPr>
          </w:p>
          <w:p w14:paraId="61B3BD17" w14:textId="77777777" w:rsidR="00997DEA" w:rsidRPr="00002452" w:rsidRDefault="00997DEA" w:rsidP="00985D5C">
            <w:pPr>
              <w:pStyle w:val="naispant"/>
              <w:numPr>
                <w:ilvl w:val="0"/>
                <w:numId w:val="22"/>
              </w:numPr>
              <w:spacing w:before="0" w:beforeAutospacing="0" w:after="0" w:afterAutospacing="0"/>
              <w:ind w:left="51" w:firstLine="284"/>
              <w:jc w:val="both"/>
              <w:rPr>
                <w:bCs/>
              </w:rPr>
            </w:pPr>
            <w:r w:rsidRPr="00002452">
              <w:rPr>
                <w:bCs/>
              </w:rPr>
              <w:t>Revīzijas iestādes pienākumos (9.pants) ietilpst:</w:t>
            </w:r>
          </w:p>
          <w:p w14:paraId="1C7CECCA" w14:textId="5072AAAA" w:rsidR="006F02E4" w:rsidRPr="006F02E4" w:rsidRDefault="006F02E4" w:rsidP="00985D5C">
            <w:pPr>
              <w:pStyle w:val="naispant"/>
              <w:spacing w:before="0" w:beforeAutospacing="0" w:after="0" w:afterAutospacing="0"/>
              <w:ind w:left="426"/>
              <w:jc w:val="both"/>
              <w:rPr>
                <w:bCs/>
              </w:rPr>
            </w:pPr>
            <w:r w:rsidRPr="006F02E4">
              <w:rPr>
                <w:bCs/>
              </w:rPr>
              <w:t xml:space="preserve">13.1. veikt atbildīgās iestādes un deleģētās iestādes atbilstības novērtējumu, </w:t>
            </w:r>
            <w:r w:rsidRPr="006F02E4">
              <w:t>atbilstoši  regulas Nr.514/2014 26. pantam</w:t>
            </w:r>
            <w:r w:rsidRPr="006F02E4">
              <w:rPr>
                <w:bCs/>
              </w:rPr>
              <w:t xml:space="preserve">; </w:t>
            </w:r>
          </w:p>
          <w:p w14:paraId="7F94C7E3" w14:textId="3590E376" w:rsidR="006F02E4" w:rsidRPr="006F02E4" w:rsidRDefault="006F02E4" w:rsidP="00985D5C">
            <w:pPr>
              <w:pStyle w:val="naispant"/>
              <w:spacing w:before="0" w:beforeAutospacing="0" w:after="0" w:afterAutospacing="0"/>
              <w:ind w:left="426"/>
              <w:jc w:val="both"/>
              <w:rPr>
                <w:bCs/>
              </w:rPr>
            </w:pPr>
            <w:r w:rsidRPr="006F02E4">
              <w:rPr>
                <w:bCs/>
              </w:rPr>
              <w:t xml:space="preserve">13.2. ja, veicot atbilstības novērtējumu vai gada pārskatos iekļauto izdevumu izlases revīziju (turpmāk – kārtējais audits), tiek secināts, ka atbildīgā iestāde vai deleģētā iestāde neatbilst vai tikai daļēji atbilst </w:t>
            </w:r>
            <w:r w:rsidRPr="006F02E4">
              <w:t xml:space="preserve">Eiropas Komisijas 2014.gada 25.jūlija deleģētās regulas Nr.1042/2014, ar ko papildina Regulu (ES) Nr.514/2014 attiecībā uz atbildīgo iestāžu izraudzīšanu un pienākumiem pārvaldības un kontroles jomā un attiecībā uz revīzijas iestāžu statusu un pienākumiem (turpmāk – regula Nr.1042/2014)   pielikumā </w:t>
            </w:r>
            <w:r w:rsidRPr="006F02E4">
              <w:rPr>
                <w:bCs/>
              </w:rPr>
              <w:t>noteiktajiem kritērijiem, noteikt atbildīgajai iestādei vai deleģētajai iestādei veicamās darbības un termiņu nepilnību novēršanai;</w:t>
            </w:r>
          </w:p>
          <w:p w14:paraId="09C54CC0" w14:textId="62EE5C6B" w:rsidR="006F02E4" w:rsidRPr="006F02E4" w:rsidRDefault="006F02E4" w:rsidP="00985D5C">
            <w:pPr>
              <w:pStyle w:val="naispant"/>
              <w:spacing w:before="0" w:beforeAutospacing="0" w:after="0" w:afterAutospacing="0"/>
              <w:ind w:left="426"/>
              <w:jc w:val="both"/>
              <w:rPr>
                <w:b/>
                <w:bCs/>
                <w:color w:val="FF0000"/>
                <w:u w:val="single"/>
              </w:rPr>
            </w:pPr>
            <w:r w:rsidRPr="006F02E4">
              <w:rPr>
                <w:bCs/>
              </w:rPr>
              <w:t>13.3. iesniegt iekšlietu ministram atbildīgās iestādes un deleģētās iestādes sākotnējo novērtējuma ziņojumu un atzinumu;</w:t>
            </w:r>
            <w:r w:rsidRPr="006F02E4">
              <w:rPr>
                <w:b/>
                <w:bCs/>
                <w:color w:val="FF0000"/>
                <w:u w:val="single"/>
              </w:rPr>
              <w:t xml:space="preserve"> </w:t>
            </w:r>
          </w:p>
          <w:p w14:paraId="711E09D5" w14:textId="2F02BEB4" w:rsidR="006F02E4" w:rsidRPr="006F02E4" w:rsidRDefault="006F02E4" w:rsidP="00985D5C">
            <w:pPr>
              <w:pStyle w:val="naispant"/>
              <w:spacing w:before="0" w:beforeAutospacing="0" w:after="0" w:afterAutospacing="0"/>
              <w:ind w:left="426"/>
              <w:jc w:val="both"/>
              <w:rPr>
                <w:bCs/>
              </w:rPr>
            </w:pPr>
            <w:r w:rsidRPr="006F02E4">
              <w:rPr>
                <w:bCs/>
              </w:rPr>
              <w:t xml:space="preserve">13.4. </w:t>
            </w:r>
            <w:r w:rsidRPr="006F02E4">
              <w:t>veikt regulas Nr.514/2014 29. pantā minētās funkcijas;</w:t>
            </w:r>
          </w:p>
          <w:p w14:paraId="286C3767" w14:textId="217BD291" w:rsidR="006F02E4" w:rsidRPr="006F02E4" w:rsidRDefault="006F02E4" w:rsidP="00985D5C">
            <w:pPr>
              <w:pStyle w:val="naispant"/>
              <w:spacing w:before="0" w:beforeAutospacing="0" w:after="0" w:afterAutospacing="0"/>
              <w:ind w:left="426"/>
              <w:jc w:val="both"/>
              <w:rPr>
                <w:bCs/>
              </w:rPr>
            </w:pPr>
            <w:r w:rsidRPr="006F02E4">
              <w:rPr>
                <w:bCs/>
              </w:rPr>
              <w:t>13.5. informēt iekšlietu ministru, ja atbildīgā iestāde vai deleģētā iestāde neveic šīs daļas trešajā punktā minētās darbības nepilnību novēršanai;</w:t>
            </w:r>
          </w:p>
          <w:p w14:paraId="5A962A2E" w14:textId="137FD18F" w:rsidR="006F02E4" w:rsidRPr="006F02E4" w:rsidRDefault="006F02E4" w:rsidP="00985D5C">
            <w:pPr>
              <w:pStyle w:val="naispant"/>
              <w:spacing w:before="0" w:beforeAutospacing="0" w:after="0" w:afterAutospacing="0"/>
              <w:ind w:left="426"/>
              <w:jc w:val="both"/>
              <w:rPr>
                <w:bCs/>
              </w:rPr>
            </w:pPr>
            <w:r w:rsidRPr="006F02E4">
              <w:rPr>
                <w:bCs/>
              </w:rPr>
              <w:t xml:space="preserve">13.6. informēt iekšlietu ministru, ja tās rīcībā ir ziņas, ka fondu </w:t>
            </w:r>
            <w:r w:rsidR="00D76BFB">
              <w:rPr>
                <w:bCs/>
              </w:rPr>
              <w:t>īstenošana</w:t>
            </w:r>
            <w:r w:rsidRPr="006F02E4">
              <w:rPr>
                <w:bCs/>
              </w:rPr>
              <w:t xml:space="preserve"> var tikt būtiski ietekmēta, vai kārtējā audita rezultāti liecina, ka atbildīgā iestāde vai deleģētā iestāde nenodrošina atbilstību šī panta otrās daļas 2.punktā minētajam;</w:t>
            </w:r>
          </w:p>
          <w:p w14:paraId="4DDD16A7" w14:textId="77450683" w:rsidR="006F02E4" w:rsidRPr="006F02E4" w:rsidRDefault="006F02E4" w:rsidP="00985D5C">
            <w:pPr>
              <w:pStyle w:val="naispant"/>
              <w:spacing w:before="0" w:beforeAutospacing="0" w:after="0" w:afterAutospacing="0"/>
              <w:ind w:left="426"/>
              <w:jc w:val="both"/>
              <w:rPr>
                <w:bCs/>
              </w:rPr>
            </w:pPr>
            <w:r w:rsidRPr="006F02E4">
              <w:rPr>
                <w:bCs/>
              </w:rPr>
              <w:t>13.7. i</w:t>
            </w:r>
            <w:r w:rsidRPr="006F02E4">
              <w:t xml:space="preserve">nformēt iekšlietu ministru  par šā panta otrās daļas 2.punktā minēto darbību īstenošanu, nepilnību novēršanu un termiņiem. </w:t>
            </w:r>
          </w:p>
          <w:p w14:paraId="7AC56214" w14:textId="769DBD87" w:rsidR="00B77789" w:rsidRDefault="00B77789" w:rsidP="00985D5C">
            <w:pPr>
              <w:pStyle w:val="naispant"/>
              <w:spacing w:before="0" w:beforeAutospacing="0" w:after="0" w:afterAutospacing="0"/>
              <w:ind w:left="760" w:hanging="142"/>
              <w:jc w:val="both"/>
              <w:rPr>
                <w:sz w:val="28"/>
              </w:rPr>
            </w:pPr>
            <w:r w:rsidRPr="00A4495A">
              <w:rPr>
                <w:sz w:val="28"/>
              </w:rPr>
              <w:t xml:space="preserve"> </w:t>
            </w:r>
          </w:p>
          <w:p w14:paraId="047F7847" w14:textId="77777777" w:rsidR="00603925" w:rsidRPr="00A2666B" w:rsidRDefault="00997DEA" w:rsidP="00985D5C">
            <w:pPr>
              <w:pStyle w:val="naispant"/>
              <w:spacing w:before="0" w:beforeAutospacing="0" w:after="0" w:afterAutospacing="0"/>
              <w:ind w:left="51" w:firstLine="142"/>
              <w:jc w:val="both"/>
              <w:rPr>
                <w:bCs/>
                <w:szCs w:val="28"/>
              </w:rPr>
            </w:pPr>
            <w:r w:rsidRPr="00A2666B">
              <w:rPr>
                <w:bCs/>
                <w:szCs w:val="28"/>
              </w:rPr>
              <w:t xml:space="preserve">Revīzijas iestādei saskaņā ar regulas Nr.514/2014 26. pantu ir jāsniedz atzinums par atbildīgās iestādes atbilstību izraudzīšanas kritērijiem, </w:t>
            </w:r>
            <w:r w:rsidR="007C4DAA" w:rsidRPr="00A2666B">
              <w:rPr>
                <w:bCs/>
                <w:szCs w:val="28"/>
              </w:rPr>
              <w:t>kurus noteikusi Eiropas Komisija</w:t>
            </w:r>
            <w:r w:rsidRPr="00A2666B">
              <w:rPr>
                <w:bCs/>
                <w:szCs w:val="28"/>
              </w:rPr>
              <w:t>. Iekšlietu ministrs apstiprina atbildīgās iestādes un deleģētās iestādes atbilstību noteiktajiem kritērijiem, pamatojoties uz revīzijas iestādes sniegto novērtējuma ziņojumu un atzinumu. Ja atbildīgā iestāde vai deleģētā iestāde nenodrošina institūcijas atbilstību noteiktajiem kritērijiem, iekšlietu ministrs</w:t>
            </w:r>
            <w:r w:rsidR="00603925" w:rsidRPr="00A2666B">
              <w:rPr>
                <w:bCs/>
                <w:szCs w:val="28"/>
              </w:rPr>
              <w:t>:</w:t>
            </w:r>
          </w:p>
          <w:p w14:paraId="03FDB089" w14:textId="77777777" w:rsidR="00603925" w:rsidRPr="00A2666B" w:rsidRDefault="00603925" w:rsidP="00603925">
            <w:pPr>
              <w:pStyle w:val="naispant"/>
              <w:spacing w:before="0" w:beforeAutospacing="0" w:after="120" w:afterAutospacing="0"/>
              <w:ind w:left="191"/>
            </w:pPr>
            <w:r w:rsidRPr="00A2666B">
              <w:t>1) apstiprina veicamās darbības un termiņus nepilnību novēršanai, vai</w:t>
            </w:r>
          </w:p>
          <w:p w14:paraId="725DC75D" w14:textId="366A23AE" w:rsidR="006F02E4" w:rsidRPr="00A2666B" w:rsidRDefault="00603925" w:rsidP="00603925">
            <w:pPr>
              <w:pStyle w:val="naispant"/>
              <w:spacing w:before="0" w:beforeAutospacing="0" w:after="120" w:afterAutospacing="0"/>
              <w:ind w:left="426" w:hanging="233"/>
              <w:jc w:val="both"/>
            </w:pPr>
            <w:r w:rsidRPr="00A2666B">
              <w:lastRenderedPageBreak/>
              <w:t>2) atceļ šā panta pirmajā daļā minēto lēmumu par fondu vadībā iesaistītās institūcijas atbilstības apstiprināšanu un nekavējoties nozīmē citu atbildīgo vai deleģēto iestādi.</w:t>
            </w:r>
          </w:p>
          <w:p w14:paraId="08E4BCA7" w14:textId="4AE8373D" w:rsidR="00603925" w:rsidRPr="00603925" w:rsidRDefault="00603925" w:rsidP="00603925">
            <w:pPr>
              <w:pStyle w:val="naispant"/>
              <w:spacing w:before="0" w:beforeAutospacing="0" w:after="120" w:afterAutospacing="0"/>
              <w:ind w:left="51" w:firstLine="142"/>
              <w:jc w:val="both"/>
              <w:rPr>
                <w:bCs/>
                <w:szCs w:val="28"/>
              </w:rPr>
            </w:pPr>
            <w:r w:rsidRPr="00A2666B">
              <w:t>Gadījumā, ja tiek atcelts lēmums par fondu vadībā iesaistītās institūcijas atbilstības apstiprināšanu, revīzijas iestāde saskaņā ar regulas Nr.514/2014 26.pantu veic nozīmētās iestādes atbilstības novērtēšanu un sniedz atzinumu ministram par iestādes atbilstību noteiktajiem kritērijiem.</w:t>
            </w:r>
            <w:r w:rsidR="00E73EA2" w:rsidRPr="00A2666B">
              <w:t xml:space="preserve"> Ministrs, pamatojoties uz revīzijas iestādes sniegto atzinumu, apstiprina attiecīgās iestādes atbilstību.</w:t>
            </w:r>
          </w:p>
          <w:p w14:paraId="6C177149" w14:textId="02182431" w:rsidR="00B412EC" w:rsidRPr="00002452" w:rsidRDefault="00B412EC" w:rsidP="00985D5C">
            <w:pPr>
              <w:pStyle w:val="naispant"/>
              <w:numPr>
                <w:ilvl w:val="0"/>
                <w:numId w:val="22"/>
              </w:numPr>
              <w:spacing w:before="0" w:beforeAutospacing="0" w:after="0" w:afterAutospacing="0"/>
              <w:ind w:left="51" w:firstLine="283"/>
              <w:jc w:val="both"/>
              <w:rPr>
                <w:bCs/>
                <w:szCs w:val="28"/>
              </w:rPr>
            </w:pPr>
            <w:r w:rsidRPr="00002452">
              <w:rPr>
                <w:bCs/>
                <w:szCs w:val="28"/>
              </w:rPr>
              <w:t xml:space="preserve"> Finansējuma saņēmēja pienākumi ir minēti likumprojekta 11.pantā. Tie ir:</w:t>
            </w:r>
          </w:p>
          <w:p w14:paraId="733113E2" w14:textId="77777777" w:rsidR="00B412EC" w:rsidRPr="00002452" w:rsidRDefault="00B412EC" w:rsidP="00985D5C">
            <w:pPr>
              <w:pStyle w:val="naispant"/>
              <w:numPr>
                <w:ilvl w:val="1"/>
                <w:numId w:val="22"/>
              </w:numPr>
              <w:spacing w:before="0" w:beforeAutospacing="0" w:after="0" w:afterAutospacing="0"/>
              <w:ind w:left="477" w:hanging="117"/>
              <w:jc w:val="both"/>
              <w:rPr>
                <w:bCs/>
                <w:szCs w:val="28"/>
              </w:rPr>
            </w:pPr>
            <w:r w:rsidRPr="00002452">
              <w:t xml:space="preserve">nodrošināt projekta īstenošanu saskaņā ar Eiropas Savienības un Latvijas Republikas normatīvajiem aktiem un granta līgumu; </w:t>
            </w:r>
          </w:p>
          <w:p w14:paraId="776D5059" w14:textId="5874851B" w:rsidR="001B035A" w:rsidRPr="00002452" w:rsidRDefault="001B035A" w:rsidP="00985D5C">
            <w:pPr>
              <w:pStyle w:val="naispant"/>
              <w:numPr>
                <w:ilvl w:val="1"/>
                <w:numId w:val="22"/>
              </w:numPr>
              <w:spacing w:before="0" w:beforeAutospacing="0" w:after="0" w:afterAutospacing="0"/>
              <w:ind w:left="477" w:hanging="117"/>
              <w:jc w:val="both"/>
              <w:rPr>
                <w:bCs/>
                <w:szCs w:val="28"/>
              </w:rPr>
            </w:pPr>
            <w:r w:rsidRPr="00002452">
              <w:t>nodrošināt atsevišķu analītisku grāmatvedības uzskaiti par katra projekta izdevumiem vai atbilstošu uzskaites kodu sistēmu attiecībā uz visiem ar projektu saistītajiem darījumiem;</w:t>
            </w:r>
          </w:p>
          <w:p w14:paraId="092339A6" w14:textId="483C25B7" w:rsidR="001B035A" w:rsidRPr="00002452" w:rsidRDefault="001B035A" w:rsidP="00985D5C">
            <w:pPr>
              <w:pStyle w:val="naispant"/>
              <w:numPr>
                <w:ilvl w:val="1"/>
                <w:numId w:val="22"/>
              </w:numPr>
              <w:spacing w:before="0" w:beforeAutospacing="0" w:after="0" w:afterAutospacing="0"/>
              <w:ind w:left="477" w:hanging="117"/>
              <w:jc w:val="both"/>
              <w:rPr>
                <w:bCs/>
                <w:szCs w:val="28"/>
              </w:rPr>
            </w:pPr>
            <w:r w:rsidRPr="00002452">
              <w:t>sniegt informāciju par projekta īstenošanu un nodrošināt Eiropas Komisijas un fondu vadībā iesaistīto institūciju pārstāvjiem pieeju visu ar projekta īstenošanu saistīto dokumentu oriģināliem un grāmatvedības sistēmai, kā arī attiecīgā projekta īstenošanas vietai;</w:t>
            </w:r>
          </w:p>
          <w:p w14:paraId="467FC33C" w14:textId="0AA5A18F" w:rsidR="001B035A" w:rsidRPr="00002452" w:rsidRDefault="001B035A" w:rsidP="00985D5C">
            <w:pPr>
              <w:pStyle w:val="naispant"/>
              <w:numPr>
                <w:ilvl w:val="1"/>
                <w:numId w:val="22"/>
              </w:numPr>
              <w:spacing w:before="0" w:beforeAutospacing="0" w:after="0" w:afterAutospacing="0"/>
              <w:ind w:left="477" w:hanging="117"/>
              <w:jc w:val="both"/>
              <w:rPr>
                <w:bCs/>
                <w:szCs w:val="28"/>
              </w:rPr>
            </w:pPr>
            <w:r w:rsidRPr="00002452">
              <w:t>nodrošināt, lai projektam piešķirtais finansējums tiktu izlietots saskaņā ar pareizas finanšu pārvaldības principu, ievērojot saimnieciskuma, lietderības un efektivitātes principus;</w:t>
            </w:r>
          </w:p>
          <w:p w14:paraId="0F33A639" w14:textId="4063F998" w:rsidR="001B035A" w:rsidRPr="00002452" w:rsidRDefault="001B035A" w:rsidP="00985D5C">
            <w:pPr>
              <w:pStyle w:val="naispant"/>
              <w:numPr>
                <w:ilvl w:val="1"/>
                <w:numId w:val="22"/>
              </w:numPr>
              <w:spacing w:before="0" w:beforeAutospacing="0" w:after="0" w:afterAutospacing="0"/>
              <w:ind w:left="477" w:hanging="117"/>
              <w:jc w:val="both"/>
              <w:rPr>
                <w:bCs/>
                <w:szCs w:val="28"/>
              </w:rPr>
            </w:pPr>
            <w:r w:rsidRPr="00002452">
              <w:t>nodrošināt, lai projekta ietvaros veiktie izdevumi būtu tieši saistīti ar projekta mērķu sasniegšanu un atbilstoši projekta īstenošanai piešķirtā finansējuma izmantošanas nosacījumiem;</w:t>
            </w:r>
          </w:p>
          <w:p w14:paraId="566B0AF8" w14:textId="3185CDFF" w:rsidR="001B035A" w:rsidRPr="00002452" w:rsidRDefault="001B035A" w:rsidP="00985D5C">
            <w:pPr>
              <w:pStyle w:val="naispant"/>
              <w:numPr>
                <w:ilvl w:val="1"/>
                <w:numId w:val="22"/>
              </w:numPr>
              <w:spacing w:before="0" w:beforeAutospacing="0" w:after="0" w:afterAutospacing="0"/>
              <w:ind w:left="477" w:hanging="117"/>
              <w:jc w:val="both"/>
              <w:rPr>
                <w:bCs/>
                <w:szCs w:val="28"/>
              </w:rPr>
            </w:pPr>
            <w:r w:rsidRPr="00002452">
              <w:t>nekavējoties informēt atbildīgo iestādi vai deleģēto iestādi par jebkurām izmaiņām un apstākļiem, kas var negatīvi ietekmēt projekta īstenošanu;</w:t>
            </w:r>
          </w:p>
          <w:p w14:paraId="22723AD1" w14:textId="69259E40" w:rsidR="00B412EC" w:rsidRPr="00002452" w:rsidRDefault="001B035A" w:rsidP="00985D5C">
            <w:pPr>
              <w:pStyle w:val="naispant"/>
              <w:numPr>
                <w:ilvl w:val="1"/>
                <w:numId w:val="22"/>
              </w:numPr>
              <w:spacing w:before="0" w:beforeAutospacing="0" w:after="0" w:afterAutospacing="0"/>
              <w:ind w:left="476" w:hanging="117"/>
              <w:jc w:val="both"/>
              <w:rPr>
                <w:bCs/>
                <w:szCs w:val="28"/>
              </w:rPr>
            </w:pPr>
            <w:r w:rsidRPr="00002452">
              <w:t>nodrošināt projekta rezultātu saglabāšanu un ilgtspēju, kā arī revīzijas liecību saglabāšanu, ievērojot granta līgumā noteiktos nosacījumus un termiņus.</w:t>
            </w:r>
          </w:p>
          <w:p w14:paraId="6334F5E2" w14:textId="77777777" w:rsidR="001B035A" w:rsidRDefault="001B035A" w:rsidP="00985D5C">
            <w:pPr>
              <w:pStyle w:val="naispant"/>
              <w:spacing w:before="0" w:beforeAutospacing="0" w:after="0" w:afterAutospacing="0"/>
              <w:ind w:left="476"/>
              <w:jc w:val="both"/>
              <w:rPr>
                <w:bCs/>
                <w:szCs w:val="28"/>
              </w:rPr>
            </w:pPr>
          </w:p>
          <w:p w14:paraId="542701B6" w14:textId="15AE85A7" w:rsidR="00780287" w:rsidRPr="008A028C" w:rsidRDefault="00780287" w:rsidP="00780287">
            <w:pPr>
              <w:pStyle w:val="NormalWeb"/>
              <w:spacing w:before="0" w:beforeAutospacing="0" w:after="120" w:afterAutospacing="0"/>
              <w:ind w:left="193"/>
              <w:jc w:val="both"/>
            </w:pPr>
            <w:r>
              <w:t>S</w:t>
            </w:r>
            <w:r w:rsidRPr="008A028C">
              <w:t xml:space="preserve">adarbības partnerība projekta ietvaros būs uz brīvprātības principa. Jautājumi, kas skar projektu iesniegumu atlasi un prasības projektu iesniedzējiem, tiks noteiktas Ministru kabineta noteikumos “Iekšējās drošības fonda un Patvēruma, migrācijas un integrācijas fonda 2014.-2020. gada plānošanas dokumentu izstrādes un </w:t>
            </w:r>
            <w:r w:rsidRPr="008A028C">
              <w:rPr>
                <w:bCs/>
              </w:rPr>
              <w:t>projektu iesniegumu atlases kārtība”</w:t>
            </w:r>
            <w:r w:rsidRPr="008A028C">
              <w:t>. Noteikumos tiks noteikts, ka projekta iesniedzējs ir atbildīgs par projekta īstenošanu un vadību, kā arī projekta rezultātu un mērķu sasniegšanu, un, ka projekta iesniedzējs nedrīkst būt starpnieks.</w:t>
            </w:r>
          </w:p>
          <w:p w14:paraId="415C2211" w14:textId="47004226" w:rsidR="00780287" w:rsidRDefault="00780287" w:rsidP="00780287">
            <w:pPr>
              <w:pStyle w:val="naispant"/>
              <w:spacing w:before="0" w:beforeAutospacing="0" w:after="0" w:afterAutospacing="0"/>
              <w:ind w:left="193"/>
              <w:jc w:val="both"/>
              <w:rPr>
                <w:bCs/>
                <w:szCs w:val="28"/>
              </w:rPr>
            </w:pPr>
            <w:r w:rsidRPr="008A028C">
              <w:lastRenderedPageBreak/>
              <w:t>Projekta iesniedzējam, iesniedzot projekta iesniegumu atbildīgajai vai deleģētajai iestādei, ir jāiesniedz arī parakstīts sadarbības apliecinājums, kā arī, gadījumā, ja projekta iesniegums tiks apstiprināts, projekta iesniedzējam ar sadarbības partneri ir jāslēdz sadarbības līgums.</w:t>
            </w:r>
            <w:r>
              <w:t xml:space="preserve"> </w:t>
            </w:r>
            <w:r w:rsidRPr="00457F31">
              <w:t>Finansējuma saņēmējs (kopā ar sadarbības partneri) un gala labuma guvējs būs viena un tā pati persona.</w:t>
            </w:r>
          </w:p>
          <w:p w14:paraId="7E194564" w14:textId="77777777" w:rsidR="00780287" w:rsidRPr="00002452" w:rsidRDefault="00780287" w:rsidP="00985D5C">
            <w:pPr>
              <w:pStyle w:val="naispant"/>
              <w:spacing w:before="0" w:beforeAutospacing="0" w:after="0" w:afterAutospacing="0"/>
              <w:ind w:left="476"/>
              <w:jc w:val="both"/>
              <w:rPr>
                <w:bCs/>
                <w:szCs w:val="28"/>
              </w:rPr>
            </w:pPr>
          </w:p>
          <w:p w14:paraId="78D4E208" w14:textId="499795D9" w:rsidR="00C34936" w:rsidRPr="00002452" w:rsidRDefault="00C34936" w:rsidP="000C59C8">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002452">
              <w:rPr>
                <w:b w:val="0"/>
                <w:sz w:val="24"/>
              </w:rPr>
              <w:t xml:space="preserve">Atbildīgajai iestādei saskaņā ar regulas Nr.514/2014 12.panta 4.punktu ir jāizveido attiecīgā fonda uzraudzības komiteja, lai atbalstītu valsts programmu īstenošanu. Likumprojektā ir noteikts, ka uzraudzības komiteja ir koleģiāla fonda vadībā iesaistīta institūcija, kas izveidota, lai nodrošinātu partnerības principu un pārraudzītu fondu </w:t>
            </w:r>
            <w:r w:rsidR="00D76BFB">
              <w:rPr>
                <w:b w:val="0"/>
                <w:sz w:val="24"/>
              </w:rPr>
              <w:t>īstenošanas</w:t>
            </w:r>
            <w:r w:rsidRPr="00002452">
              <w:rPr>
                <w:b w:val="0"/>
                <w:sz w:val="24"/>
              </w:rPr>
              <w:t xml:space="preserve"> gaitu. To vada atbildīgās iestādes vadītājs vai tā pilnvarota persona. No iestādēm, kuru kompetencē ir attiecīgā fonda jautājumi, uzraudzības komitejas sastāvā iekļauj pārstāvjus ar balsstiesībām vai padomdevēja tiesībām, bet no revīzijas iestādes – pārstāvi ar padomdevēja tiesībām. Revīzijas iestādei ir balsstiesības attiecībā uz tehniskās palīdzības jautājumiem. </w:t>
            </w:r>
            <w:r w:rsidR="009D01E0" w:rsidRPr="00002452">
              <w:rPr>
                <w:b w:val="0"/>
                <w:sz w:val="24"/>
              </w:rPr>
              <w:t>Uzraudzības komitejas sastāvu</w:t>
            </w:r>
            <w:r w:rsidR="006F02E4">
              <w:rPr>
                <w:b w:val="0"/>
                <w:sz w:val="24"/>
              </w:rPr>
              <w:t xml:space="preserve"> un personālsastāvu</w:t>
            </w:r>
            <w:r w:rsidR="009D01E0" w:rsidRPr="00002452">
              <w:rPr>
                <w:b w:val="0"/>
                <w:sz w:val="24"/>
              </w:rPr>
              <w:t xml:space="preserve"> apstiprina iekšlietu ministrs un tā darbojas ar tās apstiprinātu nolikumu,</w:t>
            </w:r>
            <w:r w:rsidR="009D01E0" w:rsidRPr="00002452">
              <w:rPr>
                <w:sz w:val="28"/>
                <w:szCs w:val="28"/>
              </w:rPr>
              <w:t xml:space="preserve"> </w:t>
            </w:r>
            <w:r w:rsidR="009D01E0" w:rsidRPr="00002452">
              <w:rPr>
                <w:b w:val="0"/>
                <w:sz w:val="24"/>
                <w:szCs w:val="28"/>
              </w:rPr>
              <w:t>kurā nosaka komitejā izskatāmo dokumentu veidus, iesniegšanas un saskaņošanas kārtību, sēžu sagatavošanas un norises kārtību un citus iekšējās kārtības un darbības jautājumus.</w:t>
            </w:r>
            <w:r w:rsidR="009D01E0" w:rsidRPr="00002452">
              <w:rPr>
                <w:b w:val="0"/>
                <w:sz w:val="22"/>
              </w:rPr>
              <w:t xml:space="preserve"> </w:t>
            </w:r>
          </w:p>
          <w:p w14:paraId="5A845723" w14:textId="0B816895" w:rsidR="00C34936" w:rsidRPr="00002452" w:rsidRDefault="00C34936" w:rsidP="000C59C8">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002452">
              <w:rPr>
                <w:b w:val="0"/>
                <w:sz w:val="24"/>
                <w:szCs w:val="24"/>
              </w:rPr>
              <w:t xml:space="preserve">ES fondu </w:t>
            </w:r>
            <w:r w:rsidR="00D76BFB">
              <w:rPr>
                <w:b w:val="0"/>
                <w:sz w:val="24"/>
                <w:szCs w:val="24"/>
              </w:rPr>
              <w:t>īstenošanas</w:t>
            </w:r>
            <w:r w:rsidRPr="00002452">
              <w:rPr>
                <w:b w:val="0"/>
                <w:sz w:val="24"/>
                <w:szCs w:val="24"/>
              </w:rPr>
              <w:t xml:space="preserve"> funkciju izpilde tiks finansēta no ES fondu tehniskās palīdzības. </w:t>
            </w:r>
          </w:p>
          <w:p w14:paraId="29C5D103" w14:textId="382E99C6" w:rsidR="00322A46" w:rsidRPr="00002452" w:rsidRDefault="00101434" w:rsidP="000C59C8">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002452">
              <w:rPr>
                <w:b w:val="0"/>
                <w:sz w:val="24"/>
                <w:szCs w:val="24"/>
              </w:rPr>
              <w:t xml:space="preserve">Ievērojot, ka likumprojekts paredz tikai vispārēju regulējumu saistībā ar fondu vadību un </w:t>
            </w:r>
            <w:r w:rsidR="00D76BFB">
              <w:rPr>
                <w:b w:val="0"/>
                <w:sz w:val="24"/>
                <w:szCs w:val="24"/>
              </w:rPr>
              <w:t>īstenošanu</w:t>
            </w:r>
            <w:r w:rsidRPr="00002452">
              <w:rPr>
                <w:b w:val="0"/>
                <w:sz w:val="24"/>
                <w:szCs w:val="24"/>
              </w:rPr>
              <w:t>, l</w:t>
            </w:r>
            <w:r w:rsidR="00322A46" w:rsidRPr="00002452">
              <w:rPr>
                <w:b w:val="0"/>
                <w:sz w:val="24"/>
                <w:szCs w:val="24"/>
              </w:rPr>
              <w:t xml:space="preserve">īdzīgi kā ES fondu vadības likumā, likumprojektā Ministru kabinets tiek pilnvarots izdot Ministru kabineta noteikumu ES fondu vadības nodrošināšanai. Šajā gadījumā Ministru kabineta kompetence būtiski neatšķiras no 2007.-2013.gada plānošanas perioda regulējuma. </w:t>
            </w:r>
          </w:p>
          <w:p w14:paraId="563F471C" w14:textId="77777777" w:rsidR="004F6D41" w:rsidRPr="00002452" w:rsidRDefault="0067596F" w:rsidP="000C59C8">
            <w:pPr>
              <w:pStyle w:val="Heading3"/>
              <w:numPr>
                <w:ilvl w:val="0"/>
                <w:numId w:val="22"/>
              </w:numPr>
              <w:shd w:val="clear" w:color="auto" w:fill="FFFFFF"/>
              <w:spacing w:before="0" w:beforeAutospacing="0" w:after="120" w:afterAutospacing="0"/>
              <w:ind w:left="57" w:right="57" w:firstLine="284"/>
              <w:jc w:val="both"/>
              <w:rPr>
                <w:b w:val="0"/>
                <w:sz w:val="24"/>
                <w:szCs w:val="24"/>
              </w:rPr>
            </w:pPr>
            <w:r w:rsidRPr="00002452">
              <w:rPr>
                <w:b w:val="0"/>
                <w:sz w:val="24"/>
                <w:szCs w:val="24"/>
              </w:rPr>
              <w:t>Likumprojekta trešajā nodaļā (projektu iesniegumu atlase un lēmumu pieņemšana) ir noteikti projektu iesniegumu atlases veidi (14.pants)</w:t>
            </w:r>
            <w:r w:rsidR="009D1E7C" w:rsidRPr="00002452">
              <w:rPr>
                <w:b w:val="0"/>
                <w:sz w:val="24"/>
                <w:szCs w:val="24"/>
              </w:rPr>
              <w:t>, projektu iesniegumu vērtēšanas komisijas izveides nepieciešamība (15.pants), projektu iesniedzēju izslēgšanas noteikumi (16.pants), atbildīgās iestādes un deleģētās iestādes lēmumu veidi (17.pants), projektu iesnieguma apstiprināšanas, apstiprināšanas ar nosacījumu vai noraidīšanas kārtība atklātā vai ierobežotā projektu iesniegumu atlasē (18. un 19.pants</w:t>
            </w:r>
            <w:r w:rsidR="004F6D41" w:rsidRPr="00002452">
              <w:rPr>
                <w:b w:val="0"/>
                <w:sz w:val="24"/>
                <w:szCs w:val="24"/>
              </w:rPr>
              <w:t>), lēmuma pieņemšanas termiņš (20.pants) un lēmuma apstrīdēšanas vai noraidīšanas kārtība (21.pants).</w:t>
            </w:r>
          </w:p>
          <w:p w14:paraId="3272ED10" w14:textId="30A65ACA" w:rsidR="0067596F" w:rsidRPr="00002452" w:rsidRDefault="004F6D41" w:rsidP="000C59C8">
            <w:pPr>
              <w:pStyle w:val="Heading3"/>
              <w:numPr>
                <w:ilvl w:val="0"/>
                <w:numId w:val="22"/>
              </w:numPr>
              <w:shd w:val="clear" w:color="auto" w:fill="FFFFFF"/>
              <w:spacing w:before="0" w:beforeAutospacing="0" w:after="0" w:afterAutospacing="0"/>
              <w:ind w:left="57" w:right="57" w:firstLine="284"/>
              <w:jc w:val="both"/>
              <w:rPr>
                <w:b w:val="0"/>
                <w:sz w:val="24"/>
                <w:szCs w:val="24"/>
              </w:rPr>
            </w:pPr>
            <w:r w:rsidRPr="00002452">
              <w:rPr>
                <w:b w:val="0"/>
                <w:sz w:val="24"/>
                <w:szCs w:val="24"/>
              </w:rPr>
              <w:t>Tā pat kā iepriekšējā plānošanas periodā p</w:t>
            </w:r>
            <w:r w:rsidR="0067596F" w:rsidRPr="00002452">
              <w:rPr>
                <w:b w:val="0"/>
                <w:sz w:val="24"/>
                <w:szCs w:val="24"/>
              </w:rPr>
              <w:t>rojektu iesniegumu atlase var būt:</w:t>
            </w:r>
          </w:p>
          <w:p w14:paraId="3932DCBA" w14:textId="41BC6231" w:rsidR="0067596F" w:rsidRPr="00002452" w:rsidRDefault="0067596F" w:rsidP="000C59C8">
            <w:pPr>
              <w:pStyle w:val="Heading3"/>
              <w:numPr>
                <w:ilvl w:val="0"/>
                <w:numId w:val="34"/>
              </w:numPr>
              <w:shd w:val="clear" w:color="auto" w:fill="FFFFFF"/>
              <w:spacing w:before="0" w:beforeAutospacing="0" w:after="0" w:afterAutospacing="0"/>
              <w:ind w:left="335" w:right="57" w:firstLine="5"/>
              <w:jc w:val="both"/>
              <w:rPr>
                <w:b w:val="0"/>
                <w:sz w:val="22"/>
                <w:szCs w:val="24"/>
              </w:rPr>
            </w:pPr>
            <w:r w:rsidRPr="00002452">
              <w:rPr>
                <w:b w:val="0"/>
                <w:sz w:val="24"/>
                <w:szCs w:val="28"/>
              </w:rPr>
              <w:lastRenderedPageBreak/>
              <w:t>atklāta – ja starp projektu iesniegumu iesniedzējiem notiek vienlīdzīga konkurence par projekta iesnieguma apstiprināšanu un fondu finansējuma piešķiršanu;</w:t>
            </w:r>
          </w:p>
          <w:p w14:paraId="730FBD7A" w14:textId="43FFB9D6" w:rsidR="0067596F" w:rsidRPr="00002452" w:rsidRDefault="0067596F" w:rsidP="000C59C8">
            <w:pPr>
              <w:pStyle w:val="Heading3"/>
              <w:numPr>
                <w:ilvl w:val="0"/>
                <w:numId w:val="34"/>
              </w:numPr>
              <w:shd w:val="clear" w:color="auto" w:fill="FFFFFF"/>
              <w:spacing w:before="0" w:beforeAutospacing="0" w:after="0" w:afterAutospacing="0"/>
              <w:ind w:left="335" w:right="57" w:firstLine="5"/>
              <w:jc w:val="both"/>
              <w:rPr>
                <w:b w:val="0"/>
                <w:sz w:val="20"/>
                <w:szCs w:val="24"/>
              </w:rPr>
            </w:pPr>
            <w:r w:rsidRPr="00002452">
              <w:rPr>
                <w:b w:val="0"/>
                <w:sz w:val="24"/>
                <w:szCs w:val="28"/>
              </w:rPr>
              <w:t xml:space="preserve">ierobežota – </w:t>
            </w:r>
            <w:r w:rsidR="001E544D" w:rsidRPr="001E544D">
              <w:rPr>
                <w:b w:val="0"/>
                <w:bCs w:val="0"/>
                <w:sz w:val="24"/>
                <w:szCs w:val="24"/>
              </w:rPr>
              <w:t>ja uzraudzības komitejā ir noteikts projekta iesniedzējs, kuru uzaicina iesniegt projekta iesniegumu.</w:t>
            </w:r>
            <w:r w:rsidRPr="00002452">
              <w:rPr>
                <w:b w:val="0"/>
                <w:sz w:val="24"/>
                <w:szCs w:val="28"/>
              </w:rPr>
              <w:t xml:space="preserve"> Šajā gadījumā apstiprina un finansē visus projektu iesniegumus, kuri atbilst projektu iesniegumu vērtēšanas kritērijiem.</w:t>
            </w:r>
          </w:p>
          <w:p w14:paraId="3CE34AC7" w14:textId="7DF939CD" w:rsidR="00AA1D6E" w:rsidRPr="00002452" w:rsidRDefault="00AA1D6E" w:rsidP="000C59C8">
            <w:pPr>
              <w:pStyle w:val="Heading3"/>
              <w:numPr>
                <w:ilvl w:val="0"/>
                <w:numId w:val="22"/>
              </w:numPr>
              <w:shd w:val="clear" w:color="auto" w:fill="FFFFFF"/>
              <w:spacing w:before="0" w:beforeAutospacing="0" w:after="120" w:afterAutospacing="0"/>
              <w:ind w:left="51" w:right="57" w:firstLine="258"/>
              <w:jc w:val="both"/>
              <w:rPr>
                <w:b w:val="0"/>
                <w:sz w:val="20"/>
                <w:szCs w:val="24"/>
              </w:rPr>
            </w:pPr>
            <w:r w:rsidRPr="00002452">
              <w:rPr>
                <w:b w:val="0"/>
                <w:sz w:val="24"/>
                <w:szCs w:val="24"/>
              </w:rPr>
              <w:t>Atbildīgā iestāde un deleģētā iestāde veiks projektu iesniegumu atlasi saskaņā ar uzraudzības komitejā apstiprinātiem vērtēšanas kritērijiem</w:t>
            </w:r>
            <w:r w:rsidR="009B77ED">
              <w:rPr>
                <w:b w:val="0"/>
                <w:sz w:val="24"/>
                <w:szCs w:val="24"/>
              </w:rPr>
              <w:t>.</w:t>
            </w:r>
            <w:r w:rsidR="003645D4" w:rsidRPr="00002452">
              <w:rPr>
                <w:b w:val="0"/>
                <w:sz w:val="24"/>
                <w:szCs w:val="24"/>
              </w:rPr>
              <w:t xml:space="preserve"> Atklāta projekti iesniegumu gadījumā uzraudzības komitejā tiks apstiprināts </w:t>
            </w:r>
            <w:r w:rsidRPr="00002452">
              <w:rPr>
                <w:b w:val="0"/>
                <w:sz w:val="24"/>
                <w:szCs w:val="24"/>
              </w:rPr>
              <w:t>atklātas projektu iesniegumu atlases nolikum</w:t>
            </w:r>
            <w:r w:rsidR="003645D4" w:rsidRPr="00002452">
              <w:rPr>
                <w:b w:val="0"/>
                <w:sz w:val="24"/>
                <w:szCs w:val="24"/>
              </w:rPr>
              <w:t>s</w:t>
            </w:r>
            <w:r w:rsidR="004C228E" w:rsidRPr="00002452">
              <w:rPr>
                <w:b w:val="0"/>
                <w:sz w:val="24"/>
                <w:szCs w:val="24"/>
              </w:rPr>
              <w:t>.</w:t>
            </w:r>
            <w:r w:rsidR="004C228E" w:rsidRPr="00002452">
              <w:rPr>
                <w:b w:val="0"/>
                <w:sz w:val="24"/>
                <w:szCs w:val="28"/>
              </w:rPr>
              <w:t xml:space="preserve"> Atklāta projektu iesniegumu atlase tiks izsludināta oficiālajā izdevumā „Latvijas Vēstnesis”, publicējot attiecīgu paziņojumu un norādi uz vietni, kurā publicēts projektu iesniegumu atlases nolikums. Projektu iesniegumu vērtēšanai atbildīgā iestāde un deleģētā iestāde izveido projektu iesniegumu vērtēšanas komisiju. Likumprojektā ir paredzēts, ka atbildīgās iestādes pārstāvis piedalī</w:t>
            </w:r>
            <w:r w:rsidR="001E544D">
              <w:rPr>
                <w:b w:val="0"/>
                <w:sz w:val="24"/>
                <w:szCs w:val="28"/>
              </w:rPr>
              <w:t>sies</w:t>
            </w:r>
            <w:r w:rsidR="004C228E" w:rsidRPr="00002452">
              <w:rPr>
                <w:b w:val="0"/>
                <w:sz w:val="24"/>
                <w:szCs w:val="28"/>
              </w:rPr>
              <w:t xml:space="preserve"> deleģētās iestādes projektu iesniegumu vērtēšanas komisijas sēdē novērotāja statusā.</w:t>
            </w:r>
          </w:p>
          <w:p w14:paraId="760C984B" w14:textId="6860EA5F" w:rsidR="00AE25A7" w:rsidRPr="00002452" w:rsidRDefault="00AE25A7" w:rsidP="000C59C8">
            <w:pPr>
              <w:pStyle w:val="Heading3"/>
              <w:numPr>
                <w:ilvl w:val="0"/>
                <w:numId w:val="22"/>
              </w:numPr>
              <w:shd w:val="clear" w:color="auto" w:fill="FFFFFF"/>
              <w:spacing w:before="0" w:beforeAutospacing="0" w:after="120" w:afterAutospacing="0"/>
              <w:ind w:left="51" w:right="57" w:firstLine="258"/>
              <w:jc w:val="both"/>
              <w:rPr>
                <w:b w:val="0"/>
                <w:sz w:val="20"/>
                <w:szCs w:val="24"/>
              </w:rPr>
            </w:pPr>
            <w:r w:rsidRPr="00002452">
              <w:rPr>
                <w:b w:val="0"/>
                <w:sz w:val="24"/>
                <w:szCs w:val="24"/>
              </w:rPr>
              <w:t>Likumprojektā iekļauti projektu iesniedzēju izslēgšanas noteikumi, t.i., ja atbildīgā iestāde vai deleģētā iestāde konstatē, ka tie attiecināmi uz projekta iesniedzēju, projekta iesniegumu noraida un neturpina izskatīt atbilstoši projektu iesniegumu vērtēšanas kritērijiem.</w:t>
            </w:r>
          </w:p>
          <w:p w14:paraId="4B6F712B" w14:textId="4D9D1726" w:rsidR="001A47A7" w:rsidRPr="00002452" w:rsidRDefault="001A47A7" w:rsidP="000C59C8">
            <w:pPr>
              <w:pStyle w:val="Heading3"/>
              <w:numPr>
                <w:ilvl w:val="0"/>
                <w:numId w:val="22"/>
              </w:numPr>
              <w:shd w:val="clear" w:color="auto" w:fill="FFFFFF"/>
              <w:spacing w:before="0" w:beforeAutospacing="0" w:after="120" w:afterAutospacing="0"/>
              <w:ind w:left="51" w:right="57" w:firstLine="283"/>
              <w:jc w:val="both"/>
              <w:rPr>
                <w:b w:val="0"/>
                <w:sz w:val="20"/>
                <w:szCs w:val="24"/>
              </w:rPr>
            </w:pPr>
            <w:r w:rsidRPr="00002452">
              <w:rPr>
                <w:b w:val="0"/>
                <w:sz w:val="24"/>
                <w:szCs w:val="24"/>
              </w:rPr>
              <w:t>Likumprojekta ceturtā nodaļa paredz skaidru kārtību, kādā risināmi strīdi par projekta īstenošanu, nošķirot gadījumus, kad finansējuma saņēmējs ir juridiska persona (23.pants) no gadījumiem, kad finansējuma saņēmējs ir tiešās vai pastarpinātās valsts pārvaldes iestāde, atvasināta publiska persona vai cita valsts iestāde (24.pants).</w:t>
            </w:r>
            <w:r w:rsidR="007442EC" w:rsidRPr="00002452">
              <w:rPr>
                <w:b w:val="0"/>
                <w:sz w:val="24"/>
                <w:szCs w:val="24"/>
              </w:rPr>
              <w:t xml:space="preserve"> Deleģētās iestādes pieņemtos lēmumus varēs apstrīdēt atbildīgajā iestādē, kuras pienākums būs izvērtēt finansējuma saņēmēja iesniegumu un viena mēneša (objektīvu iemeslu dēļ, jo termiņu ir iespējams pagarināt, par to paziņojot projekta iesniedzējam) laikā no iesnieguma saņemšanas pieņemt vienu no šādiem lēmumiem:</w:t>
            </w:r>
          </w:p>
          <w:p w14:paraId="02790D63" w14:textId="77777777" w:rsidR="007442EC" w:rsidRPr="00002452" w:rsidRDefault="007442EC" w:rsidP="000C59C8">
            <w:pPr>
              <w:pStyle w:val="naisf"/>
              <w:spacing w:before="0" w:beforeAutospacing="0" w:after="0" w:afterAutospacing="0"/>
              <w:ind w:left="477" w:hanging="143"/>
              <w:jc w:val="both"/>
              <w:rPr>
                <w:bCs/>
                <w:color w:val="000000" w:themeColor="text1"/>
              </w:rPr>
            </w:pPr>
            <w:r w:rsidRPr="00002452">
              <w:t xml:space="preserve">1) </w:t>
            </w:r>
            <w:r w:rsidRPr="00002452">
              <w:rPr>
                <w:bCs/>
                <w:color w:val="000000" w:themeColor="text1"/>
              </w:rPr>
              <w:t>atstāt deleģētās iestādes lēmumu negrozītu;</w:t>
            </w:r>
          </w:p>
          <w:p w14:paraId="79034117" w14:textId="77777777" w:rsidR="007442EC" w:rsidRPr="00002452" w:rsidRDefault="007442EC" w:rsidP="000C59C8">
            <w:pPr>
              <w:pStyle w:val="naisf"/>
              <w:spacing w:before="0" w:beforeAutospacing="0" w:after="0" w:afterAutospacing="0"/>
              <w:ind w:left="477" w:hanging="143"/>
              <w:jc w:val="both"/>
              <w:rPr>
                <w:bCs/>
                <w:color w:val="000000" w:themeColor="text1"/>
              </w:rPr>
            </w:pPr>
            <w:r w:rsidRPr="00002452">
              <w:rPr>
                <w:bCs/>
                <w:color w:val="000000" w:themeColor="text1"/>
              </w:rPr>
              <w:t xml:space="preserve"> 2) atcelt deleģētās iestādes lēmumu pilnībā vai kādā daļā un, ja nepieciešams, uzdot deleģētai iestādei izskatīt finansējuma saņēmēja iebildumus atkārtoti, ņemot vērā atbildīgās iestādes norādījumus;</w:t>
            </w:r>
          </w:p>
          <w:p w14:paraId="0CE4FD0E" w14:textId="77777777" w:rsidR="007442EC" w:rsidRPr="00002452" w:rsidRDefault="007442EC" w:rsidP="00985D5C">
            <w:pPr>
              <w:pStyle w:val="naisf"/>
              <w:spacing w:before="0" w:beforeAutospacing="0" w:after="0" w:afterAutospacing="0"/>
              <w:ind w:left="477" w:hanging="142"/>
              <w:jc w:val="both"/>
              <w:rPr>
                <w:bCs/>
              </w:rPr>
            </w:pPr>
            <w:r w:rsidRPr="00002452">
              <w:rPr>
                <w:bCs/>
              </w:rPr>
              <w:t xml:space="preserve"> 3) izdot satura ziņā citādu lēmumu.</w:t>
            </w:r>
          </w:p>
          <w:p w14:paraId="1E8DFDCD" w14:textId="01AE4EB2" w:rsidR="007442EC" w:rsidRPr="00016D80" w:rsidRDefault="00016D80" w:rsidP="000C59C8">
            <w:pPr>
              <w:pStyle w:val="Heading3"/>
              <w:shd w:val="clear" w:color="auto" w:fill="FFFFFF"/>
              <w:spacing w:before="0" w:beforeAutospacing="0" w:after="120" w:afterAutospacing="0"/>
              <w:ind w:left="51" w:right="57"/>
              <w:jc w:val="both"/>
              <w:rPr>
                <w:b w:val="0"/>
                <w:sz w:val="20"/>
                <w:szCs w:val="24"/>
              </w:rPr>
            </w:pPr>
            <w:r>
              <w:rPr>
                <w:b w:val="0"/>
                <w:color w:val="000000"/>
                <w:sz w:val="24"/>
                <w:szCs w:val="28"/>
              </w:rPr>
              <w:t xml:space="preserve">Tāpat šajā pantā ir paredzēts, </w:t>
            </w:r>
            <w:r w:rsidR="003C2FE7" w:rsidRPr="003C2FE7">
              <w:rPr>
                <w:b w:val="0"/>
                <w:bCs w:val="0"/>
                <w:sz w:val="24"/>
                <w:szCs w:val="24"/>
              </w:rPr>
              <w:t xml:space="preserve">ja finansējuma saņēmējam, kurš ir tiešās vai pastarpinātās pārvaldes iestāde, atvasināta publiska persona vai cita valsts iestāde, vienošanās par projekta īstenošanu izpildes gaitā rodas domstarpības par atbildīgās iestādes vienošanās ietvaros pieņemot lēmumu par piešķirto finanšu līdzekļu izmaksāšanu, izmaksāšanas </w:t>
            </w:r>
            <w:r w:rsidR="003C2FE7" w:rsidRPr="003C2FE7">
              <w:rPr>
                <w:b w:val="0"/>
                <w:bCs w:val="0"/>
                <w:sz w:val="24"/>
                <w:szCs w:val="24"/>
              </w:rPr>
              <w:lastRenderedPageBreak/>
              <w:t>turpināšanu vai citu lēmumu, puses situāciju risina savstarpēji vienojoties.</w:t>
            </w:r>
          </w:p>
          <w:p w14:paraId="7C9B5F95" w14:textId="5C27B5BF" w:rsidR="00C36BF0" w:rsidRPr="00002452" w:rsidRDefault="00101434" w:rsidP="000C59C8">
            <w:pPr>
              <w:pStyle w:val="Heading3"/>
              <w:numPr>
                <w:ilvl w:val="0"/>
                <w:numId w:val="22"/>
              </w:numPr>
              <w:shd w:val="clear" w:color="auto" w:fill="FFFFFF"/>
              <w:spacing w:before="0" w:beforeAutospacing="0" w:after="120" w:afterAutospacing="0"/>
              <w:ind w:left="51" w:right="57" w:firstLine="283"/>
              <w:jc w:val="both"/>
              <w:rPr>
                <w:b w:val="0"/>
                <w:sz w:val="24"/>
                <w:szCs w:val="24"/>
              </w:rPr>
            </w:pPr>
            <w:r w:rsidRPr="00002452">
              <w:rPr>
                <w:b w:val="0"/>
                <w:sz w:val="24"/>
                <w:szCs w:val="24"/>
              </w:rPr>
              <w:t>Likumprojekta piektā nodaļa (nobeiguma noteikumi)</w:t>
            </w:r>
            <w:r w:rsidR="00EE34E7" w:rsidRPr="00002452">
              <w:rPr>
                <w:b w:val="0"/>
                <w:sz w:val="24"/>
                <w:szCs w:val="24"/>
              </w:rPr>
              <w:t xml:space="preserve"> paredz, ka tiesības iepazīties ar projekta izvērtēšanas materiāliem (2</w:t>
            </w:r>
            <w:r w:rsidR="003835DC">
              <w:rPr>
                <w:b w:val="0"/>
                <w:sz w:val="24"/>
                <w:szCs w:val="24"/>
              </w:rPr>
              <w:t>6</w:t>
            </w:r>
            <w:r w:rsidR="00EE34E7" w:rsidRPr="00002452">
              <w:rPr>
                <w:b w:val="0"/>
                <w:sz w:val="24"/>
                <w:szCs w:val="24"/>
              </w:rPr>
              <w:t xml:space="preserve">.pants) projekta iesniedzējam, tā pat kā ES fondu vadības likumā bija paredzēts, ir </w:t>
            </w:r>
            <w:r w:rsidRPr="00002452">
              <w:rPr>
                <w:b w:val="0"/>
                <w:sz w:val="24"/>
                <w:szCs w:val="24"/>
              </w:rPr>
              <w:t xml:space="preserve"> </w:t>
            </w:r>
            <w:r w:rsidR="00EE34E7" w:rsidRPr="00002452">
              <w:rPr>
                <w:b w:val="0"/>
                <w:sz w:val="24"/>
                <w:szCs w:val="24"/>
              </w:rPr>
              <w:t xml:space="preserve">tikai pēc tam, kad pieņemts lēmums par projekta iesnieguma apstiprināšanu. Atbildīgā iestāde vai deleģētā iestāde pieprasīto informāciju sniedz 10 darbadienu laikā pēc pieprasījuma saņemšanas vai piecu darba dienu laikā pēc pieprasījuma saņemšanas uzaicina projekta iesniedzēju iestādei un iesniedzējam abpusēji pieņemamā laikā </w:t>
            </w:r>
            <w:r w:rsidR="001D6A1F" w:rsidRPr="00002452">
              <w:rPr>
                <w:b w:val="0"/>
                <w:sz w:val="24"/>
                <w:szCs w:val="24"/>
              </w:rPr>
              <w:t>iestādē iepazīties ar pieprasīto informāciju.</w:t>
            </w:r>
          </w:p>
          <w:p w14:paraId="5EDF1DA6" w14:textId="60937782" w:rsidR="00F3363B" w:rsidRPr="00002452" w:rsidRDefault="00F16AAA" w:rsidP="00985D5C">
            <w:pPr>
              <w:pStyle w:val="Heading3"/>
              <w:numPr>
                <w:ilvl w:val="0"/>
                <w:numId w:val="22"/>
              </w:numPr>
              <w:shd w:val="clear" w:color="auto" w:fill="FFFFFF"/>
              <w:spacing w:before="0" w:beforeAutospacing="0" w:after="0" w:afterAutospacing="0"/>
              <w:ind w:left="0" w:right="25" w:firstLine="333"/>
              <w:jc w:val="both"/>
              <w:rPr>
                <w:b w:val="0"/>
                <w:sz w:val="24"/>
                <w:szCs w:val="24"/>
              </w:rPr>
            </w:pPr>
            <w:r w:rsidRPr="00002452">
              <w:rPr>
                <w:b w:val="0"/>
                <w:sz w:val="24"/>
                <w:szCs w:val="24"/>
              </w:rPr>
              <w:t xml:space="preserve">Tāpat kā </w:t>
            </w:r>
            <w:r w:rsidR="004C7BD2" w:rsidRPr="00002452">
              <w:rPr>
                <w:b w:val="0"/>
                <w:sz w:val="24"/>
                <w:szCs w:val="24"/>
              </w:rPr>
              <w:t xml:space="preserve">iekšlietu jomas </w:t>
            </w:r>
            <w:r w:rsidRPr="00002452">
              <w:rPr>
                <w:b w:val="0"/>
                <w:sz w:val="24"/>
                <w:szCs w:val="24"/>
              </w:rPr>
              <w:t>ES fondu</w:t>
            </w:r>
            <w:r w:rsidR="00AA015C" w:rsidRPr="00002452">
              <w:rPr>
                <w:b w:val="0"/>
                <w:sz w:val="24"/>
                <w:szCs w:val="24"/>
              </w:rPr>
              <w:t xml:space="preserve"> vadības likuma 15.panta otrajā</w:t>
            </w:r>
            <w:r w:rsidR="001114BA" w:rsidRPr="00002452">
              <w:rPr>
                <w:b w:val="0"/>
                <w:sz w:val="24"/>
                <w:szCs w:val="24"/>
              </w:rPr>
              <w:t xml:space="preserve"> daļā, arī likumprojekta 18.panta trešajā</w:t>
            </w:r>
            <w:r w:rsidRPr="00002452">
              <w:rPr>
                <w:b w:val="0"/>
                <w:sz w:val="24"/>
                <w:szCs w:val="24"/>
              </w:rPr>
              <w:t xml:space="preserve"> daļā un </w:t>
            </w:r>
            <w:r w:rsidR="001114BA" w:rsidRPr="00002452">
              <w:rPr>
                <w:b w:val="0"/>
                <w:sz w:val="24"/>
                <w:szCs w:val="24"/>
              </w:rPr>
              <w:t>19</w:t>
            </w:r>
            <w:r w:rsidRPr="00002452">
              <w:rPr>
                <w:b w:val="0"/>
                <w:sz w:val="24"/>
                <w:szCs w:val="24"/>
              </w:rPr>
              <w:t xml:space="preserve">.panta ceturtajā daļā paredzēts, ka </w:t>
            </w:r>
            <w:r w:rsidR="00D63FCC" w:rsidRPr="00002452">
              <w:rPr>
                <w:b w:val="0"/>
                <w:sz w:val="24"/>
                <w:szCs w:val="24"/>
              </w:rPr>
              <w:t>atbildīgā iestāde un deleģētā iestāde</w:t>
            </w:r>
            <w:r w:rsidRPr="00002452">
              <w:rPr>
                <w:b w:val="0"/>
                <w:sz w:val="24"/>
                <w:szCs w:val="24"/>
              </w:rPr>
              <w:t xml:space="preserve"> var pieņemt lēmumu par projekta iesnieguma apstiprināšanu ar nosacījumu, ja</w:t>
            </w:r>
            <w:r w:rsidRPr="00002452">
              <w:rPr>
                <w:b w:val="0"/>
                <w:sz w:val="28"/>
                <w:szCs w:val="28"/>
              </w:rPr>
              <w:t xml:space="preserve"> </w:t>
            </w:r>
            <w:r w:rsidRPr="00002452">
              <w:rPr>
                <w:b w:val="0"/>
                <w:sz w:val="24"/>
                <w:szCs w:val="28"/>
              </w:rPr>
              <w:t xml:space="preserve">projekta iesniedzējam jāveic </w:t>
            </w:r>
            <w:r w:rsidR="00D63FCC" w:rsidRPr="00002452">
              <w:rPr>
                <w:b w:val="0"/>
                <w:sz w:val="24"/>
                <w:szCs w:val="28"/>
              </w:rPr>
              <w:t>atbildīgās iestādes vai deleģētās iestādes</w:t>
            </w:r>
            <w:r w:rsidRPr="00002452">
              <w:rPr>
                <w:b w:val="0"/>
                <w:sz w:val="24"/>
                <w:szCs w:val="28"/>
              </w:rPr>
              <w:t xml:space="preserve"> noteiktās darbības, lai projekta iesniegums pilnībā atbilstu projektu iesniegumu vērtēšanas kritērijiem un projektu varētu atbilstoši īstenot. Tas attiecas uz gadījumiem, kad projekta iesniegumā konstatētas nebūtiskas neprecizitātes un nebūtu samērīgi projekta iesniegumu noraidīt. </w:t>
            </w:r>
            <w:r w:rsidRPr="00002452">
              <w:rPr>
                <w:b w:val="0"/>
              </w:rPr>
              <w:t xml:space="preserve"> </w:t>
            </w:r>
            <w:r w:rsidRPr="00002452">
              <w:rPr>
                <w:b w:val="0"/>
                <w:sz w:val="24"/>
              </w:rPr>
              <w:t xml:space="preserve">Projekta iesniegums pēc būtības mainītos, ja tajā tiktu iekļautas papildu atbalstāmās darbības un papildu izmaksas vai gluži pretēji – svītrotas, ja iesniegtais projekta iesniegums vispār neatbilst </w:t>
            </w:r>
            <w:r w:rsidR="00A74881" w:rsidRPr="00002452">
              <w:rPr>
                <w:b w:val="0"/>
                <w:sz w:val="24"/>
              </w:rPr>
              <w:t>mērķim</w:t>
            </w:r>
            <w:r w:rsidRPr="00002452">
              <w:rPr>
                <w:b w:val="0"/>
                <w:sz w:val="24"/>
              </w:rPr>
              <w:t>. Piemēram,</w:t>
            </w:r>
            <w:r w:rsidR="00A74881" w:rsidRPr="00002452">
              <w:rPr>
                <w:b w:val="0"/>
                <w:sz w:val="24"/>
              </w:rPr>
              <w:t xml:space="preserve"> plānoti ieguldījumi robežu </w:t>
            </w:r>
            <w:r w:rsidRPr="00002452">
              <w:rPr>
                <w:b w:val="0"/>
                <w:sz w:val="24"/>
              </w:rPr>
              <w:t>infrastruktūrā, projekta</w:t>
            </w:r>
            <w:r w:rsidR="00A74881" w:rsidRPr="00002452">
              <w:rPr>
                <w:b w:val="0"/>
                <w:sz w:val="24"/>
              </w:rPr>
              <w:t xml:space="preserve"> iesniegumā paredzot </w:t>
            </w:r>
            <w:r w:rsidR="00793799">
              <w:rPr>
                <w:b w:val="0"/>
                <w:sz w:val="24"/>
              </w:rPr>
              <w:t xml:space="preserve">jūras videonovērošanas </w:t>
            </w:r>
            <w:r w:rsidR="00911011">
              <w:rPr>
                <w:b w:val="0"/>
                <w:sz w:val="24"/>
              </w:rPr>
              <w:t>sistēmas</w:t>
            </w:r>
            <w:r w:rsidR="00911011" w:rsidRPr="00002452">
              <w:rPr>
                <w:b w:val="0"/>
                <w:sz w:val="24"/>
              </w:rPr>
              <w:t xml:space="preserve"> </w:t>
            </w:r>
            <w:r w:rsidR="003E7D9B" w:rsidRPr="00002452">
              <w:rPr>
                <w:b w:val="0"/>
                <w:sz w:val="24"/>
              </w:rPr>
              <w:t>dienas/nakts tuvdarbības kameru iegādi</w:t>
            </w:r>
            <w:r w:rsidRPr="00002452">
              <w:rPr>
                <w:b w:val="0"/>
                <w:sz w:val="24"/>
              </w:rPr>
              <w:t xml:space="preserve">, tomēr, precizējot projektu, finansējuma lielākā daļa tiek novirzīta </w:t>
            </w:r>
            <w:r w:rsidR="003E7D9B" w:rsidRPr="00002452">
              <w:rPr>
                <w:b w:val="0"/>
                <w:sz w:val="24"/>
              </w:rPr>
              <w:t>robežpārbaudes tehnisko līdzekļu iegādei</w:t>
            </w:r>
            <w:r w:rsidRPr="00002452">
              <w:rPr>
                <w:b w:val="0"/>
                <w:sz w:val="24"/>
              </w:rPr>
              <w:t>.  Savukārt precizējumi, kas nemaina būtību, ir, piemēram, aritmētisko kļūd</w:t>
            </w:r>
            <w:r w:rsidR="003E7D9B" w:rsidRPr="00002452">
              <w:rPr>
                <w:b w:val="0"/>
                <w:sz w:val="24"/>
              </w:rPr>
              <w:t xml:space="preserve">u precizējumi, </w:t>
            </w:r>
            <w:r w:rsidRPr="00002452">
              <w:rPr>
                <w:b w:val="0"/>
                <w:sz w:val="24"/>
              </w:rPr>
              <w:t>noteikta satura dokumentu iesniegšana</w:t>
            </w:r>
            <w:r w:rsidR="003E7D9B" w:rsidRPr="00002452">
              <w:rPr>
                <w:b w:val="0"/>
                <w:sz w:val="24"/>
              </w:rPr>
              <w:t xml:space="preserve">. </w:t>
            </w:r>
          </w:p>
        </w:tc>
      </w:tr>
      <w:tr w:rsidR="00DA6C86" w:rsidRPr="005C14E6" w14:paraId="5EDF1DAB" w14:textId="77777777" w:rsidTr="00981AE9">
        <w:trPr>
          <w:trHeight w:val="476"/>
        </w:trPr>
        <w:tc>
          <w:tcPr>
            <w:tcW w:w="208" w:type="pct"/>
          </w:tcPr>
          <w:p w14:paraId="5EDF1DA8" w14:textId="14733359" w:rsidR="00DA6C86" w:rsidRPr="005C14E6" w:rsidRDefault="00DA6C86" w:rsidP="00176CB2">
            <w:pPr>
              <w:pStyle w:val="naiskr"/>
              <w:spacing w:before="0" w:beforeAutospacing="0" w:after="0" w:afterAutospacing="0"/>
              <w:ind w:right="57"/>
              <w:jc w:val="center"/>
            </w:pPr>
            <w:r w:rsidRPr="005C14E6">
              <w:lastRenderedPageBreak/>
              <w:t>3.</w:t>
            </w:r>
          </w:p>
        </w:tc>
        <w:tc>
          <w:tcPr>
            <w:tcW w:w="1676" w:type="pct"/>
          </w:tcPr>
          <w:p w14:paraId="5EDF1DA9" w14:textId="77777777" w:rsidR="00DA6C86" w:rsidRPr="005C14E6" w:rsidRDefault="00DA6C86" w:rsidP="00F57E68">
            <w:pPr>
              <w:pStyle w:val="naiskr"/>
              <w:spacing w:before="0" w:beforeAutospacing="0" w:after="0" w:afterAutospacing="0"/>
              <w:ind w:left="57" w:right="57"/>
            </w:pPr>
            <w:r w:rsidRPr="005C14E6">
              <w:t>Projekta izstrādē iesaistītās institūcijas</w:t>
            </w:r>
          </w:p>
        </w:tc>
        <w:tc>
          <w:tcPr>
            <w:tcW w:w="3116" w:type="pct"/>
          </w:tcPr>
          <w:p w14:paraId="5EDF1DAA" w14:textId="15518FF7" w:rsidR="00DA6C86" w:rsidRPr="005C14E6" w:rsidRDefault="00955C2F" w:rsidP="0099587C">
            <w:pPr>
              <w:spacing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Iekšlietu ministrija, Kultūras ministrija un Finanšu ministrija.</w:t>
            </w:r>
          </w:p>
        </w:tc>
      </w:tr>
      <w:tr w:rsidR="00DA6C86" w:rsidRPr="005C14E6" w14:paraId="5EDF1DB0" w14:textId="77777777" w:rsidTr="00981AE9">
        <w:trPr>
          <w:trHeight w:val="581"/>
        </w:trPr>
        <w:tc>
          <w:tcPr>
            <w:tcW w:w="208" w:type="pct"/>
          </w:tcPr>
          <w:p w14:paraId="5EDF1DAC" w14:textId="77777777" w:rsidR="00DA6C86" w:rsidRPr="005C14E6" w:rsidRDefault="00DA6C86" w:rsidP="00176CB2">
            <w:pPr>
              <w:pStyle w:val="naiskr"/>
              <w:spacing w:before="0" w:beforeAutospacing="0" w:after="0" w:afterAutospacing="0"/>
              <w:ind w:right="57"/>
              <w:jc w:val="center"/>
            </w:pPr>
            <w:r w:rsidRPr="005C14E6">
              <w:t>4.</w:t>
            </w:r>
          </w:p>
        </w:tc>
        <w:tc>
          <w:tcPr>
            <w:tcW w:w="1676" w:type="pct"/>
          </w:tcPr>
          <w:p w14:paraId="5EDF1DAD" w14:textId="77777777" w:rsidR="00DA6C86" w:rsidRPr="005C14E6" w:rsidRDefault="00DA6C86" w:rsidP="00F57E68">
            <w:pPr>
              <w:pStyle w:val="naiskr"/>
              <w:spacing w:before="0" w:beforeAutospacing="0" w:after="0" w:afterAutospacing="0"/>
              <w:ind w:left="57" w:right="57"/>
            </w:pPr>
            <w:r w:rsidRPr="005C14E6">
              <w:t>Cita informācija</w:t>
            </w:r>
          </w:p>
        </w:tc>
        <w:tc>
          <w:tcPr>
            <w:tcW w:w="3116" w:type="pct"/>
          </w:tcPr>
          <w:p w14:paraId="5EDF1DAF" w14:textId="47C94749" w:rsidR="00E74E50" w:rsidRPr="005C14E6" w:rsidRDefault="001F0072" w:rsidP="00F57E68">
            <w:pPr>
              <w:pStyle w:val="naiskr"/>
              <w:spacing w:before="0" w:beforeAutospacing="0" w:after="0" w:afterAutospacing="0"/>
              <w:ind w:left="57" w:right="57"/>
            </w:pPr>
            <w:r w:rsidRPr="005C14E6">
              <w:t>Nav.</w:t>
            </w:r>
          </w:p>
        </w:tc>
      </w:tr>
    </w:tbl>
    <w:p w14:paraId="79882BB9" w14:textId="77777777" w:rsidR="00694976" w:rsidRPr="005C14E6" w:rsidRDefault="00694976" w:rsidP="00171D36">
      <w:pPr>
        <w:spacing w:after="0" w:line="240" w:lineRule="auto"/>
        <w:rPr>
          <w:rFonts w:ascii="Times New Roman" w:hAnsi="Times New Roman" w:cs="Times New Roman"/>
          <w:sz w:val="24"/>
          <w:szCs w:val="24"/>
        </w:rPr>
      </w:pPr>
    </w:p>
    <w:p w14:paraId="49C95A62" w14:textId="77777777" w:rsidR="00F56EA8" w:rsidRPr="005C14E6" w:rsidRDefault="00F56EA8" w:rsidP="00171D36">
      <w:pPr>
        <w:spacing w:after="0" w:line="240" w:lineRule="auto"/>
        <w:rPr>
          <w:rFonts w:ascii="Times New Roman" w:hAnsi="Times New Roman" w:cs="Times New Roman"/>
          <w:sz w:val="24"/>
          <w:szCs w:val="24"/>
        </w:rPr>
      </w:pPr>
    </w:p>
    <w:tbl>
      <w:tblPr>
        <w:tblStyle w:val="TableGrid"/>
        <w:tblW w:w="9463" w:type="dxa"/>
        <w:tblInd w:w="-396" w:type="dxa"/>
        <w:tblLook w:val="04A0" w:firstRow="1" w:lastRow="0" w:firstColumn="1" w:lastColumn="0" w:noHBand="0" w:noVBand="1"/>
      </w:tblPr>
      <w:tblGrid>
        <w:gridCol w:w="426"/>
        <w:gridCol w:w="3119"/>
        <w:gridCol w:w="5918"/>
      </w:tblGrid>
      <w:tr w:rsidR="00900304" w:rsidRPr="005C14E6" w14:paraId="7401C358" w14:textId="77777777" w:rsidTr="00981AE9">
        <w:tc>
          <w:tcPr>
            <w:tcW w:w="9463" w:type="dxa"/>
            <w:gridSpan w:val="3"/>
            <w:tcBorders>
              <w:top w:val="nil"/>
              <w:left w:val="nil"/>
              <w:bottom w:val="single" w:sz="4" w:space="0" w:color="auto"/>
              <w:right w:val="nil"/>
            </w:tcBorders>
          </w:tcPr>
          <w:p w14:paraId="2ACF7680" w14:textId="77777777" w:rsidR="00900304" w:rsidRPr="005C14E6" w:rsidRDefault="00900304" w:rsidP="00900304">
            <w:pPr>
              <w:ind w:right="57"/>
              <w:rPr>
                <w:rFonts w:ascii="Times New Roman" w:eastAsia="Times New Roman" w:hAnsi="Times New Roman" w:cs="Times New Roman"/>
                <w:b/>
                <w:sz w:val="24"/>
                <w:szCs w:val="24"/>
              </w:rPr>
            </w:pPr>
          </w:p>
        </w:tc>
      </w:tr>
      <w:tr w:rsidR="00900304" w:rsidRPr="005C14E6" w14:paraId="73F9F620" w14:textId="77777777" w:rsidTr="00981AE9">
        <w:tc>
          <w:tcPr>
            <w:tcW w:w="9463" w:type="dxa"/>
            <w:gridSpan w:val="3"/>
            <w:tcBorders>
              <w:top w:val="single" w:sz="4" w:space="0" w:color="auto"/>
            </w:tcBorders>
          </w:tcPr>
          <w:p w14:paraId="077B01FE" w14:textId="77777777" w:rsidR="00900304" w:rsidRPr="005C14E6" w:rsidRDefault="00900304" w:rsidP="00C171CB">
            <w:pPr>
              <w:ind w:right="57"/>
              <w:jc w:val="center"/>
              <w:rPr>
                <w:rFonts w:ascii="Times New Roman" w:eastAsia="Times New Roman" w:hAnsi="Times New Roman" w:cs="Times New Roman"/>
                <w:b/>
                <w:sz w:val="24"/>
                <w:szCs w:val="24"/>
              </w:rPr>
            </w:pPr>
            <w:r w:rsidRPr="005C14E6">
              <w:rPr>
                <w:rFonts w:ascii="Times New Roman" w:eastAsia="Times New Roman" w:hAnsi="Times New Roman" w:cs="Times New Roman"/>
                <w:b/>
                <w:sz w:val="24"/>
                <w:szCs w:val="24"/>
              </w:rPr>
              <w:t>II. Tiesību akta projekta ietekme uz sabiedrību, tautsaimniecības attīstību</w:t>
            </w:r>
          </w:p>
          <w:p w14:paraId="15082180" w14:textId="77777777" w:rsidR="00900304" w:rsidRPr="005C14E6" w:rsidRDefault="00900304" w:rsidP="00C171CB">
            <w:pPr>
              <w:jc w:val="center"/>
              <w:rPr>
                <w:rFonts w:ascii="Times New Roman" w:hAnsi="Times New Roman" w:cs="Times New Roman"/>
                <w:sz w:val="24"/>
                <w:szCs w:val="24"/>
              </w:rPr>
            </w:pPr>
            <w:r w:rsidRPr="005C14E6">
              <w:rPr>
                <w:rFonts w:ascii="Times New Roman" w:eastAsia="Times New Roman" w:hAnsi="Times New Roman" w:cs="Times New Roman"/>
                <w:b/>
                <w:sz w:val="24"/>
                <w:szCs w:val="24"/>
              </w:rPr>
              <w:t>un administratīvo slogu</w:t>
            </w:r>
          </w:p>
        </w:tc>
      </w:tr>
      <w:tr w:rsidR="00F56EA8" w:rsidRPr="005C14E6" w14:paraId="7AD61D21" w14:textId="77777777" w:rsidTr="00981AE9">
        <w:tc>
          <w:tcPr>
            <w:tcW w:w="426" w:type="dxa"/>
          </w:tcPr>
          <w:p w14:paraId="4DD6A230" w14:textId="03C8F735"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1.</w:t>
            </w:r>
          </w:p>
        </w:tc>
        <w:tc>
          <w:tcPr>
            <w:tcW w:w="3119" w:type="dxa"/>
          </w:tcPr>
          <w:p w14:paraId="3E18FADB" w14:textId="4FC06340"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Sabiedrības mērķgrupas, kuras tiesiskais regulējums ietekmē vai varētu ietekmēt</w:t>
            </w:r>
          </w:p>
        </w:tc>
        <w:tc>
          <w:tcPr>
            <w:tcW w:w="5918" w:type="dxa"/>
          </w:tcPr>
          <w:p w14:paraId="5F5C8138" w14:textId="2EF1FA06" w:rsidR="00F56EA8" w:rsidRPr="005C14E6" w:rsidRDefault="00F56EA8" w:rsidP="009F4532">
            <w:pPr>
              <w:ind w:left="57" w:right="57"/>
              <w:jc w:val="both"/>
              <w:rPr>
                <w:rFonts w:ascii="Times New Roman" w:hAnsi="Times New Roman" w:cs="Times New Roman"/>
                <w:sz w:val="24"/>
                <w:szCs w:val="24"/>
              </w:rPr>
            </w:pPr>
            <w:r w:rsidRPr="005C14E6">
              <w:rPr>
                <w:rFonts w:ascii="Times New Roman" w:hAnsi="Times New Roman" w:cs="Times New Roman"/>
                <w:sz w:val="24"/>
                <w:szCs w:val="24"/>
              </w:rPr>
              <w:t>Potenciālie ES fondu finansējuma saņēmēji, to sadarbības partneri</w:t>
            </w:r>
            <w:r w:rsidR="009A4614">
              <w:rPr>
                <w:rFonts w:ascii="Times New Roman" w:hAnsi="Times New Roman" w:cs="Times New Roman"/>
                <w:sz w:val="24"/>
                <w:szCs w:val="24"/>
              </w:rPr>
              <w:t>.</w:t>
            </w:r>
            <w:r w:rsidRPr="005C14E6">
              <w:rPr>
                <w:rFonts w:ascii="Times New Roman" w:hAnsi="Times New Roman" w:cs="Times New Roman"/>
                <w:sz w:val="24"/>
                <w:szCs w:val="24"/>
              </w:rPr>
              <w:t xml:space="preserve"> </w:t>
            </w:r>
          </w:p>
        </w:tc>
      </w:tr>
      <w:tr w:rsidR="00F56EA8" w:rsidRPr="005C14E6" w14:paraId="1FC65FAB" w14:textId="77777777" w:rsidTr="00981AE9">
        <w:tc>
          <w:tcPr>
            <w:tcW w:w="426" w:type="dxa"/>
          </w:tcPr>
          <w:p w14:paraId="03286863" w14:textId="4CFF368F"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2.</w:t>
            </w:r>
          </w:p>
        </w:tc>
        <w:tc>
          <w:tcPr>
            <w:tcW w:w="3119" w:type="dxa"/>
          </w:tcPr>
          <w:p w14:paraId="403958EF" w14:textId="75DCEBC8"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Tiesiskā regulējuma ietekme uz tautsaimniecību un administratīvo slogu</w:t>
            </w:r>
          </w:p>
        </w:tc>
        <w:tc>
          <w:tcPr>
            <w:tcW w:w="5918" w:type="dxa"/>
          </w:tcPr>
          <w:p w14:paraId="7F328D24" w14:textId="5DD00258" w:rsidR="00774AB1" w:rsidRPr="00523EA5" w:rsidRDefault="00774AB1" w:rsidP="00774AB1">
            <w:pPr>
              <w:shd w:val="clear" w:color="auto" w:fill="FFFFFF"/>
              <w:jc w:val="both"/>
            </w:pPr>
            <w:r w:rsidRPr="00774AB1">
              <w:rPr>
                <w:rFonts w:ascii="Times New Roman" w:hAnsi="Times New Roman" w:cs="Times New Roman"/>
                <w:sz w:val="24"/>
              </w:rPr>
              <w:t xml:space="preserve">Ņemot vērā plānotās ES fondu investīcijas </w:t>
            </w:r>
            <w:r w:rsidR="0080116B">
              <w:rPr>
                <w:rFonts w:ascii="Times New Roman" w:hAnsi="Times New Roman" w:cs="Times New Roman"/>
                <w:sz w:val="24"/>
              </w:rPr>
              <w:t> 46 214 912</w:t>
            </w:r>
            <w:r w:rsidRPr="00774AB1">
              <w:rPr>
                <w:rFonts w:ascii="Times New Roman" w:hAnsi="Times New Roman" w:cs="Times New Roman"/>
                <w:sz w:val="24"/>
              </w:rPr>
              <w:t xml:space="preserve"> </w:t>
            </w:r>
            <w:r w:rsidRPr="00774AB1">
              <w:rPr>
                <w:rFonts w:ascii="Times New Roman" w:hAnsi="Times New Roman" w:cs="Times New Roman"/>
                <w:i/>
                <w:sz w:val="24"/>
              </w:rPr>
              <w:t>euro</w:t>
            </w:r>
            <w:r w:rsidRPr="00774AB1">
              <w:rPr>
                <w:rFonts w:ascii="Times New Roman" w:hAnsi="Times New Roman" w:cs="Times New Roman"/>
                <w:sz w:val="24"/>
              </w:rPr>
              <w:t xml:space="preserve"> apmērā laika posmā no 2014. līdz 2020.gadam, tiesiskais regulējums pozitīvi ietekmēs tādas jomas kā Eiropas kopējā patvēruma sistēma, integrāciju un legālo migrāciju, </w:t>
            </w:r>
            <w:r w:rsidRPr="00774AB1">
              <w:rPr>
                <w:rFonts w:ascii="Times New Roman" w:hAnsi="Times New Roman" w:cs="Times New Roman"/>
                <w:sz w:val="24"/>
              </w:rPr>
              <w:lastRenderedPageBreak/>
              <w:t>nelegālo imigrantu atgriešanu, robežu un vīzu pārvaldību, valsts iekšējo drošību un civilo aizsardzību</w:t>
            </w:r>
            <w:r w:rsidRPr="00523EA5">
              <w:t>.</w:t>
            </w:r>
          </w:p>
          <w:p w14:paraId="0DF92319" w14:textId="77777777" w:rsidR="00774AB1" w:rsidRPr="000C59C8" w:rsidRDefault="00774AB1" w:rsidP="008E441B">
            <w:pPr>
              <w:shd w:val="clear" w:color="auto" w:fill="FFFFFF"/>
              <w:jc w:val="both"/>
              <w:rPr>
                <w:rFonts w:ascii="Times New Roman" w:hAnsi="Times New Roman" w:cs="Times New Roman"/>
                <w:sz w:val="8"/>
                <w:szCs w:val="24"/>
              </w:rPr>
            </w:pPr>
          </w:p>
          <w:p w14:paraId="25F72890" w14:textId="120D04D8" w:rsidR="004D0BC1" w:rsidRPr="004D0BC1" w:rsidRDefault="004D0BC1" w:rsidP="004D0BC1">
            <w:pPr>
              <w:shd w:val="clear" w:color="auto" w:fill="FFFFFF"/>
              <w:jc w:val="both"/>
              <w:rPr>
                <w:rFonts w:ascii="Times New Roman" w:hAnsi="Times New Roman" w:cs="Times New Roman"/>
                <w:sz w:val="24"/>
              </w:rPr>
            </w:pPr>
            <w:r w:rsidRPr="004D0BC1">
              <w:rPr>
                <w:rFonts w:ascii="Times New Roman" w:hAnsi="Times New Roman" w:cs="Times New Roman"/>
                <w:sz w:val="24"/>
              </w:rPr>
              <w:t xml:space="preserve">Salīdzinājumā ar 2007.-2013.gada finanšu perioda fondu </w:t>
            </w:r>
            <w:r w:rsidR="00D76BFB">
              <w:rPr>
                <w:rFonts w:ascii="Times New Roman" w:hAnsi="Times New Roman" w:cs="Times New Roman"/>
                <w:sz w:val="24"/>
              </w:rPr>
              <w:t>īstenošanu</w:t>
            </w:r>
            <w:r w:rsidRPr="004D0BC1">
              <w:rPr>
                <w:rFonts w:ascii="Times New Roman" w:hAnsi="Times New Roman" w:cs="Times New Roman"/>
                <w:sz w:val="24"/>
              </w:rPr>
              <w:t>, jaunā perioda fondu īstenošanas institucionālajā sistēmā ir paredzētas vairākas izmaiņas. Ņemot vērā Eiropas Komisijas plānotos administratīvā sloga samazināšanas pasākumus attiecībā uz jaunā perioda fondu īstenošanu, jaunajā periodā ir paredzēta vienas atbildīgās iestādes noteikšana un nav jānosaka sertificēšanas un maksājumu iestāde. Šīm izmaiņām nav būtiskas ietekmes uz 2007.-2013.gadā izveidoto fondu īstenošanas sistēmu.</w:t>
            </w:r>
          </w:p>
          <w:p w14:paraId="7315A0CA" w14:textId="1268DB3E" w:rsidR="00F56EA8" w:rsidRPr="005C14E6" w:rsidRDefault="004D0BC1" w:rsidP="004D0BC1">
            <w:pPr>
              <w:shd w:val="clear" w:color="auto" w:fill="FFFFFF"/>
              <w:jc w:val="both"/>
              <w:rPr>
                <w:rFonts w:ascii="Times New Roman" w:hAnsi="Times New Roman" w:cs="Times New Roman"/>
                <w:sz w:val="24"/>
                <w:szCs w:val="24"/>
              </w:rPr>
            </w:pPr>
            <w:r>
              <w:rPr>
                <w:rFonts w:ascii="Times New Roman" w:hAnsi="Times New Roman" w:cs="Times New Roman"/>
                <w:sz w:val="24"/>
                <w:szCs w:val="24"/>
              </w:rPr>
              <w:t>Likumprojektā tiek precīzi noteikti atbildīgās iestādes, deleģētās iestādēs un revīzijas iestādes pienākumi, tā panākot funkciju nedublēšanos starp fondu vadībā iesaistītajām iestādēm.</w:t>
            </w:r>
          </w:p>
        </w:tc>
      </w:tr>
      <w:tr w:rsidR="00F56EA8" w:rsidRPr="005C14E6" w14:paraId="5905BFFD" w14:textId="77777777" w:rsidTr="00981AE9">
        <w:tc>
          <w:tcPr>
            <w:tcW w:w="426" w:type="dxa"/>
          </w:tcPr>
          <w:p w14:paraId="664A2215" w14:textId="37304FEA"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lastRenderedPageBreak/>
              <w:t>3.</w:t>
            </w:r>
          </w:p>
        </w:tc>
        <w:tc>
          <w:tcPr>
            <w:tcW w:w="3119" w:type="dxa"/>
          </w:tcPr>
          <w:p w14:paraId="450A6322" w14:textId="537691EF"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Administratīvo izmaksu monetārs novērtējums</w:t>
            </w:r>
          </w:p>
        </w:tc>
        <w:tc>
          <w:tcPr>
            <w:tcW w:w="5918" w:type="dxa"/>
          </w:tcPr>
          <w:p w14:paraId="10154794" w14:textId="0FF6CEFA" w:rsidR="00F56EA8" w:rsidRDefault="004D0BC1" w:rsidP="007C6BA7">
            <w:pPr>
              <w:jc w:val="both"/>
              <w:rPr>
                <w:rFonts w:ascii="Times New Roman" w:hAnsi="Times New Roman" w:cs="Times New Roman"/>
                <w:color w:val="000000"/>
                <w:sz w:val="24"/>
              </w:rPr>
            </w:pPr>
            <w:r w:rsidRPr="004D0BC1">
              <w:rPr>
                <w:rFonts w:ascii="Times New Roman" w:hAnsi="Times New Roman" w:cs="Times New Roman"/>
                <w:color w:val="000000"/>
                <w:sz w:val="24"/>
              </w:rPr>
              <w:t>ES fondu sistēmas vadībai tiek novirzīti 4 079 50</w:t>
            </w:r>
            <w:r w:rsidR="00B334CD">
              <w:rPr>
                <w:rFonts w:ascii="Times New Roman" w:hAnsi="Times New Roman" w:cs="Times New Roman"/>
                <w:color w:val="000000"/>
                <w:sz w:val="24"/>
              </w:rPr>
              <w:t>5</w:t>
            </w:r>
            <w:r w:rsidRPr="004D0BC1">
              <w:rPr>
                <w:rFonts w:ascii="Times New Roman" w:hAnsi="Times New Roman" w:cs="Times New Roman"/>
                <w:color w:val="000000"/>
                <w:sz w:val="24"/>
              </w:rPr>
              <w:t xml:space="preserve">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Attiecībā uz Patvēruma, migrācijas un integrācijas fonda administrēšanu </w:t>
            </w:r>
            <w:r w:rsidR="00F5675C">
              <w:rPr>
                <w:rFonts w:ascii="Times New Roman" w:hAnsi="Times New Roman" w:cs="Times New Roman"/>
                <w:color w:val="000000"/>
                <w:sz w:val="24"/>
              </w:rPr>
              <w:t xml:space="preserve">saskaņā ar Regulas </w:t>
            </w:r>
            <w:r w:rsidR="004A46D0">
              <w:rPr>
                <w:rFonts w:ascii="Times New Roman" w:hAnsi="Times New Roman" w:cs="Times New Roman"/>
                <w:color w:val="000000"/>
                <w:sz w:val="24"/>
              </w:rPr>
              <w:t>Nr.</w:t>
            </w:r>
            <w:r w:rsidR="00F5675C">
              <w:rPr>
                <w:rFonts w:ascii="Times New Roman" w:hAnsi="Times New Roman" w:cs="Times New Roman"/>
                <w:color w:val="000000"/>
                <w:sz w:val="24"/>
              </w:rPr>
              <w:t xml:space="preserve">516/2014 23.pantu </w:t>
            </w:r>
            <w:r w:rsidRPr="004D0BC1">
              <w:rPr>
                <w:rFonts w:ascii="Times New Roman" w:hAnsi="Times New Roman" w:cs="Times New Roman"/>
                <w:color w:val="000000"/>
                <w:sz w:val="24"/>
              </w:rPr>
              <w:t xml:space="preserve">tiek pieņemts, ka 5,5% no ES fondu piešķīruma + 1 000 000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tiek novirzīti ES fondu sistēmas vadībai (1 756 348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Attiecībā uz Iekšējā drošības fonda (robežas/vīzas) administrēšanu </w:t>
            </w:r>
            <w:r w:rsidR="00F5675C">
              <w:rPr>
                <w:rFonts w:ascii="Times New Roman" w:hAnsi="Times New Roman" w:cs="Times New Roman"/>
                <w:color w:val="000000"/>
                <w:sz w:val="24"/>
              </w:rPr>
              <w:t xml:space="preserve">saskaņā ar Regulas </w:t>
            </w:r>
            <w:r w:rsidR="004A46D0">
              <w:rPr>
                <w:rFonts w:ascii="Times New Roman" w:hAnsi="Times New Roman" w:cs="Times New Roman"/>
                <w:color w:val="000000"/>
                <w:sz w:val="24"/>
              </w:rPr>
              <w:t>Nr.</w:t>
            </w:r>
            <w:r w:rsidR="00F5675C">
              <w:rPr>
                <w:rFonts w:ascii="Times New Roman" w:hAnsi="Times New Roman" w:cs="Times New Roman"/>
                <w:color w:val="000000"/>
                <w:sz w:val="24"/>
              </w:rPr>
              <w:t xml:space="preserve">515/2014 </w:t>
            </w:r>
            <w:r w:rsidR="000F25BF">
              <w:rPr>
                <w:rFonts w:ascii="Times New Roman" w:hAnsi="Times New Roman" w:cs="Times New Roman"/>
                <w:color w:val="000000"/>
                <w:sz w:val="24"/>
              </w:rPr>
              <w:t xml:space="preserve">16.pantu </w:t>
            </w:r>
            <w:r w:rsidRPr="004D0BC1">
              <w:rPr>
                <w:rFonts w:ascii="Times New Roman" w:hAnsi="Times New Roman" w:cs="Times New Roman"/>
                <w:color w:val="000000"/>
                <w:sz w:val="24"/>
              </w:rPr>
              <w:t xml:space="preserve">tiek pieņemts, ka 5% no ES fondu piešķīruma + 500 000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(1 276 085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tiek novirzīti ES fondu sistēmas vadībai, bet Iekšējā drošības fonda (policijas sadarbība) </w:t>
            </w:r>
            <w:r w:rsidR="000F25BF">
              <w:rPr>
                <w:rFonts w:ascii="Times New Roman" w:hAnsi="Times New Roman" w:cs="Times New Roman"/>
                <w:color w:val="000000"/>
                <w:sz w:val="24"/>
              </w:rPr>
              <w:t>saskaņā ar Regulas</w:t>
            </w:r>
            <w:r w:rsidR="004A46D0">
              <w:rPr>
                <w:rFonts w:ascii="Times New Roman" w:hAnsi="Times New Roman" w:cs="Times New Roman"/>
                <w:color w:val="000000"/>
                <w:sz w:val="24"/>
              </w:rPr>
              <w:t xml:space="preserve"> Nr.</w:t>
            </w:r>
            <w:r w:rsidR="000F25BF">
              <w:rPr>
                <w:rFonts w:ascii="Times New Roman" w:hAnsi="Times New Roman" w:cs="Times New Roman"/>
                <w:color w:val="000000"/>
                <w:sz w:val="24"/>
              </w:rPr>
              <w:t xml:space="preserve">513/2014 9.pantu tiek pieņemts, ka </w:t>
            </w:r>
            <w:r w:rsidRPr="004D0BC1">
              <w:rPr>
                <w:rFonts w:ascii="Times New Roman" w:hAnsi="Times New Roman" w:cs="Times New Roman"/>
                <w:color w:val="000000"/>
                <w:sz w:val="24"/>
              </w:rPr>
              <w:t xml:space="preserve">5% no ES fondu piešķīruma + 200 000 </w:t>
            </w:r>
            <w:r w:rsidRPr="004D0BC1">
              <w:rPr>
                <w:rFonts w:ascii="Times New Roman" w:hAnsi="Times New Roman" w:cs="Times New Roman"/>
                <w:i/>
                <w:color w:val="000000"/>
                <w:sz w:val="24"/>
              </w:rPr>
              <w:t>euro</w:t>
            </w:r>
            <w:r w:rsidRPr="004D0BC1">
              <w:rPr>
                <w:rFonts w:ascii="Times New Roman" w:hAnsi="Times New Roman" w:cs="Times New Roman"/>
                <w:color w:val="000000"/>
                <w:sz w:val="24"/>
              </w:rPr>
              <w:t xml:space="preserve"> </w:t>
            </w:r>
            <w:r w:rsidR="000F25BF">
              <w:rPr>
                <w:rFonts w:ascii="Times New Roman" w:hAnsi="Times New Roman" w:cs="Times New Roman"/>
                <w:color w:val="000000"/>
                <w:sz w:val="24"/>
              </w:rPr>
              <w:t xml:space="preserve"> tiek novirzīti </w:t>
            </w:r>
            <w:r w:rsidR="007C6BA7">
              <w:rPr>
                <w:rFonts w:ascii="Times New Roman" w:hAnsi="Times New Roman" w:cs="Times New Roman"/>
                <w:color w:val="000000"/>
                <w:sz w:val="24"/>
              </w:rPr>
              <w:t xml:space="preserve">ES fondu sistēmas vadībai </w:t>
            </w:r>
            <w:r w:rsidR="007C6BA7" w:rsidRPr="004D0BC1">
              <w:rPr>
                <w:rFonts w:ascii="Times New Roman" w:hAnsi="Times New Roman" w:cs="Times New Roman"/>
                <w:color w:val="000000"/>
                <w:sz w:val="24"/>
              </w:rPr>
              <w:t xml:space="preserve">(1 047 072 </w:t>
            </w:r>
            <w:r w:rsidR="007C6BA7" w:rsidRPr="004D0BC1">
              <w:rPr>
                <w:rFonts w:ascii="Times New Roman" w:hAnsi="Times New Roman" w:cs="Times New Roman"/>
                <w:i/>
                <w:color w:val="000000"/>
                <w:sz w:val="24"/>
              </w:rPr>
              <w:t>euro</w:t>
            </w:r>
            <w:r w:rsidR="007C6BA7" w:rsidRPr="004D0BC1">
              <w:rPr>
                <w:rFonts w:ascii="Times New Roman" w:hAnsi="Times New Roman" w:cs="Times New Roman"/>
                <w:color w:val="000000"/>
                <w:sz w:val="24"/>
              </w:rPr>
              <w:t>)</w:t>
            </w:r>
            <w:r w:rsidR="007C6BA7">
              <w:rPr>
                <w:rFonts w:ascii="Times New Roman" w:hAnsi="Times New Roman" w:cs="Times New Roman"/>
                <w:color w:val="000000"/>
                <w:sz w:val="24"/>
              </w:rPr>
              <w:t xml:space="preserve">. </w:t>
            </w:r>
          </w:p>
          <w:p w14:paraId="3A89F195" w14:textId="3D375DC6" w:rsidR="007C6BA7" w:rsidRPr="004D0BC1" w:rsidRDefault="007C6BA7" w:rsidP="007C6BA7">
            <w:pPr>
              <w:jc w:val="both"/>
              <w:rPr>
                <w:rFonts w:ascii="Times New Roman" w:hAnsi="Times New Roman" w:cs="Times New Roman"/>
                <w:sz w:val="24"/>
                <w:szCs w:val="24"/>
              </w:rPr>
            </w:pPr>
          </w:p>
        </w:tc>
      </w:tr>
      <w:tr w:rsidR="00F56EA8" w:rsidRPr="005C14E6" w14:paraId="735418E3" w14:textId="77777777" w:rsidTr="00981AE9">
        <w:tc>
          <w:tcPr>
            <w:tcW w:w="426" w:type="dxa"/>
          </w:tcPr>
          <w:p w14:paraId="4CA3251A" w14:textId="1B67B9A8"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4.</w:t>
            </w:r>
          </w:p>
        </w:tc>
        <w:tc>
          <w:tcPr>
            <w:tcW w:w="3119" w:type="dxa"/>
          </w:tcPr>
          <w:p w14:paraId="29D32845" w14:textId="016B5283" w:rsidR="00F56EA8" w:rsidRPr="005C14E6" w:rsidRDefault="00F56EA8" w:rsidP="00F56EA8">
            <w:pPr>
              <w:rPr>
                <w:rFonts w:ascii="Times New Roman" w:hAnsi="Times New Roman" w:cs="Times New Roman"/>
                <w:sz w:val="24"/>
                <w:szCs w:val="24"/>
              </w:rPr>
            </w:pPr>
            <w:r w:rsidRPr="005C14E6">
              <w:rPr>
                <w:rFonts w:ascii="Times New Roman" w:eastAsia="Times New Roman" w:hAnsi="Times New Roman" w:cs="Times New Roman"/>
                <w:sz w:val="24"/>
                <w:szCs w:val="24"/>
              </w:rPr>
              <w:t>Cita informācija</w:t>
            </w:r>
          </w:p>
        </w:tc>
        <w:tc>
          <w:tcPr>
            <w:tcW w:w="5918" w:type="dxa"/>
          </w:tcPr>
          <w:p w14:paraId="24BCA008" w14:textId="0D4922D1" w:rsidR="00F56EA8" w:rsidRPr="005C14E6" w:rsidRDefault="00F56EA8" w:rsidP="00F56EA8">
            <w:pPr>
              <w:rPr>
                <w:rFonts w:ascii="Times New Roman" w:hAnsi="Times New Roman" w:cs="Times New Roman"/>
                <w:sz w:val="24"/>
                <w:szCs w:val="24"/>
              </w:rPr>
            </w:pPr>
            <w:r w:rsidRPr="005C14E6">
              <w:rPr>
                <w:rFonts w:ascii="Times New Roman" w:hAnsi="Times New Roman" w:cs="Times New Roman"/>
                <w:sz w:val="24"/>
                <w:szCs w:val="24"/>
              </w:rPr>
              <w:t>Nav</w:t>
            </w:r>
          </w:p>
        </w:tc>
      </w:tr>
    </w:tbl>
    <w:p w14:paraId="0EA57CA1" w14:textId="77777777" w:rsidR="00F56EA8" w:rsidRPr="005C14E6" w:rsidRDefault="00F56EA8" w:rsidP="00171D36">
      <w:pPr>
        <w:spacing w:after="0" w:line="240" w:lineRule="auto"/>
        <w:rPr>
          <w:rFonts w:ascii="Times New Roman" w:hAnsi="Times New Roman" w:cs="Times New Roman"/>
          <w:sz w:val="24"/>
          <w:szCs w:val="24"/>
        </w:rPr>
      </w:pPr>
    </w:p>
    <w:p w14:paraId="42D264F4" w14:textId="77777777" w:rsidR="003A4318" w:rsidRPr="005C14E6" w:rsidRDefault="003A4318" w:rsidP="00171D36">
      <w:pPr>
        <w:spacing w:after="0" w:line="240" w:lineRule="auto"/>
        <w:rPr>
          <w:rFonts w:ascii="Times New Roman" w:hAnsi="Times New Roman" w:cs="Times New Roman"/>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63"/>
        <w:gridCol w:w="1418"/>
        <w:gridCol w:w="1347"/>
        <w:gridCol w:w="1275"/>
        <w:gridCol w:w="1347"/>
      </w:tblGrid>
      <w:tr w:rsidR="005C14E6" w:rsidRPr="005C14E6" w14:paraId="423E52F4" w14:textId="77777777" w:rsidTr="00726BC5">
        <w:trPr>
          <w:trHeight w:val="361"/>
          <w:jc w:val="center"/>
        </w:trPr>
        <w:tc>
          <w:tcPr>
            <w:tcW w:w="9285" w:type="dxa"/>
            <w:gridSpan w:val="6"/>
            <w:vAlign w:val="center"/>
          </w:tcPr>
          <w:p w14:paraId="20F06ACF" w14:textId="77777777" w:rsidR="005C14E6" w:rsidRPr="005C14E6" w:rsidRDefault="005C14E6" w:rsidP="00726BC5">
            <w:pPr>
              <w:pStyle w:val="naisnod"/>
              <w:spacing w:before="0" w:beforeAutospacing="0" w:after="0" w:afterAutospacing="0"/>
              <w:jc w:val="center"/>
              <w:rPr>
                <w:b/>
                <w:i/>
              </w:rPr>
            </w:pPr>
            <w:r w:rsidRPr="005C14E6">
              <w:br w:type="page"/>
            </w:r>
            <w:r w:rsidRPr="005C14E6">
              <w:rPr>
                <w:b/>
              </w:rPr>
              <w:t>III. Tiesību akta projekta ietekme uz valsts budžetu un pašvaldību budžetiem</w:t>
            </w:r>
          </w:p>
        </w:tc>
      </w:tr>
      <w:tr w:rsidR="005C14E6" w:rsidRPr="005C14E6" w14:paraId="0671445E" w14:textId="77777777" w:rsidTr="00726BC5">
        <w:trPr>
          <w:jc w:val="center"/>
        </w:trPr>
        <w:tc>
          <w:tcPr>
            <w:tcW w:w="2835" w:type="dxa"/>
            <w:vMerge w:val="restart"/>
            <w:vAlign w:val="center"/>
          </w:tcPr>
          <w:p w14:paraId="6C01269E" w14:textId="77777777" w:rsidR="005C14E6" w:rsidRPr="005C14E6" w:rsidRDefault="005C14E6" w:rsidP="00726BC5">
            <w:pPr>
              <w:pStyle w:val="naisf"/>
              <w:spacing w:before="0" w:after="0"/>
              <w:jc w:val="center"/>
              <w:rPr>
                <w:b/>
              </w:rPr>
            </w:pPr>
            <w:r w:rsidRPr="005C14E6">
              <w:rPr>
                <w:b/>
              </w:rPr>
              <w:t>Rādītāji</w:t>
            </w:r>
          </w:p>
        </w:tc>
        <w:tc>
          <w:tcPr>
            <w:tcW w:w="2481" w:type="dxa"/>
            <w:gridSpan w:val="2"/>
            <w:vMerge w:val="restart"/>
            <w:vAlign w:val="center"/>
          </w:tcPr>
          <w:p w14:paraId="03335C49" w14:textId="145CAFFD" w:rsidR="005C14E6" w:rsidRPr="005C14E6" w:rsidRDefault="005C14E6" w:rsidP="00726BC5">
            <w:pPr>
              <w:pStyle w:val="naisf"/>
              <w:spacing w:before="0" w:after="0"/>
              <w:jc w:val="center"/>
              <w:rPr>
                <w:b/>
              </w:rPr>
            </w:pPr>
            <w:r w:rsidRPr="005C14E6">
              <w:rPr>
                <w:b/>
              </w:rPr>
              <w:t>201</w:t>
            </w:r>
            <w:r w:rsidR="00B334CD">
              <w:rPr>
                <w:b/>
              </w:rPr>
              <w:t>5</w:t>
            </w:r>
            <w:r w:rsidRPr="005C14E6">
              <w:rPr>
                <w:b/>
              </w:rPr>
              <w:t>.gads</w:t>
            </w:r>
          </w:p>
        </w:tc>
        <w:tc>
          <w:tcPr>
            <w:tcW w:w="3969" w:type="dxa"/>
            <w:gridSpan w:val="3"/>
            <w:vAlign w:val="center"/>
          </w:tcPr>
          <w:p w14:paraId="64680AC0" w14:textId="77777777" w:rsidR="005C14E6" w:rsidRPr="005C14E6" w:rsidRDefault="005C14E6" w:rsidP="00726BC5">
            <w:pPr>
              <w:pStyle w:val="naisf"/>
              <w:spacing w:before="0" w:after="0"/>
              <w:jc w:val="center"/>
              <w:rPr>
                <w:b/>
                <w:i/>
              </w:rPr>
            </w:pPr>
            <w:r w:rsidRPr="005C14E6">
              <w:t>Turpmākie trīs gadi (</w:t>
            </w:r>
            <w:r w:rsidRPr="005C14E6">
              <w:rPr>
                <w:i/>
              </w:rPr>
              <w:t>euro</w:t>
            </w:r>
            <w:r w:rsidRPr="005C14E6">
              <w:t>)</w:t>
            </w:r>
          </w:p>
        </w:tc>
      </w:tr>
      <w:tr w:rsidR="005C14E6" w:rsidRPr="005C14E6" w14:paraId="564221FC" w14:textId="77777777" w:rsidTr="00726BC5">
        <w:trPr>
          <w:jc w:val="center"/>
        </w:trPr>
        <w:tc>
          <w:tcPr>
            <w:tcW w:w="2835" w:type="dxa"/>
            <w:vMerge/>
            <w:vAlign w:val="center"/>
          </w:tcPr>
          <w:p w14:paraId="425881BF" w14:textId="77777777" w:rsidR="005C14E6" w:rsidRPr="005C14E6" w:rsidRDefault="005C14E6" w:rsidP="00726BC5">
            <w:pPr>
              <w:pStyle w:val="naisf"/>
              <w:spacing w:before="0" w:after="0"/>
              <w:jc w:val="center"/>
              <w:rPr>
                <w:b/>
                <w:i/>
              </w:rPr>
            </w:pPr>
          </w:p>
        </w:tc>
        <w:tc>
          <w:tcPr>
            <w:tcW w:w="2481" w:type="dxa"/>
            <w:gridSpan w:val="2"/>
            <w:vMerge/>
            <w:vAlign w:val="center"/>
          </w:tcPr>
          <w:p w14:paraId="58764DAF" w14:textId="77777777" w:rsidR="005C14E6" w:rsidRPr="005C14E6" w:rsidRDefault="005C14E6" w:rsidP="00726BC5">
            <w:pPr>
              <w:pStyle w:val="naisf"/>
              <w:spacing w:before="0" w:after="0"/>
              <w:jc w:val="center"/>
              <w:rPr>
                <w:b/>
                <w:i/>
              </w:rPr>
            </w:pPr>
          </w:p>
        </w:tc>
        <w:tc>
          <w:tcPr>
            <w:tcW w:w="1347" w:type="dxa"/>
            <w:vAlign w:val="center"/>
          </w:tcPr>
          <w:p w14:paraId="4D8F0F7C" w14:textId="42D836C1" w:rsidR="005C14E6" w:rsidRPr="005C14E6" w:rsidRDefault="005C14E6" w:rsidP="00726BC5">
            <w:pPr>
              <w:pStyle w:val="naisf"/>
              <w:spacing w:before="0" w:after="0"/>
              <w:ind w:firstLine="34"/>
              <w:jc w:val="center"/>
              <w:rPr>
                <w:b/>
                <w:i/>
              </w:rPr>
            </w:pPr>
            <w:r w:rsidRPr="005C14E6">
              <w:rPr>
                <w:b/>
                <w:bCs/>
              </w:rPr>
              <w:t>201</w:t>
            </w:r>
            <w:r w:rsidR="00B334CD">
              <w:rPr>
                <w:b/>
                <w:bCs/>
              </w:rPr>
              <w:t>6</w:t>
            </w:r>
            <w:r w:rsidRPr="005C14E6">
              <w:rPr>
                <w:b/>
                <w:bCs/>
              </w:rPr>
              <w:t>.gads</w:t>
            </w:r>
          </w:p>
        </w:tc>
        <w:tc>
          <w:tcPr>
            <w:tcW w:w="1275" w:type="dxa"/>
            <w:vAlign w:val="center"/>
          </w:tcPr>
          <w:p w14:paraId="0451EAE2" w14:textId="7BB96CA4" w:rsidR="005C14E6" w:rsidRPr="005C14E6" w:rsidRDefault="005C14E6" w:rsidP="00726BC5">
            <w:pPr>
              <w:pStyle w:val="naisf"/>
              <w:spacing w:before="0" w:after="0"/>
              <w:jc w:val="center"/>
              <w:rPr>
                <w:b/>
                <w:i/>
              </w:rPr>
            </w:pPr>
            <w:r w:rsidRPr="005C14E6">
              <w:rPr>
                <w:b/>
                <w:bCs/>
              </w:rPr>
              <w:t>201</w:t>
            </w:r>
            <w:r w:rsidR="00B334CD">
              <w:rPr>
                <w:b/>
                <w:bCs/>
              </w:rPr>
              <w:t>7</w:t>
            </w:r>
            <w:r w:rsidRPr="005C14E6">
              <w:rPr>
                <w:b/>
                <w:bCs/>
              </w:rPr>
              <w:t>.gads</w:t>
            </w:r>
          </w:p>
        </w:tc>
        <w:tc>
          <w:tcPr>
            <w:tcW w:w="1347" w:type="dxa"/>
            <w:vAlign w:val="center"/>
          </w:tcPr>
          <w:p w14:paraId="55AC839E" w14:textId="1389CA50" w:rsidR="005C14E6" w:rsidRPr="005C14E6" w:rsidRDefault="005C14E6" w:rsidP="00726BC5">
            <w:pPr>
              <w:pStyle w:val="naisf"/>
              <w:spacing w:before="0" w:after="0"/>
              <w:ind w:hanging="108"/>
              <w:jc w:val="center"/>
              <w:rPr>
                <w:b/>
                <w:i/>
              </w:rPr>
            </w:pPr>
            <w:r w:rsidRPr="005C14E6">
              <w:rPr>
                <w:b/>
                <w:bCs/>
              </w:rPr>
              <w:t>201</w:t>
            </w:r>
            <w:r w:rsidR="00B334CD">
              <w:rPr>
                <w:b/>
                <w:bCs/>
              </w:rPr>
              <w:t>8</w:t>
            </w:r>
            <w:r w:rsidRPr="005C14E6">
              <w:rPr>
                <w:b/>
                <w:bCs/>
              </w:rPr>
              <w:t>.gads</w:t>
            </w:r>
          </w:p>
        </w:tc>
      </w:tr>
      <w:tr w:rsidR="005C14E6" w:rsidRPr="005C14E6" w14:paraId="614141A3" w14:textId="77777777" w:rsidTr="00726BC5">
        <w:trPr>
          <w:jc w:val="center"/>
        </w:trPr>
        <w:tc>
          <w:tcPr>
            <w:tcW w:w="2835" w:type="dxa"/>
            <w:vMerge/>
            <w:vAlign w:val="center"/>
          </w:tcPr>
          <w:p w14:paraId="421E955E" w14:textId="77777777" w:rsidR="005C14E6" w:rsidRPr="005C14E6" w:rsidRDefault="005C14E6" w:rsidP="00726BC5">
            <w:pPr>
              <w:pStyle w:val="naisf"/>
              <w:spacing w:before="0" w:after="0"/>
              <w:jc w:val="center"/>
              <w:rPr>
                <w:b/>
                <w:i/>
              </w:rPr>
            </w:pPr>
          </w:p>
        </w:tc>
        <w:tc>
          <w:tcPr>
            <w:tcW w:w="1063" w:type="dxa"/>
            <w:vAlign w:val="center"/>
          </w:tcPr>
          <w:p w14:paraId="2A55024E" w14:textId="77777777" w:rsidR="005C14E6" w:rsidRPr="005C14E6" w:rsidRDefault="005C14E6" w:rsidP="00726BC5">
            <w:pPr>
              <w:pStyle w:val="naisf"/>
              <w:spacing w:before="0" w:after="0"/>
              <w:ind w:firstLine="34"/>
              <w:jc w:val="center"/>
              <w:rPr>
                <w:b/>
                <w:i/>
              </w:rPr>
            </w:pPr>
            <w:r w:rsidRPr="005C14E6">
              <w:t>saskaņā ar valsts budžetu kārtējam gadam</w:t>
            </w:r>
          </w:p>
        </w:tc>
        <w:tc>
          <w:tcPr>
            <w:tcW w:w="1418" w:type="dxa"/>
            <w:vAlign w:val="center"/>
          </w:tcPr>
          <w:p w14:paraId="1A4624EF" w14:textId="77777777" w:rsidR="005C14E6" w:rsidRPr="005C14E6" w:rsidRDefault="005C14E6" w:rsidP="00726BC5">
            <w:pPr>
              <w:pStyle w:val="naisf"/>
              <w:spacing w:before="0" w:after="0"/>
              <w:ind w:firstLine="34"/>
              <w:jc w:val="center"/>
              <w:rPr>
                <w:b/>
                <w:i/>
              </w:rPr>
            </w:pPr>
            <w:r w:rsidRPr="005C14E6">
              <w:t>izmaiņas kārtējā gadā, salīdzinot ar budžetu kārtējam gadam</w:t>
            </w:r>
          </w:p>
        </w:tc>
        <w:tc>
          <w:tcPr>
            <w:tcW w:w="1347" w:type="dxa"/>
            <w:vAlign w:val="center"/>
          </w:tcPr>
          <w:p w14:paraId="100399F4" w14:textId="77777777" w:rsidR="005C14E6" w:rsidRPr="005C14E6" w:rsidRDefault="005C14E6" w:rsidP="00726BC5">
            <w:pPr>
              <w:pStyle w:val="naisf"/>
              <w:spacing w:before="0" w:after="0"/>
              <w:ind w:firstLine="34"/>
              <w:jc w:val="center"/>
              <w:rPr>
                <w:b/>
                <w:i/>
              </w:rPr>
            </w:pPr>
            <w:r w:rsidRPr="005C14E6">
              <w:t>izmaiņas, salīdzinot ar kārtējo (n) gadu</w:t>
            </w:r>
          </w:p>
        </w:tc>
        <w:tc>
          <w:tcPr>
            <w:tcW w:w="1275" w:type="dxa"/>
            <w:vAlign w:val="center"/>
          </w:tcPr>
          <w:p w14:paraId="7535D0CC" w14:textId="77777777" w:rsidR="005C14E6" w:rsidRPr="005C14E6" w:rsidRDefault="005C14E6" w:rsidP="00726BC5">
            <w:pPr>
              <w:pStyle w:val="naisf"/>
              <w:spacing w:before="0" w:after="0"/>
              <w:ind w:firstLine="33"/>
              <w:jc w:val="center"/>
              <w:rPr>
                <w:b/>
                <w:i/>
              </w:rPr>
            </w:pPr>
            <w:r w:rsidRPr="005C14E6">
              <w:t>izmaiņas, salīdzinot ar kārtējo (n) gadu</w:t>
            </w:r>
          </w:p>
        </w:tc>
        <w:tc>
          <w:tcPr>
            <w:tcW w:w="1347" w:type="dxa"/>
            <w:vAlign w:val="center"/>
          </w:tcPr>
          <w:p w14:paraId="2C9813ED" w14:textId="77777777" w:rsidR="005C14E6" w:rsidRPr="005C14E6" w:rsidRDefault="005C14E6" w:rsidP="00726BC5">
            <w:pPr>
              <w:pStyle w:val="naisf"/>
              <w:spacing w:before="0" w:after="0"/>
              <w:ind w:firstLine="34"/>
              <w:jc w:val="center"/>
              <w:rPr>
                <w:b/>
                <w:i/>
              </w:rPr>
            </w:pPr>
            <w:r w:rsidRPr="005C14E6">
              <w:t>izmaiņas, salīdzinot ar kārtējo (n) gadu</w:t>
            </w:r>
          </w:p>
        </w:tc>
      </w:tr>
      <w:tr w:rsidR="005C14E6" w:rsidRPr="005C14E6" w14:paraId="79DF2C79" w14:textId="77777777" w:rsidTr="00726BC5">
        <w:trPr>
          <w:jc w:val="center"/>
        </w:trPr>
        <w:tc>
          <w:tcPr>
            <w:tcW w:w="2835" w:type="dxa"/>
            <w:vAlign w:val="center"/>
          </w:tcPr>
          <w:p w14:paraId="1F80028D" w14:textId="77777777" w:rsidR="005C14E6" w:rsidRPr="005C14E6" w:rsidRDefault="005C14E6" w:rsidP="00726BC5">
            <w:pPr>
              <w:pStyle w:val="naisf"/>
              <w:spacing w:before="0" w:after="0"/>
              <w:jc w:val="center"/>
              <w:rPr>
                <w:bCs/>
                <w:sz w:val="20"/>
                <w:szCs w:val="20"/>
              </w:rPr>
            </w:pPr>
            <w:r w:rsidRPr="005C14E6">
              <w:rPr>
                <w:bCs/>
                <w:sz w:val="20"/>
                <w:szCs w:val="20"/>
              </w:rPr>
              <w:t>1</w:t>
            </w:r>
          </w:p>
        </w:tc>
        <w:tc>
          <w:tcPr>
            <w:tcW w:w="1063" w:type="dxa"/>
            <w:vAlign w:val="center"/>
          </w:tcPr>
          <w:p w14:paraId="0CEEAA20" w14:textId="77777777" w:rsidR="005C14E6" w:rsidRPr="005C14E6" w:rsidRDefault="005C14E6" w:rsidP="00726BC5">
            <w:pPr>
              <w:pStyle w:val="naisf"/>
              <w:spacing w:before="0" w:after="0"/>
              <w:jc w:val="center"/>
              <w:rPr>
                <w:bCs/>
                <w:sz w:val="20"/>
                <w:szCs w:val="20"/>
              </w:rPr>
            </w:pPr>
            <w:r w:rsidRPr="005C14E6">
              <w:rPr>
                <w:bCs/>
                <w:sz w:val="20"/>
                <w:szCs w:val="20"/>
              </w:rPr>
              <w:t>2</w:t>
            </w:r>
          </w:p>
        </w:tc>
        <w:tc>
          <w:tcPr>
            <w:tcW w:w="1418" w:type="dxa"/>
            <w:vAlign w:val="center"/>
          </w:tcPr>
          <w:p w14:paraId="3B014B5E" w14:textId="77777777" w:rsidR="005C14E6" w:rsidRPr="005C14E6" w:rsidRDefault="005C14E6" w:rsidP="00726BC5">
            <w:pPr>
              <w:pStyle w:val="naisf"/>
              <w:spacing w:before="0" w:after="0"/>
              <w:jc w:val="center"/>
              <w:rPr>
                <w:bCs/>
                <w:sz w:val="20"/>
                <w:szCs w:val="20"/>
              </w:rPr>
            </w:pPr>
            <w:r w:rsidRPr="005C14E6">
              <w:rPr>
                <w:bCs/>
                <w:sz w:val="20"/>
                <w:szCs w:val="20"/>
              </w:rPr>
              <w:t>3</w:t>
            </w:r>
          </w:p>
        </w:tc>
        <w:tc>
          <w:tcPr>
            <w:tcW w:w="1347" w:type="dxa"/>
            <w:vAlign w:val="center"/>
          </w:tcPr>
          <w:p w14:paraId="3BB52266" w14:textId="77777777" w:rsidR="005C14E6" w:rsidRPr="005C14E6" w:rsidRDefault="005C14E6" w:rsidP="00726BC5">
            <w:pPr>
              <w:pStyle w:val="naisf"/>
              <w:spacing w:before="0" w:after="0"/>
              <w:jc w:val="center"/>
              <w:rPr>
                <w:bCs/>
                <w:sz w:val="20"/>
                <w:szCs w:val="20"/>
              </w:rPr>
            </w:pPr>
            <w:r w:rsidRPr="005C14E6">
              <w:rPr>
                <w:bCs/>
                <w:sz w:val="20"/>
                <w:szCs w:val="20"/>
              </w:rPr>
              <w:t>4</w:t>
            </w:r>
          </w:p>
        </w:tc>
        <w:tc>
          <w:tcPr>
            <w:tcW w:w="1275" w:type="dxa"/>
            <w:vAlign w:val="center"/>
          </w:tcPr>
          <w:p w14:paraId="2EF5874F" w14:textId="77777777" w:rsidR="005C14E6" w:rsidRPr="005C14E6" w:rsidRDefault="005C14E6" w:rsidP="00726BC5">
            <w:pPr>
              <w:pStyle w:val="naisf"/>
              <w:spacing w:before="0" w:after="0"/>
              <w:jc w:val="center"/>
              <w:rPr>
                <w:bCs/>
                <w:sz w:val="20"/>
                <w:szCs w:val="20"/>
              </w:rPr>
            </w:pPr>
            <w:r w:rsidRPr="005C14E6">
              <w:rPr>
                <w:bCs/>
                <w:sz w:val="20"/>
                <w:szCs w:val="20"/>
              </w:rPr>
              <w:t>5</w:t>
            </w:r>
          </w:p>
        </w:tc>
        <w:tc>
          <w:tcPr>
            <w:tcW w:w="1347" w:type="dxa"/>
            <w:vAlign w:val="center"/>
          </w:tcPr>
          <w:p w14:paraId="1C54BCE4" w14:textId="77777777" w:rsidR="005C14E6" w:rsidRPr="005C14E6" w:rsidRDefault="005C14E6" w:rsidP="00726BC5">
            <w:pPr>
              <w:pStyle w:val="naisf"/>
              <w:spacing w:before="0" w:after="0"/>
              <w:jc w:val="center"/>
              <w:rPr>
                <w:bCs/>
                <w:sz w:val="20"/>
                <w:szCs w:val="20"/>
              </w:rPr>
            </w:pPr>
            <w:r w:rsidRPr="005C14E6">
              <w:rPr>
                <w:bCs/>
                <w:sz w:val="20"/>
                <w:szCs w:val="20"/>
              </w:rPr>
              <w:t>6</w:t>
            </w:r>
          </w:p>
        </w:tc>
      </w:tr>
      <w:tr w:rsidR="005C14E6" w:rsidRPr="005C14E6" w14:paraId="19FDBFBC" w14:textId="77777777" w:rsidTr="00726BC5">
        <w:trPr>
          <w:jc w:val="center"/>
        </w:trPr>
        <w:tc>
          <w:tcPr>
            <w:tcW w:w="2835" w:type="dxa"/>
          </w:tcPr>
          <w:p w14:paraId="01BA2043" w14:textId="77777777" w:rsidR="005C14E6" w:rsidRPr="005C14E6" w:rsidRDefault="005C14E6" w:rsidP="00726BC5">
            <w:pPr>
              <w:pStyle w:val="naisf"/>
              <w:spacing w:before="0" w:after="0"/>
              <w:ind w:firstLine="105"/>
              <w:rPr>
                <w:i/>
              </w:rPr>
            </w:pPr>
            <w:r w:rsidRPr="005C14E6">
              <w:t>1. Budžeta ieņēmumi:</w:t>
            </w:r>
          </w:p>
        </w:tc>
        <w:tc>
          <w:tcPr>
            <w:tcW w:w="1063" w:type="dxa"/>
            <w:vAlign w:val="center"/>
          </w:tcPr>
          <w:p w14:paraId="5C745905" w14:textId="77777777" w:rsidR="005C14E6" w:rsidRPr="005C14E6" w:rsidRDefault="005C14E6" w:rsidP="00726BC5">
            <w:pPr>
              <w:pStyle w:val="naisf"/>
              <w:spacing w:before="0" w:after="0"/>
              <w:rPr>
                <w:b/>
                <w:i/>
                <w:sz w:val="18"/>
                <w:szCs w:val="18"/>
              </w:rPr>
            </w:pPr>
          </w:p>
        </w:tc>
        <w:tc>
          <w:tcPr>
            <w:tcW w:w="1418" w:type="dxa"/>
            <w:vAlign w:val="center"/>
          </w:tcPr>
          <w:p w14:paraId="7687F4E0" w14:textId="0222D054" w:rsidR="005C14E6" w:rsidRPr="00911011" w:rsidRDefault="00702AD9" w:rsidP="00726BC5">
            <w:pPr>
              <w:pStyle w:val="naisf"/>
              <w:spacing w:before="0" w:after="0"/>
              <w:rPr>
                <w:b/>
                <w:i/>
                <w:sz w:val="20"/>
              </w:rPr>
            </w:pPr>
            <w:r>
              <w:rPr>
                <w:b/>
                <w:i/>
                <w:sz w:val="20"/>
              </w:rPr>
              <w:t>3 235 043</w:t>
            </w:r>
          </w:p>
        </w:tc>
        <w:tc>
          <w:tcPr>
            <w:tcW w:w="1347" w:type="dxa"/>
            <w:vAlign w:val="center"/>
          </w:tcPr>
          <w:p w14:paraId="58CA20F9" w14:textId="43EA24C9" w:rsidR="005C14E6" w:rsidRPr="005C14E6" w:rsidRDefault="00911011" w:rsidP="00702AD9">
            <w:pPr>
              <w:pStyle w:val="naisf"/>
              <w:spacing w:before="0" w:after="0"/>
              <w:jc w:val="right"/>
              <w:rPr>
                <w:b/>
                <w:i/>
                <w:sz w:val="20"/>
                <w:szCs w:val="20"/>
              </w:rPr>
            </w:pPr>
            <w:r>
              <w:rPr>
                <w:b/>
                <w:i/>
                <w:sz w:val="20"/>
                <w:szCs w:val="20"/>
              </w:rPr>
              <w:t>12 638 46</w:t>
            </w:r>
            <w:r w:rsidR="00702AD9">
              <w:rPr>
                <w:b/>
                <w:i/>
                <w:sz w:val="20"/>
                <w:szCs w:val="20"/>
              </w:rPr>
              <w:t>2</w:t>
            </w:r>
          </w:p>
        </w:tc>
        <w:tc>
          <w:tcPr>
            <w:tcW w:w="1275" w:type="dxa"/>
            <w:vAlign w:val="center"/>
          </w:tcPr>
          <w:p w14:paraId="5D5FC400" w14:textId="1E17E414" w:rsidR="005C14E6" w:rsidRPr="005C14E6" w:rsidRDefault="00911011" w:rsidP="00726BC5">
            <w:pPr>
              <w:pStyle w:val="naisf"/>
              <w:spacing w:before="0" w:after="0"/>
              <w:jc w:val="right"/>
              <w:rPr>
                <w:b/>
                <w:i/>
                <w:sz w:val="20"/>
                <w:szCs w:val="20"/>
              </w:rPr>
            </w:pPr>
            <w:r>
              <w:rPr>
                <w:b/>
                <w:i/>
                <w:sz w:val="20"/>
                <w:szCs w:val="20"/>
              </w:rPr>
              <w:t>6 982 302</w:t>
            </w:r>
          </w:p>
        </w:tc>
        <w:tc>
          <w:tcPr>
            <w:tcW w:w="1347" w:type="dxa"/>
            <w:vAlign w:val="center"/>
          </w:tcPr>
          <w:p w14:paraId="3DEF2225" w14:textId="0EE86C8D" w:rsidR="005C14E6" w:rsidRPr="005C14E6" w:rsidRDefault="00911011" w:rsidP="00726BC5">
            <w:pPr>
              <w:pStyle w:val="naisf"/>
              <w:spacing w:before="0" w:after="0"/>
              <w:jc w:val="right"/>
              <w:rPr>
                <w:b/>
                <w:i/>
                <w:sz w:val="20"/>
                <w:szCs w:val="20"/>
              </w:rPr>
            </w:pPr>
            <w:r>
              <w:rPr>
                <w:b/>
                <w:i/>
                <w:sz w:val="20"/>
                <w:szCs w:val="20"/>
              </w:rPr>
              <w:t>6 286 003</w:t>
            </w:r>
          </w:p>
        </w:tc>
      </w:tr>
      <w:tr w:rsidR="005C14E6" w:rsidRPr="005C14E6" w14:paraId="382623DA" w14:textId="77777777" w:rsidTr="00726BC5">
        <w:trPr>
          <w:jc w:val="center"/>
        </w:trPr>
        <w:tc>
          <w:tcPr>
            <w:tcW w:w="2835" w:type="dxa"/>
          </w:tcPr>
          <w:p w14:paraId="36B13E0E" w14:textId="77777777" w:rsidR="005C14E6" w:rsidRPr="005C14E6" w:rsidRDefault="005C14E6" w:rsidP="00726BC5">
            <w:pPr>
              <w:pStyle w:val="naisf"/>
              <w:spacing w:before="0" w:after="0"/>
              <w:rPr>
                <w:i/>
              </w:rPr>
            </w:pPr>
            <w:r w:rsidRPr="005C14E6">
              <w:t>1.1. valsts pamatbudžets, tai skaitā ieņēmumi no maksas pakalpojumiem un citi pašu ieņēmumi</w:t>
            </w:r>
          </w:p>
        </w:tc>
        <w:tc>
          <w:tcPr>
            <w:tcW w:w="1063" w:type="dxa"/>
            <w:vAlign w:val="center"/>
          </w:tcPr>
          <w:p w14:paraId="48A65FC0" w14:textId="77777777" w:rsidR="005C14E6" w:rsidRPr="005C14E6" w:rsidRDefault="005C14E6" w:rsidP="00726BC5">
            <w:pPr>
              <w:pStyle w:val="naisf"/>
              <w:spacing w:before="0" w:after="0"/>
              <w:rPr>
                <w:b/>
                <w:i/>
                <w:sz w:val="18"/>
                <w:szCs w:val="18"/>
              </w:rPr>
            </w:pPr>
          </w:p>
        </w:tc>
        <w:tc>
          <w:tcPr>
            <w:tcW w:w="1418" w:type="dxa"/>
            <w:vAlign w:val="center"/>
          </w:tcPr>
          <w:p w14:paraId="31B41939" w14:textId="667C8426" w:rsidR="005C14E6" w:rsidRPr="00911011" w:rsidRDefault="00702AD9" w:rsidP="00726BC5">
            <w:pPr>
              <w:pStyle w:val="naisf"/>
              <w:spacing w:before="0" w:after="0"/>
              <w:rPr>
                <w:b/>
                <w:i/>
                <w:sz w:val="20"/>
              </w:rPr>
            </w:pPr>
            <w:r>
              <w:rPr>
                <w:b/>
                <w:i/>
                <w:sz w:val="20"/>
              </w:rPr>
              <w:t>3 235 043</w:t>
            </w:r>
          </w:p>
        </w:tc>
        <w:tc>
          <w:tcPr>
            <w:tcW w:w="1347" w:type="dxa"/>
            <w:vAlign w:val="center"/>
          </w:tcPr>
          <w:p w14:paraId="65387CB1" w14:textId="152892AF" w:rsidR="005C14E6" w:rsidRPr="005C14E6" w:rsidRDefault="00911011" w:rsidP="00702AD9">
            <w:pPr>
              <w:pStyle w:val="naisf"/>
              <w:spacing w:before="0" w:after="0"/>
              <w:jc w:val="right"/>
              <w:rPr>
                <w:b/>
                <w:i/>
                <w:sz w:val="20"/>
                <w:szCs w:val="20"/>
              </w:rPr>
            </w:pPr>
            <w:r>
              <w:rPr>
                <w:b/>
                <w:i/>
                <w:sz w:val="20"/>
                <w:szCs w:val="20"/>
              </w:rPr>
              <w:t>12 638 46</w:t>
            </w:r>
            <w:r w:rsidR="00702AD9">
              <w:rPr>
                <w:b/>
                <w:i/>
                <w:sz w:val="20"/>
                <w:szCs w:val="20"/>
              </w:rPr>
              <w:t>2</w:t>
            </w:r>
          </w:p>
        </w:tc>
        <w:tc>
          <w:tcPr>
            <w:tcW w:w="1275" w:type="dxa"/>
            <w:vAlign w:val="center"/>
          </w:tcPr>
          <w:p w14:paraId="43147C1A" w14:textId="7E198C40" w:rsidR="005C14E6" w:rsidRPr="005C14E6" w:rsidRDefault="00911011" w:rsidP="00726BC5">
            <w:pPr>
              <w:pStyle w:val="naisf"/>
              <w:spacing w:before="0" w:after="0"/>
              <w:jc w:val="right"/>
              <w:rPr>
                <w:b/>
                <w:i/>
                <w:sz w:val="20"/>
                <w:szCs w:val="20"/>
              </w:rPr>
            </w:pPr>
            <w:r>
              <w:rPr>
                <w:b/>
                <w:i/>
                <w:sz w:val="20"/>
                <w:szCs w:val="20"/>
              </w:rPr>
              <w:t>6 982 302</w:t>
            </w:r>
          </w:p>
        </w:tc>
        <w:tc>
          <w:tcPr>
            <w:tcW w:w="1347" w:type="dxa"/>
            <w:vAlign w:val="center"/>
          </w:tcPr>
          <w:p w14:paraId="03E9B735" w14:textId="1619D448" w:rsidR="005C14E6" w:rsidRPr="005C14E6" w:rsidRDefault="00911011" w:rsidP="00726BC5">
            <w:pPr>
              <w:pStyle w:val="naisf"/>
              <w:spacing w:before="0" w:after="0"/>
              <w:jc w:val="right"/>
              <w:rPr>
                <w:b/>
                <w:i/>
                <w:sz w:val="20"/>
                <w:szCs w:val="20"/>
              </w:rPr>
            </w:pPr>
            <w:r>
              <w:rPr>
                <w:b/>
                <w:i/>
                <w:sz w:val="20"/>
                <w:szCs w:val="20"/>
              </w:rPr>
              <w:t>6 286 003</w:t>
            </w:r>
          </w:p>
        </w:tc>
      </w:tr>
      <w:tr w:rsidR="005C14E6" w:rsidRPr="005C14E6" w14:paraId="29B9A385" w14:textId="77777777" w:rsidTr="00726BC5">
        <w:trPr>
          <w:jc w:val="center"/>
        </w:trPr>
        <w:tc>
          <w:tcPr>
            <w:tcW w:w="2835" w:type="dxa"/>
            <w:shd w:val="clear" w:color="auto" w:fill="auto"/>
          </w:tcPr>
          <w:p w14:paraId="2A3A337F" w14:textId="77777777" w:rsidR="005C14E6" w:rsidRPr="005C14E6" w:rsidRDefault="005C14E6" w:rsidP="00726BC5">
            <w:pPr>
              <w:pStyle w:val="naisf"/>
              <w:spacing w:before="0" w:after="0"/>
              <w:rPr>
                <w:i/>
              </w:rPr>
            </w:pPr>
            <w:r w:rsidRPr="005C14E6">
              <w:t>1.2. valsts speciālais budžets</w:t>
            </w:r>
          </w:p>
        </w:tc>
        <w:tc>
          <w:tcPr>
            <w:tcW w:w="1063" w:type="dxa"/>
            <w:vAlign w:val="center"/>
          </w:tcPr>
          <w:p w14:paraId="15D645B0" w14:textId="77777777" w:rsidR="005C14E6" w:rsidRPr="005C14E6" w:rsidRDefault="005C14E6" w:rsidP="00726BC5">
            <w:pPr>
              <w:pStyle w:val="naisf"/>
              <w:spacing w:before="0" w:after="0"/>
              <w:rPr>
                <w:b/>
                <w:i/>
                <w:sz w:val="18"/>
                <w:szCs w:val="18"/>
              </w:rPr>
            </w:pPr>
            <w:r w:rsidRPr="005C14E6">
              <w:rPr>
                <w:b/>
                <w:i/>
                <w:sz w:val="18"/>
                <w:szCs w:val="18"/>
              </w:rPr>
              <w:t>0</w:t>
            </w:r>
          </w:p>
        </w:tc>
        <w:tc>
          <w:tcPr>
            <w:tcW w:w="1418" w:type="dxa"/>
            <w:vAlign w:val="center"/>
          </w:tcPr>
          <w:p w14:paraId="583C2D67" w14:textId="77777777" w:rsidR="005C14E6" w:rsidRPr="005C14E6" w:rsidRDefault="005C14E6" w:rsidP="00726BC5">
            <w:pPr>
              <w:pStyle w:val="naisf"/>
              <w:spacing w:before="0" w:after="0"/>
              <w:rPr>
                <w:b/>
                <w:i/>
              </w:rPr>
            </w:pPr>
            <w:r w:rsidRPr="005C14E6">
              <w:rPr>
                <w:b/>
                <w:i/>
              </w:rPr>
              <w:t>0</w:t>
            </w:r>
          </w:p>
        </w:tc>
        <w:tc>
          <w:tcPr>
            <w:tcW w:w="1347" w:type="dxa"/>
            <w:vAlign w:val="center"/>
          </w:tcPr>
          <w:p w14:paraId="17A6B8AA" w14:textId="77777777" w:rsidR="005C14E6" w:rsidRPr="005C14E6" w:rsidRDefault="005C14E6" w:rsidP="00726BC5">
            <w:pPr>
              <w:pStyle w:val="naisf"/>
              <w:spacing w:before="0" w:after="0"/>
              <w:rPr>
                <w:b/>
                <w:i/>
              </w:rPr>
            </w:pPr>
          </w:p>
        </w:tc>
        <w:tc>
          <w:tcPr>
            <w:tcW w:w="1275" w:type="dxa"/>
            <w:vAlign w:val="center"/>
          </w:tcPr>
          <w:p w14:paraId="720708FA" w14:textId="77777777" w:rsidR="005C14E6" w:rsidRPr="005C14E6" w:rsidRDefault="005C14E6" w:rsidP="00726BC5">
            <w:pPr>
              <w:pStyle w:val="naisf"/>
              <w:spacing w:before="0" w:after="0"/>
              <w:rPr>
                <w:b/>
                <w:i/>
              </w:rPr>
            </w:pPr>
          </w:p>
        </w:tc>
        <w:tc>
          <w:tcPr>
            <w:tcW w:w="1347" w:type="dxa"/>
            <w:vAlign w:val="center"/>
          </w:tcPr>
          <w:p w14:paraId="12F05A01" w14:textId="77777777" w:rsidR="005C14E6" w:rsidRPr="005C14E6" w:rsidRDefault="005C14E6" w:rsidP="00726BC5">
            <w:pPr>
              <w:pStyle w:val="naisf"/>
              <w:spacing w:before="0" w:after="0"/>
              <w:rPr>
                <w:b/>
                <w:i/>
              </w:rPr>
            </w:pPr>
          </w:p>
        </w:tc>
      </w:tr>
      <w:tr w:rsidR="005C14E6" w:rsidRPr="005C14E6" w14:paraId="0A2972BF" w14:textId="77777777" w:rsidTr="00726BC5">
        <w:trPr>
          <w:jc w:val="center"/>
        </w:trPr>
        <w:tc>
          <w:tcPr>
            <w:tcW w:w="2835" w:type="dxa"/>
            <w:shd w:val="clear" w:color="auto" w:fill="auto"/>
          </w:tcPr>
          <w:p w14:paraId="51C2DFE9" w14:textId="77777777" w:rsidR="005C14E6" w:rsidRPr="005C14E6" w:rsidRDefault="005C14E6" w:rsidP="00726BC5">
            <w:pPr>
              <w:pStyle w:val="naisf"/>
              <w:spacing w:before="0" w:after="0"/>
              <w:rPr>
                <w:i/>
              </w:rPr>
            </w:pPr>
            <w:r w:rsidRPr="005C14E6">
              <w:lastRenderedPageBreak/>
              <w:t>1.3. pašvaldību budžets</w:t>
            </w:r>
          </w:p>
        </w:tc>
        <w:tc>
          <w:tcPr>
            <w:tcW w:w="1063" w:type="dxa"/>
            <w:vAlign w:val="center"/>
          </w:tcPr>
          <w:p w14:paraId="3C14C922" w14:textId="77777777" w:rsidR="005C14E6" w:rsidRPr="005C14E6" w:rsidRDefault="005C14E6" w:rsidP="00726BC5">
            <w:pPr>
              <w:pStyle w:val="naisf"/>
              <w:spacing w:before="0" w:after="0"/>
              <w:rPr>
                <w:b/>
                <w:i/>
                <w:sz w:val="18"/>
                <w:szCs w:val="18"/>
              </w:rPr>
            </w:pPr>
            <w:r w:rsidRPr="005C14E6">
              <w:rPr>
                <w:b/>
                <w:i/>
                <w:sz w:val="18"/>
                <w:szCs w:val="18"/>
              </w:rPr>
              <w:t>0</w:t>
            </w:r>
          </w:p>
        </w:tc>
        <w:tc>
          <w:tcPr>
            <w:tcW w:w="1418" w:type="dxa"/>
            <w:vAlign w:val="center"/>
          </w:tcPr>
          <w:p w14:paraId="0474EEE1" w14:textId="77777777" w:rsidR="005C14E6" w:rsidRPr="005C14E6" w:rsidRDefault="005C14E6" w:rsidP="00726BC5">
            <w:pPr>
              <w:pStyle w:val="naisf"/>
              <w:spacing w:before="0" w:after="0"/>
              <w:rPr>
                <w:b/>
                <w:i/>
              </w:rPr>
            </w:pPr>
            <w:r w:rsidRPr="005C14E6">
              <w:rPr>
                <w:b/>
                <w:i/>
              </w:rPr>
              <w:t>0</w:t>
            </w:r>
          </w:p>
        </w:tc>
        <w:tc>
          <w:tcPr>
            <w:tcW w:w="1347" w:type="dxa"/>
            <w:vAlign w:val="center"/>
          </w:tcPr>
          <w:p w14:paraId="14FCD2D5" w14:textId="77777777" w:rsidR="005C14E6" w:rsidRPr="005C14E6" w:rsidRDefault="005C14E6" w:rsidP="00726BC5">
            <w:pPr>
              <w:pStyle w:val="naisf"/>
              <w:spacing w:before="0" w:after="0"/>
              <w:rPr>
                <w:b/>
                <w:i/>
              </w:rPr>
            </w:pPr>
          </w:p>
        </w:tc>
        <w:tc>
          <w:tcPr>
            <w:tcW w:w="1275" w:type="dxa"/>
            <w:vAlign w:val="center"/>
          </w:tcPr>
          <w:p w14:paraId="4230E57C" w14:textId="77777777" w:rsidR="005C14E6" w:rsidRPr="005C14E6" w:rsidRDefault="005C14E6" w:rsidP="00726BC5">
            <w:pPr>
              <w:pStyle w:val="naisf"/>
              <w:spacing w:before="0" w:after="0"/>
              <w:rPr>
                <w:b/>
                <w:i/>
              </w:rPr>
            </w:pPr>
          </w:p>
        </w:tc>
        <w:tc>
          <w:tcPr>
            <w:tcW w:w="1347" w:type="dxa"/>
            <w:vAlign w:val="center"/>
          </w:tcPr>
          <w:p w14:paraId="68E0910C" w14:textId="77777777" w:rsidR="005C14E6" w:rsidRPr="005C14E6" w:rsidRDefault="005C14E6" w:rsidP="00726BC5">
            <w:pPr>
              <w:pStyle w:val="naisf"/>
              <w:spacing w:before="0" w:after="0"/>
              <w:rPr>
                <w:b/>
                <w:i/>
              </w:rPr>
            </w:pPr>
          </w:p>
        </w:tc>
      </w:tr>
      <w:tr w:rsidR="005C14E6" w:rsidRPr="005C14E6" w14:paraId="3289CCF4" w14:textId="77777777" w:rsidTr="00726BC5">
        <w:trPr>
          <w:jc w:val="center"/>
        </w:trPr>
        <w:tc>
          <w:tcPr>
            <w:tcW w:w="2835" w:type="dxa"/>
            <w:shd w:val="clear" w:color="auto" w:fill="auto"/>
          </w:tcPr>
          <w:p w14:paraId="7323C6C0"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2. Budžeta izdevumi:</w:t>
            </w:r>
          </w:p>
        </w:tc>
        <w:tc>
          <w:tcPr>
            <w:tcW w:w="1063" w:type="dxa"/>
            <w:vAlign w:val="center"/>
          </w:tcPr>
          <w:p w14:paraId="3E8CAAE3" w14:textId="77777777" w:rsidR="005C14E6" w:rsidRPr="005C14E6" w:rsidRDefault="005C14E6" w:rsidP="00726BC5">
            <w:pPr>
              <w:pStyle w:val="naisf"/>
              <w:spacing w:before="0" w:after="0"/>
              <w:rPr>
                <w:b/>
                <w:i/>
                <w:sz w:val="18"/>
                <w:szCs w:val="18"/>
              </w:rPr>
            </w:pPr>
          </w:p>
        </w:tc>
        <w:tc>
          <w:tcPr>
            <w:tcW w:w="1418" w:type="dxa"/>
            <w:vAlign w:val="center"/>
          </w:tcPr>
          <w:p w14:paraId="3584991D" w14:textId="3CC94D9F" w:rsidR="005C14E6" w:rsidRPr="00464A5D" w:rsidRDefault="00702AD9" w:rsidP="00726BC5">
            <w:pPr>
              <w:pStyle w:val="naisf"/>
              <w:spacing w:before="0" w:after="0"/>
              <w:rPr>
                <w:b/>
                <w:i/>
                <w:sz w:val="20"/>
              </w:rPr>
            </w:pPr>
            <w:r>
              <w:rPr>
                <w:b/>
                <w:i/>
                <w:sz w:val="20"/>
              </w:rPr>
              <w:t>992 456</w:t>
            </w:r>
          </w:p>
        </w:tc>
        <w:tc>
          <w:tcPr>
            <w:tcW w:w="1347" w:type="dxa"/>
            <w:vAlign w:val="center"/>
          </w:tcPr>
          <w:p w14:paraId="3AF2AE6C" w14:textId="47F67855" w:rsidR="005C14E6" w:rsidRPr="005C14E6" w:rsidRDefault="00702AD9" w:rsidP="00726BC5">
            <w:pPr>
              <w:pStyle w:val="naisf"/>
              <w:spacing w:before="0" w:after="0"/>
              <w:jc w:val="right"/>
              <w:rPr>
                <w:b/>
                <w:i/>
                <w:sz w:val="20"/>
                <w:szCs w:val="20"/>
              </w:rPr>
            </w:pPr>
            <w:r>
              <w:rPr>
                <w:b/>
                <w:i/>
                <w:sz w:val="20"/>
                <w:szCs w:val="20"/>
              </w:rPr>
              <w:t>8 781 733</w:t>
            </w:r>
          </w:p>
        </w:tc>
        <w:tc>
          <w:tcPr>
            <w:tcW w:w="1275" w:type="dxa"/>
            <w:vAlign w:val="center"/>
          </w:tcPr>
          <w:p w14:paraId="0B1A4A9E" w14:textId="62F6D1BA" w:rsidR="005C14E6" w:rsidRPr="005C14E6" w:rsidRDefault="00702AD9" w:rsidP="00726BC5">
            <w:pPr>
              <w:pStyle w:val="naisf"/>
              <w:spacing w:before="0" w:after="0"/>
              <w:jc w:val="center"/>
              <w:rPr>
                <w:b/>
                <w:i/>
                <w:sz w:val="20"/>
                <w:szCs w:val="20"/>
              </w:rPr>
            </w:pPr>
            <w:r>
              <w:rPr>
                <w:b/>
                <w:i/>
                <w:sz w:val="20"/>
                <w:szCs w:val="20"/>
              </w:rPr>
              <w:t>10 483 971</w:t>
            </w:r>
          </w:p>
        </w:tc>
        <w:tc>
          <w:tcPr>
            <w:tcW w:w="1347" w:type="dxa"/>
            <w:vAlign w:val="center"/>
          </w:tcPr>
          <w:p w14:paraId="0AAD39A9" w14:textId="15ECF1E2" w:rsidR="005C14E6" w:rsidRPr="005C14E6" w:rsidRDefault="00702AD9" w:rsidP="00726BC5">
            <w:pPr>
              <w:pStyle w:val="naisf"/>
              <w:spacing w:before="0" w:after="0"/>
              <w:jc w:val="right"/>
              <w:rPr>
                <w:b/>
                <w:i/>
                <w:sz w:val="20"/>
                <w:szCs w:val="20"/>
              </w:rPr>
            </w:pPr>
            <w:r>
              <w:rPr>
                <w:b/>
                <w:i/>
                <w:sz w:val="20"/>
                <w:szCs w:val="20"/>
              </w:rPr>
              <w:t>10 869 473</w:t>
            </w:r>
          </w:p>
        </w:tc>
      </w:tr>
      <w:tr w:rsidR="005C14E6" w:rsidRPr="005C14E6" w14:paraId="0A9991BE" w14:textId="77777777" w:rsidTr="00726BC5">
        <w:trPr>
          <w:jc w:val="center"/>
        </w:trPr>
        <w:tc>
          <w:tcPr>
            <w:tcW w:w="2835" w:type="dxa"/>
            <w:shd w:val="clear" w:color="auto" w:fill="auto"/>
          </w:tcPr>
          <w:p w14:paraId="6B888E32"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2.1. valsts pamatbudžets</w:t>
            </w:r>
          </w:p>
        </w:tc>
        <w:tc>
          <w:tcPr>
            <w:tcW w:w="1063" w:type="dxa"/>
            <w:vAlign w:val="center"/>
          </w:tcPr>
          <w:p w14:paraId="70C40108" w14:textId="77777777" w:rsidR="005C14E6" w:rsidRPr="005C14E6" w:rsidRDefault="005C14E6" w:rsidP="00726BC5">
            <w:pPr>
              <w:pStyle w:val="naisf"/>
              <w:spacing w:before="0" w:after="0"/>
              <w:rPr>
                <w:b/>
                <w:i/>
                <w:sz w:val="18"/>
                <w:szCs w:val="18"/>
              </w:rPr>
            </w:pPr>
          </w:p>
        </w:tc>
        <w:tc>
          <w:tcPr>
            <w:tcW w:w="1418" w:type="dxa"/>
            <w:vAlign w:val="center"/>
          </w:tcPr>
          <w:p w14:paraId="2A688D43" w14:textId="32EBC08D" w:rsidR="005C14E6" w:rsidRPr="00464A5D" w:rsidRDefault="00702AD9" w:rsidP="00726BC5">
            <w:pPr>
              <w:pStyle w:val="naisf"/>
              <w:spacing w:before="0" w:after="0"/>
              <w:rPr>
                <w:b/>
                <w:i/>
                <w:sz w:val="20"/>
              </w:rPr>
            </w:pPr>
            <w:r>
              <w:rPr>
                <w:b/>
                <w:i/>
                <w:sz w:val="20"/>
              </w:rPr>
              <w:t>992 456</w:t>
            </w:r>
          </w:p>
        </w:tc>
        <w:tc>
          <w:tcPr>
            <w:tcW w:w="1347" w:type="dxa"/>
            <w:vAlign w:val="center"/>
          </w:tcPr>
          <w:p w14:paraId="080018D6" w14:textId="3DC026EE" w:rsidR="005C14E6" w:rsidRPr="005C14E6" w:rsidRDefault="00702AD9" w:rsidP="00726BC5">
            <w:pPr>
              <w:pStyle w:val="naisf"/>
              <w:spacing w:before="0" w:after="0"/>
              <w:jc w:val="right"/>
              <w:rPr>
                <w:b/>
                <w:i/>
                <w:sz w:val="20"/>
                <w:szCs w:val="20"/>
              </w:rPr>
            </w:pPr>
            <w:r>
              <w:rPr>
                <w:b/>
                <w:i/>
                <w:sz w:val="20"/>
                <w:szCs w:val="20"/>
              </w:rPr>
              <w:t>8 781 733</w:t>
            </w:r>
          </w:p>
        </w:tc>
        <w:tc>
          <w:tcPr>
            <w:tcW w:w="1275" w:type="dxa"/>
            <w:vAlign w:val="center"/>
          </w:tcPr>
          <w:p w14:paraId="06C586E3" w14:textId="62043E54" w:rsidR="005C14E6" w:rsidRPr="005C14E6" w:rsidRDefault="00702AD9" w:rsidP="00726BC5">
            <w:pPr>
              <w:pStyle w:val="naisf"/>
              <w:spacing w:before="0" w:after="0"/>
              <w:jc w:val="center"/>
              <w:rPr>
                <w:b/>
                <w:i/>
                <w:sz w:val="20"/>
                <w:szCs w:val="20"/>
              </w:rPr>
            </w:pPr>
            <w:r>
              <w:rPr>
                <w:b/>
                <w:i/>
                <w:sz w:val="20"/>
                <w:szCs w:val="20"/>
              </w:rPr>
              <w:t>10 483 971</w:t>
            </w:r>
          </w:p>
        </w:tc>
        <w:tc>
          <w:tcPr>
            <w:tcW w:w="1347" w:type="dxa"/>
            <w:vAlign w:val="center"/>
          </w:tcPr>
          <w:p w14:paraId="62D46E55" w14:textId="5C94B6E1" w:rsidR="005C14E6" w:rsidRPr="005C14E6" w:rsidRDefault="00464A5D" w:rsidP="00702AD9">
            <w:pPr>
              <w:pStyle w:val="naisf"/>
              <w:spacing w:before="0" w:after="0"/>
              <w:jc w:val="right"/>
              <w:rPr>
                <w:b/>
                <w:i/>
                <w:sz w:val="20"/>
                <w:szCs w:val="20"/>
              </w:rPr>
            </w:pPr>
            <w:r>
              <w:rPr>
                <w:b/>
                <w:i/>
                <w:sz w:val="20"/>
                <w:szCs w:val="20"/>
              </w:rPr>
              <w:t>10 869 47</w:t>
            </w:r>
            <w:r w:rsidR="00702AD9">
              <w:rPr>
                <w:b/>
                <w:i/>
                <w:sz w:val="20"/>
                <w:szCs w:val="20"/>
              </w:rPr>
              <w:t>3</w:t>
            </w:r>
          </w:p>
        </w:tc>
      </w:tr>
      <w:tr w:rsidR="005C14E6" w:rsidRPr="005C14E6" w14:paraId="05A55C51" w14:textId="77777777" w:rsidTr="00726BC5">
        <w:trPr>
          <w:jc w:val="center"/>
        </w:trPr>
        <w:tc>
          <w:tcPr>
            <w:tcW w:w="2835" w:type="dxa"/>
            <w:shd w:val="clear" w:color="auto" w:fill="auto"/>
          </w:tcPr>
          <w:p w14:paraId="4078D7DA"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2.2. valsts speciālais budžets</w:t>
            </w:r>
          </w:p>
        </w:tc>
        <w:tc>
          <w:tcPr>
            <w:tcW w:w="1063" w:type="dxa"/>
            <w:vAlign w:val="center"/>
          </w:tcPr>
          <w:p w14:paraId="76FD9804" w14:textId="77777777" w:rsidR="005C14E6" w:rsidRPr="005C14E6" w:rsidRDefault="005C14E6" w:rsidP="00726BC5">
            <w:pPr>
              <w:pStyle w:val="naisf"/>
              <w:spacing w:before="0" w:after="0"/>
              <w:rPr>
                <w:b/>
                <w:i/>
                <w:sz w:val="18"/>
                <w:szCs w:val="18"/>
              </w:rPr>
            </w:pPr>
            <w:r w:rsidRPr="005C14E6">
              <w:rPr>
                <w:b/>
                <w:i/>
                <w:sz w:val="18"/>
                <w:szCs w:val="18"/>
              </w:rPr>
              <w:t>0</w:t>
            </w:r>
          </w:p>
        </w:tc>
        <w:tc>
          <w:tcPr>
            <w:tcW w:w="1418" w:type="dxa"/>
            <w:vAlign w:val="center"/>
          </w:tcPr>
          <w:p w14:paraId="79BDB8C7" w14:textId="77777777" w:rsidR="005C14E6" w:rsidRPr="005C14E6" w:rsidRDefault="005C14E6" w:rsidP="00726BC5">
            <w:pPr>
              <w:pStyle w:val="naisf"/>
              <w:spacing w:before="0" w:after="0"/>
              <w:rPr>
                <w:b/>
                <w:i/>
              </w:rPr>
            </w:pPr>
            <w:r w:rsidRPr="005C14E6">
              <w:rPr>
                <w:b/>
                <w:i/>
              </w:rPr>
              <w:t>0</w:t>
            </w:r>
          </w:p>
        </w:tc>
        <w:tc>
          <w:tcPr>
            <w:tcW w:w="1347" w:type="dxa"/>
            <w:vAlign w:val="center"/>
          </w:tcPr>
          <w:p w14:paraId="7E6696B6" w14:textId="77777777" w:rsidR="005C14E6" w:rsidRPr="005C14E6" w:rsidRDefault="005C14E6" w:rsidP="00726BC5">
            <w:pPr>
              <w:pStyle w:val="naisf"/>
              <w:spacing w:before="0" w:after="0"/>
              <w:rPr>
                <w:b/>
                <w:i/>
              </w:rPr>
            </w:pPr>
          </w:p>
        </w:tc>
        <w:tc>
          <w:tcPr>
            <w:tcW w:w="1275" w:type="dxa"/>
            <w:vAlign w:val="center"/>
          </w:tcPr>
          <w:p w14:paraId="40B0BE07" w14:textId="77777777" w:rsidR="005C14E6" w:rsidRPr="005C14E6" w:rsidRDefault="005C14E6" w:rsidP="00726BC5">
            <w:pPr>
              <w:pStyle w:val="naisf"/>
              <w:spacing w:before="0" w:after="0"/>
              <w:rPr>
                <w:b/>
                <w:i/>
              </w:rPr>
            </w:pPr>
          </w:p>
        </w:tc>
        <w:tc>
          <w:tcPr>
            <w:tcW w:w="1347" w:type="dxa"/>
            <w:vAlign w:val="center"/>
          </w:tcPr>
          <w:p w14:paraId="5776DA66" w14:textId="77777777" w:rsidR="005C14E6" w:rsidRPr="005C14E6" w:rsidRDefault="005C14E6" w:rsidP="00726BC5">
            <w:pPr>
              <w:pStyle w:val="naisf"/>
              <w:spacing w:before="0" w:after="0"/>
              <w:rPr>
                <w:b/>
                <w:i/>
              </w:rPr>
            </w:pPr>
          </w:p>
        </w:tc>
      </w:tr>
      <w:tr w:rsidR="005C14E6" w:rsidRPr="005C14E6" w14:paraId="7C42AE93" w14:textId="77777777" w:rsidTr="00726BC5">
        <w:trPr>
          <w:jc w:val="center"/>
        </w:trPr>
        <w:tc>
          <w:tcPr>
            <w:tcW w:w="2835" w:type="dxa"/>
            <w:shd w:val="clear" w:color="auto" w:fill="auto"/>
          </w:tcPr>
          <w:p w14:paraId="33D33A10"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 xml:space="preserve">2.3. pašvaldību budžets </w:t>
            </w:r>
          </w:p>
        </w:tc>
        <w:tc>
          <w:tcPr>
            <w:tcW w:w="1063" w:type="dxa"/>
            <w:vAlign w:val="center"/>
          </w:tcPr>
          <w:p w14:paraId="496738DA" w14:textId="77777777" w:rsidR="005C14E6" w:rsidRPr="005C14E6" w:rsidRDefault="005C14E6" w:rsidP="00726BC5">
            <w:pPr>
              <w:pStyle w:val="naisf"/>
              <w:spacing w:before="0" w:after="0"/>
              <w:rPr>
                <w:b/>
                <w:i/>
                <w:sz w:val="18"/>
                <w:szCs w:val="18"/>
              </w:rPr>
            </w:pPr>
            <w:r w:rsidRPr="005C14E6">
              <w:rPr>
                <w:b/>
                <w:i/>
                <w:sz w:val="18"/>
                <w:szCs w:val="18"/>
              </w:rPr>
              <w:t>0</w:t>
            </w:r>
          </w:p>
        </w:tc>
        <w:tc>
          <w:tcPr>
            <w:tcW w:w="1418" w:type="dxa"/>
            <w:vAlign w:val="center"/>
          </w:tcPr>
          <w:p w14:paraId="17FCD026" w14:textId="77777777" w:rsidR="005C14E6" w:rsidRPr="005C14E6" w:rsidRDefault="005C14E6" w:rsidP="00726BC5">
            <w:pPr>
              <w:pStyle w:val="naisf"/>
              <w:spacing w:before="0" w:after="0"/>
              <w:rPr>
                <w:b/>
                <w:i/>
              </w:rPr>
            </w:pPr>
            <w:r w:rsidRPr="005C14E6">
              <w:rPr>
                <w:b/>
                <w:i/>
              </w:rPr>
              <w:t>0</w:t>
            </w:r>
          </w:p>
        </w:tc>
        <w:tc>
          <w:tcPr>
            <w:tcW w:w="1347" w:type="dxa"/>
            <w:vAlign w:val="center"/>
          </w:tcPr>
          <w:p w14:paraId="58CA0A2F" w14:textId="77777777" w:rsidR="005C14E6" w:rsidRPr="005C14E6" w:rsidRDefault="005C14E6" w:rsidP="00726BC5">
            <w:pPr>
              <w:pStyle w:val="naisf"/>
              <w:spacing w:before="0" w:after="0"/>
              <w:rPr>
                <w:b/>
                <w:i/>
              </w:rPr>
            </w:pPr>
          </w:p>
        </w:tc>
        <w:tc>
          <w:tcPr>
            <w:tcW w:w="1275" w:type="dxa"/>
            <w:vAlign w:val="center"/>
          </w:tcPr>
          <w:p w14:paraId="59F598BF" w14:textId="77777777" w:rsidR="005C14E6" w:rsidRPr="005C14E6" w:rsidRDefault="005C14E6" w:rsidP="00726BC5">
            <w:pPr>
              <w:pStyle w:val="naisf"/>
              <w:spacing w:before="0" w:after="0"/>
              <w:rPr>
                <w:b/>
                <w:i/>
              </w:rPr>
            </w:pPr>
          </w:p>
        </w:tc>
        <w:tc>
          <w:tcPr>
            <w:tcW w:w="1347" w:type="dxa"/>
            <w:vAlign w:val="center"/>
          </w:tcPr>
          <w:p w14:paraId="3DF1B1E7" w14:textId="77777777" w:rsidR="005C14E6" w:rsidRPr="005C14E6" w:rsidRDefault="005C14E6" w:rsidP="00726BC5">
            <w:pPr>
              <w:pStyle w:val="naisf"/>
              <w:spacing w:before="0" w:after="0"/>
              <w:rPr>
                <w:b/>
                <w:i/>
              </w:rPr>
            </w:pPr>
          </w:p>
        </w:tc>
      </w:tr>
      <w:tr w:rsidR="005C14E6" w:rsidRPr="005C14E6" w14:paraId="5FCEC3E4" w14:textId="77777777" w:rsidTr="00726BC5">
        <w:trPr>
          <w:jc w:val="center"/>
        </w:trPr>
        <w:tc>
          <w:tcPr>
            <w:tcW w:w="2835" w:type="dxa"/>
            <w:shd w:val="clear" w:color="auto" w:fill="auto"/>
          </w:tcPr>
          <w:p w14:paraId="25303E6E"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3. Finansiālā ietekme:</w:t>
            </w:r>
          </w:p>
        </w:tc>
        <w:tc>
          <w:tcPr>
            <w:tcW w:w="1063" w:type="dxa"/>
            <w:shd w:val="clear" w:color="auto" w:fill="auto"/>
            <w:vAlign w:val="center"/>
          </w:tcPr>
          <w:p w14:paraId="46D7D3B5" w14:textId="77777777" w:rsidR="005C14E6" w:rsidRPr="005C14E6" w:rsidRDefault="005C14E6" w:rsidP="00726BC5">
            <w:pPr>
              <w:pStyle w:val="naisf"/>
              <w:spacing w:before="0" w:after="0"/>
              <w:rPr>
                <w:sz w:val="18"/>
                <w:szCs w:val="18"/>
              </w:rPr>
            </w:pPr>
          </w:p>
        </w:tc>
        <w:tc>
          <w:tcPr>
            <w:tcW w:w="1418" w:type="dxa"/>
            <w:vAlign w:val="center"/>
          </w:tcPr>
          <w:p w14:paraId="60E1A71C" w14:textId="64E8A5E0" w:rsidR="005C14E6" w:rsidRPr="00492B0A" w:rsidRDefault="00492B0A" w:rsidP="00726BC5">
            <w:pPr>
              <w:pStyle w:val="naisf"/>
              <w:spacing w:before="0" w:after="0"/>
              <w:rPr>
                <w:b/>
                <w:i/>
                <w:sz w:val="20"/>
              </w:rPr>
            </w:pPr>
            <w:r w:rsidRPr="00492B0A">
              <w:rPr>
                <w:b/>
                <w:i/>
                <w:sz w:val="20"/>
              </w:rPr>
              <w:t>2 242 587</w:t>
            </w:r>
          </w:p>
        </w:tc>
        <w:tc>
          <w:tcPr>
            <w:tcW w:w="1347" w:type="dxa"/>
            <w:vAlign w:val="center"/>
          </w:tcPr>
          <w:p w14:paraId="4BD4CDA4" w14:textId="0D1036A1" w:rsidR="005C14E6" w:rsidRPr="005C14E6" w:rsidRDefault="00492B0A" w:rsidP="00726BC5">
            <w:pPr>
              <w:pStyle w:val="naisf"/>
              <w:spacing w:before="0" w:after="0"/>
              <w:rPr>
                <w:b/>
                <w:i/>
                <w:sz w:val="18"/>
                <w:szCs w:val="18"/>
              </w:rPr>
            </w:pPr>
            <w:r>
              <w:rPr>
                <w:b/>
                <w:i/>
                <w:sz w:val="18"/>
                <w:szCs w:val="18"/>
              </w:rPr>
              <w:t>3 856 729</w:t>
            </w:r>
          </w:p>
        </w:tc>
        <w:tc>
          <w:tcPr>
            <w:tcW w:w="1275" w:type="dxa"/>
            <w:vAlign w:val="center"/>
          </w:tcPr>
          <w:p w14:paraId="3DE1D8B5" w14:textId="2B863D7D" w:rsidR="005C14E6" w:rsidRPr="005C14E6" w:rsidRDefault="005C14E6" w:rsidP="00492B0A">
            <w:pPr>
              <w:pStyle w:val="naisf"/>
              <w:spacing w:before="0" w:after="0"/>
              <w:ind w:firstLine="34"/>
              <w:rPr>
                <w:b/>
                <w:i/>
                <w:sz w:val="18"/>
                <w:szCs w:val="18"/>
              </w:rPr>
            </w:pPr>
            <w:r w:rsidRPr="005C14E6">
              <w:rPr>
                <w:b/>
                <w:i/>
                <w:sz w:val="18"/>
                <w:szCs w:val="18"/>
              </w:rPr>
              <w:t>-</w:t>
            </w:r>
            <w:r w:rsidR="00702AD9">
              <w:rPr>
                <w:b/>
                <w:i/>
                <w:sz w:val="18"/>
                <w:szCs w:val="18"/>
              </w:rPr>
              <w:t>3 501 669</w:t>
            </w:r>
          </w:p>
        </w:tc>
        <w:tc>
          <w:tcPr>
            <w:tcW w:w="1347" w:type="dxa"/>
            <w:vAlign w:val="center"/>
          </w:tcPr>
          <w:p w14:paraId="1C436036" w14:textId="1B0CE698" w:rsidR="005C14E6" w:rsidRPr="005C14E6" w:rsidRDefault="005C14E6" w:rsidP="00702AD9">
            <w:pPr>
              <w:pStyle w:val="naisf"/>
              <w:spacing w:before="0" w:after="0"/>
              <w:rPr>
                <w:b/>
                <w:i/>
                <w:sz w:val="18"/>
                <w:szCs w:val="18"/>
              </w:rPr>
            </w:pPr>
            <w:r w:rsidRPr="005C14E6">
              <w:rPr>
                <w:b/>
                <w:i/>
                <w:sz w:val="18"/>
                <w:szCs w:val="18"/>
              </w:rPr>
              <w:t>-</w:t>
            </w:r>
            <w:r w:rsidR="00492B0A">
              <w:rPr>
                <w:b/>
                <w:i/>
                <w:sz w:val="18"/>
                <w:szCs w:val="18"/>
              </w:rPr>
              <w:t>4 583 4</w:t>
            </w:r>
            <w:r w:rsidR="00702AD9">
              <w:rPr>
                <w:b/>
                <w:i/>
                <w:sz w:val="18"/>
                <w:szCs w:val="18"/>
              </w:rPr>
              <w:t>70</w:t>
            </w:r>
          </w:p>
        </w:tc>
      </w:tr>
      <w:tr w:rsidR="005C14E6" w:rsidRPr="005C14E6" w14:paraId="6DF533EB" w14:textId="77777777" w:rsidTr="00726BC5">
        <w:trPr>
          <w:jc w:val="center"/>
        </w:trPr>
        <w:tc>
          <w:tcPr>
            <w:tcW w:w="2835" w:type="dxa"/>
            <w:shd w:val="clear" w:color="auto" w:fill="auto"/>
          </w:tcPr>
          <w:p w14:paraId="1A3DFE96"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3.1. valsts pamatbudžets</w:t>
            </w:r>
          </w:p>
        </w:tc>
        <w:tc>
          <w:tcPr>
            <w:tcW w:w="1063" w:type="dxa"/>
            <w:shd w:val="clear" w:color="auto" w:fill="auto"/>
            <w:vAlign w:val="center"/>
          </w:tcPr>
          <w:p w14:paraId="575C8487" w14:textId="77777777" w:rsidR="005C14E6" w:rsidRPr="005C14E6" w:rsidRDefault="005C14E6" w:rsidP="00726BC5">
            <w:pPr>
              <w:pStyle w:val="naisf"/>
              <w:spacing w:before="0" w:after="0"/>
              <w:rPr>
                <w:i/>
                <w:sz w:val="18"/>
                <w:szCs w:val="18"/>
              </w:rPr>
            </w:pPr>
          </w:p>
        </w:tc>
        <w:tc>
          <w:tcPr>
            <w:tcW w:w="1418" w:type="dxa"/>
            <w:vAlign w:val="center"/>
          </w:tcPr>
          <w:p w14:paraId="13550630" w14:textId="311C56CE" w:rsidR="005C14E6" w:rsidRPr="00492B0A" w:rsidRDefault="00492B0A" w:rsidP="00726BC5">
            <w:pPr>
              <w:pStyle w:val="naisf"/>
              <w:spacing w:before="0" w:after="0"/>
              <w:rPr>
                <w:b/>
                <w:i/>
                <w:sz w:val="20"/>
              </w:rPr>
            </w:pPr>
            <w:r w:rsidRPr="00492B0A">
              <w:rPr>
                <w:b/>
                <w:i/>
                <w:sz w:val="20"/>
              </w:rPr>
              <w:t>2 242 587</w:t>
            </w:r>
          </w:p>
        </w:tc>
        <w:tc>
          <w:tcPr>
            <w:tcW w:w="1347" w:type="dxa"/>
            <w:vAlign w:val="center"/>
          </w:tcPr>
          <w:p w14:paraId="3FDB1C6E" w14:textId="1C2EF500" w:rsidR="005C14E6" w:rsidRPr="005C14E6" w:rsidRDefault="00492B0A" w:rsidP="00726BC5">
            <w:pPr>
              <w:pStyle w:val="naisf"/>
              <w:spacing w:before="0" w:after="0"/>
              <w:rPr>
                <w:b/>
                <w:i/>
                <w:sz w:val="18"/>
                <w:szCs w:val="18"/>
              </w:rPr>
            </w:pPr>
            <w:r>
              <w:rPr>
                <w:b/>
                <w:i/>
                <w:sz w:val="18"/>
                <w:szCs w:val="18"/>
              </w:rPr>
              <w:t>3 856 729</w:t>
            </w:r>
          </w:p>
        </w:tc>
        <w:tc>
          <w:tcPr>
            <w:tcW w:w="1275" w:type="dxa"/>
            <w:vAlign w:val="center"/>
          </w:tcPr>
          <w:p w14:paraId="53DE7C41" w14:textId="6DBB0A56" w:rsidR="005C14E6" w:rsidRPr="005C14E6" w:rsidRDefault="00492B0A" w:rsidP="00726BC5">
            <w:pPr>
              <w:pStyle w:val="naisf"/>
              <w:spacing w:before="0" w:after="0"/>
              <w:ind w:firstLine="34"/>
              <w:rPr>
                <w:b/>
                <w:i/>
                <w:sz w:val="18"/>
                <w:szCs w:val="18"/>
              </w:rPr>
            </w:pPr>
            <w:r w:rsidRPr="005C14E6">
              <w:rPr>
                <w:b/>
                <w:i/>
                <w:sz w:val="18"/>
                <w:szCs w:val="18"/>
              </w:rPr>
              <w:t>-</w:t>
            </w:r>
            <w:r w:rsidR="00702AD9">
              <w:rPr>
                <w:b/>
                <w:i/>
                <w:sz w:val="18"/>
                <w:szCs w:val="18"/>
              </w:rPr>
              <w:t>3 501 669</w:t>
            </w:r>
          </w:p>
        </w:tc>
        <w:tc>
          <w:tcPr>
            <w:tcW w:w="1347" w:type="dxa"/>
            <w:vAlign w:val="center"/>
          </w:tcPr>
          <w:p w14:paraId="1951B0B8" w14:textId="68202C53" w:rsidR="005C14E6" w:rsidRPr="005C14E6" w:rsidRDefault="00492B0A" w:rsidP="00702AD9">
            <w:pPr>
              <w:pStyle w:val="naisf"/>
              <w:spacing w:before="0" w:after="0"/>
              <w:rPr>
                <w:b/>
                <w:i/>
                <w:sz w:val="18"/>
                <w:szCs w:val="18"/>
              </w:rPr>
            </w:pPr>
            <w:r w:rsidRPr="005C14E6">
              <w:rPr>
                <w:b/>
                <w:i/>
                <w:sz w:val="18"/>
                <w:szCs w:val="18"/>
              </w:rPr>
              <w:t>-</w:t>
            </w:r>
            <w:r>
              <w:rPr>
                <w:b/>
                <w:i/>
                <w:sz w:val="18"/>
                <w:szCs w:val="18"/>
              </w:rPr>
              <w:t>4 583 4</w:t>
            </w:r>
            <w:r w:rsidR="00702AD9">
              <w:rPr>
                <w:b/>
                <w:i/>
                <w:sz w:val="18"/>
                <w:szCs w:val="18"/>
              </w:rPr>
              <w:t>70</w:t>
            </w:r>
          </w:p>
        </w:tc>
      </w:tr>
      <w:tr w:rsidR="005C14E6" w:rsidRPr="005C14E6" w14:paraId="0B48AFC7" w14:textId="77777777" w:rsidTr="00726BC5">
        <w:trPr>
          <w:jc w:val="center"/>
        </w:trPr>
        <w:tc>
          <w:tcPr>
            <w:tcW w:w="2835" w:type="dxa"/>
            <w:shd w:val="clear" w:color="auto" w:fill="auto"/>
          </w:tcPr>
          <w:p w14:paraId="72D5BD99"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3.2. speciālais budžets</w:t>
            </w:r>
          </w:p>
        </w:tc>
        <w:tc>
          <w:tcPr>
            <w:tcW w:w="1063" w:type="dxa"/>
            <w:shd w:val="clear" w:color="auto" w:fill="auto"/>
            <w:vAlign w:val="center"/>
          </w:tcPr>
          <w:p w14:paraId="0CD780E9" w14:textId="77777777" w:rsidR="005C14E6" w:rsidRPr="005C14E6" w:rsidRDefault="005C14E6" w:rsidP="00726BC5">
            <w:pPr>
              <w:pStyle w:val="naisf"/>
              <w:spacing w:before="0" w:after="0"/>
              <w:rPr>
                <w:i/>
              </w:rPr>
            </w:pPr>
            <w:r w:rsidRPr="005C14E6">
              <w:rPr>
                <w:i/>
              </w:rPr>
              <w:t>0</w:t>
            </w:r>
          </w:p>
        </w:tc>
        <w:tc>
          <w:tcPr>
            <w:tcW w:w="1418" w:type="dxa"/>
            <w:vAlign w:val="center"/>
          </w:tcPr>
          <w:p w14:paraId="42791488" w14:textId="77777777" w:rsidR="005C14E6" w:rsidRPr="005C14E6" w:rsidRDefault="005C14E6" w:rsidP="00726BC5">
            <w:pPr>
              <w:pStyle w:val="naisf"/>
              <w:spacing w:before="0" w:after="0"/>
              <w:rPr>
                <w:b/>
                <w:i/>
              </w:rPr>
            </w:pPr>
            <w:r w:rsidRPr="005C14E6">
              <w:rPr>
                <w:b/>
                <w:i/>
              </w:rPr>
              <w:t>0</w:t>
            </w:r>
          </w:p>
        </w:tc>
        <w:tc>
          <w:tcPr>
            <w:tcW w:w="1347" w:type="dxa"/>
            <w:vAlign w:val="center"/>
          </w:tcPr>
          <w:p w14:paraId="3A156D7D" w14:textId="77777777" w:rsidR="005C14E6" w:rsidRPr="005C14E6" w:rsidRDefault="005C14E6" w:rsidP="00726BC5">
            <w:pPr>
              <w:pStyle w:val="naisf"/>
              <w:spacing w:before="0" w:after="0"/>
              <w:rPr>
                <w:b/>
                <w:i/>
              </w:rPr>
            </w:pPr>
          </w:p>
        </w:tc>
        <w:tc>
          <w:tcPr>
            <w:tcW w:w="1275" w:type="dxa"/>
            <w:vAlign w:val="center"/>
          </w:tcPr>
          <w:p w14:paraId="63162435" w14:textId="77777777" w:rsidR="005C14E6" w:rsidRPr="005C14E6" w:rsidRDefault="005C14E6" w:rsidP="00726BC5">
            <w:pPr>
              <w:pStyle w:val="naisf"/>
              <w:spacing w:before="0" w:after="0"/>
              <w:rPr>
                <w:b/>
                <w:i/>
              </w:rPr>
            </w:pPr>
          </w:p>
        </w:tc>
        <w:tc>
          <w:tcPr>
            <w:tcW w:w="1347" w:type="dxa"/>
            <w:vAlign w:val="center"/>
          </w:tcPr>
          <w:p w14:paraId="6377F040" w14:textId="77777777" w:rsidR="005C14E6" w:rsidRPr="005C14E6" w:rsidRDefault="005C14E6" w:rsidP="00726BC5">
            <w:pPr>
              <w:pStyle w:val="naisf"/>
              <w:spacing w:before="0" w:after="0"/>
              <w:rPr>
                <w:b/>
                <w:i/>
              </w:rPr>
            </w:pPr>
          </w:p>
        </w:tc>
      </w:tr>
      <w:tr w:rsidR="005C14E6" w:rsidRPr="005C14E6" w14:paraId="69BF9975" w14:textId="77777777" w:rsidTr="00726BC5">
        <w:trPr>
          <w:jc w:val="center"/>
        </w:trPr>
        <w:tc>
          <w:tcPr>
            <w:tcW w:w="2835" w:type="dxa"/>
            <w:shd w:val="clear" w:color="auto" w:fill="auto"/>
          </w:tcPr>
          <w:p w14:paraId="7E8C27AD"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 xml:space="preserve">3.3. pašvaldību budžets </w:t>
            </w:r>
          </w:p>
        </w:tc>
        <w:tc>
          <w:tcPr>
            <w:tcW w:w="1063" w:type="dxa"/>
            <w:shd w:val="clear" w:color="auto" w:fill="auto"/>
            <w:vAlign w:val="center"/>
          </w:tcPr>
          <w:p w14:paraId="61DB1580" w14:textId="77777777" w:rsidR="005C14E6" w:rsidRPr="005C14E6" w:rsidRDefault="005C14E6" w:rsidP="00726BC5">
            <w:pPr>
              <w:pStyle w:val="naisf"/>
              <w:spacing w:before="0" w:after="0"/>
              <w:rPr>
                <w:i/>
              </w:rPr>
            </w:pPr>
            <w:r w:rsidRPr="005C14E6">
              <w:rPr>
                <w:i/>
              </w:rPr>
              <w:t>0</w:t>
            </w:r>
          </w:p>
        </w:tc>
        <w:tc>
          <w:tcPr>
            <w:tcW w:w="1418" w:type="dxa"/>
            <w:vAlign w:val="center"/>
          </w:tcPr>
          <w:p w14:paraId="2CD4C0DE" w14:textId="77777777" w:rsidR="005C14E6" w:rsidRPr="005C14E6" w:rsidRDefault="005C14E6" w:rsidP="00726BC5">
            <w:pPr>
              <w:pStyle w:val="naisf"/>
              <w:spacing w:before="0" w:after="0"/>
              <w:rPr>
                <w:b/>
                <w:i/>
              </w:rPr>
            </w:pPr>
            <w:r w:rsidRPr="005C14E6">
              <w:rPr>
                <w:b/>
                <w:i/>
              </w:rPr>
              <w:t>0</w:t>
            </w:r>
          </w:p>
        </w:tc>
        <w:tc>
          <w:tcPr>
            <w:tcW w:w="1347" w:type="dxa"/>
            <w:vAlign w:val="center"/>
          </w:tcPr>
          <w:p w14:paraId="78F7D7AA" w14:textId="77777777" w:rsidR="005C14E6" w:rsidRPr="005C14E6" w:rsidRDefault="005C14E6" w:rsidP="00726BC5">
            <w:pPr>
              <w:pStyle w:val="naisf"/>
              <w:spacing w:before="0" w:after="0"/>
              <w:rPr>
                <w:b/>
                <w:i/>
              </w:rPr>
            </w:pPr>
          </w:p>
        </w:tc>
        <w:tc>
          <w:tcPr>
            <w:tcW w:w="1275" w:type="dxa"/>
            <w:vAlign w:val="center"/>
          </w:tcPr>
          <w:p w14:paraId="57199ED9" w14:textId="77777777" w:rsidR="005C14E6" w:rsidRPr="005C14E6" w:rsidRDefault="005C14E6" w:rsidP="00726BC5">
            <w:pPr>
              <w:pStyle w:val="naisf"/>
              <w:spacing w:before="0" w:after="0"/>
              <w:rPr>
                <w:b/>
                <w:i/>
              </w:rPr>
            </w:pPr>
          </w:p>
        </w:tc>
        <w:tc>
          <w:tcPr>
            <w:tcW w:w="1347" w:type="dxa"/>
            <w:vAlign w:val="center"/>
          </w:tcPr>
          <w:p w14:paraId="0CEFE20C" w14:textId="77777777" w:rsidR="005C14E6" w:rsidRPr="005C14E6" w:rsidRDefault="005C14E6" w:rsidP="00726BC5">
            <w:pPr>
              <w:pStyle w:val="naisf"/>
              <w:spacing w:before="0" w:after="0"/>
              <w:rPr>
                <w:b/>
                <w:i/>
              </w:rPr>
            </w:pPr>
          </w:p>
        </w:tc>
      </w:tr>
      <w:tr w:rsidR="005C14E6" w:rsidRPr="005C14E6" w14:paraId="60D27558" w14:textId="77777777" w:rsidTr="00726BC5">
        <w:trPr>
          <w:jc w:val="center"/>
        </w:trPr>
        <w:tc>
          <w:tcPr>
            <w:tcW w:w="2835" w:type="dxa"/>
            <w:vMerge w:val="restart"/>
            <w:shd w:val="clear" w:color="auto" w:fill="auto"/>
          </w:tcPr>
          <w:p w14:paraId="766F190F"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4. Finanšu līdzekļi papildu izdevumu finansēšanai (kompensējošu izdevumu samazinājumu norāda ar "+" zīmi)</w:t>
            </w:r>
          </w:p>
        </w:tc>
        <w:tc>
          <w:tcPr>
            <w:tcW w:w="1063" w:type="dxa"/>
            <w:vMerge w:val="restart"/>
            <w:vAlign w:val="center"/>
          </w:tcPr>
          <w:p w14:paraId="1F214272" w14:textId="77777777" w:rsidR="005C14E6" w:rsidRPr="005C14E6" w:rsidRDefault="005C14E6" w:rsidP="00726BC5">
            <w:pPr>
              <w:pStyle w:val="naisf"/>
              <w:spacing w:before="0" w:after="0"/>
              <w:jc w:val="center"/>
              <w:rPr>
                <w:i/>
              </w:rPr>
            </w:pPr>
            <w:r w:rsidRPr="005C14E6">
              <w:t>X</w:t>
            </w:r>
          </w:p>
        </w:tc>
        <w:tc>
          <w:tcPr>
            <w:tcW w:w="1418" w:type="dxa"/>
            <w:vAlign w:val="center"/>
          </w:tcPr>
          <w:p w14:paraId="59FEDBC4" w14:textId="77777777" w:rsidR="005C14E6" w:rsidRPr="005C14E6" w:rsidRDefault="005C14E6" w:rsidP="00726BC5">
            <w:pPr>
              <w:pStyle w:val="naisf"/>
              <w:spacing w:before="0" w:after="0"/>
              <w:rPr>
                <w:b/>
                <w:i/>
              </w:rPr>
            </w:pPr>
            <w:r w:rsidRPr="005C14E6">
              <w:rPr>
                <w:b/>
                <w:i/>
              </w:rPr>
              <w:t>0</w:t>
            </w:r>
          </w:p>
        </w:tc>
        <w:tc>
          <w:tcPr>
            <w:tcW w:w="1347" w:type="dxa"/>
            <w:vAlign w:val="center"/>
          </w:tcPr>
          <w:p w14:paraId="2141CB91" w14:textId="77777777" w:rsidR="005C14E6" w:rsidRPr="005C14E6" w:rsidRDefault="005C14E6" w:rsidP="00726BC5">
            <w:pPr>
              <w:pStyle w:val="naisf"/>
              <w:spacing w:before="0" w:after="0"/>
              <w:rPr>
                <w:b/>
                <w:i/>
              </w:rPr>
            </w:pPr>
          </w:p>
        </w:tc>
        <w:tc>
          <w:tcPr>
            <w:tcW w:w="1275" w:type="dxa"/>
            <w:vAlign w:val="center"/>
          </w:tcPr>
          <w:p w14:paraId="742B3996" w14:textId="77777777" w:rsidR="005C14E6" w:rsidRPr="005C14E6" w:rsidRDefault="005C14E6" w:rsidP="00726BC5">
            <w:pPr>
              <w:pStyle w:val="naisf"/>
              <w:spacing w:before="0" w:after="0"/>
              <w:rPr>
                <w:b/>
                <w:i/>
              </w:rPr>
            </w:pPr>
          </w:p>
        </w:tc>
        <w:tc>
          <w:tcPr>
            <w:tcW w:w="1347" w:type="dxa"/>
            <w:vAlign w:val="center"/>
          </w:tcPr>
          <w:p w14:paraId="394D2D5F" w14:textId="77777777" w:rsidR="005C14E6" w:rsidRPr="005C14E6" w:rsidRDefault="005C14E6" w:rsidP="00726BC5">
            <w:pPr>
              <w:pStyle w:val="naisf"/>
              <w:spacing w:before="0" w:after="0"/>
              <w:rPr>
                <w:b/>
                <w:i/>
              </w:rPr>
            </w:pPr>
          </w:p>
        </w:tc>
      </w:tr>
      <w:tr w:rsidR="005C14E6" w:rsidRPr="005C14E6" w14:paraId="477BDF61" w14:textId="77777777" w:rsidTr="00726BC5">
        <w:trPr>
          <w:jc w:val="center"/>
        </w:trPr>
        <w:tc>
          <w:tcPr>
            <w:tcW w:w="2835" w:type="dxa"/>
            <w:vMerge/>
            <w:shd w:val="clear" w:color="auto" w:fill="auto"/>
          </w:tcPr>
          <w:p w14:paraId="04EC9706" w14:textId="77777777" w:rsidR="005C14E6" w:rsidRPr="005C14E6" w:rsidRDefault="005C14E6" w:rsidP="00726BC5">
            <w:pPr>
              <w:rPr>
                <w:rFonts w:ascii="Times New Roman" w:hAnsi="Times New Roman" w:cs="Times New Roman"/>
              </w:rPr>
            </w:pPr>
          </w:p>
        </w:tc>
        <w:tc>
          <w:tcPr>
            <w:tcW w:w="1063" w:type="dxa"/>
            <w:vMerge/>
            <w:vAlign w:val="center"/>
          </w:tcPr>
          <w:p w14:paraId="036A83CC" w14:textId="77777777" w:rsidR="005C14E6" w:rsidRPr="005C14E6" w:rsidRDefault="005C14E6" w:rsidP="00726BC5">
            <w:pPr>
              <w:pStyle w:val="naisf"/>
              <w:spacing w:before="0" w:after="0"/>
              <w:jc w:val="center"/>
              <w:rPr>
                <w:i/>
              </w:rPr>
            </w:pPr>
          </w:p>
        </w:tc>
        <w:tc>
          <w:tcPr>
            <w:tcW w:w="1418" w:type="dxa"/>
            <w:vAlign w:val="center"/>
          </w:tcPr>
          <w:p w14:paraId="284EC895" w14:textId="77777777" w:rsidR="005C14E6" w:rsidRPr="005C14E6" w:rsidRDefault="005C14E6" w:rsidP="00726BC5">
            <w:pPr>
              <w:pStyle w:val="naisf"/>
              <w:spacing w:before="0" w:after="0"/>
              <w:rPr>
                <w:b/>
                <w:i/>
              </w:rPr>
            </w:pPr>
            <w:r w:rsidRPr="005C14E6">
              <w:rPr>
                <w:b/>
                <w:i/>
              </w:rPr>
              <w:t>0</w:t>
            </w:r>
          </w:p>
        </w:tc>
        <w:tc>
          <w:tcPr>
            <w:tcW w:w="1347" w:type="dxa"/>
            <w:vAlign w:val="center"/>
          </w:tcPr>
          <w:p w14:paraId="7171BAB1" w14:textId="77777777" w:rsidR="005C14E6" w:rsidRPr="005C14E6" w:rsidRDefault="005C14E6" w:rsidP="00726BC5">
            <w:pPr>
              <w:pStyle w:val="naisf"/>
              <w:spacing w:before="0" w:after="0"/>
              <w:rPr>
                <w:b/>
                <w:i/>
              </w:rPr>
            </w:pPr>
          </w:p>
        </w:tc>
        <w:tc>
          <w:tcPr>
            <w:tcW w:w="1275" w:type="dxa"/>
            <w:vAlign w:val="center"/>
          </w:tcPr>
          <w:p w14:paraId="33140BD7" w14:textId="77777777" w:rsidR="005C14E6" w:rsidRPr="005C14E6" w:rsidRDefault="005C14E6" w:rsidP="00726BC5">
            <w:pPr>
              <w:pStyle w:val="naisf"/>
              <w:spacing w:before="0" w:after="0"/>
              <w:rPr>
                <w:b/>
                <w:i/>
              </w:rPr>
            </w:pPr>
          </w:p>
        </w:tc>
        <w:tc>
          <w:tcPr>
            <w:tcW w:w="1347" w:type="dxa"/>
            <w:vAlign w:val="center"/>
          </w:tcPr>
          <w:p w14:paraId="2317148B" w14:textId="77777777" w:rsidR="005C14E6" w:rsidRPr="005C14E6" w:rsidRDefault="005C14E6" w:rsidP="00726BC5">
            <w:pPr>
              <w:pStyle w:val="naisf"/>
              <w:spacing w:before="0" w:after="0"/>
              <w:rPr>
                <w:b/>
                <w:i/>
              </w:rPr>
            </w:pPr>
          </w:p>
        </w:tc>
      </w:tr>
      <w:tr w:rsidR="005C14E6" w:rsidRPr="005C14E6" w14:paraId="3CB2031E" w14:textId="77777777" w:rsidTr="00726BC5">
        <w:trPr>
          <w:jc w:val="center"/>
        </w:trPr>
        <w:tc>
          <w:tcPr>
            <w:tcW w:w="2835" w:type="dxa"/>
            <w:vMerge/>
            <w:shd w:val="clear" w:color="auto" w:fill="auto"/>
          </w:tcPr>
          <w:p w14:paraId="76355FA1" w14:textId="77777777" w:rsidR="005C14E6" w:rsidRPr="005C14E6" w:rsidRDefault="005C14E6" w:rsidP="00726BC5">
            <w:pPr>
              <w:rPr>
                <w:rFonts w:ascii="Times New Roman" w:hAnsi="Times New Roman" w:cs="Times New Roman"/>
              </w:rPr>
            </w:pPr>
          </w:p>
        </w:tc>
        <w:tc>
          <w:tcPr>
            <w:tcW w:w="1063" w:type="dxa"/>
            <w:vMerge/>
            <w:vAlign w:val="center"/>
          </w:tcPr>
          <w:p w14:paraId="78A2AA0E" w14:textId="77777777" w:rsidR="005C14E6" w:rsidRPr="005C14E6" w:rsidRDefault="005C14E6" w:rsidP="00726BC5">
            <w:pPr>
              <w:pStyle w:val="naisf"/>
              <w:spacing w:before="0" w:after="0"/>
              <w:jc w:val="center"/>
              <w:rPr>
                <w:i/>
              </w:rPr>
            </w:pPr>
          </w:p>
        </w:tc>
        <w:tc>
          <w:tcPr>
            <w:tcW w:w="1418" w:type="dxa"/>
            <w:vAlign w:val="center"/>
          </w:tcPr>
          <w:p w14:paraId="1362E3FC" w14:textId="77777777" w:rsidR="005C14E6" w:rsidRPr="005C14E6" w:rsidRDefault="005C14E6" w:rsidP="00726BC5">
            <w:pPr>
              <w:pStyle w:val="naisf"/>
              <w:spacing w:before="0" w:after="0"/>
              <w:rPr>
                <w:b/>
                <w:i/>
              </w:rPr>
            </w:pPr>
            <w:r w:rsidRPr="005C14E6">
              <w:rPr>
                <w:b/>
                <w:i/>
              </w:rPr>
              <w:t>0</w:t>
            </w:r>
          </w:p>
        </w:tc>
        <w:tc>
          <w:tcPr>
            <w:tcW w:w="1347" w:type="dxa"/>
            <w:vAlign w:val="center"/>
          </w:tcPr>
          <w:p w14:paraId="53D0E8A0" w14:textId="77777777" w:rsidR="005C14E6" w:rsidRPr="005C14E6" w:rsidRDefault="005C14E6" w:rsidP="00726BC5">
            <w:pPr>
              <w:pStyle w:val="naisf"/>
              <w:spacing w:before="0" w:after="0"/>
              <w:rPr>
                <w:b/>
                <w:i/>
              </w:rPr>
            </w:pPr>
          </w:p>
        </w:tc>
        <w:tc>
          <w:tcPr>
            <w:tcW w:w="1275" w:type="dxa"/>
            <w:vAlign w:val="center"/>
          </w:tcPr>
          <w:p w14:paraId="1079372B" w14:textId="77777777" w:rsidR="005C14E6" w:rsidRPr="005C14E6" w:rsidRDefault="005C14E6" w:rsidP="00726BC5">
            <w:pPr>
              <w:pStyle w:val="naisf"/>
              <w:spacing w:before="0" w:after="0"/>
              <w:rPr>
                <w:b/>
                <w:i/>
              </w:rPr>
            </w:pPr>
          </w:p>
        </w:tc>
        <w:tc>
          <w:tcPr>
            <w:tcW w:w="1347" w:type="dxa"/>
            <w:vAlign w:val="center"/>
          </w:tcPr>
          <w:p w14:paraId="15461576" w14:textId="77777777" w:rsidR="005C14E6" w:rsidRPr="005C14E6" w:rsidRDefault="005C14E6" w:rsidP="00726BC5">
            <w:pPr>
              <w:pStyle w:val="naisf"/>
              <w:spacing w:before="0" w:after="0"/>
              <w:rPr>
                <w:b/>
                <w:i/>
              </w:rPr>
            </w:pPr>
          </w:p>
        </w:tc>
      </w:tr>
      <w:tr w:rsidR="005C14E6" w:rsidRPr="005C14E6" w14:paraId="266394DB" w14:textId="77777777" w:rsidTr="00726BC5">
        <w:trPr>
          <w:jc w:val="center"/>
        </w:trPr>
        <w:tc>
          <w:tcPr>
            <w:tcW w:w="2835" w:type="dxa"/>
            <w:shd w:val="clear" w:color="auto" w:fill="auto"/>
          </w:tcPr>
          <w:p w14:paraId="142E7908"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5. Precizēta finansiālā ietekme:</w:t>
            </w:r>
          </w:p>
        </w:tc>
        <w:tc>
          <w:tcPr>
            <w:tcW w:w="1063" w:type="dxa"/>
            <w:vMerge w:val="restart"/>
            <w:vAlign w:val="center"/>
          </w:tcPr>
          <w:p w14:paraId="55E5E74B" w14:textId="77777777" w:rsidR="005C14E6" w:rsidRPr="005C14E6" w:rsidRDefault="005C14E6" w:rsidP="00726BC5">
            <w:pPr>
              <w:pStyle w:val="naisf"/>
              <w:spacing w:before="0" w:after="0"/>
              <w:jc w:val="center"/>
              <w:rPr>
                <w:i/>
              </w:rPr>
            </w:pPr>
            <w:r w:rsidRPr="005C14E6">
              <w:t>X</w:t>
            </w:r>
          </w:p>
        </w:tc>
        <w:tc>
          <w:tcPr>
            <w:tcW w:w="1418" w:type="dxa"/>
            <w:vAlign w:val="center"/>
          </w:tcPr>
          <w:p w14:paraId="6FE71BB5" w14:textId="3F3DCF2B" w:rsidR="005C14E6" w:rsidRPr="005C14E6" w:rsidRDefault="00500DED" w:rsidP="00726BC5">
            <w:pPr>
              <w:pStyle w:val="naisf"/>
              <w:spacing w:before="0" w:after="0"/>
              <w:rPr>
                <w:b/>
                <w:i/>
              </w:rPr>
            </w:pPr>
            <w:r>
              <w:rPr>
                <w:b/>
                <w:i/>
              </w:rPr>
              <w:t>2 242 587</w:t>
            </w:r>
          </w:p>
        </w:tc>
        <w:tc>
          <w:tcPr>
            <w:tcW w:w="1347" w:type="dxa"/>
            <w:vAlign w:val="center"/>
          </w:tcPr>
          <w:p w14:paraId="101EEB70" w14:textId="529EC27A" w:rsidR="005C14E6" w:rsidRPr="005C14E6" w:rsidRDefault="00500DED" w:rsidP="00726BC5">
            <w:pPr>
              <w:pStyle w:val="naisf"/>
              <w:spacing w:before="0" w:after="0"/>
              <w:rPr>
                <w:b/>
                <w:i/>
              </w:rPr>
            </w:pPr>
            <w:r>
              <w:rPr>
                <w:b/>
                <w:i/>
              </w:rPr>
              <w:t>3 856 729</w:t>
            </w:r>
          </w:p>
        </w:tc>
        <w:tc>
          <w:tcPr>
            <w:tcW w:w="1275" w:type="dxa"/>
            <w:vAlign w:val="center"/>
          </w:tcPr>
          <w:p w14:paraId="0D3AE4C2" w14:textId="3C95258B" w:rsidR="005C14E6" w:rsidRPr="005C14E6" w:rsidRDefault="00500DED" w:rsidP="00726BC5">
            <w:pPr>
              <w:pStyle w:val="naisf"/>
              <w:spacing w:before="0" w:after="0"/>
              <w:rPr>
                <w:b/>
                <w:i/>
              </w:rPr>
            </w:pPr>
            <w:r>
              <w:rPr>
                <w:b/>
                <w:i/>
              </w:rPr>
              <w:t>-3 501 669</w:t>
            </w:r>
          </w:p>
        </w:tc>
        <w:tc>
          <w:tcPr>
            <w:tcW w:w="1347" w:type="dxa"/>
            <w:vAlign w:val="center"/>
          </w:tcPr>
          <w:p w14:paraId="27669B61" w14:textId="2BF1FA8D" w:rsidR="005C14E6" w:rsidRPr="005C14E6" w:rsidRDefault="00500DED" w:rsidP="00726BC5">
            <w:pPr>
              <w:pStyle w:val="naisf"/>
              <w:spacing w:before="0" w:after="0"/>
              <w:rPr>
                <w:b/>
                <w:i/>
              </w:rPr>
            </w:pPr>
            <w:r>
              <w:rPr>
                <w:b/>
                <w:i/>
              </w:rPr>
              <w:t>-4 583 470</w:t>
            </w:r>
          </w:p>
        </w:tc>
      </w:tr>
      <w:tr w:rsidR="005C14E6" w:rsidRPr="005C14E6" w14:paraId="2830851D" w14:textId="77777777" w:rsidTr="00726BC5">
        <w:trPr>
          <w:jc w:val="center"/>
        </w:trPr>
        <w:tc>
          <w:tcPr>
            <w:tcW w:w="2835" w:type="dxa"/>
            <w:shd w:val="clear" w:color="auto" w:fill="auto"/>
          </w:tcPr>
          <w:p w14:paraId="55526D60"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5.1. valsts pamatbudžets</w:t>
            </w:r>
          </w:p>
        </w:tc>
        <w:tc>
          <w:tcPr>
            <w:tcW w:w="1063" w:type="dxa"/>
            <w:vMerge/>
            <w:vAlign w:val="center"/>
          </w:tcPr>
          <w:p w14:paraId="563AD138" w14:textId="77777777" w:rsidR="005C14E6" w:rsidRPr="005C14E6" w:rsidRDefault="005C14E6" w:rsidP="00726BC5">
            <w:pPr>
              <w:pStyle w:val="naisf"/>
              <w:spacing w:before="0" w:after="0"/>
              <w:jc w:val="center"/>
              <w:rPr>
                <w:i/>
              </w:rPr>
            </w:pPr>
          </w:p>
        </w:tc>
        <w:tc>
          <w:tcPr>
            <w:tcW w:w="1418" w:type="dxa"/>
            <w:vAlign w:val="center"/>
          </w:tcPr>
          <w:p w14:paraId="297926EA" w14:textId="4BCEE587" w:rsidR="005C14E6" w:rsidRPr="005C14E6" w:rsidRDefault="00160BBE" w:rsidP="00726BC5">
            <w:pPr>
              <w:pStyle w:val="naisf"/>
              <w:spacing w:before="0" w:after="0"/>
              <w:rPr>
                <w:b/>
                <w:i/>
              </w:rPr>
            </w:pPr>
            <w:r>
              <w:rPr>
                <w:b/>
                <w:i/>
              </w:rPr>
              <w:t>2 242 587</w:t>
            </w:r>
          </w:p>
        </w:tc>
        <w:tc>
          <w:tcPr>
            <w:tcW w:w="1347" w:type="dxa"/>
            <w:vAlign w:val="center"/>
          </w:tcPr>
          <w:p w14:paraId="27D6A31F" w14:textId="4FB9E1CA" w:rsidR="005C14E6" w:rsidRPr="005C14E6" w:rsidRDefault="00160BBE" w:rsidP="00726BC5">
            <w:pPr>
              <w:pStyle w:val="naisf"/>
              <w:spacing w:before="0" w:after="0"/>
              <w:rPr>
                <w:b/>
                <w:i/>
              </w:rPr>
            </w:pPr>
            <w:r>
              <w:rPr>
                <w:b/>
                <w:i/>
              </w:rPr>
              <w:t>3 856 729</w:t>
            </w:r>
          </w:p>
        </w:tc>
        <w:tc>
          <w:tcPr>
            <w:tcW w:w="1275" w:type="dxa"/>
            <w:vAlign w:val="center"/>
          </w:tcPr>
          <w:p w14:paraId="703C9401" w14:textId="3FDB2D15" w:rsidR="005C14E6" w:rsidRPr="005C14E6" w:rsidRDefault="00160BBE" w:rsidP="00726BC5">
            <w:pPr>
              <w:pStyle w:val="naisf"/>
              <w:spacing w:before="0" w:after="0"/>
              <w:rPr>
                <w:b/>
                <w:i/>
              </w:rPr>
            </w:pPr>
            <w:r>
              <w:rPr>
                <w:b/>
                <w:i/>
              </w:rPr>
              <w:t>-3 501 669</w:t>
            </w:r>
          </w:p>
        </w:tc>
        <w:tc>
          <w:tcPr>
            <w:tcW w:w="1347" w:type="dxa"/>
            <w:vAlign w:val="center"/>
          </w:tcPr>
          <w:p w14:paraId="5F06EFF5" w14:textId="36170964" w:rsidR="005C14E6" w:rsidRPr="005C14E6" w:rsidRDefault="00160BBE" w:rsidP="00726BC5">
            <w:pPr>
              <w:pStyle w:val="naisf"/>
              <w:spacing w:before="0" w:after="0"/>
              <w:rPr>
                <w:b/>
                <w:i/>
              </w:rPr>
            </w:pPr>
            <w:r>
              <w:rPr>
                <w:b/>
                <w:i/>
              </w:rPr>
              <w:t>-4 583 470</w:t>
            </w:r>
          </w:p>
        </w:tc>
      </w:tr>
      <w:tr w:rsidR="005C14E6" w:rsidRPr="005C14E6" w14:paraId="47E7EFFB" w14:textId="77777777" w:rsidTr="00726BC5">
        <w:trPr>
          <w:jc w:val="center"/>
        </w:trPr>
        <w:tc>
          <w:tcPr>
            <w:tcW w:w="2835" w:type="dxa"/>
            <w:shd w:val="clear" w:color="auto" w:fill="auto"/>
          </w:tcPr>
          <w:p w14:paraId="686F6DB8"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5.2. speciālais budžets</w:t>
            </w:r>
          </w:p>
        </w:tc>
        <w:tc>
          <w:tcPr>
            <w:tcW w:w="1063" w:type="dxa"/>
            <w:vMerge/>
            <w:vAlign w:val="center"/>
          </w:tcPr>
          <w:p w14:paraId="15D110ED" w14:textId="77777777" w:rsidR="005C14E6" w:rsidRPr="005C14E6" w:rsidRDefault="005C14E6" w:rsidP="00726BC5">
            <w:pPr>
              <w:pStyle w:val="naisf"/>
              <w:spacing w:before="0" w:after="0"/>
              <w:jc w:val="center"/>
              <w:rPr>
                <w:i/>
              </w:rPr>
            </w:pPr>
          </w:p>
        </w:tc>
        <w:tc>
          <w:tcPr>
            <w:tcW w:w="1418" w:type="dxa"/>
            <w:vAlign w:val="center"/>
          </w:tcPr>
          <w:p w14:paraId="108308DA" w14:textId="77777777" w:rsidR="005C14E6" w:rsidRPr="005C14E6" w:rsidRDefault="005C14E6" w:rsidP="00726BC5">
            <w:pPr>
              <w:pStyle w:val="naisf"/>
              <w:spacing w:before="0" w:after="0"/>
              <w:rPr>
                <w:b/>
                <w:i/>
              </w:rPr>
            </w:pPr>
            <w:r w:rsidRPr="005C14E6">
              <w:rPr>
                <w:b/>
                <w:i/>
              </w:rPr>
              <w:t>0</w:t>
            </w:r>
          </w:p>
        </w:tc>
        <w:tc>
          <w:tcPr>
            <w:tcW w:w="1347" w:type="dxa"/>
            <w:vAlign w:val="center"/>
          </w:tcPr>
          <w:p w14:paraId="0DF741E1" w14:textId="77777777" w:rsidR="005C14E6" w:rsidRPr="005C14E6" w:rsidRDefault="005C14E6" w:rsidP="00726BC5">
            <w:pPr>
              <w:pStyle w:val="naisf"/>
              <w:spacing w:before="0" w:after="0"/>
              <w:rPr>
                <w:b/>
                <w:i/>
              </w:rPr>
            </w:pPr>
          </w:p>
        </w:tc>
        <w:tc>
          <w:tcPr>
            <w:tcW w:w="1275" w:type="dxa"/>
            <w:vAlign w:val="center"/>
          </w:tcPr>
          <w:p w14:paraId="61A70E6E" w14:textId="77777777" w:rsidR="005C14E6" w:rsidRPr="005C14E6" w:rsidRDefault="005C14E6" w:rsidP="00726BC5">
            <w:pPr>
              <w:pStyle w:val="naisf"/>
              <w:spacing w:before="0" w:after="0"/>
              <w:rPr>
                <w:b/>
                <w:i/>
              </w:rPr>
            </w:pPr>
          </w:p>
        </w:tc>
        <w:tc>
          <w:tcPr>
            <w:tcW w:w="1347" w:type="dxa"/>
            <w:vAlign w:val="center"/>
          </w:tcPr>
          <w:p w14:paraId="60E18CEB" w14:textId="77777777" w:rsidR="005C14E6" w:rsidRPr="005C14E6" w:rsidRDefault="005C14E6" w:rsidP="00726BC5">
            <w:pPr>
              <w:pStyle w:val="naisf"/>
              <w:spacing w:before="0" w:after="0"/>
              <w:rPr>
                <w:b/>
                <w:i/>
              </w:rPr>
            </w:pPr>
          </w:p>
        </w:tc>
      </w:tr>
      <w:tr w:rsidR="005C14E6" w:rsidRPr="005C14E6" w14:paraId="5E03E4F4" w14:textId="77777777" w:rsidTr="00726BC5">
        <w:trPr>
          <w:jc w:val="center"/>
        </w:trPr>
        <w:tc>
          <w:tcPr>
            <w:tcW w:w="2835" w:type="dxa"/>
            <w:shd w:val="clear" w:color="auto" w:fill="auto"/>
          </w:tcPr>
          <w:p w14:paraId="27EE5D81"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 xml:space="preserve">5.3. pašvaldību budžets </w:t>
            </w:r>
          </w:p>
        </w:tc>
        <w:tc>
          <w:tcPr>
            <w:tcW w:w="1063" w:type="dxa"/>
            <w:vMerge/>
            <w:vAlign w:val="center"/>
          </w:tcPr>
          <w:p w14:paraId="7E85F839" w14:textId="77777777" w:rsidR="005C14E6" w:rsidRPr="005C14E6" w:rsidRDefault="005C14E6" w:rsidP="00726BC5">
            <w:pPr>
              <w:pStyle w:val="naisf"/>
              <w:spacing w:before="0" w:after="0"/>
              <w:jc w:val="center"/>
              <w:rPr>
                <w:i/>
              </w:rPr>
            </w:pPr>
          </w:p>
        </w:tc>
        <w:tc>
          <w:tcPr>
            <w:tcW w:w="1418" w:type="dxa"/>
            <w:vAlign w:val="center"/>
          </w:tcPr>
          <w:p w14:paraId="7490A528" w14:textId="77777777" w:rsidR="005C14E6" w:rsidRPr="005C14E6" w:rsidRDefault="005C14E6" w:rsidP="00726BC5">
            <w:pPr>
              <w:pStyle w:val="naisf"/>
              <w:spacing w:before="0" w:after="0"/>
              <w:rPr>
                <w:b/>
                <w:i/>
              </w:rPr>
            </w:pPr>
            <w:r w:rsidRPr="005C14E6">
              <w:rPr>
                <w:b/>
                <w:i/>
              </w:rPr>
              <w:t>0</w:t>
            </w:r>
          </w:p>
        </w:tc>
        <w:tc>
          <w:tcPr>
            <w:tcW w:w="1347" w:type="dxa"/>
            <w:vAlign w:val="center"/>
          </w:tcPr>
          <w:p w14:paraId="6C1CD282" w14:textId="77777777" w:rsidR="005C14E6" w:rsidRPr="005C14E6" w:rsidRDefault="005C14E6" w:rsidP="00726BC5">
            <w:pPr>
              <w:pStyle w:val="naisf"/>
              <w:spacing w:before="0" w:after="0"/>
              <w:rPr>
                <w:b/>
                <w:i/>
              </w:rPr>
            </w:pPr>
          </w:p>
        </w:tc>
        <w:tc>
          <w:tcPr>
            <w:tcW w:w="1275" w:type="dxa"/>
            <w:vAlign w:val="center"/>
          </w:tcPr>
          <w:p w14:paraId="28C4C37C" w14:textId="77777777" w:rsidR="005C14E6" w:rsidRPr="005C14E6" w:rsidRDefault="005C14E6" w:rsidP="00726BC5">
            <w:pPr>
              <w:pStyle w:val="naisf"/>
              <w:spacing w:before="0" w:after="0"/>
              <w:rPr>
                <w:b/>
                <w:i/>
              </w:rPr>
            </w:pPr>
          </w:p>
        </w:tc>
        <w:tc>
          <w:tcPr>
            <w:tcW w:w="1347" w:type="dxa"/>
            <w:vAlign w:val="center"/>
          </w:tcPr>
          <w:p w14:paraId="1F8C2213" w14:textId="77777777" w:rsidR="005C14E6" w:rsidRPr="005C14E6" w:rsidRDefault="005C14E6" w:rsidP="00726BC5">
            <w:pPr>
              <w:pStyle w:val="naisf"/>
              <w:spacing w:before="0" w:after="0"/>
              <w:rPr>
                <w:b/>
                <w:i/>
              </w:rPr>
            </w:pPr>
          </w:p>
        </w:tc>
      </w:tr>
      <w:tr w:rsidR="005C14E6" w:rsidRPr="005C14E6" w14:paraId="67858FA4" w14:textId="77777777" w:rsidTr="00726BC5">
        <w:trPr>
          <w:jc w:val="center"/>
        </w:trPr>
        <w:tc>
          <w:tcPr>
            <w:tcW w:w="2835" w:type="dxa"/>
            <w:shd w:val="clear" w:color="auto" w:fill="auto"/>
          </w:tcPr>
          <w:p w14:paraId="56734B5E"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6. Detalizēts ieņēmumu un izdevumu aprēķins (ja nepie</w:t>
            </w:r>
            <w:r w:rsidRPr="005C14E6">
              <w:rPr>
                <w:rFonts w:ascii="Times New Roman" w:hAnsi="Times New Roman" w:cs="Times New Roman"/>
              </w:rPr>
              <w:softHyphen/>
              <w:t>ciešams, detalizētu ieņēmumu un izdevumu aprēķinu var pie</w:t>
            </w:r>
            <w:r w:rsidRPr="005C14E6">
              <w:rPr>
                <w:rFonts w:ascii="Times New Roman" w:hAnsi="Times New Roman" w:cs="Times New Roman"/>
              </w:rPr>
              <w:softHyphen/>
              <w:t>vienot anotācijas pielikumā):</w:t>
            </w:r>
          </w:p>
        </w:tc>
        <w:tc>
          <w:tcPr>
            <w:tcW w:w="6450" w:type="dxa"/>
            <w:gridSpan w:val="5"/>
            <w:vAlign w:val="center"/>
          </w:tcPr>
          <w:p w14:paraId="201F301D" w14:textId="17F51538" w:rsidR="005C14E6" w:rsidRPr="005C14E6" w:rsidRDefault="00503907" w:rsidP="00503907">
            <w:pPr>
              <w:pStyle w:val="naisf"/>
              <w:spacing w:before="0" w:after="0"/>
            </w:pPr>
            <w:r>
              <w:t>D</w:t>
            </w:r>
            <w:r w:rsidR="00594B61">
              <w:t>etalizēts ieņēmumu un izdevumu aprēķins</w:t>
            </w:r>
            <w:r>
              <w:t xml:space="preserve"> pielikumā</w:t>
            </w:r>
            <w:r w:rsidR="00594B61">
              <w:t>.</w:t>
            </w:r>
          </w:p>
        </w:tc>
      </w:tr>
      <w:tr w:rsidR="005C14E6" w:rsidRPr="005C14E6" w14:paraId="7D1281E8" w14:textId="77777777" w:rsidTr="00726BC5">
        <w:trPr>
          <w:jc w:val="center"/>
        </w:trPr>
        <w:tc>
          <w:tcPr>
            <w:tcW w:w="2835" w:type="dxa"/>
            <w:shd w:val="clear" w:color="auto" w:fill="auto"/>
          </w:tcPr>
          <w:p w14:paraId="09E46EE2"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t>6.1. detalizēts ieņēmumu aprēķins</w:t>
            </w:r>
          </w:p>
        </w:tc>
        <w:tc>
          <w:tcPr>
            <w:tcW w:w="6450" w:type="dxa"/>
            <w:gridSpan w:val="5"/>
          </w:tcPr>
          <w:p w14:paraId="2CD01DF1" w14:textId="6947EA74" w:rsidR="00160BBE" w:rsidRPr="003C3585" w:rsidRDefault="00160BBE" w:rsidP="00160BBE">
            <w:pPr>
              <w:pStyle w:val="ListBullet"/>
              <w:numPr>
                <w:ilvl w:val="0"/>
                <w:numId w:val="0"/>
              </w:numPr>
              <w:ind w:left="755"/>
              <w:jc w:val="both"/>
              <w:rPr>
                <w:b/>
              </w:rPr>
            </w:pPr>
            <w:r w:rsidRPr="003C3585">
              <w:rPr>
                <w:b/>
              </w:rPr>
              <w:t>ES fondu finansējums:</w:t>
            </w:r>
          </w:p>
          <w:p w14:paraId="1B7E8196" w14:textId="77777777" w:rsidR="005C14E6" w:rsidRPr="005C14E6" w:rsidRDefault="005C14E6" w:rsidP="005C14E6">
            <w:pPr>
              <w:pStyle w:val="ListBullet"/>
              <w:numPr>
                <w:ilvl w:val="0"/>
                <w:numId w:val="33"/>
              </w:numPr>
              <w:jc w:val="both"/>
            </w:pPr>
            <w:r w:rsidRPr="005C14E6">
              <w:rPr>
                <w:u w:val="single"/>
              </w:rPr>
              <w:t>2015.gadam</w:t>
            </w:r>
            <w:r w:rsidRPr="005C14E6">
              <w:t xml:space="preserve"> tiek veikts sekojošs aprēķins:</w:t>
            </w:r>
          </w:p>
          <w:p w14:paraId="5F3E14C8" w14:textId="4D8F6529" w:rsidR="005C14E6" w:rsidRPr="005C14E6" w:rsidRDefault="005C14E6" w:rsidP="00726BC5">
            <w:pPr>
              <w:pStyle w:val="ListBullet"/>
              <w:numPr>
                <w:ilvl w:val="0"/>
                <w:numId w:val="0"/>
              </w:numPr>
              <w:ind w:left="35"/>
              <w:jc w:val="both"/>
            </w:pPr>
            <w:r w:rsidRPr="005C14E6">
              <w:t>Sākotnējais avanss (4% no projektiem pieejamā finansējuma apjoma) + ikgadējais avanss (3% no projektiem pieejamā finansējuma apjoma).</w:t>
            </w:r>
          </w:p>
          <w:p w14:paraId="6BB02CD2" w14:textId="6CBAAE42" w:rsidR="005C14E6" w:rsidRPr="005C14E6" w:rsidRDefault="005C14E6" w:rsidP="00726BC5">
            <w:pPr>
              <w:pStyle w:val="ListBullet"/>
              <w:numPr>
                <w:ilvl w:val="0"/>
                <w:numId w:val="0"/>
              </w:numPr>
              <w:ind w:left="35"/>
              <w:jc w:val="both"/>
            </w:pPr>
            <w:r w:rsidRPr="005C14E6">
              <w:t xml:space="preserve">No augstākminētā izriet, ka no Patvēruma, migrācijas un integrācijas fonda tiek plānoti ieņēmumi </w:t>
            </w:r>
            <w:r w:rsidR="00BB6D6D">
              <w:t>962</w:t>
            </w:r>
            <w:r w:rsidR="00A93996">
              <w:t> </w:t>
            </w:r>
            <w:r w:rsidR="00BB6D6D">
              <w:t>624</w:t>
            </w:r>
            <w:r w:rsidR="00A93996">
              <w:t xml:space="preserve"> </w:t>
            </w:r>
            <w:r w:rsidRPr="005C14E6">
              <w:rPr>
                <w:i/>
              </w:rPr>
              <w:t xml:space="preserve">euro </w:t>
            </w:r>
            <w:r w:rsidRPr="005C14E6">
              <w:t>apmērā (t.sk. sākotnējais avanss</w:t>
            </w:r>
            <w:r w:rsidR="00BB6D6D">
              <w:t xml:space="preserve"> 550</w:t>
            </w:r>
            <w:r w:rsidR="00A93996">
              <w:t> </w:t>
            </w:r>
            <w:r w:rsidR="00BB6D6D">
              <w:t>071</w:t>
            </w:r>
            <w:r w:rsidR="00A93996">
              <w:t xml:space="preserve"> </w:t>
            </w:r>
            <w:r w:rsidRPr="005C14E6">
              <w:rPr>
                <w:i/>
              </w:rPr>
              <w:t>euro</w:t>
            </w:r>
            <w:r w:rsidR="00BB6D6D" w:rsidRPr="00A93996">
              <w:t xml:space="preserve"> un</w:t>
            </w:r>
            <w:r w:rsidRPr="005C14E6">
              <w:rPr>
                <w:i/>
              </w:rPr>
              <w:t xml:space="preserve"> </w:t>
            </w:r>
            <w:r w:rsidRPr="005C14E6">
              <w:t xml:space="preserve">ikgadējais avanss </w:t>
            </w:r>
            <w:r w:rsidR="00BB6D6D">
              <w:t>412</w:t>
            </w:r>
            <w:r w:rsidR="00A93996">
              <w:t> </w:t>
            </w:r>
            <w:r w:rsidR="00BB6D6D">
              <w:t>553</w:t>
            </w:r>
            <w:r w:rsidR="00A93996">
              <w:t xml:space="preserve"> </w:t>
            </w:r>
            <w:r w:rsidRPr="005C14E6">
              <w:rPr>
                <w:i/>
              </w:rPr>
              <w:t>euro</w:t>
            </w:r>
            <w:r w:rsidR="00BB6D6D">
              <w:t>)</w:t>
            </w:r>
            <w:r w:rsidRPr="005C14E6">
              <w:t>, Iekšējās drošības fonda (robežas/vīza) tiek plānoti ieņēmumi 1</w:t>
            </w:r>
            <w:r w:rsidR="00D27835">
              <w:t> 086</w:t>
            </w:r>
            <w:r w:rsidR="00A93996">
              <w:t> </w:t>
            </w:r>
            <w:r w:rsidR="00D27835">
              <w:t>519</w:t>
            </w:r>
            <w:r w:rsidR="00A93996">
              <w:t xml:space="preserve"> </w:t>
            </w:r>
            <w:r w:rsidRPr="005C14E6">
              <w:rPr>
                <w:i/>
              </w:rPr>
              <w:t>euro</w:t>
            </w:r>
            <w:r w:rsidRPr="005C14E6">
              <w:t xml:space="preserve"> (t.sk.</w:t>
            </w:r>
            <w:r w:rsidR="00D27835">
              <w:t xml:space="preserve"> </w:t>
            </w:r>
            <w:r w:rsidRPr="005C14E6">
              <w:t xml:space="preserve">sākotnējais avanss </w:t>
            </w:r>
            <w:r w:rsidR="00D27835">
              <w:t>620</w:t>
            </w:r>
            <w:r w:rsidR="00A93996">
              <w:t> </w:t>
            </w:r>
            <w:r w:rsidR="00D27835">
              <w:t>868</w:t>
            </w:r>
            <w:r w:rsidR="00A93996">
              <w:t xml:space="preserve"> </w:t>
            </w:r>
            <w:r w:rsidRPr="005C14E6">
              <w:rPr>
                <w:i/>
              </w:rPr>
              <w:t>euro</w:t>
            </w:r>
            <w:r w:rsidR="00D27835">
              <w:t xml:space="preserve"> un </w:t>
            </w:r>
            <w:r w:rsidRPr="005C14E6">
              <w:t xml:space="preserve">ikgadējais avanss </w:t>
            </w:r>
            <w:r w:rsidR="00D27835">
              <w:t>465</w:t>
            </w:r>
            <w:r w:rsidR="00A93996">
              <w:t> </w:t>
            </w:r>
            <w:r w:rsidR="00D27835">
              <w:t>651</w:t>
            </w:r>
            <w:r w:rsidR="00A93996">
              <w:t xml:space="preserve"> </w:t>
            </w:r>
            <w:r w:rsidRPr="005C14E6">
              <w:rPr>
                <w:i/>
              </w:rPr>
              <w:t>euro</w:t>
            </w:r>
            <w:r w:rsidRPr="005C14E6">
              <w:t>) un Iekšējās drošības fonda (policijas sadarbība) tiek plānoti ieņēmumi 1</w:t>
            </w:r>
            <w:r w:rsidR="00D05A8C">
              <w:t> 185 900</w:t>
            </w:r>
            <w:r w:rsidRPr="005C14E6">
              <w:t xml:space="preserve"> </w:t>
            </w:r>
            <w:r w:rsidRPr="005C14E6">
              <w:rPr>
                <w:i/>
              </w:rPr>
              <w:t xml:space="preserve">euro </w:t>
            </w:r>
            <w:r w:rsidRPr="005C14E6">
              <w:t xml:space="preserve">apmērā (t.sk. sākotnējais avanss </w:t>
            </w:r>
            <w:r w:rsidR="00D05A8C">
              <w:t>677 657</w:t>
            </w:r>
            <w:r w:rsidRPr="005C14E6">
              <w:t xml:space="preserve"> </w:t>
            </w:r>
            <w:r w:rsidRPr="005C14E6">
              <w:rPr>
                <w:i/>
              </w:rPr>
              <w:t>euro</w:t>
            </w:r>
            <w:r w:rsidRPr="00A93996">
              <w:t xml:space="preserve"> </w:t>
            </w:r>
            <w:r w:rsidR="00D05A8C" w:rsidRPr="00A93996">
              <w:t xml:space="preserve">un </w:t>
            </w:r>
            <w:r w:rsidRPr="00D05A8C">
              <w:t>ikgadējais</w:t>
            </w:r>
            <w:r w:rsidRPr="005C14E6">
              <w:t xml:space="preserve"> avanss </w:t>
            </w:r>
            <w:r w:rsidR="00160BBE">
              <w:t>508 243</w:t>
            </w:r>
            <w:r w:rsidR="00D05A8C">
              <w:t xml:space="preserve"> </w:t>
            </w:r>
            <w:r w:rsidRPr="005C14E6">
              <w:rPr>
                <w:i/>
              </w:rPr>
              <w:t>euro</w:t>
            </w:r>
            <w:r w:rsidRPr="005C14E6">
              <w:t>)</w:t>
            </w:r>
            <w:r w:rsidR="00D05A8C">
              <w:t xml:space="preserve">. </w:t>
            </w:r>
          </w:p>
          <w:p w14:paraId="60B47145" w14:textId="77777777" w:rsidR="005C14E6" w:rsidRPr="005C14E6" w:rsidRDefault="005C14E6" w:rsidP="005C14E6">
            <w:pPr>
              <w:pStyle w:val="ListBullet"/>
              <w:numPr>
                <w:ilvl w:val="0"/>
                <w:numId w:val="33"/>
              </w:numPr>
              <w:jc w:val="both"/>
            </w:pPr>
            <w:r w:rsidRPr="005C14E6">
              <w:rPr>
                <w:u w:val="single"/>
              </w:rPr>
              <w:lastRenderedPageBreak/>
              <w:t>2016.gadam</w:t>
            </w:r>
            <w:r w:rsidRPr="005C14E6">
              <w:t xml:space="preserve"> tiek veikts sekojošs aprēķins:</w:t>
            </w:r>
          </w:p>
          <w:p w14:paraId="056A3D03" w14:textId="50BC1DB3" w:rsidR="005C14E6" w:rsidRPr="005C14E6" w:rsidRDefault="005C14E6" w:rsidP="00726BC5">
            <w:pPr>
              <w:pStyle w:val="ListBullet"/>
              <w:numPr>
                <w:ilvl w:val="0"/>
                <w:numId w:val="0"/>
              </w:numPr>
              <w:ind w:left="35"/>
              <w:jc w:val="both"/>
            </w:pPr>
            <w:r w:rsidRPr="005C14E6">
              <w:t>Ikgadējais avanss (5% no projektiem pieejamā finansējuma apjoma)</w:t>
            </w:r>
            <w:r w:rsidR="00394559" w:rsidRPr="005C14E6">
              <w:t xml:space="preserve"> </w:t>
            </w:r>
            <w:r w:rsidRPr="005C14E6">
              <w:t>+ bilances izlīdzinošais.</w:t>
            </w:r>
          </w:p>
          <w:p w14:paraId="57B34081" w14:textId="1005F0EF" w:rsidR="005C14E6" w:rsidRPr="005C14E6" w:rsidRDefault="005C14E6" w:rsidP="00726BC5">
            <w:pPr>
              <w:pStyle w:val="ListBullet"/>
              <w:numPr>
                <w:ilvl w:val="0"/>
                <w:numId w:val="0"/>
              </w:numPr>
              <w:ind w:left="35"/>
              <w:jc w:val="both"/>
            </w:pPr>
            <w:r w:rsidRPr="005C14E6">
              <w:t xml:space="preserve">No augstākminētā izriet, ka no Patvēruma, migrācijas un integrācijas fonda tiek plānoti ieņēmumi </w:t>
            </w:r>
            <w:r w:rsidR="00394559">
              <w:t>3 300 43</w:t>
            </w:r>
            <w:r w:rsidR="00160BBE">
              <w:t>1</w:t>
            </w:r>
            <w:r w:rsidRPr="005C14E6">
              <w:t xml:space="preserve"> </w:t>
            </w:r>
            <w:r w:rsidRPr="005C14E6">
              <w:rPr>
                <w:i/>
              </w:rPr>
              <w:t xml:space="preserve">euro </w:t>
            </w:r>
            <w:r w:rsidRPr="005C14E6">
              <w:t xml:space="preserve">apmērā (t.sk. ikgadējais avanss </w:t>
            </w:r>
            <w:r w:rsidR="00F64115">
              <w:t>687 589</w:t>
            </w:r>
            <w:r w:rsidRPr="005C14E6">
              <w:t xml:space="preserve"> </w:t>
            </w:r>
            <w:r w:rsidRPr="005C14E6">
              <w:rPr>
                <w:i/>
              </w:rPr>
              <w:t>euro</w:t>
            </w:r>
            <w:r w:rsidRPr="00656FBB">
              <w:t xml:space="preserve"> </w:t>
            </w:r>
            <w:r w:rsidR="00394559" w:rsidRPr="00656FBB">
              <w:t xml:space="preserve">un </w:t>
            </w:r>
            <w:r w:rsidRPr="00394559">
              <w:t>izlīdzinošais</w:t>
            </w:r>
            <w:r w:rsidRPr="005C14E6">
              <w:t xml:space="preserve"> maksājums </w:t>
            </w:r>
            <w:r w:rsidR="00F64115">
              <w:t xml:space="preserve">2 612 842 </w:t>
            </w:r>
            <w:r w:rsidRPr="005C14E6">
              <w:rPr>
                <w:i/>
              </w:rPr>
              <w:t>euro</w:t>
            </w:r>
            <w:r w:rsidR="00F64115">
              <w:t>)</w:t>
            </w:r>
            <w:r w:rsidRPr="005C14E6">
              <w:t xml:space="preserve">, Iekšējās drošības fonda (robežas/vīza) tiek plānoti ieņēmumi </w:t>
            </w:r>
            <w:r w:rsidR="00CB6BAC">
              <w:t>4 594 428</w:t>
            </w:r>
            <w:r w:rsidRPr="005C14E6">
              <w:t xml:space="preserve"> </w:t>
            </w:r>
            <w:r w:rsidRPr="005C14E6">
              <w:rPr>
                <w:i/>
              </w:rPr>
              <w:t>euro</w:t>
            </w:r>
            <w:r w:rsidRPr="005C14E6">
              <w:t xml:space="preserve"> (t.sk. ikgadējais avanss </w:t>
            </w:r>
            <w:r w:rsidR="00CB6BAC">
              <w:t xml:space="preserve">776 085 </w:t>
            </w:r>
            <w:r w:rsidRPr="005C14E6">
              <w:rPr>
                <w:i/>
              </w:rPr>
              <w:t>euro</w:t>
            </w:r>
            <w:r w:rsidR="00CB6BAC">
              <w:t xml:space="preserve"> un i</w:t>
            </w:r>
            <w:r w:rsidRPr="005C14E6">
              <w:t xml:space="preserve">zlīdzinošais maksājums </w:t>
            </w:r>
            <w:r w:rsidR="00CB6BAC">
              <w:t xml:space="preserve">3 818 343 </w:t>
            </w:r>
            <w:r w:rsidR="00CB6BAC" w:rsidRPr="00656FBB">
              <w:rPr>
                <w:i/>
              </w:rPr>
              <w:t>euro</w:t>
            </w:r>
            <w:r w:rsidR="00CB6BAC">
              <w:t>)</w:t>
            </w:r>
            <w:r w:rsidRPr="005C14E6">
              <w:t xml:space="preserve"> un Iekšējās drošības fonda (policijas sadarbība) tiek plānoti ieņēmumi </w:t>
            </w:r>
            <w:r w:rsidR="009510B3">
              <w:t>4 743 60</w:t>
            </w:r>
            <w:r w:rsidR="00160BBE">
              <w:t>3</w:t>
            </w:r>
            <w:r w:rsidR="009510B3">
              <w:t xml:space="preserve"> </w:t>
            </w:r>
            <w:r w:rsidRPr="005C14E6">
              <w:rPr>
                <w:i/>
              </w:rPr>
              <w:t xml:space="preserve">euro </w:t>
            </w:r>
            <w:r w:rsidRPr="005C14E6">
              <w:t xml:space="preserve">apmērā (t.sk. ikgadējais avanss </w:t>
            </w:r>
            <w:r w:rsidR="009510B3">
              <w:t xml:space="preserve">847 072 </w:t>
            </w:r>
            <w:r w:rsidRPr="005C14E6">
              <w:rPr>
                <w:i/>
              </w:rPr>
              <w:t>euro</w:t>
            </w:r>
            <w:r w:rsidR="009510B3">
              <w:t xml:space="preserve"> un i</w:t>
            </w:r>
            <w:r w:rsidRPr="005C14E6">
              <w:t xml:space="preserve">zlīdzinošais maksājums </w:t>
            </w:r>
            <w:r w:rsidR="006A5FF2">
              <w:t xml:space="preserve">3 896 531 </w:t>
            </w:r>
            <w:r w:rsidRPr="005C14E6">
              <w:rPr>
                <w:i/>
              </w:rPr>
              <w:t>euro</w:t>
            </w:r>
            <w:r w:rsidR="006A5FF2">
              <w:rPr>
                <w:i/>
              </w:rPr>
              <w:t>)</w:t>
            </w:r>
            <w:r w:rsidR="006A5FF2">
              <w:t xml:space="preserve">). </w:t>
            </w:r>
          </w:p>
          <w:p w14:paraId="12BE7958" w14:textId="77777777" w:rsidR="005C14E6" w:rsidRPr="005C14E6" w:rsidRDefault="005C14E6" w:rsidP="005C14E6">
            <w:pPr>
              <w:pStyle w:val="ListBullet"/>
              <w:numPr>
                <w:ilvl w:val="0"/>
                <w:numId w:val="33"/>
              </w:numPr>
              <w:jc w:val="both"/>
            </w:pPr>
            <w:r w:rsidRPr="005C14E6">
              <w:rPr>
                <w:u w:val="single"/>
              </w:rPr>
              <w:t>2017.gadam</w:t>
            </w:r>
            <w:r w:rsidRPr="005C14E6">
              <w:t xml:space="preserve"> tiek veikts sekojošs aprēķins:</w:t>
            </w:r>
          </w:p>
          <w:p w14:paraId="3041EEB3" w14:textId="4EF8C3CF" w:rsidR="005C14E6" w:rsidRPr="005C14E6" w:rsidRDefault="005C14E6" w:rsidP="00726BC5">
            <w:pPr>
              <w:pStyle w:val="ListBullet"/>
              <w:numPr>
                <w:ilvl w:val="0"/>
                <w:numId w:val="0"/>
              </w:numPr>
              <w:ind w:left="35"/>
              <w:jc w:val="both"/>
            </w:pPr>
            <w:r w:rsidRPr="005C14E6">
              <w:t>Ikgadējais avanss (5% no projektiem pieejamā finansējuma apjoma) + bilances izlīdzinošais maksājums.</w:t>
            </w:r>
          </w:p>
          <w:p w14:paraId="72A8E21B" w14:textId="14A39434" w:rsidR="005C14E6" w:rsidRDefault="005C14E6" w:rsidP="001A514C">
            <w:pPr>
              <w:pStyle w:val="ListBullet"/>
              <w:numPr>
                <w:ilvl w:val="0"/>
                <w:numId w:val="0"/>
              </w:numPr>
              <w:ind w:left="35"/>
              <w:jc w:val="both"/>
            </w:pPr>
            <w:r w:rsidRPr="005C14E6">
              <w:t xml:space="preserve">No augstākminētā izriet, ka no Patvēruma, migrācijas un integrācijas fonda tiek plānoti ieņēmumi </w:t>
            </w:r>
            <w:r w:rsidR="00A0636C">
              <w:t xml:space="preserve">1 925 248 </w:t>
            </w:r>
            <w:r w:rsidRPr="005C14E6">
              <w:rPr>
                <w:i/>
              </w:rPr>
              <w:t xml:space="preserve">euro </w:t>
            </w:r>
            <w:r w:rsidRPr="005C14E6">
              <w:t xml:space="preserve">apmērā (t.sk. ikgadējais avanss </w:t>
            </w:r>
            <w:r w:rsidR="00A0636C">
              <w:t xml:space="preserve">687 589 </w:t>
            </w:r>
            <w:r w:rsidRPr="005C14E6">
              <w:rPr>
                <w:i/>
              </w:rPr>
              <w:t>euro</w:t>
            </w:r>
            <w:r w:rsidR="00A0636C">
              <w:rPr>
                <w:i/>
              </w:rPr>
              <w:t xml:space="preserve"> </w:t>
            </w:r>
            <w:r w:rsidR="00A0636C" w:rsidRPr="00656FBB">
              <w:t xml:space="preserve">un </w:t>
            </w:r>
            <w:r w:rsidRPr="00A0636C">
              <w:t>izlīdzinošais</w:t>
            </w:r>
            <w:r w:rsidRPr="005C14E6">
              <w:t xml:space="preserve"> maksājums </w:t>
            </w:r>
            <w:r w:rsidR="00A0636C">
              <w:t>1 237 659</w:t>
            </w:r>
            <w:r w:rsidRPr="005C14E6">
              <w:t xml:space="preserve"> </w:t>
            </w:r>
            <w:r w:rsidRPr="005C14E6">
              <w:rPr>
                <w:i/>
              </w:rPr>
              <w:t>euro</w:t>
            </w:r>
            <w:r w:rsidR="0097231F">
              <w:t>)</w:t>
            </w:r>
            <w:r w:rsidRPr="005C14E6">
              <w:t xml:space="preserve">, Iekšējās drošības fonda (robežas/vīza) tiek plānoti ieņēmumi </w:t>
            </w:r>
            <w:r w:rsidR="0097231F">
              <w:t xml:space="preserve">2 685 524 </w:t>
            </w:r>
            <w:r w:rsidRPr="005C14E6">
              <w:rPr>
                <w:i/>
              </w:rPr>
              <w:t>euro</w:t>
            </w:r>
            <w:r w:rsidRPr="005C14E6">
              <w:t xml:space="preserve"> (t.sk. ikgadējais avanss </w:t>
            </w:r>
            <w:r w:rsidR="00461243">
              <w:t>776 085</w:t>
            </w:r>
            <w:r w:rsidRPr="005C14E6">
              <w:t xml:space="preserve"> </w:t>
            </w:r>
            <w:r w:rsidRPr="005C14E6">
              <w:rPr>
                <w:i/>
              </w:rPr>
              <w:t>euro</w:t>
            </w:r>
            <w:r w:rsidRPr="00656FBB">
              <w:t xml:space="preserve"> </w:t>
            </w:r>
            <w:r w:rsidR="00461243" w:rsidRPr="00656FBB">
              <w:t xml:space="preserve">un </w:t>
            </w:r>
            <w:r w:rsidRPr="00461243">
              <w:t xml:space="preserve">izlīdzinošais maksājums </w:t>
            </w:r>
            <w:r w:rsidR="00461243">
              <w:t xml:space="preserve">1 909 169 </w:t>
            </w:r>
            <w:r w:rsidR="00461243" w:rsidRPr="00656FBB">
              <w:rPr>
                <w:i/>
              </w:rPr>
              <w:t>euro</w:t>
            </w:r>
            <w:r w:rsidR="00461243">
              <w:t>)</w:t>
            </w:r>
            <w:r w:rsidRPr="005C14E6">
              <w:t xml:space="preserve"> un Iekšējās drošības fonda (policijas sadarbība) tiek plānoti ieņēmumi </w:t>
            </w:r>
            <w:r w:rsidR="00D16136">
              <w:t xml:space="preserve">2 371 800 </w:t>
            </w:r>
            <w:r w:rsidRPr="005C14E6">
              <w:rPr>
                <w:i/>
              </w:rPr>
              <w:t xml:space="preserve">euro </w:t>
            </w:r>
            <w:r w:rsidRPr="005C14E6">
              <w:t>apmērā (t.sk. ikgadējais avanss</w:t>
            </w:r>
            <w:r w:rsidR="001A514C">
              <w:t xml:space="preserve"> 847</w:t>
            </w:r>
            <w:r w:rsidR="00656FBB">
              <w:t> </w:t>
            </w:r>
            <w:r w:rsidR="001A514C">
              <w:t>072</w:t>
            </w:r>
            <w:r w:rsidR="00656FBB">
              <w:t xml:space="preserve"> </w:t>
            </w:r>
            <w:r w:rsidRPr="005C14E6">
              <w:rPr>
                <w:i/>
              </w:rPr>
              <w:t>euro</w:t>
            </w:r>
            <w:r w:rsidRPr="00656FBB">
              <w:t xml:space="preserve"> </w:t>
            </w:r>
            <w:r w:rsidR="001A514C" w:rsidRPr="00656FBB">
              <w:t xml:space="preserve">un </w:t>
            </w:r>
            <w:r w:rsidRPr="001A514C">
              <w:t xml:space="preserve">izlīdzinošais maksājums </w:t>
            </w:r>
            <w:r w:rsidR="001A514C" w:rsidRPr="001A514C">
              <w:t xml:space="preserve">1 524 728 </w:t>
            </w:r>
            <w:r w:rsidRPr="00656FBB">
              <w:rPr>
                <w:i/>
              </w:rPr>
              <w:t>euro</w:t>
            </w:r>
            <w:r w:rsidRPr="005C14E6">
              <w:t>)</w:t>
            </w:r>
            <w:r w:rsidR="006A5FF2">
              <w:t xml:space="preserve">. </w:t>
            </w:r>
          </w:p>
          <w:p w14:paraId="2F13F3A4" w14:textId="5C60A5BB" w:rsidR="006A5FF2" w:rsidRPr="005C14E6" w:rsidRDefault="006A5FF2" w:rsidP="006A5FF2">
            <w:pPr>
              <w:pStyle w:val="ListBullet"/>
              <w:numPr>
                <w:ilvl w:val="0"/>
                <w:numId w:val="33"/>
              </w:numPr>
              <w:jc w:val="both"/>
            </w:pPr>
            <w:r>
              <w:rPr>
                <w:u w:val="single"/>
              </w:rPr>
              <w:t>2018</w:t>
            </w:r>
            <w:r w:rsidRPr="005C14E6">
              <w:rPr>
                <w:u w:val="single"/>
              </w:rPr>
              <w:t>.gadam</w:t>
            </w:r>
            <w:r w:rsidRPr="005C14E6">
              <w:t xml:space="preserve"> tiek veikts sekojošs aprēķins:</w:t>
            </w:r>
          </w:p>
          <w:p w14:paraId="2B769A1C" w14:textId="1010C314" w:rsidR="006A5FF2" w:rsidRPr="005C14E6" w:rsidRDefault="006A5FF2" w:rsidP="006A5FF2">
            <w:pPr>
              <w:pStyle w:val="ListBullet"/>
              <w:numPr>
                <w:ilvl w:val="0"/>
                <w:numId w:val="0"/>
              </w:numPr>
              <w:ind w:left="35"/>
              <w:jc w:val="both"/>
            </w:pPr>
            <w:r w:rsidRPr="005C14E6">
              <w:t>Ikgadējais avanss (5% no projektiem pieejamā finansējuma apjoma) + bilances izlīdzinošais</w:t>
            </w:r>
            <w:r w:rsidR="00160BBE">
              <w:t xml:space="preserve"> maksājums</w:t>
            </w:r>
            <w:r w:rsidRPr="005C14E6">
              <w:t>.</w:t>
            </w:r>
          </w:p>
          <w:p w14:paraId="6C6F18AC" w14:textId="6BFFFF74" w:rsidR="006A5FF2" w:rsidRPr="005C14E6" w:rsidRDefault="006A5FF2" w:rsidP="009313B6">
            <w:pPr>
              <w:pStyle w:val="ListBullet"/>
              <w:numPr>
                <w:ilvl w:val="0"/>
                <w:numId w:val="0"/>
              </w:numPr>
              <w:ind w:left="35"/>
              <w:jc w:val="both"/>
            </w:pPr>
            <w:r w:rsidRPr="005C14E6">
              <w:t xml:space="preserve">No augstākminētā izriet, ka no Patvēruma, migrācijas un integrācijas fonda tiek plānoti ieņēmumi </w:t>
            </w:r>
            <w:r w:rsidR="00AF13B5">
              <w:t xml:space="preserve">1 787 730 </w:t>
            </w:r>
            <w:r w:rsidRPr="005C14E6">
              <w:rPr>
                <w:i/>
              </w:rPr>
              <w:t xml:space="preserve">euro </w:t>
            </w:r>
            <w:r w:rsidRPr="005C14E6">
              <w: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maksājums </w:t>
            </w:r>
            <w:r w:rsidR="00AF13B5">
              <w:t>1 100 141</w:t>
            </w:r>
            <w:r w:rsidRPr="005C14E6">
              <w:t xml:space="preserve"> </w:t>
            </w:r>
            <w:r w:rsidR="00AF13B5">
              <w:rPr>
                <w:i/>
              </w:rPr>
              <w:t>euro</w:t>
            </w:r>
            <w:r w:rsidRPr="005C14E6">
              <w:t xml:space="preserve">), Iekšējās drošības fonda (robežas/vīza) </w:t>
            </w:r>
            <w:r w:rsidR="00AF13B5">
              <w:t xml:space="preserve">tiek plānoti ieņēmumi </w:t>
            </w:r>
            <w:r w:rsidR="00FB159B">
              <w:t xml:space="preserve">2 126 473 </w:t>
            </w:r>
            <w:r w:rsidRPr="005C14E6">
              <w:rPr>
                <w:i/>
              </w:rPr>
              <w:t>euro</w:t>
            </w:r>
            <w:r w:rsidRPr="005C14E6">
              <w:t xml:space="preserve"> </w:t>
            </w:r>
            <w:r w:rsidR="00FB159B">
              <w:t>(t.sk. ikgadējais avanss 776 085</w:t>
            </w:r>
            <w:r w:rsidRPr="005C14E6">
              <w:t xml:space="preserve"> </w:t>
            </w:r>
            <w:r w:rsidRPr="005C14E6">
              <w:rPr>
                <w:i/>
              </w:rPr>
              <w:t>euro</w:t>
            </w:r>
            <w:r w:rsidR="00FB159B">
              <w:rPr>
                <w:i/>
              </w:rPr>
              <w:t xml:space="preserve"> </w:t>
            </w:r>
            <w:r w:rsidR="00FB159B" w:rsidRPr="00656FBB">
              <w:t>un</w:t>
            </w:r>
            <w:r w:rsidRPr="00656FBB">
              <w:t xml:space="preserve"> </w:t>
            </w:r>
            <w:r w:rsidRPr="00FB159B">
              <w:t>izlīdzinoša</w:t>
            </w:r>
            <w:r w:rsidR="00FB159B" w:rsidRPr="00FB159B">
              <w:t>is</w:t>
            </w:r>
            <w:r w:rsidR="00FB159B">
              <w:t xml:space="preserve"> maksājums 1 350 388 </w:t>
            </w:r>
            <w:r w:rsidR="00FB159B" w:rsidRPr="00656FBB">
              <w:rPr>
                <w:i/>
              </w:rPr>
              <w:t>euro</w:t>
            </w:r>
            <w:r w:rsidRPr="005C14E6">
              <w:t xml:space="preserve">) un Iekšējās drošības fonda (policijas sadarbība) tiek plānoti ieņēmumi </w:t>
            </w:r>
            <w:r w:rsidR="00C73226">
              <w:t xml:space="preserve">2 371 800 </w:t>
            </w:r>
            <w:r w:rsidR="00C73226" w:rsidRPr="005C14E6">
              <w:rPr>
                <w:i/>
              </w:rPr>
              <w:t xml:space="preserve">euro </w:t>
            </w:r>
            <w:r w:rsidR="00C73226" w:rsidRPr="005C14E6">
              <w:t>apmērā (t.sk. ikgadējais avanss</w:t>
            </w:r>
            <w:r w:rsidR="00C73226">
              <w:t xml:space="preserve"> 847</w:t>
            </w:r>
            <w:r w:rsidR="00656FBB">
              <w:t> </w:t>
            </w:r>
            <w:r w:rsidR="00C73226">
              <w:t>072</w:t>
            </w:r>
            <w:r w:rsidR="00656FBB">
              <w:t xml:space="preserve"> </w:t>
            </w:r>
            <w:r w:rsidR="00C73226" w:rsidRPr="005C14E6">
              <w:rPr>
                <w:i/>
              </w:rPr>
              <w:t>euro</w:t>
            </w:r>
            <w:r w:rsidR="00C73226" w:rsidRPr="00D85C41">
              <w:t xml:space="preserve"> un </w:t>
            </w:r>
            <w:r w:rsidR="00C73226" w:rsidRPr="001A514C">
              <w:t xml:space="preserve">izlīdzinošais maksājums 1 524 728 </w:t>
            </w:r>
            <w:r w:rsidR="00C73226" w:rsidRPr="00656FBB">
              <w:rPr>
                <w:i/>
              </w:rPr>
              <w:t>euro</w:t>
            </w:r>
            <w:r w:rsidR="00C73226" w:rsidRPr="005C14E6">
              <w:t>)</w:t>
            </w:r>
            <w:r w:rsidR="00C73226">
              <w:t xml:space="preserve">. </w:t>
            </w:r>
          </w:p>
        </w:tc>
      </w:tr>
      <w:tr w:rsidR="005C14E6" w:rsidRPr="005C14E6" w14:paraId="0C7D19EC" w14:textId="77777777" w:rsidTr="00726BC5">
        <w:trPr>
          <w:jc w:val="center"/>
        </w:trPr>
        <w:tc>
          <w:tcPr>
            <w:tcW w:w="2835" w:type="dxa"/>
          </w:tcPr>
          <w:p w14:paraId="4A0E9233" w14:textId="567766E3" w:rsidR="005C14E6" w:rsidRPr="005C14E6" w:rsidRDefault="005C14E6" w:rsidP="00726BC5">
            <w:pPr>
              <w:rPr>
                <w:rFonts w:ascii="Times New Roman" w:hAnsi="Times New Roman" w:cs="Times New Roman"/>
              </w:rPr>
            </w:pPr>
            <w:r w:rsidRPr="005C14E6">
              <w:rPr>
                <w:rFonts w:ascii="Times New Roman" w:hAnsi="Times New Roman" w:cs="Times New Roman"/>
              </w:rPr>
              <w:lastRenderedPageBreak/>
              <w:t>6.2. detalizēts izdevumu aprēķins</w:t>
            </w:r>
          </w:p>
        </w:tc>
        <w:tc>
          <w:tcPr>
            <w:tcW w:w="6450" w:type="dxa"/>
            <w:gridSpan w:val="5"/>
          </w:tcPr>
          <w:p w14:paraId="778670E4" w14:textId="2471B7FF" w:rsidR="003C3585" w:rsidRPr="003C3585" w:rsidRDefault="003C3585" w:rsidP="003C3585">
            <w:pPr>
              <w:pStyle w:val="ListBullet"/>
              <w:numPr>
                <w:ilvl w:val="0"/>
                <w:numId w:val="0"/>
              </w:numPr>
              <w:ind w:left="360"/>
              <w:rPr>
                <w:b/>
              </w:rPr>
            </w:pPr>
            <w:r w:rsidRPr="003C3585">
              <w:rPr>
                <w:b/>
              </w:rPr>
              <w:t>Izdevumi:</w:t>
            </w:r>
          </w:p>
          <w:p w14:paraId="2C0B7E2D" w14:textId="77777777" w:rsidR="005C14E6" w:rsidRPr="005C14E6" w:rsidRDefault="005C14E6" w:rsidP="00726BC5">
            <w:pPr>
              <w:pStyle w:val="ListBullet"/>
            </w:pPr>
            <w:r w:rsidRPr="005C14E6">
              <w:t>2015.gadam tiek veikts sekojošs aprēķins:</w:t>
            </w:r>
          </w:p>
          <w:p w14:paraId="4FF46168" w14:textId="5827647F" w:rsidR="005C14E6" w:rsidRPr="009C0A99" w:rsidRDefault="005C14E6" w:rsidP="0031737F">
            <w:pPr>
              <w:pStyle w:val="ListBullet"/>
              <w:numPr>
                <w:ilvl w:val="0"/>
                <w:numId w:val="0"/>
              </w:numPr>
              <w:ind w:left="35"/>
              <w:jc w:val="both"/>
            </w:pPr>
            <w:r w:rsidRPr="005C14E6">
              <w:t>2015.gad</w:t>
            </w:r>
            <w:r w:rsidR="003C3585">
              <w:t xml:space="preserve">ā izdevumi </w:t>
            </w:r>
            <w:r w:rsidRPr="009C0A99">
              <w:t>no projektiem pieejamā finansējuma apjoma</w:t>
            </w:r>
            <w:r w:rsidR="003C3585">
              <w:t xml:space="preserve"> attiecīgajā fondā (aprēķins pievienots anotācijas pielikumā)</w:t>
            </w:r>
            <w:r w:rsidR="00C97383" w:rsidRPr="009C0A99">
              <w:t xml:space="preserve"> </w:t>
            </w:r>
            <w:r w:rsidRPr="009C0A99">
              <w:t>+ 25% valsts līdzfinansējums no 2015.gada projektu finansējuma + tehniskās palīdzības finansējums 2015.gadam.</w:t>
            </w:r>
          </w:p>
          <w:p w14:paraId="6D49C38C" w14:textId="7EBC3BCB" w:rsidR="005C14E6" w:rsidRPr="009C0A99" w:rsidRDefault="005C14E6" w:rsidP="00726BC5">
            <w:pPr>
              <w:pStyle w:val="ListBullet"/>
              <w:numPr>
                <w:ilvl w:val="0"/>
                <w:numId w:val="0"/>
              </w:numPr>
              <w:ind w:left="35"/>
              <w:jc w:val="both"/>
            </w:pPr>
            <w:r w:rsidRPr="009C0A99">
              <w:t xml:space="preserve">No augstākminētā izriet, ka no Patvēruma, migrācijas un integrācijas fonda tiek plānoti izdevumi </w:t>
            </w:r>
            <w:r w:rsidR="00927995" w:rsidRPr="009C0A99">
              <w:t> </w:t>
            </w:r>
            <w:r w:rsidR="00F663F4" w:rsidRPr="009C0A99">
              <w:t>314 282</w:t>
            </w:r>
            <w:r w:rsidRPr="009C0A99">
              <w:t xml:space="preserve"> </w:t>
            </w:r>
            <w:r w:rsidRPr="009C0A99">
              <w:rPr>
                <w:i/>
              </w:rPr>
              <w:t>euro</w:t>
            </w:r>
            <w:r w:rsidRPr="009C0A99">
              <w:t xml:space="preserve"> apmērā (t.sk. EK finansējums projektiem (75%) </w:t>
            </w:r>
            <w:r w:rsidR="00F663F4" w:rsidRPr="009C0A99">
              <w:t>191 803</w:t>
            </w:r>
            <w:r w:rsidRPr="009C0A99">
              <w:t xml:space="preserve"> </w:t>
            </w:r>
            <w:r w:rsidRPr="009C0A99">
              <w:rPr>
                <w:i/>
              </w:rPr>
              <w:t>euro</w:t>
            </w:r>
            <w:r w:rsidRPr="009C0A99">
              <w:t xml:space="preserve">, valsts budžeta finansējums (25%) </w:t>
            </w:r>
            <w:r w:rsidR="00F663F4" w:rsidRPr="009C0A99">
              <w:t>63 934</w:t>
            </w:r>
            <w:r w:rsidRPr="009C0A99">
              <w:t xml:space="preserve"> </w:t>
            </w:r>
            <w:r w:rsidRPr="009C0A99">
              <w:rPr>
                <w:i/>
              </w:rPr>
              <w:t>euro</w:t>
            </w:r>
            <w:r w:rsidRPr="009C0A99">
              <w:t xml:space="preserve"> un tehniskā palīdzība </w:t>
            </w:r>
            <w:r w:rsidR="00F663F4" w:rsidRPr="009C0A99">
              <w:t>58 545</w:t>
            </w:r>
            <w:r w:rsidRPr="009C0A99">
              <w:t xml:space="preserve"> </w:t>
            </w:r>
            <w:r w:rsidRPr="009C0A99">
              <w:rPr>
                <w:i/>
              </w:rPr>
              <w:t>euro</w:t>
            </w:r>
            <w:r w:rsidRPr="009C0A99">
              <w:t xml:space="preserve">), Iekšējās drošības fonda (robežas/vīza) tiek plānoti izdevumi </w:t>
            </w:r>
            <w:r w:rsidR="00B42665" w:rsidRPr="009C0A99">
              <w:t>643 272</w:t>
            </w:r>
            <w:r w:rsidRPr="009C0A99">
              <w:t xml:space="preserve"> </w:t>
            </w:r>
            <w:r w:rsidRPr="009C0A99">
              <w:rPr>
                <w:i/>
              </w:rPr>
              <w:t>euro</w:t>
            </w:r>
            <w:r w:rsidRPr="009C0A99">
              <w:t xml:space="preserve"> (t.sk. EK finansējums projektiem (75%) </w:t>
            </w:r>
            <w:r w:rsidR="00EC2DC5" w:rsidRPr="009C0A99">
              <w:t>450 552</w:t>
            </w:r>
            <w:r w:rsidRPr="009C0A99">
              <w:t> </w:t>
            </w:r>
            <w:r w:rsidRPr="009C0A99">
              <w:rPr>
                <w:i/>
              </w:rPr>
              <w:t>euro</w:t>
            </w:r>
            <w:r w:rsidRPr="009C0A99">
              <w:t xml:space="preserve">, valsts budžeta finansējums (25%) </w:t>
            </w:r>
            <w:r w:rsidR="00EC2DC5" w:rsidRPr="009C0A99">
              <w:t>150 184</w:t>
            </w:r>
            <w:r w:rsidRPr="009C0A99">
              <w:t xml:space="preserve"> </w:t>
            </w:r>
            <w:r w:rsidRPr="009C0A99">
              <w:rPr>
                <w:i/>
              </w:rPr>
              <w:t>euro</w:t>
            </w:r>
            <w:r w:rsidRPr="009C0A99">
              <w:t xml:space="preserve"> un tehniskā palīdzība </w:t>
            </w:r>
            <w:r w:rsidR="00B42665" w:rsidRPr="009C0A99">
              <w:t>42 536</w:t>
            </w:r>
            <w:r w:rsidRPr="009C0A99">
              <w:t xml:space="preserve"> </w:t>
            </w:r>
            <w:r w:rsidRPr="009C0A99">
              <w:rPr>
                <w:i/>
              </w:rPr>
              <w:t>euro</w:t>
            </w:r>
            <w:r w:rsidRPr="009C0A99">
              <w:t>) un Iekšējās drošības fonda (policijas sadarbība)</w:t>
            </w:r>
            <w:r w:rsidR="002C6A40">
              <w:t xml:space="preserve"> izdevumi ne</w:t>
            </w:r>
            <w:r w:rsidRPr="009C0A99">
              <w:t>tiek plānoti</w:t>
            </w:r>
            <w:r w:rsidR="00F32489" w:rsidRPr="009C0A99">
              <w:t xml:space="preserve">. </w:t>
            </w:r>
          </w:p>
          <w:p w14:paraId="41DFB9DC" w14:textId="77777777" w:rsidR="005C14E6" w:rsidRPr="009C0A99" w:rsidRDefault="005C14E6" w:rsidP="00726BC5">
            <w:pPr>
              <w:pStyle w:val="ListBullet"/>
            </w:pPr>
            <w:r w:rsidRPr="009C0A99">
              <w:lastRenderedPageBreak/>
              <w:t>2016.gadam tiek veikts sekojošs aprēķins:</w:t>
            </w:r>
          </w:p>
          <w:p w14:paraId="3EEA0B42" w14:textId="67718954" w:rsidR="005C14E6" w:rsidRPr="009C0A99" w:rsidRDefault="005C14E6" w:rsidP="00726BC5">
            <w:pPr>
              <w:pStyle w:val="ListBullet"/>
              <w:numPr>
                <w:ilvl w:val="0"/>
                <w:numId w:val="0"/>
              </w:numPr>
              <w:ind w:left="35"/>
              <w:jc w:val="both"/>
            </w:pPr>
            <w:r w:rsidRPr="009C0A99">
              <w:t>2016.gad</w:t>
            </w:r>
            <w:r w:rsidR="002C6A40">
              <w:t>ā izdevumi no projektiem pieejamā finansējuma apjoma attiecīgajā fondā (aprēķins pievienots anotācijas pielikumā)</w:t>
            </w:r>
            <w:r w:rsidR="009D2D9A" w:rsidRPr="009C0A99">
              <w:t xml:space="preserve"> + 25% valsts</w:t>
            </w:r>
            <w:r w:rsidR="004850AE">
              <w:t xml:space="preserve"> budžeta </w:t>
            </w:r>
            <w:r w:rsidR="009D2D9A" w:rsidRPr="009C0A99">
              <w:t>finansējums no 201</w:t>
            </w:r>
            <w:r w:rsidR="004850AE">
              <w:t>6</w:t>
            </w:r>
            <w:r w:rsidR="009D2D9A" w:rsidRPr="009C0A99">
              <w:t xml:space="preserve">.gada projektu finansējuma + tehniskās </w:t>
            </w:r>
            <w:r w:rsidR="009D2D9A" w:rsidRPr="00B865B6">
              <w:t>palīdzības finansējums 201</w:t>
            </w:r>
            <w:r w:rsidR="004850AE" w:rsidRPr="00B865B6">
              <w:t>6</w:t>
            </w:r>
            <w:r w:rsidR="009D2D9A" w:rsidRPr="00B865B6">
              <w:t>.gadam</w:t>
            </w:r>
            <w:r w:rsidR="009D2D9A" w:rsidRPr="009C0A99">
              <w:t>.</w:t>
            </w:r>
          </w:p>
          <w:p w14:paraId="33BEB0C1" w14:textId="6B74A29C" w:rsidR="005C14E6" w:rsidRPr="009C0A99" w:rsidRDefault="00F212DC" w:rsidP="00726BC5">
            <w:pPr>
              <w:pStyle w:val="ListBullet"/>
              <w:numPr>
                <w:ilvl w:val="0"/>
                <w:numId w:val="0"/>
              </w:numPr>
              <w:ind w:left="35"/>
              <w:jc w:val="both"/>
            </w:pPr>
            <w:r w:rsidRPr="009C0A99">
              <w:t>No augstākminētā izriet, ka no Patvēruma, migrācijas un integrācijas fonda tiek plānoti izdevumi  </w:t>
            </w:r>
            <w:r w:rsidR="00E94869" w:rsidRPr="009C0A99">
              <w:t>2 645 996</w:t>
            </w:r>
            <w:r w:rsidRPr="009C0A99">
              <w:t xml:space="preserve"> </w:t>
            </w:r>
            <w:r w:rsidRPr="009C0A99">
              <w:rPr>
                <w:i/>
              </w:rPr>
              <w:t>euro</w:t>
            </w:r>
            <w:r w:rsidRPr="009C0A99">
              <w:t xml:space="preserve"> apmērā (t.sk. EK finansējums projektiem (75%) </w:t>
            </w:r>
            <w:r w:rsidR="00EC2DC5" w:rsidRPr="009C0A99">
              <w:t>1 802 806</w:t>
            </w:r>
            <w:r w:rsidRPr="009C0A99">
              <w:t xml:space="preserve"> </w:t>
            </w:r>
            <w:r w:rsidRPr="009C0A99">
              <w:rPr>
                <w:i/>
              </w:rPr>
              <w:t>euro</w:t>
            </w:r>
            <w:r w:rsidRPr="009C0A99">
              <w:t xml:space="preserve">, valsts budžeta finansējums (25%) </w:t>
            </w:r>
            <w:r w:rsidR="00EC2DC5" w:rsidRPr="009C0A99">
              <w:t>600 935</w:t>
            </w:r>
            <w:r w:rsidR="00E94869" w:rsidRPr="009C0A99">
              <w:t xml:space="preserve"> </w:t>
            </w:r>
            <w:r w:rsidRPr="009C0A99">
              <w:rPr>
                <w:i/>
              </w:rPr>
              <w:t>euro</w:t>
            </w:r>
            <w:r w:rsidRPr="009C0A99">
              <w:t xml:space="preserve"> un tehniskā palīdzība </w:t>
            </w:r>
            <w:r w:rsidR="00EC2DC5" w:rsidRPr="009C0A99">
              <w:t>242 255</w:t>
            </w:r>
            <w:r w:rsidRPr="009C0A99">
              <w:t xml:space="preserve"> </w:t>
            </w:r>
            <w:r w:rsidRPr="009C0A99">
              <w:rPr>
                <w:i/>
              </w:rPr>
              <w:t>euro</w:t>
            </w:r>
            <w:r w:rsidRPr="009C0A99">
              <w:t xml:space="preserve">), Iekšējās drošības fonda (robežas/vīza) tiek plānoti izdevumi </w:t>
            </w:r>
            <w:r w:rsidR="00090598" w:rsidRPr="009C0A99">
              <w:t>2 814 234</w:t>
            </w:r>
            <w:r w:rsidRPr="009C0A99">
              <w:t xml:space="preserve"> </w:t>
            </w:r>
            <w:r w:rsidRPr="009C0A99">
              <w:rPr>
                <w:i/>
              </w:rPr>
              <w:t>euro</w:t>
            </w:r>
            <w:r w:rsidRPr="009C0A99">
              <w:t xml:space="preserve"> (t.sk. EK finansējums projektiem (75%) </w:t>
            </w:r>
            <w:r w:rsidR="00090598" w:rsidRPr="009C0A99">
              <w:t>1 978 667</w:t>
            </w:r>
            <w:r w:rsidRPr="009C0A99">
              <w:t> </w:t>
            </w:r>
            <w:r w:rsidRPr="009C0A99">
              <w:rPr>
                <w:i/>
              </w:rPr>
              <w:t>euro</w:t>
            </w:r>
            <w:r w:rsidRPr="009C0A99">
              <w:t xml:space="preserve">, valsts budžeta finansējums (25%) </w:t>
            </w:r>
            <w:r w:rsidR="00090598" w:rsidRPr="009C0A99">
              <w:t xml:space="preserve">659 556 </w:t>
            </w:r>
            <w:r w:rsidRPr="009C0A99">
              <w:rPr>
                <w:i/>
              </w:rPr>
              <w:t>euro</w:t>
            </w:r>
            <w:r w:rsidRPr="009C0A99">
              <w:t xml:space="preserve"> un tehniskā palīdzība </w:t>
            </w:r>
            <w:r w:rsidR="00090598" w:rsidRPr="009C0A99">
              <w:t>176 012</w:t>
            </w:r>
            <w:r w:rsidRPr="009C0A99">
              <w:t xml:space="preserve"> </w:t>
            </w:r>
            <w:r w:rsidRPr="009C0A99">
              <w:rPr>
                <w:i/>
              </w:rPr>
              <w:t>euro</w:t>
            </w:r>
            <w:r w:rsidRPr="009C0A99">
              <w:t xml:space="preserve">) un Iekšējās drošības fonda (policijas sadarbība) tiek plānoti izdevumi </w:t>
            </w:r>
            <w:r w:rsidR="00090598" w:rsidRPr="009C0A99">
              <w:t xml:space="preserve">3 321 502 </w:t>
            </w:r>
            <w:r w:rsidR="00090598" w:rsidRPr="009C0A99">
              <w:rPr>
                <w:i/>
              </w:rPr>
              <w:t>euro</w:t>
            </w:r>
            <w:r w:rsidR="00090598" w:rsidRPr="009C0A99">
              <w:t xml:space="preserve"> apmērā (t.sk. EK finansējums projektiem (75%) 2 382 809 </w:t>
            </w:r>
            <w:r w:rsidR="00090598" w:rsidRPr="009C0A99">
              <w:rPr>
                <w:i/>
              </w:rPr>
              <w:t>euro</w:t>
            </w:r>
            <w:r w:rsidR="00090598" w:rsidRPr="009C0A99">
              <w:t xml:space="preserve">, valsts budžeta finansējums (25%) 794 270 </w:t>
            </w:r>
            <w:r w:rsidR="00090598" w:rsidRPr="009C0A99">
              <w:rPr>
                <w:i/>
              </w:rPr>
              <w:t>euro</w:t>
            </w:r>
            <w:r w:rsidR="00090598" w:rsidRPr="009C0A99">
              <w:t xml:space="preserve"> un tehniskā palīdzība 144 424 </w:t>
            </w:r>
            <w:r w:rsidR="00090598" w:rsidRPr="009C0A99">
              <w:rPr>
                <w:i/>
              </w:rPr>
              <w:t>euro</w:t>
            </w:r>
            <w:r w:rsidR="00090598" w:rsidRPr="009C0A99">
              <w:t>)</w:t>
            </w:r>
            <w:r w:rsidRPr="009C0A99">
              <w:t>.</w:t>
            </w:r>
          </w:p>
          <w:p w14:paraId="358FA46C" w14:textId="77777777" w:rsidR="005C14E6" w:rsidRPr="009C0A99" w:rsidRDefault="005C14E6" w:rsidP="00726BC5">
            <w:pPr>
              <w:pStyle w:val="ListBullet"/>
            </w:pPr>
            <w:r w:rsidRPr="009C0A99">
              <w:t>2017.gadam tiek veikts sekojošs aprēķins:</w:t>
            </w:r>
          </w:p>
          <w:p w14:paraId="24C18CF7" w14:textId="7368FDE2" w:rsidR="005F7566" w:rsidRPr="009C0A99" w:rsidRDefault="005C14E6" w:rsidP="005F7566">
            <w:pPr>
              <w:pStyle w:val="ListBullet"/>
              <w:numPr>
                <w:ilvl w:val="0"/>
                <w:numId w:val="0"/>
              </w:numPr>
              <w:ind w:left="35"/>
              <w:jc w:val="both"/>
            </w:pPr>
            <w:r w:rsidRPr="009C0A99">
              <w:t>2017.gad</w:t>
            </w:r>
            <w:r w:rsidR="00884FF3">
              <w:t>ā izdevumi no projektiem pieejamā finansējuma apjoma attiecīgajā fonda (aprēķins pievienots anotācijas pielikumā)</w:t>
            </w:r>
            <w:r w:rsidRPr="009C0A99">
              <w:t xml:space="preserve"> </w:t>
            </w:r>
            <w:r w:rsidR="005F7566" w:rsidRPr="009C0A99">
              <w:t>+ 25% valsts</w:t>
            </w:r>
            <w:r w:rsidR="00884FF3">
              <w:t xml:space="preserve"> budžeta </w:t>
            </w:r>
            <w:r w:rsidR="005F7566" w:rsidRPr="009C0A99">
              <w:t>finansējums no 201</w:t>
            </w:r>
            <w:r w:rsidR="00884FF3">
              <w:t>7</w:t>
            </w:r>
            <w:r w:rsidR="005F7566" w:rsidRPr="009C0A99">
              <w:t>.gada projektu finansējuma + tehniskās palīdzības finansējums 201</w:t>
            </w:r>
            <w:r w:rsidR="00884FF3">
              <w:t>7.gadam</w:t>
            </w:r>
            <w:r w:rsidR="005F7566" w:rsidRPr="009C0A99">
              <w:t>.</w:t>
            </w:r>
          </w:p>
          <w:p w14:paraId="3049B1DA" w14:textId="7DA77A2E" w:rsidR="005F7566" w:rsidRPr="009C0A99" w:rsidRDefault="005F7566" w:rsidP="005F7566">
            <w:pPr>
              <w:pStyle w:val="ListBullet"/>
              <w:numPr>
                <w:ilvl w:val="0"/>
                <w:numId w:val="0"/>
              </w:numPr>
              <w:ind w:left="35"/>
              <w:jc w:val="both"/>
            </w:pPr>
            <w:r w:rsidRPr="009C0A99">
              <w:t>No augstākminētā izriet, ka no Patvēruma, migrācijas un integrācijas fonda tiek plānoti izdevumi  </w:t>
            </w:r>
            <w:r w:rsidR="002D0787" w:rsidRPr="009C0A99">
              <w:t>3 053 952</w:t>
            </w:r>
            <w:r w:rsidRPr="009C0A99">
              <w:t xml:space="preserve"> </w:t>
            </w:r>
            <w:r w:rsidRPr="009C0A99">
              <w:rPr>
                <w:i/>
              </w:rPr>
              <w:t>euro</w:t>
            </w:r>
            <w:r w:rsidRPr="009C0A99">
              <w:t xml:space="preserve"> apmērā (t.sk. EK finansējums projektiem (75%) </w:t>
            </w:r>
            <w:r w:rsidR="002D0787" w:rsidRPr="009C0A99">
              <w:t>2 108 773</w:t>
            </w:r>
            <w:r w:rsidRPr="009C0A99">
              <w:t xml:space="preserve"> </w:t>
            </w:r>
            <w:r w:rsidRPr="009C0A99">
              <w:rPr>
                <w:i/>
              </w:rPr>
              <w:t>euro</w:t>
            </w:r>
            <w:r w:rsidR="00884FF3">
              <w:t xml:space="preserve">, valsts budžeta </w:t>
            </w:r>
            <w:r w:rsidRPr="009C0A99">
              <w:t xml:space="preserve">finansējums (25%) </w:t>
            </w:r>
            <w:r w:rsidR="002D0787" w:rsidRPr="009C0A99">
              <w:t>702 924</w:t>
            </w:r>
            <w:r w:rsidRPr="009C0A99">
              <w:t xml:space="preserve"> </w:t>
            </w:r>
            <w:r w:rsidRPr="009C0A99">
              <w:rPr>
                <w:i/>
              </w:rPr>
              <w:t>euro</w:t>
            </w:r>
            <w:r w:rsidRPr="009C0A99">
              <w:t xml:space="preserve"> un tehniskā palīdzība 242 255 </w:t>
            </w:r>
            <w:r w:rsidRPr="009C0A99">
              <w:rPr>
                <w:i/>
              </w:rPr>
              <w:t>euro</w:t>
            </w:r>
            <w:r w:rsidRPr="009C0A99">
              <w:t xml:space="preserve">), Iekšējās drošības fonda (robežas/vīza) tiek plānoti izdevumi </w:t>
            </w:r>
            <w:r w:rsidR="002D0787" w:rsidRPr="009C0A99">
              <w:t>4 108 516</w:t>
            </w:r>
            <w:r w:rsidRPr="009C0A99">
              <w:t xml:space="preserve"> </w:t>
            </w:r>
            <w:r w:rsidRPr="009C0A99">
              <w:rPr>
                <w:i/>
              </w:rPr>
              <w:t>euro</w:t>
            </w:r>
            <w:r w:rsidRPr="009C0A99">
              <w:t xml:space="preserve"> (t.sk. EK finansējums projektiem (75%) </w:t>
            </w:r>
            <w:r w:rsidR="002D0787" w:rsidRPr="009C0A99">
              <w:t>2 949 378</w:t>
            </w:r>
            <w:r w:rsidRPr="009C0A99">
              <w:t> </w:t>
            </w:r>
            <w:r w:rsidRPr="009C0A99">
              <w:rPr>
                <w:i/>
              </w:rPr>
              <w:t>euro</w:t>
            </w:r>
            <w:r w:rsidRPr="009C0A99">
              <w:t xml:space="preserve">, valsts budžeta finansējums (25%) </w:t>
            </w:r>
            <w:r w:rsidR="002D0787" w:rsidRPr="009C0A99">
              <w:t>983 126</w:t>
            </w:r>
            <w:r w:rsidRPr="009C0A99">
              <w:t xml:space="preserve"> </w:t>
            </w:r>
            <w:r w:rsidRPr="009C0A99">
              <w:rPr>
                <w:i/>
              </w:rPr>
              <w:t>euro</w:t>
            </w:r>
            <w:r w:rsidRPr="009C0A99">
              <w:t xml:space="preserve"> un tehniskā palīdzība 176 012 </w:t>
            </w:r>
            <w:r w:rsidRPr="009C0A99">
              <w:rPr>
                <w:i/>
              </w:rPr>
              <w:t>euro</w:t>
            </w:r>
            <w:r w:rsidRPr="009C0A99">
              <w:t xml:space="preserve">) un Iekšējās drošības fonda (policijas sadarbība) tiek plānoti izdevumi 3 321 502 </w:t>
            </w:r>
            <w:r w:rsidRPr="009C0A99">
              <w:rPr>
                <w:i/>
              </w:rPr>
              <w:t>euro</w:t>
            </w:r>
            <w:r w:rsidRPr="009C0A99">
              <w:t xml:space="preserve"> apmērā (t.sk. EK finansējums projektiem (75%) 2 382 809 </w:t>
            </w:r>
            <w:r w:rsidRPr="009C0A99">
              <w:rPr>
                <w:i/>
              </w:rPr>
              <w:t>euro</w:t>
            </w:r>
            <w:r w:rsidR="00884FF3">
              <w:t xml:space="preserve">, valsts budžeta </w:t>
            </w:r>
            <w:r w:rsidRPr="009C0A99">
              <w:t xml:space="preserve">finansējums (25%) 794 270 </w:t>
            </w:r>
            <w:r w:rsidRPr="009C0A99">
              <w:rPr>
                <w:i/>
              </w:rPr>
              <w:t>euro</w:t>
            </w:r>
            <w:r w:rsidRPr="009C0A99">
              <w:t xml:space="preserve"> un tehniskā palīdzība 144 424 </w:t>
            </w:r>
            <w:r w:rsidRPr="009C0A99">
              <w:rPr>
                <w:i/>
              </w:rPr>
              <w:t>euro</w:t>
            </w:r>
            <w:r w:rsidRPr="009C0A99">
              <w:t>).</w:t>
            </w:r>
          </w:p>
          <w:p w14:paraId="22CFD741" w14:textId="54427ACC" w:rsidR="002D0787" w:rsidRPr="009C0A99" w:rsidRDefault="002D0787" w:rsidP="002D0787">
            <w:pPr>
              <w:pStyle w:val="ListBullet"/>
            </w:pPr>
            <w:r w:rsidRPr="009C0A99">
              <w:t>2018.gadam tiek veikts sekojošs aprēķins:</w:t>
            </w:r>
          </w:p>
          <w:p w14:paraId="1A81A1BF" w14:textId="3997FFAD" w:rsidR="002D0787" w:rsidRPr="009C0A99" w:rsidRDefault="002D0787" w:rsidP="002D0787">
            <w:pPr>
              <w:pStyle w:val="ListBullet"/>
              <w:numPr>
                <w:ilvl w:val="0"/>
                <w:numId w:val="0"/>
              </w:numPr>
              <w:ind w:left="35"/>
              <w:jc w:val="both"/>
            </w:pPr>
            <w:r w:rsidRPr="009C0A99">
              <w:t>2018.gad</w:t>
            </w:r>
            <w:r w:rsidR="00884FF3">
              <w:t xml:space="preserve">ā izdevumi no projektiem pieejamā finansējuma apjoma attiecīgajā fondā (aprēķins pievienots anotācijas pielikumā)    </w:t>
            </w:r>
            <w:r w:rsidRPr="009C0A99">
              <w:t xml:space="preserve">+ 25% valsts </w:t>
            </w:r>
            <w:r w:rsidR="00884FF3">
              <w:t xml:space="preserve">budžeta </w:t>
            </w:r>
            <w:r w:rsidRPr="009C0A99">
              <w:t>finansējums no 201</w:t>
            </w:r>
            <w:r w:rsidR="00884FF3">
              <w:t>8</w:t>
            </w:r>
            <w:r w:rsidRPr="009C0A99">
              <w:t>.gada projektu finansējuma + tehniskās palīdzības finansējums 201</w:t>
            </w:r>
            <w:r w:rsidR="00884FF3">
              <w:t>8</w:t>
            </w:r>
            <w:r w:rsidRPr="009C0A99">
              <w:t>.gadam.</w:t>
            </w:r>
          </w:p>
          <w:p w14:paraId="35AEC30A" w14:textId="455DC648" w:rsidR="005C14E6" w:rsidRPr="005C14E6" w:rsidRDefault="002D0787" w:rsidP="00884FF3">
            <w:pPr>
              <w:pStyle w:val="ListBullet"/>
              <w:numPr>
                <w:ilvl w:val="0"/>
                <w:numId w:val="0"/>
              </w:numPr>
              <w:ind w:left="35"/>
              <w:jc w:val="both"/>
            </w:pPr>
            <w:r w:rsidRPr="009C0A99">
              <w:t xml:space="preserve">No augstākminētā izriet, ka no Patvēruma, migrācijas un integrācijas fonda tiek plānoti izdevumi  2 246 773 </w:t>
            </w:r>
            <w:r w:rsidRPr="009C0A99">
              <w:rPr>
                <w:i/>
              </w:rPr>
              <w:t>euro</w:t>
            </w:r>
            <w:r w:rsidRPr="009C0A99">
              <w:t xml:space="preserve"> apmērā (t.sk. EK finansējums projektiem (75%) 1 503 38</w:t>
            </w:r>
            <w:r w:rsidR="00884FF3">
              <w:t>8</w:t>
            </w:r>
            <w:r w:rsidRPr="009C0A99">
              <w:t xml:space="preserve"> </w:t>
            </w:r>
            <w:r w:rsidRPr="009C0A99">
              <w:rPr>
                <w:i/>
              </w:rPr>
              <w:t>euro</w:t>
            </w:r>
            <w:r w:rsidRPr="009C0A99">
              <w:t xml:space="preserve">, valsts budžeta finansējums (25%) 501 130 </w:t>
            </w:r>
            <w:r w:rsidRPr="009C0A99">
              <w:rPr>
                <w:i/>
              </w:rPr>
              <w:t>euro</w:t>
            </w:r>
            <w:r w:rsidRPr="009C0A99">
              <w:t xml:space="preserve"> un tehniskā palīdzība 242 255 </w:t>
            </w:r>
            <w:r w:rsidRPr="009C0A99">
              <w:rPr>
                <w:i/>
              </w:rPr>
              <w:t>euro</w:t>
            </w:r>
            <w:r w:rsidRPr="009C0A99">
              <w:t xml:space="preserve">), Iekšējās drošības fonda (robežas/vīza) tiek plānoti izdevumi 5 301 197 </w:t>
            </w:r>
            <w:r w:rsidRPr="009C0A99">
              <w:rPr>
                <w:i/>
              </w:rPr>
              <w:t>euro</w:t>
            </w:r>
            <w:r w:rsidRPr="009C0A99">
              <w:t xml:space="preserve"> (t.sk. EK finansējums projektiem (75%) </w:t>
            </w:r>
            <w:r w:rsidR="004C3798" w:rsidRPr="009C0A99">
              <w:t>3 843 889</w:t>
            </w:r>
            <w:r w:rsidRPr="009C0A99">
              <w:t> </w:t>
            </w:r>
            <w:r w:rsidRPr="009C0A99">
              <w:rPr>
                <w:i/>
              </w:rPr>
              <w:t>euro</w:t>
            </w:r>
            <w:r w:rsidRPr="009C0A99">
              <w:t xml:space="preserve">, valsts budžeta finansējums (25%) </w:t>
            </w:r>
            <w:r w:rsidR="004C3798" w:rsidRPr="009C0A99">
              <w:t>1 281 296</w:t>
            </w:r>
            <w:r w:rsidRPr="009C0A99">
              <w:t xml:space="preserve"> </w:t>
            </w:r>
            <w:r w:rsidRPr="009C0A99">
              <w:rPr>
                <w:i/>
              </w:rPr>
              <w:t>euro</w:t>
            </w:r>
            <w:r w:rsidRPr="009C0A99">
              <w:t xml:space="preserve"> un tehniskā palīdzība 176 012 </w:t>
            </w:r>
            <w:r w:rsidRPr="009C0A99">
              <w:rPr>
                <w:i/>
              </w:rPr>
              <w:t>euro</w:t>
            </w:r>
            <w:r w:rsidRPr="009C0A99">
              <w:t>) un Iekšējās drošības fonda (policijas sadarbība) tiek plānoti izdevumi 3 321 50</w:t>
            </w:r>
            <w:r w:rsidR="00884FF3">
              <w:t>3</w:t>
            </w:r>
            <w:r w:rsidRPr="009C0A99">
              <w:t xml:space="preserve"> </w:t>
            </w:r>
            <w:r w:rsidRPr="009C0A99">
              <w:rPr>
                <w:i/>
              </w:rPr>
              <w:t>euro</w:t>
            </w:r>
            <w:r w:rsidRPr="009C0A99">
              <w:t xml:space="preserve"> apmērā (t.sk. EK finansējums projektiem (75%) 2 382 809 </w:t>
            </w:r>
            <w:r w:rsidRPr="009C0A99">
              <w:rPr>
                <w:i/>
              </w:rPr>
              <w:t>euro</w:t>
            </w:r>
            <w:r w:rsidRPr="009C0A99">
              <w:t xml:space="preserve">, valsts budžeta finansējums (25%) 794 270 </w:t>
            </w:r>
            <w:r w:rsidRPr="009C0A99">
              <w:rPr>
                <w:i/>
              </w:rPr>
              <w:t>euro</w:t>
            </w:r>
            <w:r w:rsidRPr="009C0A99">
              <w:t xml:space="preserve"> un tehniskā palīdzība 144 424 </w:t>
            </w:r>
            <w:r w:rsidRPr="009C0A99">
              <w:rPr>
                <w:i/>
              </w:rPr>
              <w:t>euro</w:t>
            </w:r>
            <w:r w:rsidRPr="009C0A99">
              <w:t>).</w:t>
            </w:r>
          </w:p>
        </w:tc>
      </w:tr>
      <w:tr w:rsidR="005C14E6" w:rsidRPr="005C14E6" w14:paraId="1CF4816D" w14:textId="77777777" w:rsidTr="00726BC5">
        <w:trPr>
          <w:trHeight w:val="556"/>
          <w:jc w:val="center"/>
        </w:trPr>
        <w:tc>
          <w:tcPr>
            <w:tcW w:w="2835" w:type="dxa"/>
          </w:tcPr>
          <w:p w14:paraId="36582A8F" w14:textId="77777777" w:rsidR="005C14E6" w:rsidRPr="005C14E6" w:rsidRDefault="005C14E6" w:rsidP="00726BC5">
            <w:pPr>
              <w:rPr>
                <w:rFonts w:ascii="Times New Roman" w:hAnsi="Times New Roman" w:cs="Times New Roman"/>
              </w:rPr>
            </w:pPr>
            <w:r w:rsidRPr="005C14E6">
              <w:rPr>
                <w:rFonts w:ascii="Times New Roman" w:hAnsi="Times New Roman" w:cs="Times New Roman"/>
              </w:rPr>
              <w:lastRenderedPageBreak/>
              <w:t>7. Cita informācija</w:t>
            </w:r>
          </w:p>
        </w:tc>
        <w:tc>
          <w:tcPr>
            <w:tcW w:w="6450" w:type="dxa"/>
            <w:gridSpan w:val="5"/>
          </w:tcPr>
          <w:p w14:paraId="6F656FC9" w14:textId="398CA028" w:rsidR="005C14E6" w:rsidRDefault="005C14E6" w:rsidP="005C14E6">
            <w:pPr>
              <w:pStyle w:val="naisf"/>
              <w:tabs>
                <w:tab w:val="left" w:pos="0"/>
                <w:tab w:val="left" w:pos="2965"/>
              </w:tabs>
              <w:spacing w:before="0" w:after="0"/>
              <w:jc w:val="both"/>
              <w:rPr>
                <w:bCs/>
                <w:color w:val="000000"/>
              </w:rPr>
            </w:pPr>
            <w:r w:rsidRPr="005C14E6">
              <w:rPr>
                <w:bCs/>
                <w:color w:val="000000"/>
              </w:rPr>
              <w:t>Salīdzinājumā ar 2007.-2013.gada finanšu periodu, arī jaunajā fondu īstenošanas periodā ir plānots apstiprinātā projekta īstenošanai finansējumu piešķirt no valsts budžeta līdzekļiem. Līdzekļus kā valsts budžeta dotāciju no vispārējiem ieņēmumiem fonda finansējuma un valsts budžeta finansējuma nodrošināšanai fonda projektu īstenošanai kārtējam gadam un valsts budžeta ilgtermiņa saistības attiecīgās nozares ministrijas vai citas centrālās valsts iestādes par to kompetencē esošajiem projektiem plāno pamatbudžetā atsevišķā valsts budžeta apakšprogrammā atbilstoši normatīvajiem aktiem par budžetu un finanšu vadību.</w:t>
            </w:r>
          </w:p>
          <w:p w14:paraId="5A106EAA" w14:textId="16A8B447" w:rsidR="00087D12" w:rsidRPr="005C14E6" w:rsidRDefault="00087D12" w:rsidP="005C14E6">
            <w:pPr>
              <w:pStyle w:val="naisf"/>
              <w:tabs>
                <w:tab w:val="left" w:pos="0"/>
                <w:tab w:val="left" w:pos="2965"/>
              </w:tabs>
              <w:spacing w:before="0" w:after="0"/>
              <w:jc w:val="both"/>
              <w:rPr>
                <w:bCs/>
                <w:color w:val="000000"/>
              </w:rPr>
            </w:pPr>
            <w:r w:rsidRPr="00584E4F">
              <w:rPr>
                <w:bCs/>
                <w:szCs w:val="28"/>
              </w:rPr>
              <w:t>Finansējums projektiem tiks pieprasīts atbilstoši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pasākumu īstenošanai.</w:t>
            </w:r>
          </w:p>
          <w:p w14:paraId="098C567E" w14:textId="6CF962CD" w:rsidR="005C14E6" w:rsidRPr="005C14E6" w:rsidRDefault="005C14E6" w:rsidP="005C14E6">
            <w:pPr>
              <w:pStyle w:val="naisf"/>
              <w:tabs>
                <w:tab w:val="left" w:pos="4644"/>
              </w:tabs>
              <w:spacing w:before="0" w:after="0"/>
              <w:jc w:val="both"/>
            </w:pPr>
            <w:r w:rsidRPr="005C14E6">
              <w:t xml:space="preserve">Saskaņā ar regulu Nr.516/2014, regulu Nr.515/2014 un regulu Nr.513/2014, ES fondiem tiek paredzēts finansējums </w:t>
            </w:r>
            <w:r w:rsidR="00884FF3">
              <w:t>60 260 047</w:t>
            </w:r>
            <w:r w:rsidRPr="005C14E6">
              <w:t xml:space="preserve"> </w:t>
            </w:r>
            <w:r w:rsidRPr="005C14E6">
              <w:rPr>
                <w:i/>
              </w:rPr>
              <w:t>euro</w:t>
            </w:r>
            <w:r w:rsidRPr="005C14E6">
              <w:t>, tai skaitā:</w:t>
            </w:r>
          </w:p>
          <w:p w14:paraId="67DEE60E" w14:textId="3DB175B9" w:rsidR="005C14E6" w:rsidRPr="005C14E6" w:rsidRDefault="005C14E6" w:rsidP="005C14E6">
            <w:pPr>
              <w:pStyle w:val="naisf"/>
              <w:tabs>
                <w:tab w:val="left" w:pos="4644"/>
              </w:tabs>
              <w:spacing w:before="0" w:after="0"/>
              <w:jc w:val="both"/>
              <w:rPr>
                <w:i/>
              </w:rPr>
            </w:pPr>
            <w:r w:rsidRPr="005C14E6">
              <w:t xml:space="preserve">Patvēruma, migrācijas un integrācijas fondam </w:t>
            </w:r>
            <w:r w:rsidRPr="005C14E6">
              <w:sym w:font="Symbol" w:char="F02D"/>
            </w:r>
            <w:r w:rsidRPr="005C14E6">
              <w:t xml:space="preserve"> </w:t>
            </w:r>
            <w:r w:rsidR="007E49AB">
              <w:t xml:space="preserve">17 750 253 </w:t>
            </w:r>
            <w:r w:rsidRPr="005C14E6">
              <w:rPr>
                <w:i/>
              </w:rPr>
              <w:t xml:space="preserve">euro, </w:t>
            </w:r>
            <w:r w:rsidRPr="005C14E6">
              <w:t>no tā:</w:t>
            </w:r>
          </w:p>
          <w:p w14:paraId="6D2C8F75" w14:textId="77777777"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fonda līdzfinansējuma daļa 13 751 777 euro;</w:t>
            </w:r>
          </w:p>
          <w:p w14:paraId="61887CAE" w14:textId="32698985"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 xml:space="preserve">valsts budžeta finansējuma daļa </w:t>
            </w:r>
            <w:r w:rsidR="007E49AB">
              <w:rPr>
                <w:i/>
              </w:rPr>
              <w:t xml:space="preserve">3 998 476 </w:t>
            </w:r>
            <w:r w:rsidRPr="005C14E6">
              <w:rPr>
                <w:i/>
              </w:rPr>
              <w:t>euro.</w:t>
            </w:r>
          </w:p>
          <w:p w14:paraId="4C23FEBE" w14:textId="1D968498" w:rsidR="005C14E6" w:rsidRPr="005C14E6" w:rsidRDefault="005C14E6" w:rsidP="00726BC5">
            <w:pPr>
              <w:pStyle w:val="naisf"/>
              <w:tabs>
                <w:tab w:val="left" w:pos="4644"/>
              </w:tabs>
              <w:spacing w:before="0" w:after="0"/>
              <w:rPr>
                <w:i/>
              </w:rPr>
            </w:pPr>
            <w:r w:rsidRPr="005C14E6">
              <w:t xml:space="preserve">Iekšējās drošības fondam (robežas/vīza) </w:t>
            </w:r>
            <w:r w:rsidRPr="005C14E6">
              <w:sym w:font="Symbol" w:char="F02D"/>
            </w:r>
            <w:r w:rsidRPr="005C14E6">
              <w:t xml:space="preserve"> 20</w:t>
            </w:r>
            <w:r w:rsidR="007E49AB">
              <w:t xml:space="preserve"> 270 243 </w:t>
            </w:r>
            <w:r w:rsidRPr="005C14E6">
              <w:rPr>
                <w:i/>
              </w:rPr>
              <w:t xml:space="preserve">euro, </w:t>
            </w:r>
            <w:r w:rsidRPr="005C14E6">
              <w:t>no tā</w:t>
            </w:r>
            <w:r w:rsidRPr="005C14E6">
              <w:rPr>
                <w:i/>
              </w:rPr>
              <w:t>:</w:t>
            </w:r>
          </w:p>
          <w:p w14:paraId="1BF0AF91" w14:textId="77777777"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fonda līdzfinansējuma daļa 15 521 704 euro;</w:t>
            </w:r>
          </w:p>
          <w:p w14:paraId="7B8C20C5" w14:textId="3E6AADB3"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valsts budžeta finansējuma daļa</w:t>
            </w:r>
            <w:r w:rsidR="00175D97">
              <w:rPr>
                <w:i/>
              </w:rPr>
              <w:t xml:space="preserve"> 4 748</w:t>
            </w:r>
            <w:r w:rsidR="000344E2">
              <w:rPr>
                <w:i/>
              </w:rPr>
              <w:t> 539</w:t>
            </w:r>
            <w:r w:rsidRPr="005C14E6">
              <w:rPr>
                <w:i/>
              </w:rPr>
              <w:t xml:space="preserve"> euro.</w:t>
            </w:r>
          </w:p>
          <w:p w14:paraId="49D21044" w14:textId="27AC45A4" w:rsidR="005C14E6" w:rsidRPr="005C14E6" w:rsidRDefault="005C14E6" w:rsidP="005C14E6">
            <w:pPr>
              <w:pStyle w:val="naisf"/>
              <w:tabs>
                <w:tab w:val="left" w:pos="4644"/>
              </w:tabs>
              <w:spacing w:before="0" w:after="0"/>
              <w:jc w:val="both"/>
              <w:rPr>
                <w:i/>
              </w:rPr>
            </w:pPr>
            <w:r w:rsidRPr="005C14E6">
              <w:t xml:space="preserve">Iekšējās drošības fondam (policijas sadarbība) </w:t>
            </w:r>
            <w:r w:rsidRPr="005C14E6">
              <w:sym w:font="Symbol" w:char="F02D"/>
            </w:r>
            <w:r w:rsidRPr="005C14E6">
              <w:t xml:space="preserve"> 22</w:t>
            </w:r>
            <w:r w:rsidR="00175D97">
              <w:t xml:space="preserve"> 239 551 </w:t>
            </w:r>
            <w:r w:rsidRPr="005C14E6">
              <w:rPr>
                <w:i/>
              </w:rPr>
              <w:t xml:space="preserve">euro, </w:t>
            </w:r>
            <w:r w:rsidRPr="005C14E6">
              <w:t>no tā</w:t>
            </w:r>
            <w:r w:rsidRPr="005C14E6">
              <w:rPr>
                <w:i/>
              </w:rPr>
              <w:t>:</w:t>
            </w:r>
          </w:p>
          <w:p w14:paraId="1AC6CD5B" w14:textId="77777777"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fonda līdzfinansējuma daļa 16 941 431 euro;</w:t>
            </w:r>
          </w:p>
          <w:p w14:paraId="57C0EEEE" w14:textId="55504977" w:rsidR="005C14E6" w:rsidRPr="005C14E6" w:rsidRDefault="005C14E6" w:rsidP="005C14E6">
            <w:pPr>
              <w:pStyle w:val="naisf"/>
              <w:numPr>
                <w:ilvl w:val="0"/>
                <w:numId w:val="31"/>
              </w:numPr>
              <w:tabs>
                <w:tab w:val="left" w:pos="0"/>
              </w:tabs>
              <w:spacing w:before="0" w:beforeAutospacing="0" w:after="0" w:afterAutospacing="0"/>
              <w:jc w:val="both"/>
              <w:rPr>
                <w:i/>
              </w:rPr>
            </w:pPr>
            <w:r w:rsidRPr="005C14E6">
              <w:rPr>
                <w:i/>
              </w:rPr>
              <w:t>valsts budžeta finansējuma daļa 5 </w:t>
            </w:r>
            <w:r w:rsidR="00175D97">
              <w:rPr>
                <w:i/>
              </w:rPr>
              <w:t>298</w:t>
            </w:r>
            <w:r w:rsidRPr="005C14E6">
              <w:rPr>
                <w:i/>
              </w:rPr>
              <w:t> </w:t>
            </w:r>
            <w:r w:rsidR="00175D97">
              <w:rPr>
                <w:i/>
              </w:rPr>
              <w:t>120</w:t>
            </w:r>
            <w:r w:rsidRPr="005C14E6">
              <w:rPr>
                <w:i/>
              </w:rPr>
              <w:t xml:space="preserve"> euro.</w:t>
            </w:r>
          </w:p>
          <w:p w14:paraId="4D2C75D6" w14:textId="77777777" w:rsidR="000344E2" w:rsidRDefault="000344E2" w:rsidP="005C14E6">
            <w:pPr>
              <w:jc w:val="both"/>
              <w:rPr>
                <w:rFonts w:ascii="Times New Roman" w:hAnsi="Times New Roman" w:cs="Times New Roman"/>
                <w:color w:val="000000"/>
                <w:sz w:val="24"/>
                <w:szCs w:val="24"/>
              </w:rPr>
            </w:pPr>
          </w:p>
          <w:p w14:paraId="0EE6963D" w14:textId="77777777" w:rsidR="005C14E6" w:rsidRPr="0069678B" w:rsidRDefault="005C14E6" w:rsidP="000C59C8">
            <w:pPr>
              <w:spacing w:line="240" w:lineRule="auto"/>
              <w:jc w:val="both"/>
              <w:rPr>
                <w:rFonts w:ascii="Times New Roman" w:hAnsi="Times New Roman" w:cs="Times New Roman"/>
                <w:color w:val="000000"/>
                <w:sz w:val="24"/>
                <w:szCs w:val="24"/>
              </w:rPr>
            </w:pPr>
            <w:r w:rsidRPr="0069678B">
              <w:rPr>
                <w:rFonts w:ascii="Times New Roman" w:hAnsi="Times New Roman" w:cs="Times New Roman"/>
                <w:color w:val="000000"/>
                <w:sz w:val="24"/>
                <w:szCs w:val="24"/>
              </w:rPr>
              <w:t>Eiropas Komisija veic gada programmas noslēguma maksājumu līdz nākamā perioda martam par realizētajiem projektiem iepriekšējā gadā fondu ietvaros.</w:t>
            </w:r>
          </w:p>
          <w:p w14:paraId="3F1E5C28" w14:textId="77777777" w:rsidR="005C14E6" w:rsidRPr="0069678B" w:rsidRDefault="005C14E6" w:rsidP="000C59C8">
            <w:pPr>
              <w:spacing w:line="240" w:lineRule="auto"/>
              <w:jc w:val="both"/>
              <w:rPr>
                <w:rFonts w:ascii="Times New Roman" w:hAnsi="Times New Roman" w:cs="Times New Roman"/>
                <w:color w:val="000000"/>
                <w:sz w:val="24"/>
                <w:szCs w:val="24"/>
              </w:rPr>
            </w:pPr>
            <w:r w:rsidRPr="0069678B">
              <w:rPr>
                <w:rFonts w:ascii="Times New Roman" w:hAnsi="Times New Roman" w:cs="Times New Roman"/>
                <w:color w:val="000000"/>
                <w:sz w:val="24"/>
                <w:szCs w:val="24"/>
              </w:rPr>
              <w:t>Eiropas Komisija veic ikgadējo avansa maksājumu 5% apmērā no plānotā finansējuma projektiem atbilstoši gada programmā norādītajam un saskaņā ar dalībvalsts iesniegto pieprasījumu.</w:t>
            </w:r>
          </w:p>
          <w:p w14:paraId="576A1D57" w14:textId="6DE42D32" w:rsidR="005C14E6" w:rsidRPr="005C14E6" w:rsidRDefault="00CA0C7F" w:rsidP="000C59C8">
            <w:pPr>
              <w:pStyle w:val="naisf"/>
              <w:tabs>
                <w:tab w:val="left" w:pos="0"/>
              </w:tabs>
              <w:spacing w:before="0" w:beforeAutospacing="0" w:after="0"/>
              <w:jc w:val="both"/>
              <w:rPr>
                <w:color w:val="000000"/>
              </w:rPr>
            </w:pPr>
            <w:r>
              <w:rPr>
                <w:color w:val="000000"/>
              </w:rPr>
              <w:lastRenderedPageBreak/>
              <w:t>A</w:t>
            </w:r>
            <w:r w:rsidR="005C14E6" w:rsidRPr="0069678B">
              <w:rPr>
                <w:color w:val="000000"/>
              </w:rPr>
              <w:t>prēķini III sadaļā uz šo brīdi ir indikatīvi</w:t>
            </w:r>
            <w:r>
              <w:rPr>
                <w:color w:val="000000"/>
              </w:rPr>
              <w:t>. V</w:t>
            </w:r>
            <w:r w:rsidR="005C14E6" w:rsidRPr="0069678B">
              <w:rPr>
                <w:color w:val="000000"/>
              </w:rPr>
              <w:t>ēl nav izstrādāti un apstiprināti projekti fondu finanšu līdzekļu apguvei, tādēļ precīzi finanšu aprēķini būs zināmi 2015.gadā.</w:t>
            </w:r>
          </w:p>
        </w:tc>
      </w:tr>
    </w:tbl>
    <w:p w14:paraId="3C2238C3" w14:textId="77777777" w:rsidR="00DD47C8" w:rsidRPr="005C14E6" w:rsidRDefault="00DD47C8" w:rsidP="00171D36">
      <w:pPr>
        <w:spacing w:after="0" w:line="240" w:lineRule="auto"/>
        <w:rPr>
          <w:rFonts w:ascii="Times New Roman" w:hAnsi="Times New Roman" w:cs="Times New Roman"/>
          <w:sz w:val="24"/>
          <w:szCs w:val="24"/>
        </w:rPr>
      </w:pPr>
    </w:p>
    <w:p w14:paraId="6412DC65" w14:textId="77777777" w:rsidR="00DD47C8" w:rsidRPr="005C14E6" w:rsidRDefault="00DD47C8" w:rsidP="00171D36">
      <w:pPr>
        <w:spacing w:after="0" w:line="240" w:lineRule="auto"/>
        <w:rPr>
          <w:rFonts w:ascii="Times New Roman" w:hAnsi="Times New Roman" w:cs="Times New Roman"/>
          <w:sz w:val="24"/>
          <w:szCs w:val="24"/>
        </w:rPr>
      </w:pPr>
    </w:p>
    <w:p w14:paraId="1C77BBB6" w14:textId="77777777" w:rsidR="003A4318" w:rsidRPr="005C14E6" w:rsidRDefault="003A4318" w:rsidP="00171D36">
      <w:pPr>
        <w:spacing w:after="0" w:line="240" w:lineRule="auto"/>
        <w:rPr>
          <w:rFonts w:ascii="Times New Roman" w:hAnsi="Times New Roman" w:cs="Times New Roman"/>
          <w:sz w:val="24"/>
          <w:szCs w:val="24"/>
        </w:rPr>
      </w:pPr>
    </w:p>
    <w:p w14:paraId="4C9D3841" w14:textId="77777777" w:rsidR="00F56EA8" w:rsidRPr="005C14E6" w:rsidRDefault="00F56EA8" w:rsidP="00171D3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A6C86" w:rsidRPr="005C14E6" w14:paraId="5EDF1E76" w14:textId="77777777" w:rsidTr="004544D2">
        <w:trPr>
          <w:trHeight w:val="461"/>
          <w:jc w:val="center"/>
        </w:trPr>
        <w:tc>
          <w:tcPr>
            <w:tcW w:w="9511" w:type="dxa"/>
            <w:gridSpan w:val="3"/>
            <w:vAlign w:val="center"/>
          </w:tcPr>
          <w:p w14:paraId="5EDF1E75" w14:textId="030C25C4" w:rsidR="00DA6C86" w:rsidRPr="005C14E6" w:rsidRDefault="00171D36" w:rsidP="00171D36">
            <w:pPr>
              <w:pStyle w:val="naisnod"/>
              <w:spacing w:before="0" w:beforeAutospacing="0" w:after="0" w:afterAutospacing="0"/>
              <w:jc w:val="center"/>
              <w:rPr>
                <w:b/>
              </w:rPr>
            </w:pPr>
            <w:r w:rsidRPr="005C14E6">
              <w:br w:type="page"/>
            </w:r>
            <w:r w:rsidR="00DA6C86" w:rsidRPr="005C14E6">
              <w:rPr>
                <w:b/>
              </w:rPr>
              <w:t>IV. Tiesību akta projekta ietekme uz spēkā esošo tiesību normu sistēmu</w:t>
            </w:r>
          </w:p>
        </w:tc>
      </w:tr>
      <w:tr w:rsidR="00DA6C86" w:rsidRPr="005C14E6" w14:paraId="5EDF1E7A" w14:textId="77777777" w:rsidTr="00DD49B6">
        <w:trPr>
          <w:jc w:val="center"/>
        </w:trPr>
        <w:tc>
          <w:tcPr>
            <w:tcW w:w="470" w:type="dxa"/>
          </w:tcPr>
          <w:p w14:paraId="5EDF1E77" w14:textId="77777777" w:rsidR="00DA6C86" w:rsidRPr="005C14E6" w:rsidRDefault="00DA6C86" w:rsidP="00171D36">
            <w:pPr>
              <w:pStyle w:val="naiskr"/>
              <w:tabs>
                <w:tab w:val="left" w:pos="2628"/>
              </w:tabs>
              <w:spacing w:before="0" w:beforeAutospacing="0" w:after="0" w:afterAutospacing="0"/>
              <w:jc w:val="both"/>
              <w:rPr>
                <w:iCs/>
              </w:rPr>
            </w:pPr>
            <w:r w:rsidRPr="005C14E6">
              <w:rPr>
                <w:iCs/>
              </w:rPr>
              <w:t>1.</w:t>
            </w:r>
          </w:p>
        </w:tc>
        <w:tc>
          <w:tcPr>
            <w:tcW w:w="2728" w:type="dxa"/>
          </w:tcPr>
          <w:p w14:paraId="5EDF1E78" w14:textId="77777777" w:rsidR="00DA6C86" w:rsidRPr="005C14E6" w:rsidRDefault="00DA6C86" w:rsidP="00171D36">
            <w:pPr>
              <w:pStyle w:val="naiskr"/>
              <w:tabs>
                <w:tab w:val="left" w:pos="2628"/>
              </w:tabs>
              <w:spacing w:before="0" w:beforeAutospacing="0" w:after="0" w:afterAutospacing="0"/>
              <w:jc w:val="both"/>
              <w:rPr>
                <w:iCs/>
              </w:rPr>
            </w:pPr>
            <w:r w:rsidRPr="005C14E6">
              <w:t>Nepieciešamie saistītie tiesību aktu projekti</w:t>
            </w:r>
          </w:p>
        </w:tc>
        <w:tc>
          <w:tcPr>
            <w:tcW w:w="6313" w:type="dxa"/>
          </w:tcPr>
          <w:p w14:paraId="7CE5DE24" w14:textId="000F5F4C" w:rsidR="00B865E0" w:rsidRPr="005C14E6" w:rsidRDefault="00B865E0" w:rsidP="00B865E0">
            <w:pPr>
              <w:shd w:val="clear" w:color="auto" w:fill="FFFFFF"/>
              <w:spacing w:after="0" w:line="240" w:lineRule="auto"/>
              <w:jc w:val="both"/>
              <w:rPr>
                <w:rFonts w:ascii="Times New Roman" w:hAnsi="Times New Roman" w:cs="Times New Roman"/>
                <w:sz w:val="24"/>
                <w:szCs w:val="24"/>
              </w:rPr>
            </w:pPr>
            <w:r w:rsidRPr="005C14E6">
              <w:rPr>
                <w:rFonts w:ascii="Times New Roman" w:hAnsi="Times New Roman" w:cs="Times New Roman"/>
                <w:sz w:val="24"/>
                <w:szCs w:val="24"/>
              </w:rPr>
              <w:t>Likumprojektā</w:t>
            </w:r>
            <w:r w:rsidR="00AB54A5" w:rsidRPr="005C14E6">
              <w:rPr>
                <w:rFonts w:ascii="Times New Roman" w:hAnsi="Times New Roman" w:cs="Times New Roman"/>
                <w:sz w:val="24"/>
                <w:szCs w:val="24"/>
              </w:rPr>
              <w:t xml:space="preserve">, lai nodrošinātu ES fondu vadību, </w:t>
            </w:r>
            <w:r w:rsidRPr="005C14E6">
              <w:rPr>
                <w:rFonts w:ascii="Times New Roman" w:hAnsi="Times New Roman" w:cs="Times New Roman"/>
                <w:sz w:val="24"/>
                <w:szCs w:val="24"/>
              </w:rPr>
              <w:t>ir ietverts pilnvarojums Ministru kabinetam noteikt:</w:t>
            </w:r>
          </w:p>
          <w:p w14:paraId="3B124C3E" w14:textId="77777777" w:rsidR="001E544D" w:rsidRPr="001E544D" w:rsidRDefault="001E544D" w:rsidP="001E544D">
            <w:pPr>
              <w:pStyle w:val="naisf"/>
              <w:ind w:left="426"/>
              <w:contextualSpacing/>
              <w:jc w:val="both"/>
            </w:pPr>
            <w:r w:rsidRPr="001E544D">
              <w:t>1) fondu plānošanas dokumentu izstrādes un apstiprināšanas kārtību;</w:t>
            </w:r>
          </w:p>
          <w:p w14:paraId="4803AB28" w14:textId="77777777" w:rsidR="001E544D" w:rsidRPr="001E544D" w:rsidRDefault="001E544D" w:rsidP="001E544D">
            <w:pPr>
              <w:pStyle w:val="naisf"/>
              <w:ind w:left="426"/>
              <w:contextualSpacing/>
              <w:jc w:val="both"/>
            </w:pPr>
            <w:r w:rsidRPr="001E544D">
              <w:t>2) prasības fondu pārvaldības un kontroles sistēmas izveidošanai;</w:t>
            </w:r>
          </w:p>
          <w:p w14:paraId="4FCA060E" w14:textId="77777777" w:rsidR="001E544D" w:rsidRPr="001E544D" w:rsidRDefault="001E544D" w:rsidP="001E544D">
            <w:pPr>
              <w:pStyle w:val="naisf"/>
              <w:ind w:left="426"/>
              <w:contextualSpacing/>
              <w:jc w:val="both"/>
            </w:pPr>
            <w:r w:rsidRPr="001E544D">
              <w:t>3) projektu atlases organizēšanas un vērtēšanas kārtību, prasības projektu iesniedzējiem, projektu iesniegumu sagatavošanas un iesniegšanas kārtību, granta līgumā ietveramo informāciju, tā slēgšanas kārtību;</w:t>
            </w:r>
          </w:p>
          <w:p w14:paraId="14572FD7" w14:textId="77777777" w:rsidR="001E544D" w:rsidRPr="001E544D" w:rsidRDefault="001E544D" w:rsidP="001E544D">
            <w:pPr>
              <w:pStyle w:val="naisf"/>
              <w:ind w:left="426"/>
              <w:contextualSpacing/>
              <w:jc w:val="both"/>
            </w:pPr>
            <w:r w:rsidRPr="001E544D">
              <w:t>4) fondu tehniskās palīdzības īstenošanas kārtību;</w:t>
            </w:r>
          </w:p>
          <w:p w14:paraId="6FD2FC08" w14:textId="77777777" w:rsidR="001E544D" w:rsidRPr="001E544D" w:rsidRDefault="001E544D" w:rsidP="001E544D">
            <w:pPr>
              <w:pStyle w:val="naisf"/>
              <w:ind w:left="426"/>
              <w:contextualSpacing/>
              <w:jc w:val="both"/>
            </w:pPr>
            <w:r w:rsidRPr="001E544D">
              <w:t>5) kārtību, kādā valsts budžetā plāno līdzekļus projektu īstenošanai un veic maksājumus;</w:t>
            </w:r>
          </w:p>
          <w:p w14:paraId="0C1BB034" w14:textId="77777777" w:rsidR="001E544D" w:rsidRPr="001E544D" w:rsidRDefault="001E544D" w:rsidP="001E544D">
            <w:pPr>
              <w:pStyle w:val="naisf"/>
              <w:ind w:left="426"/>
              <w:contextualSpacing/>
              <w:jc w:val="both"/>
            </w:pPr>
            <w:r w:rsidRPr="001E544D">
              <w:t>6) projektu finansēšanas nosacījumus un kārtību;</w:t>
            </w:r>
          </w:p>
          <w:p w14:paraId="1D436095" w14:textId="77777777" w:rsidR="001E544D" w:rsidRPr="001E544D" w:rsidRDefault="001E544D" w:rsidP="001E544D">
            <w:pPr>
              <w:pStyle w:val="naisf"/>
              <w:ind w:left="426"/>
              <w:contextualSpacing/>
              <w:jc w:val="both"/>
            </w:pPr>
            <w:r w:rsidRPr="001E544D">
              <w:t>7) izmaksu attiecināmības principus;</w:t>
            </w:r>
          </w:p>
          <w:p w14:paraId="53919837" w14:textId="5DA6AA0A" w:rsidR="00DD1C4B" w:rsidRPr="00DD1C4B" w:rsidRDefault="00DD1C4B" w:rsidP="00DD1C4B">
            <w:pPr>
              <w:pStyle w:val="naisf"/>
              <w:ind w:left="426"/>
              <w:contextualSpacing/>
              <w:jc w:val="both"/>
              <w:rPr>
                <w:szCs w:val="28"/>
              </w:rPr>
            </w:pPr>
            <w:r w:rsidRPr="00DD1C4B">
              <w:rPr>
                <w:szCs w:val="28"/>
              </w:rPr>
              <w:t xml:space="preserve">8) kārtību, kādā atbildīgā iestāde, deleģētā iestāde un finansējuma saņēmējs ziņo par fondu </w:t>
            </w:r>
            <w:r w:rsidR="00D76BFB">
              <w:rPr>
                <w:szCs w:val="28"/>
              </w:rPr>
              <w:t>īstenošanā</w:t>
            </w:r>
            <w:r w:rsidRPr="00DD1C4B">
              <w:rPr>
                <w:szCs w:val="28"/>
              </w:rPr>
              <w:t xml:space="preserve"> konstatētajām neatbilstībām un neatbilstību veidus;</w:t>
            </w:r>
          </w:p>
          <w:p w14:paraId="13895BF6" w14:textId="77777777" w:rsidR="00DD1C4B" w:rsidRPr="00DD1C4B" w:rsidRDefault="00DD1C4B" w:rsidP="00DD1C4B">
            <w:pPr>
              <w:pStyle w:val="naisf"/>
              <w:ind w:left="426"/>
              <w:contextualSpacing/>
              <w:jc w:val="both"/>
              <w:rPr>
                <w:szCs w:val="28"/>
              </w:rPr>
            </w:pPr>
            <w:r w:rsidRPr="00DD1C4B">
              <w:rPr>
                <w:szCs w:val="28"/>
              </w:rPr>
              <w:t>9) gadījumus, kad finansējuma saņēmēja izdevumus atzīst par neatbilstošiem;</w:t>
            </w:r>
          </w:p>
          <w:p w14:paraId="1799A803" w14:textId="77777777" w:rsidR="00DD1C4B" w:rsidRPr="00DD1C4B" w:rsidRDefault="00DD1C4B" w:rsidP="00DD1C4B">
            <w:pPr>
              <w:pStyle w:val="naisf"/>
              <w:ind w:left="426"/>
              <w:contextualSpacing/>
              <w:jc w:val="both"/>
              <w:rPr>
                <w:szCs w:val="28"/>
              </w:rPr>
            </w:pPr>
            <w:r w:rsidRPr="00DD1C4B">
              <w:rPr>
                <w:szCs w:val="28"/>
              </w:rPr>
              <w:t>10) kārtību, kādā atgūst neatbilstošos izdevumus;</w:t>
            </w:r>
          </w:p>
          <w:p w14:paraId="7CCF450A" w14:textId="77777777" w:rsidR="00DD1C4B" w:rsidRPr="00DD1C4B" w:rsidRDefault="00DD1C4B" w:rsidP="00DD1C4B">
            <w:pPr>
              <w:pStyle w:val="naisf"/>
              <w:ind w:left="426"/>
              <w:contextualSpacing/>
              <w:jc w:val="both"/>
              <w:rPr>
                <w:szCs w:val="28"/>
              </w:rPr>
            </w:pPr>
            <w:r w:rsidRPr="00DD1C4B">
              <w:rPr>
                <w:szCs w:val="28"/>
              </w:rPr>
              <w:t>11) kārtību, kādā sagatavo, apstiprina un iesniedz Eiropas Komisijai fondu ziņojumus;</w:t>
            </w:r>
          </w:p>
          <w:p w14:paraId="36989B8D" w14:textId="77777777" w:rsidR="00DD1C4B" w:rsidRPr="00DD1C4B" w:rsidRDefault="00DD1C4B" w:rsidP="00DD1C4B">
            <w:pPr>
              <w:pStyle w:val="naisf"/>
              <w:ind w:left="426"/>
              <w:contextualSpacing/>
              <w:jc w:val="both"/>
              <w:rPr>
                <w:szCs w:val="28"/>
              </w:rPr>
            </w:pPr>
            <w:r w:rsidRPr="00DD1C4B">
              <w:rPr>
                <w:szCs w:val="28"/>
              </w:rPr>
              <w:t>12) kārtību, kādā publisko informāciju par projektiem un nodrošina fondu publicitātes un vizuālās identitātes prasību ievērošanu;</w:t>
            </w:r>
          </w:p>
          <w:p w14:paraId="17944113" w14:textId="77777777" w:rsidR="00DD1C4B" w:rsidRPr="00DD1C4B" w:rsidRDefault="00DD1C4B" w:rsidP="00DD1C4B">
            <w:pPr>
              <w:pStyle w:val="naisf"/>
              <w:ind w:left="426"/>
              <w:contextualSpacing/>
              <w:jc w:val="both"/>
              <w:rPr>
                <w:szCs w:val="28"/>
              </w:rPr>
            </w:pPr>
            <w:r w:rsidRPr="00DD1C4B">
              <w:rPr>
                <w:szCs w:val="28"/>
              </w:rPr>
              <w:t>13) apjomu un kārtību, kādā veic projekta iepirkuma dokumentācijas un iepirkuma procedūras norises pirmspārbaudi;</w:t>
            </w:r>
          </w:p>
          <w:p w14:paraId="2D912901" w14:textId="7265C82B" w:rsidR="00DD1C4B" w:rsidRPr="00DD1C4B" w:rsidRDefault="00DD1C4B" w:rsidP="00DD1C4B">
            <w:pPr>
              <w:pStyle w:val="naisf"/>
              <w:ind w:left="426"/>
              <w:contextualSpacing/>
              <w:jc w:val="both"/>
              <w:rPr>
                <w:szCs w:val="28"/>
              </w:rPr>
            </w:pPr>
            <w:r w:rsidRPr="00DD1C4B">
              <w:rPr>
                <w:szCs w:val="28"/>
              </w:rPr>
              <w:t xml:space="preserve">14) projektu </w:t>
            </w:r>
            <w:r w:rsidR="00D76BFB">
              <w:rPr>
                <w:szCs w:val="28"/>
              </w:rPr>
              <w:t>īstenošanas</w:t>
            </w:r>
            <w:r w:rsidRPr="00DD1C4B">
              <w:rPr>
                <w:szCs w:val="28"/>
              </w:rPr>
              <w:t xml:space="preserve"> uzraudzības un kontroles kārtību, tajā skaitā pārbaužu projekta īstenošanas vietā veikšanas kārtību;</w:t>
            </w:r>
          </w:p>
          <w:p w14:paraId="34DEE08F" w14:textId="77777777" w:rsidR="00DD1C4B" w:rsidRPr="00DD1C4B" w:rsidRDefault="00DD1C4B" w:rsidP="00DD1C4B">
            <w:pPr>
              <w:pStyle w:val="naisf"/>
              <w:ind w:left="426"/>
              <w:contextualSpacing/>
              <w:jc w:val="both"/>
              <w:rPr>
                <w:szCs w:val="28"/>
              </w:rPr>
            </w:pPr>
            <w:r w:rsidRPr="00DD1C4B">
              <w:rPr>
                <w:szCs w:val="28"/>
              </w:rPr>
              <w:t>15) atbildīgās iestādes deleģētās funkcijas un to izpildes uzraudzības kārtību;</w:t>
            </w:r>
          </w:p>
          <w:p w14:paraId="65599594" w14:textId="77777777" w:rsidR="00DD1C4B" w:rsidRPr="00DD1C4B" w:rsidRDefault="00DD1C4B" w:rsidP="00DD1C4B">
            <w:pPr>
              <w:pStyle w:val="naisf"/>
              <w:ind w:left="426"/>
              <w:contextualSpacing/>
              <w:jc w:val="both"/>
              <w:rPr>
                <w:szCs w:val="28"/>
              </w:rPr>
            </w:pPr>
            <w:r w:rsidRPr="00DD1C4B">
              <w:rPr>
                <w:szCs w:val="28"/>
              </w:rPr>
              <w:t>16) Eiropas Komisijas elektroniskās datu apmaiņas sistēmas izmantošanas kārtību;</w:t>
            </w:r>
          </w:p>
          <w:p w14:paraId="2E22111A" w14:textId="38CC417B" w:rsidR="001E544D" w:rsidRPr="00DD1C4B" w:rsidRDefault="00DD1C4B" w:rsidP="00DD1C4B">
            <w:pPr>
              <w:pStyle w:val="naisf"/>
              <w:ind w:left="426"/>
              <w:contextualSpacing/>
              <w:jc w:val="both"/>
              <w:rPr>
                <w:sz w:val="22"/>
              </w:rPr>
            </w:pPr>
            <w:r w:rsidRPr="00DD1C4B">
              <w:rPr>
                <w:szCs w:val="28"/>
              </w:rPr>
              <w:t>17) kārtību kādā nodrošina revīzijas iestādes funkcijas fondu vadībā.</w:t>
            </w:r>
          </w:p>
          <w:p w14:paraId="2B983084" w14:textId="69D66749" w:rsidR="00DA6C86" w:rsidRDefault="00B865B6" w:rsidP="0069678B">
            <w:pPr>
              <w:pStyle w:val="nais1"/>
              <w:tabs>
                <w:tab w:val="left" w:pos="4144"/>
              </w:tabs>
              <w:spacing w:before="120" w:beforeAutospacing="0" w:after="120" w:afterAutospacing="0"/>
              <w:jc w:val="both"/>
              <w:rPr>
                <w:szCs w:val="28"/>
              </w:rPr>
            </w:pPr>
            <w:r w:rsidRPr="004E1B3C">
              <w:rPr>
                <w:szCs w:val="28"/>
              </w:rPr>
              <w:lastRenderedPageBreak/>
              <w:t>1.</w:t>
            </w:r>
            <w:r>
              <w:rPr>
                <w:szCs w:val="28"/>
              </w:rPr>
              <w:t>, 2., 3., 4., 5., 6., 7., 8., 9</w:t>
            </w:r>
            <w:r w:rsidRPr="004E1B3C">
              <w:rPr>
                <w:szCs w:val="28"/>
              </w:rPr>
              <w:t>.</w:t>
            </w:r>
            <w:r w:rsidR="001601E4">
              <w:rPr>
                <w:szCs w:val="28"/>
              </w:rPr>
              <w:t>, 1</w:t>
            </w:r>
            <w:r w:rsidR="00DD1C4B">
              <w:rPr>
                <w:szCs w:val="28"/>
              </w:rPr>
              <w:t>0</w:t>
            </w:r>
            <w:r w:rsidR="001601E4">
              <w:rPr>
                <w:szCs w:val="28"/>
              </w:rPr>
              <w:t>., 12., 13., 14.</w:t>
            </w:r>
            <w:r w:rsidR="00DD1C4B">
              <w:rPr>
                <w:szCs w:val="28"/>
              </w:rPr>
              <w:t xml:space="preserve">, 15. </w:t>
            </w:r>
            <w:r>
              <w:rPr>
                <w:szCs w:val="28"/>
              </w:rPr>
              <w:t>un 1</w:t>
            </w:r>
            <w:r w:rsidR="00DD1C4B">
              <w:rPr>
                <w:szCs w:val="28"/>
              </w:rPr>
              <w:t>7</w:t>
            </w:r>
            <w:r>
              <w:rPr>
                <w:szCs w:val="28"/>
              </w:rPr>
              <w:t>. apakš</w:t>
            </w:r>
            <w:r w:rsidRPr="004E1B3C">
              <w:rPr>
                <w:szCs w:val="28"/>
              </w:rPr>
              <w:t>punktā</w:t>
            </w:r>
            <w:r>
              <w:rPr>
                <w:szCs w:val="28"/>
              </w:rPr>
              <w:t xml:space="preserve"> </w:t>
            </w:r>
            <w:r w:rsidR="00510B28">
              <w:rPr>
                <w:szCs w:val="28"/>
              </w:rPr>
              <w:t xml:space="preserve">minētos Ministru kabineta noteikumus ir paredzēts izdot līdz 2015.gada </w:t>
            </w:r>
            <w:r w:rsidR="00125DFC">
              <w:rPr>
                <w:szCs w:val="28"/>
              </w:rPr>
              <w:t>25</w:t>
            </w:r>
            <w:r w:rsidR="00510B28">
              <w:rPr>
                <w:szCs w:val="28"/>
              </w:rPr>
              <w:t>.m</w:t>
            </w:r>
            <w:r w:rsidR="00125DFC">
              <w:rPr>
                <w:szCs w:val="28"/>
              </w:rPr>
              <w:t>aijam</w:t>
            </w:r>
            <w:r w:rsidR="00510B28">
              <w:rPr>
                <w:szCs w:val="28"/>
              </w:rPr>
              <w:t>.</w:t>
            </w:r>
          </w:p>
          <w:p w14:paraId="5EDF1E79" w14:textId="01A9B83F" w:rsidR="00510B28" w:rsidRPr="005C14E6" w:rsidRDefault="00B865B6" w:rsidP="00DD1C4B">
            <w:pPr>
              <w:pStyle w:val="nais1"/>
              <w:tabs>
                <w:tab w:val="left" w:pos="4144"/>
              </w:tabs>
              <w:spacing w:before="120" w:beforeAutospacing="0" w:after="120" w:afterAutospacing="0"/>
              <w:jc w:val="both"/>
              <w:rPr>
                <w:szCs w:val="28"/>
              </w:rPr>
            </w:pPr>
            <w:r>
              <w:rPr>
                <w:szCs w:val="28"/>
              </w:rPr>
              <w:t>1</w:t>
            </w:r>
            <w:r w:rsidR="00DD1C4B">
              <w:rPr>
                <w:szCs w:val="28"/>
              </w:rPr>
              <w:t>1</w:t>
            </w:r>
            <w:r>
              <w:rPr>
                <w:szCs w:val="28"/>
              </w:rPr>
              <w:t xml:space="preserve">. un </w:t>
            </w:r>
            <w:r w:rsidR="001601E4">
              <w:rPr>
                <w:szCs w:val="28"/>
              </w:rPr>
              <w:t>1</w:t>
            </w:r>
            <w:r w:rsidR="00DD1C4B">
              <w:rPr>
                <w:szCs w:val="28"/>
              </w:rPr>
              <w:t>6</w:t>
            </w:r>
            <w:r w:rsidRPr="004E1B3C">
              <w:rPr>
                <w:szCs w:val="28"/>
              </w:rPr>
              <w:t>.</w:t>
            </w:r>
            <w:r>
              <w:rPr>
                <w:szCs w:val="28"/>
              </w:rPr>
              <w:t xml:space="preserve"> apakš</w:t>
            </w:r>
            <w:r w:rsidRPr="004E1B3C">
              <w:rPr>
                <w:szCs w:val="28"/>
              </w:rPr>
              <w:t>punktā</w:t>
            </w:r>
            <w:r w:rsidR="00510B28">
              <w:rPr>
                <w:szCs w:val="28"/>
              </w:rPr>
              <w:t xml:space="preserve"> minētos Ministru kabineta noteikumus ir paredzēts izdot līdz 2015.gada 1.jūlijam.</w:t>
            </w:r>
          </w:p>
        </w:tc>
      </w:tr>
      <w:tr w:rsidR="00DA6C86" w:rsidRPr="005C14E6" w14:paraId="5EDF1E7E" w14:textId="77777777" w:rsidTr="00DD49B6">
        <w:trPr>
          <w:jc w:val="center"/>
        </w:trPr>
        <w:tc>
          <w:tcPr>
            <w:tcW w:w="470" w:type="dxa"/>
          </w:tcPr>
          <w:p w14:paraId="5EDF1E7B" w14:textId="0889FA6C" w:rsidR="00DA6C86" w:rsidRPr="005C14E6" w:rsidRDefault="00DA6C86" w:rsidP="00171D36">
            <w:pPr>
              <w:pStyle w:val="naiskr"/>
              <w:tabs>
                <w:tab w:val="left" w:pos="2628"/>
              </w:tabs>
              <w:spacing w:before="0" w:beforeAutospacing="0" w:after="0" w:afterAutospacing="0"/>
              <w:jc w:val="both"/>
              <w:rPr>
                <w:iCs/>
              </w:rPr>
            </w:pPr>
            <w:r w:rsidRPr="005C14E6">
              <w:rPr>
                <w:iCs/>
              </w:rPr>
              <w:lastRenderedPageBreak/>
              <w:t>2.</w:t>
            </w:r>
          </w:p>
        </w:tc>
        <w:tc>
          <w:tcPr>
            <w:tcW w:w="2728" w:type="dxa"/>
          </w:tcPr>
          <w:p w14:paraId="5EDF1E7C" w14:textId="77777777" w:rsidR="00DA6C86" w:rsidRPr="005C14E6" w:rsidRDefault="00DA6C86" w:rsidP="00171D36">
            <w:pPr>
              <w:pStyle w:val="naiskr"/>
              <w:tabs>
                <w:tab w:val="left" w:pos="2628"/>
              </w:tabs>
              <w:spacing w:before="0" w:beforeAutospacing="0" w:after="0" w:afterAutospacing="0"/>
              <w:jc w:val="both"/>
            </w:pPr>
            <w:r w:rsidRPr="005C14E6">
              <w:t>Atbildīgā institūcija</w:t>
            </w:r>
          </w:p>
        </w:tc>
        <w:tc>
          <w:tcPr>
            <w:tcW w:w="6313" w:type="dxa"/>
          </w:tcPr>
          <w:p w14:paraId="5EDF1E7D" w14:textId="5B4F461C" w:rsidR="004822D6" w:rsidRPr="005C14E6" w:rsidRDefault="00321F77" w:rsidP="003C39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Iekšlietu ministrija</w:t>
            </w:r>
          </w:p>
        </w:tc>
      </w:tr>
      <w:tr w:rsidR="00DA6C86" w:rsidRPr="005C14E6" w14:paraId="5EDF1E83" w14:textId="77777777" w:rsidTr="00DD49B6">
        <w:trPr>
          <w:jc w:val="center"/>
        </w:trPr>
        <w:tc>
          <w:tcPr>
            <w:tcW w:w="470" w:type="dxa"/>
          </w:tcPr>
          <w:p w14:paraId="5EDF1E7F" w14:textId="77777777" w:rsidR="00DA6C86" w:rsidRPr="005C14E6" w:rsidRDefault="00DA6C86" w:rsidP="00171D36">
            <w:pPr>
              <w:pStyle w:val="naiskr"/>
              <w:tabs>
                <w:tab w:val="left" w:pos="2628"/>
              </w:tabs>
              <w:spacing w:before="0" w:beforeAutospacing="0" w:after="0" w:afterAutospacing="0"/>
              <w:jc w:val="both"/>
              <w:rPr>
                <w:iCs/>
              </w:rPr>
            </w:pPr>
            <w:r w:rsidRPr="005C14E6">
              <w:rPr>
                <w:iCs/>
              </w:rPr>
              <w:t>3.</w:t>
            </w:r>
          </w:p>
        </w:tc>
        <w:tc>
          <w:tcPr>
            <w:tcW w:w="2728" w:type="dxa"/>
          </w:tcPr>
          <w:p w14:paraId="5EDF1E80" w14:textId="77777777" w:rsidR="00DA6C86" w:rsidRPr="005C14E6" w:rsidRDefault="00DA6C86" w:rsidP="00171D36">
            <w:pPr>
              <w:pStyle w:val="naiskr"/>
              <w:tabs>
                <w:tab w:val="left" w:pos="2628"/>
              </w:tabs>
              <w:spacing w:before="0" w:beforeAutospacing="0" w:after="0" w:afterAutospacing="0"/>
              <w:jc w:val="both"/>
              <w:rPr>
                <w:iCs/>
              </w:rPr>
            </w:pPr>
            <w:r w:rsidRPr="005C14E6">
              <w:t>Cita informācija</w:t>
            </w:r>
          </w:p>
        </w:tc>
        <w:tc>
          <w:tcPr>
            <w:tcW w:w="6313" w:type="dxa"/>
          </w:tcPr>
          <w:p w14:paraId="5EDF1E82" w14:textId="63B9FE19" w:rsidR="00DA6C86" w:rsidRPr="005C14E6" w:rsidRDefault="007253C1" w:rsidP="00171D36">
            <w:pPr>
              <w:pStyle w:val="naiskr"/>
              <w:tabs>
                <w:tab w:val="left" w:pos="2628"/>
              </w:tabs>
              <w:spacing w:before="0" w:beforeAutospacing="0" w:after="0" w:afterAutospacing="0"/>
              <w:jc w:val="both"/>
              <w:rPr>
                <w:iCs/>
              </w:rPr>
            </w:pPr>
            <w:r w:rsidRPr="005C14E6">
              <w:t>Nav</w:t>
            </w:r>
          </w:p>
        </w:tc>
      </w:tr>
    </w:tbl>
    <w:p w14:paraId="5EDF1E84" w14:textId="77777777" w:rsidR="00DA6C86" w:rsidRDefault="00DA6C86" w:rsidP="00171D36">
      <w:pPr>
        <w:spacing w:after="0" w:line="240" w:lineRule="auto"/>
        <w:rPr>
          <w:rFonts w:ascii="Times New Roman" w:hAnsi="Times New Roman" w:cs="Times New Roman"/>
          <w:sz w:val="24"/>
          <w:szCs w:val="24"/>
        </w:rPr>
      </w:pPr>
    </w:p>
    <w:p w14:paraId="37FC99E0" w14:textId="77777777" w:rsidR="00774AB1" w:rsidRPr="005C14E6" w:rsidRDefault="00774AB1" w:rsidP="00171D36">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585"/>
      </w:tblGrid>
      <w:tr w:rsidR="00DA6C86" w:rsidRPr="005C14E6" w14:paraId="5EDF1E86" w14:textId="77777777" w:rsidTr="00C9518A">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85" w14:textId="77777777" w:rsidR="00DA6C86" w:rsidRPr="005C14E6" w:rsidRDefault="00DA6C86" w:rsidP="00171D36">
            <w:pPr>
              <w:spacing w:after="0" w:line="240" w:lineRule="auto"/>
              <w:jc w:val="center"/>
              <w:rPr>
                <w:rFonts w:ascii="Times New Roman" w:hAnsi="Times New Roman" w:cs="Times New Roman"/>
                <w:b/>
                <w:sz w:val="24"/>
                <w:szCs w:val="24"/>
              </w:rPr>
            </w:pPr>
            <w:r w:rsidRPr="005C14E6">
              <w:rPr>
                <w:rFonts w:ascii="Times New Roman" w:hAnsi="Times New Roman" w:cs="Times New Roman"/>
                <w:b/>
                <w:sz w:val="24"/>
                <w:szCs w:val="24"/>
              </w:rPr>
              <w:t>V. Tiesību akta projekta atbilstība Latvijas Republikas starptautiskajām saistībām</w:t>
            </w:r>
          </w:p>
        </w:tc>
      </w:tr>
      <w:tr w:rsidR="00DA6C86" w:rsidRPr="005C14E6" w14:paraId="5EDF1E8A" w14:textId="77777777" w:rsidTr="00C9518A">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14:paraId="082B792A" w14:textId="77777777" w:rsidR="00277CE3" w:rsidRPr="00277CE3" w:rsidRDefault="00277CE3" w:rsidP="000C59C8">
            <w:pPr>
              <w:pStyle w:val="ListParagraph"/>
              <w:numPr>
                <w:ilvl w:val="0"/>
                <w:numId w:val="35"/>
              </w:numPr>
              <w:spacing w:after="0" w:line="240" w:lineRule="auto"/>
              <w:ind w:right="40"/>
              <w:jc w:val="both"/>
              <w:rPr>
                <w:rFonts w:ascii="Times New Roman" w:hAnsi="Times New Roman" w:cs="Times New Roman"/>
                <w:noProof/>
                <w:snapToGrid w:val="0"/>
                <w:sz w:val="24"/>
              </w:rPr>
            </w:pPr>
            <w:r w:rsidRPr="00277CE3">
              <w:rPr>
                <w:rFonts w:ascii="Times New Roman" w:hAnsi="Times New Roman" w:cs="Times New Roman"/>
                <w:sz w:val="24"/>
                <w:szCs w:val="24"/>
              </w:rPr>
              <w:t xml:space="preserve">Eiropas Parlamenta un Padomes 2014.gada 16.aprīļa regulu Nr.514/2014 </w:t>
            </w:r>
            <w:r w:rsidRPr="00277CE3">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sidR="0015724C" w:rsidRPr="00277CE3">
              <w:rPr>
                <w:rFonts w:ascii="Times New Roman" w:hAnsi="Times New Roman" w:cs="Times New Roman"/>
                <w:bCs/>
                <w:sz w:val="24"/>
                <w:szCs w:val="24"/>
                <w:shd w:val="clear" w:color="auto" w:fill="FFFFFF"/>
              </w:rPr>
              <w:t xml:space="preserve"> </w:t>
            </w:r>
          </w:p>
          <w:p w14:paraId="68C77F3D" w14:textId="39A3668D" w:rsidR="00012F4F" w:rsidRPr="00277CE3" w:rsidRDefault="00A65F57" w:rsidP="000C59C8">
            <w:pPr>
              <w:spacing w:after="0" w:line="240" w:lineRule="auto"/>
              <w:ind w:left="51" w:right="40"/>
              <w:jc w:val="both"/>
              <w:rPr>
                <w:rFonts w:ascii="Times New Roman" w:hAnsi="Times New Roman" w:cs="Times New Roman"/>
                <w:noProof/>
                <w:snapToGrid w:val="0"/>
                <w:sz w:val="24"/>
              </w:rPr>
            </w:pPr>
            <w:r w:rsidRPr="00277CE3">
              <w:rPr>
                <w:rFonts w:ascii="Times New Roman" w:hAnsi="Times New Roman" w:cs="Times New Roman"/>
                <w:noProof/>
                <w:snapToGrid w:val="0"/>
                <w:sz w:val="24"/>
              </w:rPr>
              <w:t>Regulā nav noteikts termiņš, kādā jāpieņem nacionālie norma</w:t>
            </w:r>
            <w:r w:rsidR="0015724C" w:rsidRPr="00277CE3">
              <w:rPr>
                <w:rFonts w:ascii="Times New Roman" w:hAnsi="Times New Roman" w:cs="Times New Roman"/>
                <w:noProof/>
                <w:snapToGrid w:val="0"/>
                <w:sz w:val="24"/>
              </w:rPr>
              <w:t xml:space="preserve">tīvie akti ES fondu </w:t>
            </w:r>
            <w:r w:rsidR="00D76BFB">
              <w:rPr>
                <w:rFonts w:ascii="Times New Roman" w:hAnsi="Times New Roman" w:cs="Times New Roman"/>
                <w:noProof/>
                <w:snapToGrid w:val="0"/>
                <w:sz w:val="24"/>
              </w:rPr>
              <w:t>īstenošanai</w:t>
            </w:r>
            <w:r w:rsidR="0015724C" w:rsidRPr="00277CE3">
              <w:rPr>
                <w:rFonts w:ascii="Times New Roman" w:hAnsi="Times New Roman" w:cs="Times New Roman"/>
                <w:noProof/>
                <w:snapToGrid w:val="0"/>
                <w:sz w:val="24"/>
              </w:rPr>
              <w:t>.</w:t>
            </w:r>
          </w:p>
          <w:p w14:paraId="5EDF1E89" w14:textId="5A1794FA" w:rsidR="00277CE3" w:rsidRPr="00277CE3" w:rsidRDefault="00277CE3" w:rsidP="00277CE3">
            <w:pPr>
              <w:ind w:left="51" w:right="39"/>
              <w:jc w:val="both"/>
              <w:rPr>
                <w:rFonts w:ascii="Times New Roman" w:hAnsi="Times New Roman" w:cs="Times New Roman"/>
                <w:noProof/>
                <w:snapToGrid w:val="0"/>
                <w:sz w:val="24"/>
              </w:rPr>
            </w:pPr>
          </w:p>
        </w:tc>
      </w:tr>
      <w:tr w:rsidR="00DA6C86" w:rsidRPr="005C14E6" w14:paraId="5EDF1E8E" w14:textId="77777777" w:rsidTr="00C9518A">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14:paraId="5EDF1E8D" w14:textId="5389D72E" w:rsidR="00DA6C86" w:rsidRPr="005C14E6" w:rsidRDefault="00012F4F" w:rsidP="00171D36">
            <w:pPr>
              <w:spacing w:after="0" w:line="240" w:lineRule="auto"/>
              <w:ind w:left="57"/>
              <w:jc w:val="both"/>
              <w:rPr>
                <w:rFonts w:ascii="Times New Roman" w:hAnsi="Times New Roman" w:cs="Times New Roman"/>
                <w:sz w:val="24"/>
                <w:szCs w:val="24"/>
              </w:rPr>
            </w:pPr>
            <w:r w:rsidRPr="005C14E6">
              <w:rPr>
                <w:rFonts w:ascii="Times New Roman" w:hAnsi="Times New Roman" w:cs="Times New Roman"/>
                <w:sz w:val="24"/>
                <w:szCs w:val="24"/>
              </w:rPr>
              <w:t>Nav</w:t>
            </w:r>
          </w:p>
        </w:tc>
      </w:tr>
      <w:tr w:rsidR="00DA6C86" w:rsidRPr="005C14E6" w14:paraId="5EDF1E93" w14:textId="77777777" w:rsidTr="00C9518A">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5C14E6" w:rsidRDefault="00DA6C86" w:rsidP="00171D36">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14:paraId="5EDF1E92" w14:textId="0B7D3FE4" w:rsidR="00DA6C86" w:rsidRPr="005C14E6" w:rsidRDefault="00DA6C86" w:rsidP="00171D36">
            <w:pPr>
              <w:spacing w:after="0" w:line="240" w:lineRule="auto"/>
              <w:ind w:left="57"/>
              <w:jc w:val="both"/>
              <w:rPr>
                <w:rFonts w:ascii="Times New Roman" w:hAnsi="Times New Roman" w:cs="Times New Roman"/>
                <w:sz w:val="24"/>
                <w:szCs w:val="24"/>
              </w:rPr>
            </w:pPr>
            <w:r w:rsidRPr="005C14E6">
              <w:rPr>
                <w:rFonts w:ascii="Times New Roman" w:hAnsi="Times New Roman" w:cs="Times New Roman"/>
                <w:sz w:val="24"/>
                <w:szCs w:val="24"/>
              </w:rPr>
              <w:t>Nav</w:t>
            </w:r>
          </w:p>
        </w:tc>
      </w:tr>
      <w:tr w:rsidR="00DA6C86" w:rsidRPr="005C14E6" w14:paraId="5EDF1E96" w14:textId="77777777" w:rsidTr="00C9518A">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94" w14:textId="77777777" w:rsidR="00DA6C86" w:rsidRPr="005C14E6" w:rsidRDefault="00DA6C86" w:rsidP="00171D36">
            <w:pPr>
              <w:spacing w:after="0" w:line="240" w:lineRule="auto"/>
              <w:ind w:left="57"/>
              <w:jc w:val="center"/>
              <w:rPr>
                <w:rFonts w:ascii="Times New Roman" w:hAnsi="Times New Roman" w:cs="Times New Roman"/>
                <w:b/>
                <w:sz w:val="24"/>
                <w:szCs w:val="24"/>
              </w:rPr>
            </w:pPr>
            <w:r w:rsidRPr="005C14E6">
              <w:rPr>
                <w:rFonts w:ascii="Times New Roman" w:hAnsi="Times New Roman" w:cs="Times New Roman"/>
                <w:b/>
                <w:sz w:val="24"/>
                <w:szCs w:val="24"/>
              </w:rPr>
              <w:t>1.tabula</w:t>
            </w:r>
          </w:p>
          <w:p w14:paraId="5EDF1E95" w14:textId="77777777" w:rsidR="00DA6C86" w:rsidRPr="005C14E6" w:rsidRDefault="00DA6C86" w:rsidP="00171D36">
            <w:pPr>
              <w:spacing w:after="0" w:line="240" w:lineRule="auto"/>
              <w:ind w:left="57"/>
              <w:jc w:val="center"/>
              <w:rPr>
                <w:rFonts w:ascii="Times New Roman" w:hAnsi="Times New Roman" w:cs="Times New Roman"/>
                <w:sz w:val="24"/>
                <w:szCs w:val="24"/>
              </w:rPr>
            </w:pPr>
            <w:r w:rsidRPr="005C14E6">
              <w:rPr>
                <w:rFonts w:ascii="Times New Roman" w:hAnsi="Times New Roman" w:cs="Times New Roman"/>
                <w:b/>
                <w:sz w:val="24"/>
                <w:szCs w:val="24"/>
              </w:rPr>
              <w:t>Tiesību akta projekta atbilstība ES tiesību aktiem</w:t>
            </w:r>
          </w:p>
        </w:tc>
      </w:tr>
      <w:tr w:rsidR="00DA6C86" w:rsidRPr="005C14E6" w14:paraId="5EDF1E99"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7B5F20" w:rsidRDefault="00DA6C86" w:rsidP="00171D36">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14:paraId="5EDF1E98" w14:textId="331833EB" w:rsidR="00DA6C86" w:rsidRPr="007B5F20" w:rsidRDefault="00277CE3" w:rsidP="000C59C8">
            <w:pPr>
              <w:spacing w:after="0" w:line="240" w:lineRule="auto"/>
              <w:ind w:left="51" w:right="40"/>
              <w:jc w:val="both"/>
              <w:rPr>
                <w:rFonts w:ascii="Times New Roman" w:hAnsi="Times New Roman" w:cs="Times New Roman"/>
                <w:sz w:val="24"/>
                <w:szCs w:val="24"/>
              </w:rPr>
            </w:pPr>
            <w:r w:rsidRPr="005C14E6">
              <w:rPr>
                <w:rFonts w:ascii="Times New Roman" w:hAnsi="Times New Roman" w:cs="Times New Roman"/>
                <w:sz w:val="24"/>
                <w:szCs w:val="24"/>
              </w:rPr>
              <w:t>Eiropas Parlamenta un Padomes 2014.gada 16.aprīļa regul</w:t>
            </w:r>
            <w:r w:rsidR="00B27D17">
              <w:rPr>
                <w:rFonts w:ascii="Times New Roman" w:hAnsi="Times New Roman" w:cs="Times New Roman"/>
                <w:sz w:val="24"/>
                <w:szCs w:val="24"/>
              </w:rPr>
              <w:t>a</w:t>
            </w:r>
            <w:r w:rsidRPr="005C14E6">
              <w:rPr>
                <w:rFonts w:ascii="Times New Roman" w:hAnsi="Times New Roman" w:cs="Times New Roman"/>
                <w:sz w:val="24"/>
                <w:szCs w:val="24"/>
              </w:rPr>
              <w:t xml:space="preserve"> Nr.514/2014 </w:t>
            </w:r>
            <w:r w:rsidRPr="005C14E6">
              <w:rPr>
                <w:rFonts w:ascii="Times New Roman" w:hAnsi="Times New Roman" w:cs="Times New Roman"/>
                <w:bCs/>
                <w:sz w:val="24"/>
                <w:szCs w:val="24"/>
                <w:shd w:val="clear" w:color="auto" w:fill="FFFFFF"/>
              </w:rPr>
              <w:t>ar ko paredz vispārīgus noteikumus Patvēruma, migrācijas un integrācijas fondam un finansiālā atbalsta instrumentam policijas sadarbībai, noziedzības novēršanai un apkarošanai un krīžu pārvarēšanai</w:t>
            </w:r>
            <w:r>
              <w:rPr>
                <w:rFonts w:ascii="Times New Roman" w:hAnsi="Times New Roman" w:cs="Times New Roman"/>
                <w:bCs/>
                <w:sz w:val="24"/>
                <w:szCs w:val="24"/>
                <w:shd w:val="clear" w:color="auto" w:fill="FFFFFF"/>
              </w:rPr>
              <w:t>.</w:t>
            </w:r>
          </w:p>
        </w:tc>
      </w:tr>
      <w:tr w:rsidR="00DA6C86" w:rsidRPr="005C14E6" w14:paraId="5EDF1E9E"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7B5F20" w:rsidRDefault="00DA6C86" w:rsidP="00171D36">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7B5F20" w:rsidRDefault="00DA6C86" w:rsidP="00171D36">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EDF1E9C" w14:textId="77777777" w:rsidR="00DA6C86" w:rsidRPr="007B5F20" w:rsidRDefault="00DA6C86" w:rsidP="00171D36">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7B5F20" w:rsidRDefault="00DA6C86" w:rsidP="00171D36">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D</w:t>
            </w:r>
          </w:p>
        </w:tc>
      </w:tr>
      <w:tr w:rsidR="00DA6C86" w:rsidRPr="005C14E6" w14:paraId="5EDF1EA7"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7B5F20" w:rsidRDefault="00DA6C86" w:rsidP="00C3433D">
            <w:pPr>
              <w:spacing w:after="0" w:line="240" w:lineRule="auto"/>
              <w:ind w:left="57"/>
              <w:jc w:val="both"/>
              <w:rPr>
                <w:rFonts w:ascii="Times New Roman" w:hAnsi="Times New Roman" w:cs="Times New Roman"/>
                <w:spacing w:val="-3"/>
                <w:sz w:val="20"/>
                <w:szCs w:val="24"/>
              </w:rPr>
            </w:pPr>
            <w:r w:rsidRPr="007B5F20">
              <w:rPr>
                <w:rFonts w:ascii="Times New Roman" w:hAnsi="Times New Roman" w:cs="Times New Roman"/>
                <w:spacing w:val="-3"/>
                <w:sz w:val="20"/>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7B5F20" w:rsidRDefault="00DA6C86" w:rsidP="00C3433D">
            <w:pPr>
              <w:spacing w:after="0" w:line="240" w:lineRule="auto"/>
              <w:ind w:left="57"/>
              <w:jc w:val="both"/>
              <w:rPr>
                <w:rFonts w:ascii="Times New Roman" w:hAnsi="Times New Roman" w:cs="Times New Roman"/>
                <w:spacing w:val="-3"/>
                <w:sz w:val="20"/>
                <w:szCs w:val="24"/>
              </w:rPr>
            </w:pPr>
            <w:r w:rsidRPr="007B5F20">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5EDF1EA1" w14:textId="77777777" w:rsidR="00DA6C86" w:rsidRPr="007B5F20" w:rsidRDefault="00DA6C86" w:rsidP="00171D36">
            <w:pPr>
              <w:spacing w:after="0" w:line="240" w:lineRule="auto"/>
              <w:ind w:left="57"/>
              <w:rPr>
                <w:rFonts w:ascii="Times New Roman" w:hAnsi="Times New Roman" w:cs="Times New Roman"/>
                <w:spacing w:val="-3"/>
                <w:sz w:val="20"/>
                <w:szCs w:val="24"/>
              </w:rPr>
            </w:pPr>
            <w:r w:rsidRPr="007B5F20">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5EDF1EA2" w14:textId="77777777" w:rsidR="00DA6C86" w:rsidRPr="007B5F20" w:rsidRDefault="00DA6C86" w:rsidP="00C3433D">
            <w:pPr>
              <w:spacing w:after="0" w:line="240" w:lineRule="auto"/>
              <w:ind w:left="57"/>
              <w:jc w:val="both"/>
              <w:rPr>
                <w:rFonts w:ascii="Times New Roman" w:hAnsi="Times New Roman" w:cs="Times New Roman"/>
                <w:spacing w:val="-3"/>
                <w:sz w:val="20"/>
                <w:szCs w:val="24"/>
              </w:rPr>
            </w:pPr>
            <w:r w:rsidRPr="007B5F20">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7B5F20" w:rsidRDefault="00DA6C86" w:rsidP="00171D36">
            <w:pPr>
              <w:spacing w:after="0" w:line="240" w:lineRule="auto"/>
              <w:ind w:left="57"/>
              <w:rPr>
                <w:rFonts w:ascii="Times New Roman" w:hAnsi="Times New Roman" w:cs="Times New Roman"/>
                <w:spacing w:val="-3"/>
                <w:sz w:val="20"/>
                <w:szCs w:val="24"/>
              </w:rPr>
            </w:pPr>
            <w:r w:rsidRPr="007B5F20">
              <w:rPr>
                <w:rFonts w:ascii="Times New Roman" w:hAnsi="Times New Roman" w:cs="Times New Roman"/>
                <w:spacing w:val="-3"/>
                <w:sz w:val="20"/>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5EDF1EA4" w14:textId="77777777" w:rsidR="00DA6C86" w:rsidRPr="007B5F20" w:rsidRDefault="00DA6C86" w:rsidP="00C3433D">
            <w:pPr>
              <w:spacing w:after="0" w:line="240" w:lineRule="auto"/>
              <w:ind w:left="57"/>
              <w:jc w:val="both"/>
              <w:rPr>
                <w:rFonts w:ascii="Times New Roman" w:hAnsi="Times New Roman" w:cs="Times New Roman"/>
                <w:sz w:val="20"/>
                <w:szCs w:val="24"/>
              </w:rPr>
            </w:pPr>
            <w:r w:rsidRPr="007B5F20">
              <w:rPr>
                <w:rFonts w:ascii="Times New Roman" w:hAnsi="Times New Roman" w:cs="Times New Roman"/>
                <w:spacing w:val="-3"/>
                <w:sz w:val="20"/>
                <w:szCs w:val="24"/>
              </w:rPr>
              <w:t xml:space="preserve">Informācija par to, vai šīs </w:t>
            </w:r>
            <w:r w:rsidRPr="007B5F20">
              <w:rPr>
                <w:rFonts w:ascii="Times New Roman" w:hAnsi="Times New Roman" w:cs="Times New Roman"/>
                <w:sz w:val="20"/>
                <w:szCs w:val="24"/>
              </w:rPr>
              <w:t>tabulas B ailē minētās projekta vienības paredz stingrākas prasības nekā šīs tabulas A ailē minētās ES tiesību akta vienības.</w:t>
            </w:r>
          </w:p>
          <w:p w14:paraId="5EDF1EA5" w14:textId="3BE8A663" w:rsidR="00DA6C86" w:rsidRPr="007B5F20" w:rsidRDefault="00DA6C86" w:rsidP="00C3433D">
            <w:pPr>
              <w:spacing w:after="0" w:line="240" w:lineRule="auto"/>
              <w:ind w:left="57"/>
              <w:jc w:val="both"/>
              <w:rPr>
                <w:rFonts w:ascii="Times New Roman" w:hAnsi="Times New Roman" w:cs="Times New Roman"/>
                <w:sz w:val="20"/>
                <w:szCs w:val="24"/>
              </w:rPr>
            </w:pPr>
            <w:r w:rsidRPr="007B5F20">
              <w:rPr>
                <w:rFonts w:ascii="Times New Roman" w:hAnsi="Times New Roman" w:cs="Times New Roman"/>
                <w:sz w:val="20"/>
                <w:szCs w:val="24"/>
              </w:rPr>
              <w:t>Ja projekts satur stingrā</w:t>
            </w:r>
            <w:r w:rsidR="00584507" w:rsidRPr="007B5F20">
              <w:rPr>
                <w:rFonts w:ascii="Times New Roman" w:hAnsi="Times New Roman" w:cs="Times New Roman"/>
                <w:sz w:val="20"/>
                <w:szCs w:val="24"/>
              </w:rPr>
              <w:softHyphen/>
            </w:r>
            <w:r w:rsidRPr="007B5F20">
              <w:rPr>
                <w:rFonts w:ascii="Times New Roman" w:hAnsi="Times New Roman" w:cs="Times New Roman"/>
                <w:sz w:val="20"/>
                <w:szCs w:val="24"/>
              </w:rPr>
              <w:t>kas prasības nekā attie</w:t>
            </w:r>
            <w:r w:rsidR="00584507" w:rsidRPr="007B5F20">
              <w:rPr>
                <w:rFonts w:ascii="Times New Roman" w:hAnsi="Times New Roman" w:cs="Times New Roman"/>
                <w:sz w:val="20"/>
                <w:szCs w:val="24"/>
              </w:rPr>
              <w:softHyphen/>
            </w:r>
            <w:r w:rsidRPr="007B5F20">
              <w:rPr>
                <w:rFonts w:ascii="Times New Roman" w:hAnsi="Times New Roman" w:cs="Times New Roman"/>
                <w:sz w:val="20"/>
                <w:szCs w:val="24"/>
              </w:rPr>
              <w:t>cīgais ES tiesību akts,</w:t>
            </w:r>
            <w:r w:rsidR="00584507" w:rsidRPr="007B5F20">
              <w:rPr>
                <w:rFonts w:ascii="Times New Roman" w:hAnsi="Times New Roman" w:cs="Times New Roman"/>
                <w:sz w:val="20"/>
                <w:szCs w:val="24"/>
              </w:rPr>
              <w:t xml:space="preserve"> </w:t>
            </w:r>
            <w:r w:rsidRPr="007B5F20">
              <w:rPr>
                <w:rFonts w:ascii="Times New Roman" w:hAnsi="Times New Roman" w:cs="Times New Roman"/>
                <w:sz w:val="20"/>
                <w:szCs w:val="24"/>
              </w:rPr>
              <w:t>norāda pamatojumu un samērīgumu.</w:t>
            </w:r>
          </w:p>
          <w:p w14:paraId="5EDF1EA6" w14:textId="77777777" w:rsidR="00DA6C86" w:rsidRPr="007B5F20" w:rsidRDefault="00DA6C86" w:rsidP="00C3433D">
            <w:pPr>
              <w:spacing w:after="0" w:line="240" w:lineRule="auto"/>
              <w:ind w:left="57"/>
              <w:jc w:val="both"/>
              <w:rPr>
                <w:rFonts w:ascii="Times New Roman" w:hAnsi="Times New Roman" w:cs="Times New Roman"/>
                <w:spacing w:val="-3"/>
                <w:sz w:val="20"/>
                <w:szCs w:val="24"/>
              </w:rPr>
            </w:pPr>
            <w:r w:rsidRPr="007B5F20">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7B5F20">
              <w:rPr>
                <w:rFonts w:ascii="Times New Roman" w:hAnsi="Times New Roman" w:cs="Times New Roman"/>
                <w:spacing w:val="-3"/>
                <w:sz w:val="20"/>
                <w:szCs w:val="24"/>
              </w:rPr>
              <w:t xml:space="preserve"> noteikšanas, nekā paredzēts attiecīgajos ES tiesību aktos</w:t>
            </w:r>
          </w:p>
        </w:tc>
      </w:tr>
      <w:tr w:rsidR="00DA6C86" w:rsidRPr="005C14E6" w14:paraId="5EDF1EAE"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08B62461" w:rsidR="00DA6C86" w:rsidRPr="007B5F20" w:rsidRDefault="00A6239B" w:rsidP="00375B7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Regulas </w:t>
            </w:r>
            <w:r w:rsidR="00B3265D">
              <w:rPr>
                <w:rFonts w:ascii="Times New Roman" w:hAnsi="Times New Roman" w:cs="Times New Roman"/>
                <w:spacing w:val="-2"/>
                <w:sz w:val="24"/>
                <w:szCs w:val="24"/>
              </w:rPr>
              <w:t>12.panta 4.punkts</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656F0B07" w:rsidR="00DA6C86" w:rsidRPr="007B5F20" w:rsidRDefault="00284FE2" w:rsidP="003C3971">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10.panta 1.punkts</w:t>
            </w:r>
          </w:p>
        </w:tc>
        <w:tc>
          <w:tcPr>
            <w:tcW w:w="2657" w:type="dxa"/>
            <w:gridSpan w:val="2"/>
            <w:tcBorders>
              <w:top w:val="outset" w:sz="6" w:space="0" w:color="auto"/>
              <w:left w:val="outset" w:sz="6" w:space="0" w:color="auto"/>
              <w:bottom w:val="outset" w:sz="6" w:space="0" w:color="auto"/>
              <w:right w:val="outset" w:sz="6" w:space="0" w:color="auto"/>
            </w:tcBorders>
          </w:tcPr>
          <w:p w14:paraId="5EDF1EAB" w14:textId="1D100FE6" w:rsidR="00DA6C86" w:rsidRPr="007B5F20" w:rsidRDefault="00284FE2" w:rsidP="00171D36">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5EDF1EAD" w14:textId="33080EE0" w:rsidR="00DA6C86" w:rsidRPr="007B5F20" w:rsidRDefault="00284FE2" w:rsidP="0032763C">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34F251B0"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C56D266" w14:textId="31D51321"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lastRenderedPageBreak/>
              <w:t>Regulas 17.panta 3.punkta b apakšpunkts</w:t>
            </w:r>
          </w:p>
        </w:tc>
        <w:tc>
          <w:tcPr>
            <w:tcW w:w="2090" w:type="dxa"/>
            <w:gridSpan w:val="3"/>
            <w:tcBorders>
              <w:top w:val="outset" w:sz="6" w:space="0" w:color="auto"/>
              <w:left w:val="outset" w:sz="6" w:space="0" w:color="auto"/>
              <w:bottom w:val="outset" w:sz="6" w:space="0" w:color="auto"/>
              <w:right w:val="outset" w:sz="6" w:space="0" w:color="auto"/>
            </w:tcBorders>
          </w:tcPr>
          <w:p w14:paraId="59D285EB" w14:textId="50B1E0A6" w:rsidR="00194E78" w:rsidRDefault="00194E78" w:rsidP="00194E78">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28.pants</w:t>
            </w:r>
          </w:p>
        </w:tc>
        <w:tc>
          <w:tcPr>
            <w:tcW w:w="2657" w:type="dxa"/>
            <w:gridSpan w:val="2"/>
            <w:tcBorders>
              <w:top w:val="outset" w:sz="6" w:space="0" w:color="auto"/>
              <w:left w:val="outset" w:sz="6" w:space="0" w:color="auto"/>
              <w:bottom w:val="outset" w:sz="6" w:space="0" w:color="auto"/>
              <w:right w:val="outset" w:sz="6" w:space="0" w:color="auto"/>
            </w:tcBorders>
          </w:tcPr>
          <w:p w14:paraId="7C6873BD" w14:textId="39E47667"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4E2D2507" w14:textId="0C9F2743"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0C4970AC"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2366D3" w14:textId="4E9E5E6D" w:rsidR="00194E78" w:rsidRPr="007B5F20"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21.pants</w:t>
            </w:r>
          </w:p>
        </w:tc>
        <w:tc>
          <w:tcPr>
            <w:tcW w:w="2090" w:type="dxa"/>
            <w:gridSpan w:val="3"/>
            <w:tcBorders>
              <w:top w:val="outset" w:sz="6" w:space="0" w:color="auto"/>
              <w:left w:val="outset" w:sz="6" w:space="0" w:color="auto"/>
              <w:bottom w:val="outset" w:sz="6" w:space="0" w:color="auto"/>
              <w:right w:val="outset" w:sz="6" w:space="0" w:color="auto"/>
            </w:tcBorders>
          </w:tcPr>
          <w:p w14:paraId="7F2C5EDA" w14:textId="0A7DBC78" w:rsidR="00194E78" w:rsidRPr="007B5F20" w:rsidRDefault="00194E78" w:rsidP="00194E78">
            <w:pPr>
              <w:spacing w:after="0" w:line="240" w:lineRule="auto"/>
              <w:ind w:left="57" w:firstLine="14"/>
              <w:rPr>
                <w:rFonts w:ascii="Times New Roman" w:hAnsi="Times New Roman" w:cs="Times New Roman"/>
                <w:spacing w:val="-2"/>
                <w:sz w:val="24"/>
                <w:szCs w:val="24"/>
              </w:rPr>
            </w:pPr>
            <w:r>
              <w:rPr>
                <w:rFonts w:ascii="Times New Roman" w:hAnsi="Times New Roman" w:cs="Times New Roman"/>
                <w:spacing w:val="-2"/>
                <w:sz w:val="24"/>
                <w:szCs w:val="24"/>
              </w:rPr>
              <w:t>7.panta otrās daļas 3.apakšpunkts</w:t>
            </w:r>
          </w:p>
        </w:tc>
        <w:tc>
          <w:tcPr>
            <w:tcW w:w="2657" w:type="dxa"/>
            <w:gridSpan w:val="2"/>
            <w:tcBorders>
              <w:top w:val="outset" w:sz="6" w:space="0" w:color="auto"/>
              <w:left w:val="outset" w:sz="6" w:space="0" w:color="auto"/>
              <w:bottom w:val="outset" w:sz="6" w:space="0" w:color="auto"/>
              <w:right w:val="outset" w:sz="6" w:space="0" w:color="auto"/>
            </w:tcBorders>
          </w:tcPr>
          <w:p w14:paraId="643FC5DB" w14:textId="45B97A60" w:rsidR="00194E78" w:rsidRPr="007B5F20"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7D965BB7" w14:textId="697CB476" w:rsidR="00194E78" w:rsidRPr="007B5F20"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15045A5E"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F2E1F30" w14:textId="2C99567D"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24.panta 4.punkts</w:t>
            </w:r>
          </w:p>
        </w:tc>
        <w:tc>
          <w:tcPr>
            <w:tcW w:w="2090" w:type="dxa"/>
            <w:gridSpan w:val="3"/>
            <w:tcBorders>
              <w:top w:val="outset" w:sz="6" w:space="0" w:color="auto"/>
              <w:left w:val="outset" w:sz="6" w:space="0" w:color="auto"/>
              <w:bottom w:val="outset" w:sz="6" w:space="0" w:color="auto"/>
              <w:right w:val="outset" w:sz="6" w:space="0" w:color="auto"/>
            </w:tcBorders>
          </w:tcPr>
          <w:p w14:paraId="276F7012" w14:textId="29E354CA" w:rsidR="00194E78" w:rsidRDefault="00194E78" w:rsidP="00194E78">
            <w:pPr>
              <w:spacing w:after="0" w:line="240" w:lineRule="auto"/>
              <w:ind w:left="57" w:firstLine="14"/>
              <w:rPr>
                <w:rFonts w:ascii="Times New Roman" w:hAnsi="Times New Roman" w:cs="Times New Roman"/>
                <w:spacing w:val="-2"/>
                <w:sz w:val="24"/>
                <w:szCs w:val="24"/>
              </w:rPr>
            </w:pPr>
            <w:r>
              <w:rPr>
                <w:rFonts w:ascii="Times New Roman" w:hAnsi="Times New Roman" w:cs="Times New Roman"/>
                <w:spacing w:val="-2"/>
                <w:sz w:val="24"/>
                <w:szCs w:val="24"/>
              </w:rPr>
              <w:t>7.panta otrās daļas 8.apakšpunkts</w:t>
            </w:r>
          </w:p>
        </w:tc>
        <w:tc>
          <w:tcPr>
            <w:tcW w:w="2657" w:type="dxa"/>
            <w:gridSpan w:val="2"/>
            <w:tcBorders>
              <w:top w:val="outset" w:sz="6" w:space="0" w:color="auto"/>
              <w:left w:val="outset" w:sz="6" w:space="0" w:color="auto"/>
              <w:bottom w:val="outset" w:sz="6" w:space="0" w:color="auto"/>
              <w:right w:val="outset" w:sz="6" w:space="0" w:color="auto"/>
            </w:tcBorders>
          </w:tcPr>
          <w:p w14:paraId="792B3149" w14:textId="23754B8F"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090EBA0E" w14:textId="6C78606A"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stingrākus noteikumus</w:t>
            </w:r>
          </w:p>
        </w:tc>
      </w:tr>
      <w:tr w:rsidR="00194E78" w:rsidRPr="005C14E6" w14:paraId="074BED17"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39A6B8E" w14:textId="1197B98D"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24.panta 5.punkts</w:t>
            </w:r>
          </w:p>
        </w:tc>
        <w:tc>
          <w:tcPr>
            <w:tcW w:w="2090" w:type="dxa"/>
            <w:gridSpan w:val="3"/>
            <w:tcBorders>
              <w:top w:val="outset" w:sz="6" w:space="0" w:color="auto"/>
              <w:left w:val="outset" w:sz="6" w:space="0" w:color="auto"/>
              <w:bottom w:val="outset" w:sz="6" w:space="0" w:color="auto"/>
              <w:right w:val="outset" w:sz="6" w:space="0" w:color="auto"/>
            </w:tcBorders>
          </w:tcPr>
          <w:p w14:paraId="361D14E2" w14:textId="50616402"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7.panta otrās daļas 19. un 20.apakšpunkts</w:t>
            </w:r>
          </w:p>
        </w:tc>
        <w:tc>
          <w:tcPr>
            <w:tcW w:w="2657" w:type="dxa"/>
            <w:gridSpan w:val="2"/>
            <w:tcBorders>
              <w:top w:val="outset" w:sz="6" w:space="0" w:color="auto"/>
              <w:left w:val="outset" w:sz="6" w:space="0" w:color="auto"/>
              <w:bottom w:val="outset" w:sz="6" w:space="0" w:color="auto"/>
              <w:right w:val="outset" w:sz="6" w:space="0" w:color="auto"/>
            </w:tcBorders>
          </w:tcPr>
          <w:p w14:paraId="14B6E3F7" w14:textId="09E83D78"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4754479B" w14:textId="2D8AE88E"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35B2880B"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848312B" w14:textId="6F9F41E4"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26.pants</w:t>
            </w:r>
          </w:p>
        </w:tc>
        <w:tc>
          <w:tcPr>
            <w:tcW w:w="2090" w:type="dxa"/>
            <w:gridSpan w:val="3"/>
            <w:tcBorders>
              <w:top w:val="outset" w:sz="6" w:space="0" w:color="auto"/>
              <w:left w:val="outset" w:sz="6" w:space="0" w:color="auto"/>
              <w:bottom w:val="outset" w:sz="6" w:space="0" w:color="auto"/>
              <w:right w:val="outset" w:sz="6" w:space="0" w:color="auto"/>
            </w:tcBorders>
          </w:tcPr>
          <w:p w14:paraId="34933CBA" w14:textId="75D92CC8"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9.panta otrās daļas 1.apakšpunkts</w:t>
            </w:r>
          </w:p>
        </w:tc>
        <w:tc>
          <w:tcPr>
            <w:tcW w:w="2657" w:type="dxa"/>
            <w:gridSpan w:val="2"/>
            <w:tcBorders>
              <w:top w:val="outset" w:sz="6" w:space="0" w:color="auto"/>
              <w:left w:val="outset" w:sz="6" w:space="0" w:color="auto"/>
              <w:bottom w:val="outset" w:sz="6" w:space="0" w:color="auto"/>
              <w:right w:val="outset" w:sz="6" w:space="0" w:color="auto"/>
            </w:tcBorders>
          </w:tcPr>
          <w:p w14:paraId="0F8D79F3" w14:textId="5A014A17"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418C129A" w14:textId="7E843ADB"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0BE86755"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F89EB0B" w14:textId="5967C9A0"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27.pants</w:t>
            </w:r>
          </w:p>
        </w:tc>
        <w:tc>
          <w:tcPr>
            <w:tcW w:w="2090" w:type="dxa"/>
            <w:gridSpan w:val="3"/>
            <w:tcBorders>
              <w:top w:val="outset" w:sz="6" w:space="0" w:color="auto"/>
              <w:left w:val="outset" w:sz="6" w:space="0" w:color="auto"/>
              <w:bottom w:val="outset" w:sz="6" w:space="0" w:color="auto"/>
              <w:right w:val="outset" w:sz="6" w:space="0" w:color="auto"/>
            </w:tcBorders>
          </w:tcPr>
          <w:p w14:paraId="790AF130" w14:textId="016023C9"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7.panta otrās daļas 15.apakšpunkts</w:t>
            </w:r>
          </w:p>
        </w:tc>
        <w:tc>
          <w:tcPr>
            <w:tcW w:w="2657" w:type="dxa"/>
            <w:gridSpan w:val="2"/>
            <w:tcBorders>
              <w:top w:val="outset" w:sz="6" w:space="0" w:color="auto"/>
              <w:left w:val="outset" w:sz="6" w:space="0" w:color="auto"/>
              <w:bottom w:val="outset" w:sz="6" w:space="0" w:color="auto"/>
              <w:right w:val="outset" w:sz="6" w:space="0" w:color="auto"/>
            </w:tcBorders>
          </w:tcPr>
          <w:p w14:paraId="33D3C9BB" w14:textId="653228E4"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Ieviests </w:t>
            </w:r>
            <w:bookmarkStart w:id="0" w:name="_GoBack"/>
            <w:bookmarkEnd w:id="0"/>
            <w:r>
              <w:rPr>
                <w:rFonts w:ascii="Times New Roman" w:hAnsi="Times New Roman" w:cs="Times New Roman"/>
                <w:spacing w:val="-2"/>
                <w:sz w:val="24"/>
                <w:szCs w:val="24"/>
              </w:rPr>
              <w:t>pilnībā</w:t>
            </w:r>
          </w:p>
        </w:tc>
        <w:tc>
          <w:tcPr>
            <w:tcW w:w="2585" w:type="dxa"/>
            <w:tcBorders>
              <w:top w:val="outset" w:sz="6" w:space="0" w:color="auto"/>
              <w:left w:val="outset" w:sz="6" w:space="0" w:color="auto"/>
              <w:bottom w:val="outset" w:sz="6" w:space="0" w:color="auto"/>
              <w:right w:val="outset" w:sz="6" w:space="0" w:color="auto"/>
            </w:tcBorders>
          </w:tcPr>
          <w:p w14:paraId="5EEED82F" w14:textId="5057A22C"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63A619CC"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A0E6B08" w14:textId="1075E9DC"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29.pants</w:t>
            </w:r>
          </w:p>
        </w:tc>
        <w:tc>
          <w:tcPr>
            <w:tcW w:w="2090" w:type="dxa"/>
            <w:gridSpan w:val="3"/>
            <w:tcBorders>
              <w:top w:val="outset" w:sz="6" w:space="0" w:color="auto"/>
              <w:left w:val="outset" w:sz="6" w:space="0" w:color="auto"/>
              <w:bottom w:val="outset" w:sz="6" w:space="0" w:color="auto"/>
              <w:right w:val="outset" w:sz="6" w:space="0" w:color="auto"/>
            </w:tcBorders>
          </w:tcPr>
          <w:p w14:paraId="462D1375" w14:textId="293D4C3E"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9.panta otrās daļas 4.apakšpunkts</w:t>
            </w:r>
          </w:p>
        </w:tc>
        <w:tc>
          <w:tcPr>
            <w:tcW w:w="2657" w:type="dxa"/>
            <w:gridSpan w:val="2"/>
            <w:tcBorders>
              <w:top w:val="outset" w:sz="6" w:space="0" w:color="auto"/>
              <w:left w:val="outset" w:sz="6" w:space="0" w:color="auto"/>
              <w:bottom w:val="outset" w:sz="6" w:space="0" w:color="auto"/>
              <w:right w:val="outset" w:sz="6" w:space="0" w:color="auto"/>
            </w:tcBorders>
          </w:tcPr>
          <w:p w14:paraId="4A504B84" w14:textId="0B30C1AF"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056DE2E5" w14:textId="688314C3"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6C326091"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BE74488" w14:textId="44AF2C71"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Regulas 53.pants </w:t>
            </w:r>
          </w:p>
        </w:tc>
        <w:tc>
          <w:tcPr>
            <w:tcW w:w="2090" w:type="dxa"/>
            <w:gridSpan w:val="3"/>
            <w:tcBorders>
              <w:top w:val="outset" w:sz="6" w:space="0" w:color="auto"/>
              <w:left w:val="outset" w:sz="6" w:space="0" w:color="auto"/>
              <w:bottom w:val="outset" w:sz="6" w:space="0" w:color="auto"/>
              <w:right w:val="outset" w:sz="6" w:space="0" w:color="auto"/>
            </w:tcBorders>
          </w:tcPr>
          <w:p w14:paraId="123CD7DF" w14:textId="7035A266"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7.panta otrās daļas 6.apakšpunkts</w:t>
            </w:r>
          </w:p>
        </w:tc>
        <w:tc>
          <w:tcPr>
            <w:tcW w:w="2657" w:type="dxa"/>
            <w:gridSpan w:val="2"/>
            <w:tcBorders>
              <w:top w:val="outset" w:sz="6" w:space="0" w:color="auto"/>
              <w:left w:val="outset" w:sz="6" w:space="0" w:color="auto"/>
              <w:bottom w:val="outset" w:sz="6" w:space="0" w:color="auto"/>
              <w:right w:val="outset" w:sz="6" w:space="0" w:color="auto"/>
            </w:tcBorders>
          </w:tcPr>
          <w:p w14:paraId="43323DE9" w14:textId="4D9B9464"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pilnībā</w:t>
            </w:r>
          </w:p>
        </w:tc>
        <w:tc>
          <w:tcPr>
            <w:tcW w:w="2585" w:type="dxa"/>
            <w:tcBorders>
              <w:top w:val="outset" w:sz="6" w:space="0" w:color="auto"/>
              <w:left w:val="outset" w:sz="6" w:space="0" w:color="auto"/>
              <w:bottom w:val="outset" w:sz="6" w:space="0" w:color="auto"/>
              <w:right w:val="outset" w:sz="6" w:space="0" w:color="auto"/>
            </w:tcBorders>
          </w:tcPr>
          <w:p w14:paraId="797DDA73" w14:textId="5E0530BD"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027FB149"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156EA73" w14:textId="77C0E29B"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54.pants</w:t>
            </w:r>
          </w:p>
        </w:tc>
        <w:tc>
          <w:tcPr>
            <w:tcW w:w="2090" w:type="dxa"/>
            <w:gridSpan w:val="3"/>
            <w:tcBorders>
              <w:top w:val="outset" w:sz="6" w:space="0" w:color="auto"/>
              <w:left w:val="outset" w:sz="6" w:space="0" w:color="auto"/>
              <w:bottom w:val="outset" w:sz="6" w:space="0" w:color="auto"/>
              <w:right w:val="outset" w:sz="6" w:space="0" w:color="auto"/>
            </w:tcBorders>
          </w:tcPr>
          <w:p w14:paraId="6E6CFFDD" w14:textId="29039A3F"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7.panta otrās daļas 17.apakšpunkts</w:t>
            </w:r>
          </w:p>
        </w:tc>
        <w:tc>
          <w:tcPr>
            <w:tcW w:w="2657" w:type="dxa"/>
            <w:gridSpan w:val="2"/>
            <w:tcBorders>
              <w:top w:val="outset" w:sz="6" w:space="0" w:color="auto"/>
              <w:left w:val="outset" w:sz="6" w:space="0" w:color="auto"/>
              <w:bottom w:val="outset" w:sz="6" w:space="0" w:color="auto"/>
              <w:right w:val="outset" w:sz="6" w:space="0" w:color="auto"/>
            </w:tcBorders>
          </w:tcPr>
          <w:p w14:paraId="66A0A311" w14:textId="4E414655"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Detalizētāka informācija tiks noteikta MK noteikumos. Atbildīgā institūcija – IeM.</w:t>
            </w:r>
          </w:p>
        </w:tc>
        <w:tc>
          <w:tcPr>
            <w:tcW w:w="2585" w:type="dxa"/>
            <w:tcBorders>
              <w:top w:val="outset" w:sz="6" w:space="0" w:color="auto"/>
              <w:left w:val="outset" w:sz="6" w:space="0" w:color="auto"/>
              <w:bottom w:val="outset" w:sz="6" w:space="0" w:color="auto"/>
              <w:right w:val="outset" w:sz="6" w:space="0" w:color="auto"/>
            </w:tcBorders>
          </w:tcPr>
          <w:p w14:paraId="3B9C9EAA" w14:textId="082BB5C1"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01A31A3B"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366A57F" w14:textId="3AC3C1B7"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Regulas 57.pants</w:t>
            </w:r>
          </w:p>
        </w:tc>
        <w:tc>
          <w:tcPr>
            <w:tcW w:w="2090" w:type="dxa"/>
            <w:gridSpan w:val="3"/>
            <w:tcBorders>
              <w:top w:val="outset" w:sz="6" w:space="0" w:color="auto"/>
              <w:left w:val="outset" w:sz="6" w:space="0" w:color="auto"/>
              <w:bottom w:val="outset" w:sz="6" w:space="0" w:color="auto"/>
              <w:right w:val="outset" w:sz="6" w:space="0" w:color="auto"/>
            </w:tcBorders>
          </w:tcPr>
          <w:p w14:paraId="33E7C125" w14:textId="7AAAA64B"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7.panta otrās daļas 15.apakšpunkts</w:t>
            </w:r>
          </w:p>
        </w:tc>
        <w:tc>
          <w:tcPr>
            <w:tcW w:w="2657" w:type="dxa"/>
            <w:gridSpan w:val="2"/>
            <w:tcBorders>
              <w:top w:val="outset" w:sz="6" w:space="0" w:color="auto"/>
              <w:left w:val="outset" w:sz="6" w:space="0" w:color="auto"/>
              <w:bottom w:val="outset" w:sz="6" w:space="0" w:color="auto"/>
              <w:right w:val="outset" w:sz="6" w:space="0" w:color="auto"/>
            </w:tcBorders>
          </w:tcPr>
          <w:p w14:paraId="5CE97145" w14:textId="1BB717BE"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Ieviests daļēji. Detalizētāka informācija tiks noteikta MK noteikumos. Atbildīgā institūcija – IeM.</w:t>
            </w:r>
          </w:p>
        </w:tc>
        <w:tc>
          <w:tcPr>
            <w:tcW w:w="2585" w:type="dxa"/>
            <w:tcBorders>
              <w:top w:val="outset" w:sz="6" w:space="0" w:color="auto"/>
              <w:left w:val="outset" w:sz="6" w:space="0" w:color="auto"/>
              <w:bottom w:val="outset" w:sz="6" w:space="0" w:color="auto"/>
              <w:right w:val="outset" w:sz="6" w:space="0" w:color="auto"/>
            </w:tcBorders>
          </w:tcPr>
          <w:p w14:paraId="02AB5330" w14:textId="0FE86098" w:rsidR="00194E78" w:rsidRDefault="00194E78" w:rsidP="00194E78">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Likumprojekts neparedz stingrākas prasības</w:t>
            </w:r>
          </w:p>
        </w:tc>
      </w:tr>
      <w:tr w:rsidR="00194E78" w:rsidRPr="005C14E6" w14:paraId="5EDF1EB2"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194E78" w:rsidRPr="007B5F20" w:rsidRDefault="00194E78" w:rsidP="00194E78">
            <w:pPr>
              <w:spacing w:after="0" w:line="240" w:lineRule="auto"/>
              <w:ind w:left="57"/>
              <w:rPr>
                <w:rFonts w:ascii="Times New Roman" w:hAnsi="Times New Roman" w:cs="Times New Roman"/>
                <w:spacing w:val="-3"/>
                <w:sz w:val="24"/>
                <w:szCs w:val="24"/>
              </w:rPr>
            </w:pPr>
            <w:r w:rsidRPr="007B5F20">
              <w:rPr>
                <w:rFonts w:ascii="Times New Roman" w:hAnsi="Times New Roman" w:cs="Times New Roman"/>
                <w:spacing w:val="-3"/>
                <w:sz w:val="24"/>
                <w:szCs w:val="24"/>
              </w:rPr>
              <w:t>Kā ir izmantota ES tiesību aktā paredzētā rīcības brīvība dalīb</w:t>
            </w:r>
            <w:r w:rsidRPr="007B5F20">
              <w:rPr>
                <w:rFonts w:ascii="Times New Roman" w:hAnsi="Times New Roman" w:cs="Times New Roman"/>
                <w:spacing w:val="-3"/>
                <w:sz w:val="24"/>
                <w:szCs w:val="24"/>
              </w:rPr>
              <w:softHyphen/>
              <w:t>valstij pārņemt vai ieviest noteiktas ES tiesību akta normas?</w:t>
            </w:r>
          </w:p>
          <w:p w14:paraId="5EDF1EB0" w14:textId="77777777" w:rsidR="00194E78" w:rsidRPr="007B5F20" w:rsidRDefault="00194E78" w:rsidP="00194E78">
            <w:pPr>
              <w:spacing w:after="0" w:line="240" w:lineRule="auto"/>
              <w:ind w:left="57"/>
              <w:rPr>
                <w:rFonts w:ascii="Times New Roman" w:hAnsi="Times New Roman" w:cs="Times New Roman"/>
                <w:spacing w:val="-3"/>
                <w:sz w:val="24"/>
                <w:szCs w:val="24"/>
              </w:rPr>
            </w:pPr>
            <w:r w:rsidRPr="007B5F20">
              <w:rPr>
                <w:rFonts w:ascii="Times New Roman" w:hAnsi="Times New Roman" w:cs="Times New Roman"/>
                <w:spacing w:val="-3"/>
                <w:sz w:val="24"/>
                <w:szCs w:val="24"/>
              </w:rPr>
              <w:t>Kādēļ?</w:t>
            </w:r>
          </w:p>
        </w:tc>
        <w:tc>
          <w:tcPr>
            <w:tcW w:w="7332" w:type="dxa"/>
            <w:gridSpan w:val="6"/>
            <w:tcBorders>
              <w:top w:val="outset" w:sz="6" w:space="0" w:color="auto"/>
              <w:left w:val="outset" w:sz="6" w:space="0" w:color="auto"/>
              <w:bottom w:val="outset" w:sz="6" w:space="0" w:color="auto"/>
              <w:right w:val="outset" w:sz="6" w:space="0" w:color="auto"/>
            </w:tcBorders>
          </w:tcPr>
          <w:p w14:paraId="5EDF1EB1" w14:textId="50D9A13C" w:rsidR="00194E78" w:rsidRPr="007B5F20" w:rsidRDefault="00194E78" w:rsidP="00194E78">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Projekts šo jomu neskar.</w:t>
            </w:r>
          </w:p>
        </w:tc>
      </w:tr>
      <w:tr w:rsidR="00194E78" w:rsidRPr="005C14E6" w14:paraId="5EDF1EB5"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194E78" w:rsidRPr="007B5F20" w:rsidRDefault="00194E78" w:rsidP="00194E78">
            <w:pPr>
              <w:spacing w:after="0" w:line="240" w:lineRule="auto"/>
              <w:ind w:left="57"/>
              <w:jc w:val="both"/>
              <w:rPr>
                <w:rFonts w:ascii="Times New Roman" w:hAnsi="Times New Roman" w:cs="Times New Roman"/>
                <w:spacing w:val="-3"/>
                <w:sz w:val="24"/>
                <w:szCs w:val="24"/>
              </w:rPr>
            </w:pPr>
            <w:r w:rsidRPr="007B5F20">
              <w:rPr>
                <w:rFonts w:ascii="Times New Roman" w:hAnsi="Times New Roman" w:cs="Times New Roman"/>
                <w:spacing w:val="-4"/>
                <w:sz w:val="24"/>
                <w:szCs w:val="24"/>
              </w:rPr>
              <w:t>Saistības sniegt paziņojumu ES insti</w:t>
            </w:r>
            <w:r w:rsidRPr="007B5F20">
              <w:rPr>
                <w:rFonts w:ascii="Times New Roman" w:hAnsi="Times New Roman" w:cs="Times New Roman"/>
                <w:spacing w:val="-4"/>
                <w:sz w:val="24"/>
                <w:szCs w:val="24"/>
              </w:rPr>
              <w:softHyphen/>
              <w:t>tūcijām un ES dalīb</w:t>
            </w:r>
            <w:r w:rsidRPr="007B5F20">
              <w:rPr>
                <w:rFonts w:ascii="Times New Roman" w:hAnsi="Times New Roman" w:cs="Times New Roman"/>
                <w:spacing w:val="-4"/>
                <w:sz w:val="24"/>
                <w:szCs w:val="24"/>
              </w:rPr>
              <w:softHyphen/>
              <w:t>valstīm atbilstoši normatīvajiem aktiem, kas regulē informā</w:t>
            </w:r>
            <w:r w:rsidRPr="007B5F20">
              <w:rPr>
                <w:rFonts w:ascii="Times New Roman" w:hAnsi="Times New Roman" w:cs="Times New Roman"/>
                <w:spacing w:val="-4"/>
                <w:sz w:val="24"/>
                <w:szCs w:val="24"/>
              </w:rPr>
              <w:softHyphen/>
              <w:t>cijas sniegšanu par tehnisko noteikumu, valsts atbalsta piešķir</w:t>
            </w:r>
            <w:r w:rsidRPr="007B5F20">
              <w:rPr>
                <w:rFonts w:ascii="Times New Roman" w:hAnsi="Times New Roman" w:cs="Times New Roman"/>
                <w:spacing w:val="-4"/>
                <w:sz w:val="24"/>
                <w:szCs w:val="24"/>
              </w:rPr>
              <w:softHyphen/>
              <w:t>šanas un finanšu noteikumu (attiecībā uz monetāro politiku) projektiem</w:t>
            </w:r>
          </w:p>
        </w:tc>
        <w:tc>
          <w:tcPr>
            <w:tcW w:w="7332" w:type="dxa"/>
            <w:gridSpan w:val="6"/>
            <w:tcBorders>
              <w:top w:val="outset" w:sz="6" w:space="0" w:color="auto"/>
              <w:left w:val="outset" w:sz="6" w:space="0" w:color="auto"/>
              <w:bottom w:val="outset" w:sz="6" w:space="0" w:color="auto"/>
              <w:right w:val="outset" w:sz="6" w:space="0" w:color="auto"/>
            </w:tcBorders>
          </w:tcPr>
          <w:p w14:paraId="5EDF1EB4" w14:textId="2E84C678" w:rsidR="00194E78" w:rsidRPr="007B5F20" w:rsidRDefault="00194E78" w:rsidP="00194E78">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Projekts šo jomu neskar.</w:t>
            </w:r>
          </w:p>
        </w:tc>
      </w:tr>
      <w:tr w:rsidR="00194E78" w:rsidRPr="005C14E6" w14:paraId="5EDF1EB9" w14:textId="77777777" w:rsidTr="00C9518A">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6" w14:textId="77777777" w:rsidR="00194E78" w:rsidRPr="007B5F20" w:rsidRDefault="00194E78" w:rsidP="00194E78">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lastRenderedPageBreak/>
              <w:t>Cita informācija</w:t>
            </w:r>
          </w:p>
        </w:tc>
        <w:tc>
          <w:tcPr>
            <w:tcW w:w="7332" w:type="dxa"/>
            <w:gridSpan w:val="6"/>
            <w:tcBorders>
              <w:top w:val="outset" w:sz="6" w:space="0" w:color="auto"/>
              <w:left w:val="outset" w:sz="6" w:space="0" w:color="auto"/>
              <w:bottom w:val="outset" w:sz="6" w:space="0" w:color="auto"/>
              <w:right w:val="outset" w:sz="6" w:space="0" w:color="auto"/>
            </w:tcBorders>
          </w:tcPr>
          <w:p w14:paraId="5EDF1EB8" w14:textId="6725EE7B" w:rsidR="00194E78" w:rsidRPr="007B5F20" w:rsidRDefault="00194E78" w:rsidP="00194E78">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Nav</w:t>
            </w:r>
          </w:p>
        </w:tc>
      </w:tr>
      <w:tr w:rsidR="00F3367D" w:rsidRPr="005C14E6" w14:paraId="30CD5DD4" w14:textId="77777777" w:rsidTr="00C9518A">
        <w:trPr>
          <w:jc w:val="center"/>
        </w:trPr>
        <w:tc>
          <w:tcPr>
            <w:tcW w:w="9535"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9240D1" w14:textId="77777777" w:rsidR="00F3367D" w:rsidRPr="007B5F20" w:rsidRDefault="00F3367D" w:rsidP="00F3367D">
            <w:pPr>
              <w:spacing w:after="0" w:line="240" w:lineRule="auto"/>
              <w:ind w:left="57"/>
              <w:rPr>
                <w:rFonts w:ascii="Times New Roman" w:hAnsi="Times New Roman" w:cs="Times New Roman"/>
                <w:sz w:val="24"/>
                <w:szCs w:val="24"/>
              </w:rPr>
            </w:pPr>
          </w:p>
        </w:tc>
      </w:tr>
      <w:tr w:rsidR="00F3367D" w:rsidRPr="005C14E6" w14:paraId="5EDF1EBD" w14:textId="77777777" w:rsidTr="00C9518A">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BA" w14:textId="77777777" w:rsidR="00F3367D" w:rsidRPr="007B5F20" w:rsidRDefault="00F3367D" w:rsidP="00F3367D">
            <w:pPr>
              <w:spacing w:after="0" w:line="240" w:lineRule="auto"/>
              <w:ind w:left="57"/>
              <w:jc w:val="center"/>
              <w:rPr>
                <w:rFonts w:ascii="Times New Roman" w:hAnsi="Times New Roman" w:cs="Times New Roman"/>
                <w:b/>
                <w:sz w:val="24"/>
                <w:szCs w:val="24"/>
              </w:rPr>
            </w:pPr>
            <w:r w:rsidRPr="007B5F20">
              <w:rPr>
                <w:rFonts w:ascii="Times New Roman" w:hAnsi="Times New Roman" w:cs="Times New Roman"/>
                <w:b/>
                <w:sz w:val="24"/>
                <w:szCs w:val="24"/>
              </w:rPr>
              <w:t>2.tabula</w:t>
            </w:r>
          </w:p>
          <w:p w14:paraId="5EDF1EBB" w14:textId="77777777" w:rsidR="00F3367D" w:rsidRPr="007B5F20" w:rsidRDefault="00F3367D" w:rsidP="00F3367D">
            <w:pPr>
              <w:spacing w:after="0" w:line="240" w:lineRule="auto"/>
              <w:ind w:left="57"/>
              <w:jc w:val="center"/>
              <w:rPr>
                <w:rFonts w:ascii="Times New Roman" w:hAnsi="Times New Roman" w:cs="Times New Roman"/>
                <w:b/>
                <w:sz w:val="24"/>
                <w:szCs w:val="24"/>
              </w:rPr>
            </w:pPr>
            <w:r w:rsidRPr="007B5F2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EDF1EBC" w14:textId="77777777" w:rsidR="00F3367D" w:rsidRPr="007B5F20" w:rsidRDefault="00F3367D" w:rsidP="00F3367D">
            <w:pPr>
              <w:spacing w:after="0" w:line="240" w:lineRule="auto"/>
              <w:ind w:left="57"/>
              <w:jc w:val="center"/>
              <w:rPr>
                <w:rFonts w:ascii="Times New Roman" w:hAnsi="Times New Roman" w:cs="Times New Roman"/>
                <w:b/>
                <w:sz w:val="24"/>
                <w:szCs w:val="24"/>
              </w:rPr>
            </w:pPr>
            <w:r w:rsidRPr="007B5F20">
              <w:rPr>
                <w:rFonts w:ascii="Times New Roman" w:hAnsi="Times New Roman" w:cs="Times New Roman"/>
                <w:b/>
                <w:sz w:val="24"/>
                <w:szCs w:val="24"/>
              </w:rPr>
              <w:t>Pasākumi šo saistību izpildei</w:t>
            </w:r>
          </w:p>
        </w:tc>
      </w:tr>
      <w:tr w:rsidR="00F3367D" w:rsidRPr="005C14E6" w14:paraId="5EDF1EC0"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65" w:type="dxa"/>
            <w:gridSpan w:val="5"/>
            <w:tcBorders>
              <w:top w:val="outset" w:sz="6" w:space="0" w:color="auto"/>
              <w:left w:val="outset" w:sz="6" w:space="0" w:color="auto"/>
              <w:bottom w:val="outset" w:sz="6" w:space="0" w:color="auto"/>
              <w:right w:val="outset" w:sz="6" w:space="0" w:color="auto"/>
            </w:tcBorders>
          </w:tcPr>
          <w:p w14:paraId="5EDF1EBF" w14:textId="114A729F"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Projekts šo jomu neskar.</w:t>
            </w:r>
          </w:p>
        </w:tc>
      </w:tr>
      <w:tr w:rsidR="00F3367D" w:rsidRPr="005C14E6" w14:paraId="5EDF1EC4"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F3367D" w:rsidRPr="007B5F20" w:rsidRDefault="00F3367D" w:rsidP="00F3367D">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EDF1EC2" w14:textId="77777777" w:rsidR="00F3367D" w:rsidRPr="007B5F20" w:rsidRDefault="00F3367D" w:rsidP="00F3367D">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B</w:t>
            </w:r>
          </w:p>
        </w:tc>
        <w:tc>
          <w:tcPr>
            <w:tcW w:w="3963" w:type="dxa"/>
            <w:gridSpan w:val="2"/>
            <w:tcBorders>
              <w:top w:val="outset" w:sz="6" w:space="0" w:color="auto"/>
              <w:left w:val="outset" w:sz="6" w:space="0" w:color="auto"/>
              <w:bottom w:val="outset" w:sz="6" w:space="0" w:color="auto"/>
              <w:right w:val="outset" w:sz="6" w:space="0" w:color="auto"/>
            </w:tcBorders>
            <w:vAlign w:val="center"/>
          </w:tcPr>
          <w:p w14:paraId="5EDF1EC3" w14:textId="77777777" w:rsidR="00F3367D" w:rsidRPr="007B5F20" w:rsidRDefault="00F3367D" w:rsidP="00F3367D">
            <w:pPr>
              <w:spacing w:after="0" w:line="240" w:lineRule="auto"/>
              <w:ind w:left="57"/>
              <w:jc w:val="center"/>
              <w:rPr>
                <w:rFonts w:ascii="Times New Roman" w:hAnsi="Times New Roman" w:cs="Times New Roman"/>
                <w:sz w:val="24"/>
                <w:szCs w:val="24"/>
              </w:rPr>
            </w:pPr>
            <w:r w:rsidRPr="007B5F20">
              <w:rPr>
                <w:rFonts w:ascii="Times New Roman" w:hAnsi="Times New Roman" w:cs="Times New Roman"/>
                <w:sz w:val="24"/>
                <w:szCs w:val="24"/>
              </w:rPr>
              <w:t>C</w:t>
            </w:r>
          </w:p>
        </w:tc>
      </w:tr>
      <w:tr w:rsidR="00F3367D" w:rsidRPr="005C14E6" w14:paraId="5EDF1ECB"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Starptautiskās saistības (pēc būtības), kas izriet no norādītā starptautis</w:t>
            </w:r>
            <w:r w:rsidRPr="007B5F20">
              <w:rPr>
                <w:rFonts w:ascii="Times New Roman" w:hAnsi="Times New Roman" w:cs="Times New Roman"/>
                <w:sz w:val="24"/>
                <w:szCs w:val="24"/>
              </w:rPr>
              <w:softHyphen/>
              <w:t>kā dokumenta.</w:t>
            </w:r>
          </w:p>
          <w:p w14:paraId="5EDF1EC6" w14:textId="77777777"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5EDF1EC7" w14:textId="77777777"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2"/>
            <w:tcBorders>
              <w:top w:val="outset" w:sz="6" w:space="0" w:color="auto"/>
              <w:left w:val="outset" w:sz="6" w:space="0" w:color="auto"/>
              <w:bottom w:val="outset" w:sz="6" w:space="0" w:color="auto"/>
              <w:right w:val="outset" w:sz="6" w:space="0" w:color="auto"/>
            </w:tcBorders>
          </w:tcPr>
          <w:p w14:paraId="5EDF1EC8" w14:textId="77777777"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Informācija par to, vai starptautiskās saistības, kas minētas šīs tabulas A ailē, tiek izpildītas pilnībā vai daļēji.</w:t>
            </w:r>
          </w:p>
          <w:p w14:paraId="5EDF1EC9" w14:textId="5993BC31"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DF1ECA" w14:textId="77777777" w:rsidR="00F3367D" w:rsidRPr="007B5F20" w:rsidRDefault="00F3367D" w:rsidP="00F3367D">
            <w:pPr>
              <w:spacing w:after="0" w:line="240" w:lineRule="auto"/>
              <w:ind w:left="57" w:right="57"/>
              <w:rPr>
                <w:rFonts w:ascii="Times New Roman" w:hAnsi="Times New Roman" w:cs="Times New Roman"/>
                <w:sz w:val="24"/>
                <w:szCs w:val="24"/>
              </w:rPr>
            </w:pPr>
            <w:r w:rsidRPr="007B5F20">
              <w:rPr>
                <w:rFonts w:ascii="Times New Roman" w:hAnsi="Times New Roman" w:cs="Times New Roman"/>
                <w:sz w:val="24"/>
                <w:szCs w:val="24"/>
              </w:rPr>
              <w:t>Norāda institūciju, kas ir atbildīga par šo saistību izpildi pilnībā</w:t>
            </w:r>
          </w:p>
        </w:tc>
      </w:tr>
      <w:tr w:rsidR="00F3367D" w:rsidRPr="005C14E6" w14:paraId="5EDF1ED0"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41BE26AB" w:rsidR="00F3367D" w:rsidRPr="007B5F20" w:rsidRDefault="00F3367D" w:rsidP="00F3367D">
            <w:pPr>
              <w:spacing w:after="0" w:line="240" w:lineRule="auto"/>
              <w:ind w:left="57"/>
              <w:rPr>
                <w:rFonts w:ascii="Times New Roman" w:hAnsi="Times New Roman" w:cs="Times New Roman"/>
                <w:sz w:val="24"/>
                <w:szCs w:val="24"/>
              </w:rPr>
            </w:pPr>
          </w:p>
        </w:tc>
        <w:tc>
          <w:tcPr>
            <w:tcW w:w="3102" w:type="dxa"/>
            <w:gridSpan w:val="3"/>
            <w:tcBorders>
              <w:top w:val="outset" w:sz="6" w:space="0" w:color="auto"/>
              <w:left w:val="outset" w:sz="6" w:space="0" w:color="auto"/>
              <w:bottom w:val="outset" w:sz="6" w:space="0" w:color="auto"/>
              <w:right w:val="outset" w:sz="6" w:space="0" w:color="auto"/>
            </w:tcBorders>
          </w:tcPr>
          <w:p w14:paraId="5EDF1ECD" w14:textId="769EB622" w:rsidR="00F3367D" w:rsidRPr="007B5F20" w:rsidRDefault="00F3367D" w:rsidP="00F3367D">
            <w:pPr>
              <w:spacing w:after="0" w:line="240" w:lineRule="auto"/>
              <w:ind w:left="57"/>
              <w:rPr>
                <w:rFonts w:ascii="Times New Roman" w:hAnsi="Times New Roman" w:cs="Times New Roman"/>
                <w:sz w:val="24"/>
                <w:szCs w:val="24"/>
              </w:rPr>
            </w:pPr>
          </w:p>
        </w:tc>
        <w:tc>
          <w:tcPr>
            <w:tcW w:w="3963" w:type="dxa"/>
            <w:gridSpan w:val="2"/>
            <w:tcBorders>
              <w:top w:val="outset" w:sz="6" w:space="0" w:color="auto"/>
              <w:left w:val="outset" w:sz="6" w:space="0" w:color="auto"/>
              <w:bottom w:val="outset" w:sz="6" w:space="0" w:color="auto"/>
              <w:right w:val="outset" w:sz="6" w:space="0" w:color="auto"/>
            </w:tcBorders>
          </w:tcPr>
          <w:p w14:paraId="5EDF1ECF" w14:textId="2AB18096" w:rsidR="00F3367D" w:rsidRPr="007B5F20" w:rsidRDefault="00F3367D" w:rsidP="00F3367D">
            <w:pPr>
              <w:spacing w:after="0" w:line="240" w:lineRule="auto"/>
              <w:ind w:left="57"/>
              <w:rPr>
                <w:rFonts w:ascii="Times New Roman" w:hAnsi="Times New Roman" w:cs="Times New Roman"/>
                <w:sz w:val="24"/>
                <w:szCs w:val="24"/>
              </w:rPr>
            </w:pPr>
          </w:p>
        </w:tc>
      </w:tr>
      <w:tr w:rsidR="00F3367D" w:rsidRPr="005C14E6" w14:paraId="5EDF1ED3"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F3367D" w:rsidRPr="007B5F20" w:rsidRDefault="00F3367D" w:rsidP="00F3367D">
            <w:pPr>
              <w:spacing w:after="0" w:line="240" w:lineRule="auto"/>
              <w:ind w:left="57"/>
              <w:rPr>
                <w:rFonts w:ascii="Times New Roman" w:hAnsi="Times New Roman" w:cs="Times New Roman"/>
                <w:sz w:val="24"/>
                <w:szCs w:val="24"/>
              </w:rPr>
            </w:pPr>
            <w:r w:rsidRPr="007B5F20">
              <w:rPr>
                <w:rFonts w:ascii="Times New Roman" w:hAnsi="Times New Roman" w:cs="Times New Roman"/>
                <w:sz w:val="24"/>
                <w:szCs w:val="24"/>
              </w:rPr>
              <w:t>Vai starptautiskajā dokumentā paredzētās saistības nav pretrunā ar jau esošajām Latvijas Republikas starptautis</w:t>
            </w:r>
            <w:r w:rsidRPr="007B5F20">
              <w:rPr>
                <w:rFonts w:ascii="Times New Roman" w:hAnsi="Times New Roman" w:cs="Times New Roman"/>
                <w:sz w:val="24"/>
                <w:szCs w:val="24"/>
              </w:rPr>
              <w:softHyphen/>
              <w:t>kajām saistībām</w:t>
            </w:r>
          </w:p>
        </w:tc>
        <w:tc>
          <w:tcPr>
            <w:tcW w:w="7065" w:type="dxa"/>
            <w:gridSpan w:val="5"/>
            <w:tcBorders>
              <w:top w:val="outset" w:sz="6" w:space="0" w:color="auto"/>
              <w:left w:val="outset" w:sz="6" w:space="0" w:color="auto"/>
              <w:bottom w:val="outset" w:sz="6" w:space="0" w:color="auto"/>
              <w:right w:val="outset" w:sz="6" w:space="0" w:color="auto"/>
            </w:tcBorders>
          </w:tcPr>
          <w:p w14:paraId="5EDF1ED2" w14:textId="7241129E" w:rsidR="00F3367D" w:rsidRPr="007B5F20" w:rsidRDefault="00F3367D" w:rsidP="00F3367D">
            <w:pPr>
              <w:spacing w:after="0" w:line="240" w:lineRule="auto"/>
              <w:ind w:left="57"/>
              <w:jc w:val="both"/>
              <w:rPr>
                <w:rFonts w:ascii="Times New Roman" w:hAnsi="Times New Roman" w:cs="Times New Roman"/>
                <w:sz w:val="24"/>
                <w:szCs w:val="24"/>
              </w:rPr>
            </w:pPr>
            <w:r w:rsidRPr="007B5F20">
              <w:rPr>
                <w:rFonts w:ascii="Times New Roman" w:hAnsi="Times New Roman" w:cs="Times New Roman"/>
                <w:sz w:val="24"/>
                <w:szCs w:val="24"/>
              </w:rPr>
              <w:t>Projekts šo jomu neskar.</w:t>
            </w:r>
          </w:p>
        </w:tc>
      </w:tr>
      <w:tr w:rsidR="00F3367D" w:rsidRPr="005C14E6" w14:paraId="5EDF1ED7" w14:textId="77777777" w:rsidTr="00C9518A">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F3367D" w:rsidRPr="005C14E6" w:rsidRDefault="00F3367D" w:rsidP="00F3367D">
            <w:pPr>
              <w:spacing w:after="0" w:line="240" w:lineRule="auto"/>
              <w:ind w:left="57"/>
              <w:rPr>
                <w:rFonts w:ascii="Times New Roman" w:hAnsi="Times New Roman" w:cs="Times New Roman"/>
                <w:sz w:val="24"/>
                <w:szCs w:val="24"/>
              </w:rPr>
            </w:pPr>
            <w:r w:rsidRPr="005C14E6">
              <w:rPr>
                <w:rFonts w:ascii="Times New Roman" w:hAnsi="Times New Roman" w:cs="Times New Roman"/>
                <w:sz w:val="24"/>
                <w:szCs w:val="24"/>
              </w:rPr>
              <w:t>Cita informācija</w:t>
            </w:r>
          </w:p>
        </w:tc>
        <w:tc>
          <w:tcPr>
            <w:tcW w:w="7065" w:type="dxa"/>
            <w:gridSpan w:val="5"/>
            <w:tcBorders>
              <w:top w:val="outset" w:sz="6" w:space="0" w:color="auto"/>
              <w:left w:val="outset" w:sz="6" w:space="0" w:color="auto"/>
              <w:bottom w:val="outset" w:sz="6" w:space="0" w:color="auto"/>
              <w:right w:val="outset" w:sz="6" w:space="0" w:color="auto"/>
            </w:tcBorders>
          </w:tcPr>
          <w:p w14:paraId="5EDF1ED6" w14:textId="0BA13B48" w:rsidR="00F3367D" w:rsidRPr="005C14E6" w:rsidRDefault="00F3367D" w:rsidP="00F3367D">
            <w:pPr>
              <w:spacing w:after="0" w:line="240" w:lineRule="auto"/>
              <w:ind w:left="57"/>
              <w:jc w:val="both"/>
              <w:rPr>
                <w:rFonts w:ascii="Times New Roman" w:hAnsi="Times New Roman" w:cs="Times New Roman"/>
                <w:sz w:val="24"/>
                <w:szCs w:val="24"/>
              </w:rPr>
            </w:pPr>
            <w:r w:rsidRPr="005C14E6">
              <w:rPr>
                <w:rFonts w:ascii="Times New Roman" w:hAnsi="Times New Roman" w:cs="Times New Roman"/>
                <w:sz w:val="24"/>
                <w:szCs w:val="24"/>
              </w:rPr>
              <w:t>Nav</w:t>
            </w:r>
          </w:p>
        </w:tc>
      </w:tr>
    </w:tbl>
    <w:p w14:paraId="0EBDE4EF" w14:textId="77777777" w:rsidR="00E65755" w:rsidRPr="005C14E6" w:rsidRDefault="00E65755" w:rsidP="00171D36">
      <w:pPr>
        <w:spacing w:after="0" w:line="240" w:lineRule="auto"/>
        <w:rPr>
          <w:rFonts w:ascii="Times New Roman" w:hAnsi="Times New Roman" w:cs="Times New Roman"/>
          <w:sz w:val="24"/>
          <w:szCs w:val="24"/>
        </w:rPr>
      </w:pPr>
    </w:p>
    <w:p w14:paraId="51CA812E" w14:textId="77777777" w:rsidR="00F56EA8" w:rsidRPr="005C14E6" w:rsidDel="009D1634" w:rsidRDefault="00F56EA8" w:rsidP="00171D3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2731"/>
        <w:gridCol w:w="6263"/>
      </w:tblGrid>
      <w:tr w:rsidR="00991CBE" w:rsidRPr="005C14E6" w14:paraId="5EDF1EDA" w14:textId="77777777" w:rsidTr="004544D2">
        <w:trPr>
          <w:trHeight w:val="421"/>
          <w:jc w:val="center"/>
        </w:trPr>
        <w:tc>
          <w:tcPr>
            <w:tcW w:w="9524" w:type="dxa"/>
            <w:gridSpan w:val="3"/>
            <w:vAlign w:val="center"/>
          </w:tcPr>
          <w:p w14:paraId="5EDF1ED9" w14:textId="77777777" w:rsidR="00DA6C86" w:rsidRPr="005C14E6" w:rsidRDefault="00DA6C86" w:rsidP="00171D36">
            <w:pPr>
              <w:pStyle w:val="naisnod"/>
              <w:spacing w:before="0" w:beforeAutospacing="0" w:after="0" w:afterAutospacing="0"/>
              <w:ind w:left="57" w:right="57"/>
              <w:jc w:val="center"/>
            </w:pPr>
            <w:r w:rsidRPr="005C14E6">
              <w:rPr>
                <w:b/>
              </w:rPr>
              <w:t>VI. Sabiedrības līdzdalība un komunikācijas aktivitātes</w:t>
            </w:r>
          </w:p>
        </w:tc>
      </w:tr>
      <w:tr w:rsidR="005370DB" w:rsidRPr="005C14E6" w14:paraId="5269CBC4" w14:textId="61E74714" w:rsidTr="005370DB">
        <w:trPr>
          <w:trHeight w:val="421"/>
          <w:jc w:val="center"/>
        </w:trPr>
        <w:tc>
          <w:tcPr>
            <w:tcW w:w="530" w:type="dxa"/>
            <w:vAlign w:val="center"/>
          </w:tcPr>
          <w:p w14:paraId="53FE0099" w14:textId="1DD0BEFF" w:rsidR="005370DB" w:rsidRPr="005370DB" w:rsidRDefault="005370DB" w:rsidP="00171D36">
            <w:pPr>
              <w:pStyle w:val="naisnod"/>
              <w:spacing w:before="0" w:beforeAutospacing="0" w:after="0" w:afterAutospacing="0"/>
              <w:ind w:left="57" w:right="57"/>
              <w:jc w:val="center"/>
            </w:pPr>
            <w:r w:rsidRPr="005370DB">
              <w:t>1.</w:t>
            </w:r>
          </w:p>
        </w:tc>
        <w:tc>
          <w:tcPr>
            <w:tcW w:w="2731" w:type="dxa"/>
            <w:vAlign w:val="center"/>
          </w:tcPr>
          <w:p w14:paraId="608B9C0F" w14:textId="3CA979FB" w:rsidR="005370DB" w:rsidRPr="005370DB" w:rsidRDefault="005370DB" w:rsidP="005370DB">
            <w:pPr>
              <w:pStyle w:val="naisnod"/>
              <w:spacing w:before="0" w:beforeAutospacing="0" w:after="0" w:afterAutospacing="0"/>
              <w:ind w:left="57" w:right="57"/>
            </w:pPr>
            <w:r w:rsidRPr="005370DB">
              <w:t>Plānotās sabiedrības līdzdalības un komunikācijas aktivitātes saistībā ar projektu</w:t>
            </w:r>
          </w:p>
        </w:tc>
        <w:tc>
          <w:tcPr>
            <w:tcW w:w="6263" w:type="dxa"/>
            <w:vAlign w:val="center"/>
          </w:tcPr>
          <w:p w14:paraId="009EC228" w14:textId="4ED7B0B3" w:rsidR="005370DB" w:rsidRPr="005370DB" w:rsidRDefault="005370DB" w:rsidP="00273314">
            <w:pPr>
              <w:pStyle w:val="naisnod"/>
              <w:spacing w:before="0" w:beforeAutospacing="0" w:after="0" w:afterAutospacing="0"/>
              <w:ind w:left="57" w:right="57"/>
              <w:jc w:val="both"/>
            </w:pPr>
            <w:r>
              <w:t>Sabiedrības pārstāvji var</w:t>
            </w:r>
            <w:r w:rsidR="00273314">
              <w:t>ēja</w:t>
            </w:r>
            <w:r>
              <w:t xml:space="preserve"> līdzdarboties projekta izstrādē pirms tā izsludināšanas Valsts sekretāru sanāksm</w:t>
            </w:r>
            <w:r w:rsidR="00615E2B">
              <w:t>ē. Sniegt atzinumu bija</w:t>
            </w:r>
            <w:r w:rsidR="008B35A8">
              <w:t xml:space="preserve"> iespējams </w:t>
            </w:r>
            <w:r w:rsidR="00615E2B">
              <w:t>no 2014. gada 8. decembra līdz</w:t>
            </w:r>
            <w:r w:rsidR="008B35A8">
              <w:t xml:space="preserve"> 29. decembrim. </w:t>
            </w:r>
            <w:r>
              <w:t>Par minētajām iespējām sabiedrības pārstāvjiem sniegt savu atzinumu tika sagatavota informācija un publicēta Iekšlietu ministrijas mājaslapā un Valsts kancelejas mājaslapā.</w:t>
            </w:r>
          </w:p>
        </w:tc>
      </w:tr>
      <w:tr w:rsidR="005370DB" w:rsidRPr="005C14E6" w14:paraId="1402C073" w14:textId="265BCCD5" w:rsidTr="005370DB">
        <w:trPr>
          <w:trHeight w:val="421"/>
          <w:jc w:val="center"/>
        </w:trPr>
        <w:tc>
          <w:tcPr>
            <w:tcW w:w="530" w:type="dxa"/>
            <w:vAlign w:val="center"/>
          </w:tcPr>
          <w:p w14:paraId="6F29071C" w14:textId="6C3BEE76" w:rsidR="005370DB" w:rsidRPr="005370DB" w:rsidRDefault="005370DB" w:rsidP="00171D36">
            <w:pPr>
              <w:pStyle w:val="naisnod"/>
              <w:spacing w:before="0" w:beforeAutospacing="0" w:after="0" w:afterAutospacing="0"/>
              <w:ind w:left="57" w:right="57"/>
              <w:jc w:val="center"/>
            </w:pPr>
            <w:r w:rsidRPr="005370DB">
              <w:t>2.</w:t>
            </w:r>
          </w:p>
        </w:tc>
        <w:tc>
          <w:tcPr>
            <w:tcW w:w="2731" w:type="dxa"/>
            <w:vAlign w:val="center"/>
          </w:tcPr>
          <w:p w14:paraId="5C9245CF" w14:textId="7C9C2763" w:rsidR="005370DB" w:rsidRPr="005370DB" w:rsidRDefault="005370DB" w:rsidP="005370DB">
            <w:pPr>
              <w:pStyle w:val="naisnod"/>
              <w:spacing w:before="0" w:beforeAutospacing="0" w:after="0" w:afterAutospacing="0"/>
              <w:ind w:left="57" w:right="57"/>
            </w:pPr>
            <w:r w:rsidRPr="005370DB">
              <w:t>Sabiedrības</w:t>
            </w:r>
            <w:r>
              <w:t xml:space="preserve"> līdzdalība projekta izstrādē</w:t>
            </w:r>
          </w:p>
        </w:tc>
        <w:tc>
          <w:tcPr>
            <w:tcW w:w="6263" w:type="dxa"/>
            <w:vAlign w:val="center"/>
          </w:tcPr>
          <w:p w14:paraId="2ACDCBCA" w14:textId="474D080B" w:rsidR="005370DB" w:rsidRPr="005D3793" w:rsidRDefault="005D3793" w:rsidP="005D3793">
            <w:pPr>
              <w:pStyle w:val="naisnod"/>
              <w:spacing w:before="0" w:beforeAutospacing="0" w:after="0" w:afterAutospacing="0"/>
              <w:ind w:left="57" w:right="57"/>
              <w:rPr>
                <w:b/>
              </w:rPr>
            </w:pPr>
            <w:r>
              <w:t>Noteiktajā termiņā n</w:t>
            </w:r>
            <w:r w:rsidRPr="005D3793">
              <w:t>o sabiedrības pārstāvjiem netika saņemti priekšlikumi</w:t>
            </w:r>
            <w:r>
              <w:t>,</w:t>
            </w:r>
            <w:r w:rsidRPr="005D3793">
              <w:t xml:space="preserve"> ieteikumi vai iebildumi projektam.</w:t>
            </w:r>
          </w:p>
        </w:tc>
      </w:tr>
      <w:tr w:rsidR="005370DB" w:rsidRPr="005C14E6" w14:paraId="7B86C6C9" w14:textId="192BD69C" w:rsidTr="005370DB">
        <w:trPr>
          <w:trHeight w:val="421"/>
          <w:jc w:val="center"/>
        </w:trPr>
        <w:tc>
          <w:tcPr>
            <w:tcW w:w="530" w:type="dxa"/>
            <w:vAlign w:val="center"/>
          </w:tcPr>
          <w:p w14:paraId="65B212C4" w14:textId="52381D0D" w:rsidR="005370DB" w:rsidRPr="005370DB" w:rsidRDefault="005370DB" w:rsidP="00171D36">
            <w:pPr>
              <w:pStyle w:val="naisnod"/>
              <w:spacing w:before="0" w:beforeAutospacing="0" w:after="0" w:afterAutospacing="0"/>
              <w:ind w:left="57" w:right="57"/>
              <w:jc w:val="center"/>
            </w:pPr>
            <w:r w:rsidRPr="005370DB">
              <w:t>3.</w:t>
            </w:r>
          </w:p>
        </w:tc>
        <w:tc>
          <w:tcPr>
            <w:tcW w:w="2731" w:type="dxa"/>
            <w:vAlign w:val="center"/>
          </w:tcPr>
          <w:p w14:paraId="09D9481D" w14:textId="72892C89" w:rsidR="005370DB" w:rsidRPr="005370DB" w:rsidRDefault="005370DB" w:rsidP="005370DB">
            <w:pPr>
              <w:pStyle w:val="naisnod"/>
              <w:spacing w:before="0" w:beforeAutospacing="0" w:after="0" w:afterAutospacing="0"/>
              <w:ind w:left="57" w:right="57"/>
            </w:pPr>
            <w:r>
              <w:t>Sabiedrības līdzdalības rezultāti</w:t>
            </w:r>
          </w:p>
        </w:tc>
        <w:tc>
          <w:tcPr>
            <w:tcW w:w="6263" w:type="dxa"/>
            <w:vAlign w:val="center"/>
          </w:tcPr>
          <w:p w14:paraId="41D4DA8A" w14:textId="7F1C0D21" w:rsidR="005370DB" w:rsidRPr="005D3793" w:rsidRDefault="005D3793" w:rsidP="005370DB">
            <w:pPr>
              <w:pStyle w:val="naisnod"/>
              <w:spacing w:before="0" w:beforeAutospacing="0" w:after="0" w:afterAutospacing="0"/>
              <w:ind w:left="57" w:right="57"/>
            </w:pPr>
            <w:r w:rsidRPr="005D3793">
              <w:t>Nav</w:t>
            </w:r>
          </w:p>
        </w:tc>
      </w:tr>
      <w:tr w:rsidR="005370DB" w:rsidRPr="005C14E6" w14:paraId="5ADED90E" w14:textId="77777777" w:rsidTr="005370DB">
        <w:trPr>
          <w:trHeight w:val="421"/>
          <w:jc w:val="center"/>
        </w:trPr>
        <w:tc>
          <w:tcPr>
            <w:tcW w:w="530" w:type="dxa"/>
            <w:vAlign w:val="center"/>
          </w:tcPr>
          <w:p w14:paraId="78867A34" w14:textId="3239C96D" w:rsidR="005370DB" w:rsidRPr="005370DB" w:rsidRDefault="005370DB" w:rsidP="00171D36">
            <w:pPr>
              <w:pStyle w:val="naisnod"/>
              <w:spacing w:before="0" w:beforeAutospacing="0" w:after="0" w:afterAutospacing="0"/>
              <w:ind w:left="57" w:right="57"/>
              <w:jc w:val="center"/>
            </w:pPr>
            <w:r>
              <w:t>4.</w:t>
            </w:r>
          </w:p>
        </w:tc>
        <w:tc>
          <w:tcPr>
            <w:tcW w:w="2731" w:type="dxa"/>
            <w:vAlign w:val="center"/>
          </w:tcPr>
          <w:p w14:paraId="5A0B02A4" w14:textId="561FC4C5" w:rsidR="005370DB" w:rsidRDefault="005370DB" w:rsidP="005370DB">
            <w:pPr>
              <w:pStyle w:val="naisnod"/>
              <w:spacing w:before="0" w:beforeAutospacing="0" w:after="0" w:afterAutospacing="0"/>
              <w:ind w:left="57" w:right="57"/>
            </w:pPr>
            <w:r>
              <w:t>Cita informācija</w:t>
            </w:r>
          </w:p>
        </w:tc>
        <w:tc>
          <w:tcPr>
            <w:tcW w:w="6263" w:type="dxa"/>
            <w:vAlign w:val="center"/>
          </w:tcPr>
          <w:p w14:paraId="73714131" w14:textId="1BCC8F5D" w:rsidR="005370DB" w:rsidRPr="005370DB" w:rsidRDefault="005370DB" w:rsidP="005370DB">
            <w:pPr>
              <w:pStyle w:val="naisnod"/>
              <w:spacing w:before="0" w:beforeAutospacing="0" w:after="0" w:afterAutospacing="0"/>
              <w:ind w:left="57" w:right="57"/>
            </w:pPr>
            <w:r w:rsidRPr="005370DB">
              <w:t>Nav</w:t>
            </w:r>
          </w:p>
        </w:tc>
      </w:tr>
    </w:tbl>
    <w:p w14:paraId="60CA9122" w14:textId="77777777" w:rsidR="00F56EA8" w:rsidRPr="005C14E6" w:rsidRDefault="00F56EA8" w:rsidP="00171D36">
      <w:pPr>
        <w:spacing w:after="0" w:line="240" w:lineRule="auto"/>
        <w:rPr>
          <w:rFonts w:ascii="Times New Roman" w:hAnsi="Times New Roman" w:cs="Times New Roman"/>
          <w:sz w:val="24"/>
          <w:szCs w:val="24"/>
        </w:rPr>
      </w:pPr>
    </w:p>
    <w:p w14:paraId="77916134" w14:textId="77777777" w:rsidR="00E92316" w:rsidRPr="005C14E6" w:rsidRDefault="00E92316" w:rsidP="00171D3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991CBE" w:rsidRPr="005C14E6" w14:paraId="5EDF1EEE" w14:textId="77777777" w:rsidTr="004544D2">
        <w:trPr>
          <w:trHeight w:val="381"/>
          <w:jc w:val="center"/>
        </w:trPr>
        <w:tc>
          <w:tcPr>
            <w:tcW w:w="9518" w:type="dxa"/>
            <w:gridSpan w:val="3"/>
            <w:vAlign w:val="center"/>
          </w:tcPr>
          <w:p w14:paraId="5EDF1EED" w14:textId="77777777" w:rsidR="00DA6C86" w:rsidRPr="005C14E6" w:rsidRDefault="00DA6C86" w:rsidP="00171D36">
            <w:pPr>
              <w:pStyle w:val="naisnod"/>
              <w:spacing w:before="0" w:beforeAutospacing="0" w:after="0" w:afterAutospacing="0"/>
              <w:ind w:left="57" w:right="57"/>
              <w:jc w:val="center"/>
            </w:pPr>
            <w:r w:rsidRPr="005C14E6">
              <w:rPr>
                <w:b/>
              </w:rPr>
              <w:t>VII. Tiesību akta projekta izpildes nodrošināšana un tās ietekme uz institūcijām</w:t>
            </w:r>
          </w:p>
        </w:tc>
      </w:tr>
      <w:tr w:rsidR="00DA6C86" w:rsidRPr="005C14E6" w14:paraId="5EDF1EF2" w14:textId="77777777" w:rsidTr="001E69FC">
        <w:trPr>
          <w:trHeight w:val="427"/>
          <w:jc w:val="center"/>
        </w:trPr>
        <w:tc>
          <w:tcPr>
            <w:tcW w:w="437" w:type="dxa"/>
          </w:tcPr>
          <w:p w14:paraId="5EDF1EEF" w14:textId="77777777" w:rsidR="00DA6C86" w:rsidRPr="005C14E6" w:rsidRDefault="00DA6C86" w:rsidP="00171D36">
            <w:pPr>
              <w:pStyle w:val="naisnod"/>
              <w:spacing w:before="0" w:beforeAutospacing="0" w:after="0" w:afterAutospacing="0"/>
              <w:ind w:left="57" w:right="57"/>
              <w:jc w:val="both"/>
            </w:pPr>
            <w:r w:rsidRPr="005C14E6">
              <w:t>1.</w:t>
            </w:r>
          </w:p>
        </w:tc>
        <w:tc>
          <w:tcPr>
            <w:tcW w:w="3615" w:type="dxa"/>
          </w:tcPr>
          <w:p w14:paraId="5EDF1EF0" w14:textId="77777777" w:rsidR="00DA6C86" w:rsidRPr="005C14E6" w:rsidRDefault="00DA6C86" w:rsidP="002C5BB1">
            <w:pPr>
              <w:pStyle w:val="naisf"/>
              <w:spacing w:before="0" w:beforeAutospacing="0" w:after="0" w:afterAutospacing="0"/>
              <w:ind w:left="57" w:right="57"/>
            </w:pPr>
            <w:r w:rsidRPr="005C14E6">
              <w:t>Projekta izpildē iesaistītās institūcijas</w:t>
            </w:r>
          </w:p>
        </w:tc>
        <w:tc>
          <w:tcPr>
            <w:tcW w:w="5466" w:type="dxa"/>
          </w:tcPr>
          <w:p w14:paraId="5EDF1EF1" w14:textId="69D0FA3C" w:rsidR="00DA6C86" w:rsidRPr="005C14E6" w:rsidRDefault="005C14E6" w:rsidP="000C59C8">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5C14E6">
              <w:rPr>
                <w:rFonts w:ascii="Times New Roman" w:hAnsi="Times New Roman" w:cs="Times New Roman"/>
                <w:color w:val="000000"/>
                <w:sz w:val="24"/>
              </w:rPr>
              <w:t>Iekšlietu ministrija kā atbildīgā iestāde, Finanšu ministrija kā revīzijas iestāde un Kultūras ministrija kā deleģētā iestāde integrācijas jomā.</w:t>
            </w:r>
          </w:p>
        </w:tc>
      </w:tr>
      <w:tr w:rsidR="00DA6C86" w:rsidRPr="005C14E6" w14:paraId="5EDF1EF8" w14:textId="77777777" w:rsidTr="001E69FC">
        <w:trPr>
          <w:trHeight w:val="463"/>
          <w:jc w:val="center"/>
        </w:trPr>
        <w:tc>
          <w:tcPr>
            <w:tcW w:w="437" w:type="dxa"/>
          </w:tcPr>
          <w:p w14:paraId="5EDF1EF3" w14:textId="77777777" w:rsidR="00DA6C86" w:rsidRPr="005C14E6" w:rsidRDefault="00DA6C86" w:rsidP="00171D36">
            <w:pPr>
              <w:pStyle w:val="naisnod"/>
              <w:spacing w:before="0" w:beforeAutospacing="0" w:after="0" w:afterAutospacing="0"/>
              <w:ind w:left="57" w:right="57"/>
              <w:jc w:val="both"/>
            </w:pPr>
            <w:r w:rsidRPr="005C14E6">
              <w:t>2.</w:t>
            </w:r>
          </w:p>
        </w:tc>
        <w:tc>
          <w:tcPr>
            <w:tcW w:w="3615" w:type="dxa"/>
          </w:tcPr>
          <w:p w14:paraId="5EDF1EF4" w14:textId="376D97F5" w:rsidR="00DA6C86" w:rsidRPr="005C14E6" w:rsidRDefault="00DA6C86" w:rsidP="002C5BB1">
            <w:pPr>
              <w:pStyle w:val="naisf"/>
              <w:spacing w:before="0" w:beforeAutospacing="0" w:after="0" w:afterAutospacing="0"/>
              <w:ind w:left="57" w:right="57"/>
            </w:pPr>
            <w:r w:rsidRPr="005C14E6">
              <w:t>Projekta izpildes iet</w:t>
            </w:r>
            <w:r w:rsidR="002C5BB1" w:rsidRPr="005C14E6">
              <w:t>ekme uz pār</w:t>
            </w:r>
            <w:r w:rsidR="001E69FC" w:rsidRPr="005C14E6">
              <w:softHyphen/>
            </w:r>
            <w:r w:rsidR="002C5BB1" w:rsidRPr="005C14E6">
              <w:t xml:space="preserve">valdes funkcijām un </w:t>
            </w:r>
            <w:r w:rsidRPr="005C14E6">
              <w:t>institucionālo struktūru.</w:t>
            </w:r>
          </w:p>
          <w:p w14:paraId="5EDF1EF5" w14:textId="026B5512" w:rsidR="00DA6C86" w:rsidRPr="005C14E6" w:rsidRDefault="00DA6C86" w:rsidP="002C5BB1">
            <w:pPr>
              <w:pStyle w:val="naisf"/>
              <w:spacing w:before="0" w:beforeAutospacing="0" w:after="0" w:afterAutospacing="0"/>
              <w:ind w:left="57" w:right="57"/>
            </w:pPr>
            <w:r w:rsidRPr="005C14E6">
              <w:t>Jaunu institūciju izveide, esošu institūciju likvidācija vai reorga</w:t>
            </w:r>
            <w:r w:rsidR="001E69FC" w:rsidRPr="005C14E6">
              <w:softHyphen/>
            </w:r>
            <w:r w:rsidRPr="005C14E6">
              <w:t>nizācija, to ietekme uz institūcijas cilvēkresursiem.</w:t>
            </w:r>
          </w:p>
        </w:tc>
        <w:tc>
          <w:tcPr>
            <w:tcW w:w="5466" w:type="dxa"/>
          </w:tcPr>
          <w:p w14:paraId="16C8DCFD" w14:textId="7D3D6AC6" w:rsidR="005C14E6" w:rsidRPr="005C14E6" w:rsidRDefault="005C14E6" w:rsidP="000C59C8">
            <w:pPr>
              <w:spacing w:line="240" w:lineRule="auto"/>
              <w:ind w:left="40"/>
              <w:jc w:val="both"/>
              <w:rPr>
                <w:rFonts w:ascii="Times New Roman" w:hAnsi="Times New Roman" w:cs="Times New Roman"/>
                <w:b/>
                <w:color w:val="000000"/>
                <w:sz w:val="24"/>
              </w:rPr>
            </w:pPr>
            <w:r w:rsidRPr="005C14E6">
              <w:rPr>
                <w:rFonts w:ascii="Times New Roman" w:hAnsi="Times New Roman" w:cs="Times New Roman"/>
                <w:color w:val="000000"/>
                <w:sz w:val="24"/>
              </w:rPr>
              <w:t>Iekšlietu ministrija 2014.-2020.gada finanšu perioda fondu vadībā pildīs atbildīgās iestādes funkcijas, saglabājot  2007.-2013.gada finanšu perioda ietvaros izveidoto organizatorisko struktūru, kas darbojas saskaņā ar apstiprināto Vadības un kontroles sistēmas aprakstu. Atbildīgajai iestādei, papildus jau esošajām funkcijām, tiks pievienota pārraudzība pār deleģēto iestādi. Gadījumā, ja būs nepieciešams palielināt iesaistīto cilvēkresursu skaitu funkciju nodrošināšanai, tas tiks darīts, izmantojot</w:t>
            </w:r>
            <w:r w:rsidR="00713B9C">
              <w:rPr>
                <w:rFonts w:ascii="Times New Roman" w:hAnsi="Times New Roman" w:cs="Times New Roman"/>
                <w:color w:val="000000"/>
                <w:sz w:val="24"/>
              </w:rPr>
              <w:t xml:space="preserve"> ES</w:t>
            </w:r>
            <w:r w:rsidRPr="005C14E6">
              <w:rPr>
                <w:rFonts w:ascii="Times New Roman" w:hAnsi="Times New Roman" w:cs="Times New Roman"/>
                <w:color w:val="000000"/>
                <w:sz w:val="24"/>
              </w:rPr>
              <w:t xml:space="preserve"> fondu tehnisko palīdzību.</w:t>
            </w:r>
          </w:p>
          <w:p w14:paraId="32D28724" w14:textId="3F32A272" w:rsidR="005C14E6" w:rsidRPr="005C14E6" w:rsidRDefault="005C14E6" w:rsidP="000C59C8">
            <w:pPr>
              <w:spacing w:line="240" w:lineRule="auto"/>
              <w:ind w:left="40"/>
              <w:jc w:val="both"/>
              <w:rPr>
                <w:rFonts w:ascii="Times New Roman" w:hAnsi="Times New Roman" w:cs="Times New Roman"/>
                <w:color w:val="000000"/>
                <w:sz w:val="24"/>
              </w:rPr>
            </w:pPr>
            <w:r w:rsidRPr="005C14E6">
              <w:rPr>
                <w:rFonts w:ascii="Times New Roman" w:hAnsi="Times New Roman" w:cs="Times New Roman"/>
                <w:color w:val="000000"/>
                <w:sz w:val="24"/>
              </w:rPr>
              <w:t>Kultūras ministrija pildīs deleģētās iestādes</w:t>
            </w:r>
            <w:r w:rsidR="002C5D6F">
              <w:rPr>
                <w:rFonts w:ascii="Times New Roman" w:hAnsi="Times New Roman" w:cs="Times New Roman"/>
                <w:color w:val="000000"/>
                <w:sz w:val="24"/>
              </w:rPr>
              <w:t xml:space="preserve"> (regulas Nr.514/2014 izpratnē)</w:t>
            </w:r>
            <w:r w:rsidRPr="005C14E6">
              <w:rPr>
                <w:rFonts w:ascii="Times New Roman" w:hAnsi="Times New Roman" w:cs="Times New Roman"/>
                <w:color w:val="000000"/>
                <w:sz w:val="24"/>
              </w:rPr>
              <w:t xml:space="preserve"> funkcijas, kas pamatā balstīsies uz 2007.-2013.gada finanšu perioda Trešo valstu valstspiederīgo integrācijas fonda ietvaros izveidoto organizatorisko struktūru un procedūrām, kuras tiks precizētas saskaņā ar izveidoto pārvaldības un kontroles sistēmu un saskaņotas ar atbildīgo iestādi atbilstoši tiesību aktos noteiktajam funkciju deleģējumam.</w:t>
            </w:r>
          </w:p>
          <w:p w14:paraId="51973084" w14:textId="77777777" w:rsidR="005C14E6" w:rsidRPr="005C14E6" w:rsidRDefault="005C14E6" w:rsidP="000C59C8">
            <w:pPr>
              <w:spacing w:line="240" w:lineRule="auto"/>
              <w:ind w:left="40"/>
              <w:jc w:val="both"/>
              <w:rPr>
                <w:rFonts w:ascii="Times New Roman" w:hAnsi="Times New Roman" w:cs="Times New Roman"/>
                <w:color w:val="000000"/>
                <w:sz w:val="24"/>
              </w:rPr>
            </w:pPr>
            <w:r w:rsidRPr="005C14E6">
              <w:rPr>
                <w:rFonts w:ascii="Times New Roman" w:hAnsi="Times New Roman" w:cs="Times New Roman"/>
                <w:color w:val="000000"/>
                <w:sz w:val="24"/>
              </w:rPr>
              <w:t>Finanšu ministrija pildīs revīzijas iestādes funkcijas saglabājot 2007.-2013.gada finanšu perioda ietvaros izveidoto organizatorisko struktūru.</w:t>
            </w:r>
          </w:p>
          <w:p w14:paraId="302D19E3" w14:textId="77777777" w:rsidR="005C14E6" w:rsidRPr="005C14E6" w:rsidRDefault="005C14E6" w:rsidP="000C59C8">
            <w:pPr>
              <w:spacing w:line="240" w:lineRule="auto"/>
              <w:ind w:left="40" w:right="39"/>
              <w:jc w:val="both"/>
              <w:rPr>
                <w:rFonts w:ascii="Times New Roman" w:hAnsi="Times New Roman" w:cs="Times New Roman"/>
                <w:color w:val="000000"/>
                <w:sz w:val="24"/>
              </w:rPr>
            </w:pPr>
            <w:r w:rsidRPr="005C14E6">
              <w:rPr>
                <w:rFonts w:ascii="Times New Roman" w:hAnsi="Times New Roman" w:cs="Times New Roman"/>
                <w:color w:val="000000"/>
                <w:sz w:val="24"/>
              </w:rPr>
              <w:t>Ņemot vērā Eiropas Komisijas tiesību aktos noteikto, jaunajā finanšu periodā nebūs nepieciešams nozīmēt sertificēšanas iestādi, līdz ar to Centrālā finanšu un līgumu aģentūra neveiks sertificēšanas iestādes funkcijas.</w:t>
            </w:r>
          </w:p>
          <w:p w14:paraId="5EDF1EF7" w14:textId="4D46DC73" w:rsidR="000A0B88" w:rsidRPr="005C14E6" w:rsidRDefault="005C14E6" w:rsidP="000C59C8">
            <w:pPr>
              <w:shd w:val="clear" w:color="auto" w:fill="FFFFFF"/>
              <w:spacing w:after="0" w:line="240" w:lineRule="auto"/>
              <w:ind w:left="57" w:right="57"/>
              <w:jc w:val="both"/>
              <w:rPr>
                <w:rFonts w:ascii="Times New Roman" w:hAnsi="Times New Roman" w:cs="Times New Roman"/>
                <w:sz w:val="24"/>
                <w:szCs w:val="24"/>
              </w:rPr>
            </w:pPr>
            <w:r w:rsidRPr="005C14E6">
              <w:rPr>
                <w:rFonts w:ascii="Times New Roman" w:hAnsi="Times New Roman" w:cs="Times New Roman"/>
                <w:sz w:val="24"/>
              </w:rPr>
              <w:t>Saistībā ar projekta izpildi nav nepieciešams veidot jaunas institūcijas, likvidēt vai reorganizēt esošās institūcijas.</w:t>
            </w:r>
          </w:p>
        </w:tc>
      </w:tr>
      <w:tr w:rsidR="00DA6C86" w:rsidRPr="005C14E6" w14:paraId="5EDF1EFD"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7E131F31" w:rsidR="00DA6C86" w:rsidRPr="005C14E6" w:rsidRDefault="00DA6C86" w:rsidP="00171D36">
            <w:pPr>
              <w:pStyle w:val="naisnod"/>
              <w:spacing w:before="0" w:beforeAutospacing="0" w:after="0" w:afterAutospacing="0"/>
              <w:ind w:left="57" w:right="57"/>
              <w:jc w:val="both"/>
            </w:pPr>
            <w:r w:rsidRPr="005C14E6">
              <w:t>3.</w:t>
            </w:r>
          </w:p>
        </w:tc>
        <w:tc>
          <w:tcPr>
            <w:tcW w:w="3615" w:type="dxa"/>
            <w:tcBorders>
              <w:top w:val="single" w:sz="4" w:space="0" w:color="auto"/>
              <w:left w:val="single" w:sz="4" w:space="0" w:color="auto"/>
              <w:bottom w:val="single" w:sz="4" w:space="0" w:color="auto"/>
              <w:right w:val="single" w:sz="4" w:space="0" w:color="auto"/>
            </w:tcBorders>
          </w:tcPr>
          <w:p w14:paraId="5EDF1EFA" w14:textId="77777777" w:rsidR="00DA6C86" w:rsidRPr="005C14E6" w:rsidRDefault="00DA6C86" w:rsidP="002C5BB1">
            <w:pPr>
              <w:pStyle w:val="naisf"/>
              <w:spacing w:before="0" w:beforeAutospacing="0" w:after="0" w:afterAutospacing="0"/>
              <w:ind w:left="57" w:right="57"/>
            </w:pPr>
            <w:r w:rsidRPr="005C14E6">
              <w:t>Cita informācija</w:t>
            </w:r>
          </w:p>
        </w:tc>
        <w:tc>
          <w:tcPr>
            <w:tcW w:w="5466" w:type="dxa"/>
            <w:tcBorders>
              <w:top w:val="single" w:sz="4" w:space="0" w:color="auto"/>
              <w:left w:val="single" w:sz="4" w:space="0" w:color="auto"/>
              <w:bottom w:val="single" w:sz="4" w:space="0" w:color="auto"/>
              <w:right w:val="single" w:sz="4" w:space="0" w:color="auto"/>
            </w:tcBorders>
          </w:tcPr>
          <w:p w14:paraId="5EDF1EFC" w14:textId="51273B00" w:rsidR="00DA6C86" w:rsidRPr="005C14E6" w:rsidRDefault="00380812" w:rsidP="00171D36">
            <w:pPr>
              <w:spacing w:after="0" w:line="240" w:lineRule="auto"/>
              <w:ind w:left="57" w:right="57"/>
              <w:jc w:val="both"/>
              <w:rPr>
                <w:rFonts w:ascii="Times New Roman" w:hAnsi="Times New Roman" w:cs="Times New Roman"/>
                <w:sz w:val="24"/>
                <w:szCs w:val="24"/>
              </w:rPr>
            </w:pPr>
            <w:r w:rsidRPr="005C14E6">
              <w:rPr>
                <w:rFonts w:ascii="Times New Roman" w:hAnsi="Times New Roman" w:cs="Times New Roman"/>
                <w:sz w:val="24"/>
                <w:szCs w:val="24"/>
              </w:rPr>
              <w:t>Nav</w:t>
            </w:r>
          </w:p>
        </w:tc>
      </w:tr>
    </w:tbl>
    <w:p w14:paraId="5EDF1EFE" w14:textId="77777777" w:rsidR="00380812" w:rsidRPr="005C14E6" w:rsidRDefault="00380812" w:rsidP="00171D36">
      <w:pPr>
        <w:pStyle w:val="ListParagraph"/>
        <w:spacing w:after="0" w:line="240" w:lineRule="auto"/>
        <w:ind w:left="357"/>
        <w:jc w:val="both"/>
        <w:rPr>
          <w:rFonts w:ascii="Times New Roman" w:hAnsi="Times New Roman" w:cs="Times New Roman"/>
          <w:sz w:val="28"/>
          <w:szCs w:val="28"/>
        </w:rPr>
      </w:pPr>
    </w:p>
    <w:p w14:paraId="2B5B2D77" w14:textId="77777777" w:rsidR="003A4318" w:rsidRPr="005C14E6" w:rsidRDefault="003A4318" w:rsidP="00171D36">
      <w:pPr>
        <w:spacing w:after="0" w:line="240" w:lineRule="auto"/>
        <w:jc w:val="both"/>
        <w:rPr>
          <w:rFonts w:ascii="Times New Roman" w:hAnsi="Times New Roman" w:cs="Times New Roman"/>
          <w:sz w:val="20"/>
          <w:szCs w:val="20"/>
        </w:rPr>
      </w:pPr>
    </w:p>
    <w:p w14:paraId="62B4D762" w14:textId="3262EBF2" w:rsidR="00726BC5" w:rsidRPr="00726BC5" w:rsidRDefault="00726BC5" w:rsidP="00726BC5">
      <w:pPr>
        <w:rPr>
          <w:rFonts w:ascii="Times New Roman" w:hAnsi="Times New Roman" w:cs="Times New Roman"/>
          <w:sz w:val="24"/>
        </w:rPr>
      </w:pPr>
      <w:r w:rsidRPr="00726BC5">
        <w:rPr>
          <w:rFonts w:ascii="Times New Roman" w:hAnsi="Times New Roman" w:cs="Times New Roman"/>
          <w:sz w:val="24"/>
        </w:rPr>
        <w:t>Iekšlietu ministrs</w:t>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t xml:space="preserve"> </w:t>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t>R.Kozlovskis</w:t>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r>
    </w:p>
    <w:p w14:paraId="4EB7C69B" w14:textId="77777777" w:rsidR="00726BC5" w:rsidRPr="00726BC5" w:rsidRDefault="00726BC5" w:rsidP="00726BC5">
      <w:pPr>
        <w:rPr>
          <w:rFonts w:ascii="Times New Roman" w:hAnsi="Times New Roman" w:cs="Times New Roman"/>
          <w:sz w:val="24"/>
        </w:rPr>
      </w:pPr>
      <w:r w:rsidRPr="00726BC5">
        <w:rPr>
          <w:rFonts w:ascii="Times New Roman" w:hAnsi="Times New Roman" w:cs="Times New Roman"/>
          <w:sz w:val="24"/>
        </w:rPr>
        <w:t>Vīza: Valsts sekretāre</w:t>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r>
      <w:r w:rsidRPr="00726BC5">
        <w:rPr>
          <w:rFonts w:ascii="Times New Roman" w:hAnsi="Times New Roman" w:cs="Times New Roman"/>
          <w:sz w:val="24"/>
        </w:rPr>
        <w:tab/>
        <w:t>I. Pētersone-Godmane</w:t>
      </w:r>
    </w:p>
    <w:p w14:paraId="78D8B72D" w14:textId="4C4A26AD" w:rsidR="00726BC5" w:rsidRPr="00726BC5" w:rsidRDefault="00BD22C8" w:rsidP="00726BC5">
      <w:pPr>
        <w:pStyle w:val="naisf"/>
        <w:spacing w:before="0" w:beforeAutospacing="0" w:after="0" w:afterAutospacing="0"/>
        <w:rPr>
          <w:sz w:val="20"/>
          <w:szCs w:val="20"/>
        </w:rPr>
      </w:pPr>
      <w:r>
        <w:rPr>
          <w:sz w:val="20"/>
          <w:szCs w:val="20"/>
        </w:rPr>
        <w:t>24</w:t>
      </w:r>
      <w:r w:rsidR="00B5588E">
        <w:rPr>
          <w:sz w:val="20"/>
          <w:szCs w:val="20"/>
        </w:rPr>
        <w:t>.0</w:t>
      </w:r>
      <w:r w:rsidR="00C152F7">
        <w:rPr>
          <w:sz w:val="20"/>
          <w:szCs w:val="20"/>
        </w:rPr>
        <w:t>3</w:t>
      </w:r>
      <w:r w:rsidR="007D48C1">
        <w:rPr>
          <w:sz w:val="20"/>
          <w:szCs w:val="20"/>
        </w:rPr>
        <w:t>.2015.</w:t>
      </w:r>
      <w:r w:rsidR="00726BC5" w:rsidRPr="00726BC5">
        <w:rPr>
          <w:sz w:val="20"/>
          <w:szCs w:val="20"/>
        </w:rPr>
        <w:t xml:space="preserve"> </w:t>
      </w:r>
      <w:r>
        <w:rPr>
          <w:sz w:val="20"/>
          <w:szCs w:val="20"/>
        </w:rPr>
        <w:t>09</w:t>
      </w:r>
      <w:r w:rsidR="00726BC5" w:rsidRPr="00726BC5">
        <w:rPr>
          <w:sz w:val="20"/>
          <w:szCs w:val="20"/>
        </w:rPr>
        <w:t>:00</w:t>
      </w:r>
    </w:p>
    <w:p w14:paraId="2CF82A91" w14:textId="5F773883" w:rsidR="00726BC5" w:rsidRPr="00726BC5" w:rsidRDefault="00DC7DF5" w:rsidP="00726BC5">
      <w:pPr>
        <w:pStyle w:val="naisf"/>
        <w:spacing w:before="0" w:beforeAutospacing="0" w:after="0" w:afterAutospacing="0"/>
        <w:rPr>
          <w:sz w:val="28"/>
          <w:szCs w:val="28"/>
        </w:rPr>
      </w:pPr>
      <w:r>
        <w:rPr>
          <w:sz w:val="20"/>
          <w:szCs w:val="20"/>
        </w:rPr>
        <w:t>5</w:t>
      </w:r>
      <w:r w:rsidR="00457F31">
        <w:rPr>
          <w:sz w:val="20"/>
          <w:szCs w:val="20"/>
        </w:rPr>
        <w:t>688</w:t>
      </w:r>
    </w:p>
    <w:p w14:paraId="4785CD60" w14:textId="77777777" w:rsidR="00726BC5" w:rsidRPr="00726BC5" w:rsidRDefault="00726BC5" w:rsidP="00726BC5">
      <w:pPr>
        <w:spacing w:after="0"/>
        <w:rPr>
          <w:rFonts w:ascii="Times New Roman" w:hAnsi="Times New Roman" w:cs="Times New Roman"/>
          <w:sz w:val="20"/>
          <w:szCs w:val="20"/>
        </w:rPr>
      </w:pPr>
      <w:r w:rsidRPr="00726BC5">
        <w:rPr>
          <w:rFonts w:ascii="Times New Roman" w:hAnsi="Times New Roman" w:cs="Times New Roman"/>
          <w:sz w:val="20"/>
          <w:szCs w:val="20"/>
        </w:rPr>
        <w:t>Santa Balaško, 67829651</w:t>
      </w:r>
    </w:p>
    <w:p w14:paraId="4BCD046B" w14:textId="432F43BD" w:rsidR="00236887" w:rsidRPr="005C14E6" w:rsidRDefault="00726BC5" w:rsidP="00457F31">
      <w:pPr>
        <w:spacing w:after="0"/>
        <w:rPr>
          <w:rFonts w:ascii="Times New Roman" w:hAnsi="Times New Roman" w:cs="Times New Roman"/>
          <w:sz w:val="20"/>
          <w:szCs w:val="20"/>
        </w:rPr>
      </w:pPr>
      <w:r w:rsidRPr="00726BC5">
        <w:rPr>
          <w:rFonts w:ascii="Times New Roman" w:hAnsi="Times New Roman" w:cs="Times New Roman"/>
          <w:sz w:val="20"/>
          <w:szCs w:val="20"/>
        </w:rPr>
        <w:t>santa.balasko@iem.gov.lv</w:t>
      </w:r>
    </w:p>
    <w:sectPr w:rsidR="00236887" w:rsidRPr="005C14E6" w:rsidSect="00C9518A">
      <w:headerReference w:type="even" r:id="rId8"/>
      <w:headerReference w:type="default" r:id="rId9"/>
      <w:footerReference w:type="even" r:id="rId10"/>
      <w:footerReference w:type="default" r:id="rId11"/>
      <w:headerReference w:type="first" r:id="rId12"/>
      <w:footerReference w:type="first" r:id="rId13"/>
      <w:pgSz w:w="11906" w:h="16838" w:code="9"/>
      <w:pgMar w:top="1276" w:right="1700" w:bottom="1276"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5F8D3" w14:textId="77777777" w:rsidR="00FD583F" w:rsidRDefault="00FD583F" w:rsidP="004369B2">
      <w:pPr>
        <w:spacing w:after="0" w:line="240" w:lineRule="auto"/>
      </w:pPr>
      <w:r>
        <w:separator/>
      </w:r>
    </w:p>
  </w:endnote>
  <w:endnote w:type="continuationSeparator" w:id="0">
    <w:p w14:paraId="693DFA35" w14:textId="77777777" w:rsidR="00FD583F" w:rsidRDefault="00FD583F"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49C9" w14:textId="54B0D417" w:rsidR="00702AD9" w:rsidRPr="00321F77" w:rsidRDefault="00702AD9" w:rsidP="00171D36">
    <w:pPr>
      <w:spacing w:after="0" w:line="240" w:lineRule="auto"/>
      <w:jc w:val="both"/>
      <w:rPr>
        <w:rFonts w:ascii="Times New Roman" w:hAnsi="Times New Roman" w:cs="Times New Roman"/>
        <w:sz w:val="20"/>
        <w:szCs w:val="24"/>
      </w:rPr>
    </w:pPr>
    <w:r>
      <w:rPr>
        <w:rFonts w:ascii="Times New Roman" w:hAnsi="Times New Roman" w:cs="Times New Roman"/>
        <w:sz w:val="18"/>
        <w:szCs w:val="20"/>
      </w:rPr>
      <w:t xml:space="preserve">IEMAnot_IDFunPMIF.docx; </w:t>
    </w:r>
    <w:r>
      <w:rPr>
        <w:rFonts w:ascii="Times New Roman" w:hAnsi="Times New Roman" w:cs="Times New Roman"/>
        <w:sz w:val="20"/>
        <w:szCs w:val="24"/>
      </w:rPr>
      <w:t>Likumprojekts “Iekšējās drošības fonda un Patvēruma, migrācijas un integrācijas fonda 2014.-2020.gada plānošanas perioda</w:t>
    </w:r>
    <w:r w:rsidRPr="00236887">
      <w:rPr>
        <w:rFonts w:ascii="Times New Roman" w:hAnsi="Times New Roman" w:cs="Times New Roman"/>
        <w:sz w:val="20"/>
        <w:szCs w:val="24"/>
      </w:rPr>
      <w:t xml:space="preserve"> vadības likums”</w:t>
    </w:r>
    <w:r>
      <w:rPr>
        <w:rFonts w:ascii="Times New Roman" w:hAnsi="Times New Roman" w:cs="Times New Roman"/>
        <w:sz w:val="20"/>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11D64905" w:rsidR="00702AD9" w:rsidRPr="00321F77" w:rsidRDefault="00702AD9" w:rsidP="00321F77">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IEMAnot_IDFunPMIF.docx; </w:t>
    </w:r>
    <w:r>
      <w:rPr>
        <w:rFonts w:ascii="Times New Roman" w:hAnsi="Times New Roman" w:cs="Times New Roman"/>
        <w:sz w:val="20"/>
        <w:szCs w:val="24"/>
      </w:rPr>
      <w:t>Likumprojekts “Iekšējās drošības fonda un Patvēruma, migrācijas un integrācijas fonda 2014.-2020.gada plānošanas perioda</w:t>
    </w:r>
    <w:r w:rsidRPr="00236887">
      <w:rPr>
        <w:rFonts w:ascii="Times New Roman" w:hAnsi="Times New Roman" w:cs="Times New Roman"/>
        <w:sz w:val="20"/>
        <w:szCs w:val="24"/>
      </w:rPr>
      <w:t xml:space="preserve"> vadības likums”</w:t>
    </w:r>
    <w:r>
      <w:rPr>
        <w:rFonts w:ascii="Times New Roman" w:hAnsi="Times New Roman" w:cs="Times New Roman"/>
        <w:sz w:val="20"/>
        <w:szCs w:val="24"/>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65AD" w14:textId="59B8D934" w:rsidR="00702AD9" w:rsidRPr="00321F77" w:rsidRDefault="00702AD9" w:rsidP="00955C2F">
    <w:pPr>
      <w:spacing w:after="0" w:line="240" w:lineRule="auto"/>
      <w:jc w:val="both"/>
      <w:rPr>
        <w:rFonts w:ascii="Times New Roman" w:hAnsi="Times New Roman" w:cs="Times New Roman"/>
        <w:sz w:val="20"/>
        <w:szCs w:val="24"/>
      </w:rPr>
    </w:pPr>
    <w:r>
      <w:rPr>
        <w:rFonts w:ascii="Times New Roman" w:hAnsi="Times New Roman" w:cs="Times New Roman"/>
        <w:sz w:val="18"/>
        <w:szCs w:val="20"/>
      </w:rPr>
      <w:t xml:space="preserve">IEMAnot_IDFunPMIF.docx; </w:t>
    </w:r>
    <w:r>
      <w:rPr>
        <w:rFonts w:ascii="Times New Roman" w:hAnsi="Times New Roman" w:cs="Times New Roman"/>
        <w:sz w:val="20"/>
        <w:szCs w:val="24"/>
      </w:rPr>
      <w:t>Likumprojekts “Iekšējās drošības fonda un Patvēruma, migrācijas un integrācijas fonda 2014.-2020.gada plānošanas perioda</w:t>
    </w:r>
    <w:r w:rsidRPr="00236887">
      <w:rPr>
        <w:rFonts w:ascii="Times New Roman" w:hAnsi="Times New Roman" w:cs="Times New Roman"/>
        <w:sz w:val="20"/>
        <w:szCs w:val="24"/>
      </w:rPr>
      <w:t xml:space="preserve"> vadības likums”</w:t>
    </w:r>
    <w:r>
      <w:rPr>
        <w:rFonts w:ascii="Times New Roman" w:hAnsi="Times New Roman" w:cs="Times New Roman"/>
        <w:sz w:val="20"/>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DA61" w14:textId="77777777" w:rsidR="00FD583F" w:rsidRDefault="00FD583F" w:rsidP="004369B2">
      <w:pPr>
        <w:spacing w:after="0" w:line="240" w:lineRule="auto"/>
      </w:pPr>
      <w:r>
        <w:separator/>
      </w:r>
    </w:p>
  </w:footnote>
  <w:footnote w:type="continuationSeparator" w:id="0">
    <w:p w14:paraId="576479B2" w14:textId="77777777" w:rsidR="00FD583F" w:rsidRDefault="00FD583F" w:rsidP="004369B2">
      <w:pPr>
        <w:spacing w:after="0" w:line="240" w:lineRule="auto"/>
      </w:pPr>
      <w:r>
        <w:continuationSeparator/>
      </w:r>
    </w:p>
  </w:footnote>
  <w:footnote w:id="1">
    <w:p w14:paraId="59FCA039" w14:textId="0019BF15" w:rsidR="00702AD9" w:rsidRDefault="00702AD9">
      <w:pPr>
        <w:pStyle w:val="FootnoteText"/>
      </w:pPr>
      <w:r>
        <w:rPr>
          <w:rStyle w:val="FootnoteReference"/>
        </w:rPr>
        <w:footnoteRef/>
      </w:r>
      <w:r>
        <w:t xml:space="preserve"> SIA „SAFEGE Baltija” veiktais </w:t>
      </w:r>
      <w:r w:rsidRPr="00BE0B3D">
        <w:rPr>
          <w:sz w:val="22"/>
          <w:szCs w:val="24"/>
        </w:rPr>
        <w:t>Eiropas Savienības struktūrfondu un Kohēzijas fonda ieviešanas sistēmas efe</w:t>
      </w:r>
      <w:r>
        <w:rPr>
          <w:sz w:val="22"/>
          <w:szCs w:val="24"/>
        </w:rPr>
        <w:t xml:space="preserve">ktivizācijas iespēju izvērtējums, 20.lpp. Pieņemts 25.11.2013.; pieejams šeit: </w:t>
      </w:r>
      <w:hyperlink r:id="rId1" w:history="1">
        <w:r w:rsidRPr="00A96113">
          <w:rPr>
            <w:rStyle w:val="Hyperlink"/>
            <w:sz w:val="22"/>
            <w:szCs w:val="24"/>
          </w:rPr>
          <w:t>http://www.esfondi.lv/page.php?id=1104</w:t>
        </w:r>
      </w:hyperlink>
      <w:r>
        <w:rPr>
          <w:sz w:val="22"/>
          <w:szCs w:val="24"/>
        </w:rPr>
        <w:t xml:space="preserve"> </w:t>
      </w:r>
    </w:p>
  </w:footnote>
  <w:footnote w:id="2">
    <w:p w14:paraId="02DE6870" w14:textId="57F87790" w:rsidR="00702AD9" w:rsidRDefault="00702AD9">
      <w:pPr>
        <w:pStyle w:val="FootnoteText"/>
      </w:pPr>
      <w:r>
        <w:rPr>
          <w:rStyle w:val="FootnoteReference"/>
        </w:rPr>
        <w:footnoteRef/>
      </w:r>
      <w:r>
        <w:t xml:space="preserve"> Creifelds Rechtsw</w:t>
      </w:r>
      <w:r>
        <w:rPr>
          <w:rFonts w:cs="Times New Roman"/>
        </w:rPr>
        <w:t>ö</w:t>
      </w:r>
      <w:r>
        <w:t>rterbuch, 19.Auflage, Verlag C.H.Beck M</w:t>
      </w:r>
      <w:r>
        <w:rPr>
          <w:rFonts w:cs="Times New Roman"/>
        </w:rPr>
        <w:t>ü</w:t>
      </w:r>
      <w:r>
        <w:t>nchen, 2007, S.320, S.1128</w:t>
      </w:r>
    </w:p>
  </w:footnote>
  <w:footnote w:id="3">
    <w:p w14:paraId="2A43A185" w14:textId="720FC64C" w:rsidR="00702AD9" w:rsidRDefault="00702AD9">
      <w:pPr>
        <w:pStyle w:val="FootnoteText"/>
      </w:pPr>
      <w:r>
        <w:rPr>
          <w:rStyle w:val="FootnoteReference"/>
        </w:rPr>
        <w:footnoteRef/>
      </w:r>
      <w:r>
        <w:t xml:space="preserve"> Creifelds Rechtsw</w:t>
      </w:r>
      <w:r>
        <w:rPr>
          <w:rFonts w:cs="Times New Roman"/>
        </w:rPr>
        <w:t>ö</w:t>
      </w:r>
      <w:r>
        <w:t>rterbuch, 19.Auflage, Verlag C.H.Beck M</w:t>
      </w:r>
      <w:r>
        <w:rPr>
          <w:rFonts w:cs="Times New Roman"/>
        </w:rPr>
        <w:t>ü</w:t>
      </w:r>
      <w:r>
        <w:t>nchen, 2007, S.1130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2870242"/>
      <w:docPartObj>
        <w:docPartGallery w:val="Page Numbers (Top of Page)"/>
        <w:docPartUnique/>
      </w:docPartObj>
    </w:sdtPr>
    <w:sdtEndPr>
      <w:rPr>
        <w:noProof/>
        <w:sz w:val="24"/>
      </w:rPr>
    </w:sdtEndPr>
    <w:sdtContent>
      <w:p w14:paraId="33F753CF" w14:textId="4DC67F5E" w:rsidR="00702AD9" w:rsidRPr="00171D36" w:rsidRDefault="00702AD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25DFC">
          <w:rPr>
            <w:rFonts w:ascii="Times New Roman" w:hAnsi="Times New Roman" w:cs="Times New Roman"/>
            <w:noProof/>
            <w:sz w:val="24"/>
          </w:rPr>
          <w:t>18</w:t>
        </w:r>
        <w:r w:rsidRPr="00171D36">
          <w:rPr>
            <w:rFonts w:ascii="Times New Roman" w:hAnsi="Times New Roman" w:cs="Times New Roman"/>
            <w:noProof/>
            <w:sz w:val="24"/>
          </w:rPr>
          <w:fldChar w:fldCharType="end"/>
        </w:r>
      </w:p>
    </w:sdtContent>
  </w:sdt>
  <w:p w14:paraId="5EDF1F2A" w14:textId="77777777" w:rsidR="00702AD9" w:rsidRDefault="00702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99832"/>
      <w:docPartObj>
        <w:docPartGallery w:val="Page Numbers (Top of Page)"/>
        <w:docPartUnique/>
      </w:docPartObj>
    </w:sdtPr>
    <w:sdtEndPr>
      <w:rPr>
        <w:rFonts w:ascii="Times New Roman" w:hAnsi="Times New Roman" w:cs="Times New Roman"/>
        <w:noProof/>
        <w:sz w:val="24"/>
      </w:rPr>
    </w:sdtEndPr>
    <w:sdtContent>
      <w:p w14:paraId="60E6A5E9" w14:textId="0E3D1C66" w:rsidR="00702AD9" w:rsidRPr="00171D36" w:rsidRDefault="00702AD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25DFC">
          <w:rPr>
            <w:rFonts w:ascii="Times New Roman" w:hAnsi="Times New Roman" w:cs="Times New Roman"/>
            <w:noProof/>
            <w:sz w:val="24"/>
          </w:rPr>
          <w:t>19</w:t>
        </w:r>
        <w:r w:rsidRPr="00171D36">
          <w:rPr>
            <w:rFonts w:ascii="Times New Roman" w:hAnsi="Times New Roman" w:cs="Times New Roman"/>
            <w:noProof/>
            <w:sz w:val="24"/>
          </w:rPr>
          <w:fldChar w:fldCharType="end"/>
        </w:r>
      </w:p>
    </w:sdtContent>
  </w:sdt>
  <w:p w14:paraId="0D2BB5B5" w14:textId="77777777" w:rsidR="00702AD9" w:rsidRDefault="00702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702AD9" w:rsidRDefault="00702AD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32A5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
    <w:nsid w:val="04BE2EF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4">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353B3B"/>
    <w:multiLevelType w:val="hybridMultilevel"/>
    <w:tmpl w:val="79427CC0"/>
    <w:lvl w:ilvl="0" w:tplc="8D021106">
      <w:start w:val="1"/>
      <w:numFmt w:val="decimal"/>
      <w:lvlText w:val="%1)"/>
      <w:lvlJc w:val="left"/>
      <w:pPr>
        <w:ind w:left="553" w:hanging="360"/>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abstractNum w:abstractNumId="8">
    <w:nsid w:val="1C621BAB"/>
    <w:multiLevelType w:val="multilevel"/>
    <w:tmpl w:val="DF2884CC"/>
    <w:lvl w:ilvl="0">
      <w:start w:val="1"/>
      <w:numFmt w:val="decimal"/>
      <w:lvlText w:val="%1."/>
      <w:lvlJc w:val="left"/>
      <w:pPr>
        <w:ind w:left="927"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80779C"/>
    <w:multiLevelType w:val="hybridMultilevel"/>
    <w:tmpl w:val="5D3EA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4D44EF"/>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2DF43509"/>
    <w:multiLevelType w:val="hybridMultilevel"/>
    <w:tmpl w:val="61AA559A"/>
    <w:lvl w:ilvl="0" w:tplc="545CAAF8">
      <w:start w:val="1"/>
      <w:numFmt w:val="decimal"/>
      <w:lvlText w:val="%1)"/>
      <w:lvlJc w:val="left"/>
      <w:pPr>
        <w:ind w:left="411" w:hanging="360"/>
      </w:pPr>
      <w:rPr>
        <w:rFonts w:ascii="Times New Roman" w:eastAsiaTheme="minorEastAsia" w:hAnsi="Times New Roman" w:cs="Times New Roman"/>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ADD00E9"/>
    <w:multiLevelType w:val="hybridMultilevel"/>
    <w:tmpl w:val="51BE42D4"/>
    <w:lvl w:ilvl="0" w:tplc="04260001">
      <w:start w:val="1"/>
      <w:numFmt w:val="bullet"/>
      <w:lvlText w:val=""/>
      <w:lvlJc w:val="left"/>
      <w:pPr>
        <w:ind w:left="755" w:hanging="360"/>
      </w:pPr>
      <w:rPr>
        <w:rFonts w:ascii="Symbol" w:hAnsi="Symbol"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2D450B"/>
    <w:multiLevelType w:val="hybridMultilevel"/>
    <w:tmpl w:val="DBE80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563D3A"/>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5">
    <w:nsid w:val="543E24C5"/>
    <w:multiLevelType w:val="hybridMultilevel"/>
    <w:tmpl w:val="8592BB94"/>
    <w:lvl w:ilvl="0" w:tplc="D166E9B0">
      <w:start w:val="1"/>
      <w:numFmt w:val="decimal"/>
      <w:lvlText w:val="%1)"/>
      <w:lvlJc w:val="left"/>
      <w:pPr>
        <w:ind w:left="700" w:hanging="360"/>
      </w:pPr>
      <w:rPr>
        <w:rFonts w:hint="default"/>
        <w:sz w:val="24"/>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26">
    <w:nsid w:val="5C3E1249"/>
    <w:multiLevelType w:val="hybridMultilevel"/>
    <w:tmpl w:val="D0CE24CE"/>
    <w:lvl w:ilvl="0" w:tplc="C2584956">
      <w:start w:val="1"/>
      <w:numFmt w:val="decimal"/>
      <w:lvlText w:val="%1."/>
      <w:lvlJc w:val="left"/>
      <w:pPr>
        <w:ind w:left="106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7">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9">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3">
    <w:nsid w:val="6A081016"/>
    <w:multiLevelType w:val="hybridMultilevel"/>
    <w:tmpl w:val="E1FABBFE"/>
    <w:lvl w:ilvl="0" w:tplc="66D8D5E8">
      <w:start w:val="1"/>
      <w:numFmt w:val="decimal"/>
      <w:lvlText w:val="%1)"/>
      <w:lvlJc w:val="left"/>
      <w:pPr>
        <w:ind w:left="411" w:hanging="360"/>
      </w:pPr>
      <w:rPr>
        <w:rFonts w:hint="default"/>
      </w:rPr>
    </w:lvl>
    <w:lvl w:ilvl="1" w:tplc="04260019" w:tentative="1">
      <w:start w:val="1"/>
      <w:numFmt w:val="lowerLetter"/>
      <w:lvlText w:val="%2."/>
      <w:lvlJc w:val="left"/>
      <w:pPr>
        <w:ind w:left="1131" w:hanging="360"/>
      </w:pPr>
    </w:lvl>
    <w:lvl w:ilvl="2" w:tplc="0426001B" w:tentative="1">
      <w:start w:val="1"/>
      <w:numFmt w:val="lowerRoman"/>
      <w:lvlText w:val="%3."/>
      <w:lvlJc w:val="right"/>
      <w:pPr>
        <w:ind w:left="1851" w:hanging="180"/>
      </w:pPr>
    </w:lvl>
    <w:lvl w:ilvl="3" w:tplc="0426000F" w:tentative="1">
      <w:start w:val="1"/>
      <w:numFmt w:val="decimal"/>
      <w:lvlText w:val="%4."/>
      <w:lvlJc w:val="left"/>
      <w:pPr>
        <w:ind w:left="2571" w:hanging="360"/>
      </w:pPr>
    </w:lvl>
    <w:lvl w:ilvl="4" w:tplc="04260019" w:tentative="1">
      <w:start w:val="1"/>
      <w:numFmt w:val="lowerLetter"/>
      <w:lvlText w:val="%5."/>
      <w:lvlJc w:val="left"/>
      <w:pPr>
        <w:ind w:left="3291" w:hanging="360"/>
      </w:pPr>
    </w:lvl>
    <w:lvl w:ilvl="5" w:tplc="0426001B" w:tentative="1">
      <w:start w:val="1"/>
      <w:numFmt w:val="lowerRoman"/>
      <w:lvlText w:val="%6."/>
      <w:lvlJc w:val="right"/>
      <w:pPr>
        <w:ind w:left="4011" w:hanging="180"/>
      </w:pPr>
    </w:lvl>
    <w:lvl w:ilvl="6" w:tplc="0426000F" w:tentative="1">
      <w:start w:val="1"/>
      <w:numFmt w:val="decimal"/>
      <w:lvlText w:val="%7."/>
      <w:lvlJc w:val="left"/>
      <w:pPr>
        <w:ind w:left="4731" w:hanging="360"/>
      </w:pPr>
    </w:lvl>
    <w:lvl w:ilvl="7" w:tplc="04260019" w:tentative="1">
      <w:start w:val="1"/>
      <w:numFmt w:val="lowerLetter"/>
      <w:lvlText w:val="%8."/>
      <w:lvlJc w:val="left"/>
      <w:pPr>
        <w:ind w:left="5451" w:hanging="360"/>
      </w:pPr>
    </w:lvl>
    <w:lvl w:ilvl="8" w:tplc="0426001B" w:tentative="1">
      <w:start w:val="1"/>
      <w:numFmt w:val="lowerRoman"/>
      <w:lvlText w:val="%9."/>
      <w:lvlJc w:val="right"/>
      <w:pPr>
        <w:ind w:left="6171" w:hanging="180"/>
      </w:pPr>
    </w:lvl>
  </w:abstractNum>
  <w:abstractNum w:abstractNumId="34">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51798"/>
    <w:multiLevelType w:val="hybridMultilevel"/>
    <w:tmpl w:val="BE00A260"/>
    <w:lvl w:ilvl="0" w:tplc="C2860D2E">
      <w:start w:val="1"/>
      <w:numFmt w:val="decimal"/>
      <w:lvlText w:val="%1)"/>
      <w:lvlJc w:val="left"/>
      <w:pPr>
        <w:ind w:left="77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9"/>
  </w:num>
  <w:num w:numId="3">
    <w:abstractNumId w:val="32"/>
  </w:num>
  <w:num w:numId="4">
    <w:abstractNumId w:val="1"/>
  </w:num>
  <w:num w:numId="5">
    <w:abstractNumId w:val="10"/>
  </w:num>
  <w:num w:numId="6">
    <w:abstractNumId w:val="12"/>
  </w:num>
  <w:num w:numId="7">
    <w:abstractNumId w:val="5"/>
  </w:num>
  <w:num w:numId="8">
    <w:abstractNumId w:val="16"/>
  </w:num>
  <w:num w:numId="9">
    <w:abstractNumId w:val="2"/>
  </w:num>
  <w:num w:numId="10">
    <w:abstractNumId w:val="4"/>
  </w:num>
  <w:num w:numId="11">
    <w:abstractNumId w:val="34"/>
  </w:num>
  <w:num w:numId="12">
    <w:abstractNumId w:val="19"/>
  </w:num>
  <w:num w:numId="13">
    <w:abstractNumId w:val="35"/>
  </w:num>
  <w:num w:numId="14">
    <w:abstractNumId w:val="28"/>
  </w:num>
  <w:num w:numId="15">
    <w:abstractNumId w:val="27"/>
  </w:num>
  <w:num w:numId="16">
    <w:abstractNumId w:val="36"/>
  </w:num>
  <w:num w:numId="17">
    <w:abstractNumId w:val="29"/>
  </w:num>
  <w:num w:numId="18">
    <w:abstractNumId w:val="23"/>
  </w:num>
  <w:num w:numId="19">
    <w:abstractNumId w:val="20"/>
  </w:num>
  <w:num w:numId="20">
    <w:abstractNumId w:val="21"/>
  </w:num>
  <w:num w:numId="21">
    <w:abstractNumId w:val="13"/>
  </w:num>
  <w:num w:numId="22">
    <w:abstractNumId w:val="8"/>
  </w:num>
  <w:num w:numId="23">
    <w:abstractNumId w:val="18"/>
  </w:num>
  <w:num w:numId="24">
    <w:abstractNumId w:val="31"/>
  </w:num>
  <w:num w:numId="25">
    <w:abstractNumId w:val="14"/>
  </w:num>
  <w:num w:numId="26">
    <w:abstractNumId w:val="26"/>
  </w:num>
  <w:num w:numId="27">
    <w:abstractNumId w:val="24"/>
  </w:num>
  <w:num w:numId="28">
    <w:abstractNumId w:val="3"/>
  </w:num>
  <w:num w:numId="29">
    <w:abstractNumId w:val="22"/>
  </w:num>
  <w:num w:numId="30">
    <w:abstractNumId w:val="11"/>
  </w:num>
  <w:num w:numId="31">
    <w:abstractNumId w:val="6"/>
  </w:num>
  <w:num w:numId="32">
    <w:abstractNumId w:val="0"/>
  </w:num>
  <w:num w:numId="33">
    <w:abstractNumId w:val="17"/>
  </w:num>
  <w:num w:numId="34">
    <w:abstractNumId w:val="25"/>
  </w:num>
  <w:num w:numId="35">
    <w:abstractNumId w:val="15"/>
  </w:num>
  <w:num w:numId="36">
    <w:abstractNumId w:val="33"/>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452"/>
    <w:rsid w:val="00002AC4"/>
    <w:rsid w:val="00003F2D"/>
    <w:rsid w:val="000044FD"/>
    <w:rsid w:val="000066F2"/>
    <w:rsid w:val="00007445"/>
    <w:rsid w:val="00011A47"/>
    <w:rsid w:val="00012F4F"/>
    <w:rsid w:val="000136A3"/>
    <w:rsid w:val="00013770"/>
    <w:rsid w:val="00013DA3"/>
    <w:rsid w:val="00016D80"/>
    <w:rsid w:val="0002032B"/>
    <w:rsid w:val="0002742F"/>
    <w:rsid w:val="000277B3"/>
    <w:rsid w:val="000344E2"/>
    <w:rsid w:val="00034F6A"/>
    <w:rsid w:val="00035F18"/>
    <w:rsid w:val="00047C66"/>
    <w:rsid w:val="00050722"/>
    <w:rsid w:val="00053C57"/>
    <w:rsid w:val="00056305"/>
    <w:rsid w:val="00060773"/>
    <w:rsid w:val="000612C8"/>
    <w:rsid w:val="000627FE"/>
    <w:rsid w:val="00062FE4"/>
    <w:rsid w:val="00067F85"/>
    <w:rsid w:val="00071243"/>
    <w:rsid w:val="00071906"/>
    <w:rsid w:val="00072A6D"/>
    <w:rsid w:val="00077BC4"/>
    <w:rsid w:val="00085D9E"/>
    <w:rsid w:val="0008723B"/>
    <w:rsid w:val="00087D12"/>
    <w:rsid w:val="00090102"/>
    <w:rsid w:val="00090598"/>
    <w:rsid w:val="000A0B88"/>
    <w:rsid w:val="000A150F"/>
    <w:rsid w:val="000A193A"/>
    <w:rsid w:val="000A3A53"/>
    <w:rsid w:val="000A6B02"/>
    <w:rsid w:val="000A6BCF"/>
    <w:rsid w:val="000A76F1"/>
    <w:rsid w:val="000B1207"/>
    <w:rsid w:val="000B6416"/>
    <w:rsid w:val="000B6F71"/>
    <w:rsid w:val="000C0E98"/>
    <w:rsid w:val="000C3185"/>
    <w:rsid w:val="000C59C8"/>
    <w:rsid w:val="000C5AB4"/>
    <w:rsid w:val="000C674A"/>
    <w:rsid w:val="000C7217"/>
    <w:rsid w:val="000D1A7F"/>
    <w:rsid w:val="000D2783"/>
    <w:rsid w:val="000D4547"/>
    <w:rsid w:val="000F25BF"/>
    <w:rsid w:val="000F56D3"/>
    <w:rsid w:val="000F5B89"/>
    <w:rsid w:val="00101434"/>
    <w:rsid w:val="001028F2"/>
    <w:rsid w:val="00106E13"/>
    <w:rsid w:val="00107BB6"/>
    <w:rsid w:val="001114BA"/>
    <w:rsid w:val="00112CEE"/>
    <w:rsid w:val="00117C3F"/>
    <w:rsid w:val="0012183D"/>
    <w:rsid w:val="00125DFC"/>
    <w:rsid w:val="00125F0B"/>
    <w:rsid w:val="00126271"/>
    <w:rsid w:val="0012659F"/>
    <w:rsid w:val="00127B50"/>
    <w:rsid w:val="00127DB5"/>
    <w:rsid w:val="0013023A"/>
    <w:rsid w:val="00133320"/>
    <w:rsid w:val="001343C0"/>
    <w:rsid w:val="0014325E"/>
    <w:rsid w:val="0014439A"/>
    <w:rsid w:val="0014724B"/>
    <w:rsid w:val="00151EA6"/>
    <w:rsid w:val="00151ECE"/>
    <w:rsid w:val="00154F50"/>
    <w:rsid w:val="00156205"/>
    <w:rsid w:val="0015724C"/>
    <w:rsid w:val="001601E4"/>
    <w:rsid w:val="00160BBE"/>
    <w:rsid w:val="00163A60"/>
    <w:rsid w:val="0016546C"/>
    <w:rsid w:val="00166EA2"/>
    <w:rsid w:val="001719E3"/>
    <w:rsid w:val="00171B20"/>
    <w:rsid w:val="00171D17"/>
    <w:rsid w:val="00171D36"/>
    <w:rsid w:val="001730E1"/>
    <w:rsid w:val="00174AC6"/>
    <w:rsid w:val="00175420"/>
    <w:rsid w:val="00175D97"/>
    <w:rsid w:val="00176CB2"/>
    <w:rsid w:val="00177805"/>
    <w:rsid w:val="0018354B"/>
    <w:rsid w:val="00184133"/>
    <w:rsid w:val="001846D8"/>
    <w:rsid w:val="00184E65"/>
    <w:rsid w:val="00190BFC"/>
    <w:rsid w:val="00194E78"/>
    <w:rsid w:val="001A30FE"/>
    <w:rsid w:val="001A3439"/>
    <w:rsid w:val="001A47A7"/>
    <w:rsid w:val="001A514C"/>
    <w:rsid w:val="001A68E1"/>
    <w:rsid w:val="001A6A7F"/>
    <w:rsid w:val="001A7231"/>
    <w:rsid w:val="001A7D41"/>
    <w:rsid w:val="001B035A"/>
    <w:rsid w:val="001B1210"/>
    <w:rsid w:val="001B2D57"/>
    <w:rsid w:val="001B42C1"/>
    <w:rsid w:val="001B43F7"/>
    <w:rsid w:val="001C144E"/>
    <w:rsid w:val="001C4239"/>
    <w:rsid w:val="001D0E62"/>
    <w:rsid w:val="001D6A1F"/>
    <w:rsid w:val="001E3DE9"/>
    <w:rsid w:val="001E4F58"/>
    <w:rsid w:val="001E544D"/>
    <w:rsid w:val="001E69FC"/>
    <w:rsid w:val="001F004D"/>
    <w:rsid w:val="001F0072"/>
    <w:rsid w:val="001F4356"/>
    <w:rsid w:val="001F484D"/>
    <w:rsid w:val="001F6940"/>
    <w:rsid w:val="0020233E"/>
    <w:rsid w:val="002030E5"/>
    <w:rsid w:val="00203193"/>
    <w:rsid w:val="00205DB2"/>
    <w:rsid w:val="00205F39"/>
    <w:rsid w:val="00206258"/>
    <w:rsid w:val="00207F3B"/>
    <w:rsid w:val="002121D7"/>
    <w:rsid w:val="002130ED"/>
    <w:rsid w:val="00213A02"/>
    <w:rsid w:val="002166BB"/>
    <w:rsid w:val="00222E61"/>
    <w:rsid w:val="00223CCD"/>
    <w:rsid w:val="002301B4"/>
    <w:rsid w:val="0023149A"/>
    <w:rsid w:val="00232B4D"/>
    <w:rsid w:val="00232EA5"/>
    <w:rsid w:val="0023307F"/>
    <w:rsid w:val="00233CDB"/>
    <w:rsid w:val="002342E8"/>
    <w:rsid w:val="00234A68"/>
    <w:rsid w:val="00235345"/>
    <w:rsid w:val="002356E9"/>
    <w:rsid w:val="00236887"/>
    <w:rsid w:val="00240818"/>
    <w:rsid w:val="00243BB7"/>
    <w:rsid w:val="002441D0"/>
    <w:rsid w:val="00247EBD"/>
    <w:rsid w:val="00250602"/>
    <w:rsid w:val="0025175A"/>
    <w:rsid w:val="00261AF2"/>
    <w:rsid w:val="0026678C"/>
    <w:rsid w:val="00272C49"/>
    <w:rsid w:val="002731B1"/>
    <w:rsid w:val="00273314"/>
    <w:rsid w:val="0027384E"/>
    <w:rsid w:val="00274308"/>
    <w:rsid w:val="00276EAD"/>
    <w:rsid w:val="00277B1F"/>
    <w:rsid w:val="00277CE3"/>
    <w:rsid w:val="00280188"/>
    <w:rsid w:val="0028065B"/>
    <w:rsid w:val="00280696"/>
    <w:rsid w:val="00283435"/>
    <w:rsid w:val="00283A81"/>
    <w:rsid w:val="0028467D"/>
    <w:rsid w:val="00284D83"/>
    <w:rsid w:val="00284FE2"/>
    <w:rsid w:val="00285418"/>
    <w:rsid w:val="002870C2"/>
    <w:rsid w:val="002909AD"/>
    <w:rsid w:val="00292140"/>
    <w:rsid w:val="00296224"/>
    <w:rsid w:val="0029664A"/>
    <w:rsid w:val="002A470E"/>
    <w:rsid w:val="002B2580"/>
    <w:rsid w:val="002B3F0F"/>
    <w:rsid w:val="002B525A"/>
    <w:rsid w:val="002B6227"/>
    <w:rsid w:val="002C10EA"/>
    <w:rsid w:val="002C21ED"/>
    <w:rsid w:val="002C3769"/>
    <w:rsid w:val="002C3AF6"/>
    <w:rsid w:val="002C4522"/>
    <w:rsid w:val="002C5BB1"/>
    <w:rsid w:val="002C5D6F"/>
    <w:rsid w:val="002C6A40"/>
    <w:rsid w:val="002D0787"/>
    <w:rsid w:val="002D0A06"/>
    <w:rsid w:val="002D1DBA"/>
    <w:rsid w:val="002D3A9E"/>
    <w:rsid w:val="002D3E6B"/>
    <w:rsid w:val="002D6C9C"/>
    <w:rsid w:val="002E1C28"/>
    <w:rsid w:val="002E1DFC"/>
    <w:rsid w:val="002F0510"/>
    <w:rsid w:val="002F29D1"/>
    <w:rsid w:val="002F5F15"/>
    <w:rsid w:val="002F700B"/>
    <w:rsid w:val="003033B2"/>
    <w:rsid w:val="00303C62"/>
    <w:rsid w:val="00304067"/>
    <w:rsid w:val="00304AE2"/>
    <w:rsid w:val="00305E8A"/>
    <w:rsid w:val="0031152D"/>
    <w:rsid w:val="00311AFF"/>
    <w:rsid w:val="0031737F"/>
    <w:rsid w:val="00320ED9"/>
    <w:rsid w:val="00321F77"/>
    <w:rsid w:val="0032258D"/>
    <w:rsid w:val="00322A46"/>
    <w:rsid w:val="00325324"/>
    <w:rsid w:val="00325B01"/>
    <w:rsid w:val="0032763C"/>
    <w:rsid w:val="00333A9B"/>
    <w:rsid w:val="0033740F"/>
    <w:rsid w:val="00342056"/>
    <w:rsid w:val="00343428"/>
    <w:rsid w:val="00343D54"/>
    <w:rsid w:val="00352DF3"/>
    <w:rsid w:val="00353520"/>
    <w:rsid w:val="0035624D"/>
    <w:rsid w:val="003645D4"/>
    <w:rsid w:val="003654AA"/>
    <w:rsid w:val="003714C5"/>
    <w:rsid w:val="003722FD"/>
    <w:rsid w:val="003744BC"/>
    <w:rsid w:val="00375B76"/>
    <w:rsid w:val="00380812"/>
    <w:rsid w:val="003835DC"/>
    <w:rsid w:val="003855FF"/>
    <w:rsid w:val="00386316"/>
    <w:rsid w:val="00393CFF"/>
    <w:rsid w:val="0039446F"/>
    <w:rsid w:val="00394559"/>
    <w:rsid w:val="003A1256"/>
    <w:rsid w:val="003A1663"/>
    <w:rsid w:val="003A4318"/>
    <w:rsid w:val="003A44CF"/>
    <w:rsid w:val="003A4BFB"/>
    <w:rsid w:val="003B1968"/>
    <w:rsid w:val="003C04B5"/>
    <w:rsid w:val="003C2FE7"/>
    <w:rsid w:val="003C3585"/>
    <w:rsid w:val="003C3971"/>
    <w:rsid w:val="003D38D2"/>
    <w:rsid w:val="003D664D"/>
    <w:rsid w:val="003D7C54"/>
    <w:rsid w:val="003E1193"/>
    <w:rsid w:val="003E2964"/>
    <w:rsid w:val="003E7D9B"/>
    <w:rsid w:val="003F5099"/>
    <w:rsid w:val="003F79A6"/>
    <w:rsid w:val="0040070B"/>
    <w:rsid w:val="00405BC6"/>
    <w:rsid w:val="00411AD2"/>
    <w:rsid w:val="00414BD0"/>
    <w:rsid w:val="004159BF"/>
    <w:rsid w:val="00415F33"/>
    <w:rsid w:val="004229F8"/>
    <w:rsid w:val="004246AB"/>
    <w:rsid w:val="00427F59"/>
    <w:rsid w:val="004317B5"/>
    <w:rsid w:val="0043316C"/>
    <w:rsid w:val="004369B2"/>
    <w:rsid w:val="0044167E"/>
    <w:rsid w:val="00441DC2"/>
    <w:rsid w:val="004431BD"/>
    <w:rsid w:val="00444F92"/>
    <w:rsid w:val="00445C0F"/>
    <w:rsid w:val="0044749C"/>
    <w:rsid w:val="004538B3"/>
    <w:rsid w:val="00453D87"/>
    <w:rsid w:val="004544D2"/>
    <w:rsid w:val="00454F7A"/>
    <w:rsid w:val="00457BBC"/>
    <w:rsid w:val="00457F31"/>
    <w:rsid w:val="0046012D"/>
    <w:rsid w:val="00461243"/>
    <w:rsid w:val="00464A5D"/>
    <w:rsid w:val="00473109"/>
    <w:rsid w:val="00474644"/>
    <w:rsid w:val="00474EEF"/>
    <w:rsid w:val="00475F0C"/>
    <w:rsid w:val="0047700D"/>
    <w:rsid w:val="004822D6"/>
    <w:rsid w:val="004850AE"/>
    <w:rsid w:val="00485D16"/>
    <w:rsid w:val="00486764"/>
    <w:rsid w:val="00486E31"/>
    <w:rsid w:val="00487A04"/>
    <w:rsid w:val="00487D25"/>
    <w:rsid w:val="004900D0"/>
    <w:rsid w:val="0049179A"/>
    <w:rsid w:val="00492774"/>
    <w:rsid w:val="00492B0A"/>
    <w:rsid w:val="0049352B"/>
    <w:rsid w:val="004A0FA2"/>
    <w:rsid w:val="004A30A9"/>
    <w:rsid w:val="004A3B5E"/>
    <w:rsid w:val="004A46D0"/>
    <w:rsid w:val="004A5864"/>
    <w:rsid w:val="004A758F"/>
    <w:rsid w:val="004B056A"/>
    <w:rsid w:val="004B06D2"/>
    <w:rsid w:val="004B247B"/>
    <w:rsid w:val="004B263A"/>
    <w:rsid w:val="004B6B75"/>
    <w:rsid w:val="004C187A"/>
    <w:rsid w:val="004C228E"/>
    <w:rsid w:val="004C3798"/>
    <w:rsid w:val="004C67B2"/>
    <w:rsid w:val="004C7BD2"/>
    <w:rsid w:val="004D0BC1"/>
    <w:rsid w:val="004D394D"/>
    <w:rsid w:val="004D6D5B"/>
    <w:rsid w:val="004F12C2"/>
    <w:rsid w:val="004F1F14"/>
    <w:rsid w:val="004F2C94"/>
    <w:rsid w:val="004F527E"/>
    <w:rsid w:val="004F6353"/>
    <w:rsid w:val="004F6D41"/>
    <w:rsid w:val="00500402"/>
    <w:rsid w:val="00500DED"/>
    <w:rsid w:val="00502937"/>
    <w:rsid w:val="00503049"/>
    <w:rsid w:val="00503907"/>
    <w:rsid w:val="00504770"/>
    <w:rsid w:val="0050499F"/>
    <w:rsid w:val="00510B28"/>
    <w:rsid w:val="00510E7D"/>
    <w:rsid w:val="005119D6"/>
    <w:rsid w:val="00512934"/>
    <w:rsid w:val="00517601"/>
    <w:rsid w:val="00524E56"/>
    <w:rsid w:val="00525379"/>
    <w:rsid w:val="005258CC"/>
    <w:rsid w:val="005259C6"/>
    <w:rsid w:val="00525FFA"/>
    <w:rsid w:val="005307DD"/>
    <w:rsid w:val="0053272A"/>
    <w:rsid w:val="005370DB"/>
    <w:rsid w:val="00541141"/>
    <w:rsid w:val="00541CC6"/>
    <w:rsid w:val="00542124"/>
    <w:rsid w:val="0054344C"/>
    <w:rsid w:val="00543ADE"/>
    <w:rsid w:val="00545FF6"/>
    <w:rsid w:val="00546129"/>
    <w:rsid w:val="00550879"/>
    <w:rsid w:val="005546D3"/>
    <w:rsid w:val="005561E6"/>
    <w:rsid w:val="00560C94"/>
    <w:rsid w:val="0056254F"/>
    <w:rsid w:val="005633BF"/>
    <w:rsid w:val="00566531"/>
    <w:rsid w:val="00567F6F"/>
    <w:rsid w:val="00573C3D"/>
    <w:rsid w:val="005840B6"/>
    <w:rsid w:val="00584507"/>
    <w:rsid w:val="00585200"/>
    <w:rsid w:val="00585B64"/>
    <w:rsid w:val="00585F65"/>
    <w:rsid w:val="005906C4"/>
    <w:rsid w:val="00592AE3"/>
    <w:rsid w:val="00594B61"/>
    <w:rsid w:val="00596840"/>
    <w:rsid w:val="00596F47"/>
    <w:rsid w:val="00597631"/>
    <w:rsid w:val="005A1D14"/>
    <w:rsid w:val="005A5076"/>
    <w:rsid w:val="005A5A37"/>
    <w:rsid w:val="005A5C64"/>
    <w:rsid w:val="005A6697"/>
    <w:rsid w:val="005B22B7"/>
    <w:rsid w:val="005B4A09"/>
    <w:rsid w:val="005C14E6"/>
    <w:rsid w:val="005C2ABD"/>
    <w:rsid w:val="005C2DF1"/>
    <w:rsid w:val="005C61E3"/>
    <w:rsid w:val="005D0645"/>
    <w:rsid w:val="005D3793"/>
    <w:rsid w:val="005D5CB2"/>
    <w:rsid w:val="005E056B"/>
    <w:rsid w:val="005E26F3"/>
    <w:rsid w:val="005E3B60"/>
    <w:rsid w:val="005E5AE3"/>
    <w:rsid w:val="005E6A88"/>
    <w:rsid w:val="005F3251"/>
    <w:rsid w:val="005F73B9"/>
    <w:rsid w:val="005F7566"/>
    <w:rsid w:val="005F7E4E"/>
    <w:rsid w:val="00600C2A"/>
    <w:rsid w:val="00603925"/>
    <w:rsid w:val="00611115"/>
    <w:rsid w:val="006112F6"/>
    <w:rsid w:val="006119A1"/>
    <w:rsid w:val="00615E2B"/>
    <w:rsid w:val="00617970"/>
    <w:rsid w:val="00632431"/>
    <w:rsid w:val="00632CBA"/>
    <w:rsid w:val="00634D96"/>
    <w:rsid w:val="006358E7"/>
    <w:rsid w:val="00637056"/>
    <w:rsid w:val="006422C7"/>
    <w:rsid w:val="00643263"/>
    <w:rsid w:val="00645BC9"/>
    <w:rsid w:val="00647B1B"/>
    <w:rsid w:val="00651B2D"/>
    <w:rsid w:val="006562E0"/>
    <w:rsid w:val="00656FBB"/>
    <w:rsid w:val="00662CA0"/>
    <w:rsid w:val="00663029"/>
    <w:rsid w:val="00663D43"/>
    <w:rsid w:val="00665314"/>
    <w:rsid w:val="00665490"/>
    <w:rsid w:val="006668A0"/>
    <w:rsid w:val="00666C0C"/>
    <w:rsid w:val="006671FC"/>
    <w:rsid w:val="00667E7D"/>
    <w:rsid w:val="0067092B"/>
    <w:rsid w:val="0067202D"/>
    <w:rsid w:val="0067322B"/>
    <w:rsid w:val="0067596F"/>
    <w:rsid w:val="00681548"/>
    <w:rsid w:val="006845B7"/>
    <w:rsid w:val="00686DA3"/>
    <w:rsid w:val="006878C6"/>
    <w:rsid w:val="00690EE1"/>
    <w:rsid w:val="00694926"/>
    <w:rsid w:val="00694976"/>
    <w:rsid w:val="0069678B"/>
    <w:rsid w:val="00696872"/>
    <w:rsid w:val="006A11AC"/>
    <w:rsid w:val="006A293E"/>
    <w:rsid w:val="006A326F"/>
    <w:rsid w:val="006A5FF2"/>
    <w:rsid w:val="006A74EF"/>
    <w:rsid w:val="006A7F89"/>
    <w:rsid w:val="006B142D"/>
    <w:rsid w:val="006B2115"/>
    <w:rsid w:val="006B2DC9"/>
    <w:rsid w:val="006B4287"/>
    <w:rsid w:val="006C0838"/>
    <w:rsid w:val="006C20CF"/>
    <w:rsid w:val="006C4D67"/>
    <w:rsid w:val="006C62AB"/>
    <w:rsid w:val="006C6FEF"/>
    <w:rsid w:val="006C719C"/>
    <w:rsid w:val="006E2085"/>
    <w:rsid w:val="006E412A"/>
    <w:rsid w:val="006E7B52"/>
    <w:rsid w:val="006F02E4"/>
    <w:rsid w:val="00700A10"/>
    <w:rsid w:val="00700E2F"/>
    <w:rsid w:val="00701901"/>
    <w:rsid w:val="00702A11"/>
    <w:rsid w:val="00702AD9"/>
    <w:rsid w:val="007059C6"/>
    <w:rsid w:val="00706313"/>
    <w:rsid w:val="007079D9"/>
    <w:rsid w:val="00713B9C"/>
    <w:rsid w:val="0071422E"/>
    <w:rsid w:val="007153BD"/>
    <w:rsid w:val="00721279"/>
    <w:rsid w:val="007245B9"/>
    <w:rsid w:val="007253C1"/>
    <w:rsid w:val="0072665C"/>
    <w:rsid w:val="00726BC5"/>
    <w:rsid w:val="00727E7C"/>
    <w:rsid w:val="0073158D"/>
    <w:rsid w:val="00731DBF"/>
    <w:rsid w:val="00732104"/>
    <w:rsid w:val="0073592E"/>
    <w:rsid w:val="0073620D"/>
    <w:rsid w:val="007367C4"/>
    <w:rsid w:val="00737522"/>
    <w:rsid w:val="0073799A"/>
    <w:rsid w:val="00742A0A"/>
    <w:rsid w:val="007442EC"/>
    <w:rsid w:val="00746D33"/>
    <w:rsid w:val="007505EB"/>
    <w:rsid w:val="00751978"/>
    <w:rsid w:val="00752631"/>
    <w:rsid w:val="00752A06"/>
    <w:rsid w:val="00753A6D"/>
    <w:rsid w:val="00756A78"/>
    <w:rsid w:val="00757D86"/>
    <w:rsid w:val="00765E16"/>
    <w:rsid w:val="00767188"/>
    <w:rsid w:val="00771A61"/>
    <w:rsid w:val="00773AE5"/>
    <w:rsid w:val="00774AB1"/>
    <w:rsid w:val="00774E67"/>
    <w:rsid w:val="00776E44"/>
    <w:rsid w:val="00780287"/>
    <w:rsid w:val="00780D86"/>
    <w:rsid w:val="00780F05"/>
    <w:rsid w:val="007837A4"/>
    <w:rsid w:val="00783B3F"/>
    <w:rsid w:val="00784413"/>
    <w:rsid w:val="00785D91"/>
    <w:rsid w:val="00786848"/>
    <w:rsid w:val="00787650"/>
    <w:rsid w:val="00793799"/>
    <w:rsid w:val="00794CB8"/>
    <w:rsid w:val="00795BDA"/>
    <w:rsid w:val="00796885"/>
    <w:rsid w:val="00796E59"/>
    <w:rsid w:val="00797147"/>
    <w:rsid w:val="007A001E"/>
    <w:rsid w:val="007A4496"/>
    <w:rsid w:val="007A5414"/>
    <w:rsid w:val="007B0193"/>
    <w:rsid w:val="007B0885"/>
    <w:rsid w:val="007B093B"/>
    <w:rsid w:val="007B2372"/>
    <w:rsid w:val="007B5F20"/>
    <w:rsid w:val="007B7B6C"/>
    <w:rsid w:val="007C2883"/>
    <w:rsid w:val="007C3A54"/>
    <w:rsid w:val="007C4DAA"/>
    <w:rsid w:val="007C6BA7"/>
    <w:rsid w:val="007C7070"/>
    <w:rsid w:val="007D03DA"/>
    <w:rsid w:val="007D1B7E"/>
    <w:rsid w:val="007D48C1"/>
    <w:rsid w:val="007D5708"/>
    <w:rsid w:val="007D72AD"/>
    <w:rsid w:val="007E49AB"/>
    <w:rsid w:val="007E6C75"/>
    <w:rsid w:val="007E7F78"/>
    <w:rsid w:val="007F047A"/>
    <w:rsid w:val="007F1EDB"/>
    <w:rsid w:val="007F201D"/>
    <w:rsid w:val="007F303A"/>
    <w:rsid w:val="007F32B9"/>
    <w:rsid w:val="0080116B"/>
    <w:rsid w:val="008023D7"/>
    <w:rsid w:val="0080262F"/>
    <w:rsid w:val="008053B2"/>
    <w:rsid w:val="008079EB"/>
    <w:rsid w:val="00815772"/>
    <w:rsid w:val="00815A08"/>
    <w:rsid w:val="00816043"/>
    <w:rsid w:val="00824B32"/>
    <w:rsid w:val="008310F4"/>
    <w:rsid w:val="008313C7"/>
    <w:rsid w:val="008331FB"/>
    <w:rsid w:val="00836902"/>
    <w:rsid w:val="00840BAA"/>
    <w:rsid w:val="00843663"/>
    <w:rsid w:val="00843AFD"/>
    <w:rsid w:val="00844B59"/>
    <w:rsid w:val="0084646A"/>
    <w:rsid w:val="0085451E"/>
    <w:rsid w:val="008608FC"/>
    <w:rsid w:val="00862FD3"/>
    <w:rsid w:val="00864BD1"/>
    <w:rsid w:val="008657FB"/>
    <w:rsid w:val="00865C2B"/>
    <w:rsid w:val="00867305"/>
    <w:rsid w:val="00870F43"/>
    <w:rsid w:val="0087130E"/>
    <w:rsid w:val="00874568"/>
    <w:rsid w:val="0087502C"/>
    <w:rsid w:val="008769A0"/>
    <w:rsid w:val="00876B5D"/>
    <w:rsid w:val="008833EC"/>
    <w:rsid w:val="00884FF3"/>
    <w:rsid w:val="00885312"/>
    <w:rsid w:val="00890063"/>
    <w:rsid w:val="00892C67"/>
    <w:rsid w:val="00893C1F"/>
    <w:rsid w:val="008A0BA7"/>
    <w:rsid w:val="008A15DB"/>
    <w:rsid w:val="008A16BD"/>
    <w:rsid w:val="008A2D2B"/>
    <w:rsid w:val="008A388C"/>
    <w:rsid w:val="008A38A0"/>
    <w:rsid w:val="008A5837"/>
    <w:rsid w:val="008A5EA7"/>
    <w:rsid w:val="008A68A8"/>
    <w:rsid w:val="008A7536"/>
    <w:rsid w:val="008B2F04"/>
    <w:rsid w:val="008B35A8"/>
    <w:rsid w:val="008B627E"/>
    <w:rsid w:val="008B7959"/>
    <w:rsid w:val="008C1BAB"/>
    <w:rsid w:val="008C3E80"/>
    <w:rsid w:val="008C434C"/>
    <w:rsid w:val="008C55FA"/>
    <w:rsid w:val="008D2D9E"/>
    <w:rsid w:val="008D64F5"/>
    <w:rsid w:val="008D71A6"/>
    <w:rsid w:val="008E0921"/>
    <w:rsid w:val="008E1FAC"/>
    <w:rsid w:val="008E441B"/>
    <w:rsid w:val="008E650B"/>
    <w:rsid w:val="008E731F"/>
    <w:rsid w:val="008F04F9"/>
    <w:rsid w:val="008F3FB9"/>
    <w:rsid w:val="008F5C8A"/>
    <w:rsid w:val="008F7556"/>
    <w:rsid w:val="00900304"/>
    <w:rsid w:val="00900DB3"/>
    <w:rsid w:val="00901B16"/>
    <w:rsid w:val="0090552E"/>
    <w:rsid w:val="0090638D"/>
    <w:rsid w:val="00906D29"/>
    <w:rsid w:val="00907095"/>
    <w:rsid w:val="00907117"/>
    <w:rsid w:val="00907E8C"/>
    <w:rsid w:val="00907EE4"/>
    <w:rsid w:val="00911011"/>
    <w:rsid w:val="00920261"/>
    <w:rsid w:val="0092098F"/>
    <w:rsid w:val="0092218A"/>
    <w:rsid w:val="0092231D"/>
    <w:rsid w:val="00925130"/>
    <w:rsid w:val="00925166"/>
    <w:rsid w:val="009253C9"/>
    <w:rsid w:val="00927995"/>
    <w:rsid w:val="00930C42"/>
    <w:rsid w:val="009310B9"/>
    <w:rsid w:val="009313B6"/>
    <w:rsid w:val="009332E4"/>
    <w:rsid w:val="00933948"/>
    <w:rsid w:val="00933EBA"/>
    <w:rsid w:val="00934722"/>
    <w:rsid w:val="0093487E"/>
    <w:rsid w:val="00942B9F"/>
    <w:rsid w:val="0094325B"/>
    <w:rsid w:val="00943C10"/>
    <w:rsid w:val="00943F67"/>
    <w:rsid w:val="00946195"/>
    <w:rsid w:val="0094686C"/>
    <w:rsid w:val="009510B3"/>
    <w:rsid w:val="00951191"/>
    <w:rsid w:val="00955714"/>
    <w:rsid w:val="00955C2F"/>
    <w:rsid w:val="00955D91"/>
    <w:rsid w:val="00957476"/>
    <w:rsid w:val="00962FAE"/>
    <w:rsid w:val="009651B5"/>
    <w:rsid w:val="00965B97"/>
    <w:rsid w:val="00966AE4"/>
    <w:rsid w:val="00967EB8"/>
    <w:rsid w:val="00970C2A"/>
    <w:rsid w:val="0097231F"/>
    <w:rsid w:val="0097514C"/>
    <w:rsid w:val="009761A3"/>
    <w:rsid w:val="00981AE9"/>
    <w:rsid w:val="00983615"/>
    <w:rsid w:val="00985966"/>
    <w:rsid w:val="00985D5C"/>
    <w:rsid w:val="00986A2D"/>
    <w:rsid w:val="00987510"/>
    <w:rsid w:val="00991CBE"/>
    <w:rsid w:val="0099587C"/>
    <w:rsid w:val="00995E9B"/>
    <w:rsid w:val="00996B8C"/>
    <w:rsid w:val="00997DEA"/>
    <w:rsid w:val="009A0A1E"/>
    <w:rsid w:val="009A3179"/>
    <w:rsid w:val="009A32FC"/>
    <w:rsid w:val="009A4614"/>
    <w:rsid w:val="009A7681"/>
    <w:rsid w:val="009B00CA"/>
    <w:rsid w:val="009B28F0"/>
    <w:rsid w:val="009B77ED"/>
    <w:rsid w:val="009C0A72"/>
    <w:rsid w:val="009C0A99"/>
    <w:rsid w:val="009C0C5D"/>
    <w:rsid w:val="009C50FB"/>
    <w:rsid w:val="009C7B2D"/>
    <w:rsid w:val="009D01E0"/>
    <w:rsid w:val="009D1E7C"/>
    <w:rsid w:val="009D2D9A"/>
    <w:rsid w:val="009D5F0F"/>
    <w:rsid w:val="009D6789"/>
    <w:rsid w:val="009E0B81"/>
    <w:rsid w:val="009E0E4A"/>
    <w:rsid w:val="009E0F59"/>
    <w:rsid w:val="009E1574"/>
    <w:rsid w:val="009E6596"/>
    <w:rsid w:val="009E6AF8"/>
    <w:rsid w:val="009E7B4D"/>
    <w:rsid w:val="009F0AA4"/>
    <w:rsid w:val="009F21E6"/>
    <w:rsid w:val="009F4532"/>
    <w:rsid w:val="009F6D16"/>
    <w:rsid w:val="009F7855"/>
    <w:rsid w:val="00A016C3"/>
    <w:rsid w:val="00A02881"/>
    <w:rsid w:val="00A02F6C"/>
    <w:rsid w:val="00A045E2"/>
    <w:rsid w:val="00A0636C"/>
    <w:rsid w:val="00A078FF"/>
    <w:rsid w:val="00A127ED"/>
    <w:rsid w:val="00A12AC0"/>
    <w:rsid w:val="00A14481"/>
    <w:rsid w:val="00A156FB"/>
    <w:rsid w:val="00A23B32"/>
    <w:rsid w:val="00A256D4"/>
    <w:rsid w:val="00A259C9"/>
    <w:rsid w:val="00A25AF9"/>
    <w:rsid w:val="00A2666B"/>
    <w:rsid w:val="00A271C7"/>
    <w:rsid w:val="00A2782D"/>
    <w:rsid w:val="00A30A2C"/>
    <w:rsid w:val="00A3389D"/>
    <w:rsid w:val="00A36995"/>
    <w:rsid w:val="00A372ED"/>
    <w:rsid w:val="00A413B2"/>
    <w:rsid w:val="00A45722"/>
    <w:rsid w:val="00A45B2D"/>
    <w:rsid w:val="00A47FDA"/>
    <w:rsid w:val="00A51AE5"/>
    <w:rsid w:val="00A54E12"/>
    <w:rsid w:val="00A55113"/>
    <w:rsid w:val="00A555DE"/>
    <w:rsid w:val="00A6009E"/>
    <w:rsid w:val="00A6239B"/>
    <w:rsid w:val="00A62884"/>
    <w:rsid w:val="00A65F57"/>
    <w:rsid w:val="00A67F42"/>
    <w:rsid w:val="00A70F8B"/>
    <w:rsid w:val="00A737C2"/>
    <w:rsid w:val="00A745EF"/>
    <w:rsid w:val="00A74881"/>
    <w:rsid w:val="00A864E0"/>
    <w:rsid w:val="00A87078"/>
    <w:rsid w:val="00A87ABE"/>
    <w:rsid w:val="00A93996"/>
    <w:rsid w:val="00A94F6C"/>
    <w:rsid w:val="00AA015C"/>
    <w:rsid w:val="00AA1D6E"/>
    <w:rsid w:val="00AA21AA"/>
    <w:rsid w:val="00AA22DE"/>
    <w:rsid w:val="00AB212A"/>
    <w:rsid w:val="00AB4526"/>
    <w:rsid w:val="00AB54A5"/>
    <w:rsid w:val="00AB5683"/>
    <w:rsid w:val="00AB57D0"/>
    <w:rsid w:val="00AC448C"/>
    <w:rsid w:val="00AD1EFA"/>
    <w:rsid w:val="00AD269A"/>
    <w:rsid w:val="00AD473A"/>
    <w:rsid w:val="00AE25A7"/>
    <w:rsid w:val="00AE54F6"/>
    <w:rsid w:val="00AF0385"/>
    <w:rsid w:val="00AF13B5"/>
    <w:rsid w:val="00AF424C"/>
    <w:rsid w:val="00AF57D0"/>
    <w:rsid w:val="00AF5F37"/>
    <w:rsid w:val="00B013C4"/>
    <w:rsid w:val="00B03955"/>
    <w:rsid w:val="00B1000C"/>
    <w:rsid w:val="00B1096C"/>
    <w:rsid w:val="00B10DA2"/>
    <w:rsid w:val="00B1286E"/>
    <w:rsid w:val="00B12EB3"/>
    <w:rsid w:val="00B214F9"/>
    <w:rsid w:val="00B23AC9"/>
    <w:rsid w:val="00B241FD"/>
    <w:rsid w:val="00B243A9"/>
    <w:rsid w:val="00B24BEC"/>
    <w:rsid w:val="00B24E50"/>
    <w:rsid w:val="00B24FE1"/>
    <w:rsid w:val="00B27D17"/>
    <w:rsid w:val="00B32539"/>
    <w:rsid w:val="00B3265D"/>
    <w:rsid w:val="00B334CD"/>
    <w:rsid w:val="00B34110"/>
    <w:rsid w:val="00B412EC"/>
    <w:rsid w:val="00B42665"/>
    <w:rsid w:val="00B4681E"/>
    <w:rsid w:val="00B5588E"/>
    <w:rsid w:val="00B64BD4"/>
    <w:rsid w:val="00B666B2"/>
    <w:rsid w:val="00B67A73"/>
    <w:rsid w:val="00B70707"/>
    <w:rsid w:val="00B72C38"/>
    <w:rsid w:val="00B77789"/>
    <w:rsid w:val="00B824EA"/>
    <w:rsid w:val="00B865B6"/>
    <w:rsid w:val="00B865E0"/>
    <w:rsid w:val="00B96385"/>
    <w:rsid w:val="00B97A36"/>
    <w:rsid w:val="00BA2BA4"/>
    <w:rsid w:val="00BB5B31"/>
    <w:rsid w:val="00BB6D6D"/>
    <w:rsid w:val="00BC58F1"/>
    <w:rsid w:val="00BC7620"/>
    <w:rsid w:val="00BD22C8"/>
    <w:rsid w:val="00BD2436"/>
    <w:rsid w:val="00BD2D05"/>
    <w:rsid w:val="00BD5CDD"/>
    <w:rsid w:val="00BD67FD"/>
    <w:rsid w:val="00BE0B3D"/>
    <w:rsid w:val="00BE1116"/>
    <w:rsid w:val="00BE7C4D"/>
    <w:rsid w:val="00BF6E02"/>
    <w:rsid w:val="00C03E09"/>
    <w:rsid w:val="00C05026"/>
    <w:rsid w:val="00C072C0"/>
    <w:rsid w:val="00C10625"/>
    <w:rsid w:val="00C1149C"/>
    <w:rsid w:val="00C152F7"/>
    <w:rsid w:val="00C15E62"/>
    <w:rsid w:val="00C171CB"/>
    <w:rsid w:val="00C178F2"/>
    <w:rsid w:val="00C2388B"/>
    <w:rsid w:val="00C25F3D"/>
    <w:rsid w:val="00C31B0F"/>
    <w:rsid w:val="00C32E20"/>
    <w:rsid w:val="00C3433D"/>
    <w:rsid w:val="00C34936"/>
    <w:rsid w:val="00C34A63"/>
    <w:rsid w:val="00C357B0"/>
    <w:rsid w:val="00C365F0"/>
    <w:rsid w:val="00C36AD7"/>
    <w:rsid w:val="00C36BF0"/>
    <w:rsid w:val="00C372B2"/>
    <w:rsid w:val="00C40C4E"/>
    <w:rsid w:val="00C41AC2"/>
    <w:rsid w:val="00C47345"/>
    <w:rsid w:val="00C513D0"/>
    <w:rsid w:val="00C5195C"/>
    <w:rsid w:val="00C521A8"/>
    <w:rsid w:val="00C557F9"/>
    <w:rsid w:val="00C569ED"/>
    <w:rsid w:val="00C607A9"/>
    <w:rsid w:val="00C62286"/>
    <w:rsid w:val="00C624CB"/>
    <w:rsid w:val="00C65499"/>
    <w:rsid w:val="00C66814"/>
    <w:rsid w:val="00C670E0"/>
    <w:rsid w:val="00C72DA0"/>
    <w:rsid w:val="00C72DA9"/>
    <w:rsid w:val="00C73226"/>
    <w:rsid w:val="00C7379D"/>
    <w:rsid w:val="00C75619"/>
    <w:rsid w:val="00C76627"/>
    <w:rsid w:val="00C77CC9"/>
    <w:rsid w:val="00C86B50"/>
    <w:rsid w:val="00C873AD"/>
    <w:rsid w:val="00C8749A"/>
    <w:rsid w:val="00C930BD"/>
    <w:rsid w:val="00C947C2"/>
    <w:rsid w:val="00C95025"/>
    <w:rsid w:val="00C9518A"/>
    <w:rsid w:val="00C95529"/>
    <w:rsid w:val="00C95729"/>
    <w:rsid w:val="00C97383"/>
    <w:rsid w:val="00C97EEB"/>
    <w:rsid w:val="00CA0C7F"/>
    <w:rsid w:val="00CA6915"/>
    <w:rsid w:val="00CB1623"/>
    <w:rsid w:val="00CB2E5A"/>
    <w:rsid w:val="00CB67F0"/>
    <w:rsid w:val="00CB6BAC"/>
    <w:rsid w:val="00CB779C"/>
    <w:rsid w:val="00CC059E"/>
    <w:rsid w:val="00CC0CF0"/>
    <w:rsid w:val="00CC525F"/>
    <w:rsid w:val="00CC68FE"/>
    <w:rsid w:val="00CC69FE"/>
    <w:rsid w:val="00CC730E"/>
    <w:rsid w:val="00CC745B"/>
    <w:rsid w:val="00CD1B47"/>
    <w:rsid w:val="00CD234C"/>
    <w:rsid w:val="00CD6F61"/>
    <w:rsid w:val="00CE07DF"/>
    <w:rsid w:val="00CE1498"/>
    <w:rsid w:val="00CE5DBE"/>
    <w:rsid w:val="00CF0360"/>
    <w:rsid w:val="00CF30E2"/>
    <w:rsid w:val="00CF6620"/>
    <w:rsid w:val="00CF6995"/>
    <w:rsid w:val="00CF72D5"/>
    <w:rsid w:val="00D01D49"/>
    <w:rsid w:val="00D05A8C"/>
    <w:rsid w:val="00D05D7B"/>
    <w:rsid w:val="00D06EA2"/>
    <w:rsid w:val="00D10418"/>
    <w:rsid w:val="00D1132B"/>
    <w:rsid w:val="00D1554D"/>
    <w:rsid w:val="00D16136"/>
    <w:rsid w:val="00D20B04"/>
    <w:rsid w:val="00D2104D"/>
    <w:rsid w:val="00D21EF7"/>
    <w:rsid w:val="00D23C4A"/>
    <w:rsid w:val="00D24398"/>
    <w:rsid w:val="00D2552F"/>
    <w:rsid w:val="00D27835"/>
    <w:rsid w:val="00D279E9"/>
    <w:rsid w:val="00D31FDC"/>
    <w:rsid w:val="00D3576F"/>
    <w:rsid w:val="00D36792"/>
    <w:rsid w:val="00D445E3"/>
    <w:rsid w:val="00D4599A"/>
    <w:rsid w:val="00D468CB"/>
    <w:rsid w:val="00D46F0A"/>
    <w:rsid w:val="00D54966"/>
    <w:rsid w:val="00D56B6D"/>
    <w:rsid w:val="00D56E11"/>
    <w:rsid w:val="00D61BBA"/>
    <w:rsid w:val="00D61DD2"/>
    <w:rsid w:val="00D62EEC"/>
    <w:rsid w:val="00D631D8"/>
    <w:rsid w:val="00D63FCC"/>
    <w:rsid w:val="00D64924"/>
    <w:rsid w:val="00D65E07"/>
    <w:rsid w:val="00D71EF1"/>
    <w:rsid w:val="00D725FE"/>
    <w:rsid w:val="00D7420A"/>
    <w:rsid w:val="00D76BCA"/>
    <w:rsid w:val="00D76BFB"/>
    <w:rsid w:val="00D76ED0"/>
    <w:rsid w:val="00D77E12"/>
    <w:rsid w:val="00D83C26"/>
    <w:rsid w:val="00D84835"/>
    <w:rsid w:val="00D86085"/>
    <w:rsid w:val="00D864E4"/>
    <w:rsid w:val="00D870D7"/>
    <w:rsid w:val="00D926F5"/>
    <w:rsid w:val="00D95A41"/>
    <w:rsid w:val="00D96634"/>
    <w:rsid w:val="00D96C48"/>
    <w:rsid w:val="00D96D1B"/>
    <w:rsid w:val="00D97EFC"/>
    <w:rsid w:val="00DA015A"/>
    <w:rsid w:val="00DA4962"/>
    <w:rsid w:val="00DA4A19"/>
    <w:rsid w:val="00DA58B9"/>
    <w:rsid w:val="00DA591F"/>
    <w:rsid w:val="00DA5A1C"/>
    <w:rsid w:val="00DA5E15"/>
    <w:rsid w:val="00DA6C86"/>
    <w:rsid w:val="00DA70A6"/>
    <w:rsid w:val="00DB37E2"/>
    <w:rsid w:val="00DB58DA"/>
    <w:rsid w:val="00DB78BB"/>
    <w:rsid w:val="00DC023D"/>
    <w:rsid w:val="00DC0370"/>
    <w:rsid w:val="00DC1273"/>
    <w:rsid w:val="00DC7DF5"/>
    <w:rsid w:val="00DD1016"/>
    <w:rsid w:val="00DD1C4B"/>
    <w:rsid w:val="00DD47C8"/>
    <w:rsid w:val="00DD49B6"/>
    <w:rsid w:val="00DD5E73"/>
    <w:rsid w:val="00DD6926"/>
    <w:rsid w:val="00DE002F"/>
    <w:rsid w:val="00DE0F86"/>
    <w:rsid w:val="00DE3EE8"/>
    <w:rsid w:val="00DE4554"/>
    <w:rsid w:val="00DE5F35"/>
    <w:rsid w:val="00DE6036"/>
    <w:rsid w:val="00DE6610"/>
    <w:rsid w:val="00DF300E"/>
    <w:rsid w:val="00DF5521"/>
    <w:rsid w:val="00DF6772"/>
    <w:rsid w:val="00E0188A"/>
    <w:rsid w:val="00E0686D"/>
    <w:rsid w:val="00E07969"/>
    <w:rsid w:val="00E1099B"/>
    <w:rsid w:val="00E115ED"/>
    <w:rsid w:val="00E137C0"/>
    <w:rsid w:val="00E141B2"/>
    <w:rsid w:val="00E163C4"/>
    <w:rsid w:val="00E1658B"/>
    <w:rsid w:val="00E17E51"/>
    <w:rsid w:val="00E208B9"/>
    <w:rsid w:val="00E34335"/>
    <w:rsid w:val="00E404DB"/>
    <w:rsid w:val="00E4130D"/>
    <w:rsid w:val="00E42943"/>
    <w:rsid w:val="00E43215"/>
    <w:rsid w:val="00E52099"/>
    <w:rsid w:val="00E52FB5"/>
    <w:rsid w:val="00E541D6"/>
    <w:rsid w:val="00E544F6"/>
    <w:rsid w:val="00E54ACB"/>
    <w:rsid w:val="00E54EF5"/>
    <w:rsid w:val="00E562F0"/>
    <w:rsid w:val="00E569E8"/>
    <w:rsid w:val="00E57FCE"/>
    <w:rsid w:val="00E60E6E"/>
    <w:rsid w:val="00E6551E"/>
    <w:rsid w:val="00E65755"/>
    <w:rsid w:val="00E70959"/>
    <w:rsid w:val="00E71451"/>
    <w:rsid w:val="00E718B7"/>
    <w:rsid w:val="00E71B57"/>
    <w:rsid w:val="00E72CE0"/>
    <w:rsid w:val="00E73815"/>
    <w:rsid w:val="00E73EA2"/>
    <w:rsid w:val="00E74E50"/>
    <w:rsid w:val="00E80A81"/>
    <w:rsid w:val="00E82BD1"/>
    <w:rsid w:val="00E82DCB"/>
    <w:rsid w:val="00E84B9F"/>
    <w:rsid w:val="00E85CAB"/>
    <w:rsid w:val="00E86166"/>
    <w:rsid w:val="00E862B5"/>
    <w:rsid w:val="00E8633C"/>
    <w:rsid w:val="00E8652F"/>
    <w:rsid w:val="00E877B0"/>
    <w:rsid w:val="00E908BC"/>
    <w:rsid w:val="00E92316"/>
    <w:rsid w:val="00E94869"/>
    <w:rsid w:val="00E96220"/>
    <w:rsid w:val="00E96997"/>
    <w:rsid w:val="00EA09C1"/>
    <w:rsid w:val="00EA2C51"/>
    <w:rsid w:val="00EA365B"/>
    <w:rsid w:val="00EA3F67"/>
    <w:rsid w:val="00EA6DDF"/>
    <w:rsid w:val="00EB1C58"/>
    <w:rsid w:val="00EB387F"/>
    <w:rsid w:val="00EB5637"/>
    <w:rsid w:val="00EC100E"/>
    <w:rsid w:val="00EC2DC5"/>
    <w:rsid w:val="00EC5E31"/>
    <w:rsid w:val="00EC6231"/>
    <w:rsid w:val="00ED0CC5"/>
    <w:rsid w:val="00ED11C7"/>
    <w:rsid w:val="00ED29E7"/>
    <w:rsid w:val="00ED36F2"/>
    <w:rsid w:val="00ED4614"/>
    <w:rsid w:val="00ED47C4"/>
    <w:rsid w:val="00ED4FE8"/>
    <w:rsid w:val="00ED7D50"/>
    <w:rsid w:val="00EE1D30"/>
    <w:rsid w:val="00EE24A7"/>
    <w:rsid w:val="00EE2F22"/>
    <w:rsid w:val="00EE34E7"/>
    <w:rsid w:val="00EE5754"/>
    <w:rsid w:val="00EE6D99"/>
    <w:rsid w:val="00EF282C"/>
    <w:rsid w:val="00EF324E"/>
    <w:rsid w:val="00EF65CD"/>
    <w:rsid w:val="00EF7BBB"/>
    <w:rsid w:val="00F01460"/>
    <w:rsid w:val="00F0244D"/>
    <w:rsid w:val="00F0402E"/>
    <w:rsid w:val="00F0451B"/>
    <w:rsid w:val="00F04F71"/>
    <w:rsid w:val="00F0661D"/>
    <w:rsid w:val="00F1174D"/>
    <w:rsid w:val="00F12A40"/>
    <w:rsid w:val="00F13596"/>
    <w:rsid w:val="00F143AE"/>
    <w:rsid w:val="00F16AAA"/>
    <w:rsid w:val="00F16D0A"/>
    <w:rsid w:val="00F17392"/>
    <w:rsid w:val="00F17467"/>
    <w:rsid w:val="00F212DC"/>
    <w:rsid w:val="00F222F5"/>
    <w:rsid w:val="00F2490D"/>
    <w:rsid w:val="00F32489"/>
    <w:rsid w:val="00F3363B"/>
    <w:rsid w:val="00F3367D"/>
    <w:rsid w:val="00F33780"/>
    <w:rsid w:val="00F34CB6"/>
    <w:rsid w:val="00F3572D"/>
    <w:rsid w:val="00F3756E"/>
    <w:rsid w:val="00F40FC7"/>
    <w:rsid w:val="00F437F3"/>
    <w:rsid w:val="00F43C52"/>
    <w:rsid w:val="00F43CFB"/>
    <w:rsid w:val="00F447CF"/>
    <w:rsid w:val="00F46D80"/>
    <w:rsid w:val="00F50AA1"/>
    <w:rsid w:val="00F51FEF"/>
    <w:rsid w:val="00F561D7"/>
    <w:rsid w:val="00F564CD"/>
    <w:rsid w:val="00F5675C"/>
    <w:rsid w:val="00F56EA8"/>
    <w:rsid w:val="00F57E68"/>
    <w:rsid w:val="00F611EC"/>
    <w:rsid w:val="00F61F43"/>
    <w:rsid w:val="00F62F8F"/>
    <w:rsid w:val="00F637F1"/>
    <w:rsid w:val="00F64115"/>
    <w:rsid w:val="00F663F4"/>
    <w:rsid w:val="00F70A14"/>
    <w:rsid w:val="00F719FE"/>
    <w:rsid w:val="00F73424"/>
    <w:rsid w:val="00F744DC"/>
    <w:rsid w:val="00F76B7F"/>
    <w:rsid w:val="00F77225"/>
    <w:rsid w:val="00F7764D"/>
    <w:rsid w:val="00F779B3"/>
    <w:rsid w:val="00F81E8D"/>
    <w:rsid w:val="00F8287F"/>
    <w:rsid w:val="00F84618"/>
    <w:rsid w:val="00F86147"/>
    <w:rsid w:val="00F9141E"/>
    <w:rsid w:val="00F9283B"/>
    <w:rsid w:val="00F92F50"/>
    <w:rsid w:val="00F943FB"/>
    <w:rsid w:val="00F9648C"/>
    <w:rsid w:val="00FA2F18"/>
    <w:rsid w:val="00FA679D"/>
    <w:rsid w:val="00FB159B"/>
    <w:rsid w:val="00FB64B2"/>
    <w:rsid w:val="00FB7381"/>
    <w:rsid w:val="00FB74F4"/>
    <w:rsid w:val="00FC00B4"/>
    <w:rsid w:val="00FC02B0"/>
    <w:rsid w:val="00FC0FAB"/>
    <w:rsid w:val="00FC17B0"/>
    <w:rsid w:val="00FC183C"/>
    <w:rsid w:val="00FC5432"/>
    <w:rsid w:val="00FC6921"/>
    <w:rsid w:val="00FD2B16"/>
    <w:rsid w:val="00FD2F8F"/>
    <w:rsid w:val="00FD37A7"/>
    <w:rsid w:val="00FD583F"/>
    <w:rsid w:val="00FE1195"/>
    <w:rsid w:val="00FE2432"/>
    <w:rsid w:val="00FE3E56"/>
    <w:rsid w:val="00FE478C"/>
    <w:rsid w:val="00FE4F70"/>
    <w:rsid w:val="00FE5A1B"/>
    <w:rsid w:val="00FE5D69"/>
    <w:rsid w:val="00FF2742"/>
    <w:rsid w:val="00FF576C"/>
    <w:rsid w:val="00FF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40CD0304-0C86-4B45-B42A-525D562A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paragraph" w:customStyle="1" w:styleId="naisvisr">
    <w:name w:val="naisvisr"/>
    <w:basedOn w:val="Normal"/>
    <w:rsid w:val="00F51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FEF"/>
    <w:rPr>
      <w:b/>
      <w:bCs/>
    </w:rPr>
  </w:style>
  <w:style w:type="paragraph" w:styleId="ListBullet">
    <w:name w:val="List Bullet"/>
    <w:basedOn w:val="Normal"/>
    <w:rsid w:val="005C14E6"/>
    <w:pPr>
      <w:numPr>
        <w:numId w:val="32"/>
      </w:numPr>
      <w:spacing w:after="0" w:line="240" w:lineRule="auto"/>
      <w:contextualSpacing/>
    </w:pPr>
    <w:rPr>
      <w:rFonts w:ascii="Times New Roman" w:eastAsia="Times New Roman" w:hAnsi="Times New Roman" w:cs="Times New Roman"/>
      <w:sz w:val="24"/>
      <w:szCs w:val="24"/>
    </w:rPr>
  </w:style>
  <w:style w:type="paragraph" w:customStyle="1" w:styleId="labojumupamats">
    <w:name w:val="labojumu_pamats"/>
    <w:basedOn w:val="Normal"/>
    <w:rsid w:val="00B412E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z-BottomofForm">
    <w:name w:val="HTML Bottom of Form"/>
    <w:basedOn w:val="Normal"/>
    <w:next w:val="Normal"/>
    <w:link w:val="z-BottomofFormChar"/>
    <w:hidden/>
    <w:uiPriority w:val="99"/>
    <w:rsid w:val="0060392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603925"/>
    <w:rPr>
      <w:rFonts w:ascii="Arial" w:eastAsia="Times New Roman" w:hAnsi="Arial" w:cs="Times New Roman"/>
      <w:vanish/>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482821234">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24551090">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333487286">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21576374">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page.php?id=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199213-EC80-46F6-A435-5A57D995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28336</Words>
  <Characters>16152</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Likumprojekta „Eiropas Savienības struktūrfondu un Kohēzijas fonda 2014.-2020.gada plānošanas perioda vadības likums” sākotnējās ietekmes novērtējuma ziņojums (anotācija)</vt:lpstr>
    </vt:vector>
  </TitlesOfParts>
  <Company>CFLA</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Savienības struktūrfondu un Kohēzijas fonda 2014.-2020.gada plānošanas perioda vadības likums” sākotnējās ietekmes novērtējuma ziņojums (anotācija)</dc:title>
  <dc:subject>Anotācija</dc:subject>
  <dc:creator>Linda Barbara</dc:creator>
  <dc:description>L.Barbara
Tālr. 67083861</dc:description>
  <cp:lastModifiedBy>Santa Balaško</cp:lastModifiedBy>
  <cp:revision>127</cp:revision>
  <cp:lastPrinted>2015-03-25T08:41:00Z</cp:lastPrinted>
  <dcterms:created xsi:type="dcterms:W3CDTF">2014-12-18T10:44:00Z</dcterms:created>
  <dcterms:modified xsi:type="dcterms:W3CDTF">2015-03-25T08:51:00Z</dcterms:modified>
</cp:coreProperties>
</file>