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7C30A" w14:textId="77777777" w:rsidR="005060D7" w:rsidRPr="007D675F" w:rsidRDefault="005060D7" w:rsidP="00CE7F2B">
      <w:pPr>
        <w:spacing w:after="0" w:line="240" w:lineRule="auto"/>
        <w:rPr>
          <w:rFonts w:ascii="Times New Roman" w:hAnsi="Times New Roman"/>
          <w:b/>
          <w:sz w:val="28"/>
          <w:szCs w:val="28"/>
        </w:rPr>
      </w:pPr>
    </w:p>
    <w:p w14:paraId="1C9234E5" w14:textId="77777777" w:rsidR="005060D7" w:rsidRPr="007D675F" w:rsidRDefault="005060D7" w:rsidP="00CE7F2B">
      <w:pPr>
        <w:spacing w:after="0" w:line="240" w:lineRule="auto"/>
        <w:rPr>
          <w:rFonts w:ascii="Times New Roman" w:hAnsi="Times New Roman"/>
          <w:b/>
          <w:sz w:val="28"/>
          <w:szCs w:val="28"/>
        </w:rPr>
      </w:pPr>
    </w:p>
    <w:p w14:paraId="3003FC00" w14:textId="77777777" w:rsidR="005060D7" w:rsidRPr="007D675F" w:rsidRDefault="005060D7" w:rsidP="00CE7F2B">
      <w:pPr>
        <w:spacing w:after="0" w:line="240" w:lineRule="auto"/>
        <w:rPr>
          <w:rFonts w:ascii="Times New Roman" w:hAnsi="Times New Roman"/>
          <w:b/>
          <w:sz w:val="28"/>
          <w:szCs w:val="28"/>
        </w:rPr>
      </w:pPr>
    </w:p>
    <w:p w14:paraId="23E7586E" w14:textId="77777777" w:rsidR="005060D7" w:rsidRPr="007D675F" w:rsidRDefault="005060D7" w:rsidP="00CE7F2B">
      <w:pPr>
        <w:spacing w:after="0" w:line="240" w:lineRule="auto"/>
        <w:rPr>
          <w:rFonts w:ascii="Times New Roman" w:hAnsi="Times New Roman"/>
          <w:b/>
          <w:sz w:val="28"/>
          <w:szCs w:val="28"/>
        </w:rPr>
      </w:pPr>
    </w:p>
    <w:p w14:paraId="7D3831EC" w14:textId="77777777" w:rsidR="005060D7" w:rsidRPr="007D675F" w:rsidRDefault="005060D7" w:rsidP="00CE7F2B">
      <w:pPr>
        <w:spacing w:after="0" w:line="240" w:lineRule="auto"/>
        <w:rPr>
          <w:rFonts w:ascii="Times New Roman" w:hAnsi="Times New Roman"/>
          <w:b/>
          <w:sz w:val="28"/>
          <w:szCs w:val="28"/>
        </w:rPr>
      </w:pPr>
    </w:p>
    <w:p w14:paraId="6FE03340" w14:textId="77777777" w:rsidR="005060D7" w:rsidRPr="007D675F" w:rsidRDefault="005060D7" w:rsidP="00CE7F2B">
      <w:pPr>
        <w:spacing w:after="0" w:line="240" w:lineRule="auto"/>
        <w:rPr>
          <w:rFonts w:ascii="Times New Roman" w:hAnsi="Times New Roman"/>
          <w:b/>
          <w:sz w:val="28"/>
          <w:szCs w:val="28"/>
        </w:rPr>
      </w:pPr>
    </w:p>
    <w:p w14:paraId="071B1CA8" w14:textId="77777777" w:rsidR="005060D7" w:rsidRPr="007D675F" w:rsidRDefault="005060D7" w:rsidP="00CE7F2B">
      <w:pPr>
        <w:spacing w:after="0" w:line="240" w:lineRule="auto"/>
        <w:rPr>
          <w:rFonts w:ascii="Times New Roman" w:hAnsi="Times New Roman"/>
          <w:b/>
          <w:sz w:val="28"/>
          <w:szCs w:val="28"/>
        </w:rPr>
      </w:pPr>
    </w:p>
    <w:p w14:paraId="36271CFE" w14:textId="77777777" w:rsidR="005060D7" w:rsidRPr="007D675F" w:rsidRDefault="005060D7" w:rsidP="00CE7F2B">
      <w:pPr>
        <w:spacing w:after="0" w:line="240" w:lineRule="auto"/>
        <w:rPr>
          <w:rFonts w:ascii="Times New Roman" w:hAnsi="Times New Roman"/>
          <w:b/>
          <w:sz w:val="28"/>
          <w:szCs w:val="28"/>
        </w:rPr>
      </w:pPr>
    </w:p>
    <w:p w14:paraId="15900C73" w14:textId="77777777" w:rsidR="005060D7" w:rsidRPr="007D675F" w:rsidRDefault="005060D7" w:rsidP="00CE7F2B">
      <w:pPr>
        <w:spacing w:after="0" w:line="240" w:lineRule="auto"/>
        <w:rPr>
          <w:rFonts w:ascii="Times New Roman" w:hAnsi="Times New Roman"/>
          <w:b/>
          <w:sz w:val="28"/>
          <w:szCs w:val="28"/>
        </w:rPr>
      </w:pPr>
    </w:p>
    <w:p w14:paraId="523A58E4" w14:textId="77777777" w:rsidR="005060D7" w:rsidRPr="007D675F" w:rsidRDefault="005060D7" w:rsidP="00CE7F2B">
      <w:pPr>
        <w:spacing w:after="0" w:line="240" w:lineRule="auto"/>
        <w:rPr>
          <w:rFonts w:ascii="Times New Roman" w:hAnsi="Times New Roman"/>
          <w:b/>
          <w:sz w:val="28"/>
          <w:szCs w:val="28"/>
        </w:rPr>
      </w:pPr>
    </w:p>
    <w:p w14:paraId="2370F6C0" w14:textId="77777777" w:rsidR="005060D7" w:rsidRPr="007D675F" w:rsidRDefault="005060D7" w:rsidP="00CE7F2B">
      <w:pPr>
        <w:spacing w:after="0" w:line="240" w:lineRule="auto"/>
        <w:rPr>
          <w:rFonts w:ascii="Times New Roman" w:hAnsi="Times New Roman"/>
          <w:b/>
          <w:sz w:val="28"/>
          <w:szCs w:val="28"/>
        </w:rPr>
      </w:pPr>
    </w:p>
    <w:p w14:paraId="3FB6E803" w14:textId="77777777" w:rsidR="005060D7" w:rsidRPr="007D675F" w:rsidRDefault="005060D7" w:rsidP="00CE7F2B">
      <w:pPr>
        <w:spacing w:after="0" w:line="240" w:lineRule="auto"/>
        <w:rPr>
          <w:rFonts w:ascii="Times New Roman" w:hAnsi="Times New Roman"/>
          <w:b/>
          <w:sz w:val="28"/>
          <w:szCs w:val="28"/>
        </w:rPr>
      </w:pPr>
    </w:p>
    <w:p w14:paraId="66EF80C5" w14:textId="77777777" w:rsidR="005060D7" w:rsidRPr="007D675F" w:rsidRDefault="005060D7" w:rsidP="00CE7F2B">
      <w:pPr>
        <w:spacing w:after="0" w:line="240" w:lineRule="auto"/>
        <w:rPr>
          <w:rFonts w:ascii="Times New Roman" w:hAnsi="Times New Roman"/>
          <w:b/>
          <w:sz w:val="28"/>
          <w:szCs w:val="28"/>
        </w:rPr>
      </w:pPr>
    </w:p>
    <w:p w14:paraId="0D2C02ED" w14:textId="77777777" w:rsidR="005060D7" w:rsidRPr="007D675F" w:rsidRDefault="005060D7" w:rsidP="00CE7F2B">
      <w:pPr>
        <w:spacing w:after="0" w:line="240" w:lineRule="auto"/>
        <w:rPr>
          <w:rFonts w:ascii="Times New Roman" w:hAnsi="Times New Roman"/>
          <w:b/>
          <w:sz w:val="28"/>
          <w:szCs w:val="28"/>
        </w:rPr>
      </w:pPr>
    </w:p>
    <w:p w14:paraId="6C78ED26" w14:textId="77777777" w:rsidR="005060D7" w:rsidRPr="007D675F" w:rsidRDefault="005060D7" w:rsidP="00CE7F2B">
      <w:pPr>
        <w:spacing w:after="0" w:line="240" w:lineRule="auto"/>
        <w:rPr>
          <w:rFonts w:ascii="Times New Roman" w:hAnsi="Times New Roman"/>
          <w:b/>
          <w:sz w:val="28"/>
          <w:szCs w:val="28"/>
        </w:rPr>
      </w:pPr>
    </w:p>
    <w:p w14:paraId="762ECDB4" w14:textId="12E6D823" w:rsidR="005060D7" w:rsidRPr="007D675F" w:rsidRDefault="005060D7" w:rsidP="00CE7F2B">
      <w:pPr>
        <w:spacing w:after="0" w:line="240" w:lineRule="auto"/>
        <w:jc w:val="center"/>
        <w:rPr>
          <w:rFonts w:ascii="Times New Roman" w:hAnsi="Times New Roman"/>
          <w:b/>
          <w:sz w:val="28"/>
          <w:szCs w:val="28"/>
        </w:rPr>
      </w:pPr>
      <w:r w:rsidRPr="007D675F">
        <w:rPr>
          <w:rFonts w:ascii="Times New Roman" w:hAnsi="Times New Roman"/>
          <w:b/>
          <w:sz w:val="28"/>
          <w:szCs w:val="28"/>
        </w:rPr>
        <w:t>Informatīvais ziņojums „Par izmēģinājumprojekta „Profesionālās tālākizglītības programmu īstenošana bezdarbniekiem valsts vai pašvaldību dibinātās izglītības iestādēs” īstenošan</w:t>
      </w:r>
      <w:r w:rsidR="00A065F7" w:rsidRPr="007D675F">
        <w:rPr>
          <w:rFonts w:ascii="Times New Roman" w:hAnsi="Times New Roman"/>
          <w:b/>
          <w:sz w:val="28"/>
          <w:szCs w:val="28"/>
        </w:rPr>
        <w:t>u</w:t>
      </w:r>
      <w:r w:rsidR="00A622FF" w:rsidRPr="007D675F">
        <w:rPr>
          <w:rFonts w:ascii="Times New Roman" w:hAnsi="Times New Roman"/>
          <w:b/>
          <w:sz w:val="28"/>
          <w:szCs w:val="28"/>
        </w:rPr>
        <w:t>”</w:t>
      </w:r>
    </w:p>
    <w:p w14:paraId="7C9658D0" w14:textId="77777777" w:rsidR="005060D7" w:rsidRPr="007D675F" w:rsidRDefault="005060D7" w:rsidP="00CE7F2B">
      <w:pPr>
        <w:spacing w:after="0" w:line="240" w:lineRule="auto"/>
        <w:jc w:val="center"/>
        <w:rPr>
          <w:rFonts w:ascii="Times New Roman" w:hAnsi="Times New Roman"/>
          <w:b/>
          <w:sz w:val="28"/>
          <w:szCs w:val="28"/>
        </w:rPr>
      </w:pPr>
    </w:p>
    <w:p w14:paraId="2EDA2F74" w14:textId="77777777" w:rsidR="005060D7" w:rsidRPr="007D675F" w:rsidRDefault="005060D7" w:rsidP="00CE7F2B">
      <w:pPr>
        <w:spacing w:after="0" w:line="240" w:lineRule="auto"/>
        <w:jc w:val="center"/>
        <w:rPr>
          <w:rFonts w:ascii="Times New Roman" w:hAnsi="Times New Roman"/>
          <w:sz w:val="28"/>
          <w:szCs w:val="28"/>
        </w:rPr>
      </w:pPr>
    </w:p>
    <w:p w14:paraId="035B53C7" w14:textId="77777777" w:rsidR="005060D7" w:rsidRPr="007D675F" w:rsidRDefault="005060D7" w:rsidP="00CE7F2B">
      <w:pPr>
        <w:spacing w:after="0" w:line="240" w:lineRule="auto"/>
        <w:jc w:val="right"/>
        <w:rPr>
          <w:rFonts w:ascii="Times New Roman" w:hAnsi="Times New Roman"/>
          <w:sz w:val="28"/>
          <w:szCs w:val="28"/>
        </w:rPr>
      </w:pPr>
    </w:p>
    <w:p w14:paraId="61A9BC94" w14:textId="77777777" w:rsidR="005060D7" w:rsidRPr="007D675F" w:rsidRDefault="005060D7" w:rsidP="00CE7F2B">
      <w:pPr>
        <w:spacing w:after="0" w:line="240" w:lineRule="auto"/>
        <w:jc w:val="right"/>
        <w:rPr>
          <w:rFonts w:ascii="Times New Roman" w:hAnsi="Times New Roman"/>
          <w:sz w:val="28"/>
          <w:szCs w:val="28"/>
        </w:rPr>
      </w:pPr>
    </w:p>
    <w:p w14:paraId="47B457F3" w14:textId="77777777" w:rsidR="005060D7" w:rsidRPr="007D675F" w:rsidRDefault="005060D7" w:rsidP="00CE7F2B">
      <w:pPr>
        <w:spacing w:after="0" w:line="240" w:lineRule="auto"/>
        <w:jc w:val="right"/>
        <w:rPr>
          <w:rFonts w:ascii="Times New Roman" w:hAnsi="Times New Roman"/>
          <w:sz w:val="28"/>
          <w:szCs w:val="28"/>
        </w:rPr>
      </w:pPr>
    </w:p>
    <w:p w14:paraId="6C9EEB7A" w14:textId="77777777" w:rsidR="005060D7" w:rsidRPr="007D675F" w:rsidRDefault="005060D7" w:rsidP="00CE7F2B">
      <w:pPr>
        <w:spacing w:after="0" w:line="240" w:lineRule="auto"/>
        <w:jc w:val="right"/>
        <w:rPr>
          <w:rFonts w:ascii="Times New Roman" w:hAnsi="Times New Roman"/>
          <w:sz w:val="28"/>
          <w:szCs w:val="28"/>
        </w:rPr>
      </w:pPr>
    </w:p>
    <w:p w14:paraId="27BC9E3C" w14:textId="77777777" w:rsidR="005060D7" w:rsidRPr="007D675F" w:rsidRDefault="005060D7" w:rsidP="00CE7F2B">
      <w:pPr>
        <w:spacing w:after="0" w:line="240" w:lineRule="auto"/>
        <w:jc w:val="right"/>
        <w:rPr>
          <w:rFonts w:ascii="Times New Roman" w:hAnsi="Times New Roman"/>
          <w:sz w:val="28"/>
          <w:szCs w:val="28"/>
        </w:rPr>
      </w:pPr>
    </w:p>
    <w:p w14:paraId="0A0F2177" w14:textId="77777777" w:rsidR="005060D7" w:rsidRPr="007D675F" w:rsidRDefault="005060D7" w:rsidP="00CE7F2B">
      <w:pPr>
        <w:spacing w:after="0" w:line="240" w:lineRule="auto"/>
        <w:jc w:val="right"/>
        <w:rPr>
          <w:rFonts w:ascii="Times New Roman" w:hAnsi="Times New Roman"/>
          <w:sz w:val="28"/>
          <w:szCs w:val="28"/>
        </w:rPr>
      </w:pPr>
    </w:p>
    <w:p w14:paraId="01839884" w14:textId="77777777" w:rsidR="005060D7" w:rsidRPr="007D675F" w:rsidRDefault="005060D7" w:rsidP="00CE7F2B">
      <w:pPr>
        <w:spacing w:after="0" w:line="240" w:lineRule="auto"/>
        <w:jc w:val="right"/>
        <w:rPr>
          <w:rFonts w:ascii="Times New Roman" w:hAnsi="Times New Roman"/>
          <w:sz w:val="28"/>
          <w:szCs w:val="28"/>
        </w:rPr>
      </w:pPr>
    </w:p>
    <w:p w14:paraId="307EC1F7" w14:textId="77777777" w:rsidR="005060D7" w:rsidRPr="007D675F" w:rsidRDefault="005060D7" w:rsidP="00CE7F2B">
      <w:pPr>
        <w:spacing w:after="0" w:line="240" w:lineRule="auto"/>
        <w:jc w:val="right"/>
        <w:rPr>
          <w:rFonts w:ascii="Times New Roman" w:hAnsi="Times New Roman"/>
          <w:sz w:val="28"/>
          <w:szCs w:val="28"/>
        </w:rPr>
      </w:pPr>
    </w:p>
    <w:p w14:paraId="09E3FB8C" w14:textId="77777777" w:rsidR="005060D7" w:rsidRPr="007D675F" w:rsidRDefault="005060D7" w:rsidP="00CE7F2B">
      <w:pPr>
        <w:spacing w:after="0" w:line="240" w:lineRule="auto"/>
        <w:jc w:val="right"/>
        <w:rPr>
          <w:rFonts w:ascii="Times New Roman" w:hAnsi="Times New Roman"/>
          <w:sz w:val="28"/>
          <w:szCs w:val="28"/>
        </w:rPr>
      </w:pPr>
    </w:p>
    <w:p w14:paraId="0A35EE89" w14:textId="77777777" w:rsidR="005060D7" w:rsidRPr="007D675F" w:rsidRDefault="005060D7" w:rsidP="00CE7F2B">
      <w:pPr>
        <w:spacing w:after="0" w:line="240" w:lineRule="auto"/>
        <w:jc w:val="center"/>
        <w:rPr>
          <w:rFonts w:ascii="Times New Roman" w:hAnsi="Times New Roman"/>
          <w:sz w:val="28"/>
          <w:szCs w:val="28"/>
        </w:rPr>
      </w:pPr>
    </w:p>
    <w:p w14:paraId="520CB03C" w14:textId="77777777" w:rsidR="005060D7" w:rsidRPr="007D675F" w:rsidRDefault="005060D7" w:rsidP="00CE7F2B">
      <w:pPr>
        <w:spacing w:after="0" w:line="240" w:lineRule="auto"/>
        <w:jc w:val="center"/>
        <w:rPr>
          <w:rFonts w:ascii="Times New Roman" w:hAnsi="Times New Roman"/>
          <w:sz w:val="28"/>
          <w:szCs w:val="28"/>
        </w:rPr>
      </w:pPr>
    </w:p>
    <w:p w14:paraId="4BD1C14E" w14:textId="77777777" w:rsidR="005060D7" w:rsidRPr="007D675F" w:rsidRDefault="005060D7" w:rsidP="00CE7F2B">
      <w:pPr>
        <w:spacing w:after="0" w:line="240" w:lineRule="auto"/>
        <w:jc w:val="center"/>
        <w:rPr>
          <w:rFonts w:ascii="Times New Roman" w:hAnsi="Times New Roman"/>
          <w:sz w:val="28"/>
          <w:szCs w:val="28"/>
        </w:rPr>
      </w:pPr>
    </w:p>
    <w:p w14:paraId="48F1A4DA" w14:textId="77777777" w:rsidR="005060D7" w:rsidRPr="007D675F" w:rsidRDefault="005060D7" w:rsidP="00CE7F2B">
      <w:pPr>
        <w:spacing w:after="0" w:line="240" w:lineRule="auto"/>
        <w:jc w:val="center"/>
        <w:rPr>
          <w:rFonts w:ascii="Times New Roman" w:hAnsi="Times New Roman"/>
          <w:sz w:val="28"/>
          <w:szCs w:val="28"/>
        </w:rPr>
      </w:pPr>
    </w:p>
    <w:p w14:paraId="794E1F07" w14:textId="77777777" w:rsidR="005060D7" w:rsidRPr="007D675F" w:rsidRDefault="005060D7" w:rsidP="00CE7F2B">
      <w:pPr>
        <w:spacing w:after="0" w:line="240" w:lineRule="auto"/>
        <w:jc w:val="center"/>
        <w:rPr>
          <w:rFonts w:ascii="Times New Roman" w:hAnsi="Times New Roman"/>
          <w:sz w:val="28"/>
          <w:szCs w:val="28"/>
        </w:rPr>
      </w:pPr>
    </w:p>
    <w:p w14:paraId="45093598" w14:textId="77777777" w:rsidR="005060D7" w:rsidRPr="007D675F" w:rsidRDefault="005060D7" w:rsidP="00CE7F2B">
      <w:pPr>
        <w:spacing w:after="0" w:line="240" w:lineRule="auto"/>
        <w:jc w:val="center"/>
        <w:rPr>
          <w:rFonts w:ascii="Times New Roman" w:hAnsi="Times New Roman"/>
          <w:sz w:val="28"/>
          <w:szCs w:val="28"/>
        </w:rPr>
      </w:pPr>
    </w:p>
    <w:p w14:paraId="0D59F159" w14:textId="77777777" w:rsidR="005060D7" w:rsidRPr="007D675F" w:rsidRDefault="005060D7" w:rsidP="00CE7F2B">
      <w:pPr>
        <w:spacing w:after="0" w:line="240" w:lineRule="auto"/>
        <w:jc w:val="center"/>
        <w:rPr>
          <w:rFonts w:ascii="Times New Roman" w:hAnsi="Times New Roman"/>
          <w:sz w:val="28"/>
          <w:szCs w:val="28"/>
        </w:rPr>
      </w:pPr>
    </w:p>
    <w:p w14:paraId="4E8C90BD" w14:textId="77777777" w:rsidR="005060D7" w:rsidRPr="007D675F" w:rsidRDefault="005060D7" w:rsidP="00CE7F2B">
      <w:pPr>
        <w:spacing w:after="0" w:line="240" w:lineRule="auto"/>
        <w:jc w:val="center"/>
        <w:rPr>
          <w:rFonts w:ascii="Times New Roman" w:hAnsi="Times New Roman"/>
          <w:sz w:val="28"/>
          <w:szCs w:val="28"/>
        </w:rPr>
      </w:pPr>
    </w:p>
    <w:p w14:paraId="01997F5A" w14:textId="77777777" w:rsidR="005060D7" w:rsidRPr="007D675F" w:rsidRDefault="005060D7" w:rsidP="00CE7F2B">
      <w:pPr>
        <w:spacing w:after="0" w:line="240" w:lineRule="auto"/>
        <w:jc w:val="center"/>
        <w:rPr>
          <w:rFonts w:ascii="Times New Roman" w:hAnsi="Times New Roman"/>
          <w:sz w:val="28"/>
          <w:szCs w:val="28"/>
        </w:rPr>
      </w:pPr>
    </w:p>
    <w:p w14:paraId="78B74741" w14:textId="77777777" w:rsidR="005060D7" w:rsidRPr="007D675F" w:rsidRDefault="00C766C2" w:rsidP="00CE7F2B">
      <w:pPr>
        <w:spacing w:after="0" w:line="240" w:lineRule="auto"/>
        <w:jc w:val="center"/>
        <w:rPr>
          <w:rFonts w:ascii="Times New Roman" w:hAnsi="Times New Roman"/>
          <w:sz w:val="28"/>
          <w:szCs w:val="28"/>
        </w:rPr>
      </w:pPr>
      <w:r w:rsidRPr="007D675F">
        <w:rPr>
          <w:rFonts w:ascii="Times New Roman" w:hAnsi="Times New Roman"/>
          <w:sz w:val="28"/>
          <w:szCs w:val="28"/>
        </w:rPr>
        <w:t>Rīga, 2015</w:t>
      </w:r>
    </w:p>
    <w:p w14:paraId="2A358539" w14:textId="77777777" w:rsidR="005060D7" w:rsidRPr="007D675F" w:rsidRDefault="005060D7" w:rsidP="00CE7F2B">
      <w:pPr>
        <w:spacing w:after="0" w:line="240" w:lineRule="auto"/>
        <w:jc w:val="center"/>
        <w:rPr>
          <w:rFonts w:ascii="Times New Roman" w:hAnsi="Times New Roman"/>
          <w:b/>
          <w:sz w:val="28"/>
          <w:szCs w:val="28"/>
        </w:rPr>
      </w:pPr>
      <w:r w:rsidRPr="007D675F">
        <w:rPr>
          <w:rFonts w:ascii="Times New Roman" w:hAnsi="Times New Roman"/>
          <w:sz w:val="28"/>
          <w:szCs w:val="28"/>
        </w:rPr>
        <w:br w:type="page"/>
      </w:r>
      <w:r w:rsidRPr="007D675F">
        <w:rPr>
          <w:rFonts w:ascii="Times New Roman" w:hAnsi="Times New Roman"/>
          <w:b/>
          <w:sz w:val="28"/>
          <w:szCs w:val="28"/>
        </w:rPr>
        <w:lastRenderedPageBreak/>
        <w:t>Saturs</w:t>
      </w:r>
    </w:p>
    <w:p w14:paraId="62449D6B" w14:textId="77777777" w:rsidR="005060D7" w:rsidRPr="007D675F" w:rsidRDefault="005060D7" w:rsidP="00CE7F2B">
      <w:pPr>
        <w:spacing w:after="0" w:line="240" w:lineRule="auto"/>
        <w:jc w:val="center"/>
        <w:rPr>
          <w:rFonts w:ascii="Times New Roman" w:hAnsi="Times New Roman"/>
          <w:sz w:val="28"/>
          <w:szCs w:val="28"/>
        </w:rPr>
      </w:pPr>
    </w:p>
    <w:p w14:paraId="702C1DFA" w14:textId="77777777" w:rsidR="00600AD4" w:rsidRPr="007D675F" w:rsidRDefault="00600AD4" w:rsidP="00CE7F2B">
      <w:pPr>
        <w:spacing w:after="0" w:line="240" w:lineRule="auto"/>
        <w:jc w:val="center"/>
        <w:rPr>
          <w:rFonts w:ascii="Times New Roman" w:hAnsi="Times New Roman"/>
          <w:sz w:val="28"/>
          <w:szCs w:val="28"/>
        </w:rPr>
      </w:pPr>
    </w:p>
    <w:p w14:paraId="71B9E132" w14:textId="77777777" w:rsidR="00600AD4" w:rsidRPr="007D675F" w:rsidRDefault="005060D7" w:rsidP="00CE7F2B">
      <w:pPr>
        <w:pStyle w:val="TOC1"/>
        <w:tabs>
          <w:tab w:val="right" w:leader="dot" w:pos="8777"/>
        </w:tabs>
        <w:rPr>
          <w:rFonts w:ascii="Times New Roman" w:eastAsiaTheme="minorEastAsia" w:hAnsi="Times New Roman"/>
          <w:noProof/>
          <w:sz w:val="28"/>
          <w:szCs w:val="28"/>
          <w:lang w:eastAsia="lv-LV"/>
        </w:rPr>
      </w:pPr>
      <w:r w:rsidRPr="007D675F">
        <w:rPr>
          <w:rFonts w:ascii="Times New Roman" w:hAnsi="Times New Roman"/>
          <w:sz w:val="28"/>
          <w:szCs w:val="28"/>
        </w:rPr>
        <w:fldChar w:fldCharType="begin"/>
      </w:r>
      <w:r w:rsidRPr="007D675F">
        <w:rPr>
          <w:rFonts w:ascii="Times New Roman" w:hAnsi="Times New Roman"/>
          <w:sz w:val="28"/>
          <w:szCs w:val="28"/>
        </w:rPr>
        <w:instrText xml:space="preserve"> TOC \o "1-3" \h \z \u </w:instrText>
      </w:r>
      <w:r w:rsidRPr="007D675F">
        <w:rPr>
          <w:rFonts w:ascii="Times New Roman" w:hAnsi="Times New Roman"/>
          <w:sz w:val="28"/>
          <w:szCs w:val="28"/>
        </w:rPr>
        <w:fldChar w:fldCharType="separate"/>
      </w:r>
      <w:hyperlink w:anchor="_Toc411246698" w:history="1">
        <w:r w:rsidR="00600AD4" w:rsidRPr="007D675F">
          <w:rPr>
            <w:rStyle w:val="Hyperlink"/>
            <w:rFonts w:ascii="Times New Roman" w:hAnsi="Times New Roman"/>
            <w:noProof/>
            <w:color w:val="auto"/>
            <w:sz w:val="28"/>
            <w:szCs w:val="28"/>
          </w:rPr>
          <w:t>1. Informatīvā ziņojuma izstrādes pamatojums</w:t>
        </w:r>
        <w:r w:rsidR="00600AD4" w:rsidRPr="007D675F">
          <w:rPr>
            <w:rFonts w:ascii="Times New Roman" w:hAnsi="Times New Roman"/>
            <w:noProof/>
            <w:webHidden/>
            <w:sz w:val="28"/>
            <w:szCs w:val="28"/>
          </w:rPr>
          <w:tab/>
        </w:r>
        <w:r w:rsidR="00600AD4" w:rsidRPr="007D675F">
          <w:rPr>
            <w:rFonts w:ascii="Times New Roman" w:hAnsi="Times New Roman"/>
            <w:noProof/>
            <w:webHidden/>
            <w:sz w:val="28"/>
            <w:szCs w:val="28"/>
          </w:rPr>
          <w:fldChar w:fldCharType="begin"/>
        </w:r>
        <w:r w:rsidR="00600AD4" w:rsidRPr="007D675F">
          <w:rPr>
            <w:rFonts w:ascii="Times New Roman" w:hAnsi="Times New Roman"/>
            <w:noProof/>
            <w:webHidden/>
            <w:sz w:val="28"/>
            <w:szCs w:val="28"/>
          </w:rPr>
          <w:instrText xml:space="preserve"> PAGEREF _Toc411246698 \h </w:instrText>
        </w:r>
        <w:r w:rsidR="00600AD4" w:rsidRPr="007D675F">
          <w:rPr>
            <w:rFonts w:ascii="Times New Roman" w:hAnsi="Times New Roman"/>
            <w:noProof/>
            <w:webHidden/>
            <w:sz w:val="28"/>
            <w:szCs w:val="28"/>
          </w:rPr>
        </w:r>
        <w:r w:rsidR="00600AD4" w:rsidRPr="007D675F">
          <w:rPr>
            <w:rFonts w:ascii="Times New Roman" w:hAnsi="Times New Roman"/>
            <w:noProof/>
            <w:webHidden/>
            <w:sz w:val="28"/>
            <w:szCs w:val="28"/>
          </w:rPr>
          <w:fldChar w:fldCharType="separate"/>
        </w:r>
        <w:r w:rsidR="00DF2042" w:rsidRPr="007D675F">
          <w:rPr>
            <w:rFonts w:ascii="Times New Roman" w:hAnsi="Times New Roman"/>
            <w:noProof/>
            <w:webHidden/>
            <w:sz w:val="28"/>
            <w:szCs w:val="28"/>
          </w:rPr>
          <w:t>3</w:t>
        </w:r>
        <w:r w:rsidR="00600AD4" w:rsidRPr="007D675F">
          <w:rPr>
            <w:rFonts w:ascii="Times New Roman" w:hAnsi="Times New Roman"/>
            <w:noProof/>
            <w:webHidden/>
            <w:sz w:val="28"/>
            <w:szCs w:val="28"/>
          </w:rPr>
          <w:fldChar w:fldCharType="end"/>
        </w:r>
      </w:hyperlink>
    </w:p>
    <w:p w14:paraId="0301214C" w14:textId="77777777" w:rsidR="00600AD4" w:rsidRPr="007D675F" w:rsidRDefault="006E2E7B" w:rsidP="00CE7F2B">
      <w:pPr>
        <w:pStyle w:val="TOC1"/>
        <w:tabs>
          <w:tab w:val="right" w:leader="dot" w:pos="8777"/>
        </w:tabs>
        <w:rPr>
          <w:rFonts w:ascii="Times New Roman" w:eastAsiaTheme="minorEastAsia" w:hAnsi="Times New Roman"/>
          <w:noProof/>
          <w:sz w:val="28"/>
          <w:szCs w:val="28"/>
          <w:lang w:eastAsia="lv-LV"/>
        </w:rPr>
      </w:pPr>
      <w:hyperlink w:anchor="_Toc411246699" w:history="1">
        <w:r w:rsidR="00600AD4" w:rsidRPr="007D675F">
          <w:rPr>
            <w:rStyle w:val="Hyperlink"/>
            <w:rFonts w:ascii="Times New Roman" w:hAnsi="Times New Roman"/>
            <w:noProof/>
            <w:color w:val="auto"/>
            <w:sz w:val="28"/>
            <w:szCs w:val="28"/>
          </w:rPr>
          <w:t>2. Situācijas apraksts</w:t>
        </w:r>
        <w:r w:rsidR="00600AD4" w:rsidRPr="007D675F">
          <w:rPr>
            <w:rFonts w:ascii="Times New Roman" w:hAnsi="Times New Roman"/>
            <w:noProof/>
            <w:webHidden/>
            <w:sz w:val="28"/>
            <w:szCs w:val="28"/>
          </w:rPr>
          <w:tab/>
        </w:r>
        <w:r w:rsidR="00600AD4" w:rsidRPr="007D675F">
          <w:rPr>
            <w:rFonts w:ascii="Times New Roman" w:hAnsi="Times New Roman"/>
            <w:noProof/>
            <w:webHidden/>
            <w:sz w:val="28"/>
            <w:szCs w:val="28"/>
          </w:rPr>
          <w:fldChar w:fldCharType="begin"/>
        </w:r>
        <w:r w:rsidR="00600AD4" w:rsidRPr="007D675F">
          <w:rPr>
            <w:rFonts w:ascii="Times New Roman" w:hAnsi="Times New Roman"/>
            <w:noProof/>
            <w:webHidden/>
            <w:sz w:val="28"/>
            <w:szCs w:val="28"/>
          </w:rPr>
          <w:instrText xml:space="preserve"> PAGEREF _Toc411246699 \h </w:instrText>
        </w:r>
        <w:r w:rsidR="00600AD4" w:rsidRPr="007D675F">
          <w:rPr>
            <w:rFonts w:ascii="Times New Roman" w:hAnsi="Times New Roman"/>
            <w:noProof/>
            <w:webHidden/>
            <w:sz w:val="28"/>
            <w:szCs w:val="28"/>
          </w:rPr>
        </w:r>
        <w:r w:rsidR="00600AD4" w:rsidRPr="007D675F">
          <w:rPr>
            <w:rFonts w:ascii="Times New Roman" w:hAnsi="Times New Roman"/>
            <w:noProof/>
            <w:webHidden/>
            <w:sz w:val="28"/>
            <w:szCs w:val="28"/>
          </w:rPr>
          <w:fldChar w:fldCharType="separate"/>
        </w:r>
        <w:r w:rsidR="00DF2042" w:rsidRPr="007D675F">
          <w:rPr>
            <w:rFonts w:ascii="Times New Roman" w:hAnsi="Times New Roman"/>
            <w:noProof/>
            <w:webHidden/>
            <w:sz w:val="28"/>
            <w:szCs w:val="28"/>
          </w:rPr>
          <w:t>3</w:t>
        </w:r>
        <w:r w:rsidR="00600AD4" w:rsidRPr="007D675F">
          <w:rPr>
            <w:rFonts w:ascii="Times New Roman" w:hAnsi="Times New Roman"/>
            <w:noProof/>
            <w:webHidden/>
            <w:sz w:val="28"/>
            <w:szCs w:val="28"/>
          </w:rPr>
          <w:fldChar w:fldCharType="end"/>
        </w:r>
      </w:hyperlink>
    </w:p>
    <w:p w14:paraId="5D6703E6" w14:textId="77777777" w:rsidR="00600AD4" w:rsidRPr="007D675F" w:rsidRDefault="006E2E7B" w:rsidP="00CE7F2B">
      <w:pPr>
        <w:pStyle w:val="TOC1"/>
        <w:tabs>
          <w:tab w:val="right" w:leader="dot" w:pos="8777"/>
        </w:tabs>
        <w:rPr>
          <w:rFonts w:ascii="Times New Roman" w:eastAsiaTheme="minorEastAsia" w:hAnsi="Times New Roman"/>
          <w:noProof/>
          <w:sz w:val="28"/>
          <w:szCs w:val="28"/>
          <w:lang w:eastAsia="lv-LV"/>
        </w:rPr>
      </w:pPr>
      <w:hyperlink w:anchor="_Toc411246700" w:history="1">
        <w:r w:rsidR="00600AD4" w:rsidRPr="007D675F">
          <w:rPr>
            <w:rStyle w:val="Hyperlink"/>
            <w:rFonts w:ascii="Times New Roman" w:hAnsi="Times New Roman"/>
            <w:noProof/>
            <w:color w:val="auto"/>
            <w:sz w:val="28"/>
            <w:szCs w:val="28"/>
          </w:rPr>
          <w:t>3. Izmēģinājumprojektā konstatētās problēmas</w:t>
        </w:r>
        <w:r w:rsidR="00600AD4" w:rsidRPr="007D675F">
          <w:rPr>
            <w:rFonts w:ascii="Times New Roman" w:hAnsi="Times New Roman"/>
            <w:noProof/>
            <w:webHidden/>
            <w:sz w:val="28"/>
            <w:szCs w:val="28"/>
          </w:rPr>
          <w:tab/>
        </w:r>
        <w:r w:rsidR="00600AD4" w:rsidRPr="007D675F">
          <w:rPr>
            <w:rFonts w:ascii="Times New Roman" w:hAnsi="Times New Roman"/>
            <w:noProof/>
            <w:webHidden/>
            <w:sz w:val="28"/>
            <w:szCs w:val="28"/>
          </w:rPr>
          <w:fldChar w:fldCharType="begin"/>
        </w:r>
        <w:r w:rsidR="00600AD4" w:rsidRPr="007D675F">
          <w:rPr>
            <w:rFonts w:ascii="Times New Roman" w:hAnsi="Times New Roman"/>
            <w:noProof/>
            <w:webHidden/>
            <w:sz w:val="28"/>
            <w:szCs w:val="28"/>
          </w:rPr>
          <w:instrText xml:space="preserve"> PAGEREF _Toc411246700 \h </w:instrText>
        </w:r>
        <w:r w:rsidR="00600AD4" w:rsidRPr="007D675F">
          <w:rPr>
            <w:rFonts w:ascii="Times New Roman" w:hAnsi="Times New Roman"/>
            <w:noProof/>
            <w:webHidden/>
            <w:sz w:val="28"/>
            <w:szCs w:val="28"/>
          </w:rPr>
        </w:r>
        <w:r w:rsidR="00600AD4" w:rsidRPr="007D675F">
          <w:rPr>
            <w:rFonts w:ascii="Times New Roman" w:hAnsi="Times New Roman"/>
            <w:noProof/>
            <w:webHidden/>
            <w:sz w:val="28"/>
            <w:szCs w:val="28"/>
          </w:rPr>
          <w:fldChar w:fldCharType="separate"/>
        </w:r>
        <w:r w:rsidR="00DF2042" w:rsidRPr="007D675F">
          <w:rPr>
            <w:rFonts w:ascii="Times New Roman" w:hAnsi="Times New Roman"/>
            <w:noProof/>
            <w:webHidden/>
            <w:sz w:val="28"/>
            <w:szCs w:val="28"/>
          </w:rPr>
          <w:t>8</w:t>
        </w:r>
        <w:r w:rsidR="00600AD4" w:rsidRPr="007D675F">
          <w:rPr>
            <w:rFonts w:ascii="Times New Roman" w:hAnsi="Times New Roman"/>
            <w:noProof/>
            <w:webHidden/>
            <w:sz w:val="28"/>
            <w:szCs w:val="28"/>
          </w:rPr>
          <w:fldChar w:fldCharType="end"/>
        </w:r>
      </w:hyperlink>
    </w:p>
    <w:p w14:paraId="540D7D9A" w14:textId="77777777" w:rsidR="00600AD4" w:rsidRPr="007D675F" w:rsidRDefault="006E2E7B" w:rsidP="00CE7F2B">
      <w:pPr>
        <w:pStyle w:val="TOC1"/>
        <w:tabs>
          <w:tab w:val="right" w:leader="dot" w:pos="8777"/>
        </w:tabs>
        <w:rPr>
          <w:rFonts w:ascii="Times New Roman" w:eastAsiaTheme="minorEastAsia" w:hAnsi="Times New Roman"/>
          <w:noProof/>
          <w:sz w:val="28"/>
          <w:szCs w:val="28"/>
          <w:lang w:eastAsia="lv-LV"/>
        </w:rPr>
      </w:pPr>
      <w:hyperlink w:anchor="_Toc411246701" w:history="1">
        <w:r w:rsidR="00600AD4" w:rsidRPr="007D675F">
          <w:rPr>
            <w:rStyle w:val="Hyperlink"/>
            <w:rFonts w:ascii="Times New Roman" w:hAnsi="Times New Roman"/>
            <w:noProof/>
            <w:color w:val="auto"/>
            <w:sz w:val="28"/>
            <w:szCs w:val="28"/>
          </w:rPr>
          <w:t>4. Uz pieprasījumu virzīta pakalpojuma sniegšana</w:t>
        </w:r>
        <w:r w:rsidR="00600AD4" w:rsidRPr="007D675F">
          <w:rPr>
            <w:rFonts w:ascii="Times New Roman" w:hAnsi="Times New Roman"/>
            <w:noProof/>
            <w:webHidden/>
            <w:sz w:val="28"/>
            <w:szCs w:val="28"/>
          </w:rPr>
          <w:tab/>
        </w:r>
        <w:r w:rsidR="00600AD4" w:rsidRPr="007D675F">
          <w:rPr>
            <w:rFonts w:ascii="Times New Roman" w:hAnsi="Times New Roman"/>
            <w:noProof/>
            <w:webHidden/>
            <w:sz w:val="28"/>
            <w:szCs w:val="28"/>
          </w:rPr>
          <w:fldChar w:fldCharType="begin"/>
        </w:r>
        <w:r w:rsidR="00600AD4" w:rsidRPr="007D675F">
          <w:rPr>
            <w:rFonts w:ascii="Times New Roman" w:hAnsi="Times New Roman"/>
            <w:noProof/>
            <w:webHidden/>
            <w:sz w:val="28"/>
            <w:szCs w:val="28"/>
          </w:rPr>
          <w:instrText xml:space="preserve"> PAGEREF _Toc411246701 \h </w:instrText>
        </w:r>
        <w:r w:rsidR="00600AD4" w:rsidRPr="007D675F">
          <w:rPr>
            <w:rFonts w:ascii="Times New Roman" w:hAnsi="Times New Roman"/>
            <w:noProof/>
            <w:webHidden/>
            <w:sz w:val="28"/>
            <w:szCs w:val="28"/>
          </w:rPr>
        </w:r>
        <w:r w:rsidR="00600AD4" w:rsidRPr="007D675F">
          <w:rPr>
            <w:rFonts w:ascii="Times New Roman" w:hAnsi="Times New Roman"/>
            <w:noProof/>
            <w:webHidden/>
            <w:sz w:val="28"/>
            <w:szCs w:val="28"/>
          </w:rPr>
          <w:fldChar w:fldCharType="separate"/>
        </w:r>
        <w:r w:rsidR="00DF2042" w:rsidRPr="007D675F">
          <w:rPr>
            <w:rFonts w:ascii="Times New Roman" w:hAnsi="Times New Roman"/>
            <w:noProof/>
            <w:webHidden/>
            <w:sz w:val="28"/>
            <w:szCs w:val="28"/>
          </w:rPr>
          <w:t>9</w:t>
        </w:r>
        <w:r w:rsidR="00600AD4" w:rsidRPr="007D675F">
          <w:rPr>
            <w:rFonts w:ascii="Times New Roman" w:hAnsi="Times New Roman"/>
            <w:noProof/>
            <w:webHidden/>
            <w:sz w:val="28"/>
            <w:szCs w:val="28"/>
          </w:rPr>
          <w:fldChar w:fldCharType="end"/>
        </w:r>
      </w:hyperlink>
    </w:p>
    <w:p w14:paraId="24984EC5" w14:textId="3710B8FC" w:rsidR="00600AD4" w:rsidRPr="007D675F" w:rsidRDefault="006E2E7B" w:rsidP="00CE7F2B">
      <w:pPr>
        <w:pStyle w:val="TOC1"/>
        <w:tabs>
          <w:tab w:val="right" w:leader="dot" w:pos="8777"/>
        </w:tabs>
        <w:rPr>
          <w:rFonts w:ascii="Times New Roman" w:eastAsiaTheme="minorEastAsia" w:hAnsi="Times New Roman"/>
          <w:noProof/>
          <w:sz w:val="28"/>
          <w:szCs w:val="28"/>
          <w:lang w:eastAsia="lv-LV"/>
        </w:rPr>
      </w:pPr>
      <w:hyperlink w:anchor="_Toc411246702" w:history="1">
        <w:r w:rsidR="00600AD4" w:rsidRPr="007D675F">
          <w:rPr>
            <w:rStyle w:val="Hyperlink"/>
            <w:rFonts w:ascii="Times New Roman" w:hAnsi="Times New Roman"/>
            <w:noProof/>
            <w:color w:val="auto"/>
            <w:sz w:val="28"/>
            <w:szCs w:val="28"/>
          </w:rPr>
          <w:t>5. Turpmākā rīcība</w:t>
        </w:r>
        <w:r w:rsidR="00600AD4" w:rsidRPr="007D675F">
          <w:rPr>
            <w:rFonts w:ascii="Times New Roman" w:hAnsi="Times New Roman"/>
            <w:noProof/>
            <w:webHidden/>
            <w:sz w:val="28"/>
            <w:szCs w:val="28"/>
          </w:rPr>
          <w:tab/>
        </w:r>
        <w:r w:rsidR="00600AD4" w:rsidRPr="007D675F">
          <w:rPr>
            <w:rFonts w:ascii="Times New Roman" w:hAnsi="Times New Roman"/>
            <w:noProof/>
            <w:webHidden/>
            <w:sz w:val="28"/>
            <w:szCs w:val="28"/>
          </w:rPr>
          <w:fldChar w:fldCharType="begin"/>
        </w:r>
        <w:r w:rsidR="00600AD4" w:rsidRPr="007D675F">
          <w:rPr>
            <w:rFonts w:ascii="Times New Roman" w:hAnsi="Times New Roman"/>
            <w:noProof/>
            <w:webHidden/>
            <w:sz w:val="28"/>
            <w:szCs w:val="28"/>
          </w:rPr>
          <w:instrText xml:space="preserve"> PAGEREF _Toc411246702 \h </w:instrText>
        </w:r>
        <w:r w:rsidR="00600AD4" w:rsidRPr="007D675F">
          <w:rPr>
            <w:rFonts w:ascii="Times New Roman" w:hAnsi="Times New Roman"/>
            <w:noProof/>
            <w:webHidden/>
            <w:sz w:val="28"/>
            <w:szCs w:val="28"/>
          </w:rPr>
        </w:r>
        <w:r w:rsidR="00600AD4" w:rsidRPr="007D675F">
          <w:rPr>
            <w:rFonts w:ascii="Times New Roman" w:hAnsi="Times New Roman"/>
            <w:noProof/>
            <w:webHidden/>
            <w:sz w:val="28"/>
            <w:szCs w:val="28"/>
          </w:rPr>
          <w:fldChar w:fldCharType="separate"/>
        </w:r>
        <w:r w:rsidR="00DF2042" w:rsidRPr="007D675F">
          <w:rPr>
            <w:rFonts w:ascii="Times New Roman" w:hAnsi="Times New Roman"/>
            <w:noProof/>
            <w:webHidden/>
            <w:sz w:val="28"/>
            <w:szCs w:val="28"/>
          </w:rPr>
          <w:t>11</w:t>
        </w:r>
        <w:r w:rsidR="00600AD4" w:rsidRPr="007D675F">
          <w:rPr>
            <w:rFonts w:ascii="Times New Roman" w:hAnsi="Times New Roman"/>
            <w:noProof/>
            <w:webHidden/>
            <w:sz w:val="28"/>
            <w:szCs w:val="28"/>
          </w:rPr>
          <w:fldChar w:fldCharType="end"/>
        </w:r>
      </w:hyperlink>
    </w:p>
    <w:p w14:paraId="02129C89" w14:textId="77777777" w:rsidR="00600AD4" w:rsidRPr="007D675F" w:rsidRDefault="006E2E7B" w:rsidP="00CE7F2B">
      <w:pPr>
        <w:pStyle w:val="TOC1"/>
        <w:tabs>
          <w:tab w:val="right" w:leader="dot" w:pos="8777"/>
        </w:tabs>
        <w:rPr>
          <w:rFonts w:ascii="Times New Roman" w:eastAsiaTheme="minorEastAsia" w:hAnsi="Times New Roman"/>
          <w:noProof/>
          <w:sz w:val="28"/>
          <w:szCs w:val="28"/>
          <w:lang w:eastAsia="lv-LV"/>
        </w:rPr>
      </w:pPr>
      <w:hyperlink w:anchor="_Toc411246703" w:history="1">
        <w:r w:rsidR="00600AD4" w:rsidRPr="007D675F">
          <w:rPr>
            <w:rStyle w:val="Hyperlink"/>
            <w:rFonts w:ascii="Times New Roman" w:hAnsi="Times New Roman"/>
            <w:noProof/>
            <w:color w:val="auto"/>
            <w:sz w:val="28"/>
            <w:szCs w:val="28"/>
          </w:rPr>
          <w:t>Pielikums</w:t>
        </w:r>
        <w:r w:rsidR="00600AD4" w:rsidRPr="007D675F">
          <w:rPr>
            <w:rFonts w:ascii="Times New Roman" w:hAnsi="Times New Roman"/>
            <w:noProof/>
            <w:webHidden/>
            <w:sz w:val="28"/>
            <w:szCs w:val="28"/>
          </w:rPr>
          <w:tab/>
        </w:r>
        <w:r w:rsidR="00600AD4" w:rsidRPr="007D675F">
          <w:rPr>
            <w:rFonts w:ascii="Times New Roman" w:hAnsi="Times New Roman"/>
            <w:noProof/>
            <w:webHidden/>
            <w:sz w:val="28"/>
            <w:szCs w:val="28"/>
          </w:rPr>
          <w:fldChar w:fldCharType="begin"/>
        </w:r>
        <w:r w:rsidR="00600AD4" w:rsidRPr="007D675F">
          <w:rPr>
            <w:rFonts w:ascii="Times New Roman" w:hAnsi="Times New Roman"/>
            <w:noProof/>
            <w:webHidden/>
            <w:sz w:val="28"/>
            <w:szCs w:val="28"/>
          </w:rPr>
          <w:instrText xml:space="preserve"> PAGEREF _Toc411246703 \h </w:instrText>
        </w:r>
        <w:r w:rsidR="00600AD4" w:rsidRPr="007D675F">
          <w:rPr>
            <w:rFonts w:ascii="Times New Roman" w:hAnsi="Times New Roman"/>
            <w:noProof/>
            <w:webHidden/>
            <w:sz w:val="28"/>
            <w:szCs w:val="28"/>
          </w:rPr>
        </w:r>
        <w:r w:rsidR="00600AD4" w:rsidRPr="007D675F">
          <w:rPr>
            <w:rFonts w:ascii="Times New Roman" w:hAnsi="Times New Roman"/>
            <w:noProof/>
            <w:webHidden/>
            <w:sz w:val="28"/>
            <w:szCs w:val="28"/>
          </w:rPr>
          <w:fldChar w:fldCharType="separate"/>
        </w:r>
        <w:r w:rsidR="00DF2042" w:rsidRPr="007D675F">
          <w:rPr>
            <w:rFonts w:ascii="Times New Roman" w:hAnsi="Times New Roman"/>
            <w:noProof/>
            <w:webHidden/>
            <w:sz w:val="28"/>
            <w:szCs w:val="28"/>
          </w:rPr>
          <w:t>14</w:t>
        </w:r>
        <w:r w:rsidR="00600AD4" w:rsidRPr="007D675F">
          <w:rPr>
            <w:rFonts w:ascii="Times New Roman" w:hAnsi="Times New Roman"/>
            <w:noProof/>
            <w:webHidden/>
            <w:sz w:val="28"/>
            <w:szCs w:val="28"/>
          </w:rPr>
          <w:fldChar w:fldCharType="end"/>
        </w:r>
      </w:hyperlink>
    </w:p>
    <w:p w14:paraId="7040E9E1" w14:textId="77777777" w:rsidR="005060D7" w:rsidRPr="007D675F" w:rsidRDefault="005060D7" w:rsidP="00CE7F2B">
      <w:pPr>
        <w:rPr>
          <w:rFonts w:ascii="Times New Roman" w:hAnsi="Times New Roman"/>
          <w:sz w:val="28"/>
          <w:szCs w:val="28"/>
        </w:rPr>
      </w:pPr>
      <w:r w:rsidRPr="007D675F">
        <w:rPr>
          <w:rFonts w:ascii="Times New Roman" w:hAnsi="Times New Roman"/>
          <w:sz w:val="28"/>
          <w:szCs w:val="28"/>
        </w:rPr>
        <w:fldChar w:fldCharType="end"/>
      </w:r>
    </w:p>
    <w:p w14:paraId="055957D9" w14:textId="77777777" w:rsidR="00C4245D" w:rsidRPr="007D675F" w:rsidRDefault="00C4245D" w:rsidP="00CE7F2B">
      <w:pPr>
        <w:pStyle w:val="Heading1"/>
        <w:jc w:val="center"/>
      </w:pPr>
    </w:p>
    <w:p w14:paraId="4F8BE417" w14:textId="77777777" w:rsidR="00C4245D" w:rsidRPr="007D675F" w:rsidRDefault="00C4245D" w:rsidP="00CE7F2B"/>
    <w:p w14:paraId="44BA3267" w14:textId="77777777" w:rsidR="00C4245D" w:rsidRPr="007D675F" w:rsidRDefault="00C4245D" w:rsidP="00CE7F2B"/>
    <w:p w14:paraId="362C7069" w14:textId="77777777" w:rsidR="00C4245D" w:rsidRPr="007D675F" w:rsidRDefault="00C4245D" w:rsidP="00CE7F2B"/>
    <w:p w14:paraId="61E14190" w14:textId="77777777" w:rsidR="00C4245D" w:rsidRPr="007D675F" w:rsidRDefault="00C4245D" w:rsidP="00CE7F2B"/>
    <w:p w14:paraId="199D0DDA" w14:textId="77777777" w:rsidR="00C4245D" w:rsidRPr="007D675F" w:rsidRDefault="00C4245D" w:rsidP="00CE7F2B"/>
    <w:p w14:paraId="3929242F" w14:textId="77777777" w:rsidR="00C4245D" w:rsidRPr="007D675F" w:rsidRDefault="00C4245D" w:rsidP="00CE7F2B"/>
    <w:p w14:paraId="7A5DFD8E" w14:textId="77777777" w:rsidR="00C4245D" w:rsidRPr="007D675F" w:rsidRDefault="00C4245D" w:rsidP="00CE7F2B"/>
    <w:p w14:paraId="02D532AA" w14:textId="77777777" w:rsidR="00C4245D" w:rsidRPr="007D675F" w:rsidRDefault="00C4245D" w:rsidP="00CE7F2B"/>
    <w:p w14:paraId="480563D2" w14:textId="77777777" w:rsidR="00C4245D" w:rsidRPr="007D675F" w:rsidRDefault="00C4245D" w:rsidP="00CE7F2B"/>
    <w:p w14:paraId="11D354BF" w14:textId="77777777" w:rsidR="00C4245D" w:rsidRPr="007D675F" w:rsidRDefault="00C4245D" w:rsidP="00CE7F2B">
      <w:pPr>
        <w:pStyle w:val="Heading1"/>
        <w:tabs>
          <w:tab w:val="left" w:pos="876"/>
        </w:tabs>
      </w:pPr>
      <w:r w:rsidRPr="007D675F">
        <w:tab/>
      </w:r>
    </w:p>
    <w:p w14:paraId="7366EB9D" w14:textId="77777777" w:rsidR="005060D7" w:rsidRPr="007D675F" w:rsidRDefault="005060D7" w:rsidP="00CE7F2B">
      <w:pPr>
        <w:pStyle w:val="Heading1"/>
        <w:jc w:val="center"/>
        <w:rPr>
          <w:rFonts w:ascii="Times New Roman" w:hAnsi="Times New Roman"/>
          <w:sz w:val="28"/>
          <w:szCs w:val="28"/>
        </w:rPr>
      </w:pPr>
      <w:r w:rsidRPr="007D675F">
        <w:br w:type="page"/>
      </w:r>
      <w:bookmarkStart w:id="0" w:name="_Toc411246698"/>
      <w:r w:rsidRPr="007D675F">
        <w:rPr>
          <w:rFonts w:ascii="Times New Roman" w:hAnsi="Times New Roman"/>
          <w:sz w:val="28"/>
          <w:szCs w:val="28"/>
        </w:rPr>
        <w:lastRenderedPageBreak/>
        <w:t>1. Informatīvā ziņojuma izstrādes pamatojums</w:t>
      </w:r>
      <w:bookmarkEnd w:id="0"/>
    </w:p>
    <w:p w14:paraId="4E69EA22" w14:textId="77777777" w:rsidR="005060D7" w:rsidRPr="007D675F" w:rsidRDefault="005060D7" w:rsidP="00CE7F2B">
      <w:pPr>
        <w:spacing w:after="0" w:line="240" w:lineRule="auto"/>
      </w:pPr>
    </w:p>
    <w:p w14:paraId="5047FD2E" w14:textId="78E11FB4" w:rsidR="00FE7D65" w:rsidRPr="007D675F" w:rsidRDefault="005060D7" w:rsidP="00CE7F2B">
      <w:pPr>
        <w:spacing w:after="0" w:line="240" w:lineRule="auto"/>
        <w:ind w:firstLine="720"/>
        <w:jc w:val="both"/>
        <w:rPr>
          <w:sz w:val="28"/>
          <w:szCs w:val="28"/>
        </w:rPr>
      </w:pPr>
      <w:proofErr w:type="spellStart"/>
      <w:r w:rsidRPr="007D675F">
        <w:rPr>
          <w:rFonts w:ascii="Times New Roman" w:hAnsi="Times New Roman"/>
          <w:sz w:val="28"/>
          <w:szCs w:val="28"/>
        </w:rPr>
        <w:t>Izmēģinājumprojekts</w:t>
      </w:r>
      <w:proofErr w:type="spellEnd"/>
      <w:r w:rsidRPr="007D675F">
        <w:rPr>
          <w:rFonts w:ascii="Times New Roman" w:hAnsi="Times New Roman"/>
          <w:sz w:val="28"/>
          <w:szCs w:val="28"/>
        </w:rPr>
        <w:t xml:space="preserve"> „Profesionālās tālākizglītības programmu īstenošana bezdarbniekiem valsts vai pašvaldību dibinātās izglītības iestādēs” (turpmāk – </w:t>
      </w:r>
      <w:proofErr w:type="spellStart"/>
      <w:r w:rsidR="00A065F7" w:rsidRPr="007D675F">
        <w:rPr>
          <w:rFonts w:ascii="Times New Roman" w:hAnsi="Times New Roman"/>
          <w:sz w:val="28"/>
          <w:szCs w:val="28"/>
        </w:rPr>
        <w:t>i</w:t>
      </w:r>
      <w:r w:rsidRPr="007D675F">
        <w:rPr>
          <w:rFonts w:ascii="Times New Roman" w:hAnsi="Times New Roman"/>
          <w:sz w:val="28"/>
          <w:szCs w:val="28"/>
        </w:rPr>
        <w:t>zmēģinājumprojekts</w:t>
      </w:r>
      <w:proofErr w:type="spellEnd"/>
      <w:r w:rsidRPr="007D675F">
        <w:rPr>
          <w:rFonts w:ascii="Times New Roman" w:hAnsi="Times New Roman"/>
          <w:sz w:val="28"/>
          <w:szCs w:val="28"/>
        </w:rPr>
        <w:t>) ieviests, pamatojoties uz Ministru kabineta</w:t>
      </w:r>
      <w:r w:rsidR="00A065F7" w:rsidRPr="007D675F">
        <w:rPr>
          <w:rFonts w:ascii="Times New Roman" w:hAnsi="Times New Roman"/>
          <w:sz w:val="28"/>
          <w:szCs w:val="28"/>
        </w:rPr>
        <w:t xml:space="preserve"> (turpmāk – MK) </w:t>
      </w:r>
      <w:r w:rsidRPr="007D675F">
        <w:rPr>
          <w:rFonts w:ascii="Times New Roman" w:hAnsi="Times New Roman"/>
          <w:sz w:val="28"/>
          <w:szCs w:val="28"/>
        </w:rPr>
        <w:t>2013. gad</w:t>
      </w:r>
      <w:r w:rsidR="00D72D10" w:rsidRPr="007D675F">
        <w:rPr>
          <w:rFonts w:ascii="Times New Roman" w:hAnsi="Times New Roman"/>
          <w:sz w:val="28"/>
          <w:szCs w:val="28"/>
        </w:rPr>
        <w:t>a 21. maija sēdes protokola Nr.30 53</w:t>
      </w:r>
      <w:r w:rsidR="0002755E" w:rsidRPr="007D675F">
        <w:rPr>
          <w:rFonts w:ascii="Times New Roman" w:hAnsi="Times New Roman"/>
          <w:sz w:val="28"/>
          <w:szCs w:val="28"/>
        </w:rPr>
        <w:t>.</w:t>
      </w:r>
      <w:r w:rsidR="00D72D10" w:rsidRPr="007D675F">
        <w:rPr>
          <w:rFonts w:ascii="Times New Roman" w:hAnsi="Times New Roman"/>
          <w:sz w:val="28"/>
          <w:szCs w:val="28"/>
        </w:rPr>
        <w:t>§ doto uzdevum</w:t>
      </w:r>
      <w:r w:rsidR="0002755E" w:rsidRPr="007D675F">
        <w:rPr>
          <w:rFonts w:ascii="Times New Roman" w:hAnsi="Times New Roman"/>
          <w:sz w:val="28"/>
          <w:szCs w:val="28"/>
        </w:rPr>
        <w:t>u</w:t>
      </w:r>
      <w:r w:rsidRPr="007D675F">
        <w:rPr>
          <w:rFonts w:ascii="Times New Roman" w:hAnsi="Times New Roman"/>
          <w:sz w:val="28"/>
          <w:szCs w:val="28"/>
        </w:rPr>
        <w:t xml:space="preserve"> </w:t>
      </w:r>
      <w:r w:rsidR="00C62322" w:rsidRPr="007D675F">
        <w:rPr>
          <w:rFonts w:ascii="Times New Roman" w:hAnsi="Times New Roman"/>
          <w:sz w:val="28"/>
          <w:szCs w:val="28"/>
        </w:rPr>
        <w:t xml:space="preserve">– Labklājības ministrijai sadarbībā ar Izglītības un zinātnes ministriju uzsākt </w:t>
      </w:r>
      <w:proofErr w:type="spellStart"/>
      <w:r w:rsidR="00C62322" w:rsidRPr="007D675F">
        <w:rPr>
          <w:rFonts w:ascii="Times New Roman" w:hAnsi="Times New Roman"/>
          <w:sz w:val="28"/>
          <w:szCs w:val="28"/>
        </w:rPr>
        <w:t>izmēģinājumprojektu</w:t>
      </w:r>
      <w:proofErr w:type="spellEnd"/>
      <w:r w:rsidR="00C62322" w:rsidRPr="007D675F">
        <w:rPr>
          <w:rFonts w:ascii="Times New Roman" w:hAnsi="Times New Roman"/>
          <w:sz w:val="28"/>
          <w:szCs w:val="28"/>
        </w:rPr>
        <w:t>, lai aprobētu iespējamu turpmāku sadarbības modeli bezdarbnieku sagatavošanai darba tirgum, kura ietvaros tiktu nodrošināta bezdarbnieku apmācību īstenošana noteiktās profesionālās tālākizglītības programmās valsts dibinātajās profesionālās izglītības iestādēs</w:t>
      </w:r>
      <w:r w:rsidR="009148D4" w:rsidRPr="007D675F">
        <w:rPr>
          <w:rFonts w:ascii="Times New Roman" w:hAnsi="Times New Roman"/>
          <w:sz w:val="28"/>
          <w:szCs w:val="28"/>
        </w:rPr>
        <w:t xml:space="preserve"> (PII)</w:t>
      </w:r>
      <w:r w:rsidR="00C62322" w:rsidRPr="007D675F">
        <w:rPr>
          <w:rFonts w:ascii="Times New Roman" w:hAnsi="Times New Roman"/>
          <w:sz w:val="28"/>
          <w:szCs w:val="28"/>
        </w:rPr>
        <w:t>, kuru infrastruktūras uzlabošana veikta no Eiropas Reģionālās attīstības fonda</w:t>
      </w:r>
      <w:r w:rsidR="00A065F7" w:rsidRPr="007D675F">
        <w:rPr>
          <w:rFonts w:ascii="Times New Roman" w:hAnsi="Times New Roman"/>
          <w:sz w:val="28"/>
          <w:szCs w:val="28"/>
        </w:rPr>
        <w:t xml:space="preserve"> (ERAF)</w:t>
      </w:r>
      <w:r w:rsidR="00C62322" w:rsidRPr="007D675F">
        <w:rPr>
          <w:rFonts w:ascii="Times New Roman" w:hAnsi="Times New Roman"/>
          <w:sz w:val="28"/>
          <w:szCs w:val="28"/>
        </w:rPr>
        <w:t xml:space="preserve"> līdzekļiem</w:t>
      </w:r>
      <w:r w:rsidR="00A065F7" w:rsidRPr="007D675F">
        <w:rPr>
          <w:rFonts w:ascii="Times New Roman" w:hAnsi="Times New Roman"/>
          <w:sz w:val="28"/>
          <w:szCs w:val="28"/>
        </w:rPr>
        <w:t xml:space="preserve"> (turpmāk – izglītības iestādes)</w:t>
      </w:r>
      <w:r w:rsidR="00C62322" w:rsidRPr="007D675F">
        <w:rPr>
          <w:rFonts w:ascii="Times New Roman" w:hAnsi="Times New Roman"/>
          <w:sz w:val="28"/>
          <w:szCs w:val="28"/>
        </w:rPr>
        <w:t xml:space="preserve">, </w:t>
      </w:r>
      <w:r w:rsidR="00FE7D65" w:rsidRPr="007D675F">
        <w:rPr>
          <w:rFonts w:ascii="Times New Roman" w:hAnsi="Times New Roman"/>
          <w:sz w:val="28"/>
          <w:szCs w:val="28"/>
        </w:rPr>
        <w:t xml:space="preserve">tajā skaitā izmantojot arī Pasaules Bankas veiktā pētījuma "Latvija: kurš ir bezdarbnieks, ekonomiski neaktīvais un trūcīgais?" </w:t>
      </w:r>
      <w:r w:rsidR="00A065F7" w:rsidRPr="007D675F">
        <w:rPr>
          <w:rFonts w:ascii="Times New Roman" w:hAnsi="Times New Roman"/>
          <w:sz w:val="28"/>
          <w:szCs w:val="28"/>
        </w:rPr>
        <w:t xml:space="preserve">(turpmāk – PB pētījums) </w:t>
      </w:r>
      <w:r w:rsidR="00FE7D65" w:rsidRPr="007D675F">
        <w:rPr>
          <w:rFonts w:ascii="Times New Roman" w:hAnsi="Times New Roman"/>
          <w:sz w:val="28"/>
          <w:szCs w:val="28"/>
        </w:rPr>
        <w:t>rezultātus par bezdarbnieku apmācību pasākumu analīzi un nodrošinot valsts izglītības iestāžu motivāciju uzturēt augstas kvalitātes apmācības procesu.</w:t>
      </w:r>
    </w:p>
    <w:p w14:paraId="74C8BDF3" w14:textId="1551EA41" w:rsidR="005060D7" w:rsidRPr="007D675F" w:rsidRDefault="005060D7" w:rsidP="00CE7F2B">
      <w:pPr>
        <w:spacing w:after="0" w:line="240" w:lineRule="auto"/>
        <w:ind w:firstLine="720"/>
        <w:jc w:val="both"/>
        <w:rPr>
          <w:rFonts w:ascii="Times New Roman" w:hAnsi="Times New Roman"/>
          <w:sz w:val="28"/>
          <w:szCs w:val="28"/>
        </w:rPr>
      </w:pPr>
      <w:r w:rsidRPr="007D675F">
        <w:rPr>
          <w:rFonts w:ascii="Times New Roman" w:hAnsi="Times New Roman"/>
          <w:sz w:val="28"/>
          <w:szCs w:val="28"/>
        </w:rPr>
        <w:t xml:space="preserve">Atbilstoši iepriekš minētajam, informatīvā ziņojuma </w:t>
      </w:r>
      <w:r w:rsidRPr="007D675F">
        <w:rPr>
          <w:rFonts w:ascii="Times New Roman" w:hAnsi="Times New Roman"/>
          <w:b/>
          <w:sz w:val="28"/>
          <w:szCs w:val="28"/>
        </w:rPr>
        <w:t xml:space="preserve">mērķis </w:t>
      </w:r>
      <w:r w:rsidRPr="007D675F">
        <w:rPr>
          <w:rFonts w:ascii="Times New Roman" w:hAnsi="Times New Roman"/>
          <w:sz w:val="28"/>
          <w:szCs w:val="28"/>
        </w:rPr>
        <w:t>ir</w:t>
      </w:r>
      <w:r w:rsidR="00C62322" w:rsidRPr="007D675F">
        <w:rPr>
          <w:rFonts w:ascii="Times New Roman" w:hAnsi="Times New Roman"/>
          <w:sz w:val="28"/>
          <w:szCs w:val="28"/>
        </w:rPr>
        <w:t xml:space="preserve"> </w:t>
      </w:r>
      <w:r w:rsidR="0002755E" w:rsidRPr="007D675F">
        <w:rPr>
          <w:rFonts w:ascii="Times New Roman" w:hAnsi="Times New Roman"/>
          <w:sz w:val="28"/>
          <w:szCs w:val="28"/>
        </w:rPr>
        <w:t xml:space="preserve">noteikt </w:t>
      </w:r>
      <w:r w:rsidR="00C62322" w:rsidRPr="007D675F">
        <w:rPr>
          <w:rFonts w:ascii="Times New Roman" w:hAnsi="Times New Roman"/>
          <w:sz w:val="28"/>
          <w:szCs w:val="28"/>
        </w:rPr>
        <w:t>turpmāko rīcības modeli</w:t>
      </w:r>
      <w:r w:rsidRPr="007D675F">
        <w:rPr>
          <w:rFonts w:ascii="Times New Roman" w:hAnsi="Times New Roman"/>
          <w:sz w:val="28"/>
          <w:szCs w:val="28"/>
        </w:rPr>
        <w:t xml:space="preserve"> bezdarbnieku tālākizglītības organizēšanai sadarbībā ar valsts </w:t>
      </w:r>
      <w:r w:rsidR="009148D4" w:rsidRPr="007D675F">
        <w:rPr>
          <w:rFonts w:ascii="Times New Roman" w:hAnsi="Times New Roman"/>
          <w:sz w:val="28"/>
          <w:szCs w:val="28"/>
        </w:rPr>
        <w:t xml:space="preserve">PII </w:t>
      </w:r>
      <w:r w:rsidR="00C62322" w:rsidRPr="007D675F">
        <w:rPr>
          <w:rFonts w:ascii="Times New Roman" w:hAnsi="Times New Roman"/>
          <w:sz w:val="28"/>
          <w:szCs w:val="28"/>
        </w:rPr>
        <w:t xml:space="preserve">un </w:t>
      </w:r>
      <w:r w:rsidR="00FE7D65" w:rsidRPr="007D675F">
        <w:rPr>
          <w:rFonts w:ascii="Times New Roman" w:hAnsi="Times New Roman"/>
          <w:sz w:val="28"/>
          <w:szCs w:val="28"/>
        </w:rPr>
        <w:t>turpmāk nepieciešamos grozījumus normatīvajos aktos.</w:t>
      </w:r>
    </w:p>
    <w:p w14:paraId="542C173A" w14:textId="77777777" w:rsidR="001D063C" w:rsidRPr="007D675F" w:rsidRDefault="001D063C" w:rsidP="00CE7F2B">
      <w:pPr>
        <w:spacing w:after="0" w:line="240" w:lineRule="auto"/>
        <w:ind w:firstLine="720"/>
        <w:jc w:val="both"/>
        <w:rPr>
          <w:rFonts w:ascii="Times New Roman" w:hAnsi="Times New Roman"/>
          <w:sz w:val="28"/>
          <w:szCs w:val="28"/>
        </w:rPr>
      </w:pPr>
    </w:p>
    <w:p w14:paraId="3A83E0F7" w14:textId="77777777" w:rsidR="005060D7" w:rsidRPr="007D675F" w:rsidRDefault="005060D7" w:rsidP="00CE7F2B">
      <w:pPr>
        <w:pStyle w:val="Heading1"/>
        <w:spacing w:before="0" w:after="0"/>
        <w:jc w:val="center"/>
        <w:rPr>
          <w:rFonts w:ascii="Times New Roman" w:hAnsi="Times New Roman"/>
          <w:sz w:val="28"/>
          <w:szCs w:val="28"/>
        </w:rPr>
      </w:pPr>
      <w:bookmarkStart w:id="1" w:name="_Toc411246699"/>
      <w:r w:rsidRPr="007D675F">
        <w:rPr>
          <w:rFonts w:ascii="Times New Roman" w:hAnsi="Times New Roman"/>
          <w:sz w:val="28"/>
          <w:szCs w:val="28"/>
        </w:rPr>
        <w:t>2. Situācijas apraksts</w:t>
      </w:r>
      <w:bookmarkEnd w:id="1"/>
    </w:p>
    <w:p w14:paraId="705A35D9" w14:textId="77777777" w:rsidR="000634B6" w:rsidRPr="007D675F" w:rsidRDefault="000634B6" w:rsidP="00CE7F2B">
      <w:pPr>
        <w:pStyle w:val="ListParagraph"/>
        <w:ind w:left="0" w:firstLine="436"/>
        <w:jc w:val="both"/>
        <w:rPr>
          <w:rFonts w:ascii="Times New Roman" w:hAnsi="Times New Roman"/>
          <w:bCs/>
          <w:iCs/>
          <w:spacing w:val="-4"/>
          <w:sz w:val="28"/>
          <w:szCs w:val="28"/>
        </w:rPr>
      </w:pPr>
    </w:p>
    <w:p w14:paraId="4FD0C908" w14:textId="69A564BF" w:rsidR="000634B6" w:rsidRPr="007D675F" w:rsidRDefault="000D2073" w:rsidP="00CE7F2B">
      <w:pPr>
        <w:pStyle w:val="ListParagraph"/>
        <w:ind w:left="0" w:firstLine="436"/>
        <w:jc w:val="both"/>
        <w:rPr>
          <w:rFonts w:ascii="Times New Roman" w:hAnsi="Times New Roman"/>
          <w:sz w:val="28"/>
          <w:szCs w:val="28"/>
        </w:rPr>
      </w:pPr>
      <w:r w:rsidRPr="007D675F">
        <w:rPr>
          <w:rFonts w:ascii="Times New Roman" w:hAnsi="Times New Roman"/>
          <w:b/>
          <w:bCs/>
          <w:iCs/>
          <w:spacing w:val="-4"/>
          <w:sz w:val="28"/>
          <w:szCs w:val="28"/>
        </w:rPr>
        <w:t xml:space="preserve">No </w:t>
      </w:r>
      <w:r w:rsidR="000634B6" w:rsidRPr="007D675F">
        <w:rPr>
          <w:rFonts w:ascii="Times New Roman" w:hAnsi="Times New Roman"/>
          <w:b/>
          <w:bCs/>
          <w:iCs/>
          <w:spacing w:val="-4"/>
          <w:sz w:val="28"/>
          <w:szCs w:val="28"/>
        </w:rPr>
        <w:t>2014. gada 19. janvār</w:t>
      </w:r>
      <w:r w:rsidRPr="007D675F">
        <w:rPr>
          <w:rFonts w:ascii="Times New Roman" w:hAnsi="Times New Roman"/>
          <w:b/>
          <w:bCs/>
          <w:iCs/>
          <w:spacing w:val="-4"/>
          <w:sz w:val="28"/>
          <w:szCs w:val="28"/>
        </w:rPr>
        <w:t>a līdz 31. decembrim</w:t>
      </w:r>
      <w:r w:rsidR="000634B6" w:rsidRPr="007D675F">
        <w:rPr>
          <w:rFonts w:ascii="Times New Roman" w:hAnsi="Times New Roman"/>
          <w:bCs/>
          <w:iCs/>
          <w:spacing w:val="-4"/>
          <w:sz w:val="28"/>
          <w:szCs w:val="28"/>
        </w:rPr>
        <w:t xml:space="preserve"> Nodarbinātības valsts aģentūra (turpmāk – Aģentūra) </w:t>
      </w:r>
      <w:r w:rsidRPr="007D675F">
        <w:rPr>
          <w:rFonts w:ascii="Times New Roman" w:hAnsi="Times New Roman"/>
          <w:bCs/>
          <w:iCs/>
          <w:spacing w:val="-4"/>
          <w:sz w:val="28"/>
          <w:szCs w:val="28"/>
        </w:rPr>
        <w:t>īstenoja</w:t>
      </w:r>
      <w:r w:rsidR="000634B6" w:rsidRPr="007D675F">
        <w:rPr>
          <w:rFonts w:ascii="Times New Roman" w:hAnsi="Times New Roman"/>
          <w:bCs/>
          <w:iCs/>
          <w:spacing w:val="-4"/>
          <w:sz w:val="28"/>
          <w:szCs w:val="28"/>
        </w:rPr>
        <w:t xml:space="preserve"> </w:t>
      </w:r>
      <w:proofErr w:type="spellStart"/>
      <w:r w:rsidR="00A065F7" w:rsidRPr="007D675F">
        <w:rPr>
          <w:rFonts w:ascii="Times New Roman" w:hAnsi="Times New Roman"/>
          <w:bCs/>
          <w:iCs/>
          <w:spacing w:val="-4"/>
          <w:sz w:val="28"/>
          <w:szCs w:val="28"/>
        </w:rPr>
        <w:t>i</w:t>
      </w:r>
      <w:r w:rsidR="000634B6" w:rsidRPr="007D675F">
        <w:rPr>
          <w:rFonts w:ascii="Times New Roman" w:hAnsi="Times New Roman"/>
          <w:bCs/>
          <w:iCs/>
          <w:spacing w:val="-4"/>
          <w:sz w:val="28"/>
          <w:szCs w:val="28"/>
        </w:rPr>
        <w:t>zmēģinājumprojektu</w:t>
      </w:r>
      <w:proofErr w:type="spellEnd"/>
      <w:r w:rsidR="000634B6" w:rsidRPr="007D675F">
        <w:rPr>
          <w:rFonts w:ascii="Times New Roman" w:hAnsi="Times New Roman"/>
          <w:bCs/>
          <w:iCs/>
          <w:spacing w:val="-4"/>
          <w:sz w:val="28"/>
          <w:szCs w:val="28"/>
        </w:rPr>
        <w:t xml:space="preserve"> </w:t>
      </w:r>
      <w:r w:rsidR="00D21EFD" w:rsidRPr="007D675F">
        <w:rPr>
          <w:rFonts w:ascii="Times New Roman" w:hAnsi="Times New Roman"/>
          <w:sz w:val="28"/>
          <w:szCs w:val="28"/>
        </w:rPr>
        <w:t xml:space="preserve">sadarbībā ar profesionālās izglītības iestādēm </w:t>
      </w:r>
      <w:r w:rsidR="000634B6" w:rsidRPr="007D675F">
        <w:rPr>
          <w:rFonts w:ascii="Times New Roman" w:hAnsi="Times New Roman"/>
          <w:bCs/>
          <w:iCs/>
          <w:spacing w:val="-4"/>
          <w:sz w:val="28"/>
          <w:szCs w:val="28"/>
        </w:rPr>
        <w:t xml:space="preserve">ar </w:t>
      </w:r>
      <w:r w:rsidRPr="007D675F">
        <w:rPr>
          <w:rFonts w:ascii="Times New Roman" w:hAnsi="Times New Roman"/>
          <w:bCs/>
          <w:iCs/>
          <w:spacing w:val="-4"/>
          <w:sz w:val="28"/>
          <w:szCs w:val="28"/>
        </w:rPr>
        <w:t xml:space="preserve">mērķi </w:t>
      </w:r>
      <w:r w:rsidR="00B86A2A" w:rsidRPr="007D675F">
        <w:rPr>
          <w:rFonts w:ascii="Times New Roman" w:hAnsi="Times New Roman"/>
          <w:bCs/>
          <w:iCs/>
          <w:spacing w:val="-4"/>
          <w:sz w:val="28"/>
          <w:szCs w:val="28"/>
        </w:rPr>
        <w:t xml:space="preserve">profesionālās </w:t>
      </w:r>
      <w:r w:rsidR="000634B6" w:rsidRPr="007D675F">
        <w:rPr>
          <w:rFonts w:ascii="Times New Roman" w:hAnsi="Times New Roman"/>
          <w:bCs/>
          <w:iCs/>
          <w:spacing w:val="-4"/>
          <w:sz w:val="28"/>
          <w:szCs w:val="28"/>
        </w:rPr>
        <w:t>tālākizglītības programmu apguvē iesaistīt 200 bezdarbniekus</w:t>
      </w:r>
      <w:r w:rsidRPr="007D675F">
        <w:rPr>
          <w:rFonts w:ascii="Times New Roman" w:hAnsi="Times New Roman"/>
          <w:bCs/>
          <w:iCs/>
          <w:spacing w:val="-4"/>
          <w:sz w:val="28"/>
          <w:szCs w:val="28"/>
        </w:rPr>
        <w:t xml:space="preserve"> (b</w:t>
      </w:r>
      <w:r w:rsidR="000634B6" w:rsidRPr="007D675F">
        <w:rPr>
          <w:rFonts w:ascii="Times New Roman" w:hAnsi="Times New Roman"/>
          <w:bCs/>
          <w:iCs/>
          <w:spacing w:val="-4"/>
          <w:sz w:val="28"/>
          <w:szCs w:val="28"/>
        </w:rPr>
        <w:t>ezdarbnieku grupu komplektēšana tika organizēta</w:t>
      </w:r>
      <w:r w:rsidR="000634B6" w:rsidRPr="007D675F">
        <w:rPr>
          <w:rFonts w:ascii="Times New Roman" w:hAnsi="Times New Roman"/>
          <w:sz w:val="28"/>
          <w:szCs w:val="28"/>
        </w:rPr>
        <w:t xml:space="preserve"> līdz 2014. gada 30. jūnijam</w:t>
      </w:r>
      <w:r w:rsidRPr="007D675F">
        <w:rPr>
          <w:rFonts w:ascii="Times New Roman" w:hAnsi="Times New Roman"/>
          <w:sz w:val="28"/>
          <w:szCs w:val="28"/>
        </w:rPr>
        <w:t xml:space="preserve">). </w:t>
      </w:r>
      <w:r w:rsidR="000634B6" w:rsidRPr="007D675F">
        <w:rPr>
          <w:rFonts w:ascii="Times New Roman" w:hAnsi="Times New Roman"/>
          <w:bCs/>
          <w:iCs/>
          <w:spacing w:val="-4"/>
          <w:sz w:val="28"/>
          <w:szCs w:val="28"/>
        </w:rPr>
        <w:t xml:space="preserve">Normatīvie akti, saskaņā ar kuriem tika īstenots </w:t>
      </w:r>
      <w:proofErr w:type="spellStart"/>
      <w:r w:rsidR="00FE502E" w:rsidRPr="007D675F">
        <w:rPr>
          <w:rFonts w:ascii="Times New Roman" w:hAnsi="Times New Roman"/>
          <w:bCs/>
          <w:iCs/>
          <w:spacing w:val="-4"/>
          <w:sz w:val="28"/>
          <w:szCs w:val="28"/>
        </w:rPr>
        <w:t>i</w:t>
      </w:r>
      <w:r w:rsidR="000634B6" w:rsidRPr="007D675F">
        <w:rPr>
          <w:rFonts w:ascii="Times New Roman" w:hAnsi="Times New Roman"/>
          <w:bCs/>
          <w:iCs/>
          <w:spacing w:val="-4"/>
          <w:sz w:val="28"/>
          <w:szCs w:val="28"/>
        </w:rPr>
        <w:t>zmēģinājumprojekts</w:t>
      </w:r>
      <w:proofErr w:type="spellEnd"/>
      <w:r w:rsidR="000634B6" w:rsidRPr="007D675F">
        <w:rPr>
          <w:rFonts w:ascii="Times New Roman" w:hAnsi="Times New Roman"/>
          <w:bCs/>
          <w:iCs/>
          <w:spacing w:val="-4"/>
          <w:sz w:val="28"/>
          <w:szCs w:val="28"/>
        </w:rPr>
        <w:t>, ir uzska</w:t>
      </w:r>
      <w:r w:rsidR="00A065F7" w:rsidRPr="007D675F">
        <w:rPr>
          <w:rFonts w:ascii="Times New Roman" w:hAnsi="Times New Roman"/>
          <w:bCs/>
          <w:iCs/>
          <w:spacing w:val="-4"/>
          <w:sz w:val="28"/>
          <w:szCs w:val="28"/>
        </w:rPr>
        <w:t>i</w:t>
      </w:r>
      <w:r w:rsidR="000634B6" w:rsidRPr="007D675F">
        <w:rPr>
          <w:rFonts w:ascii="Times New Roman" w:hAnsi="Times New Roman"/>
          <w:bCs/>
          <w:iCs/>
          <w:spacing w:val="-4"/>
          <w:sz w:val="28"/>
          <w:szCs w:val="28"/>
        </w:rPr>
        <w:t xml:space="preserve">tīti ziņojuma pielikumā. </w:t>
      </w:r>
    </w:p>
    <w:p w14:paraId="5FD830D4" w14:textId="6AAEE5D2" w:rsidR="00F56196" w:rsidRPr="007D675F" w:rsidRDefault="008A2C4B" w:rsidP="00CE7F2B">
      <w:pPr>
        <w:spacing w:after="0" w:line="240" w:lineRule="auto"/>
        <w:ind w:firstLine="720"/>
        <w:jc w:val="both"/>
        <w:rPr>
          <w:rFonts w:ascii="Times New Roman" w:hAnsi="Times New Roman"/>
          <w:sz w:val="28"/>
          <w:szCs w:val="28"/>
        </w:rPr>
      </w:pPr>
      <w:r w:rsidRPr="007D675F">
        <w:rPr>
          <w:rFonts w:ascii="Times New Roman" w:hAnsi="Times New Roman"/>
          <w:sz w:val="28"/>
          <w:szCs w:val="28"/>
        </w:rPr>
        <w:t>I</w:t>
      </w:r>
      <w:r w:rsidR="005060D7" w:rsidRPr="007D675F">
        <w:rPr>
          <w:rFonts w:ascii="Times New Roman" w:hAnsi="Times New Roman"/>
          <w:sz w:val="28"/>
          <w:szCs w:val="28"/>
        </w:rPr>
        <w:t xml:space="preserve">zglītības programmas tika </w:t>
      </w:r>
      <w:r w:rsidRPr="007D675F">
        <w:rPr>
          <w:rFonts w:ascii="Times New Roman" w:hAnsi="Times New Roman"/>
          <w:sz w:val="28"/>
          <w:szCs w:val="28"/>
        </w:rPr>
        <w:t xml:space="preserve">atlasītas no </w:t>
      </w:r>
      <w:r w:rsidR="00B4118C" w:rsidRPr="007D675F">
        <w:rPr>
          <w:rFonts w:ascii="Times New Roman" w:hAnsi="Times New Roman"/>
          <w:sz w:val="28"/>
          <w:szCs w:val="28"/>
        </w:rPr>
        <w:t xml:space="preserve">Labklājības ministrijas </w:t>
      </w:r>
      <w:r w:rsidR="005060D7" w:rsidRPr="007D675F">
        <w:rPr>
          <w:rFonts w:ascii="Times New Roman" w:hAnsi="Times New Roman"/>
          <w:sz w:val="28"/>
          <w:szCs w:val="28"/>
        </w:rPr>
        <w:t xml:space="preserve">Apmācību komisijas </w:t>
      </w:r>
      <w:r w:rsidR="005060D7" w:rsidRPr="007D675F">
        <w:rPr>
          <w:rFonts w:ascii="Times New Roman" w:hAnsi="Times New Roman"/>
          <w:sz w:val="28"/>
          <w:szCs w:val="28"/>
          <w:lang w:eastAsia="lv-LV"/>
        </w:rPr>
        <w:t>(</w:t>
      </w:r>
      <w:r w:rsidR="004B7999" w:rsidRPr="007D675F">
        <w:rPr>
          <w:rFonts w:ascii="Times New Roman" w:hAnsi="Times New Roman"/>
          <w:sz w:val="28"/>
          <w:szCs w:val="28"/>
          <w:lang w:eastAsia="lv-LV"/>
        </w:rPr>
        <w:t xml:space="preserve">detalizētāka </w:t>
      </w:r>
      <w:r w:rsidR="00FD6851" w:rsidRPr="007D675F">
        <w:rPr>
          <w:rFonts w:ascii="Times New Roman" w:hAnsi="Times New Roman"/>
          <w:sz w:val="28"/>
          <w:szCs w:val="28"/>
          <w:lang w:eastAsia="lv-LV"/>
        </w:rPr>
        <w:t xml:space="preserve">informācija par komisiju </w:t>
      </w:r>
      <w:r w:rsidR="004B7999" w:rsidRPr="007D675F">
        <w:rPr>
          <w:rFonts w:ascii="Times New Roman" w:hAnsi="Times New Roman"/>
          <w:sz w:val="28"/>
          <w:szCs w:val="28"/>
          <w:lang w:eastAsia="lv-LV"/>
        </w:rPr>
        <w:t>ir sniegta ziņojuma pielikumā</w:t>
      </w:r>
      <w:r w:rsidR="00B4118C" w:rsidRPr="007D675F">
        <w:rPr>
          <w:rFonts w:ascii="Times New Roman" w:hAnsi="Times New Roman"/>
          <w:sz w:val="28"/>
          <w:szCs w:val="28"/>
          <w:lang w:eastAsia="lv-LV"/>
        </w:rPr>
        <w:t>)</w:t>
      </w:r>
      <w:r w:rsidR="00B4118C" w:rsidRPr="007D675F" w:rsidDel="00B4118C">
        <w:rPr>
          <w:rFonts w:ascii="Times New Roman" w:hAnsi="Times New Roman"/>
          <w:sz w:val="28"/>
          <w:szCs w:val="28"/>
        </w:rPr>
        <w:t xml:space="preserve"> </w:t>
      </w:r>
      <w:r w:rsidR="00B4118C" w:rsidRPr="007D675F">
        <w:rPr>
          <w:rFonts w:ascii="Times New Roman" w:hAnsi="Times New Roman"/>
          <w:sz w:val="28"/>
          <w:szCs w:val="28"/>
        </w:rPr>
        <w:t>a</w:t>
      </w:r>
      <w:r w:rsidRPr="007D675F">
        <w:rPr>
          <w:rFonts w:ascii="Times New Roman" w:hAnsi="Times New Roman"/>
          <w:sz w:val="28"/>
          <w:szCs w:val="28"/>
        </w:rPr>
        <w:t>pstiprinātā</w:t>
      </w:r>
      <w:r w:rsidR="005060D7" w:rsidRPr="007D675F">
        <w:rPr>
          <w:rFonts w:ascii="Times New Roman" w:hAnsi="Times New Roman"/>
          <w:sz w:val="28"/>
          <w:szCs w:val="28"/>
        </w:rPr>
        <w:t xml:space="preserve"> apmā</w:t>
      </w:r>
      <w:r w:rsidRPr="007D675F">
        <w:rPr>
          <w:rFonts w:ascii="Times New Roman" w:hAnsi="Times New Roman"/>
          <w:sz w:val="28"/>
          <w:szCs w:val="28"/>
        </w:rPr>
        <w:t>cību jomu un profesiju saraksta, kurā</w:t>
      </w:r>
      <w:r w:rsidR="005060D7" w:rsidRPr="007D675F">
        <w:rPr>
          <w:rFonts w:ascii="Times New Roman" w:hAnsi="Times New Roman"/>
          <w:sz w:val="28"/>
          <w:szCs w:val="28"/>
        </w:rPr>
        <w:t xml:space="preserve"> nepieciešams veikt bezdarbnieku apmācību, pārkvalifikāciju un kvalifikācijas paaugstināšanu</w:t>
      </w:r>
      <w:r w:rsidR="00170B3A" w:rsidRPr="007D675F">
        <w:rPr>
          <w:rFonts w:ascii="Times New Roman" w:hAnsi="Times New Roman"/>
          <w:sz w:val="28"/>
          <w:szCs w:val="28"/>
        </w:rPr>
        <w:t xml:space="preserve"> (turpmāk – apmācību saraksts), ievērojot nosacījumu, ka izglītības programmām ir jātiek īstenotām tajās valsts izglītības iestādēs, kurās ir veiktas ERAF infrastruktūras investīcijas, </w:t>
      </w:r>
      <w:r w:rsidR="00D651C6" w:rsidRPr="007D675F">
        <w:rPr>
          <w:rFonts w:ascii="Times New Roman" w:hAnsi="Times New Roman"/>
          <w:sz w:val="28"/>
          <w:szCs w:val="28"/>
        </w:rPr>
        <w:t xml:space="preserve">kas </w:t>
      </w:r>
      <w:r w:rsidR="00170B3A" w:rsidRPr="007D675F">
        <w:rPr>
          <w:rFonts w:ascii="Times New Roman" w:hAnsi="Times New Roman"/>
          <w:sz w:val="28"/>
          <w:szCs w:val="28"/>
        </w:rPr>
        <w:t>būtiski ierobe</w:t>
      </w:r>
      <w:r w:rsidR="00D651C6" w:rsidRPr="007D675F">
        <w:rPr>
          <w:rFonts w:ascii="Times New Roman" w:hAnsi="Times New Roman"/>
          <w:sz w:val="28"/>
          <w:szCs w:val="28"/>
        </w:rPr>
        <w:t xml:space="preserve">žoja </w:t>
      </w:r>
      <w:r w:rsidR="00FE502E" w:rsidRPr="007D675F">
        <w:rPr>
          <w:rFonts w:ascii="Times New Roman" w:hAnsi="Times New Roman"/>
          <w:sz w:val="28"/>
          <w:szCs w:val="28"/>
        </w:rPr>
        <w:t>i</w:t>
      </w:r>
      <w:r w:rsidR="00D651C6" w:rsidRPr="007D675F">
        <w:rPr>
          <w:rFonts w:ascii="Times New Roman" w:hAnsi="Times New Roman"/>
          <w:sz w:val="28"/>
          <w:szCs w:val="28"/>
        </w:rPr>
        <w:t>zmēģinājumprojekta</w:t>
      </w:r>
      <w:r w:rsidR="00170B3A" w:rsidRPr="007D675F">
        <w:rPr>
          <w:rFonts w:ascii="Times New Roman" w:hAnsi="Times New Roman"/>
          <w:sz w:val="28"/>
          <w:szCs w:val="28"/>
        </w:rPr>
        <w:t xml:space="preserve"> programmu un izglītības piedāvājuma klāstu. </w:t>
      </w:r>
      <w:proofErr w:type="spellStart"/>
      <w:r w:rsidR="00826C5C" w:rsidRPr="007D675F">
        <w:rPr>
          <w:rFonts w:ascii="Times New Roman" w:hAnsi="Times New Roman"/>
          <w:sz w:val="28"/>
          <w:szCs w:val="28"/>
        </w:rPr>
        <w:t>I</w:t>
      </w:r>
      <w:r w:rsidR="002E07F3" w:rsidRPr="007D675F">
        <w:rPr>
          <w:rFonts w:ascii="Times New Roman" w:hAnsi="Times New Roman"/>
          <w:sz w:val="28"/>
          <w:szCs w:val="28"/>
        </w:rPr>
        <w:t>zmēģinājumprojektā</w:t>
      </w:r>
      <w:proofErr w:type="spellEnd"/>
      <w:r w:rsidR="002E07F3" w:rsidRPr="007D675F">
        <w:rPr>
          <w:rFonts w:ascii="Times New Roman" w:hAnsi="Times New Roman"/>
          <w:sz w:val="28"/>
          <w:szCs w:val="28"/>
        </w:rPr>
        <w:t xml:space="preserve"> tika piesaistīta arī viena pašvaldības izglītības iestāde – Jelgavas Amatu vidusskola</w:t>
      </w:r>
      <w:r w:rsidR="00826C5C" w:rsidRPr="007D675F">
        <w:rPr>
          <w:rFonts w:ascii="Times New Roman" w:hAnsi="Times New Roman"/>
          <w:sz w:val="28"/>
          <w:szCs w:val="28"/>
        </w:rPr>
        <w:t xml:space="preserve">, </w:t>
      </w:r>
      <w:r w:rsidR="00826C5C" w:rsidRPr="007D675F">
        <w:rPr>
          <w:rFonts w:ascii="Times New Roman" w:hAnsi="Times New Roman"/>
          <w:sz w:val="28"/>
          <w:szCs w:val="28"/>
        </w:rPr>
        <w:lastRenderedPageBreak/>
        <w:t>jo tajā ir v</w:t>
      </w:r>
      <w:r w:rsidR="002E07F3" w:rsidRPr="007D675F">
        <w:rPr>
          <w:rFonts w:ascii="Times New Roman" w:hAnsi="Times New Roman"/>
          <w:sz w:val="28"/>
          <w:szCs w:val="28"/>
        </w:rPr>
        <w:t>eiktas ERAF investīcijas,</w:t>
      </w:r>
      <w:r w:rsidR="00826C5C" w:rsidRPr="007D675F">
        <w:rPr>
          <w:rFonts w:ascii="Times New Roman" w:hAnsi="Times New Roman"/>
          <w:sz w:val="28"/>
          <w:szCs w:val="28"/>
        </w:rPr>
        <w:t xml:space="preserve"> kā arī to</w:t>
      </w:r>
      <w:r w:rsidR="002E07F3" w:rsidRPr="007D675F">
        <w:rPr>
          <w:rFonts w:ascii="Times New Roman" w:hAnsi="Times New Roman"/>
          <w:sz w:val="28"/>
          <w:szCs w:val="28"/>
        </w:rPr>
        <w:t xml:space="preserve"> īstenotās programmas sakrīt ar </w:t>
      </w:r>
      <w:r w:rsidR="00826C5C" w:rsidRPr="007D675F">
        <w:rPr>
          <w:rFonts w:ascii="Times New Roman" w:hAnsi="Times New Roman"/>
          <w:sz w:val="28"/>
          <w:szCs w:val="28"/>
        </w:rPr>
        <w:t xml:space="preserve">Labklājības ministrijas </w:t>
      </w:r>
      <w:r w:rsidR="002E07F3" w:rsidRPr="007D675F">
        <w:rPr>
          <w:rFonts w:ascii="Times New Roman" w:hAnsi="Times New Roman"/>
          <w:sz w:val="28"/>
          <w:szCs w:val="28"/>
        </w:rPr>
        <w:t>Apmācību komisijas sarakstā esošaj</w:t>
      </w:r>
      <w:r w:rsidR="00826C5C" w:rsidRPr="007D675F">
        <w:rPr>
          <w:rFonts w:ascii="Times New Roman" w:hAnsi="Times New Roman"/>
          <w:sz w:val="28"/>
          <w:szCs w:val="28"/>
        </w:rPr>
        <w:t>ām</w:t>
      </w:r>
      <w:r w:rsidR="002E07F3" w:rsidRPr="007D675F">
        <w:rPr>
          <w:rFonts w:ascii="Times New Roman" w:hAnsi="Times New Roman"/>
          <w:sz w:val="28"/>
          <w:szCs w:val="28"/>
        </w:rPr>
        <w:t>.</w:t>
      </w:r>
    </w:p>
    <w:p w14:paraId="4A548792" w14:textId="52B3A6F1" w:rsidR="00F56196" w:rsidRPr="007D675F" w:rsidRDefault="00F56196" w:rsidP="00CE7F2B">
      <w:pPr>
        <w:spacing w:after="0" w:line="240" w:lineRule="auto"/>
        <w:ind w:firstLine="720"/>
        <w:jc w:val="both"/>
        <w:rPr>
          <w:rFonts w:ascii="Times New Roman" w:hAnsi="Times New Roman"/>
          <w:sz w:val="28"/>
          <w:szCs w:val="28"/>
        </w:rPr>
      </w:pPr>
      <w:r w:rsidRPr="007D675F">
        <w:rPr>
          <w:rFonts w:ascii="Times New Roman" w:hAnsi="Times New Roman"/>
          <w:sz w:val="28"/>
          <w:szCs w:val="28"/>
        </w:rPr>
        <w:t xml:space="preserve">Ņemot vērā to, ka </w:t>
      </w:r>
      <w:proofErr w:type="spellStart"/>
      <w:r w:rsidRPr="007D675F">
        <w:rPr>
          <w:rFonts w:ascii="Times New Roman" w:hAnsi="Times New Roman"/>
          <w:sz w:val="28"/>
          <w:szCs w:val="28"/>
        </w:rPr>
        <w:t>izmēģinājumprojektā</w:t>
      </w:r>
      <w:proofErr w:type="spellEnd"/>
      <w:r w:rsidRPr="007D675F">
        <w:rPr>
          <w:rFonts w:ascii="Times New Roman" w:hAnsi="Times New Roman"/>
          <w:sz w:val="28"/>
          <w:szCs w:val="28"/>
        </w:rPr>
        <w:t xml:space="preserve"> tika noteiktas konkrētas valsts un pašvaldību izglītības iestādes un tālākizglītības programmas (skat. 1.tabulu), Aģentūra neveica iepirkumu procedūru, kā tas notiek attiecībā uz profesionālās tālākizglītības programmu īstenošanu bezdarbniekiem ar kuponu metodi.</w:t>
      </w:r>
    </w:p>
    <w:p w14:paraId="4CCB32F6" w14:textId="77777777" w:rsidR="00170B3A" w:rsidRPr="007D675F" w:rsidRDefault="00170B3A" w:rsidP="00CE7F2B">
      <w:pPr>
        <w:spacing w:after="0" w:line="240" w:lineRule="auto"/>
        <w:ind w:firstLine="633"/>
        <w:jc w:val="both"/>
        <w:rPr>
          <w:rFonts w:ascii="Times New Roman" w:hAnsi="Times New Roman"/>
          <w:sz w:val="28"/>
          <w:szCs w:val="28"/>
        </w:rPr>
      </w:pPr>
      <w:proofErr w:type="spellStart"/>
      <w:r w:rsidRPr="007D675F">
        <w:rPr>
          <w:rFonts w:ascii="Times New Roman" w:hAnsi="Times New Roman"/>
          <w:sz w:val="28"/>
          <w:szCs w:val="28"/>
        </w:rPr>
        <w:t>Izmēģinājumprojekta</w:t>
      </w:r>
      <w:proofErr w:type="spellEnd"/>
      <w:r w:rsidRPr="007D675F">
        <w:rPr>
          <w:rFonts w:ascii="Times New Roman" w:hAnsi="Times New Roman"/>
          <w:sz w:val="28"/>
          <w:szCs w:val="28"/>
        </w:rPr>
        <w:t xml:space="preserve"> mērķa grupa bija bezdarbnieki, kuri atbilda šādiem kritērijiem: </w:t>
      </w:r>
    </w:p>
    <w:p w14:paraId="2A6EF849" w14:textId="77777777" w:rsidR="00170B3A" w:rsidRPr="007D675F" w:rsidRDefault="00170B3A" w:rsidP="00CE7F2B">
      <w:pPr>
        <w:numPr>
          <w:ilvl w:val="0"/>
          <w:numId w:val="17"/>
        </w:numPr>
        <w:spacing w:after="0" w:line="240" w:lineRule="auto"/>
        <w:ind w:left="993"/>
        <w:jc w:val="both"/>
        <w:rPr>
          <w:rFonts w:ascii="Times New Roman" w:hAnsi="Times New Roman"/>
          <w:sz w:val="28"/>
          <w:szCs w:val="28"/>
        </w:rPr>
      </w:pPr>
      <w:r w:rsidRPr="007D675F">
        <w:rPr>
          <w:rFonts w:ascii="Times New Roman" w:hAnsi="Times New Roman"/>
          <w:sz w:val="28"/>
          <w:szCs w:val="28"/>
        </w:rPr>
        <w:t xml:space="preserve">bezdarbnieks nav iepriekš ieguvis profesionālo kvalifikāciju; </w:t>
      </w:r>
    </w:p>
    <w:p w14:paraId="7E37D817" w14:textId="77777777" w:rsidR="00170B3A" w:rsidRPr="007D675F" w:rsidRDefault="00170B3A" w:rsidP="00CE7F2B">
      <w:pPr>
        <w:numPr>
          <w:ilvl w:val="0"/>
          <w:numId w:val="17"/>
        </w:numPr>
        <w:spacing w:after="0" w:line="240" w:lineRule="auto"/>
        <w:ind w:left="993"/>
        <w:jc w:val="both"/>
        <w:rPr>
          <w:rFonts w:ascii="Times New Roman" w:hAnsi="Times New Roman"/>
          <w:sz w:val="28"/>
          <w:szCs w:val="28"/>
        </w:rPr>
      </w:pPr>
      <w:r w:rsidRPr="007D675F">
        <w:rPr>
          <w:rFonts w:ascii="Times New Roman" w:hAnsi="Times New Roman"/>
          <w:sz w:val="28"/>
          <w:szCs w:val="28"/>
        </w:rPr>
        <w:t xml:space="preserve">iepriekš iegūta profesionālā kvalifikācija vai profesionālā pieredze nav pieprasīta darba tirgū, t.i., nav iekļauta apmācību sarakstā vai Aģentūras filiālēs administratīvajā teritorijā nav reģistrētu atbilstošu vakanču pēdējo trīs mēnešu laikā; </w:t>
      </w:r>
    </w:p>
    <w:p w14:paraId="3F69E6D0" w14:textId="77777777" w:rsidR="00170B3A" w:rsidRPr="007D675F" w:rsidRDefault="00170B3A" w:rsidP="00CE7F2B">
      <w:pPr>
        <w:numPr>
          <w:ilvl w:val="0"/>
          <w:numId w:val="17"/>
        </w:numPr>
        <w:spacing w:after="0" w:line="240" w:lineRule="auto"/>
        <w:ind w:left="993"/>
        <w:jc w:val="both"/>
        <w:rPr>
          <w:rFonts w:ascii="Times New Roman" w:hAnsi="Times New Roman"/>
          <w:sz w:val="28"/>
          <w:szCs w:val="28"/>
        </w:rPr>
      </w:pPr>
      <w:r w:rsidRPr="007D675F">
        <w:rPr>
          <w:rFonts w:ascii="Times New Roman" w:hAnsi="Times New Roman"/>
          <w:sz w:val="28"/>
          <w:szCs w:val="28"/>
        </w:rPr>
        <w:t xml:space="preserve">iepriekš iegūta profesionālā kvalifikācija neatbilst attiecīgai profesijai noteiktajām prasībām; </w:t>
      </w:r>
    </w:p>
    <w:p w14:paraId="5CC88829" w14:textId="77777777" w:rsidR="00170B3A" w:rsidRPr="007D675F" w:rsidRDefault="00170B3A" w:rsidP="00CE7F2B">
      <w:pPr>
        <w:numPr>
          <w:ilvl w:val="0"/>
          <w:numId w:val="17"/>
        </w:numPr>
        <w:spacing w:after="0" w:line="240" w:lineRule="auto"/>
        <w:ind w:left="993"/>
        <w:jc w:val="both"/>
        <w:rPr>
          <w:rFonts w:ascii="Times New Roman" w:hAnsi="Times New Roman"/>
          <w:sz w:val="28"/>
          <w:szCs w:val="28"/>
        </w:rPr>
      </w:pPr>
      <w:r w:rsidRPr="007D675F">
        <w:rPr>
          <w:rFonts w:ascii="Times New Roman" w:hAnsi="Times New Roman"/>
          <w:sz w:val="28"/>
          <w:szCs w:val="28"/>
        </w:rPr>
        <w:t xml:space="preserve">bezdarbnieks zaudējis profesionālās prasmes, jo nav strādājis iegūtajā profesijā vismaz pēdējos trīs gadus; </w:t>
      </w:r>
    </w:p>
    <w:p w14:paraId="141C7B7E" w14:textId="77777777" w:rsidR="00170B3A" w:rsidRPr="007D675F" w:rsidRDefault="00170B3A" w:rsidP="00CE7F2B">
      <w:pPr>
        <w:numPr>
          <w:ilvl w:val="0"/>
          <w:numId w:val="17"/>
        </w:numPr>
        <w:spacing w:after="0" w:line="240" w:lineRule="auto"/>
        <w:ind w:left="993"/>
        <w:jc w:val="both"/>
        <w:rPr>
          <w:rFonts w:ascii="Times New Roman" w:hAnsi="Times New Roman"/>
          <w:sz w:val="28"/>
          <w:szCs w:val="28"/>
        </w:rPr>
      </w:pPr>
      <w:r w:rsidRPr="007D675F">
        <w:rPr>
          <w:rFonts w:ascii="Times New Roman" w:hAnsi="Times New Roman"/>
          <w:sz w:val="28"/>
          <w:szCs w:val="28"/>
        </w:rPr>
        <w:t>veselības stāvokļa dēļ turpmāk nevar būt nodarbināts iegūtajā profesijā.</w:t>
      </w:r>
    </w:p>
    <w:p w14:paraId="23BA4826" w14:textId="77777777" w:rsidR="00170B3A" w:rsidRPr="007D675F" w:rsidRDefault="00170B3A" w:rsidP="00CE7F2B">
      <w:pPr>
        <w:spacing w:after="0" w:line="240" w:lineRule="auto"/>
        <w:ind w:firstLine="720"/>
        <w:jc w:val="both"/>
        <w:rPr>
          <w:rFonts w:ascii="Times New Roman" w:hAnsi="Times New Roman"/>
          <w:sz w:val="28"/>
          <w:szCs w:val="28"/>
        </w:rPr>
      </w:pPr>
    </w:p>
    <w:p w14:paraId="3C6E9633" w14:textId="77777777" w:rsidR="005060D7" w:rsidRPr="007D675F" w:rsidRDefault="005060D7" w:rsidP="00CE7F2B">
      <w:pPr>
        <w:spacing w:after="0" w:line="240" w:lineRule="auto"/>
        <w:jc w:val="right"/>
        <w:rPr>
          <w:rFonts w:ascii="Times New Roman" w:hAnsi="Times New Roman"/>
          <w:i/>
          <w:sz w:val="24"/>
          <w:szCs w:val="24"/>
        </w:rPr>
      </w:pPr>
      <w:r w:rsidRPr="007D675F">
        <w:rPr>
          <w:rFonts w:ascii="Times New Roman" w:hAnsi="Times New Roman"/>
          <w:i/>
          <w:sz w:val="24"/>
          <w:szCs w:val="24"/>
        </w:rPr>
        <w:t xml:space="preserve">Tabula Nr.1 </w:t>
      </w:r>
    </w:p>
    <w:p w14:paraId="7984E56F" w14:textId="77777777" w:rsidR="005060D7" w:rsidRPr="007D675F" w:rsidRDefault="005060D7" w:rsidP="00CE7F2B">
      <w:pPr>
        <w:spacing w:after="0" w:line="240" w:lineRule="auto"/>
        <w:jc w:val="center"/>
        <w:rPr>
          <w:rFonts w:ascii="Times New Roman" w:hAnsi="Times New Roman"/>
          <w:i/>
          <w:sz w:val="24"/>
          <w:szCs w:val="24"/>
        </w:rPr>
      </w:pPr>
      <w:r w:rsidRPr="007D675F">
        <w:rPr>
          <w:rFonts w:ascii="Times New Roman" w:hAnsi="Times New Roman"/>
          <w:i/>
          <w:sz w:val="24"/>
          <w:szCs w:val="24"/>
        </w:rPr>
        <w:t>Izglītības iestāžu un izglītības programmu saraksts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1672"/>
        <w:gridCol w:w="1398"/>
        <w:gridCol w:w="1370"/>
        <w:gridCol w:w="1391"/>
        <w:gridCol w:w="1096"/>
      </w:tblGrid>
      <w:tr w:rsidR="007D675F" w:rsidRPr="007D675F" w14:paraId="66A0E7E3" w14:textId="77777777" w:rsidTr="00BD2744">
        <w:trPr>
          <w:trHeight w:val="1128"/>
        </w:trPr>
        <w:tc>
          <w:tcPr>
            <w:tcW w:w="0" w:type="auto"/>
            <w:shd w:val="clear" w:color="auto" w:fill="D6E3BC" w:themeFill="accent3" w:themeFillTint="66"/>
          </w:tcPr>
          <w:p w14:paraId="7A62DB64"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b/>
                <w:sz w:val="20"/>
                <w:szCs w:val="20"/>
              </w:rPr>
              <w:t>Profesionālās izglītības iestādes nosaukums</w:t>
            </w:r>
          </w:p>
        </w:tc>
        <w:tc>
          <w:tcPr>
            <w:tcW w:w="0" w:type="auto"/>
            <w:shd w:val="clear" w:color="auto" w:fill="D6E3BC" w:themeFill="accent3" w:themeFillTint="66"/>
          </w:tcPr>
          <w:p w14:paraId="3D878623"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b/>
                <w:bCs/>
                <w:sz w:val="20"/>
                <w:szCs w:val="20"/>
              </w:rPr>
              <w:t>Profesionālās kvalifikācijas nosaukums</w:t>
            </w:r>
          </w:p>
        </w:tc>
        <w:tc>
          <w:tcPr>
            <w:tcW w:w="0" w:type="auto"/>
            <w:shd w:val="clear" w:color="auto" w:fill="D6E3BC" w:themeFill="accent3" w:themeFillTint="66"/>
          </w:tcPr>
          <w:p w14:paraId="1331BB78"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b/>
                <w:sz w:val="20"/>
                <w:szCs w:val="20"/>
              </w:rPr>
              <w:t>Izglītības programmas kopējais mācību stundu skaits</w:t>
            </w:r>
          </w:p>
        </w:tc>
        <w:tc>
          <w:tcPr>
            <w:tcW w:w="0" w:type="auto"/>
            <w:shd w:val="clear" w:color="auto" w:fill="D6E3BC" w:themeFill="accent3" w:themeFillTint="66"/>
          </w:tcPr>
          <w:p w14:paraId="75F19A65"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b/>
                <w:sz w:val="20"/>
                <w:szCs w:val="20"/>
              </w:rPr>
              <w:t>Maksimālais apmācāmo cilvēku skaits grupā</w:t>
            </w:r>
          </w:p>
        </w:tc>
        <w:tc>
          <w:tcPr>
            <w:tcW w:w="0" w:type="auto"/>
            <w:shd w:val="clear" w:color="auto" w:fill="D6E3BC" w:themeFill="accent3" w:themeFillTint="66"/>
          </w:tcPr>
          <w:p w14:paraId="50BD108C" w14:textId="1F594DC8" w:rsidR="00604546" w:rsidRPr="007D675F" w:rsidRDefault="00604546" w:rsidP="00CE7F2B">
            <w:pPr>
              <w:spacing w:after="0" w:line="240" w:lineRule="auto"/>
              <w:jc w:val="center"/>
              <w:rPr>
                <w:rFonts w:ascii="Times New Roman" w:hAnsi="Times New Roman"/>
                <w:b/>
                <w:sz w:val="20"/>
                <w:szCs w:val="20"/>
              </w:rPr>
            </w:pPr>
            <w:r w:rsidRPr="007D675F">
              <w:rPr>
                <w:rFonts w:ascii="Times New Roman" w:hAnsi="Times New Roman"/>
                <w:b/>
                <w:sz w:val="20"/>
                <w:szCs w:val="20"/>
              </w:rPr>
              <w:t>Izglītības programmās uzsāk</w:t>
            </w:r>
            <w:r w:rsidR="0002755E" w:rsidRPr="007D675F">
              <w:rPr>
                <w:rFonts w:ascii="Times New Roman" w:hAnsi="Times New Roman"/>
                <w:b/>
                <w:sz w:val="20"/>
                <w:szCs w:val="20"/>
              </w:rPr>
              <w:t>ušo</w:t>
            </w:r>
            <w:r w:rsidRPr="007D675F">
              <w:rPr>
                <w:rFonts w:ascii="Times New Roman" w:hAnsi="Times New Roman"/>
                <w:b/>
                <w:sz w:val="20"/>
                <w:szCs w:val="20"/>
              </w:rPr>
              <w:t xml:space="preserve"> dalībnieku skaits</w:t>
            </w:r>
          </w:p>
        </w:tc>
        <w:tc>
          <w:tcPr>
            <w:tcW w:w="0" w:type="auto"/>
            <w:shd w:val="clear" w:color="auto" w:fill="D6E3BC" w:themeFill="accent3" w:themeFillTint="66"/>
          </w:tcPr>
          <w:p w14:paraId="0030AE71" w14:textId="77777777" w:rsidR="00604546" w:rsidRPr="007D675F" w:rsidRDefault="00604546" w:rsidP="00CE7F2B">
            <w:pPr>
              <w:spacing w:after="0" w:line="240" w:lineRule="auto"/>
              <w:jc w:val="center"/>
              <w:rPr>
                <w:rFonts w:ascii="Times New Roman" w:hAnsi="Times New Roman"/>
                <w:b/>
                <w:sz w:val="20"/>
                <w:szCs w:val="20"/>
              </w:rPr>
            </w:pPr>
            <w:r w:rsidRPr="007D675F">
              <w:rPr>
                <w:rFonts w:ascii="Times New Roman" w:hAnsi="Times New Roman"/>
                <w:b/>
                <w:sz w:val="20"/>
                <w:szCs w:val="20"/>
              </w:rPr>
              <w:t>Pabeigušo skaits</w:t>
            </w:r>
          </w:p>
        </w:tc>
      </w:tr>
      <w:tr w:rsidR="007D675F" w:rsidRPr="007D675F" w14:paraId="20BF4791" w14:textId="77777777" w:rsidTr="00BD2744">
        <w:tc>
          <w:tcPr>
            <w:tcW w:w="0" w:type="auto"/>
            <w:gridSpan w:val="4"/>
            <w:shd w:val="clear" w:color="auto" w:fill="EAF1DD" w:themeFill="accent3" w:themeFillTint="33"/>
          </w:tcPr>
          <w:p w14:paraId="45ECCA34" w14:textId="77777777" w:rsidR="00604546" w:rsidRPr="007D675F" w:rsidRDefault="00604546" w:rsidP="00CE7F2B">
            <w:pPr>
              <w:tabs>
                <w:tab w:val="left" w:pos="2640"/>
                <w:tab w:val="center" w:pos="4393"/>
              </w:tabs>
              <w:spacing w:after="0" w:line="240" w:lineRule="auto"/>
              <w:rPr>
                <w:rFonts w:ascii="Times New Roman" w:hAnsi="Times New Roman"/>
                <w:sz w:val="20"/>
                <w:szCs w:val="20"/>
              </w:rPr>
            </w:pPr>
            <w:r w:rsidRPr="007D675F">
              <w:rPr>
                <w:rFonts w:ascii="Times New Roman" w:hAnsi="Times New Roman"/>
                <w:b/>
                <w:sz w:val="20"/>
                <w:szCs w:val="20"/>
              </w:rPr>
              <w:tab/>
            </w:r>
            <w:r w:rsidRPr="007D675F">
              <w:rPr>
                <w:rFonts w:ascii="Times New Roman" w:hAnsi="Times New Roman"/>
                <w:b/>
                <w:sz w:val="20"/>
                <w:szCs w:val="20"/>
              </w:rPr>
              <w:tab/>
              <w:t>Rīgas reģions</w:t>
            </w:r>
          </w:p>
        </w:tc>
        <w:tc>
          <w:tcPr>
            <w:tcW w:w="0" w:type="auto"/>
            <w:shd w:val="clear" w:color="auto" w:fill="EAF1DD" w:themeFill="accent3" w:themeFillTint="33"/>
            <w:vAlign w:val="center"/>
          </w:tcPr>
          <w:p w14:paraId="281613D8" w14:textId="77777777" w:rsidR="00604546" w:rsidRPr="007D675F" w:rsidRDefault="00604546" w:rsidP="00CE7F2B">
            <w:pPr>
              <w:tabs>
                <w:tab w:val="left" w:pos="2640"/>
                <w:tab w:val="center" w:pos="4393"/>
              </w:tabs>
              <w:spacing w:after="0" w:line="240" w:lineRule="auto"/>
              <w:rPr>
                <w:rFonts w:ascii="Times New Roman" w:hAnsi="Times New Roman"/>
                <w:b/>
                <w:sz w:val="20"/>
                <w:szCs w:val="20"/>
              </w:rPr>
            </w:pPr>
          </w:p>
        </w:tc>
        <w:tc>
          <w:tcPr>
            <w:tcW w:w="0" w:type="auto"/>
            <w:shd w:val="clear" w:color="auto" w:fill="EAF1DD" w:themeFill="accent3" w:themeFillTint="33"/>
            <w:vAlign w:val="center"/>
          </w:tcPr>
          <w:p w14:paraId="72040EF8" w14:textId="77777777" w:rsidR="00604546" w:rsidRPr="007D675F" w:rsidRDefault="00604546" w:rsidP="00CE7F2B">
            <w:pPr>
              <w:tabs>
                <w:tab w:val="left" w:pos="2640"/>
                <w:tab w:val="center" w:pos="4393"/>
              </w:tabs>
              <w:spacing w:after="0" w:line="240" w:lineRule="auto"/>
              <w:rPr>
                <w:rFonts w:ascii="Times New Roman" w:hAnsi="Times New Roman"/>
                <w:b/>
                <w:sz w:val="20"/>
                <w:szCs w:val="20"/>
              </w:rPr>
            </w:pPr>
          </w:p>
        </w:tc>
      </w:tr>
      <w:tr w:rsidR="007D675F" w:rsidRPr="007D675F" w14:paraId="54B4BD62" w14:textId="77777777" w:rsidTr="00384989">
        <w:trPr>
          <w:trHeight w:val="455"/>
        </w:trPr>
        <w:tc>
          <w:tcPr>
            <w:tcW w:w="0" w:type="auto"/>
            <w:vMerge w:val="restart"/>
            <w:vAlign w:val="center"/>
          </w:tcPr>
          <w:p w14:paraId="652948BC"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b/>
                <w:sz w:val="20"/>
                <w:szCs w:val="20"/>
              </w:rPr>
              <w:t>Rīgas 3.arodskola</w:t>
            </w:r>
          </w:p>
        </w:tc>
        <w:tc>
          <w:tcPr>
            <w:tcW w:w="0" w:type="auto"/>
          </w:tcPr>
          <w:p w14:paraId="7BD843F0" w14:textId="77777777" w:rsidR="00604546" w:rsidRPr="007D675F" w:rsidRDefault="00604546" w:rsidP="00CE7F2B">
            <w:pPr>
              <w:spacing w:after="0" w:line="240" w:lineRule="auto"/>
              <w:rPr>
                <w:rFonts w:ascii="Times New Roman" w:hAnsi="Times New Roman"/>
                <w:sz w:val="20"/>
                <w:szCs w:val="20"/>
              </w:rPr>
            </w:pPr>
            <w:proofErr w:type="spellStart"/>
            <w:r w:rsidRPr="007D675F">
              <w:rPr>
                <w:rFonts w:ascii="Times New Roman" w:hAnsi="Times New Roman"/>
                <w:i/>
                <w:sz w:val="20"/>
                <w:szCs w:val="20"/>
              </w:rPr>
              <w:t>Gāzmetinātājs</w:t>
            </w:r>
            <w:proofErr w:type="spellEnd"/>
          </w:p>
        </w:tc>
        <w:tc>
          <w:tcPr>
            <w:tcW w:w="0" w:type="auto"/>
            <w:vAlign w:val="center"/>
          </w:tcPr>
          <w:p w14:paraId="32B340C1"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sz w:val="20"/>
                <w:szCs w:val="20"/>
              </w:rPr>
              <w:t>480</w:t>
            </w:r>
          </w:p>
        </w:tc>
        <w:tc>
          <w:tcPr>
            <w:tcW w:w="0" w:type="auto"/>
            <w:vAlign w:val="center"/>
          </w:tcPr>
          <w:p w14:paraId="21C7FB9D"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sz w:val="20"/>
                <w:szCs w:val="20"/>
              </w:rPr>
              <w:t>12</w:t>
            </w:r>
          </w:p>
        </w:tc>
        <w:tc>
          <w:tcPr>
            <w:tcW w:w="0" w:type="auto"/>
            <w:vAlign w:val="center"/>
          </w:tcPr>
          <w:p w14:paraId="100C852A" w14:textId="77777777" w:rsidR="00604546" w:rsidRPr="007D675F" w:rsidRDefault="00384989" w:rsidP="00CE7F2B">
            <w:pPr>
              <w:spacing w:after="0" w:line="240" w:lineRule="auto"/>
              <w:jc w:val="center"/>
              <w:rPr>
                <w:rFonts w:ascii="Times New Roman" w:hAnsi="Times New Roman"/>
                <w:sz w:val="20"/>
                <w:szCs w:val="20"/>
              </w:rPr>
            </w:pPr>
            <w:r w:rsidRPr="007D675F">
              <w:rPr>
                <w:rFonts w:ascii="Times New Roman" w:hAnsi="Times New Roman"/>
                <w:sz w:val="20"/>
                <w:szCs w:val="20"/>
              </w:rPr>
              <w:t>-</w:t>
            </w:r>
          </w:p>
        </w:tc>
        <w:tc>
          <w:tcPr>
            <w:tcW w:w="0" w:type="auto"/>
            <w:vAlign w:val="center"/>
          </w:tcPr>
          <w:p w14:paraId="4B5D488A" w14:textId="77777777" w:rsidR="00604546" w:rsidRPr="007D675F" w:rsidRDefault="00384989" w:rsidP="00CE7F2B">
            <w:pPr>
              <w:spacing w:after="0" w:line="240" w:lineRule="auto"/>
              <w:jc w:val="center"/>
              <w:rPr>
                <w:rFonts w:ascii="Times New Roman" w:hAnsi="Times New Roman"/>
                <w:sz w:val="20"/>
                <w:szCs w:val="20"/>
              </w:rPr>
            </w:pPr>
            <w:r w:rsidRPr="007D675F">
              <w:rPr>
                <w:rFonts w:ascii="Times New Roman" w:hAnsi="Times New Roman"/>
                <w:sz w:val="20"/>
                <w:szCs w:val="20"/>
              </w:rPr>
              <w:t>-</w:t>
            </w:r>
          </w:p>
        </w:tc>
      </w:tr>
      <w:tr w:rsidR="007D675F" w:rsidRPr="007D675F" w14:paraId="07C32B2B" w14:textId="77777777" w:rsidTr="00384989">
        <w:tc>
          <w:tcPr>
            <w:tcW w:w="0" w:type="auto"/>
            <w:vMerge/>
          </w:tcPr>
          <w:p w14:paraId="34D23DFB" w14:textId="77777777" w:rsidR="00604546" w:rsidRPr="007D675F" w:rsidRDefault="00604546" w:rsidP="00CE7F2B">
            <w:pPr>
              <w:spacing w:after="0" w:line="240" w:lineRule="auto"/>
              <w:rPr>
                <w:rFonts w:ascii="Times New Roman" w:hAnsi="Times New Roman"/>
                <w:sz w:val="20"/>
                <w:szCs w:val="20"/>
              </w:rPr>
            </w:pPr>
          </w:p>
        </w:tc>
        <w:tc>
          <w:tcPr>
            <w:tcW w:w="0" w:type="auto"/>
            <w:vAlign w:val="center"/>
          </w:tcPr>
          <w:p w14:paraId="00A096D0" w14:textId="77777777" w:rsidR="00604546" w:rsidRPr="007D675F" w:rsidRDefault="00604546" w:rsidP="00CE7F2B">
            <w:pPr>
              <w:spacing w:after="0" w:line="240" w:lineRule="auto"/>
              <w:rPr>
                <w:rFonts w:ascii="Times New Roman" w:hAnsi="Times New Roman"/>
                <w:sz w:val="20"/>
                <w:szCs w:val="20"/>
              </w:rPr>
            </w:pPr>
            <w:r w:rsidRPr="007D675F">
              <w:rPr>
                <w:rFonts w:ascii="Times New Roman" w:hAnsi="Times New Roman"/>
                <w:i/>
                <w:sz w:val="20"/>
                <w:szCs w:val="20"/>
              </w:rPr>
              <w:t xml:space="preserve">Rokas </w:t>
            </w:r>
            <w:proofErr w:type="spellStart"/>
            <w:r w:rsidRPr="007D675F">
              <w:rPr>
                <w:rFonts w:ascii="Times New Roman" w:hAnsi="Times New Roman"/>
                <w:i/>
                <w:sz w:val="20"/>
                <w:szCs w:val="20"/>
              </w:rPr>
              <w:t>lokmetinātājs</w:t>
            </w:r>
            <w:proofErr w:type="spellEnd"/>
            <w:r w:rsidRPr="007D675F">
              <w:rPr>
                <w:rFonts w:ascii="Times New Roman" w:hAnsi="Times New Roman"/>
                <w:i/>
                <w:sz w:val="20"/>
                <w:szCs w:val="20"/>
              </w:rPr>
              <w:t xml:space="preserve"> (MMA)</w:t>
            </w:r>
          </w:p>
        </w:tc>
        <w:tc>
          <w:tcPr>
            <w:tcW w:w="0" w:type="auto"/>
            <w:vAlign w:val="center"/>
          </w:tcPr>
          <w:p w14:paraId="2BC647C3"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sz w:val="20"/>
                <w:szCs w:val="20"/>
              </w:rPr>
              <w:t>480</w:t>
            </w:r>
          </w:p>
        </w:tc>
        <w:tc>
          <w:tcPr>
            <w:tcW w:w="0" w:type="auto"/>
            <w:vAlign w:val="center"/>
          </w:tcPr>
          <w:p w14:paraId="70BBBF08"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sz w:val="20"/>
                <w:szCs w:val="20"/>
              </w:rPr>
              <w:t>12</w:t>
            </w:r>
          </w:p>
        </w:tc>
        <w:tc>
          <w:tcPr>
            <w:tcW w:w="0" w:type="auto"/>
            <w:vAlign w:val="center"/>
          </w:tcPr>
          <w:p w14:paraId="6D9C8E47" w14:textId="77777777" w:rsidR="00604546" w:rsidRPr="007D675F" w:rsidRDefault="00384989" w:rsidP="00CE7F2B">
            <w:pPr>
              <w:spacing w:after="0" w:line="240" w:lineRule="auto"/>
              <w:jc w:val="center"/>
              <w:rPr>
                <w:rFonts w:ascii="Times New Roman" w:hAnsi="Times New Roman"/>
                <w:sz w:val="20"/>
                <w:szCs w:val="20"/>
              </w:rPr>
            </w:pPr>
            <w:r w:rsidRPr="007D675F">
              <w:rPr>
                <w:rFonts w:ascii="Times New Roman" w:hAnsi="Times New Roman"/>
                <w:sz w:val="20"/>
                <w:szCs w:val="20"/>
              </w:rPr>
              <w:t>8</w:t>
            </w:r>
          </w:p>
        </w:tc>
        <w:tc>
          <w:tcPr>
            <w:tcW w:w="0" w:type="auto"/>
            <w:vAlign w:val="center"/>
          </w:tcPr>
          <w:p w14:paraId="2A0B1F79"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sz w:val="20"/>
                <w:szCs w:val="20"/>
              </w:rPr>
              <w:t>6</w:t>
            </w:r>
          </w:p>
        </w:tc>
      </w:tr>
      <w:tr w:rsidR="007D675F" w:rsidRPr="007D675F" w14:paraId="6B90B82D" w14:textId="77777777" w:rsidTr="00384989">
        <w:tc>
          <w:tcPr>
            <w:tcW w:w="0" w:type="auto"/>
            <w:vMerge/>
          </w:tcPr>
          <w:p w14:paraId="655BCBAA" w14:textId="77777777" w:rsidR="00604546" w:rsidRPr="007D675F" w:rsidRDefault="00604546" w:rsidP="00CE7F2B">
            <w:pPr>
              <w:spacing w:after="0" w:line="240" w:lineRule="auto"/>
              <w:rPr>
                <w:rFonts w:ascii="Times New Roman" w:hAnsi="Times New Roman"/>
                <w:sz w:val="20"/>
                <w:szCs w:val="20"/>
              </w:rPr>
            </w:pPr>
          </w:p>
        </w:tc>
        <w:tc>
          <w:tcPr>
            <w:tcW w:w="0" w:type="auto"/>
            <w:vAlign w:val="center"/>
          </w:tcPr>
          <w:p w14:paraId="0DA117B2" w14:textId="77777777" w:rsidR="00604546" w:rsidRPr="007D675F" w:rsidRDefault="00604546" w:rsidP="00CE7F2B">
            <w:pPr>
              <w:spacing w:after="0" w:line="240" w:lineRule="auto"/>
              <w:rPr>
                <w:rFonts w:ascii="Times New Roman" w:hAnsi="Times New Roman"/>
                <w:sz w:val="20"/>
                <w:szCs w:val="20"/>
              </w:rPr>
            </w:pPr>
            <w:proofErr w:type="spellStart"/>
            <w:r w:rsidRPr="007D675F">
              <w:rPr>
                <w:rFonts w:ascii="Times New Roman" w:hAnsi="Times New Roman"/>
                <w:i/>
                <w:sz w:val="20"/>
                <w:szCs w:val="20"/>
              </w:rPr>
              <w:t>Lokmetinātājs</w:t>
            </w:r>
            <w:proofErr w:type="spellEnd"/>
            <w:r w:rsidRPr="007D675F">
              <w:rPr>
                <w:rFonts w:ascii="Times New Roman" w:hAnsi="Times New Roman"/>
                <w:i/>
                <w:sz w:val="20"/>
                <w:szCs w:val="20"/>
              </w:rPr>
              <w:t xml:space="preserve"> metināšanā ar mehanizēto iekārtu inertās gāzes vidē (MIG)</w:t>
            </w:r>
          </w:p>
        </w:tc>
        <w:tc>
          <w:tcPr>
            <w:tcW w:w="0" w:type="auto"/>
            <w:vAlign w:val="center"/>
          </w:tcPr>
          <w:p w14:paraId="7816C075"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sz w:val="20"/>
                <w:szCs w:val="20"/>
              </w:rPr>
              <w:t>480</w:t>
            </w:r>
          </w:p>
        </w:tc>
        <w:tc>
          <w:tcPr>
            <w:tcW w:w="0" w:type="auto"/>
            <w:vAlign w:val="center"/>
          </w:tcPr>
          <w:p w14:paraId="1BE23C92"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sz w:val="20"/>
                <w:szCs w:val="20"/>
              </w:rPr>
              <w:t>12</w:t>
            </w:r>
          </w:p>
        </w:tc>
        <w:tc>
          <w:tcPr>
            <w:tcW w:w="0" w:type="auto"/>
            <w:vAlign w:val="center"/>
          </w:tcPr>
          <w:p w14:paraId="513A6E73"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sz w:val="20"/>
                <w:szCs w:val="20"/>
              </w:rPr>
              <w:t>12</w:t>
            </w:r>
          </w:p>
        </w:tc>
        <w:tc>
          <w:tcPr>
            <w:tcW w:w="0" w:type="auto"/>
            <w:vAlign w:val="center"/>
          </w:tcPr>
          <w:p w14:paraId="49AC2192"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sz w:val="20"/>
                <w:szCs w:val="20"/>
              </w:rPr>
              <w:t>8</w:t>
            </w:r>
          </w:p>
        </w:tc>
      </w:tr>
      <w:tr w:rsidR="007D675F" w:rsidRPr="007D675F" w14:paraId="12B18BDA" w14:textId="77777777" w:rsidTr="00384989">
        <w:tc>
          <w:tcPr>
            <w:tcW w:w="0" w:type="auto"/>
            <w:vMerge/>
          </w:tcPr>
          <w:p w14:paraId="29F683E5" w14:textId="77777777" w:rsidR="00604546" w:rsidRPr="007D675F" w:rsidRDefault="00604546" w:rsidP="00CE7F2B">
            <w:pPr>
              <w:spacing w:after="0" w:line="240" w:lineRule="auto"/>
              <w:rPr>
                <w:rFonts w:ascii="Times New Roman" w:hAnsi="Times New Roman"/>
                <w:sz w:val="20"/>
                <w:szCs w:val="20"/>
              </w:rPr>
            </w:pPr>
          </w:p>
        </w:tc>
        <w:tc>
          <w:tcPr>
            <w:tcW w:w="0" w:type="auto"/>
            <w:vAlign w:val="center"/>
          </w:tcPr>
          <w:p w14:paraId="712EB13E" w14:textId="77777777" w:rsidR="00604546" w:rsidRPr="007D675F" w:rsidRDefault="00604546" w:rsidP="00CE7F2B">
            <w:pPr>
              <w:spacing w:after="0" w:line="240" w:lineRule="auto"/>
              <w:rPr>
                <w:rFonts w:ascii="Times New Roman" w:hAnsi="Times New Roman"/>
                <w:sz w:val="20"/>
                <w:szCs w:val="20"/>
              </w:rPr>
            </w:pPr>
            <w:proofErr w:type="spellStart"/>
            <w:r w:rsidRPr="007D675F">
              <w:rPr>
                <w:rFonts w:ascii="Times New Roman" w:hAnsi="Times New Roman"/>
                <w:i/>
                <w:sz w:val="20"/>
                <w:szCs w:val="20"/>
              </w:rPr>
              <w:t>Lokmetinātājs</w:t>
            </w:r>
            <w:proofErr w:type="spellEnd"/>
            <w:r w:rsidRPr="007D675F">
              <w:rPr>
                <w:rFonts w:ascii="Times New Roman" w:hAnsi="Times New Roman"/>
                <w:i/>
                <w:sz w:val="20"/>
                <w:szCs w:val="20"/>
              </w:rPr>
              <w:t xml:space="preserve"> metināšanā ar mehanizēto iekārtu aktīvās gāzes vidē (MAG)</w:t>
            </w:r>
          </w:p>
        </w:tc>
        <w:tc>
          <w:tcPr>
            <w:tcW w:w="0" w:type="auto"/>
            <w:vAlign w:val="center"/>
          </w:tcPr>
          <w:p w14:paraId="27529B8D"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sz w:val="20"/>
                <w:szCs w:val="20"/>
              </w:rPr>
              <w:t>480</w:t>
            </w:r>
          </w:p>
        </w:tc>
        <w:tc>
          <w:tcPr>
            <w:tcW w:w="0" w:type="auto"/>
            <w:vAlign w:val="center"/>
          </w:tcPr>
          <w:p w14:paraId="272625CC"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sz w:val="20"/>
                <w:szCs w:val="20"/>
              </w:rPr>
              <w:t>12</w:t>
            </w:r>
          </w:p>
        </w:tc>
        <w:tc>
          <w:tcPr>
            <w:tcW w:w="0" w:type="auto"/>
            <w:vAlign w:val="center"/>
          </w:tcPr>
          <w:p w14:paraId="7D84D813"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sz w:val="20"/>
                <w:szCs w:val="20"/>
              </w:rPr>
              <w:t>12</w:t>
            </w:r>
          </w:p>
        </w:tc>
        <w:tc>
          <w:tcPr>
            <w:tcW w:w="0" w:type="auto"/>
            <w:vAlign w:val="center"/>
          </w:tcPr>
          <w:p w14:paraId="6C62505A"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sz w:val="20"/>
                <w:szCs w:val="20"/>
              </w:rPr>
              <w:t>12</w:t>
            </w:r>
          </w:p>
        </w:tc>
      </w:tr>
      <w:tr w:rsidR="007D675F" w:rsidRPr="007D675F" w14:paraId="56350181" w14:textId="77777777" w:rsidTr="00384989">
        <w:tc>
          <w:tcPr>
            <w:tcW w:w="0" w:type="auto"/>
            <w:vMerge/>
          </w:tcPr>
          <w:p w14:paraId="404EE71D" w14:textId="77777777" w:rsidR="00604546" w:rsidRPr="007D675F" w:rsidRDefault="00604546" w:rsidP="00CE7F2B">
            <w:pPr>
              <w:spacing w:after="0" w:line="240" w:lineRule="auto"/>
              <w:rPr>
                <w:rFonts w:ascii="Times New Roman" w:hAnsi="Times New Roman"/>
                <w:sz w:val="20"/>
                <w:szCs w:val="20"/>
              </w:rPr>
            </w:pPr>
          </w:p>
        </w:tc>
        <w:tc>
          <w:tcPr>
            <w:tcW w:w="0" w:type="auto"/>
            <w:vAlign w:val="center"/>
          </w:tcPr>
          <w:p w14:paraId="2E0510DD" w14:textId="77777777" w:rsidR="00604546" w:rsidRPr="007D675F" w:rsidRDefault="00604546" w:rsidP="00CE7F2B">
            <w:pPr>
              <w:spacing w:after="0" w:line="240" w:lineRule="auto"/>
              <w:rPr>
                <w:rFonts w:ascii="Times New Roman" w:hAnsi="Times New Roman"/>
                <w:sz w:val="20"/>
                <w:szCs w:val="20"/>
              </w:rPr>
            </w:pPr>
            <w:proofErr w:type="spellStart"/>
            <w:r w:rsidRPr="007D675F">
              <w:rPr>
                <w:rFonts w:ascii="Times New Roman" w:hAnsi="Times New Roman"/>
                <w:i/>
                <w:sz w:val="20"/>
                <w:szCs w:val="20"/>
              </w:rPr>
              <w:t>Lokmetinātājs</w:t>
            </w:r>
            <w:proofErr w:type="spellEnd"/>
            <w:r w:rsidRPr="007D675F">
              <w:rPr>
                <w:rFonts w:ascii="Times New Roman" w:hAnsi="Times New Roman"/>
                <w:i/>
                <w:sz w:val="20"/>
                <w:szCs w:val="20"/>
              </w:rPr>
              <w:t xml:space="preserve"> metināšanā ar volframa </w:t>
            </w:r>
            <w:r w:rsidRPr="007D675F">
              <w:rPr>
                <w:rFonts w:ascii="Times New Roman" w:hAnsi="Times New Roman"/>
                <w:i/>
                <w:sz w:val="20"/>
                <w:szCs w:val="20"/>
              </w:rPr>
              <w:lastRenderedPageBreak/>
              <w:t>elektrodu inertās gāzes vidē (TIG)</w:t>
            </w:r>
          </w:p>
        </w:tc>
        <w:tc>
          <w:tcPr>
            <w:tcW w:w="0" w:type="auto"/>
            <w:vAlign w:val="center"/>
          </w:tcPr>
          <w:p w14:paraId="1364B326"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sz w:val="20"/>
                <w:szCs w:val="20"/>
              </w:rPr>
              <w:lastRenderedPageBreak/>
              <w:t>480</w:t>
            </w:r>
          </w:p>
        </w:tc>
        <w:tc>
          <w:tcPr>
            <w:tcW w:w="0" w:type="auto"/>
            <w:vAlign w:val="center"/>
          </w:tcPr>
          <w:p w14:paraId="19396983"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sz w:val="20"/>
                <w:szCs w:val="20"/>
              </w:rPr>
              <w:t>12</w:t>
            </w:r>
          </w:p>
        </w:tc>
        <w:tc>
          <w:tcPr>
            <w:tcW w:w="0" w:type="auto"/>
            <w:vAlign w:val="center"/>
          </w:tcPr>
          <w:p w14:paraId="4A917C9D"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sz w:val="20"/>
                <w:szCs w:val="20"/>
              </w:rPr>
              <w:t>12</w:t>
            </w:r>
          </w:p>
        </w:tc>
        <w:tc>
          <w:tcPr>
            <w:tcW w:w="0" w:type="auto"/>
            <w:vAlign w:val="center"/>
          </w:tcPr>
          <w:p w14:paraId="4A666B73"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sz w:val="20"/>
                <w:szCs w:val="20"/>
              </w:rPr>
              <w:t>7</w:t>
            </w:r>
          </w:p>
        </w:tc>
      </w:tr>
      <w:tr w:rsidR="007D675F" w:rsidRPr="007D675F" w14:paraId="76CC4927" w14:textId="77777777" w:rsidTr="00384989">
        <w:tc>
          <w:tcPr>
            <w:tcW w:w="0" w:type="auto"/>
            <w:gridSpan w:val="4"/>
          </w:tcPr>
          <w:p w14:paraId="4A878CD3" w14:textId="77777777" w:rsidR="00604546" w:rsidRPr="007D675F" w:rsidRDefault="00604546" w:rsidP="00CE7F2B">
            <w:pPr>
              <w:spacing w:after="0" w:line="240" w:lineRule="auto"/>
              <w:jc w:val="right"/>
              <w:rPr>
                <w:rFonts w:ascii="Times New Roman" w:hAnsi="Times New Roman"/>
                <w:sz w:val="20"/>
                <w:szCs w:val="20"/>
              </w:rPr>
            </w:pPr>
            <w:r w:rsidRPr="007D675F">
              <w:rPr>
                <w:rFonts w:ascii="Times New Roman" w:hAnsi="Times New Roman"/>
                <w:sz w:val="20"/>
                <w:szCs w:val="20"/>
              </w:rPr>
              <w:lastRenderedPageBreak/>
              <w:t>Plānotais apmācāmo cilvēku skaits - 60</w:t>
            </w:r>
          </w:p>
        </w:tc>
        <w:tc>
          <w:tcPr>
            <w:tcW w:w="0" w:type="auto"/>
            <w:vAlign w:val="center"/>
          </w:tcPr>
          <w:p w14:paraId="4D32681F" w14:textId="77777777" w:rsidR="00604546" w:rsidRPr="007D675F" w:rsidRDefault="00353525" w:rsidP="00CE7F2B">
            <w:pPr>
              <w:spacing w:after="0" w:line="240" w:lineRule="auto"/>
              <w:jc w:val="center"/>
              <w:rPr>
                <w:rFonts w:ascii="Times New Roman" w:hAnsi="Times New Roman"/>
                <w:sz w:val="20"/>
                <w:szCs w:val="20"/>
              </w:rPr>
            </w:pPr>
            <w:r w:rsidRPr="007D675F">
              <w:rPr>
                <w:rFonts w:ascii="Times New Roman" w:hAnsi="Times New Roman"/>
                <w:sz w:val="20"/>
                <w:szCs w:val="20"/>
              </w:rPr>
              <w:t>Kopā</w:t>
            </w:r>
            <w:r w:rsidR="00384989" w:rsidRPr="007D675F">
              <w:rPr>
                <w:rFonts w:ascii="Times New Roman" w:hAnsi="Times New Roman"/>
                <w:sz w:val="20"/>
                <w:szCs w:val="20"/>
              </w:rPr>
              <w:t xml:space="preserve"> - 44</w:t>
            </w:r>
          </w:p>
        </w:tc>
        <w:tc>
          <w:tcPr>
            <w:tcW w:w="0" w:type="auto"/>
            <w:vAlign w:val="center"/>
          </w:tcPr>
          <w:p w14:paraId="21D15590" w14:textId="77777777" w:rsidR="00604546" w:rsidRPr="007D675F" w:rsidRDefault="00353525" w:rsidP="00CE7F2B">
            <w:pPr>
              <w:spacing w:after="0" w:line="240" w:lineRule="auto"/>
              <w:jc w:val="center"/>
              <w:rPr>
                <w:rFonts w:ascii="Times New Roman" w:hAnsi="Times New Roman"/>
                <w:sz w:val="20"/>
                <w:szCs w:val="20"/>
              </w:rPr>
            </w:pPr>
            <w:r w:rsidRPr="007D675F">
              <w:rPr>
                <w:rFonts w:ascii="Times New Roman" w:hAnsi="Times New Roman"/>
                <w:sz w:val="20"/>
                <w:szCs w:val="20"/>
              </w:rPr>
              <w:t>Kopā</w:t>
            </w:r>
            <w:r w:rsidR="00384989" w:rsidRPr="007D675F">
              <w:rPr>
                <w:rFonts w:ascii="Times New Roman" w:hAnsi="Times New Roman"/>
                <w:sz w:val="20"/>
                <w:szCs w:val="20"/>
              </w:rPr>
              <w:t xml:space="preserve"> - 33</w:t>
            </w:r>
          </w:p>
        </w:tc>
      </w:tr>
      <w:tr w:rsidR="007D675F" w:rsidRPr="007D675F" w14:paraId="138630A6" w14:textId="77777777" w:rsidTr="00384989">
        <w:tblPrEx>
          <w:jc w:val="center"/>
        </w:tblPrEx>
        <w:trPr>
          <w:trHeight w:val="314"/>
          <w:jc w:val="center"/>
        </w:trPr>
        <w:tc>
          <w:tcPr>
            <w:tcW w:w="0" w:type="auto"/>
            <w:vMerge w:val="restart"/>
            <w:vAlign w:val="center"/>
          </w:tcPr>
          <w:p w14:paraId="161F6730" w14:textId="72B1731B" w:rsidR="00604546" w:rsidRPr="007D675F" w:rsidRDefault="00604546" w:rsidP="00CE7F2B">
            <w:pPr>
              <w:spacing w:after="0" w:line="240" w:lineRule="auto"/>
              <w:jc w:val="center"/>
              <w:rPr>
                <w:rFonts w:ascii="Times New Roman" w:hAnsi="Times New Roman"/>
                <w:b/>
                <w:sz w:val="20"/>
                <w:szCs w:val="20"/>
              </w:rPr>
            </w:pPr>
            <w:r w:rsidRPr="007D675F">
              <w:rPr>
                <w:rFonts w:ascii="Times New Roman" w:hAnsi="Times New Roman"/>
                <w:b/>
                <w:i/>
                <w:sz w:val="20"/>
                <w:szCs w:val="20"/>
              </w:rPr>
              <w:t>Sociālās integrācijas valsts aģentūras</w:t>
            </w:r>
            <w:r w:rsidRPr="007D675F">
              <w:rPr>
                <w:rFonts w:ascii="Times New Roman" w:hAnsi="Times New Roman"/>
                <w:b/>
                <w:sz w:val="20"/>
                <w:szCs w:val="20"/>
              </w:rPr>
              <w:t xml:space="preserve"> </w:t>
            </w:r>
            <w:r w:rsidR="007463BA" w:rsidRPr="007D675F">
              <w:rPr>
                <w:rFonts w:ascii="Times New Roman" w:hAnsi="Times New Roman"/>
                <w:b/>
                <w:sz w:val="20"/>
                <w:szCs w:val="20"/>
              </w:rPr>
              <w:t xml:space="preserve">(SIVA) </w:t>
            </w:r>
            <w:r w:rsidRPr="007D675F">
              <w:rPr>
                <w:rFonts w:ascii="Times New Roman" w:hAnsi="Times New Roman"/>
                <w:b/>
                <w:sz w:val="20"/>
                <w:szCs w:val="20"/>
              </w:rPr>
              <w:t>Jūrmalas profesionālā vidusskola</w:t>
            </w:r>
            <w:r w:rsidR="00A065F7" w:rsidRPr="007D675F">
              <w:rPr>
                <w:rFonts w:ascii="Times New Roman" w:hAnsi="Times New Roman"/>
                <w:b/>
                <w:sz w:val="20"/>
                <w:szCs w:val="20"/>
              </w:rPr>
              <w:t xml:space="preserve"> </w:t>
            </w:r>
          </w:p>
        </w:tc>
        <w:tc>
          <w:tcPr>
            <w:tcW w:w="0" w:type="auto"/>
            <w:vAlign w:val="center"/>
          </w:tcPr>
          <w:p w14:paraId="4DC66664" w14:textId="77777777" w:rsidR="00604546" w:rsidRPr="007D675F" w:rsidRDefault="00604546" w:rsidP="00CE7F2B">
            <w:pPr>
              <w:spacing w:after="0" w:line="240" w:lineRule="auto"/>
              <w:rPr>
                <w:rFonts w:ascii="Times New Roman" w:hAnsi="Times New Roman"/>
                <w:i/>
                <w:sz w:val="20"/>
                <w:szCs w:val="20"/>
              </w:rPr>
            </w:pPr>
            <w:r w:rsidRPr="007D675F">
              <w:rPr>
                <w:rFonts w:ascii="Times New Roman" w:hAnsi="Times New Roman"/>
                <w:i/>
                <w:sz w:val="20"/>
                <w:szCs w:val="20"/>
              </w:rPr>
              <w:t>Konditora palīgs</w:t>
            </w:r>
          </w:p>
        </w:tc>
        <w:tc>
          <w:tcPr>
            <w:tcW w:w="0" w:type="auto"/>
            <w:vAlign w:val="center"/>
          </w:tcPr>
          <w:p w14:paraId="4F52EEE2"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sz w:val="20"/>
                <w:szCs w:val="20"/>
              </w:rPr>
              <w:t>480</w:t>
            </w:r>
          </w:p>
        </w:tc>
        <w:tc>
          <w:tcPr>
            <w:tcW w:w="0" w:type="auto"/>
            <w:vAlign w:val="center"/>
          </w:tcPr>
          <w:p w14:paraId="3BA324CD"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sz w:val="20"/>
                <w:szCs w:val="20"/>
              </w:rPr>
              <w:t>12</w:t>
            </w:r>
          </w:p>
        </w:tc>
        <w:tc>
          <w:tcPr>
            <w:tcW w:w="0" w:type="auto"/>
            <w:vAlign w:val="center"/>
          </w:tcPr>
          <w:p w14:paraId="7CC797FF"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sz w:val="20"/>
                <w:szCs w:val="20"/>
              </w:rPr>
              <w:t>23</w:t>
            </w:r>
          </w:p>
        </w:tc>
        <w:tc>
          <w:tcPr>
            <w:tcW w:w="0" w:type="auto"/>
            <w:vAlign w:val="center"/>
          </w:tcPr>
          <w:p w14:paraId="101F1570"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sz w:val="20"/>
                <w:szCs w:val="20"/>
              </w:rPr>
              <w:t>16</w:t>
            </w:r>
          </w:p>
        </w:tc>
      </w:tr>
      <w:tr w:rsidR="007D675F" w:rsidRPr="007D675F" w14:paraId="61E1E7AC" w14:textId="77777777" w:rsidTr="00384989">
        <w:tblPrEx>
          <w:jc w:val="center"/>
        </w:tblPrEx>
        <w:trPr>
          <w:trHeight w:val="362"/>
          <w:jc w:val="center"/>
        </w:trPr>
        <w:tc>
          <w:tcPr>
            <w:tcW w:w="0" w:type="auto"/>
            <w:vMerge/>
          </w:tcPr>
          <w:p w14:paraId="1E05044F" w14:textId="77777777" w:rsidR="00604546" w:rsidRPr="007D675F" w:rsidRDefault="00604546" w:rsidP="00CE7F2B">
            <w:pPr>
              <w:spacing w:after="0" w:line="240" w:lineRule="auto"/>
              <w:rPr>
                <w:rFonts w:ascii="Times New Roman" w:hAnsi="Times New Roman"/>
                <w:sz w:val="20"/>
                <w:szCs w:val="20"/>
              </w:rPr>
            </w:pPr>
          </w:p>
        </w:tc>
        <w:tc>
          <w:tcPr>
            <w:tcW w:w="0" w:type="auto"/>
            <w:vAlign w:val="center"/>
          </w:tcPr>
          <w:p w14:paraId="4183006C" w14:textId="77777777" w:rsidR="00604546" w:rsidRPr="007D675F" w:rsidRDefault="00604546" w:rsidP="00CE7F2B">
            <w:pPr>
              <w:spacing w:after="0" w:line="240" w:lineRule="auto"/>
              <w:rPr>
                <w:rFonts w:ascii="Times New Roman" w:hAnsi="Times New Roman"/>
                <w:sz w:val="20"/>
                <w:szCs w:val="20"/>
              </w:rPr>
            </w:pPr>
            <w:r w:rsidRPr="007D675F">
              <w:rPr>
                <w:rFonts w:ascii="Times New Roman" w:hAnsi="Times New Roman"/>
                <w:i/>
                <w:sz w:val="20"/>
                <w:szCs w:val="20"/>
              </w:rPr>
              <w:t>Datorsistēmu tehniķis</w:t>
            </w:r>
          </w:p>
        </w:tc>
        <w:tc>
          <w:tcPr>
            <w:tcW w:w="0" w:type="auto"/>
            <w:vAlign w:val="center"/>
          </w:tcPr>
          <w:p w14:paraId="59B41223"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sz w:val="20"/>
                <w:szCs w:val="20"/>
              </w:rPr>
              <w:t>960</w:t>
            </w:r>
          </w:p>
        </w:tc>
        <w:tc>
          <w:tcPr>
            <w:tcW w:w="0" w:type="auto"/>
            <w:vAlign w:val="center"/>
          </w:tcPr>
          <w:p w14:paraId="6C28BFEC"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sz w:val="20"/>
                <w:szCs w:val="20"/>
              </w:rPr>
              <w:t>12</w:t>
            </w:r>
          </w:p>
        </w:tc>
        <w:tc>
          <w:tcPr>
            <w:tcW w:w="0" w:type="auto"/>
            <w:vAlign w:val="center"/>
          </w:tcPr>
          <w:p w14:paraId="7257C08F"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sz w:val="20"/>
                <w:szCs w:val="20"/>
              </w:rPr>
              <w:t>24</w:t>
            </w:r>
          </w:p>
        </w:tc>
        <w:tc>
          <w:tcPr>
            <w:tcW w:w="0" w:type="auto"/>
            <w:vAlign w:val="center"/>
          </w:tcPr>
          <w:p w14:paraId="2B8329A8"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sz w:val="20"/>
                <w:szCs w:val="20"/>
              </w:rPr>
              <w:t>18</w:t>
            </w:r>
          </w:p>
        </w:tc>
      </w:tr>
      <w:tr w:rsidR="007D675F" w:rsidRPr="007D675F" w14:paraId="4FDD7C18" w14:textId="77777777" w:rsidTr="00384989">
        <w:tblPrEx>
          <w:jc w:val="center"/>
        </w:tblPrEx>
        <w:trPr>
          <w:jc w:val="center"/>
        </w:trPr>
        <w:tc>
          <w:tcPr>
            <w:tcW w:w="0" w:type="auto"/>
            <w:gridSpan w:val="4"/>
          </w:tcPr>
          <w:p w14:paraId="3281A2ED" w14:textId="77777777" w:rsidR="00384989" w:rsidRPr="007D675F" w:rsidRDefault="00384989" w:rsidP="00CE7F2B">
            <w:pPr>
              <w:spacing w:after="0" w:line="240" w:lineRule="auto"/>
              <w:jc w:val="right"/>
              <w:rPr>
                <w:rFonts w:ascii="Times New Roman" w:hAnsi="Times New Roman"/>
                <w:sz w:val="20"/>
                <w:szCs w:val="20"/>
              </w:rPr>
            </w:pPr>
            <w:r w:rsidRPr="007D675F">
              <w:rPr>
                <w:rFonts w:ascii="Times New Roman" w:hAnsi="Times New Roman"/>
                <w:sz w:val="20"/>
                <w:szCs w:val="20"/>
              </w:rPr>
              <w:t>Plānotais apmācāmo cilvēku skaits - 48</w:t>
            </w:r>
          </w:p>
        </w:tc>
        <w:tc>
          <w:tcPr>
            <w:tcW w:w="0" w:type="auto"/>
            <w:vAlign w:val="center"/>
          </w:tcPr>
          <w:p w14:paraId="32543816" w14:textId="77777777" w:rsidR="00384989" w:rsidRPr="007D675F" w:rsidRDefault="00384989" w:rsidP="00CE7F2B">
            <w:pPr>
              <w:spacing w:after="0" w:line="240" w:lineRule="auto"/>
              <w:jc w:val="center"/>
              <w:rPr>
                <w:rFonts w:ascii="Times New Roman" w:hAnsi="Times New Roman"/>
                <w:sz w:val="20"/>
                <w:szCs w:val="20"/>
              </w:rPr>
            </w:pPr>
            <w:r w:rsidRPr="007D675F">
              <w:rPr>
                <w:rFonts w:ascii="Times New Roman" w:hAnsi="Times New Roman"/>
                <w:sz w:val="20"/>
                <w:szCs w:val="20"/>
              </w:rPr>
              <w:t>Kopā - 47</w:t>
            </w:r>
          </w:p>
        </w:tc>
        <w:tc>
          <w:tcPr>
            <w:tcW w:w="0" w:type="auto"/>
            <w:vAlign w:val="center"/>
          </w:tcPr>
          <w:p w14:paraId="63F88399" w14:textId="77777777" w:rsidR="00384989" w:rsidRPr="007D675F" w:rsidRDefault="00384989" w:rsidP="00CE7F2B">
            <w:pPr>
              <w:spacing w:after="0" w:line="240" w:lineRule="auto"/>
              <w:jc w:val="center"/>
              <w:rPr>
                <w:rFonts w:ascii="Times New Roman" w:hAnsi="Times New Roman"/>
                <w:sz w:val="20"/>
                <w:szCs w:val="20"/>
              </w:rPr>
            </w:pPr>
            <w:r w:rsidRPr="007D675F">
              <w:rPr>
                <w:rFonts w:ascii="Times New Roman" w:hAnsi="Times New Roman"/>
                <w:sz w:val="20"/>
                <w:szCs w:val="20"/>
              </w:rPr>
              <w:t>Kopā 34</w:t>
            </w:r>
          </w:p>
        </w:tc>
      </w:tr>
      <w:tr w:rsidR="007D675F" w:rsidRPr="007D675F" w14:paraId="495BDEDD" w14:textId="77777777" w:rsidTr="00BD2744">
        <w:tblPrEx>
          <w:jc w:val="center"/>
        </w:tblPrEx>
        <w:trPr>
          <w:jc w:val="center"/>
        </w:trPr>
        <w:tc>
          <w:tcPr>
            <w:tcW w:w="0" w:type="auto"/>
            <w:gridSpan w:val="4"/>
            <w:shd w:val="clear" w:color="auto" w:fill="EAF1DD" w:themeFill="accent3" w:themeFillTint="33"/>
          </w:tcPr>
          <w:p w14:paraId="7EEE73B1" w14:textId="77777777" w:rsidR="00604546" w:rsidRPr="007D675F" w:rsidRDefault="00604546" w:rsidP="00CE7F2B">
            <w:pPr>
              <w:spacing w:after="0" w:line="240" w:lineRule="auto"/>
              <w:jc w:val="center"/>
              <w:rPr>
                <w:rFonts w:ascii="Times New Roman" w:hAnsi="Times New Roman"/>
                <w:b/>
                <w:sz w:val="20"/>
                <w:szCs w:val="20"/>
              </w:rPr>
            </w:pPr>
            <w:r w:rsidRPr="007D675F">
              <w:rPr>
                <w:rFonts w:ascii="Times New Roman" w:hAnsi="Times New Roman"/>
                <w:b/>
                <w:sz w:val="20"/>
                <w:szCs w:val="20"/>
              </w:rPr>
              <w:t>Zemgale</w:t>
            </w:r>
          </w:p>
        </w:tc>
        <w:tc>
          <w:tcPr>
            <w:tcW w:w="0" w:type="auto"/>
            <w:shd w:val="clear" w:color="auto" w:fill="EAF1DD" w:themeFill="accent3" w:themeFillTint="33"/>
            <w:vAlign w:val="center"/>
          </w:tcPr>
          <w:p w14:paraId="1CD93860" w14:textId="77777777" w:rsidR="00604546" w:rsidRPr="007D675F" w:rsidRDefault="00604546" w:rsidP="00CE7F2B">
            <w:pPr>
              <w:spacing w:after="0" w:line="240" w:lineRule="auto"/>
              <w:jc w:val="center"/>
              <w:rPr>
                <w:rFonts w:ascii="Times New Roman" w:hAnsi="Times New Roman"/>
                <w:sz w:val="20"/>
                <w:szCs w:val="20"/>
              </w:rPr>
            </w:pPr>
          </w:p>
        </w:tc>
        <w:tc>
          <w:tcPr>
            <w:tcW w:w="0" w:type="auto"/>
            <w:shd w:val="clear" w:color="auto" w:fill="EAF1DD" w:themeFill="accent3" w:themeFillTint="33"/>
            <w:vAlign w:val="center"/>
          </w:tcPr>
          <w:p w14:paraId="54548414" w14:textId="77777777" w:rsidR="00604546" w:rsidRPr="007D675F" w:rsidRDefault="00604546" w:rsidP="00CE7F2B">
            <w:pPr>
              <w:spacing w:after="0" w:line="240" w:lineRule="auto"/>
              <w:jc w:val="center"/>
              <w:rPr>
                <w:rFonts w:ascii="Times New Roman" w:hAnsi="Times New Roman"/>
                <w:sz w:val="20"/>
                <w:szCs w:val="20"/>
              </w:rPr>
            </w:pPr>
          </w:p>
        </w:tc>
      </w:tr>
      <w:tr w:rsidR="007D675F" w:rsidRPr="007D675F" w14:paraId="10C66C8D" w14:textId="77777777" w:rsidTr="00384989">
        <w:tblPrEx>
          <w:jc w:val="center"/>
        </w:tblPrEx>
        <w:trPr>
          <w:jc w:val="center"/>
        </w:trPr>
        <w:tc>
          <w:tcPr>
            <w:tcW w:w="0" w:type="auto"/>
            <w:vMerge w:val="restart"/>
            <w:vAlign w:val="center"/>
          </w:tcPr>
          <w:p w14:paraId="648197D4" w14:textId="77777777" w:rsidR="00604546" w:rsidRPr="007D675F" w:rsidRDefault="00604546" w:rsidP="00CE7F2B">
            <w:pPr>
              <w:spacing w:after="0" w:line="240" w:lineRule="auto"/>
              <w:jc w:val="center"/>
              <w:rPr>
                <w:rFonts w:ascii="Times New Roman" w:hAnsi="Times New Roman"/>
                <w:b/>
                <w:sz w:val="20"/>
                <w:szCs w:val="20"/>
              </w:rPr>
            </w:pPr>
            <w:r w:rsidRPr="007D675F">
              <w:rPr>
                <w:rFonts w:ascii="Times New Roman" w:hAnsi="Times New Roman"/>
                <w:b/>
                <w:sz w:val="20"/>
                <w:szCs w:val="20"/>
              </w:rPr>
              <w:t>Jelgavas Amatu vidusskola</w:t>
            </w:r>
          </w:p>
        </w:tc>
        <w:tc>
          <w:tcPr>
            <w:tcW w:w="0" w:type="auto"/>
          </w:tcPr>
          <w:p w14:paraId="5AAA8E29" w14:textId="77777777" w:rsidR="00604546" w:rsidRPr="007D675F" w:rsidRDefault="00604546" w:rsidP="00CE7F2B">
            <w:pPr>
              <w:spacing w:after="0" w:line="240" w:lineRule="auto"/>
              <w:rPr>
                <w:rFonts w:ascii="Times New Roman" w:hAnsi="Times New Roman"/>
                <w:i/>
                <w:sz w:val="20"/>
                <w:szCs w:val="20"/>
              </w:rPr>
            </w:pPr>
            <w:r w:rsidRPr="007D675F">
              <w:rPr>
                <w:rFonts w:ascii="Times New Roman" w:hAnsi="Times New Roman"/>
                <w:i/>
                <w:sz w:val="20"/>
                <w:szCs w:val="20"/>
              </w:rPr>
              <w:t>Drēbnieks</w:t>
            </w:r>
          </w:p>
        </w:tc>
        <w:tc>
          <w:tcPr>
            <w:tcW w:w="0" w:type="auto"/>
          </w:tcPr>
          <w:p w14:paraId="5C1C952F"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sz w:val="20"/>
                <w:szCs w:val="20"/>
              </w:rPr>
              <w:t>640</w:t>
            </w:r>
          </w:p>
        </w:tc>
        <w:tc>
          <w:tcPr>
            <w:tcW w:w="0" w:type="auto"/>
            <w:vAlign w:val="center"/>
          </w:tcPr>
          <w:p w14:paraId="4F940131"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sz w:val="20"/>
                <w:szCs w:val="20"/>
              </w:rPr>
              <w:t>12</w:t>
            </w:r>
          </w:p>
        </w:tc>
        <w:tc>
          <w:tcPr>
            <w:tcW w:w="0" w:type="auto"/>
            <w:vAlign w:val="center"/>
          </w:tcPr>
          <w:p w14:paraId="7BFE9BD3"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sz w:val="20"/>
                <w:szCs w:val="20"/>
              </w:rPr>
              <w:t>15</w:t>
            </w:r>
          </w:p>
        </w:tc>
        <w:tc>
          <w:tcPr>
            <w:tcW w:w="0" w:type="auto"/>
            <w:vAlign w:val="center"/>
          </w:tcPr>
          <w:p w14:paraId="71ACE47C"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sz w:val="20"/>
                <w:szCs w:val="20"/>
              </w:rPr>
              <w:t>13</w:t>
            </w:r>
          </w:p>
        </w:tc>
      </w:tr>
      <w:tr w:rsidR="007D675F" w:rsidRPr="007D675F" w14:paraId="3678086E" w14:textId="77777777" w:rsidTr="00384989">
        <w:tblPrEx>
          <w:jc w:val="center"/>
        </w:tblPrEx>
        <w:trPr>
          <w:jc w:val="center"/>
        </w:trPr>
        <w:tc>
          <w:tcPr>
            <w:tcW w:w="0" w:type="auto"/>
            <w:vMerge/>
          </w:tcPr>
          <w:p w14:paraId="273F084F" w14:textId="77777777" w:rsidR="00604546" w:rsidRPr="007D675F" w:rsidRDefault="00604546" w:rsidP="00CE7F2B">
            <w:pPr>
              <w:spacing w:after="0" w:line="240" w:lineRule="auto"/>
              <w:rPr>
                <w:rFonts w:ascii="Times New Roman" w:hAnsi="Times New Roman"/>
                <w:sz w:val="20"/>
                <w:szCs w:val="20"/>
              </w:rPr>
            </w:pPr>
          </w:p>
        </w:tc>
        <w:tc>
          <w:tcPr>
            <w:tcW w:w="0" w:type="auto"/>
          </w:tcPr>
          <w:p w14:paraId="382E832F" w14:textId="77777777" w:rsidR="00604546" w:rsidRPr="007D675F" w:rsidRDefault="00604546" w:rsidP="00CE7F2B">
            <w:pPr>
              <w:spacing w:after="0" w:line="240" w:lineRule="auto"/>
              <w:rPr>
                <w:rFonts w:ascii="Times New Roman" w:hAnsi="Times New Roman"/>
                <w:i/>
                <w:sz w:val="20"/>
                <w:szCs w:val="20"/>
              </w:rPr>
            </w:pPr>
            <w:r w:rsidRPr="007D675F">
              <w:rPr>
                <w:rFonts w:ascii="Times New Roman" w:hAnsi="Times New Roman"/>
                <w:i/>
                <w:sz w:val="20"/>
                <w:szCs w:val="20"/>
              </w:rPr>
              <w:t>Maiznieks</w:t>
            </w:r>
          </w:p>
        </w:tc>
        <w:tc>
          <w:tcPr>
            <w:tcW w:w="0" w:type="auto"/>
          </w:tcPr>
          <w:p w14:paraId="6B6B7CA9"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sz w:val="20"/>
                <w:szCs w:val="20"/>
              </w:rPr>
              <w:t>640</w:t>
            </w:r>
          </w:p>
        </w:tc>
        <w:tc>
          <w:tcPr>
            <w:tcW w:w="0" w:type="auto"/>
            <w:vAlign w:val="center"/>
          </w:tcPr>
          <w:p w14:paraId="159A5064"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sz w:val="20"/>
                <w:szCs w:val="20"/>
              </w:rPr>
              <w:t>12</w:t>
            </w:r>
          </w:p>
        </w:tc>
        <w:tc>
          <w:tcPr>
            <w:tcW w:w="0" w:type="auto"/>
            <w:vAlign w:val="center"/>
          </w:tcPr>
          <w:p w14:paraId="5C0ABC81"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sz w:val="20"/>
                <w:szCs w:val="20"/>
              </w:rPr>
              <w:t>20</w:t>
            </w:r>
          </w:p>
        </w:tc>
        <w:tc>
          <w:tcPr>
            <w:tcW w:w="0" w:type="auto"/>
            <w:vAlign w:val="center"/>
          </w:tcPr>
          <w:p w14:paraId="22EE9933"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sz w:val="20"/>
                <w:szCs w:val="20"/>
              </w:rPr>
              <w:t>17</w:t>
            </w:r>
          </w:p>
        </w:tc>
      </w:tr>
      <w:tr w:rsidR="007D675F" w:rsidRPr="007D675F" w14:paraId="4DD32758" w14:textId="77777777" w:rsidTr="00384989">
        <w:tblPrEx>
          <w:jc w:val="center"/>
        </w:tblPrEx>
        <w:trPr>
          <w:jc w:val="center"/>
        </w:trPr>
        <w:tc>
          <w:tcPr>
            <w:tcW w:w="0" w:type="auto"/>
            <w:vMerge/>
          </w:tcPr>
          <w:p w14:paraId="35E821B4" w14:textId="77777777" w:rsidR="00604546" w:rsidRPr="007D675F" w:rsidRDefault="00604546" w:rsidP="00CE7F2B">
            <w:pPr>
              <w:spacing w:after="0" w:line="240" w:lineRule="auto"/>
              <w:rPr>
                <w:rFonts w:ascii="Times New Roman" w:hAnsi="Times New Roman"/>
                <w:sz w:val="20"/>
                <w:szCs w:val="20"/>
              </w:rPr>
            </w:pPr>
          </w:p>
        </w:tc>
        <w:tc>
          <w:tcPr>
            <w:tcW w:w="0" w:type="auto"/>
          </w:tcPr>
          <w:p w14:paraId="2561C3A5" w14:textId="77777777" w:rsidR="00604546" w:rsidRPr="007D675F" w:rsidRDefault="00604546" w:rsidP="00CE7F2B">
            <w:pPr>
              <w:spacing w:after="0" w:line="240" w:lineRule="auto"/>
              <w:rPr>
                <w:rFonts w:ascii="Times New Roman" w:hAnsi="Times New Roman"/>
                <w:i/>
                <w:sz w:val="20"/>
                <w:szCs w:val="20"/>
              </w:rPr>
            </w:pPr>
            <w:r w:rsidRPr="007D675F">
              <w:rPr>
                <w:rFonts w:ascii="Times New Roman" w:hAnsi="Times New Roman"/>
                <w:i/>
                <w:sz w:val="20"/>
                <w:szCs w:val="20"/>
              </w:rPr>
              <w:t>Šuvējs</w:t>
            </w:r>
          </w:p>
        </w:tc>
        <w:tc>
          <w:tcPr>
            <w:tcW w:w="0" w:type="auto"/>
          </w:tcPr>
          <w:p w14:paraId="329B4ED5"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sz w:val="20"/>
                <w:szCs w:val="20"/>
              </w:rPr>
              <w:t>480</w:t>
            </w:r>
          </w:p>
        </w:tc>
        <w:tc>
          <w:tcPr>
            <w:tcW w:w="0" w:type="auto"/>
            <w:vAlign w:val="center"/>
          </w:tcPr>
          <w:p w14:paraId="0B2C1C92"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sz w:val="20"/>
                <w:szCs w:val="20"/>
              </w:rPr>
              <w:t>12</w:t>
            </w:r>
          </w:p>
        </w:tc>
        <w:tc>
          <w:tcPr>
            <w:tcW w:w="0" w:type="auto"/>
            <w:vAlign w:val="center"/>
          </w:tcPr>
          <w:p w14:paraId="3650C2B0" w14:textId="77777777" w:rsidR="00604546" w:rsidRPr="007D675F" w:rsidRDefault="00384989" w:rsidP="00CE7F2B">
            <w:pPr>
              <w:spacing w:after="0" w:line="240" w:lineRule="auto"/>
              <w:jc w:val="center"/>
              <w:rPr>
                <w:rFonts w:ascii="Times New Roman" w:hAnsi="Times New Roman"/>
                <w:sz w:val="20"/>
                <w:szCs w:val="20"/>
              </w:rPr>
            </w:pPr>
            <w:r w:rsidRPr="007D675F">
              <w:rPr>
                <w:rFonts w:ascii="Times New Roman" w:hAnsi="Times New Roman"/>
                <w:sz w:val="20"/>
                <w:szCs w:val="20"/>
              </w:rPr>
              <w:t>5</w:t>
            </w:r>
          </w:p>
        </w:tc>
        <w:tc>
          <w:tcPr>
            <w:tcW w:w="0" w:type="auto"/>
            <w:vAlign w:val="center"/>
          </w:tcPr>
          <w:p w14:paraId="5349B5E0"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sz w:val="20"/>
                <w:szCs w:val="20"/>
              </w:rPr>
              <w:t>4</w:t>
            </w:r>
          </w:p>
        </w:tc>
      </w:tr>
      <w:tr w:rsidR="007D675F" w:rsidRPr="007D675F" w14:paraId="3C0ED99E" w14:textId="77777777" w:rsidTr="00384989">
        <w:tblPrEx>
          <w:jc w:val="center"/>
        </w:tblPrEx>
        <w:trPr>
          <w:jc w:val="center"/>
        </w:trPr>
        <w:tc>
          <w:tcPr>
            <w:tcW w:w="0" w:type="auto"/>
            <w:gridSpan w:val="4"/>
          </w:tcPr>
          <w:p w14:paraId="3899340F" w14:textId="77777777" w:rsidR="00384989" w:rsidRPr="007D675F" w:rsidRDefault="00384989" w:rsidP="00CE7F2B">
            <w:pPr>
              <w:spacing w:after="0" w:line="240" w:lineRule="auto"/>
              <w:jc w:val="right"/>
              <w:rPr>
                <w:rFonts w:ascii="Times New Roman" w:hAnsi="Times New Roman"/>
                <w:sz w:val="20"/>
                <w:szCs w:val="20"/>
              </w:rPr>
            </w:pPr>
            <w:r w:rsidRPr="007D675F">
              <w:rPr>
                <w:rFonts w:ascii="Times New Roman" w:hAnsi="Times New Roman"/>
                <w:sz w:val="20"/>
                <w:szCs w:val="20"/>
              </w:rPr>
              <w:t>Plānotais apmācāmo cilvēku skaits - 48</w:t>
            </w:r>
          </w:p>
        </w:tc>
        <w:tc>
          <w:tcPr>
            <w:tcW w:w="0" w:type="auto"/>
            <w:vAlign w:val="center"/>
          </w:tcPr>
          <w:p w14:paraId="686EFC2A" w14:textId="77777777" w:rsidR="00384989" w:rsidRPr="007D675F" w:rsidRDefault="00384989" w:rsidP="00CE7F2B">
            <w:pPr>
              <w:spacing w:after="0" w:line="240" w:lineRule="auto"/>
              <w:jc w:val="center"/>
              <w:rPr>
                <w:rFonts w:ascii="Times New Roman" w:hAnsi="Times New Roman"/>
                <w:sz w:val="20"/>
                <w:szCs w:val="20"/>
              </w:rPr>
            </w:pPr>
            <w:r w:rsidRPr="007D675F">
              <w:rPr>
                <w:rFonts w:ascii="Times New Roman" w:hAnsi="Times New Roman"/>
                <w:sz w:val="20"/>
                <w:szCs w:val="20"/>
              </w:rPr>
              <w:t>Kopā - 40</w:t>
            </w:r>
          </w:p>
        </w:tc>
        <w:tc>
          <w:tcPr>
            <w:tcW w:w="0" w:type="auto"/>
            <w:vAlign w:val="center"/>
          </w:tcPr>
          <w:p w14:paraId="04CCB380" w14:textId="77777777" w:rsidR="00384989" w:rsidRPr="007D675F" w:rsidRDefault="00384989" w:rsidP="00CE7F2B">
            <w:pPr>
              <w:spacing w:after="0" w:line="240" w:lineRule="auto"/>
              <w:jc w:val="center"/>
              <w:rPr>
                <w:rFonts w:ascii="Times New Roman" w:hAnsi="Times New Roman"/>
                <w:sz w:val="20"/>
                <w:szCs w:val="20"/>
              </w:rPr>
            </w:pPr>
            <w:r w:rsidRPr="007D675F">
              <w:rPr>
                <w:rFonts w:ascii="Times New Roman" w:hAnsi="Times New Roman"/>
                <w:sz w:val="20"/>
                <w:szCs w:val="20"/>
              </w:rPr>
              <w:t>Kopā - 34</w:t>
            </w:r>
          </w:p>
        </w:tc>
      </w:tr>
      <w:tr w:rsidR="007D675F" w:rsidRPr="007D675F" w14:paraId="65B0A227" w14:textId="77777777" w:rsidTr="00BD2744">
        <w:tblPrEx>
          <w:jc w:val="center"/>
        </w:tblPrEx>
        <w:trPr>
          <w:jc w:val="center"/>
        </w:trPr>
        <w:tc>
          <w:tcPr>
            <w:tcW w:w="0" w:type="auto"/>
            <w:gridSpan w:val="4"/>
            <w:shd w:val="clear" w:color="auto" w:fill="EAF1DD" w:themeFill="accent3" w:themeFillTint="33"/>
          </w:tcPr>
          <w:p w14:paraId="20BF4B02" w14:textId="77777777" w:rsidR="00604546" w:rsidRPr="007D675F" w:rsidRDefault="00604546" w:rsidP="00CE7F2B">
            <w:pPr>
              <w:spacing w:after="0" w:line="240" w:lineRule="auto"/>
              <w:jc w:val="center"/>
              <w:rPr>
                <w:rFonts w:ascii="Times New Roman" w:hAnsi="Times New Roman"/>
                <w:b/>
                <w:sz w:val="20"/>
                <w:szCs w:val="20"/>
              </w:rPr>
            </w:pPr>
            <w:r w:rsidRPr="007D675F">
              <w:rPr>
                <w:rFonts w:ascii="Times New Roman" w:hAnsi="Times New Roman"/>
                <w:b/>
                <w:sz w:val="20"/>
                <w:szCs w:val="20"/>
              </w:rPr>
              <w:t>Kurzeme</w:t>
            </w:r>
          </w:p>
        </w:tc>
        <w:tc>
          <w:tcPr>
            <w:tcW w:w="0" w:type="auto"/>
            <w:shd w:val="clear" w:color="auto" w:fill="EAF1DD" w:themeFill="accent3" w:themeFillTint="33"/>
            <w:vAlign w:val="center"/>
          </w:tcPr>
          <w:p w14:paraId="65AD3F93" w14:textId="77777777" w:rsidR="00604546" w:rsidRPr="007D675F" w:rsidRDefault="00604546" w:rsidP="00CE7F2B">
            <w:pPr>
              <w:spacing w:after="0" w:line="240" w:lineRule="auto"/>
              <w:jc w:val="center"/>
              <w:rPr>
                <w:rFonts w:ascii="Times New Roman" w:hAnsi="Times New Roman"/>
                <w:sz w:val="20"/>
                <w:szCs w:val="20"/>
              </w:rPr>
            </w:pPr>
          </w:p>
        </w:tc>
        <w:tc>
          <w:tcPr>
            <w:tcW w:w="0" w:type="auto"/>
            <w:shd w:val="clear" w:color="auto" w:fill="EAF1DD" w:themeFill="accent3" w:themeFillTint="33"/>
            <w:vAlign w:val="center"/>
          </w:tcPr>
          <w:p w14:paraId="426CDEEA" w14:textId="77777777" w:rsidR="00604546" w:rsidRPr="007D675F" w:rsidRDefault="00604546" w:rsidP="00CE7F2B">
            <w:pPr>
              <w:spacing w:after="0" w:line="240" w:lineRule="auto"/>
              <w:jc w:val="center"/>
              <w:rPr>
                <w:rFonts w:ascii="Times New Roman" w:hAnsi="Times New Roman"/>
                <w:sz w:val="20"/>
                <w:szCs w:val="20"/>
              </w:rPr>
            </w:pPr>
          </w:p>
        </w:tc>
      </w:tr>
      <w:tr w:rsidR="007D675F" w:rsidRPr="007D675F" w14:paraId="16C40F72" w14:textId="77777777" w:rsidTr="00384989">
        <w:tblPrEx>
          <w:jc w:val="center"/>
        </w:tblPrEx>
        <w:trPr>
          <w:jc w:val="center"/>
        </w:trPr>
        <w:tc>
          <w:tcPr>
            <w:tcW w:w="0" w:type="auto"/>
          </w:tcPr>
          <w:p w14:paraId="4449A8A1" w14:textId="1C99D782" w:rsidR="00604546" w:rsidRPr="007D675F" w:rsidRDefault="00604546" w:rsidP="00CE7F2B">
            <w:pPr>
              <w:spacing w:after="0" w:line="240" w:lineRule="auto"/>
              <w:jc w:val="center"/>
              <w:rPr>
                <w:rFonts w:ascii="Times New Roman" w:hAnsi="Times New Roman"/>
                <w:b/>
                <w:sz w:val="20"/>
                <w:szCs w:val="20"/>
              </w:rPr>
            </w:pPr>
            <w:r w:rsidRPr="007D675F">
              <w:rPr>
                <w:rFonts w:ascii="Times New Roman" w:hAnsi="Times New Roman"/>
                <w:b/>
                <w:sz w:val="20"/>
                <w:szCs w:val="20"/>
              </w:rPr>
              <w:t>Profesionālās izglītības kompetences centrs</w:t>
            </w:r>
            <w:r w:rsidR="007463BA" w:rsidRPr="007D675F">
              <w:rPr>
                <w:rFonts w:ascii="Times New Roman" w:hAnsi="Times New Roman"/>
                <w:b/>
                <w:sz w:val="20"/>
                <w:szCs w:val="20"/>
              </w:rPr>
              <w:t xml:space="preserve"> (PIKC)</w:t>
            </w:r>
            <w:r w:rsidRPr="007D675F">
              <w:rPr>
                <w:rFonts w:ascii="Times New Roman" w:hAnsi="Times New Roman"/>
                <w:b/>
                <w:sz w:val="20"/>
                <w:szCs w:val="20"/>
              </w:rPr>
              <w:t xml:space="preserve"> "Kandavas Valsts lauksaimniecības tehnikums"</w:t>
            </w:r>
          </w:p>
        </w:tc>
        <w:tc>
          <w:tcPr>
            <w:tcW w:w="0" w:type="auto"/>
            <w:vAlign w:val="center"/>
          </w:tcPr>
          <w:p w14:paraId="58D708FF" w14:textId="77777777" w:rsidR="00604546" w:rsidRPr="007D675F" w:rsidRDefault="00604546" w:rsidP="00CE7F2B">
            <w:pPr>
              <w:spacing w:after="0" w:line="240" w:lineRule="auto"/>
              <w:rPr>
                <w:rFonts w:ascii="Times New Roman" w:hAnsi="Times New Roman"/>
                <w:i/>
                <w:sz w:val="20"/>
                <w:szCs w:val="20"/>
              </w:rPr>
            </w:pPr>
            <w:r w:rsidRPr="007D675F">
              <w:rPr>
                <w:rFonts w:ascii="Times New Roman" w:hAnsi="Times New Roman"/>
                <w:i/>
                <w:sz w:val="20"/>
                <w:szCs w:val="20"/>
              </w:rPr>
              <w:t>Autoatslēdznieks</w:t>
            </w:r>
          </w:p>
        </w:tc>
        <w:tc>
          <w:tcPr>
            <w:tcW w:w="0" w:type="auto"/>
            <w:vAlign w:val="center"/>
          </w:tcPr>
          <w:p w14:paraId="4C80F6AD"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sz w:val="20"/>
                <w:szCs w:val="20"/>
              </w:rPr>
              <w:t>640</w:t>
            </w:r>
          </w:p>
        </w:tc>
        <w:tc>
          <w:tcPr>
            <w:tcW w:w="0" w:type="auto"/>
            <w:vAlign w:val="center"/>
          </w:tcPr>
          <w:p w14:paraId="0A843519"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sz w:val="20"/>
                <w:szCs w:val="20"/>
              </w:rPr>
              <w:t>12</w:t>
            </w:r>
          </w:p>
        </w:tc>
        <w:tc>
          <w:tcPr>
            <w:tcW w:w="0" w:type="auto"/>
            <w:vAlign w:val="center"/>
          </w:tcPr>
          <w:p w14:paraId="0CF5C94A" w14:textId="77777777" w:rsidR="00604546" w:rsidRPr="007D675F" w:rsidRDefault="00384989" w:rsidP="00CE7F2B">
            <w:pPr>
              <w:spacing w:after="0" w:line="240" w:lineRule="auto"/>
              <w:jc w:val="center"/>
              <w:rPr>
                <w:rFonts w:ascii="Times New Roman" w:hAnsi="Times New Roman"/>
                <w:sz w:val="20"/>
                <w:szCs w:val="20"/>
              </w:rPr>
            </w:pPr>
            <w:r w:rsidRPr="007D675F">
              <w:rPr>
                <w:rFonts w:ascii="Times New Roman" w:hAnsi="Times New Roman"/>
                <w:sz w:val="20"/>
                <w:szCs w:val="20"/>
              </w:rPr>
              <w:t>9</w:t>
            </w:r>
          </w:p>
        </w:tc>
        <w:tc>
          <w:tcPr>
            <w:tcW w:w="0" w:type="auto"/>
            <w:vAlign w:val="center"/>
          </w:tcPr>
          <w:p w14:paraId="4C37E11E"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sz w:val="20"/>
                <w:szCs w:val="20"/>
              </w:rPr>
              <w:t>4</w:t>
            </w:r>
          </w:p>
        </w:tc>
      </w:tr>
      <w:tr w:rsidR="007D675F" w:rsidRPr="007D675F" w14:paraId="3C854DE0" w14:textId="77777777" w:rsidTr="00384989">
        <w:tblPrEx>
          <w:jc w:val="center"/>
        </w:tblPrEx>
        <w:trPr>
          <w:jc w:val="center"/>
        </w:trPr>
        <w:tc>
          <w:tcPr>
            <w:tcW w:w="0" w:type="auto"/>
            <w:gridSpan w:val="4"/>
          </w:tcPr>
          <w:p w14:paraId="7A915031" w14:textId="77777777" w:rsidR="00604546" w:rsidRPr="007D675F" w:rsidRDefault="00604546" w:rsidP="00CE7F2B">
            <w:pPr>
              <w:spacing w:after="0" w:line="240" w:lineRule="auto"/>
              <w:jc w:val="right"/>
              <w:rPr>
                <w:rFonts w:ascii="Times New Roman" w:hAnsi="Times New Roman"/>
                <w:i/>
                <w:sz w:val="20"/>
                <w:szCs w:val="20"/>
              </w:rPr>
            </w:pPr>
            <w:r w:rsidRPr="007D675F">
              <w:rPr>
                <w:rFonts w:ascii="Times New Roman" w:hAnsi="Times New Roman"/>
                <w:sz w:val="20"/>
                <w:szCs w:val="20"/>
              </w:rPr>
              <w:t>Plānotais apmācāmo cilvēku skaits - 20</w:t>
            </w:r>
          </w:p>
        </w:tc>
        <w:tc>
          <w:tcPr>
            <w:tcW w:w="0" w:type="auto"/>
            <w:vAlign w:val="center"/>
          </w:tcPr>
          <w:p w14:paraId="33BE6874" w14:textId="77777777" w:rsidR="00604546" w:rsidRPr="007D675F" w:rsidRDefault="00353525" w:rsidP="00CE7F2B">
            <w:pPr>
              <w:spacing w:after="0" w:line="240" w:lineRule="auto"/>
              <w:jc w:val="center"/>
              <w:rPr>
                <w:rFonts w:ascii="Times New Roman" w:hAnsi="Times New Roman"/>
                <w:sz w:val="20"/>
                <w:szCs w:val="20"/>
              </w:rPr>
            </w:pPr>
            <w:r w:rsidRPr="007D675F">
              <w:rPr>
                <w:rFonts w:ascii="Times New Roman" w:hAnsi="Times New Roman"/>
                <w:sz w:val="20"/>
                <w:szCs w:val="20"/>
              </w:rPr>
              <w:t>Kopā - 9</w:t>
            </w:r>
          </w:p>
        </w:tc>
        <w:tc>
          <w:tcPr>
            <w:tcW w:w="0" w:type="auto"/>
            <w:vAlign w:val="center"/>
          </w:tcPr>
          <w:p w14:paraId="2AB9FF56" w14:textId="77777777" w:rsidR="00604546" w:rsidRPr="007D675F" w:rsidRDefault="00353525" w:rsidP="00CE7F2B">
            <w:pPr>
              <w:spacing w:after="0" w:line="240" w:lineRule="auto"/>
              <w:jc w:val="center"/>
              <w:rPr>
                <w:rFonts w:ascii="Times New Roman" w:hAnsi="Times New Roman"/>
                <w:sz w:val="20"/>
                <w:szCs w:val="20"/>
              </w:rPr>
            </w:pPr>
            <w:r w:rsidRPr="007D675F">
              <w:rPr>
                <w:rFonts w:ascii="Times New Roman" w:hAnsi="Times New Roman"/>
                <w:sz w:val="20"/>
                <w:szCs w:val="20"/>
              </w:rPr>
              <w:t>Kopā - 4</w:t>
            </w:r>
          </w:p>
        </w:tc>
      </w:tr>
      <w:tr w:rsidR="007D675F" w:rsidRPr="007D675F" w14:paraId="212945B0" w14:textId="77777777" w:rsidTr="00384989">
        <w:tblPrEx>
          <w:jc w:val="center"/>
        </w:tblPrEx>
        <w:trPr>
          <w:jc w:val="center"/>
        </w:trPr>
        <w:tc>
          <w:tcPr>
            <w:tcW w:w="0" w:type="auto"/>
            <w:vMerge w:val="restart"/>
            <w:vAlign w:val="center"/>
          </w:tcPr>
          <w:p w14:paraId="610956BA" w14:textId="77777777" w:rsidR="00604546" w:rsidRPr="007D675F" w:rsidRDefault="00604546" w:rsidP="00CE7F2B">
            <w:pPr>
              <w:spacing w:after="0" w:line="240" w:lineRule="auto"/>
              <w:jc w:val="center"/>
              <w:rPr>
                <w:rFonts w:ascii="Times New Roman" w:hAnsi="Times New Roman"/>
                <w:b/>
                <w:sz w:val="20"/>
                <w:szCs w:val="20"/>
              </w:rPr>
            </w:pPr>
            <w:r w:rsidRPr="007D675F">
              <w:rPr>
                <w:rFonts w:ascii="Times New Roman" w:hAnsi="Times New Roman"/>
                <w:b/>
                <w:sz w:val="20"/>
                <w:szCs w:val="20"/>
              </w:rPr>
              <w:t>Saldus Profesionālā vidusskola</w:t>
            </w:r>
          </w:p>
        </w:tc>
        <w:tc>
          <w:tcPr>
            <w:tcW w:w="0" w:type="auto"/>
            <w:vAlign w:val="center"/>
          </w:tcPr>
          <w:p w14:paraId="3E50FAEE" w14:textId="77777777" w:rsidR="00604546" w:rsidRPr="007D675F" w:rsidRDefault="00604546" w:rsidP="00CE7F2B">
            <w:pPr>
              <w:spacing w:after="0" w:line="240" w:lineRule="auto"/>
              <w:rPr>
                <w:rFonts w:ascii="Times New Roman" w:hAnsi="Times New Roman"/>
                <w:i/>
                <w:sz w:val="20"/>
                <w:szCs w:val="20"/>
              </w:rPr>
            </w:pPr>
            <w:r w:rsidRPr="007D675F">
              <w:rPr>
                <w:rFonts w:ascii="Times New Roman" w:hAnsi="Times New Roman"/>
                <w:i/>
                <w:sz w:val="20"/>
                <w:szCs w:val="20"/>
              </w:rPr>
              <w:t>Galdnieka palīgs</w:t>
            </w:r>
          </w:p>
        </w:tc>
        <w:tc>
          <w:tcPr>
            <w:tcW w:w="0" w:type="auto"/>
          </w:tcPr>
          <w:p w14:paraId="43B762BD"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sz w:val="20"/>
                <w:szCs w:val="20"/>
              </w:rPr>
              <w:t>480</w:t>
            </w:r>
          </w:p>
        </w:tc>
        <w:tc>
          <w:tcPr>
            <w:tcW w:w="0" w:type="auto"/>
            <w:vAlign w:val="center"/>
          </w:tcPr>
          <w:p w14:paraId="6D53C42D"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sz w:val="20"/>
                <w:szCs w:val="20"/>
              </w:rPr>
              <w:t>12</w:t>
            </w:r>
          </w:p>
        </w:tc>
        <w:tc>
          <w:tcPr>
            <w:tcW w:w="0" w:type="auto"/>
            <w:vAlign w:val="center"/>
          </w:tcPr>
          <w:p w14:paraId="4199D22E"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sz w:val="20"/>
                <w:szCs w:val="20"/>
              </w:rPr>
              <w:t>12</w:t>
            </w:r>
          </w:p>
        </w:tc>
        <w:tc>
          <w:tcPr>
            <w:tcW w:w="0" w:type="auto"/>
            <w:vAlign w:val="center"/>
          </w:tcPr>
          <w:p w14:paraId="452114D7"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sz w:val="20"/>
                <w:szCs w:val="20"/>
              </w:rPr>
              <w:t>11</w:t>
            </w:r>
          </w:p>
        </w:tc>
      </w:tr>
      <w:tr w:rsidR="007D675F" w:rsidRPr="007D675F" w14:paraId="6E9053F1" w14:textId="77777777" w:rsidTr="00384989">
        <w:tblPrEx>
          <w:jc w:val="center"/>
        </w:tblPrEx>
        <w:trPr>
          <w:jc w:val="center"/>
        </w:trPr>
        <w:tc>
          <w:tcPr>
            <w:tcW w:w="0" w:type="auto"/>
            <w:vMerge/>
          </w:tcPr>
          <w:p w14:paraId="476332A6" w14:textId="77777777" w:rsidR="00604546" w:rsidRPr="007D675F" w:rsidRDefault="00604546" w:rsidP="00CE7F2B">
            <w:pPr>
              <w:spacing w:after="0" w:line="240" w:lineRule="auto"/>
              <w:rPr>
                <w:rFonts w:ascii="Times New Roman" w:hAnsi="Times New Roman"/>
                <w:sz w:val="20"/>
                <w:szCs w:val="20"/>
              </w:rPr>
            </w:pPr>
          </w:p>
        </w:tc>
        <w:tc>
          <w:tcPr>
            <w:tcW w:w="0" w:type="auto"/>
            <w:vAlign w:val="center"/>
          </w:tcPr>
          <w:p w14:paraId="439AEF9C" w14:textId="77777777" w:rsidR="00604546" w:rsidRPr="007D675F" w:rsidRDefault="00604546" w:rsidP="00CE7F2B">
            <w:pPr>
              <w:spacing w:after="0" w:line="240" w:lineRule="auto"/>
              <w:rPr>
                <w:rFonts w:ascii="Times New Roman" w:hAnsi="Times New Roman"/>
                <w:i/>
                <w:sz w:val="20"/>
                <w:szCs w:val="20"/>
              </w:rPr>
            </w:pPr>
            <w:r w:rsidRPr="007D675F">
              <w:rPr>
                <w:rFonts w:ascii="Times New Roman" w:hAnsi="Times New Roman"/>
                <w:i/>
                <w:sz w:val="20"/>
                <w:szCs w:val="20"/>
              </w:rPr>
              <w:t>Viesmīlības pakalpojumu speciālists</w:t>
            </w:r>
          </w:p>
        </w:tc>
        <w:tc>
          <w:tcPr>
            <w:tcW w:w="0" w:type="auto"/>
            <w:vAlign w:val="center"/>
          </w:tcPr>
          <w:p w14:paraId="29E6FD54"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sz w:val="20"/>
                <w:szCs w:val="20"/>
              </w:rPr>
              <w:t>960</w:t>
            </w:r>
          </w:p>
        </w:tc>
        <w:tc>
          <w:tcPr>
            <w:tcW w:w="0" w:type="auto"/>
            <w:vAlign w:val="center"/>
          </w:tcPr>
          <w:p w14:paraId="1D914833"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sz w:val="20"/>
                <w:szCs w:val="20"/>
              </w:rPr>
              <w:t>12</w:t>
            </w:r>
          </w:p>
        </w:tc>
        <w:tc>
          <w:tcPr>
            <w:tcW w:w="0" w:type="auto"/>
            <w:vAlign w:val="center"/>
          </w:tcPr>
          <w:p w14:paraId="698B8758"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sz w:val="20"/>
                <w:szCs w:val="20"/>
              </w:rPr>
              <w:t>12</w:t>
            </w:r>
          </w:p>
        </w:tc>
        <w:tc>
          <w:tcPr>
            <w:tcW w:w="0" w:type="auto"/>
            <w:vAlign w:val="center"/>
          </w:tcPr>
          <w:p w14:paraId="28D42B5D" w14:textId="77777777" w:rsidR="00604546" w:rsidRPr="007D675F" w:rsidRDefault="00604546" w:rsidP="00CE7F2B">
            <w:pPr>
              <w:spacing w:after="0" w:line="240" w:lineRule="auto"/>
              <w:jc w:val="center"/>
              <w:rPr>
                <w:rFonts w:ascii="Times New Roman" w:hAnsi="Times New Roman"/>
                <w:sz w:val="20"/>
                <w:szCs w:val="20"/>
              </w:rPr>
            </w:pPr>
            <w:r w:rsidRPr="007D675F">
              <w:rPr>
                <w:rFonts w:ascii="Times New Roman" w:hAnsi="Times New Roman"/>
                <w:sz w:val="20"/>
                <w:szCs w:val="20"/>
              </w:rPr>
              <w:t>9</w:t>
            </w:r>
          </w:p>
        </w:tc>
      </w:tr>
      <w:tr w:rsidR="007D675F" w:rsidRPr="007D675F" w14:paraId="1976BB44" w14:textId="77777777" w:rsidTr="00BD2744">
        <w:tblPrEx>
          <w:jc w:val="center"/>
        </w:tblPrEx>
        <w:trPr>
          <w:jc w:val="center"/>
        </w:trPr>
        <w:tc>
          <w:tcPr>
            <w:tcW w:w="0" w:type="auto"/>
            <w:gridSpan w:val="4"/>
            <w:shd w:val="clear" w:color="auto" w:fill="auto"/>
          </w:tcPr>
          <w:p w14:paraId="31F1377E" w14:textId="77777777" w:rsidR="00384989" w:rsidRPr="007D675F" w:rsidRDefault="00384989" w:rsidP="00CE7F2B">
            <w:pPr>
              <w:spacing w:after="0" w:line="240" w:lineRule="auto"/>
              <w:jc w:val="right"/>
              <w:rPr>
                <w:rFonts w:ascii="Times New Roman" w:hAnsi="Times New Roman"/>
                <w:sz w:val="20"/>
                <w:szCs w:val="20"/>
              </w:rPr>
            </w:pPr>
            <w:r w:rsidRPr="007D675F">
              <w:rPr>
                <w:rFonts w:ascii="Times New Roman" w:hAnsi="Times New Roman"/>
                <w:sz w:val="20"/>
                <w:szCs w:val="20"/>
              </w:rPr>
              <w:t>Plānotais apmācāmo cilvēku skaits - 24</w:t>
            </w:r>
          </w:p>
        </w:tc>
        <w:tc>
          <w:tcPr>
            <w:tcW w:w="0" w:type="auto"/>
            <w:shd w:val="clear" w:color="auto" w:fill="auto"/>
            <w:vAlign w:val="center"/>
          </w:tcPr>
          <w:p w14:paraId="0DEAA8D4" w14:textId="77777777" w:rsidR="00384989" w:rsidRPr="007D675F" w:rsidRDefault="00353525" w:rsidP="00CE7F2B">
            <w:pPr>
              <w:spacing w:after="0" w:line="240" w:lineRule="auto"/>
              <w:jc w:val="center"/>
              <w:rPr>
                <w:rFonts w:ascii="Times New Roman" w:hAnsi="Times New Roman"/>
                <w:sz w:val="20"/>
                <w:szCs w:val="20"/>
              </w:rPr>
            </w:pPr>
            <w:r w:rsidRPr="007D675F">
              <w:rPr>
                <w:rFonts w:ascii="Times New Roman" w:hAnsi="Times New Roman"/>
                <w:sz w:val="20"/>
                <w:szCs w:val="20"/>
              </w:rPr>
              <w:t>Kopā</w:t>
            </w:r>
            <w:r w:rsidR="00384989" w:rsidRPr="007D675F">
              <w:rPr>
                <w:rFonts w:ascii="Times New Roman" w:hAnsi="Times New Roman"/>
                <w:sz w:val="20"/>
                <w:szCs w:val="20"/>
              </w:rPr>
              <w:t xml:space="preserve"> - 24</w:t>
            </w:r>
          </w:p>
        </w:tc>
        <w:tc>
          <w:tcPr>
            <w:tcW w:w="0" w:type="auto"/>
            <w:shd w:val="clear" w:color="auto" w:fill="auto"/>
            <w:vAlign w:val="center"/>
          </w:tcPr>
          <w:p w14:paraId="7E5B8E80" w14:textId="77777777" w:rsidR="00384989" w:rsidRPr="007D675F" w:rsidRDefault="00353525" w:rsidP="00CE7F2B">
            <w:pPr>
              <w:spacing w:after="0" w:line="240" w:lineRule="auto"/>
              <w:jc w:val="center"/>
              <w:rPr>
                <w:rFonts w:ascii="Times New Roman" w:hAnsi="Times New Roman"/>
                <w:sz w:val="20"/>
                <w:szCs w:val="20"/>
              </w:rPr>
            </w:pPr>
            <w:r w:rsidRPr="007D675F">
              <w:rPr>
                <w:rFonts w:ascii="Times New Roman" w:hAnsi="Times New Roman"/>
                <w:sz w:val="20"/>
                <w:szCs w:val="20"/>
              </w:rPr>
              <w:t>Kopā</w:t>
            </w:r>
            <w:r w:rsidR="00384989" w:rsidRPr="007D675F">
              <w:rPr>
                <w:rFonts w:ascii="Times New Roman" w:hAnsi="Times New Roman"/>
                <w:sz w:val="20"/>
                <w:szCs w:val="20"/>
              </w:rPr>
              <w:t xml:space="preserve"> - 20</w:t>
            </w:r>
          </w:p>
        </w:tc>
      </w:tr>
      <w:tr w:rsidR="00384989" w:rsidRPr="007D675F" w14:paraId="4411A15D" w14:textId="77777777" w:rsidTr="00BD2744">
        <w:tblPrEx>
          <w:jc w:val="center"/>
        </w:tblPrEx>
        <w:trPr>
          <w:jc w:val="center"/>
        </w:trPr>
        <w:tc>
          <w:tcPr>
            <w:tcW w:w="0" w:type="auto"/>
            <w:gridSpan w:val="4"/>
            <w:shd w:val="clear" w:color="auto" w:fill="EAF1DD" w:themeFill="accent3" w:themeFillTint="33"/>
            <w:vAlign w:val="center"/>
          </w:tcPr>
          <w:p w14:paraId="7AFACF6E" w14:textId="77777777" w:rsidR="00384989" w:rsidRPr="007D675F" w:rsidRDefault="00384989" w:rsidP="00CE7F2B">
            <w:pPr>
              <w:spacing w:after="0" w:line="240" w:lineRule="auto"/>
              <w:jc w:val="right"/>
              <w:rPr>
                <w:rFonts w:ascii="Times New Roman" w:hAnsi="Times New Roman"/>
                <w:sz w:val="20"/>
                <w:szCs w:val="20"/>
              </w:rPr>
            </w:pPr>
            <w:r w:rsidRPr="007D675F">
              <w:rPr>
                <w:rFonts w:ascii="Times New Roman" w:hAnsi="Times New Roman"/>
                <w:sz w:val="20"/>
                <w:szCs w:val="20"/>
              </w:rPr>
              <w:t>Plānotais apmācāmo cilvēku skaits - 200</w:t>
            </w:r>
          </w:p>
        </w:tc>
        <w:tc>
          <w:tcPr>
            <w:tcW w:w="0" w:type="auto"/>
            <w:shd w:val="clear" w:color="auto" w:fill="EAF1DD" w:themeFill="accent3" w:themeFillTint="33"/>
            <w:vAlign w:val="center"/>
          </w:tcPr>
          <w:p w14:paraId="02F4A3DA" w14:textId="77777777" w:rsidR="00384989" w:rsidRPr="007D675F" w:rsidRDefault="00353525" w:rsidP="00CE7F2B">
            <w:pPr>
              <w:spacing w:after="0" w:line="240" w:lineRule="auto"/>
              <w:jc w:val="center"/>
              <w:rPr>
                <w:rFonts w:ascii="Times New Roman" w:hAnsi="Times New Roman"/>
                <w:sz w:val="20"/>
                <w:szCs w:val="20"/>
              </w:rPr>
            </w:pPr>
            <w:r w:rsidRPr="007D675F">
              <w:rPr>
                <w:rFonts w:ascii="Times New Roman" w:hAnsi="Times New Roman"/>
                <w:sz w:val="20"/>
                <w:szCs w:val="20"/>
              </w:rPr>
              <w:t xml:space="preserve">Kopā </w:t>
            </w:r>
            <w:r w:rsidR="00384989" w:rsidRPr="007D675F">
              <w:rPr>
                <w:rFonts w:ascii="Times New Roman" w:hAnsi="Times New Roman"/>
                <w:sz w:val="20"/>
                <w:szCs w:val="20"/>
              </w:rPr>
              <w:t>- 164</w:t>
            </w:r>
          </w:p>
        </w:tc>
        <w:tc>
          <w:tcPr>
            <w:tcW w:w="0" w:type="auto"/>
            <w:shd w:val="clear" w:color="auto" w:fill="EAF1DD" w:themeFill="accent3" w:themeFillTint="33"/>
            <w:vAlign w:val="center"/>
          </w:tcPr>
          <w:p w14:paraId="7E3EA374" w14:textId="77777777" w:rsidR="00384989" w:rsidRPr="007D675F" w:rsidRDefault="00353525" w:rsidP="00CE7F2B">
            <w:pPr>
              <w:spacing w:after="0" w:line="240" w:lineRule="auto"/>
              <w:jc w:val="center"/>
              <w:rPr>
                <w:rFonts w:ascii="Times New Roman" w:hAnsi="Times New Roman"/>
                <w:b/>
                <w:sz w:val="20"/>
                <w:szCs w:val="20"/>
              </w:rPr>
            </w:pPr>
            <w:r w:rsidRPr="007D675F">
              <w:rPr>
                <w:rFonts w:ascii="Times New Roman" w:hAnsi="Times New Roman"/>
                <w:b/>
                <w:sz w:val="20"/>
                <w:szCs w:val="20"/>
              </w:rPr>
              <w:t xml:space="preserve">Kopā </w:t>
            </w:r>
            <w:r w:rsidR="00384989" w:rsidRPr="007D675F">
              <w:rPr>
                <w:rFonts w:ascii="Times New Roman" w:hAnsi="Times New Roman"/>
                <w:b/>
                <w:sz w:val="20"/>
                <w:szCs w:val="20"/>
              </w:rPr>
              <w:t>- 125</w:t>
            </w:r>
          </w:p>
        </w:tc>
      </w:tr>
    </w:tbl>
    <w:p w14:paraId="73683FE1" w14:textId="77777777" w:rsidR="00D106E3" w:rsidRPr="007D675F" w:rsidRDefault="00D106E3" w:rsidP="00CE7F2B">
      <w:pPr>
        <w:spacing w:after="0" w:line="240" w:lineRule="auto"/>
        <w:ind w:firstLine="720"/>
        <w:jc w:val="both"/>
        <w:rPr>
          <w:rFonts w:ascii="Times New Roman" w:hAnsi="Times New Roman"/>
          <w:sz w:val="28"/>
          <w:szCs w:val="28"/>
        </w:rPr>
      </w:pPr>
    </w:p>
    <w:p w14:paraId="01678571" w14:textId="01971EFB" w:rsidR="005E2236" w:rsidRPr="007D675F" w:rsidRDefault="00D106E3" w:rsidP="00CE7F2B">
      <w:pPr>
        <w:spacing w:after="0" w:line="240" w:lineRule="auto"/>
        <w:ind w:firstLine="720"/>
        <w:jc w:val="both"/>
        <w:rPr>
          <w:rFonts w:ascii="Times New Roman" w:hAnsi="Times New Roman"/>
          <w:sz w:val="28"/>
          <w:szCs w:val="28"/>
        </w:rPr>
      </w:pPr>
      <w:proofErr w:type="spellStart"/>
      <w:r w:rsidRPr="007D675F">
        <w:rPr>
          <w:rFonts w:ascii="Times New Roman" w:hAnsi="Times New Roman"/>
          <w:sz w:val="28"/>
          <w:szCs w:val="28"/>
        </w:rPr>
        <w:t>Izmēģinājumprojektā</w:t>
      </w:r>
      <w:proofErr w:type="spellEnd"/>
      <w:r w:rsidRPr="007D675F">
        <w:rPr>
          <w:rFonts w:ascii="Times New Roman" w:hAnsi="Times New Roman"/>
          <w:sz w:val="28"/>
          <w:szCs w:val="28"/>
        </w:rPr>
        <w:t xml:space="preserve"> tika plānota bezdarbnieku iesaiste</w:t>
      </w:r>
      <w:r w:rsidR="005060D7" w:rsidRPr="007D675F">
        <w:rPr>
          <w:rFonts w:ascii="Times New Roman" w:hAnsi="Times New Roman"/>
          <w:sz w:val="28"/>
          <w:szCs w:val="28"/>
        </w:rPr>
        <w:t xml:space="preserve"> </w:t>
      </w:r>
      <w:r w:rsidR="00650071" w:rsidRPr="007D675F">
        <w:rPr>
          <w:rFonts w:ascii="Times New Roman" w:hAnsi="Times New Roman"/>
          <w:sz w:val="28"/>
          <w:szCs w:val="28"/>
        </w:rPr>
        <w:t>visos</w:t>
      </w:r>
      <w:r w:rsidR="006E5CE0" w:rsidRPr="007D675F">
        <w:rPr>
          <w:rFonts w:ascii="Times New Roman" w:hAnsi="Times New Roman"/>
          <w:sz w:val="28"/>
          <w:szCs w:val="28"/>
        </w:rPr>
        <w:t xml:space="preserve"> Latvijas reģionos</w:t>
      </w:r>
      <w:r w:rsidR="005060D7" w:rsidRPr="007D675F">
        <w:rPr>
          <w:rFonts w:ascii="Times New Roman" w:hAnsi="Times New Roman"/>
          <w:sz w:val="28"/>
          <w:szCs w:val="28"/>
        </w:rPr>
        <w:t xml:space="preserve">. </w:t>
      </w:r>
      <w:r w:rsidRPr="007D675F">
        <w:rPr>
          <w:rFonts w:ascii="Times New Roman" w:hAnsi="Times New Roman"/>
          <w:sz w:val="28"/>
          <w:szCs w:val="28"/>
        </w:rPr>
        <w:t>Līdz ar to s</w:t>
      </w:r>
      <w:r w:rsidR="005060D7" w:rsidRPr="007D675F">
        <w:rPr>
          <w:rFonts w:ascii="Times New Roman" w:hAnsi="Times New Roman"/>
          <w:sz w:val="28"/>
          <w:szCs w:val="28"/>
        </w:rPr>
        <w:t xml:space="preserve">ākotnēji tika paredzēta arī Barkavas profesionālās vidusskolas iesaiste tālākizglītībā, tomēr </w:t>
      </w:r>
      <w:r w:rsidR="00D651C6" w:rsidRPr="007D675F">
        <w:rPr>
          <w:rFonts w:ascii="Times New Roman" w:hAnsi="Times New Roman"/>
          <w:sz w:val="28"/>
          <w:szCs w:val="28"/>
        </w:rPr>
        <w:t>bezdarbnieku iesaiste šajā izglītības iestādē nenotika</w:t>
      </w:r>
      <w:r w:rsidR="00650071" w:rsidRPr="007D675F">
        <w:rPr>
          <w:rFonts w:ascii="Times New Roman" w:hAnsi="Times New Roman"/>
          <w:sz w:val="28"/>
          <w:szCs w:val="28"/>
        </w:rPr>
        <w:t xml:space="preserve"> neakreditētu profesionālās tālākizglītības programmu dēļ</w:t>
      </w:r>
      <w:r w:rsidR="005060D7" w:rsidRPr="007D675F">
        <w:rPr>
          <w:rFonts w:ascii="Times New Roman" w:hAnsi="Times New Roman"/>
          <w:sz w:val="28"/>
          <w:szCs w:val="28"/>
        </w:rPr>
        <w:t xml:space="preserve">. </w:t>
      </w:r>
      <w:r w:rsidR="005E2236" w:rsidRPr="007D675F">
        <w:rPr>
          <w:rFonts w:ascii="Times New Roman" w:hAnsi="Times New Roman"/>
          <w:sz w:val="28"/>
          <w:szCs w:val="28"/>
        </w:rPr>
        <w:t>Citas izglī</w:t>
      </w:r>
      <w:r w:rsidR="00E9345A" w:rsidRPr="007D675F">
        <w:rPr>
          <w:rFonts w:ascii="Times New Roman" w:hAnsi="Times New Roman"/>
          <w:sz w:val="28"/>
          <w:szCs w:val="28"/>
        </w:rPr>
        <w:t>tības iestādes iesaiste Latgalē</w:t>
      </w:r>
      <w:r w:rsidR="005E2236" w:rsidRPr="007D675F">
        <w:rPr>
          <w:rFonts w:ascii="Times New Roman" w:hAnsi="Times New Roman"/>
          <w:sz w:val="28"/>
          <w:szCs w:val="28"/>
        </w:rPr>
        <w:t xml:space="preserve"> netika īstenota, jo laikā, kad vēl tika lemts par iespējamajiem pretenden</w:t>
      </w:r>
      <w:r w:rsidR="001D063C" w:rsidRPr="007D675F">
        <w:rPr>
          <w:rFonts w:ascii="Times New Roman" w:hAnsi="Times New Roman"/>
          <w:sz w:val="28"/>
          <w:szCs w:val="28"/>
        </w:rPr>
        <w:t xml:space="preserve">tiem, reģionā nebija </w:t>
      </w:r>
      <w:r w:rsidR="00E9345A" w:rsidRPr="007D675F">
        <w:rPr>
          <w:rFonts w:ascii="Times New Roman" w:hAnsi="Times New Roman"/>
          <w:sz w:val="28"/>
          <w:szCs w:val="28"/>
        </w:rPr>
        <w:t>atbilstošu valsts vai pašvaldību izglītības iestāžu (ar</w:t>
      </w:r>
      <w:r w:rsidR="005E2236" w:rsidRPr="007D675F">
        <w:rPr>
          <w:rFonts w:ascii="Times New Roman" w:hAnsi="Times New Roman"/>
          <w:sz w:val="28"/>
          <w:szCs w:val="28"/>
        </w:rPr>
        <w:t xml:space="preserve"> </w:t>
      </w:r>
      <w:r w:rsidR="00E9345A" w:rsidRPr="007D675F">
        <w:rPr>
          <w:rFonts w:ascii="Times New Roman" w:hAnsi="Times New Roman"/>
          <w:sz w:val="28"/>
          <w:szCs w:val="28"/>
        </w:rPr>
        <w:t xml:space="preserve">veiktu </w:t>
      </w:r>
      <w:r w:rsidR="005E2236" w:rsidRPr="007D675F">
        <w:rPr>
          <w:rFonts w:ascii="Times New Roman" w:hAnsi="Times New Roman"/>
          <w:sz w:val="28"/>
          <w:szCs w:val="28"/>
        </w:rPr>
        <w:t>ERAF</w:t>
      </w:r>
      <w:r w:rsidR="00E9345A" w:rsidRPr="007D675F">
        <w:rPr>
          <w:rFonts w:ascii="Times New Roman" w:hAnsi="Times New Roman"/>
          <w:sz w:val="28"/>
          <w:szCs w:val="28"/>
        </w:rPr>
        <w:t xml:space="preserve"> materiāltehniskās bāzes</w:t>
      </w:r>
      <w:r w:rsidR="005E2236" w:rsidRPr="007D675F">
        <w:rPr>
          <w:rFonts w:ascii="Times New Roman" w:hAnsi="Times New Roman"/>
          <w:sz w:val="28"/>
          <w:szCs w:val="28"/>
        </w:rPr>
        <w:t xml:space="preserve"> ieguldījumu</w:t>
      </w:r>
      <w:r w:rsidR="00E9345A" w:rsidRPr="007D675F">
        <w:rPr>
          <w:rFonts w:ascii="Times New Roman" w:hAnsi="Times New Roman"/>
          <w:sz w:val="28"/>
          <w:szCs w:val="28"/>
        </w:rPr>
        <w:t xml:space="preserve">), kas īstenotu </w:t>
      </w:r>
      <w:r w:rsidR="002E07F3" w:rsidRPr="007D675F">
        <w:rPr>
          <w:rFonts w:ascii="Times New Roman" w:hAnsi="Times New Roman"/>
          <w:sz w:val="28"/>
          <w:szCs w:val="28"/>
        </w:rPr>
        <w:t xml:space="preserve">Labklājības ministrijas </w:t>
      </w:r>
      <w:r w:rsidR="00E9345A" w:rsidRPr="007D675F">
        <w:rPr>
          <w:rFonts w:ascii="Times New Roman" w:hAnsi="Times New Roman"/>
          <w:sz w:val="28"/>
          <w:szCs w:val="28"/>
        </w:rPr>
        <w:t>Apmācību komisijas sarakstā esošās</w:t>
      </w:r>
      <w:r w:rsidR="005E2236" w:rsidRPr="007D675F">
        <w:rPr>
          <w:rFonts w:ascii="Times New Roman" w:hAnsi="Times New Roman"/>
          <w:sz w:val="28"/>
          <w:szCs w:val="28"/>
        </w:rPr>
        <w:t xml:space="preserve"> izglītības p</w:t>
      </w:r>
      <w:r w:rsidR="00E9345A" w:rsidRPr="007D675F">
        <w:rPr>
          <w:rFonts w:ascii="Times New Roman" w:hAnsi="Times New Roman"/>
          <w:sz w:val="28"/>
          <w:szCs w:val="28"/>
        </w:rPr>
        <w:t>rogrammas</w:t>
      </w:r>
      <w:r w:rsidR="005E2236" w:rsidRPr="007D675F">
        <w:rPr>
          <w:rFonts w:ascii="Times New Roman" w:hAnsi="Times New Roman"/>
          <w:sz w:val="28"/>
          <w:szCs w:val="28"/>
        </w:rPr>
        <w:t>.</w:t>
      </w:r>
    </w:p>
    <w:p w14:paraId="7B76E656" w14:textId="2BF97BA6" w:rsidR="0002755E" w:rsidRPr="007D675F" w:rsidRDefault="00CC680E" w:rsidP="00CE7F2B">
      <w:pPr>
        <w:spacing w:after="0" w:line="240" w:lineRule="auto"/>
        <w:ind w:firstLine="720"/>
        <w:jc w:val="both"/>
        <w:rPr>
          <w:rFonts w:ascii="Times New Roman" w:hAnsi="Times New Roman"/>
          <w:sz w:val="28"/>
          <w:szCs w:val="28"/>
        </w:rPr>
      </w:pPr>
      <w:r w:rsidRPr="007D675F">
        <w:rPr>
          <w:rFonts w:ascii="Times New Roman" w:hAnsi="Times New Roman"/>
          <w:sz w:val="28"/>
          <w:szCs w:val="28"/>
        </w:rPr>
        <w:t>T</w:t>
      </w:r>
      <w:r w:rsidR="005060D7" w:rsidRPr="007D675F">
        <w:rPr>
          <w:rFonts w:ascii="Times New Roman" w:hAnsi="Times New Roman"/>
          <w:sz w:val="28"/>
          <w:szCs w:val="28"/>
        </w:rPr>
        <w:t>ālākizglītības programmu apguvē ti</w:t>
      </w:r>
      <w:r w:rsidR="003D33EA" w:rsidRPr="007D675F">
        <w:rPr>
          <w:rFonts w:ascii="Times New Roman" w:hAnsi="Times New Roman"/>
          <w:sz w:val="28"/>
          <w:szCs w:val="28"/>
        </w:rPr>
        <w:t>ka iesaistīti 164 bezdarbnieki</w:t>
      </w:r>
      <w:r w:rsidR="00F4778C" w:rsidRPr="007D675F">
        <w:rPr>
          <w:rFonts w:ascii="Times New Roman" w:hAnsi="Times New Roman"/>
          <w:sz w:val="28"/>
          <w:szCs w:val="28"/>
        </w:rPr>
        <w:t xml:space="preserve"> (</w:t>
      </w:r>
      <w:r w:rsidR="00B34D19" w:rsidRPr="007D675F">
        <w:rPr>
          <w:rFonts w:ascii="Times New Roman" w:hAnsi="Times New Roman"/>
          <w:i/>
          <w:sz w:val="28"/>
          <w:szCs w:val="28"/>
        </w:rPr>
        <w:t>ziņojuma 3.sadaļā ir sniegta informācija par konstatētajām problēmām, kas liedza sasniegt rezultatīvā rādītāja izpildi</w:t>
      </w:r>
      <w:r w:rsidR="00B95BD4" w:rsidRPr="007D675F">
        <w:rPr>
          <w:rFonts w:ascii="Times New Roman" w:hAnsi="Times New Roman"/>
          <w:sz w:val="28"/>
          <w:szCs w:val="28"/>
        </w:rPr>
        <w:t>)</w:t>
      </w:r>
      <w:r w:rsidR="0002755E" w:rsidRPr="007D675F">
        <w:rPr>
          <w:rFonts w:ascii="Times New Roman" w:hAnsi="Times New Roman"/>
          <w:sz w:val="28"/>
          <w:szCs w:val="28"/>
        </w:rPr>
        <w:t xml:space="preserve">. </w:t>
      </w:r>
      <w:r w:rsidR="008B3347" w:rsidRPr="007D675F">
        <w:rPr>
          <w:rFonts w:ascii="Times New Roman" w:hAnsi="Times New Roman"/>
          <w:sz w:val="28"/>
          <w:szCs w:val="28"/>
        </w:rPr>
        <w:t>Bezdarbnieki</w:t>
      </w:r>
      <w:r w:rsidR="00804B04" w:rsidRPr="007D675F">
        <w:rPr>
          <w:rFonts w:ascii="Times New Roman" w:hAnsi="Times New Roman"/>
          <w:sz w:val="28"/>
          <w:szCs w:val="28"/>
        </w:rPr>
        <w:t xml:space="preserve"> v</w:t>
      </w:r>
      <w:r w:rsidR="0002755E" w:rsidRPr="007D675F">
        <w:rPr>
          <w:rFonts w:ascii="Times New Roman" w:hAnsi="Times New Roman"/>
          <w:sz w:val="28"/>
          <w:szCs w:val="28"/>
        </w:rPr>
        <w:t>isvairāk izvēl</w:t>
      </w:r>
      <w:r w:rsidR="008B3347" w:rsidRPr="007D675F">
        <w:rPr>
          <w:rFonts w:ascii="Times New Roman" w:hAnsi="Times New Roman"/>
          <w:sz w:val="28"/>
          <w:szCs w:val="28"/>
        </w:rPr>
        <w:t>ējās šādas profesijas</w:t>
      </w:r>
      <w:r w:rsidR="0002755E" w:rsidRPr="007D675F">
        <w:rPr>
          <w:rFonts w:ascii="Times New Roman" w:hAnsi="Times New Roman"/>
          <w:sz w:val="28"/>
          <w:szCs w:val="28"/>
        </w:rPr>
        <w:t>:</w:t>
      </w:r>
    </w:p>
    <w:p w14:paraId="1B6F6A7B" w14:textId="77777777" w:rsidR="0002755E" w:rsidRPr="007D675F" w:rsidRDefault="0002755E" w:rsidP="00CE7F2B">
      <w:pPr>
        <w:numPr>
          <w:ilvl w:val="0"/>
          <w:numId w:val="24"/>
        </w:numPr>
        <w:spacing w:after="0" w:line="240" w:lineRule="auto"/>
        <w:ind w:hanging="440"/>
        <w:jc w:val="both"/>
        <w:rPr>
          <w:rFonts w:ascii="Times New Roman" w:hAnsi="Times New Roman"/>
          <w:sz w:val="28"/>
          <w:szCs w:val="28"/>
        </w:rPr>
      </w:pPr>
      <w:r w:rsidRPr="007D675F">
        <w:rPr>
          <w:rFonts w:ascii="Times New Roman" w:hAnsi="Times New Roman"/>
          <w:sz w:val="28"/>
          <w:szCs w:val="28"/>
        </w:rPr>
        <w:t>Datorsistēmu tehniķis – 24 bezdarbnieki,</w:t>
      </w:r>
    </w:p>
    <w:p w14:paraId="1C54ABA8" w14:textId="77777777" w:rsidR="003F2E49" w:rsidRPr="007D675F" w:rsidRDefault="003F2E49" w:rsidP="00CE7F2B">
      <w:pPr>
        <w:numPr>
          <w:ilvl w:val="0"/>
          <w:numId w:val="24"/>
        </w:numPr>
        <w:spacing w:after="0" w:line="240" w:lineRule="auto"/>
        <w:ind w:hanging="440"/>
        <w:jc w:val="both"/>
        <w:rPr>
          <w:rFonts w:ascii="Times New Roman" w:hAnsi="Times New Roman"/>
          <w:sz w:val="28"/>
          <w:szCs w:val="28"/>
        </w:rPr>
      </w:pPr>
      <w:r w:rsidRPr="007D675F">
        <w:rPr>
          <w:rFonts w:ascii="Times New Roman" w:hAnsi="Times New Roman"/>
          <w:sz w:val="28"/>
          <w:szCs w:val="28"/>
        </w:rPr>
        <w:t>Konditora palīgs – 23,</w:t>
      </w:r>
    </w:p>
    <w:p w14:paraId="7749FDA1" w14:textId="6752DA47" w:rsidR="003F2E49" w:rsidRPr="007D675F" w:rsidRDefault="003F2E49" w:rsidP="00CE7F2B">
      <w:pPr>
        <w:numPr>
          <w:ilvl w:val="0"/>
          <w:numId w:val="24"/>
        </w:numPr>
        <w:spacing w:after="0" w:line="240" w:lineRule="auto"/>
        <w:ind w:hanging="440"/>
        <w:jc w:val="both"/>
        <w:rPr>
          <w:rFonts w:ascii="Times New Roman" w:hAnsi="Times New Roman"/>
          <w:sz w:val="28"/>
          <w:szCs w:val="28"/>
        </w:rPr>
      </w:pPr>
      <w:r w:rsidRPr="007D675F">
        <w:rPr>
          <w:rFonts w:ascii="Times New Roman" w:hAnsi="Times New Roman"/>
          <w:sz w:val="28"/>
          <w:szCs w:val="28"/>
        </w:rPr>
        <w:t>Maiznieks - 20</w:t>
      </w:r>
      <w:r w:rsidR="00650071" w:rsidRPr="007D675F">
        <w:rPr>
          <w:rFonts w:ascii="Times New Roman" w:hAnsi="Times New Roman"/>
          <w:sz w:val="28"/>
          <w:szCs w:val="28"/>
        </w:rPr>
        <w:t xml:space="preserve"> (</w:t>
      </w:r>
      <w:r w:rsidR="00AE7E4E" w:rsidRPr="007D675F">
        <w:rPr>
          <w:rFonts w:ascii="Times New Roman" w:hAnsi="Times New Roman"/>
          <w:sz w:val="28"/>
          <w:szCs w:val="28"/>
        </w:rPr>
        <w:t xml:space="preserve"> sīkāk skat.</w:t>
      </w:r>
      <w:r w:rsidR="008D0B29" w:rsidRPr="007D675F">
        <w:rPr>
          <w:rFonts w:ascii="Times New Roman" w:hAnsi="Times New Roman"/>
          <w:sz w:val="28"/>
          <w:szCs w:val="28"/>
        </w:rPr>
        <w:t xml:space="preserve"> tabul</w:t>
      </w:r>
      <w:r w:rsidR="00AE7E4E" w:rsidRPr="007D675F">
        <w:rPr>
          <w:rFonts w:ascii="Times New Roman" w:hAnsi="Times New Roman"/>
          <w:sz w:val="28"/>
          <w:szCs w:val="28"/>
        </w:rPr>
        <w:t>ā</w:t>
      </w:r>
      <w:r w:rsidR="008D0B29" w:rsidRPr="007D675F">
        <w:rPr>
          <w:rFonts w:ascii="Times New Roman" w:hAnsi="Times New Roman"/>
          <w:sz w:val="28"/>
          <w:szCs w:val="28"/>
        </w:rPr>
        <w:t xml:space="preserve"> Nr.1</w:t>
      </w:r>
      <w:r w:rsidR="00650071" w:rsidRPr="007D675F">
        <w:rPr>
          <w:rFonts w:ascii="Times New Roman" w:hAnsi="Times New Roman"/>
          <w:sz w:val="28"/>
          <w:szCs w:val="28"/>
        </w:rPr>
        <w:t>).</w:t>
      </w:r>
      <w:r w:rsidR="003D33EA" w:rsidRPr="007D675F">
        <w:rPr>
          <w:rFonts w:ascii="Times New Roman" w:hAnsi="Times New Roman"/>
          <w:sz w:val="28"/>
          <w:szCs w:val="28"/>
        </w:rPr>
        <w:t xml:space="preserve"> </w:t>
      </w:r>
    </w:p>
    <w:p w14:paraId="6A006350" w14:textId="77777777" w:rsidR="00167166" w:rsidRPr="007D675F" w:rsidRDefault="005060D7" w:rsidP="00CE7F2B">
      <w:pPr>
        <w:spacing w:after="0" w:line="240" w:lineRule="auto"/>
        <w:jc w:val="both"/>
        <w:rPr>
          <w:bCs/>
          <w:sz w:val="28"/>
          <w:szCs w:val="28"/>
        </w:rPr>
      </w:pPr>
      <w:r w:rsidRPr="007D675F">
        <w:rPr>
          <w:rFonts w:ascii="Times New Roman" w:hAnsi="Times New Roman"/>
          <w:sz w:val="28"/>
          <w:szCs w:val="28"/>
        </w:rPr>
        <w:lastRenderedPageBreak/>
        <w:t>Tālākizglītības apguvi</w:t>
      </w:r>
      <w:r w:rsidRPr="007D675F">
        <w:rPr>
          <w:rFonts w:ascii="Times New Roman" w:hAnsi="Times New Roman"/>
          <w:bCs/>
          <w:sz w:val="28"/>
          <w:szCs w:val="28"/>
        </w:rPr>
        <w:t xml:space="preserve"> dažādu iemeslu dēļ p</w:t>
      </w:r>
      <w:r w:rsidR="00650071" w:rsidRPr="007D675F">
        <w:rPr>
          <w:rFonts w:ascii="Times New Roman" w:hAnsi="Times New Roman"/>
          <w:bCs/>
          <w:sz w:val="28"/>
          <w:szCs w:val="28"/>
        </w:rPr>
        <w:t>ārtrauca 39 bezdarbnieki jeb 24 % (10</w:t>
      </w:r>
      <w:r w:rsidRPr="007D675F">
        <w:rPr>
          <w:rFonts w:ascii="Times New Roman" w:hAnsi="Times New Roman"/>
          <w:bCs/>
          <w:sz w:val="28"/>
          <w:szCs w:val="28"/>
        </w:rPr>
        <w:t xml:space="preserve"> bezdarbnieki pārtrauca</w:t>
      </w:r>
      <w:r w:rsidR="00650071" w:rsidRPr="007D675F">
        <w:rPr>
          <w:rFonts w:ascii="Times New Roman" w:hAnsi="Times New Roman"/>
          <w:bCs/>
          <w:sz w:val="28"/>
          <w:szCs w:val="28"/>
        </w:rPr>
        <w:t xml:space="preserve"> dalību, jo iekārtojās darbā; 16</w:t>
      </w:r>
      <w:r w:rsidRPr="007D675F">
        <w:rPr>
          <w:rFonts w:ascii="Times New Roman" w:hAnsi="Times New Roman"/>
          <w:bCs/>
          <w:sz w:val="28"/>
          <w:szCs w:val="28"/>
        </w:rPr>
        <w:t xml:space="preserve"> bezdarbni</w:t>
      </w:r>
      <w:r w:rsidR="00650071" w:rsidRPr="007D675F">
        <w:rPr>
          <w:rFonts w:ascii="Times New Roman" w:hAnsi="Times New Roman"/>
          <w:bCs/>
          <w:sz w:val="28"/>
          <w:szCs w:val="28"/>
        </w:rPr>
        <w:t>eki – veselības stāvokļa dēļ; 13</w:t>
      </w:r>
      <w:r w:rsidRPr="007D675F">
        <w:rPr>
          <w:rFonts w:ascii="Times New Roman" w:hAnsi="Times New Roman"/>
          <w:bCs/>
          <w:sz w:val="28"/>
          <w:szCs w:val="28"/>
        </w:rPr>
        <w:t xml:space="preserve"> bezdarbnieki – līgumu pārkāpumu dēļ).</w:t>
      </w:r>
      <w:r w:rsidR="00AE7E4E" w:rsidRPr="007D675F">
        <w:rPr>
          <w:rFonts w:ascii="Times New Roman" w:hAnsi="Times New Roman"/>
          <w:bCs/>
          <w:sz w:val="28"/>
          <w:szCs w:val="28"/>
        </w:rPr>
        <w:t xml:space="preserve"> </w:t>
      </w:r>
      <w:proofErr w:type="spellStart"/>
      <w:r w:rsidR="00804B04" w:rsidRPr="007D675F">
        <w:rPr>
          <w:rFonts w:ascii="Times New Roman" w:hAnsi="Times New Roman"/>
          <w:bCs/>
          <w:sz w:val="28"/>
          <w:szCs w:val="28"/>
        </w:rPr>
        <w:t>Izmēģinājumprojektā</w:t>
      </w:r>
      <w:proofErr w:type="spellEnd"/>
      <w:r w:rsidR="00804B04" w:rsidRPr="007D675F">
        <w:rPr>
          <w:rFonts w:ascii="Times New Roman" w:hAnsi="Times New Roman"/>
          <w:bCs/>
          <w:sz w:val="28"/>
          <w:szCs w:val="28"/>
        </w:rPr>
        <w:t xml:space="preserve"> iesaistīto dalībnieku sastāvs, t.sk. </w:t>
      </w:r>
      <w:r w:rsidR="000634B6" w:rsidRPr="007D675F">
        <w:rPr>
          <w:rFonts w:ascii="Times New Roman" w:hAnsi="Times New Roman"/>
          <w:bCs/>
          <w:sz w:val="28"/>
          <w:szCs w:val="28"/>
        </w:rPr>
        <w:t>sadalījumā</w:t>
      </w:r>
      <w:r w:rsidR="00804B04" w:rsidRPr="007D675F">
        <w:rPr>
          <w:rFonts w:ascii="Times New Roman" w:hAnsi="Times New Roman"/>
          <w:bCs/>
          <w:sz w:val="28"/>
          <w:szCs w:val="28"/>
        </w:rPr>
        <w:t xml:space="preserve"> </w:t>
      </w:r>
      <w:r w:rsidR="00AE7E4E" w:rsidRPr="007D675F">
        <w:rPr>
          <w:rFonts w:ascii="Times New Roman" w:hAnsi="Times New Roman"/>
          <w:bCs/>
          <w:sz w:val="28"/>
          <w:szCs w:val="28"/>
        </w:rPr>
        <w:t>pēc dzimuma, ir atspoguļots 2.tabulā.</w:t>
      </w:r>
      <w:r w:rsidR="00AE7E4E" w:rsidRPr="007D675F">
        <w:rPr>
          <w:bCs/>
          <w:sz w:val="28"/>
          <w:szCs w:val="28"/>
        </w:rPr>
        <w:t xml:space="preserve"> </w:t>
      </w:r>
    </w:p>
    <w:p w14:paraId="4C900C82" w14:textId="2C48E80A" w:rsidR="00167166" w:rsidRPr="007D675F" w:rsidRDefault="00167166" w:rsidP="00CE7F2B">
      <w:pPr>
        <w:spacing w:after="0" w:line="240" w:lineRule="auto"/>
        <w:jc w:val="both"/>
        <w:rPr>
          <w:rFonts w:ascii="Times New Roman" w:hAnsi="Times New Roman"/>
          <w:bCs/>
          <w:sz w:val="28"/>
          <w:szCs w:val="28"/>
        </w:rPr>
      </w:pPr>
      <w:r w:rsidRPr="007D675F">
        <w:rPr>
          <w:bCs/>
          <w:sz w:val="28"/>
          <w:szCs w:val="28"/>
        </w:rPr>
        <w:tab/>
      </w:r>
      <w:proofErr w:type="spellStart"/>
      <w:r w:rsidRPr="007D675F">
        <w:rPr>
          <w:rFonts w:ascii="Times New Roman" w:hAnsi="Times New Roman"/>
          <w:bCs/>
          <w:sz w:val="28"/>
          <w:szCs w:val="28"/>
        </w:rPr>
        <w:t>Izmēģinājumprojekta</w:t>
      </w:r>
      <w:proofErr w:type="spellEnd"/>
      <w:r w:rsidRPr="007D675F">
        <w:rPr>
          <w:rFonts w:ascii="Times New Roman" w:hAnsi="Times New Roman"/>
          <w:bCs/>
          <w:sz w:val="28"/>
          <w:szCs w:val="28"/>
        </w:rPr>
        <w:t xml:space="preserve"> visu bezdarbnieku grupu iesaiste tika finansēta Eiropas Sociālā fonda projekta „Bezdarbnieku un darba meklētāju apmācība Latvijā - 2” ietvaros. Papildus ir nepieciešams minēt, ka </w:t>
      </w:r>
      <w:r w:rsidR="00102B5A" w:rsidRPr="007D675F">
        <w:rPr>
          <w:rFonts w:ascii="Times New Roman" w:hAnsi="Times New Roman"/>
          <w:bCs/>
          <w:sz w:val="28"/>
          <w:szCs w:val="28"/>
        </w:rPr>
        <w:t>Aģentūra</w:t>
      </w:r>
      <w:r w:rsidR="00C76BD0" w:rsidRPr="007D675F">
        <w:rPr>
          <w:rFonts w:ascii="Times New Roman" w:hAnsi="Times New Roman"/>
          <w:bCs/>
          <w:sz w:val="28"/>
          <w:szCs w:val="28"/>
        </w:rPr>
        <w:t xml:space="preserve">, veicot jauniešu reģistrāciju, nodrošināja, ka </w:t>
      </w:r>
      <w:r w:rsidRPr="007D675F">
        <w:rPr>
          <w:rFonts w:ascii="Times New Roman" w:hAnsi="Times New Roman"/>
          <w:bCs/>
          <w:sz w:val="28"/>
          <w:szCs w:val="28"/>
        </w:rPr>
        <w:t xml:space="preserve">vieni un tie paši </w:t>
      </w:r>
      <w:r w:rsidR="00C76BD0" w:rsidRPr="007D675F">
        <w:rPr>
          <w:rFonts w:ascii="Times New Roman" w:hAnsi="Times New Roman"/>
          <w:bCs/>
          <w:sz w:val="28"/>
          <w:szCs w:val="28"/>
        </w:rPr>
        <w:t xml:space="preserve">jaunieši </w:t>
      </w:r>
      <w:r w:rsidRPr="007D675F">
        <w:rPr>
          <w:rFonts w:ascii="Times New Roman" w:hAnsi="Times New Roman"/>
          <w:bCs/>
          <w:sz w:val="28"/>
          <w:szCs w:val="28"/>
        </w:rPr>
        <w:t xml:space="preserve">bezdarbnieki netika iesaistīti gan </w:t>
      </w:r>
      <w:proofErr w:type="spellStart"/>
      <w:r w:rsidRPr="007D675F">
        <w:rPr>
          <w:rFonts w:ascii="Times New Roman" w:hAnsi="Times New Roman"/>
          <w:bCs/>
          <w:sz w:val="28"/>
          <w:szCs w:val="28"/>
        </w:rPr>
        <w:t>izmēģinājumprojektā</w:t>
      </w:r>
      <w:proofErr w:type="spellEnd"/>
      <w:r w:rsidRPr="007D675F">
        <w:rPr>
          <w:rFonts w:ascii="Times New Roman" w:hAnsi="Times New Roman"/>
          <w:bCs/>
          <w:sz w:val="28"/>
          <w:szCs w:val="28"/>
        </w:rPr>
        <w:t>, gan Eiropas Savienības fondu darbības programmas „Izaugsme un nodarbinātība” 7.2.1.SAM “Palielināt nodarbinātībā, izglītībā vai apmācībās neiesaistītu jauniešu nodarbinātību un izglītības ieguvi Jauniešu garantijas ietvaros” aktivitātē</w:t>
      </w:r>
      <w:r w:rsidR="00C76BD0" w:rsidRPr="007D675F">
        <w:rPr>
          <w:rFonts w:ascii="Times New Roman" w:hAnsi="Times New Roman"/>
          <w:bCs/>
          <w:sz w:val="28"/>
          <w:szCs w:val="28"/>
        </w:rPr>
        <w:t>. Tāpat arī</w:t>
      </w:r>
      <w:r w:rsidRPr="007D675F">
        <w:rPr>
          <w:rFonts w:ascii="Times New Roman" w:hAnsi="Times New Roman"/>
          <w:bCs/>
          <w:sz w:val="28"/>
          <w:szCs w:val="28"/>
        </w:rPr>
        <w:t xml:space="preserve"> </w:t>
      </w:r>
      <w:proofErr w:type="spellStart"/>
      <w:r w:rsidRPr="007D675F">
        <w:rPr>
          <w:rFonts w:ascii="Times New Roman" w:hAnsi="Times New Roman"/>
          <w:bCs/>
          <w:sz w:val="28"/>
          <w:szCs w:val="28"/>
        </w:rPr>
        <w:t>izmēģin</w:t>
      </w:r>
      <w:r w:rsidR="00102B5A" w:rsidRPr="007D675F">
        <w:rPr>
          <w:rFonts w:ascii="Times New Roman" w:hAnsi="Times New Roman"/>
          <w:bCs/>
          <w:sz w:val="28"/>
          <w:szCs w:val="28"/>
        </w:rPr>
        <w:t>ājumprojektam</w:t>
      </w:r>
      <w:proofErr w:type="spellEnd"/>
      <w:r w:rsidR="00102B5A" w:rsidRPr="007D675F">
        <w:rPr>
          <w:rFonts w:ascii="Times New Roman" w:hAnsi="Times New Roman"/>
          <w:bCs/>
          <w:sz w:val="28"/>
          <w:szCs w:val="28"/>
        </w:rPr>
        <w:t xml:space="preserve"> un minētajai aktivitātei bija atšķirīgi uzsākšanas termiņi (</w:t>
      </w:r>
      <w:r w:rsidRPr="007D675F">
        <w:rPr>
          <w:rFonts w:ascii="Times New Roman" w:hAnsi="Times New Roman"/>
          <w:bCs/>
          <w:sz w:val="28"/>
          <w:szCs w:val="28"/>
        </w:rPr>
        <w:t xml:space="preserve">2014. gada </w:t>
      </w:r>
      <w:r w:rsidR="00102B5A" w:rsidRPr="007D675F">
        <w:rPr>
          <w:rFonts w:ascii="Times New Roman" w:hAnsi="Times New Roman"/>
          <w:bCs/>
          <w:sz w:val="28"/>
          <w:szCs w:val="28"/>
        </w:rPr>
        <w:t>19. janvāris un 2014. gada 1. jūnij</w:t>
      </w:r>
      <w:r w:rsidR="00C76BD0" w:rsidRPr="007D675F">
        <w:rPr>
          <w:rFonts w:ascii="Times New Roman" w:hAnsi="Times New Roman"/>
          <w:bCs/>
          <w:sz w:val="28"/>
          <w:szCs w:val="28"/>
        </w:rPr>
        <w:t>s).</w:t>
      </w:r>
    </w:p>
    <w:p w14:paraId="72A2551E" w14:textId="4D10A7CC" w:rsidR="004351B8" w:rsidRPr="007D675F" w:rsidRDefault="00C76BD0" w:rsidP="00C76BD0">
      <w:pPr>
        <w:spacing w:after="0" w:line="240" w:lineRule="auto"/>
        <w:jc w:val="both"/>
        <w:rPr>
          <w:rFonts w:ascii="Times New Roman" w:hAnsi="Times New Roman"/>
          <w:b/>
          <w:bCs/>
          <w:sz w:val="28"/>
          <w:szCs w:val="28"/>
        </w:rPr>
      </w:pPr>
      <w:r w:rsidRPr="007D675F">
        <w:rPr>
          <w:rFonts w:ascii="Times New Roman" w:hAnsi="Times New Roman"/>
          <w:bCs/>
          <w:sz w:val="28"/>
          <w:szCs w:val="28"/>
        </w:rPr>
        <w:tab/>
      </w:r>
      <w:proofErr w:type="spellStart"/>
      <w:r w:rsidR="00D8023A" w:rsidRPr="007D675F">
        <w:rPr>
          <w:rFonts w:ascii="Times New Roman" w:hAnsi="Times New Roman"/>
          <w:bCs/>
          <w:sz w:val="28"/>
          <w:szCs w:val="28"/>
        </w:rPr>
        <w:t>Izmēģinājumprojekts</w:t>
      </w:r>
      <w:proofErr w:type="spellEnd"/>
      <w:r w:rsidR="00D8023A" w:rsidRPr="007D675F">
        <w:rPr>
          <w:rFonts w:ascii="Times New Roman" w:hAnsi="Times New Roman"/>
          <w:bCs/>
          <w:sz w:val="28"/>
          <w:szCs w:val="28"/>
        </w:rPr>
        <w:t xml:space="preserve"> tika finansēts Eiropas Sociālā fonda projekta „Bezdarbnieku un darba meklētāju apmācība Latvijā - 2” ietvaros, tā f</w:t>
      </w:r>
      <w:r w:rsidR="00C4245D" w:rsidRPr="007D675F">
        <w:rPr>
          <w:rFonts w:ascii="Times New Roman" w:hAnsi="Times New Roman"/>
          <w:bCs/>
          <w:sz w:val="28"/>
          <w:szCs w:val="28"/>
        </w:rPr>
        <w:t>aktiskās mācību un stipendiju izmaksas uz 2014. gada 3</w:t>
      </w:r>
      <w:r w:rsidR="005E4B8A" w:rsidRPr="007D675F">
        <w:rPr>
          <w:rFonts w:ascii="Times New Roman" w:hAnsi="Times New Roman"/>
          <w:bCs/>
          <w:sz w:val="28"/>
          <w:szCs w:val="28"/>
        </w:rPr>
        <w:t>1</w:t>
      </w:r>
      <w:r w:rsidR="00C4245D" w:rsidRPr="007D675F">
        <w:rPr>
          <w:rFonts w:ascii="Times New Roman" w:hAnsi="Times New Roman"/>
          <w:bCs/>
          <w:sz w:val="28"/>
          <w:szCs w:val="28"/>
        </w:rPr>
        <w:t>. decembri veidoja </w:t>
      </w:r>
      <w:r w:rsidR="00C4245D" w:rsidRPr="007D675F">
        <w:rPr>
          <w:rFonts w:ascii="Times New Roman" w:hAnsi="Times New Roman"/>
          <w:b/>
          <w:bCs/>
          <w:sz w:val="28"/>
          <w:szCs w:val="28"/>
        </w:rPr>
        <w:t xml:space="preserve">203 023,92 </w:t>
      </w:r>
      <w:proofErr w:type="spellStart"/>
      <w:r w:rsidR="00C4245D" w:rsidRPr="007D675F">
        <w:rPr>
          <w:rFonts w:ascii="Times New Roman" w:hAnsi="Times New Roman"/>
          <w:b/>
          <w:bCs/>
          <w:i/>
          <w:sz w:val="28"/>
          <w:szCs w:val="28"/>
        </w:rPr>
        <w:t>euro</w:t>
      </w:r>
      <w:proofErr w:type="spellEnd"/>
      <w:r w:rsidR="00C4245D" w:rsidRPr="007D675F">
        <w:rPr>
          <w:rFonts w:ascii="Times New Roman" w:hAnsi="Times New Roman"/>
          <w:b/>
          <w:bCs/>
          <w:i/>
          <w:sz w:val="28"/>
          <w:szCs w:val="28"/>
        </w:rPr>
        <w:t>.</w:t>
      </w:r>
    </w:p>
    <w:p w14:paraId="735F775D" w14:textId="58A850AA" w:rsidR="005060D7" w:rsidRPr="007D675F" w:rsidRDefault="005060D7" w:rsidP="00CE7F2B">
      <w:pPr>
        <w:spacing w:after="0" w:line="240" w:lineRule="auto"/>
        <w:jc w:val="right"/>
        <w:rPr>
          <w:rFonts w:ascii="Times New Roman" w:hAnsi="Times New Roman"/>
          <w:bCs/>
          <w:i/>
          <w:sz w:val="24"/>
          <w:szCs w:val="24"/>
        </w:rPr>
      </w:pPr>
      <w:r w:rsidRPr="007D675F">
        <w:rPr>
          <w:rFonts w:ascii="Times New Roman" w:hAnsi="Times New Roman"/>
          <w:bCs/>
          <w:i/>
          <w:sz w:val="24"/>
          <w:szCs w:val="24"/>
        </w:rPr>
        <w:t xml:space="preserve">Tabula Nr.2 </w:t>
      </w:r>
    </w:p>
    <w:p w14:paraId="307329CA" w14:textId="1D8C3876" w:rsidR="005060D7" w:rsidRPr="007D675F" w:rsidRDefault="005060D7" w:rsidP="00CE7F2B">
      <w:pPr>
        <w:pStyle w:val="tv2131"/>
        <w:spacing w:before="120" w:line="240" w:lineRule="auto"/>
        <w:ind w:firstLine="0"/>
        <w:jc w:val="center"/>
        <w:rPr>
          <w:bCs/>
          <w:i/>
          <w:color w:val="auto"/>
          <w:sz w:val="24"/>
          <w:szCs w:val="24"/>
        </w:rPr>
      </w:pPr>
      <w:r w:rsidRPr="007D675F">
        <w:rPr>
          <w:bCs/>
          <w:i/>
          <w:color w:val="auto"/>
          <w:sz w:val="24"/>
          <w:szCs w:val="24"/>
        </w:rPr>
        <w:t xml:space="preserve">Profesionālās tālākizglītības ieguvē </w:t>
      </w:r>
      <w:proofErr w:type="spellStart"/>
      <w:r w:rsidR="00FE502E" w:rsidRPr="007D675F">
        <w:rPr>
          <w:bCs/>
          <w:i/>
          <w:color w:val="auto"/>
          <w:sz w:val="24"/>
          <w:szCs w:val="24"/>
        </w:rPr>
        <w:t>i</w:t>
      </w:r>
      <w:r w:rsidRPr="007D675F">
        <w:rPr>
          <w:bCs/>
          <w:i/>
          <w:color w:val="auto"/>
          <w:sz w:val="24"/>
          <w:szCs w:val="24"/>
        </w:rPr>
        <w:t>zmēģinājumprojektā</w:t>
      </w:r>
      <w:proofErr w:type="spellEnd"/>
      <w:r w:rsidRPr="007D675F">
        <w:rPr>
          <w:bCs/>
          <w:i/>
          <w:color w:val="auto"/>
          <w:sz w:val="24"/>
          <w:szCs w:val="24"/>
        </w:rPr>
        <w:t xml:space="preserve"> iesaistītie bezdarbnieki sadalījumā pa vecuma grupām un dzimumiem.</w:t>
      </w:r>
    </w:p>
    <w:tbl>
      <w:tblPr>
        <w:tblW w:w="5000" w:type="pct"/>
        <w:jc w:val="center"/>
        <w:tblLook w:val="00A0" w:firstRow="1" w:lastRow="0" w:firstColumn="1" w:lastColumn="0" w:noHBand="0" w:noVBand="0"/>
      </w:tblPr>
      <w:tblGrid>
        <w:gridCol w:w="2173"/>
        <w:gridCol w:w="1297"/>
        <w:gridCol w:w="1037"/>
        <w:gridCol w:w="770"/>
        <w:gridCol w:w="1089"/>
        <w:gridCol w:w="1096"/>
        <w:gridCol w:w="1310"/>
      </w:tblGrid>
      <w:tr w:rsidR="007D675F" w:rsidRPr="007D675F" w14:paraId="40BF3618" w14:textId="77777777" w:rsidTr="00BD2744">
        <w:trPr>
          <w:trHeight w:val="1185"/>
          <w:jc w:val="center"/>
        </w:trPr>
        <w:tc>
          <w:tcPr>
            <w:tcW w:w="1240" w:type="pct"/>
            <w:vMerge w:val="restart"/>
            <w:tcBorders>
              <w:top w:val="single" w:sz="4" w:space="0" w:color="auto"/>
              <w:left w:val="single" w:sz="4" w:space="0" w:color="auto"/>
              <w:bottom w:val="single" w:sz="4" w:space="0" w:color="000000"/>
              <w:right w:val="single" w:sz="4" w:space="0" w:color="auto"/>
            </w:tcBorders>
            <w:shd w:val="clear" w:color="auto" w:fill="D6E3BC" w:themeFill="accent3" w:themeFillTint="66"/>
            <w:vAlign w:val="center"/>
          </w:tcPr>
          <w:p w14:paraId="4D16FFBA" w14:textId="77777777" w:rsidR="005060D7" w:rsidRPr="007D675F" w:rsidRDefault="005060D7" w:rsidP="00CE7F2B">
            <w:pPr>
              <w:pStyle w:val="tv2131"/>
              <w:ind w:firstLine="301"/>
              <w:jc w:val="center"/>
              <w:rPr>
                <w:b/>
                <w:bCs/>
                <w:color w:val="auto"/>
                <w:sz w:val="18"/>
                <w:szCs w:val="18"/>
              </w:rPr>
            </w:pPr>
            <w:r w:rsidRPr="007D675F">
              <w:rPr>
                <w:b/>
                <w:bCs/>
                <w:color w:val="auto"/>
                <w:sz w:val="18"/>
                <w:szCs w:val="18"/>
              </w:rPr>
              <w:t>Mērķa grupa</w:t>
            </w:r>
          </w:p>
        </w:tc>
        <w:tc>
          <w:tcPr>
            <w:tcW w:w="737" w:type="pct"/>
            <w:vMerge w:val="restart"/>
            <w:tcBorders>
              <w:top w:val="single" w:sz="4" w:space="0" w:color="auto"/>
              <w:left w:val="single" w:sz="4" w:space="0" w:color="auto"/>
              <w:bottom w:val="single" w:sz="4" w:space="0" w:color="000000"/>
              <w:right w:val="single" w:sz="4" w:space="0" w:color="auto"/>
            </w:tcBorders>
            <w:shd w:val="clear" w:color="auto" w:fill="D6E3BC" w:themeFill="accent3" w:themeFillTint="66"/>
            <w:vAlign w:val="center"/>
          </w:tcPr>
          <w:p w14:paraId="6BFDE1C1" w14:textId="77777777" w:rsidR="00DC5AFB" w:rsidRPr="007D675F" w:rsidRDefault="005060D7" w:rsidP="00CE7F2B">
            <w:pPr>
              <w:pStyle w:val="tv2131"/>
              <w:spacing w:line="240" w:lineRule="auto"/>
              <w:ind w:firstLine="0"/>
              <w:jc w:val="center"/>
              <w:rPr>
                <w:b/>
                <w:bCs/>
                <w:color w:val="auto"/>
                <w:sz w:val="18"/>
                <w:szCs w:val="18"/>
              </w:rPr>
            </w:pPr>
            <w:r w:rsidRPr="007D675F">
              <w:rPr>
                <w:b/>
                <w:bCs/>
                <w:color w:val="auto"/>
                <w:sz w:val="18"/>
                <w:szCs w:val="18"/>
              </w:rPr>
              <w:t>Be</w:t>
            </w:r>
            <w:r w:rsidR="00DC5AFB" w:rsidRPr="007D675F">
              <w:rPr>
                <w:b/>
                <w:bCs/>
                <w:color w:val="auto"/>
                <w:sz w:val="18"/>
                <w:szCs w:val="18"/>
              </w:rPr>
              <w:t>zdarbnieku skaits, kuri iesaistījās</w:t>
            </w:r>
          </w:p>
          <w:p w14:paraId="065D5824" w14:textId="2E8629C9" w:rsidR="005060D7" w:rsidRPr="007D675F" w:rsidRDefault="005060D7" w:rsidP="00CE7F2B">
            <w:pPr>
              <w:pStyle w:val="tv2131"/>
              <w:spacing w:line="240" w:lineRule="auto"/>
              <w:ind w:firstLine="0"/>
              <w:jc w:val="center"/>
              <w:rPr>
                <w:b/>
                <w:bCs/>
                <w:color w:val="auto"/>
                <w:sz w:val="18"/>
                <w:szCs w:val="18"/>
              </w:rPr>
            </w:pPr>
            <w:r w:rsidRPr="007D675F">
              <w:rPr>
                <w:b/>
                <w:bCs/>
                <w:color w:val="auto"/>
                <w:sz w:val="18"/>
                <w:szCs w:val="18"/>
              </w:rPr>
              <w:t>projektā (uzsāk</w:t>
            </w:r>
            <w:r w:rsidR="00DC5AFB" w:rsidRPr="007D675F">
              <w:rPr>
                <w:b/>
                <w:bCs/>
                <w:color w:val="auto"/>
                <w:sz w:val="18"/>
                <w:szCs w:val="18"/>
              </w:rPr>
              <w:t>a</w:t>
            </w:r>
            <w:r w:rsidRPr="007D675F">
              <w:rPr>
                <w:b/>
                <w:bCs/>
                <w:color w:val="auto"/>
                <w:sz w:val="18"/>
                <w:szCs w:val="18"/>
              </w:rPr>
              <w:t xml:space="preserve"> profesionālo izglītību) </w:t>
            </w:r>
            <w:r w:rsidRPr="007D675F">
              <w:rPr>
                <w:b/>
                <w:bCs/>
                <w:color w:val="auto"/>
                <w:sz w:val="18"/>
                <w:szCs w:val="18"/>
                <w:u w:val="single"/>
              </w:rPr>
              <w:t>faktiskā izpilde</w:t>
            </w:r>
          </w:p>
        </w:tc>
        <w:tc>
          <w:tcPr>
            <w:tcW w:w="587" w:type="pct"/>
            <w:vMerge w:val="restart"/>
            <w:tcBorders>
              <w:top w:val="single" w:sz="4" w:space="0" w:color="auto"/>
              <w:left w:val="single" w:sz="4" w:space="0" w:color="auto"/>
              <w:bottom w:val="single" w:sz="4" w:space="0" w:color="000000"/>
              <w:right w:val="nil"/>
            </w:tcBorders>
            <w:shd w:val="clear" w:color="auto" w:fill="D6E3BC" w:themeFill="accent3" w:themeFillTint="66"/>
            <w:vAlign w:val="center"/>
          </w:tcPr>
          <w:p w14:paraId="460B2130" w14:textId="77777777" w:rsidR="005060D7" w:rsidRPr="007D675F" w:rsidRDefault="005060D7" w:rsidP="00CE7F2B">
            <w:pPr>
              <w:pStyle w:val="tv2131"/>
              <w:spacing w:line="240" w:lineRule="auto"/>
              <w:ind w:firstLine="0"/>
              <w:jc w:val="center"/>
              <w:rPr>
                <w:b/>
                <w:bCs/>
                <w:color w:val="auto"/>
                <w:sz w:val="18"/>
                <w:szCs w:val="18"/>
              </w:rPr>
            </w:pPr>
            <w:r w:rsidRPr="007D675F">
              <w:rPr>
                <w:b/>
                <w:bCs/>
                <w:color w:val="auto"/>
                <w:sz w:val="18"/>
                <w:szCs w:val="18"/>
              </w:rPr>
              <w:t xml:space="preserve">Mērķa grupu dalībnieku īpatsvars no aktivitātē faktiski uzsākušo </w:t>
            </w:r>
            <w:r w:rsidRPr="007D675F">
              <w:rPr>
                <w:b/>
                <w:bCs/>
                <w:color w:val="auto"/>
                <w:sz w:val="18"/>
                <w:szCs w:val="18"/>
                <w:u w:val="single"/>
              </w:rPr>
              <w:t>kopējā skaita</w:t>
            </w:r>
            <w:r w:rsidRPr="007D675F">
              <w:rPr>
                <w:b/>
                <w:bCs/>
                <w:color w:val="auto"/>
                <w:sz w:val="18"/>
                <w:szCs w:val="18"/>
              </w:rPr>
              <w:t xml:space="preserve"> %</w:t>
            </w:r>
          </w:p>
        </w:tc>
        <w:tc>
          <w:tcPr>
            <w:tcW w:w="2436" w:type="pct"/>
            <w:gridSpan w:val="4"/>
            <w:tcBorders>
              <w:top w:val="single" w:sz="4" w:space="0" w:color="auto"/>
              <w:left w:val="single" w:sz="8" w:space="0" w:color="auto"/>
              <w:bottom w:val="single" w:sz="4" w:space="0" w:color="auto"/>
              <w:right w:val="single" w:sz="8" w:space="0" w:color="000000"/>
            </w:tcBorders>
            <w:shd w:val="clear" w:color="auto" w:fill="D6E3BC" w:themeFill="accent3" w:themeFillTint="66"/>
            <w:vAlign w:val="center"/>
          </w:tcPr>
          <w:p w14:paraId="34050C8C" w14:textId="6D072BAA" w:rsidR="005060D7" w:rsidRPr="007D675F" w:rsidRDefault="00DC5AFB" w:rsidP="00CE7F2B">
            <w:pPr>
              <w:pStyle w:val="tv2131"/>
              <w:ind w:firstLine="301"/>
              <w:jc w:val="center"/>
              <w:rPr>
                <w:b/>
                <w:bCs/>
                <w:color w:val="auto"/>
                <w:sz w:val="18"/>
                <w:szCs w:val="18"/>
              </w:rPr>
            </w:pPr>
            <w:r w:rsidRPr="007D675F">
              <w:rPr>
                <w:b/>
                <w:bCs/>
                <w:color w:val="auto"/>
                <w:sz w:val="18"/>
                <w:szCs w:val="18"/>
              </w:rPr>
              <w:t>Iesaiste sadalījumā pēc</w:t>
            </w:r>
            <w:r w:rsidR="005060D7" w:rsidRPr="007D675F">
              <w:rPr>
                <w:b/>
                <w:bCs/>
                <w:color w:val="auto"/>
                <w:sz w:val="18"/>
                <w:szCs w:val="18"/>
              </w:rPr>
              <w:t xml:space="preserve"> dzimum</w:t>
            </w:r>
            <w:r w:rsidRPr="007D675F">
              <w:rPr>
                <w:b/>
                <w:bCs/>
                <w:color w:val="auto"/>
                <w:sz w:val="18"/>
                <w:szCs w:val="18"/>
              </w:rPr>
              <w:t>a</w:t>
            </w:r>
          </w:p>
        </w:tc>
      </w:tr>
      <w:tr w:rsidR="007D675F" w:rsidRPr="007D675F" w14:paraId="235C0119" w14:textId="77777777" w:rsidTr="00BD2744">
        <w:trPr>
          <w:trHeight w:val="452"/>
          <w:jc w:val="center"/>
        </w:trPr>
        <w:tc>
          <w:tcPr>
            <w:tcW w:w="1240" w:type="pct"/>
            <w:vMerge/>
            <w:tcBorders>
              <w:top w:val="single" w:sz="4" w:space="0" w:color="auto"/>
              <w:left w:val="single" w:sz="4" w:space="0" w:color="auto"/>
              <w:bottom w:val="single" w:sz="4" w:space="0" w:color="000000"/>
              <w:right w:val="single" w:sz="4" w:space="0" w:color="auto"/>
            </w:tcBorders>
            <w:shd w:val="clear" w:color="auto" w:fill="D6E3BC" w:themeFill="accent3" w:themeFillTint="66"/>
            <w:vAlign w:val="center"/>
          </w:tcPr>
          <w:p w14:paraId="028B0B64" w14:textId="05CA8BDF" w:rsidR="005060D7" w:rsidRPr="007D675F" w:rsidRDefault="005060D7" w:rsidP="00CE7F2B">
            <w:pPr>
              <w:pStyle w:val="tv2131"/>
              <w:ind w:firstLine="301"/>
              <w:jc w:val="center"/>
              <w:rPr>
                <w:b/>
                <w:bCs/>
                <w:color w:val="auto"/>
                <w:sz w:val="18"/>
                <w:szCs w:val="18"/>
              </w:rPr>
            </w:pPr>
          </w:p>
        </w:tc>
        <w:tc>
          <w:tcPr>
            <w:tcW w:w="737" w:type="pct"/>
            <w:vMerge/>
            <w:tcBorders>
              <w:top w:val="single" w:sz="4" w:space="0" w:color="auto"/>
              <w:left w:val="single" w:sz="4" w:space="0" w:color="auto"/>
              <w:bottom w:val="single" w:sz="4" w:space="0" w:color="000000"/>
              <w:right w:val="single" w:sz="4" w:space="0" w:color="auto"/>
            </w:tcBorders>
            <w:shd w:val="clear" w:color="auto" w:fill="D6E3BC" w:themeFill="accent3" w:themeFillTint="66"/>
            <w:vAlign w:val="center"/>
          </w:tcPr>
          <w:p w14:paraId="2B40B88C" w14:textId="77777777" w:rsidR="005060D7" w:rsidRPr="007D675F" w:rsidRDefault="005060D7" w:rsidP="00CE7F2B">
            <w:pPr>
              <w:pStyle w:val="tv2131"/>
              <w:ind w:firstLine="301"/>
              <w:jc w:val="center"/>
              <w:rPr>
                <w:b/>
                <w:bCs/>
                <w:color w:val="auto"/>
                <w:sz w:val="18"/>
                <w:szCs w:val="18"/>
              </w:rPr>
            </w:pPr>
          </w:p>
        </w:tc>
        <w:tc>
          <w:tcPr>
            <w:tcW w:w="587" w:type="pct"/>
            <w:vMerge/>
            <w:tcBorders>
              <w:top w:val="single" w:sz="4" w:space="0" w:color="auto"/>
              <w:left w:val="single" w:sz="4" w:space="0" w:color="auto"/>
              <w:bottom w:val="single" w:sz="4" w:space="0" w:color="000000"/>
              <w:right w:val="nil"/>
            </w:tcBorders>
            <w:shd w:val="clear" w:color="auto" w:fill="D6E3BC" w:themeFill="accent3" w:themeFillTint="66"/>
            <w:vAlign w:val="center"/>
          </w:tcPr>
          <w:p w14:paraId="6CF495B2" w14:textId="77777777" w:rsidR="005060D7" w:rsidRPr="007D675F" w:rsidRDefault="005060D7" w:rsidP="00CE7F2B">
            <w:pPr>
              <w:pStyle w:val="tv2131"/>
              <w:ind w:firstLine="301"/>
              <w:jc w:val="center"/>
              <w:rPr>
                <w:b/>
                <w:bCs/>
                <w:color w:val="auto"/>
                <w:sz w:val="18"/>
                <w:szCs w:val="18"/>
              </w:rPr>
            </w:pPr>
          </w:p>
        </w:tc>
        <w:tc>
          <w:tcPr>
            <w:tcW w:w="1062" w:type="pct"/>
            <w:gridSpan w:val="2"/>
            <w:tcBorders>
              <w:top w:val="single" w:sz="4" w:space="0" w:color="auto"/>
              <w:left w:val="single" w:sz="8" w:space="0" w:color="auto"/>
              <w:bottom w:val="single" w:sz="4" w:space="0" w:color="auto"/>
              <w:right w:val="single" w:sz="4" w:space="0" w:color="000000"/>
            </w:tcBorders>
            <w:shd w:val="clear" w:color="auto" w:fill="D6E3BC" w:themeFill="accent3" w:themeFillTint="66"/>
            <w:noWrap/>
            <w:vAlign w:val="center"/>
          </w:tcPr>
          <w:p w14:paraId="7E1FBF67" w14:textId="77777777" w:rsidR="005060D7" w:rsidRPr="007D675F" w:rsidRDefault="005060D7" w:rsidP="00CE7F2B">
            <w:pPr>
              <w:pStyle w:val="tv2131"/>
              <w:ind w:firstLine="301"/>
              <w:jc w:val="center"/>
              <w:rPr>
                <w:b/>
                <w:bCs/>
                <w:color w:val="auto"/>
                <w:sz w:val="18"/>
                <w:szCs w:val="18"/>
              </w:rPr>
            </w:pPr>
            <w:r w:rsidRPr="007D675F">
              <w:rPr>
                <w:b/>
                <w:bCs/>
                <w:color w:val="auto"/>
                <w:sz w:val="18"/>
                <w:szCs w:val="18"/>
              </w:rPr>
              <w:t>sievietes</w:t>
            </w:r>
          </w:p>
        </w:tc>
        <w:tc>
          <w:tcPr>
            <w:tcW w:w="1374" w:type="pct"/>
            <w:gridSpan w:val="2"/>
            <w:tcBorders>
              <w:top w:val="single" w:sz="4" w:space="0" w:color="auto"/>
              <w:left w:val="nil"/>
              <w:bottom w:val="single" w:sz="4" w:space="0" w:color="auto"/>
              <w:right w:val="single" w:sz="8" w:space="0" w:color="000000"/>
            </w:tcBorders>
            <w:shd w:val="clear" w:color="auto" w:fill="D6E3BC" w:themeFill="accent3" w:themeFillTint="66"/>
            <w:noWrap/>
            <w:vAlign w:val="center"/>
          </w:tcPr>
          <w:p w14:paraId="22FEC86F" w14:textId="77777777" w:rsidR="005060D7" w:rsidRPr="007D675F" w:rsidRDefault="005060D7" w:rsidP="00CE7F2B">
            <w:pPr>
              <w:pStyle w:val="tv2131"/>
              <w:ind w:firstLine="301"/>
              <w:jc w:val="center"/>
              <w:rPr>
                <w:b/>
                <w:bCs/>
                <w:color w:val="auto"/>
                <w:sz w:val="18"/>
                <w:szCs w:val="18"/>
              </w:rPr>
            </w:pPr>
            <w:r w:rsidRPr="007D675F">
              <w:rPr>
                <w:b/>
                <w:bCs/>
                <w:color w:val="auto"/>
                <w:sz w:val="18"/>
                <w:szCs w:val="18"/>
              </w:rPr>
              <w:t>vīrieši</w:t>
            </w:r>
          </w:p>
        </w:tc>
      </w:tr>
      <w:tr w:rsidR="007D675F" w:rsidRPr="007D675F" w14:paraId="64D3AD3C" w14:textId="77777777" w:rsidTr="00BD2744">
        <w:trPr>
          <w:trHeight w:val="900"/>
          <w:jc w:val="center"/>
        </w:trPr>
        <w:tc>
          <w:tcPr>
            <w:tcW w:w="1240" w:type="pct"/>
            <w:vMerge/>
            <w:tcBorders>
              <w:top w:val="single" w:sz="4" w:space="0" w:color="auto"/>
              <w:left w:val="single" w:sz="4" w:space="0" w:color="auto"/>
              <w:bottom w:val="single" w:sz="4" w:space="0" w:color="000000"/>
              <w:right w:val="single" w:sz="4" w:space="0" w:color="auto"/>
            </w:tcBorders>
            <w:shd w:val="clear" w:color="auto" w:fill="D6E3BC" w:themeFill="accent3" w:themeFillTint="66"/>
            <w:vAlign w:val="center"/>
          </w:tcPr>
          <w:p w14:paraId="1BA2ED75" w14:textId="77777777" w:rsidR="005060D7" w:rsidRPr="007D675F" w:rsidRDefault="005060D7" w:rsidP="00CE7F2B">
            <w:pPr>
              <w:pStyle w:val="tv2131"/>
              <w:ind w:firstLine="301"/>
              <w:jc w:val="center"/>
              <w:rPr>
                <w:b/>
                <w:bCs/>
                <w:color w:val="auto"/>
                <w:sz w:val="18"/>
                <w:szCs w:val="18"/>
              </w:rPr>
            </w:pPr>
          </w:p>
        </w:tc>
        <w:tc>
          <w:tcPr>
            <w:tcW w:w="737" w:type="pct"/>
            <w:vMerge/>
            <w:tcBorders>
              <w:top w:val="single" w:sz="4" w:space="0" w:color="auto"/>
              <w:left w:val="single" w:sz="4" w:space="0" w:color="auto"/>
              <w:bottom w:val="single" w:sz="4" w:space="0" w:color="000000"/>
              <w:right w:val="single" w:sz="4" w:space="0" w:color="auto"/>
            </w:tcBorders>
            <w:shd w:val="clear" w:color="auto" w:fill="D6E3BC" w:themeFill="accent3" w:themeFillTint="66"/>
            <w:vAlign w:val="center"/>
          </w:tcPr>
          <w:p w14:paraId="547C5F05" w14:textId="77777777" w:rsidR="005060D7" w:rsidRPr="007D675F" w:rsidRDefault="005060D7" w:rsidP="00CE7F2B">
            <w:pPr>
              <w:pStyle w:val="tv2131"/>
              <w:ind w:firstLine="301"/>
              <w:jc w:val="center"/>
              <w:rPr>
                <w:b/>
                <w:bCs/>
                <w:color w:val="auto"/>
                <w:sz w:val="18"/>
                <w:szCs w:val="18"/>
              </w:rPr>
            </w:pPr>
          </w:p>
        </w:tc>
        <w:tc>
          <w:tcPr>
            <w:tcW w:w="587" w:type="pct"/>
            <w:vMerge/>
            <w:tcBorders>
              <w:top w:val="single" w:sz="4" w:space="0" w:color="auto"/>
              <w:left w:val="single" w:sz="4" w:space="0" w:color="auto"/>
              <w:bottom w:val="single" w:sz="4" w:space="0" w:color="000000"/>
              <w:right w:val="nil"/>
            </w:tcBorders>
            <w:shd w:val="clear" w:color="auto" w:fill="D6E3BC" w:themeFill="accent3" w:themeFillTint="66"/>
            <w:vAlign w:val="center"/>
          </w:tcPr>
          <w:p w14:paraId="42562187" w14:textId="77777777" w:rsidR="005060D7" w:rsidRPr="007D675F" w:rsidRDefault="005060D7" w:rsidP="00CE7F2B">
            <w:pPr>
              <w:pStyle w:val="tv2131"/>
              <w:ind w:firstLine="301"/>
              <w:jc w:val="center"/>
              <w:rPr>
                <w:b/>
                <w:bCs/>
                <w:color w:val="auto"/>
                <w:sz w:val="18"/>
                <w:szCs w:val="18"/>
              </w:rPr>
            </w:pPr>
          </w:p>
        </w:tc>
        <w:tc>
          <w:tcPr>
            <w:tcW w:w="440" w:type="pct"/>
            <w:tcBorders>
              <w:top w:val="nil"/>
              <w:left w:val="single" w:sz="8" w:space="0" w:color="auto"/>
              <w:bottom w:val="single" w:sz="4" w:space="0" w:color="auto"/>
              <w:right w:val="single" w:sz="4" w:space="0" w:color="auto"/>
            </w:tcBorders>
            <w:shd w:val="clear" w:color="auto" w:fill="D6E3BC" w:themeFill="accent3" w:themeFillTint="66"/>
            <w:textDirection w:val="btLr"/>
            <w:vAlign w:val="center"/>
          </w:tcPr>
          <w:p w14:paraId="7D51024B" w14:textId="77777777" w:rsidR="005060D7" w:rsidRPr="007D675F" w:rsidRDefault="005060D7" w:rsidP="00CE7F2B">
            <w:pPr>
              <w:pStyle w:val="tv2131"/>
              <w:ind w:firstLine="301"/>
              <w:jc w:val="center"/>
              <w:rPr>
                <w:b/>
                <w:bCs/>
                <w:color w:val="auto"/>
                <w:sz w:val="18"/>
                <w:szCs w:val="18"/>
              </w:rPr>
            </w:pPr>
            <w:r w:rsidRPr="007D675F">
              <w:rPr>
                <w:b/>
                <w:bCs/>
                <w:color w:val="auto"/>
                <w:sz w:val="18"/>
                <w:szCs w:val="18"/>
              </w:rPr>
              <w:t>skaits</w:t>
            </w:r>
          </w:p>
        </w:tc>
        <w:tc>
          <w:tcPr>
            <w:tcW w:w="622" w:type="pct"/>
            <w:tcBorders>
              <w:top w:val="nil"/>
              <w:left w:val="nil"/>
              <w:bottom w:val="single" w:sz="4" w:space="0" w:color="auto"/>
              <w:right w:val="single" w:sz="4" w:space="0" w:color="auto"/>
            </w:tcBorders>
            <w:shd w:val="clear" w:color="auto" w:fill="D6E3BC" w:themeFill="accent3" w:themeFillTint="66"/>
            <w:vAlign w:val="center"/>
          </w:tcPr>
          <w:p w14:paraId="27D1F7AD" w14:textId="77777777" w:rsidR="005060D7" w:rsidRPr="007D675F" w:rsidRDefault="005060D7" w:rsidP="00CE7F2B">
            <w:pPr>
              <w:pStyle w:val="tv2131"/>
              <w:spacing w:line="240" w:lineRule="auto"/>
              <w:ind w:firstLine="301"/>
              <w:jc w:val="center"/>
              <w:rPr>
                <w:b/>
                <w:bCs/>
                <w:color w:val="auto"/>
                <w:sz w:val="18"/>
                <w:szCs w:val="18"/>
              </w:rPr>
            </w:pPr>
            <w:r w:rsidRPr="007D675F">
              <w:rPr>
                <w:b/>
                <w:bCs/>
                <w:color w:val="auto"/>
                <w:sz w:val="18"/>
                <w:szCs w:val="18"/>
              </w:rPr>
              <w:t>% no faktiski uzsākušo skaita</w:t>
            </w:r>
          </w:p>
        </w:tc>
        <w:tc>
          <w:tcPr>
            <w:tcW w:w="626" w:type="pct"/>
            <w:tcBorders>
              <w:top w:val="nil"/>
              <w:left w:val="nil"/>
              <w:bottom w:val="single" w:sz="4" w:space="0" w:color="auto"/>
              <w:right w:val="single" w:sz="4" w:space="0" w:color="auto"/>
            </w:tcBorders>
            <w:shd w:val="clear" w:color="auto" w:fill="D6E3BC" w:themeFill="accent3" w:themeFillTint="66"/>
            <w:textDirection w:val="btLr"/>
            <w:vAlign w:val="center"/>
          </w:tcPr>
          <w:p w14:paraId="3D176836" w14:textId="77777777" w:rsidR="005060D7" w:rsidRPr="007D675F" w:rsidRDefault="005060D7" w:rsidP="00CE7F2B">
            <w:pPr>
              <w:pStyle w:val="tv2131"/>
              <w:ind w:firstLine="301"/>
              <w:jc w:val="center"/>
              <w:rPr>
                <w:b/>
                <w:bCs/>
                <w:color w:val="auto"/>
                <w:sz w:val="18"/>
                <w:szCs w:val="18"/>
              </w:rPr>
            </w:pPr>
            <w:r w:rsidRPr="007D675F">
              <w:rPr>
                <w:b/>
                <w:bCs/>
                <w:color w:val="auto"/>
                <w:sz w:val="18"/>
                <w:szCs w:val="18"/>
              </w:rPr>
              <w:t>skaits</w:t>
            </w:r>
          </w:p>
        </w:tc>
        <w:tc>
          <w:tcPr>
            <w:tcW w:w="748" w:type="pct"/>
            <w:tcBorders>
              <w:top w:val="nil"/>
              <w:left w:val="nil"/>
              <w:bottom w:val="single" w:sz="4" w:space="0" w:color="auto"/>
              <w:right w:val="single" w:sz="4" w:space="0" w:color="auto"/>
            </w:tcBorders>
            <w:shd w:val="clear" w:color="auto" w:fill="D6E3BC" w:themeFill="accent3" w:themeFillTint="66"/>
            <w:vAlign w:val="center"/>
          </w:tcPr>
          <w:p w14:paraId="4605BA95" w14:textId="77777777" w:rsidR="005060D7" w:rsidRPr="007D675F" w:rsidRDefault="005060D7" w:rsidP="00CE7F2B">
            <w:pPr>
              <w:pStyle w:val="tv2131"/>
              <w:spacing w:line="240" w:lineRule="auto"/>
              <w:ind w:firstLine="301"/>
              <w:jc w:val="center"/>
              <w:rPr>
                <w:b/>
                <w:bCs/>
                <w:color w:val="auto"/>
                <w:sz w:val="18"/>
                <w:szCs w:val="18"/>
              </w:rPr>
            </w:pPr>
            <w:r w:rsidRPr="007D675F">
              <w:rPr>
                <w:b/>
                <w:bCs/>
                <w:color w:val="auto"/>
                <w:sz w:val="18"/>
                <w:szCs w:val="18"/>
              </w:rPr>
              <w:t>% no faktiski uzsākušo skaita</w:t>
            </w:r>
          </w:p>
        </w:tc>
      </w:tr>
      <w:tr w:rsidR="007D675F" w:rsidRPr="007D675F" w14:paraId="7BB235CE" w14:textId="77777777" w:rsidTr="00BD2744">
        <w:trPr>
          <w:trHeight w:val="465"/>
          <w:jc w:val="center"/>
        </w:trPr>
        <w:tc>
          <w:tcPr>
            <w:tcW w:w="1240" w:type="pct"/>
            <w:tcBorders>
              <w:top w:val="nil"/>
              <w:left w:val="single" w:sz="4" w:space="0" w:color="auto"/>
              <w:bottom w:val="single" w:sz="8" w:space="0" w:color="auto"/>
              <w:right w:val="single" w:sz="4" w:space="0" w:color="auto"/>
            </w:tcBorders>
            <w:shd w:val="clear" w:color="auto" w:fill="auto"/>
          </w:tcPr>
          <w:p w14:paraId="27A9BF19" w14:textId="77777777" w:rsidR="005060D7" w:rsidRPr="007D675F" w:rsidRDefault="005060D7" w:rsidP="00CE7F2B">
            <w:pPr>
              <w:pStyle w:val="tv2131"/>
              <w:spacing w:line="240" w:lineRule="auto"/>
              <w:ind w:firstLine="301"/>
              <w:rPr>
                <w:b/>
                <w:bCs/>
                <w:color w:val="auto"/>
                <w:sz w:val="18"/>
                <w:szCs w:val="18"/>
              </w:rPr>
            </w:pPr>
            <w:r w:rsidRPr="007D675F">
              <w:rPr>
                <w:b/>
                <w:bCs/>
                <w:color w:val="auto"/>
                <w:sz w:val="18"/>
                <w:szCs w:val="18"/>
              </w:rPr>
              <w:t>Jaunieši</w:t>
            </w:r>
            <w:r w:rsidRPr="007D675F">
              <w:rPr>
                <w:b/>
                <w:color w:val="auto"/>
                <w:sz w:val="18"/>
                <w:szCs w:val="18"/>
              </w:rPr>
              <w:t xml:space="preserve"> bezdarbnieki un darba meklētāji (15 - 24)</w:t>
            </w:r>
          </w:p>
        </w:tc>
        <w:tc>
          <w:tcPr>
            <w:tcW w:w="737" w:type="pct"/>
            <w:tcBorders>
              <w:top w:val="nil"/>
              <w:left w:val="nil"/>
              <w:bottom w:val="single" w:sz="8" w:space="0" w:color="auto"/>
              <w:right w:val="single" w:sz="4" w:space="0" w:color="auto"/>
            </w:tcBorders>
            <w:vAlign w:val="center"/>
          </w:tcPr>
          <w:p w14:paraId="3614F5ED" w14:textId="77777777" w:rsidR="005060D7" w:rsidRPr="007D675F" w:rsidRDefault="005060D7" w:rsidP="00CE7F2B">
            <w:pPr>
              <w:pStyle w:val="tv2131"/>
              <w:ind w:firstLine="301"/>
              <w:jc w:val="center"/>
              <w:rPr>
                <w:color w:val="auto"/>
                <w:sz w:val="18"/>
                <w:szCs w:val="18"/>
              </w:rPr>
            </w:pPr>
            <w:r w:rsidRPr="007D675F">
              <w:rPr>
                <w:color w:val="auto"/>
                <w:sz w:val="18"/>
                <w:szCs w:val="18"/>
              </w:rPr>
              <w:t>27</w:t>
            </w:r>
          </w:p>
        </w:tc>
        <w:tc>
          <w:tcPr>
            <w:tcW w:w="587" w:type="pct"/>
            <w:tcBorders>
              <w:top w:val="nil"/>
              <w:left w:val="nil"/>
              <w:bottom w:val="single" w:sz="8" w:space="0" w:color="auto"/>
              <w:right w:val="single" w:sz="4" w:space="0" w:color="auto"/>
            </w:tcBorders>
            <w:vAlign w:val="center"/>
          </w:tcPr>
          <w:p w14:paraId="5D2B68C0" w14:textId="77777777" w:rsidR="005060D7" w:rsidRPr="007D675F" w:rsidRDefault="005060D7" w:rsidP="00CE7F2B">
            <w:pPr>
              <w:pStyle w:val="tv2131"/>
              <w:ind w:firstLine="301"/>
              <w:jc w:val="center"/>
              <w:rPr>
                <w:bCs/>
                <w:color w:val="auto"/>
                <w:sz w:val="18"/>
                <w:szCs w:val="18"/>
              </w:rPr>
            </w:pPr>
            <w:r w:rsidRPr="007D675F">
              <w:rPr>
                <w:bCs/>
                <w:color w:val="auto"/>
                <w:sz w:val="18"/>
                <w:szCs w:val="18"/>
              </w:rPr>
              <w:t>16,5</w:t>
            </w:r>
          </w:p>
        </w:tc>
        <w:tc>
          <w:tcPr>
            <w:tcW w:w="440" w:type="pct"/>
            <w:tcBorders>
              <w:top w:val="nil"/>
              <w:left w:val="single" w:sz="8" w:space="0" w:color="auto"/>
              <w:bottom w:val="single" w:sz="8" w:space="0" w:color="auto"/>
              <w:right w:val="single" w:sz="4" w:space="0" w:color="auto"/>
            </w:tcBorders>
            <w:vAlign w:val="center"/>
          </w:tcPr>
          <w:p w14:paraId="655E7DEA" w14:textId="77777777" w:rsidR="005060D7" w:rsidRPr="007D675F" w:rsidRDefault="005060D7" w:rsidP="00CE7F2B">
            <w:pPr>
              <w:pStyle w:val="tv2131"/>
              <w:ind w:firstLine="301"/>
              <w:jc w:val="center"/>
              <w:rPr>
                <w:color w:val="auto"/>
                <w:sz w:val="18"/>
                <w:szCs w:val="18"/>
              </w:rPr>
            </w:pPr>
            <w:r w:rsidRPr="007D675F">
              <w:rPr>
                <w:color w:val="auto"/>
                <w:sz w:val="18"/>
                <w:szCs w:val="18"/>
              </w:rPr>
              <w:t>7</w:t>
            </w:r>
          </w:p>
        </w:tc>
        <w:tc>
          <w:tcPr>
            <w:tcW w:w="622" w:type="pct"/>
            <w:tcBorders>
              <w:top w:val="nil"/>
              <w:left w:val="nil"/>
              <w:bottom w:val="single" w:sz="8" w:space="0" w:color="auto"/>
              <w:right w:val="single" w:sz="4" w:space="0" w:color="auto"/>
            </w:tcBorders>
            <w:vAlign w:val="center"/>
          </w:tcPr>
          <w:p w14:paraId="751176FC" w14:textId="77777777" w:rsidR="005060D7" w:rsidRPr="007D675F" w:rsidRDefault="005060D7" w:rsidP="00CE7F2B">
            <w:pPr>
              <w:pStyle w:val="tv2131"/>
              <w:ind w:firstLine="301"/>
              <w:jc w:val="center"/>
              <w:rPr>
                <w:color w:val="auto"/>
                <w:sz w:val="18"/>
                <w:szCs w:val="18"/>
              </w:rPr>
            </w:pPr>
            <w:r w:rsidRPr="007D675F">
              <w:rPr>
                <w:color w:val="auto"/>
                <w:sz w:val="18"/>
                <w:szCs w:val="18"/>
              </w:rPr>
              <w:t>26</w:t>
            </w:r>
          </w:p>
        </w:tc>
        <w:tc>
          <w:tcPr>
            <w:tcW w:w="626" w:type="pct"/>
            <w:tcBorders>
              <w:top w:val="nil"/>
              <w:left w:val="nil"/>
              <w:bottom w:val="single" w:sz="8" w:space="0" w:color="auto"/>
              <w:right w:val="single" w:sz="4" w:space="0" w:color="auto"/>
            </w:tcBorders>
            <w:vAlign w:val="center"/>
          </w:tcPr>
          <w:p w14:paraId="3A0EA0DA" w14:textId="77777777" w:rsidR="005060D7" w:rsidRPr="007D675F" w:rsidRDefault="005060D7" w:rsidP="00CE7F2B">
            <w:pPr>
              <w:pStyle w:val="tv2131"/>
              <w:ind w:firstLine="301"/>
              <w:jc w:val="center"/>
              <w:rPr>
                <w:color w:val="auto"/>
                <w:sz w:val="18"/>
                <w:szCs w:val="18"/>
              </w:rPr>
            </w:pPr>
            <w:r w:rsidRPr="007D675F">
              <w:rPr>
                <w:color w:val="auto"/>
                <w:sz w:val="18"/>
                <w:szCs w:val="18"/>
              </w:rPr>
              <w:t>20</w:t>
            </w:r>
          </w:p>
        </w:tc>
        <w:tc>
          <w:tcPr>
            <w:tcW w:w="748" w:type="pct"/>
            <w:tcBorders>
              <w:top w:val="nil"/>
              <w:left w:val="nil"/>
              <w:bottom w:val="single" w:sz="8" w:space="0" w:color="auto"/>
              <w:right w:val="single" w:sz="8" w:space="0" w:color="auto"/>
            </w:tcBorders>
            <w:vAlign w:val="center"/>
          </w:tcPr>
          <w:p w14:paraId="5E3D960C" w14:textId="77777777" w:rsidR="005060D7" w:rsidRPr="007D675F" w:rsidRDefault="005060D7" w:rsidP="00CE7F2B">
            <w:pPr>
              <w:pStyle w:val="tv2131"/>
              <w:ind w:firstLine="301"/>
              <w:jc w:val="center"/>
              <w:rPr>
                <w:color w:val="auto"/>
                <w:sz w:val="18"/>
                <w:szCs w:val="18"/>
              </w:rPr>
            </w:pPr>
            <w:r w:rsidRPr="007D675F">
              <w:rPr>
                <w:color w:val="auto"/>
                <w:sz w:val="18"/>
                <w:szCs w:val="18"/>
              </w:rPr>
              <w:t>74</w:t>
            </w:r>
          </w:p>
        </w:tc>
      </w:tr>
      <w:tr w:rsidR="007D675F" w:rsidRPr="007D675F" w14:paraId="6B1B861F" w14:textId="77777777" w:rsidTr="00BD2744">
        <w:trPr>
          <w:trHeight w:val="465"/>
          <w:jc w:val="center"/>
        </w:trPr>
        <w:tc>
          <w:tcPr>
            <w:tcW w:w="1240" w:type="pct"/>
            <w:tcBorders>
              <w:top w:val="nil"/>
              <w:left w:val="single" w:sz="4" w:space="0" w:color="auto"/>
              <w:bottom w:val="single" w:sz="8" w:space="0" w:color="auto"/>
              <w:right w:val="single" w:sz="4" w:space="0" w:color="auto"/>
            </w:tcBorders>
            <w:shd w:val="clear" w:color="auto" w:fill="auto"/>
          </w:tcPr>
          <w:p w14:paraId="7EC70BCE" w14:textId="77777777" w:rsidR="005060D7" w:rsidRPr="007D675F" w:rsidRDefault="005060D7" w:rsidP="00CE7F2B">
            <w:pPr>
              <w:pStyle w:val="tv2131"/>
              <w:spacing w:line="240" w:lineRule="auto"/>
              <w:ind w:firstLine="301"/>
              <w:rPr>
                <w:b/>
                <w:bCs/>
                <w:color w:val="auto"/>
                <w:sz w:val="18"/>
                <w:szCs w:val="18"/>
              </w:rPr>
            </w:pPr>
            <w:r w:rsidRPr="007D675F">
              <w:rPr>
                <w:b/>
                <w:bCs/>
                <w:color w:val="auto"/>
                <w:sz w:val="18"/>
                <w:szCs w:val="18"/>
              </w:rPr>
              <w:t>Pieaugušie</w:t>
            </w:r>
            <w:r w:rsidRPr="007D675F">
              <w:rPr>
                <w:b/>
                <w:color w:val="auto"/>
                <w:sz w:val="18"/>
                <w:szCs w:val="18"/>
              </w:rPr>
              <w:t xml:space="preserve"> bezdarbnieki un darba meklētāji (25-54)</w:t>
            </w:r>
          </w:p>
        </w:tc>
        <w:tc>
          <w:tcPr>
            <w:tcW w:w="737" w:type="pct"/>
            <w:tcBorders>
              <w:top w:val="single" w:sz="4" w:space="0" w:color="auto"/>
              <w:left w:val="nil"/>
              <w:bottom w:val="single" w:sz="8" w:space="0" w:color="auto"/>
              <w:right w:val="single" w:sz="4" w:space="0" w:color="auto"/>
            </w:tcBorders>
            <w:vAlign w:val="center"/>
          </w:tcPr>
          <w:p w14:paraId="351CD44C" w14:textId="77777777" w:rsidR="005060D7" w:rsidRPr="007D675F" w:rsidRDefault="005060D7" w:rsidP="00CE7F2B">
            <w:pPr>
              <w:pStyle w:val="tv2131"/>
              <w:ind w:firstLine="301"/>
              <w:jc w:val="center"/>
              <w:rPr>
                <w:color w:val="auto"/>
                <w:sz w:val="18"/>
                <w:szCs w:val="18"/>
              </w:rPr>
            </w:pPr>
            <w:r w:rsidRPr="007D675F">
              <w:rPr>
                <w:color w:val="auto"/>
                <w:sz w:val="18"/>
                <w:szCs w:val="18"/>
              </w:rPr>
              <w:t>128</w:t>
            </w:r>
          </w:p>
        </w:tc>
        <w:tc>
          <w:tcPr>
            <w:tcW w:w="587" w:type="pct"/>
            <w:tcBorders>
              <w:top w:val="single" w:sz="4" w:space="0" w:color="auto"/>
              <w:left w:val="nil"/>
              <w:bottom w:val="single" w:sz="8" w:space="0" w:color="auto"/>
              <w:right w:val="single" w:sz="4" w:space="0" w:color="auto"/>
            </w:tcBorders>
            <w:vAlign w:val="center"/>
          </w:tcPr>
          <w:p w14:paraId="2E094832" w14:textId="77777777" w:rsidR="005060D7" w:rsidRPr="007D675F" w:rsidRDefault="005060D7" w:rsidP="00CE7F2B">
            <w:pPr>
              <w:pStyle w:val="tv2131"/>
              <w:ind w:firstLine="301"/>
              <w:jc w:val="center"/>
              <w:rPr>
                <w:bCs/>
                <w:color w:val="auto"/>
                <w:sz w:val="18"/>
                <w:szCs w:val="18"/>
              </w:rPr>
            </w:pPr>
            <w:r w:rsidRPr="007D675F">
              <w:rPr>
                <w:bCs/>
                <w:color w:val="auto"/>
                <w:sz w:val="18"/>
                <w:szCs w:val="18"/>
              </w:rPr>
              <w:t>78</w:t>
            </w:r>
          </w:p>
        </w:tc>
        <w:tc>
          <w:tcPr>
            <w:tcW w:w="440" w:type="pct"/>
            <w:tcBorders>
              <w:top w:val="nil"/>
              <w:left w:val="single" w:sz="8" w:space="0" w:color="auto"/>
              <w:bottom w:val="single" w:sz="8" w:space="0" w:color="auto"/>
              <w:right w:val="single" w:sz="4" w:space="0" w:color="auto"/>
            </w:tcBorders>
            <w:vAlign w:val="center"/>
          </w:tcPr>
          <w:p w14:paraId="35235ED0" w14:textId="77777777" w:rsidR="005060D7" w:rsidRPr="007D675F" w:rsidRDefault="005060D7" w:rsidP="00CE7F2B">
            <w:pPr>
              <w:pStyle w:val="tv2131"/>
              <w:ind w:firstLine="301"/>
              <w:jc w:val="center"/>
              <w:rPr>
                <w:color w:val="auto"/>
                <w:sz w:val="18"/>
                <w:szCs w:val="18"/>
              </w:rPr>
            </w:pPr>
            <w:r w:rsidRPr="007D675F">
              <w:rPr>
                <w:color w:val="auto"/>
                <w:sz w:val="18"/>
                <w:szCs w:val="18"/>
              </w:rPr>
              <w:t>60</w:t>
            </w:r>
          </w:p>
        </w:tc>
        <w:tc>
          <w:tcPr>
            <w:tcW w:w="622" w:type="pct"/>
            <w:tcBorders>
              <w:top w:val="single" w:sz="4" w:space="0" w:color="auto"/>
              <w:left w:val="nil"/>
              <w:bottom w:val="single" w:sz="8" w:space="0" w:color="auto"/>
              <w:right w:val="single" w:sz="4" w:space="0" w:color="auto"/>
            </w:tcBorders>
            <w:vAlign w:val="center"/>
          </w:tcPr>
          <w:p w14:paraId="28F91154" w14:textId="77777777" w:rsidR="005060D7" w:rsidRPr="007D675F" w:rsidRDefault="005060D7" w:rsidP="00CE7F2B">
            <w:pPr>
              <w:pStyle w:val="tv2131"/>
              <w:ind w:firstLine="301"/>
              <w:jc w:val="center"/>
              <w:rPr>
                <w:color w:val="auto"/>
                <w:sz w:val="18"/>
                <w:szCs w:val="18"/>
              </w:rPr>
            </w:pPr>
            <w:r w:rsidRPr="007D675F">
              <w:rPr>
                <w:color w:val="auto"/>
                <w:sz w:val="18"/>
                <w:szCs w:val="18"/>
              </w:rPr>
              <w:t>47</w:t>
            </w:r>
          </w:p>
        </w:tc>
        <w:tc>
          <w:tcPr>
            <w:tcW w:w="626" w:type="pct"/>
            <w:tcBorders>
              <w:top w:val="nil"/>
              <w:left w:val="nil"/>
              <w:bottom w:val="single" w:sz="8" w:space="0" w:color="auto"/>
              <w:right w:val="single" w:sz="4" w:space="0" w:color="auto"/>
            </w:tcBorders>
            <w:vAlign w:val="center"/>
          </w:tcPr>
          <w:p w14:paraId="761A8D18" w14:textId="77777777" w:rsidR="005060D7" w:rsidRPr="007D675F" w:rsidRDefault="005060D7" w:rsidP="00CE7F2B">
            <w:pPr>
              <w:pStyle w:val="tv2131"/>
              <w:ind w:firstLine="301"/>
              <w:jc w:val="center"/>
              <w:rPr>
                <w:color w:val="auto"/>
                <w:sz w:val="18"/>
                <w:szCs w:val="18"/>
              </w:rPr>
            </w:pPr>
            <w:r w:rsidRPr="007D675F">
              <w:rPr>
                <w:color w:val="auto"/>
                <w:sz w:val="18"/>
                <w:szCs w:val="18"/>
              </w:rPr>
              <w:t>68</w:t>
            </w:r>
          </w:p>
        </w:tc>
        <w:tc>
          <w:tcPr>
            <w:tcW w:w="748" w:type="pct"/>
            <w:tcBorders>
              <w:top w:val="single" w:sz="4" w:space="0" w:color="auto"/>
              <w:left w:val="nil"/>
              <w:bottom w:val="single" w:sz="8" w:space="0" w:color="auto"/>
              <w:right w:val="single" w:sz="8" w:space="0" w:color="auto"/>
            </w:tcBorders>
            <w:vAlign w:val="center"/>
          </w:tcPr>
          <w:p w14:paraId="73A3B9CB" w14:textId="77777777" w:rsidR="005060D7" w:rsidRPr="007D675F" w:rsidRDefault="005060D7" w:rsidP="00CE7F2B">
            <w:pPr>
              <w:pStyle w:val="tv2131"/>
              <w:ind w:firstLine="301"/>
              <w:jc w:val="center"/>
              <w:rPr>
                <w:color w:val="auto"/>
                <w:sz w:val="18"/>
                <w:szCs w:val="18"/>
              </w:rPr>
            </w:pPr>
            <w:r w:rsidRPr="007D675F">
              <w:rPr>
                <w:color w:val="auto"/>
                <w:sz w:val="18"/>
                <w:szCs w:val="18"/>
              </w:rPr>
              <w:t>53</w:t>
            </w:r>
          </w:p>
        </w:tc>
      </w:tr>
      <w:tr w:rsidR="007D675F" w:rsidRPr="007D675F" w14:paraId="2FEE16B4" w14:textId="77777777" w:rsidTr="00BD2744">
        <w:trPr>
          <w:trHeight w:val="465"/>
          <w:jc w:val="center"/>
        </w:trPr>
        <w:tc>
          <w:tcPr>
            <w:tcW w:w="1240" w:type="pct"/>
            <w:tcBorders>
              <w:top w:val="nil"/>
              <w:left w:val="single" w:sz="4" w:space="0" w:color="auto"/>
              <w:bottom w:val="single" w:sz="8" w:space="0" w:color="auto"/>
              <w:right w:val="single" w:sz="4" w:space="0" w:color="auto"/>
            </w:tcBorders>
            <w:shd w:val="clear" w:color="auto" w:fill="auto"/>
          </w:tcPr>
          <w:p w14:paraId="19F54A53" w14:textId="77777777" w:rsidR="005060D7" w:rsidRPr="007D675F" w:rsidRDefault="005060D7" w:rsidP="00CE7F2B">
            <w:pPr>
              <w:pStyle w:val="tv2131"/>
              <w:spacing w:line="240" w:lineRule="auto"/>
              <w:ind w:firstLine="301"/>
              <w:rPr>
                <w:b/>
                <w:color w:val="auto"/>
                <w:sz w:val="18"/>
                <w:szCs w:val="18"/>
              </w:rPr>
            </w:pPr>
            <w:r w:rsidRPr="007D675F">
              <w:rPr>
                <w:b/>
                <w:color w:val="auto"/>
                <w:sz w:val="18"/>
                <w:szCs w:val="18"/>
              </w:rPr>
              <w:t>Bezdarbnieki un darba meklētāji (55+)</w:t>
            </w:r>
          </w:p>
        </w:tc>
        <w:tc>
          <w:tcPr>
            <w:tcW w:w="737" w:type="pct"/>
            <w:tcBorders>
              <w:top w:val="single" w:sz="4" w:space="0" w:color="auto"/>
              <w:left w:val="nil"/>
              <w:bottom w:val="single" w:sz="8" w:space="0" w:color="auto"/>
              <w:right w:val="single" w:sz="4" w:space="0" w:color="auto"/>
            </w:tcBorders>
            <w:vAlign w:val="center"/>
          </w:tcPr>
          <w:p w14:paraId="72311DC1" w14:textId="77777777" w:rsidR="005060D7" w:rsidRPr="007D675F" w:rsidRDefault="005060D7" w:rsidP="00CE7F2B">
            <w:pPr>
              <w:pStyle w:val="tv2131"/>
              <w:ind w:firstLine="301"/>
              <w:jc w:val="center"/>
              <w:rPr>
                <w:color w:val="auto"/>
                <w:sz w:val="18"/>
                <w:szCs w:val="18"/>
              </w:rPr>
            </w:pPr>
            <w:r w:rsidRPr="007D675F">
              <w:rPr>
                <w:color w:val="auto"/>
                <w:sz w:val="18"/>
                <w:szCs w:val="18"/>
              </w:rPr>
              <w:t>9</w:t>
            </w:r>
          </w:p>
        </w:tc>
        <w:tc>
          <w:tcPr>
            <w:tcW w:w="587" w:type="pct"/>
            <w:tcBorders>
              <w:top w:val="single" w:sz="4" w:space="0" w:color="auto"/>
              <w:left w:val="nil"/>
              <w:bottom w:val="single" w:sz="8" w:space="0" w:color="auto"/>
              <w:right w:val="single" w:sz="4" w:space="0" w:color="auto"/>
            </w:tcBorders>
            <w:vAlign w:val="center"/>
          </w:tcPr>
          <w:p w14:paraId="614F5984" w14:textId="77777777" w:rsidR="005060D7" w:rsidRPr="007D675F" w:rsidRDefault="005060D7" w:rsidP="00CE7F2B">
            <w:pPr>
              <w:pStyle w:val="tv2131"/>
              <w:ind w:firstLine="301"/>
              <w:jc w:val="center"/>
              <w:rPr>
                <w:bCs/>
                <w:color w:val="auto"/>
                <w:sz w:val="18"/>
                <w:szCs w:val="18"/>
              </w:rPr>
            </w:pPr>
            <w:r w:rsidRPr="007D675F">
              <w:rPr>
                <w:bCs/>
                <w:color w:val="auto"/>
                <w:sz w:val="18"/>
                <w:szCs w:val="18"/>
              </w:rPr>
              <w:t>5,5</w:t>
            </w:r>
          </w:p>
        </w:tc>
        <w:tc>
          <w:tcPr>
            <w:tcW w:w="440" w:type="pct"/>
            <w:tcBorders>
              <w:top w:val="nil"/>
              <w:left w:val="single" w:sz="8" w:space="0" w:color="auto"/>
              <w:bottom w:val="single" w:sz="8" w:space="0" w:color="auto"/>
              <w:right w:val="single" w:sz="4" w:space="0" w:color="auto"/>
            </w:tcBorders>
            <w:vAlign w:val="center"/>
          </w:tcPr>
          <w:p w14:paraId="3C2A0614" w14:textId="77777777" w:rsidR="005060D7" w:rsidRPr="007D675F" w:rsidRDefault="005060D7" w:rsidP="00CE7F2B">
            <w:pPr>
              <w:pStyle w:val="tv2131"/>
              <w:ind w:firstLine="301"/>
              <w:jc w:val="center"/>
              <w:rPr>
                <w:color w:val="auto"/>
                <w:sz w:val="18"/>
                <w:szCs w:val="18"/>
              </w:rPr>
            </w:pPr>
            <w:r w:rsidRPr="007D675F">
              <w:rPr>
                <w:color w:val="auto"/>
                <w:sz w:val="18"/>
                <w:szCs w:val="18"/>
              </w:rPr>
              <w:t>5</w:t>
            </w:r>
          </w:p>
        </w:tc>
        <w:tc>
          <w:tcPr>
            <w:tcW w:w="622" w:type="pct"/>
            <w:tcBorders>
              <w:top w:val="single" w:sz="4" w:space="0" w:color="auto"/>
              <w:left w:val="nil"/>
              <w:bottom w:val="single" w:sz="8" w:space="0" w:color="auto"/>
              <w:right w:val="single" w:sz="4" w:space="0" w:color="auto"/>
            </w:tcBorders>
            <w:vAlign w:val="center"/>
          </w:tcPr>
          <w:p w14:paraId="33380109" w14:textId="77777777" w:rsidR="005060D7" w:rsidRPr="007D675F" w:rsidRDefault="005060D7" w:rsidP="00CE7F2B">
            <w:pPr>
              <w:pStyle w:val="tv2131"/>
              <w:ind w:firstLine="301"/>
              <w:jc w:val="center"/>
              <w:rPr>
                <w:color w:val="auto"/>
                <w:sz w:val="18"/>
                <w:szCs w:val="18"/>
              </w:rPr>
            </w:pPr>
            <w:r w:rsidRPr="007D675F">
              <w:rPr>
                <w:color w:val="auto"/>
                <w:sz w:val="18"/>
                <w:szCs w:val="18"/>
              </w:rPr>
              <w:t>56</w:t>
            </w:r>
          </w:p>
        </w:tc>
        <w:tc>
          <w:tcPr>
            <w:tcW w:w="626" w:type="pct"/>
            <w:tcBorders>
              <w:top w:val="nil"/>
              <w:left w:val="nil"/>
              <w:bottom w:val="single" w:sz="8" w:space="0" w:color="auto"/>
              <w:right w:val="single" w:sz="4" w:space="0" w:color="auto"/>
            </w:tcBorders>
            <w:vAlign w:val="center"/>
          </w:tcPr>
          <w:p w14:paraId="068C92F6" w14:textId="77777777" w:rsidR="005060D7" w:rsidRPr="007D675F" w:rsidRDefault="005060D7" w:rsidP="00CE7F2B">
            <w:pPr>
              <w:pStyle w:val="tv2131"/>
              <w:ind w:firstLine="301"/>
              <w:jc w:val="center"/>
              <w:rPr>
                <w:color w:val="auto"/>
                <w:sz w:val="18"/>
                <w:szCs w:val="18"/>
              </w:rPr>
            </w:pPr>
            <w:r w:rsidRPr="007D675F">
              <w:rPr>
                <w:color w:val="auto"/>
                <w:sz w:val="18"/>
                <w:szCs w:val="18"/>
              </w:rPr>
              <w:t>4</w:t>
            </w:r>
          </w:p>
        </w:tc>
        <w:tc>
          <w:tcPr>
            <w:tcW w:w="748" w:type="pct"/>
            <w:tcBorders>
              <w:top w:val="single" w:sz="4" w:space="0" w:color="auto"/>
              <w:left w:val="nil"/>
              <w:bottom w:val="single" w:sz="8" w:space="0" w:color="auto"/>
              <w:right w:val="single" w:sz="8" w:space="0" w:color="auto"/>
            </w:tcBorders>
            <w:vAlign w:val="center"/>
          </w:tcPr>
          <w:p w14:paraId="59EE8EEE" w14:textId="77777777" w:rsidR="005060D7" w:rsidRPr="007D675F" w:rsidRDefault="005060D7" w:rsidP="00CE7F2B">
            <w:pPr>
              <w:pStyle w:val="tv2131"/>
              <w:ind w:firstLine="301"/>
              <w:jc w:val="center"/>
              <w:rPr>
                <w:color w:val="auto"/>
                <w:sz w:val="18"/>
                <w:szCs w:val="18"/>
              </w:rPr>
            </w:pPr>
            <w:r w:rsidRPr="007D675F">
              <w:rPr>
                <w:color w:val="auto"/>
                <w:sz w:val="18"/>
                <w:szCs w:val="18"/>
              </w:rPr>
              <w:t>44</w:t>
            </w:r>
          </w:p>
        </w:tc>
      </w:tr>
      <w:tr w:rsidR="005060D7" w:rsidRPr="007D675F" w14:paraId="50E9CA85" w14:textId="77777777" w:rsidTr="00BD2744">
        <w:trPr>
          <w:trHeight w:val="354"/>
          <w:jc w:val="center"/>
        </w:trPr>
        <w:tc>
          <w:tcPr>
            <w:tcW w:w="1240" w:type="pct"/>
            <w:tcBorders>
              <w:top w:val="nil"/>
              <w:left w:val="single" w:sz="4" w:space="0" w:color="auto"/>
              <w:bottom w:val="single" w:sz="4" w:space="0" w:color="auto"/>
              <w:right w:val="single" w:sz="4" w:space="0" w:color="auto"/>
            </w:tcBorders>
            <w:shd w:val="clear" w:color="auto" w:fill="EAF1DD" w:themeFill="accent3" w:themeFillTint="33"/>
            <w:noWrap/>
          </w:tcPr>
          <w:p w14:paraId="5BE9D3DA" w14:textId="77777777" w:rsidR="005060D7" w:rsidRPr="007D675F" w:rsidRDefault="005060D7" w:rsidP="00CE7F2B">
            <w:pPr>
              <w:pStyle w:val="tv2131"/>
              <w:ind w:firstLine="301"/>
              <w:rPr>
                <w:b/>
                <w:bCs/>
                <w:color w:val="auto"/>
                <w:sz w:val="18"/>
                <w:szCs w:val="18"/>
              </w:rPr>
            </w:pPr>
            <w:r w:rsidRPr="007D675F">
              <w:rPr>
                <w:b/>
                <w:bCs/>
                <w:color w:val="auto"/>
                <w:sz w:val="18"/>
                <w:szCs w:val="18"/>
              </w:rPr>
              <w:t>KOPĀ</w:t>
            </w:r>
          </w:p>
        </w:tc>
        <w:tc>
          <w:tcPr>
            <w:tcW w:w="737" w:type="pct"/>
            <w:tcBorders>
              <w:top w:val="nil"/>
              <w:left w:val="nil"/>
              <w:bottom w:val="single" w:sz="4" w:space="0" w:color="auto"/>
              <w:right w:val="single" w:sz="4" w:space="0" w:color="auto"/>
            </w:tcBorders>
            <w:shd w:val="clear" w:color="auto" w:fill="EAF1DD" w:themeFill="accent3" w:themeFillTint="33"/>
            <w:vAlign w:val="center"/>
          </w:tcPr>
          <w:p w14:paraId="34713194" w14:textId="77777777" w:rsidR="005060D7" w:rsidRPr="007D675F" w:rsidRDefault="005060D7" w:rsidP="00CE7F2B">
            <w:pPr>
              <w:pStyle w:val="tv2131"/>
              <w:ind w:firstLine="301"/>
              <w:jc w:val="center"/>
              <w:rPr>
                <w:bCs/>
                <w:color w:val="auto"/>
                <w:sz w:val="18"/>
                <w:szCs w:val="18"/>
              </w:rPr>
            </w:pPr>
            <w:r w:rsidRPr="007D675F">
              <w:rPr>
                <w:bCs/>
                <w:color w:val="auto"/>
                <w:sz w:val="18"/>
                <w:szCs w:val="18"/>
              </w:rPr>
              <w:t>164</w:t>
            </w:r>
          </w:p>
        </w:tc>
        <w:tc>
          <w:tcPr>
            <w:tcW w:w="587" w:type="pct"/>
            <w:tcBorders>
              <w:top w:val="nil"/>
              <w:left w:val="nil"/>
              <w:bottom w:val="single" w:sz="4" w:space="0" w:color="auto"/>
              <w:right w:val="single" w:sz="4" w:space="0" w:color="auto"/>
            </w:tcBorders>
            <w:shd w:val="clear" w:color="auto" w:fill="EAF1DD" w:themeFill="accent3" w:themeFillTint="33"/>
            <w:vAlign w:val="center"/>
          </w:tcPr>
          <w:p w14:paraId="7587DD5E" w14:textId="2D69D3A4" w:rsidR="005060D7" w:rsidRPr="007D675F" w:rsidRDefault="00DC5AFB" w:rsidP="00CE7F2B">
            <w:pPr>
              <w:pStyle w:val="tv2131"/>
              <w:ind w:firstLine="301"/>
              <w:jc w:val="center"/>
              <w:rPr>
                <w:bCs/>
                <w:color w:val="auto"/>
                <w:sz w:val="18"/>
                <w:szCs w:val="18"/>
              </w:rPr>
            </w:pPr>
            <w:r w:rsidRPr="007D675F">
              <w:rPr>
                <w:bCs/>
                <w:color w:val="auto"/>
                <w:sz w:val="18"/>
                <w:szCs w:val="18"/>
              </w:rPr>
              <w:t>-</w:t>
            </w:r>
          </w:p>
        </w:tc>
        <w:tc>
          <w:tcPr>
            <w:tcW w:w="440" w:type="pct"/>
            <w:tcBorders>
              <w:top w:val="nil"/>
              <w:left w:val="single" w:sz="8" w:space="0" w:color="auto"/>
              <w:bottom w:val="single" w:sz="4" w:space="0" w:color="auto"/>
              <w:right w:val="single" w:sz="4" w:space="0" w:color="auto"/>
            </w:tcBorders>
            <w:shd w:val="clear" w:color="auto" w:fill="EAF1DD" w:themeFill="accent3" w:themeFillTint="33"/>
            <w:vAlign w:val="center"/>
          </w:tcPr>
          <w:p w14:paraId="784460D9" w14:textId="77777777" w:rsidR="005060D7" w:rsidRPr="007D675F" w:rsidRDefault="005060D7" w:rsidP="00CE7F2B">
            <w:pPr>
              <w:pStyle w:val="tv2131"/>
              <w:ind w:firstLine="301"/>
              <w:jc w:val="center"/>
              <w:rPr>
                <w:color w:val="auto"/>
                <w:sz w:val="18"/>
                <w:szCs w:val="18"/>
              </w:rPr>
            </w:pPr>
            <w:r w:rsidRPr="007D675F">
              <w:rPr>
                <w:color w:val="auto"/>
                <w:sz w:val="18"/>
                <w:szCs w:val="18"/>
              </w:rPr>
              <w:t>72</w:t>
            </w:r>
          </w:p>
        </w:tc>
        <w:tc>
          <w:tcPr>
            <w:tcW w:w="622" w:type="pct"/>
            <w:tcBorders>
              <w:top w:val="nil"/>
              <w:left w:val="nil"/>
              <w:bottom w:val="single" w:sz="4" w:space="0" w:color="auto"/>
              <w:right w:val="single" w:sz="4" w:space="0" w:color="auto"/>
            </w:tcBorders>
            <w:shd w:val="clear" w:color="auto" w:fill="EAF1DD" w:themeFill="accent3" w:themeFillTint="33"/>
            <w:vAlign w:val="center"/>
          </w:tcPr>
          <w:p w14:paraId="72444EDA" w14:textId="77777777" w:rsidR="005060D7" w:rsidRPr="007D675F" w:rsidRDefault="005060D7" w:rsidP="00CE7F2B">
            <w:pPr>
              <w:pStyle w:val="tv2131"/>
              <w:ind w:firstLine="301"/>
              <w:jc w:val="center"/>
              <w:rPr>
                <w:color w:val="auto"/>
                <w:sz w:val="18"/>
                <w:szCs w:val="18"/>
              </w:rPr>
            </w:pPr>
            <w:r w:rsidRPr="007D675F">
              <w:rPr>
                <w:color w:val="auto"/>
                <w:sz w:val="18"/>
                <w:szCs w:val="18"/>
              </w:rPr>
              <w:t>44</w:t>
            </w:r>
          </w:p>
        </w:tc>
        <w:tc>
          <w:tcPr>
            <w:tcW w:w="626" w:type="pct"/>
            <w:tcBorders>
              <w:top w:val="nil"/>
              <w:left w:val="nil"/>
              <w:bottom w:val="single" w:sz="4" w:space="0" w:color="auto"/>
              <w:right w:val="single" w:sz="4" w:space="0" w:color="auto"/>
            </w:tcBorders>
            <w:shd w:val="clear" w:color="auto" w:fill="EAF1DD" w:themeFill="accent3" w:themeFillTint="33"/>
            <w:vAlign w:val="center"/>
          </w:tcPr>
          <w:p w14:paraId="4192024C" w14:textId="77777777" w:rsidR="005060D7" w:rsidRPr="007D675F" w:rsidRDefault="005060D7" w:rsidP="00CE7F2B">
            <w:pPr>
              <w:pStyle w:val="tv2131"/>
              <w:ind w:firstLine="301"/>
              <w:jc w:val="center"/>
              <w:rPr>
                <w:color w:val="auto"/>
                <w:sz w:val="18"/>
                <w:szCs w:val="18"/>
              </w:rPr>
            </w:pPr>
            <w:r w:rsidRPr="007D675F">
              <w:rPr>
                <w:color w:val="auto"/>
                <w:sz w:val="18"/>
                <w:szCs w:val="18"/>
              </w:rPr>
              <w:t>92</w:t>
            </w:r>
          </w:p>
        </w:tc>
        <w:tc>
          <w:tcPr>
            <w:tcW w:w="748" w:type="pct"/>
            <w:tcBorders>
              <w:top w:val="nil"/>
              <w:left w:val="nil"/>
              <w:bottom w:val="single" w:sz="4" w:space="0" w:color="auto"/>
              <w:right w:val="single" w:sz="8" w:space="0" w:color="auto"/>
            </w:tcBorders>
            <w:shd w:val="clear" w:color="auto" w:fill="EAF1DD" w:themeFill="accent3" w:themeFillTint="33"/>
            <w:vAlign w:val="center"/>
          </w:tcPr>
          <w:p w14:paraId="196EF641" w14:textId="77777777" w:rsidR="005060D7" w:rsidRPr="007D675F" w:rsidRDefault="005060D7" w:rsidP="00CE7F2B">
            <w:pPr>
              <w:pStyle w:val="tv2131"/>
              <w:ind w:firstLine="301"/>
              <w:jc w:val="center"/>
              <w:rPr>
                <w:color w:val="auto"/>
                <w:sz w:val="18"/>
                <w:szCs w:val="18"/>
              </w:rPr>
            </w:pPr>
            <w:r w:rsidRPr="007D675F">
              <w:rPr>
                <w:color w:val="auto"/>
                <w:sz w:val="18"/>
                <w:szCs w:val="18"/>
              </w:rPr>
              <w:t>56</w:t>
            </w:r>
          </w:p>
        </w:tc>
      </w:tr>
    </w:tbl>
    <w:p w14:paraId="340B1EEB" w14:textId="77777777" w:rsidR="005060D7" w:rsidRPr="007D675F" w:rsidRDefault="005060D7" w:rsidP="00CE7F2B">
      <w:pPr>
        <w:pStyle w:val="tv2131"/>
        <w:spacing w:line="240" w:lineRule="auto"/>
        <w:ind w:firstLine="0"/>
        <w:jc w:val="both"/>
        <w:rPr>
          <w:bCs/>
          <w:color w:val="auto"/>
        </w:rPr>
      </w:pPr>
    </w:p>
    <w:p w14:paraId="7CF8DD30" w14:textId="1658E078" w:rsidR="00E7030D" w:rsidRPr="007D675F" w:rsidRDefault="005060D7" w:rsidP="00CE7F2B">
      <w:pPr>
        <w:pStyle w:val="tv2131"/>
        <w:spacing w:line="240" w:lineRule="auto"/>
        <w:ind w:firstLine="720"/>
        <w:jc w:val="both"/>
        <w:rPr>
          <w:bCs/>
          <w:color w:val="auto"/>
          <w:sz w:val="28"/>
          <w:szCs w:val="28"/>
        </w:rPr>
      </w:pPr>
      <w:r w:rsidRPr="007D675F">
        <w:rPr>
          <w:bCs/>
          <w:color w:val="auto"/>
          <w:sz w:val="28"/>
          <w:szCs w:val="28"/>
        </w:rPr>
        <w:t>No profesionālās tālākizglītības programmas apguvē iesai</w:t>
      </w:r>
      <w:r w:rsidR="00E7030D" w:rsidRPr="007D675F">
        <w:rPr>
          <w:bCs/>
          <w:color w:val="auto"/>
          <w:sz w:val="28"/>
          <w:szCs w:val="28"/>
        </w:rPr>
        <w:t>stītajiem bezdarbniekiem 29 % bija</w:t>
      </w:r>
      <w:r w:rsidRPr="007D675F">
        <w:rPr>
          <w:bCs/>
          <w:color w:val="auto"/>
          <w:sz w:val="28"/>
          <w:szCs w:val="28"/>
        </w:rPr>
        <w:t xml:space="preserve"> ar iegūtu pamata izglītību,</w:t>
      </w:r>
      <w:r w:rsidR="00E7030D" w:rsidRPr="007D675F">
        <w:rPr>
          <w:bCs/>
          <w:color w:val="auto"/>
          <w:sz w:val="28"/>
          <w:szCs w:val="28"/>
        </w:rPr>
        <w:t xml:space="preserve"> no kuriem 48 % bija jaunieši. Līdz ar to šiem jauniešiem bija iespēja iegūt pirmo profesionālo </w:t>
      </w:r>
      <w:r w:rsidR="00E7030D" w:rsidRPr="007D675F">
        <w:rPr>
          <w:bCs/>
          <w:color w:val="auto"/>
          <w:sz w:val="28"/>
          <w:szCs w:val="28"/>
        </w:rPr>
        <w:lastRenderedPageBreak/>
        <w:t>izglītību. Tāpat 31 %</w:t>
      </w:r>
      <w:r w:rsidRPr="007D675F">
        <w:rPr>
          <w:bCs/>
          <w:color w:val="auto"/>
          <w:sz w:val="28"/>
          <w:szCs w:val="28"/>
        </w:rPr>
        <w:t xml:space="preserve"> </w:t>
      </w:r>
      <w:r w:rsidR="00E7030D" w:rsidRPr="007D675F">
        <w:rPr>
          <w:bCs/>
          <w:color w:val="auto"/>
          <w:sz w:val="28"/>
          <w:szCs w:val="28"/>
        </w:rPr>
        <w:t xml:space="preserve">no iesaistītajiem bezdarbniekiem bija ar iegūtu vispārējo izglītību, 32 % ar profesionālo izglītību un 8 % ar augstāko izglītību. </w:t>
      </w:r>
    </w:p>
    <w:p w14:paraId="1DC3D2AC" w14:textId="77777777" w:rsidR="00890F48" w:rsidRPr="007D675F" w:rsidRDefault="00890F48" w:rsidP="00CE7F2B">
      <w:pPr>
        <w:spacing w:after="0" w:line="240" w:lineRule="auto"/>
        <w:jc w:val="right"/>
        <w:rPr>
          <w:rFonts w:ascii="Times New Roman" w:hAnsi="Times New Roman"/>
          <w:bCs/>
          <w:i/>
          <w:sz w:val="24"/>
          <w:szCs w:val="24"/>
        </w:rPr>
      </w:pPr>
    </w:p>
    <w:p w14:paraId="43954FF7" w14:textId="328137E5" w:rsidR="00353525" w:rsidRPr="007D675F" w:rsidRDefault="005060D7" w:rsidP="00C76BD0">
      <w:pPr>
        <w:spacing w:after="0" w:line="240" w:lineRule="auto"/>
        <w:jc w:val="right"/>
        <w:rPr>
          <w:rFonts w:ascii="Times New Roman" w:hAnsi="Times New Roman"/>
          <w:bCs/>
          <w:i/>
          <w:sz w:val="24"/>
          <w:szCs w:val="24"/>
        </w:rPr>
      </w:pPr>
      <w:r w:rsidRPr="007D675F">
        <w:rPr>
          <w:rFonts w:ascii="Times New Roman" w:hAnsi="Times New Roman"/>
          <w:bCs/>
          <w:i/>
          <w:sz w:val="24"/>
          <w:szCs w:val="24"/>
        </w:rPr>
        <w:t>Tabula Nr.3</w:t>
      </w:r>
    </w:p>
    <w:p w14:paraId="0DCE52E7" w14:textId="099427E5" w:rsidR="00D21758" w:rsidRPr="007D675F" w:rsidRDefault="00B14113" w:rsidP="00CE7F2B">
      <w:pPr>
        <w:pStyle w:val="tv2131"/>
        <w:spacing w:line="240" w:lineRule="auto"/>
        <w:ind w:firstLine="0"/>
        <w:jc w:val="center"/>
        <w:rPr>
          <w:bCs/>
          <w:i/>
          <w:color w:val="auto"/>
          <w:sz w:val="24"/>
          <w:szCs w:val="24"/>
        </w:rPr>
      </w:pPr>
      <w:r w:rsidRPr="007D675F">
        <w:rPr>
          <w:bCs/>
          <w:i/>
          <w:color w:val="auto"/>
          <w:sz w:val="24"/>
          <w:szCs w:val="24"/>
        </w:rPr>
        <w:t>Bezdarbnieku sadalījums pa izglītības līmeņiem</w:t>
      </w:r>
    </w:p>
    <w:tbl>
      <w:tblPr>
        <w:tblW w:w="9037" w:type="dxa"/>
        <w:jc w:val="center"/>
        <w:tblLayout w:type="fixed"/>
        <w:tblLook w:val="00A0" w:firstRow="1" w:lastRow="0" w:firstColumn="1" w:lastColumn="0" w:noHBand="0" w:noVBand="0"/>
      </w:tblPr>
      <w:tblGrid>
        <w:gridCol w:w="1543"/>
        <w:gridCol w:w="559"/>
        <w:gridCol w:w="932"/>
        <w:gridCol w:w="461"/>
        <w:gridCol w:w="1041"/>
        <w:gridCol w:w="456"/>
        <w:gridCol w:w="1016"/>
        <w:gridCol w:w="606"/>
        <w:gridCol w:w="1024"/>
        <w:gridCol w:w="405"/>
        <w:gridCol w:w="994"/>
      </w:tblGrid>
      <w:tr w:rsidR="007D675F" w:rsidRPr="007D675F" w14:paraId="4E1B620E" w14:textId="77777777" w:rsidTr="00BD2744">
        <w:trPr>
          <w:trHeight w:val="318"/>
          <w:jc w:val="center"/>
        </w:trPr>
        <w:tc>
          <w:tcPr>
            <w:tcW w:w="1543" w:type="dxa"/>
            <w:vMerge w:val="restart"/>
            <w:tcBorders>
              <w:top w:val="single" w:sz="4" w:space="0" w:color="auto"/>
              <w:left w:val="single" w:sz="4" w:space="0" w:color="auto"/>
              <w:bottom w:val="single" w:sz="4" w:space="0" w:color="000000"/>
              <w:right w:val="single" w:sz="4" w:space="0" w:color="auto"/>
            </w:tcBorders>
            <w:shd w:val="clear" w:color="auto" w:fill="D6E3BC" w:themeFill="accent3" w:themeFillTint="66"/>
            <w:vAlign w:val="center"/>
          </w:tcPr>
          <w:p w14:paraId="7BCA0EFB" w14:textId="77777777" w:rsidR="005060D7" w:rsidRPr="007D675F" w:rsidRDefault="005060D7" w:rsidP="00CE7F2B">
            <w:pPr>
              <w:pStyle w:val="tv2131"/>
              <w:ind w:firstLine="0"/>
              <w:jc w:val="center"/>
              <w:rPr>
                <w:b/>
                <w:bCs/>
                <w:color w:val="auto"/>
                <w:sz w:val="18"/>
                <w:szCs w:val="18"/>
              </w:rPr>
            </w:pPr>
            <w:r w:rsidRPr="007D675F">
              <w:rPr>
                <w:b/>
                <w:bCs/>
                <w:color w:val="auto"/>
                <w:sz w:val="18"/>
                <w:szCs w:val="18"/>
              </w:rPr>
              <w:t>Mērķa grupa</w:t>
            </w:r>
          </w:p>
        </w:tc>
        <w:tc>
          <w:tcPr>
            <w:tcW w:w="7494" w:type="dxa"/>
            <w:gridSpan w:val="10"/>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11ADA83A" w14:textId="77777777" w:rsidR="005060D7" w:rsidRPr="007D675F" w:rsidRDefault="005060D7" w:rsidP="00CE7F2B">
            <w:pPr>
              <w:pStyle w:val="tv2131"/>
              <w:ind w:firstLine="301"/>
              <w:jc w:val="center"/>
              <w:rPr>
                <w:b/>
                <w:bCs/>
                <w:color w:val="auto"/>
                <w:sz w:val="18"/>
                <w:szCs w:val="18"/>
              </w:rPr>
            </w:pPr>
            <w:r w:rsidRPr="007D675F">
              <w:rPr>
                <w:b/>
                <w:bCs/>
                <w:color w:val="auto"/>
                <w:sz w:val="18"/>
                <w:szCs w:val="18"/>
              </w:rPr>
              <w:t>Bezdarbnieku, kuri iestājas projektā, izglītības līmenis</w:t>
            </w:r>
          </w:p>
        </w:tc>
      </w:tr>
      <w:tr w:rsidR="007D675F" w:rsidRPr="007D675F" w14:paraId="618F2FF3" w14:textId="77777777" w:rsidTr="00BD2744">
        <w:trPr>
          <w:trHeight w:val="1080"/>
          <w:jc w:val="center"/>
        </w:trPr>
        <w:tc>
          <w:tcPr>
            <w:tcW w:w="1543" w:type="dxa"/>
            <w:vMerge/>
            <w:tcBorders>
              <w:top w:val="single" w:sz="4" w:space="0" w:color="auto"/>
              <w:left w:val="single" w:sz="4" w:space="0" w:color="auto"/>
              <w:bottom w:val="single" w:sz="4" w:space="0" w:color="000000"/>
              <w:right w:val="single" w:sz="4" w:space="0" w:color="auto"/>
            </w:tcBorders>
            <w:shd w:val="clear" w:color="auto" w:fill="D6E3BC" w:themeFill="accent3" w:themeFillTint="66"/>
            <w:vAlign w:val="center"/>
          </w:tcPr>
          <w:p w14:paraId="0B8D9AA4" w14:textId="77777777" w:rsidR="005060D7" w:rsidRPr="007D675F" w:rsidRDefault="005060D7" w:rsidP="00CE7F2B">
            <w:pPr>
              <w:pStyle w:val="tv2131"/>
              <w:ind w:firstLine="301"/>
              <w:jc w:val="center"/>
              <w:rPr>
                <w:b/>
                <w:bCs/>
                <w:color w:val="auto"/>
                <w:sz w:val="18"/>
                <w:szCs w:val="18"/>
              </w:rPr>
            </w:pPr>
          </w:p>
        </w:tc>
        <w:tc>
          <w:tcPr>
            <w:tcW w:w="1491" w:type="dxa"/>
            <w:gridSpan w:val="2"/>
            <w:tcBorders>
              <w:top w:val="single" w:sz="4" w:space="0" w:color="auto"/>
              <w:left w:val="nil"/>
              <w:bottom w:val="single" w:sz="4" w:space="0" w:color="auto"/>
              <w:right w:val="single" w:sz="4" w:space="0" w:color="000000"/>
            </w:tcBorders>
            <w:shd w:val="clear" w:color="auto" w:fill="D6E3BC" w:themeFill="accent3" w:themeFillTint="66"/>
            <w:vAlign w:val="center"/>
          </w:tcPr>
          <w:p w14:paraId="52723A1A" w14:textId="77777777" w:rsidR="005060D7" w:rsidRPr="007D675F" w:rsidRDefault="005060D7" w:rsidP="00CE7F2B">
            <w:pPr>
              <w:pStyle w:val="tv2131"/>
              <w:spacing w:line="240" w:lineRule="auto"/>
              <w:ind w:firstLine="0"/>
              <w:jc w:val="center"/>
              <w:rPr>
                <w:b/>
                <w:bCs/>
                <w:color w:val="auto"/>
                <w:sz w:val="18"/>
                <w:szCs w:val="18"/>
              </w:rPr>
            </w:pPr>
            <w:r w:rsidRPr="007D675F">
              <w:rPr>
                <w:b/>
                <w:bCs/>
                <w:color w:val="auto"/>
                <w:sz w:val="18"/>
                <w:szCs w:val="18"/>
              </w:rPr>
              <w:t>Nav dokumentāri apliecināta</w:t>
            </w:r>
          </w:p>
        </w:tc>
        <w:tc>
          <w:tcPr>
            <w:tcW w:w="1502" w:type="dxa"/>
            <w:gridSpan w:val="2"/>
            <w:tcBorders>
              <w:top w:val="single" w:sz="4" w:space="0" w:color="auto"/>
              <w:left w:val="nil"/>
              <w:bottom w:val="single" w:sz="4" w:space="0" w:color="auto"/>
              <w:right w:val="single" w:sz="4" w:space="0" w:color="000000"/>
            </w:tcBorders>
            <w:shd w:val="clear" w:color="auto" w:fill="D6E3BC" w:themeFill="accent3" w:themeFillTint="66"/>
            <w:vAlign w:val="center"/>
          </w:tcPr>
          <w:p w14:paraId="032BDDF4" w14:textId="78947CA0" w:rsidR="005060D7" w:rsidRPr="007D675F" w:rsidRDefault="005060D7" w:rsidP="00CE7F2B">
            <w:pPr>
              <w:pStyle w:val="tv2131"/>
              <w:spacing w:line="240" w:lineRule="auto"/>
              <w:ind w:firstLine="0"/>
              <w:jc w:val="center"/>
              <w:rPr>
                <w:b/>
                <w:bCs/>
                <w:color w:val="auto"/>
                <w:sz w:val="18"/>
                <w:szCs w:val="18"/>
              </w:rPr>
            </w:pPr>
            <w:r w:rsidRPr="007D675F">
              <w:rPr>
                <w:b/>
                <w:bCs/>
                <w:color w:val="auto"/>
                <w:sz w:val="18"/>
                <w:szCs w:val="18"/>
              </w:rPr>
              <w:t>Sākumskolas vai pamata (ISCED1un ISCED2)</w:t>
            </w:r>
          </w:p>
        </w:tc>
        <w:tc>
          <w:tcPr>
            <w:tcW w:w="1472" w:type="dxa"/>
            <w:gridSpan w:val="2"/>
            <w:tcBorders>
              <w:top w:val="single" w:sz="4" w:space="0" w:color="auto"/>
              <w:left w:val="nil"/>
              <w:bottom w:val="single" w:sz="4" w:space="0" w:color="auto"/>
              <w:right w:val="single" w:sz="4" w:space="0" w:color="000000"/>
            </w:tcBorders>
            <w:shd w:val="clear" w:color="auto" w:fill="D6E3BC" w:themeFill="accent3" w:themeFillTint="66"/>
            <w:vAlign w:val="center"/>
          </w:tcPr>
          <w:p w14:paraId="44EE7956" w14:textId="6E24105C" w:rsidR="005060D7" w:rsidRPr="007D675F" w:rsidRDefault="005060D7" w:rsidP="00CE7F2B">
            <w:pPr>
              <w:pStyle w:val="tv2131"/>
              <w:spacing w:line="240" w:lineRule="auto"/>
              <w:ind w:firstLine="0"/>
              <w:jc w:val="center"/>
              <w:rPr>
                <w:b/>
                <w:bCs/>
                <w:color w:val="auto"/>
                <w:sz w:val="18"/>
                <w:szCs w:val="18"/>
              </w:rPr>
            </w:pPr>
            <w:r w:rsidRPr="007D675F">
              <w:rPr>
                <w:b/>
                <w:bCs/>
                <w:color w:val="auto"/>
                <w:sz w:val="18"/>
                <w:szCs w:val="18"/>
              </w:rPr>
              <w:t xml:space="preserve">Vidējā </w:t>
            </w:r>
            <w:r w:rsidR="006C24C5" w:rsidRPr="007D675F">
              <w:rPr>
                <w:b/>
                <w:bCs/>
                <w:color w:val="auto"/>
                <w:sz w:val="18"/>
                <w:szCs w:val="18"/>
              </w:rPr>
              <w:t>un vidējā profesionālā (ISCED3)</w:t>
            </w:r>
          </w:p>
        </w:tc>
        <w:tc>
          <w:tcPr>
            <w:tcW w:w="1630" w:type="dxa"/>
            <w:gridSpan w:val="2"/>
            <w:tcBorders>
              <w:top w:val="single" w:sz="4" w:space="0" w:color="auto"/>
              <w:left w:val="nil"/>
              <w:bottom w:val="single" w:sz="4" w:space="0" w:color="auto"/>
              <w:right w:val="single" w:sz="4" w:space="0" w:color="000000"/>
            </w:tcBorders>
            <w:shd w:val="clear" w:color="auto" w:fill="D6E3BC" w:themeFill="accent3" w:themeFillTint="66"/>
            <w:vAlign w:val="center"/>
          </w:tcPr>
          <w:p w14:paraId="0BB1ABB8" w14:textId="60F51C29" w:rsidR="005060D7" w:rsidRPr="007D675F" w:rsidRDefault="006C24C5" w:rsidP="00CE7F2B">
            <w:pPr>
              <w:pStyle w:val="tv2131"/>
              <w:spacing w:line="240" w:lineRule="auto"/>
              <w:ind w:firstLine="0"/>
              <w:jc w:val="center"/>
              <w:rPr>
                <w:b/>
                <w:bCs/>
                <w:color w:val="auto"/>
                <w:sz w:val="18"/>
                <w:szCs w:val="18"/>
              </w:rPr>
            </w:pPr>
            <w:r w:rsidRPr="007D675F">
              <w:rPr>
                <w:b/>
                <w:bCs/>
                <w:color w:val="auto"/>
                <w:sz w:val="18"/>
                <w:szCs w:val="18"/>
              </w:rPr>
              <w:t>Pēc vidējā (ISCED4)</w:t>
            </w:r>
          </w:p>
        </w:tc>
        <w:tc>
          <w:tcPr>
            <w:tcW w:w="1399"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tcPr>
          <w:p w14:paraId="3A15634C" w14:textId="7618B55D" w:rsidR="005060D7" w:rsidRPr="007D675F" w:rsidRDefault="006C24C5" w:rsidP="00CE7F2B">
            <w:pPr>
              <w:pStyle w:val="tv2131"/>
              <w:spacing w:line="240" w:lineRule="auto"/>
              <w:ind w:firstLine="0"/>
              <w:jc w:val="center"/>
              <w:rPr>
                <w:b/>
                <w:bCs/>
                <w:color w:val="auto"/>
                <w:sz w:val="18"/>
                <w:szCs w:val="18"/>
              </w:rPr>
            </w:pPr>
            <w:r w:rsidRPr="007D675F">
              <w:rPr>
                <w:b/>
                <w:bCs/>
                <w:color w:val="auto"/>
                <w:sz w:val="18"/>
                <w:szCs w:val="18"/>
              </w:rPr>
              <w:t>Augstākā (ISCED5 un ISCED6)</w:t>
            </w:r>
          </w:p>
        </w:tc>
      </w:tr>
      <w:tr w:rsidR="007D675F" w:rsidRPr="007D675F" w14:paraId="1510B8F8" w14:textId="77777777" w:rsidTr="00BD2744">
        <w:trPr>
          <w:trHeight w:val="667"/>
          <w:jc w:val="center"/>
        </w:trPr>
        <w:tc>
          <w:tcPr>
            <w:tcW w:w="1543" w:type="dxa"/>
            <w:vMerge/>
            <w:tcBorders>
              <w:top w:val="single" w:sz="4" w:space="0" w:color="auto"/>
              <w:left w:val="single" w:sz="4" w:space="0" w:color="auto"/>
              <w:bottom w:val="single" w:sz="4" w:space="0" w:color="000000"/>
              <w:right w:val="single" w:sz="4" w:space="0" w:color="auto"/>
            </w:tcBorders>
            <w:vAlign w:val="center"/>
          </w:tcPr>
          <w:p w14:paraId="4D2F7935" w14:textId="77777777" w:rsidR="005060D7" w:rsidRPr="007D675F" w:rsidRDefault="005060D7" w:rsidP="00CE7F2B">
            <w:pPr>
              <w:pStyle w:val="tv2131"/>
              <w:ind w:firstLine="301"/>
              <w:jc w:val="center"/>
              <w:rPr>
                <w:b/>
                <w:bCs/>
                <w:color w:val="auto"/>
                <w:sz w:val="18"/>
                <w:szCs w:val="18"/>
              </w:rPr>
            </w:pPr>
          </w:p>
        </w:tc>
        <w:tc>
          <w:tcPr>
            <w:tcW w:w="559" w:type="dxa"/>
            <w:tcBorders>
              <w:top w:val="nil"/>
              <w:left w:val="single" w:sz="8" w:space="0" w:color="auto"/>
              <w:bottom w:val="single" w:sz="4" w:space="0" w:color="auto"/>
              <w:right w:val="single" w:sz="4" w:space="0" w:color="auto"/>
            </w:tcBorders>
            <w:shd w:val="clear" w:color="auto" w:fill="EAF1DD" w:themeFill="accent3" w:themeFillTint="33"/>
            <w:textDirection w:val="btLr"/>
            <w:vAlign w:val="center"/>
          </w:tcPr>
          <w:p w14:paraId="3149D0BA" w14:textId="77777777" w:rsidR="005060D7" w:rsidRPr="007D675F" w:rsidRDefault="005060D7" w:rsidP="00CE7F2B">
            <w:pPr>
              <w:pStyle w:val="tv2131"/>
              <w:ind w:firstLine="301"/>
              <w:jc w:val="center"/>
              <w:rPr>
                <w:bCs/>
                <w:color w:val="auto"/>
                <w:sz w:val="18"/>
                <w:szCs w:val="18"/>
              </w:rPr>
            </w:pPr>
            <w:r w:rsidRPr="007D675F">
              <w:rPr>
                <w:bCs/>
                <w:color w:val="auto"/>
                <w:sz w:val="18"/>
                <w:szCs w:val="18"/>
              </w:rPr>
              <w:t>skaits</w:t>
            </w:r>
          </w:p>
        </w:tc>
        <w:tc>
          <w:tcPr>
            <w:tcW w:w="932" w:type="dxa"/>
            <w:tcBorders>
              <w:top w:val="nil"/>
              <w:left w:val="nil"/>
              <w:bottom w:val="single" w:sz="4" w:space="0" w:color="auto"/>
              <w:right w:val="single" w:sz="4" w:space="0" w:color="auto"/>
            </w:tcBorders>
            <w:shd w:val="clear" w:color="auto" w:fill="EAF1DD" w:themeFill="accent3" w:themeFillTint="33"/>
            <w:vAlign w:val="center"/>
          </w:tcPr>
          <w:p w14:paraId="77D94DAD" w14:textId="77777777" w:rsidR="005060D7" w:rsidRPr="007D675F" w:rsidRDefault="005060D7" w:rsidP="00CE7F2B">
            <w:pPr>
              <w:pStyle w:val="tv2131"/>
              <w:spacing w:line="240" w:lineRule="auto"/>
              <w:ind w:firstLine="0"/>
              <w:jc w:val="center"/>
              <w:rPr>
                <w:bCs/>
                <w:color w:val="auto"/>
                <w:sz w:val="18"/>
                <w:szCs w:val="18"/>
              </w:rPr>
            </w:pPr>
            <w:r w:rsidRPr="007D675F">
              <w:rPr>
                <w:bCs/>
                <w:color w:val="auto"/>
                <w:sz w:val="18"/>
                <w:szCs w:val="18"/>
              </w:rPr>
              <w:t>% no faktiski uzsākušo skaita</w:t>
            </w:r>
          </w:p>
        </w:tc>
        <w:tc>
          <w:tcPr>
            <w:tcW w:w="461" w:type="dxa"/>
            <w:tcBorders>
              <w:top w:val="nil"/>
              <w:left w:val="nil"/>
              <w:bottom w:val="single" w:sz="4" w:space="0" w:color="auto"/>
              <w:right w:val="single" w:sz="4" w:space="0" w:color="auto"/>
            </w:tcBorders>
            <w:shd w:val="clear" w:color="auto" w:fill="EAF1DD" w:themeFill="accent3" w:themeFillTint="33"/>
            <w:textDirection w:val="btLr"/>
            <w:vAlign w:val="center"/>
          </w:tcPr>
          <w:p w14:paraId="6685EB71" w14:textId="77777777" w:rsidR="005060D7" w:rsidRPr="007D675F" w:rsidRDefault="005060D7" w:rsidP="00CE7F2B">
            <w:pPr>
              <w:pStyle w:val="tv2131"/>
              <w:spacing w:line="240" w:lineRule="auto"/>
              <w:ind w:firstLine="301"/>
              <w:jc w:val="center"/>
              <w:rPr>
                <w:bCs/>
                <w:color w:val="auto"/>
                <w:sz w:val="18"/>
                <w:szCs w:val="18"/>
              </w:rPr>
            </w:pPr>
            <w:r w:rsidRPr="007D675F">
              <w:rPr>
                <w:bCs/>
                <w:color w:val="auto"/>
                <w:sz w:val="18"/>
                <w:szCs w:val="18"/>
              </w:rPr>
              <w:t>skaits</w:t>
            </w:r>
          </w:p>
        </w:tc>
        <w:tc>
          <w:tcPr>
            <w:tcW w:w="1041" w:type="dxa"/>
            <w:tcBorders>
              <w:top w:val="nil"/>
              <w:left w:val="nil"/>
              <w:bottom w:val="single" w:sz="4" w:space="0" w:color="auto"/>
              <w:right w:val="single" w:sz="4" w:space="0" w:color="auto"/>
            </w:tcBorders>
            <w:shd w:val="clear" w:color="auto" w:fill="EAF1DD" w:themeFill="accent3" w:themeFillTint="33"/>
            <w:vAlign w:val="center"/>
          </w:tcPr>
          <w:p w14:paraId="3AA64929" w14:textId="77777777" w:rsidR="005060D7" w:rsidRPr="007D675F" w:rsidRDefault="005060D7" w:rsidP="00CE7F2B">
            <w:pPr>
              <w:pStyle w:val="tv2131"/>
              <w:spacing w:line="240" w:lineRule="auto"/>
              <w:ind w:firstLine="0"/>
              <w:jc w:val="center"/>
              <w:rPr>
                <w:bCs/>
                <w:color w:val="auto"/>
                <w:sz w:val="18"/>
                <w:szCs w:val="18"/>
              </w:rPr>
            </w:pPr>
            <w:r w:rsidRPr="007D675F">
              <w:rPr>
                <w:bCs/>
                <w:color w:val="auto"/>
                <w:sz w:val="18"/>
                <w:szCs w:val="18"/>
              </w:rPr>
              <w:t>% no faktiski uzsākušo skaita</w:t>
            </w:r>
          </w:p>
        </w:tc>
        <w:tc>
          <w:tcPr>
            <w:tcW w:w="456" w:type="dxa"/>
            <w:tcBorders>
              <w:top w:val="nil"/>
              <w:left w:val="nil"/>
              <w:bottom w:val="single" w:sz="4" w:space="0" w:color="auto"/>
              <w:right w:val="single" w:sz="4" w:space="0" w:color="auto"/>
            </w:tcBorders>
            <w:shd w:val="clear" w:color="auto" w:fill="EAF1DD" w:themeFill="accent3" w:themeFillTint="33"/>
            <w:textDirection w:val="btLr"/>
            <w:vAlign w:val="center"/>
          </w:tcPr>
          <w:p w14:paraId="18516E15" w14:textId="77777777" w:rsidR="005060D7" w:rsidRPr="007D675F" w:rsidRDefault="005060D7" w:rsidP="00CE7F2B">
            <w:pPr>
              <w:pStyle w:val="tv2131"/>
              <w:spacing w:line="240" w:lineRule="auto"/>
              <w:ind w:firstLine="301"/>
              <w:jc w:val="center"/>
              <w:rPr>
                <w:bCs/>
                <w:color w:val="auto"/>
                <w:sz w:val="18"/>
                <w:szCs w:val="18"/>
              </w:rPr>
            </w:pPr>
            <w:r w:rsidRPr="007D675F">
              <w:rPr>
                <w:bCs/>
                <w:color w:val="auto"/>
                <w:sz w:val="18"/>
                <w:szCs w:val="18"/>
              </w:rPr>
              <w:t>skaits</w:t>
            </w:r>
          </w:p>
        </w:tc>
        <w:tc>
          <w:tcPr>
            <w:tcW w:w="1016" w:type="dxa"/>
            <w:tcBorders>
              <w:top w:val="nil"/>
              <w:left w:val="nil"/>
              <w:bottom w:val="single" w:sz="4" w:space="0" w:color="auto"/>
              <w:right w:val="single" w:sz="4" w:space="0" w:color="auto"/>
            </w:tcBorders>
            <w:shd w:val="clear" w:color="auto" w:fill="EAF1DD" w:themeFill="accent3" w:themeFillTint="33"/>
            <w:vAlign w:val="center"/>
          </w:tcPr>
          <w:p w14:paraId="06F8DA59" w14:textId="77777777" w:rsidR="005060D7" w:rsidRPr="007D675F" w:rsidRDefault="005060D7" w:rsidP="00CE7F2B">
            <w:pPr>
              <w:pStyle w:val="tv2131"/>
              <w:spacing w:line="240" w:lineRule="auto"/>
              <w:ind w:firstLine="0"/>
              <w:jc w:val="center"/>
              <w:rPr>
                <w:bCs/>
                <w:color w:val="auto"/>
                <w:sz w:val="18"/>
                <w:szCs w:val="18"/>
              </w:rPr>
            </w:pPr>
            <w:r w:rsidRPr="007D675F">
              <w:rPr>
                <w:bCs/>
                <w:color w:val="auto"/>
                <w:sz w:val="18"/>
                <w:szCs w:val="18"/>
              </w:rPr>
              <w:t>% no faktiski uzsākušo skaita</w:t>
            </w:r>
          </w:p>
        </w:tc>
        <w:tc>
          <w:tcPr>
            <w:tcW w:w="606" w:type="dxa"/>
            <w:tcBorders>
              <w:top w:val="nil"/>
              <w:left w:val="nil"/>
              <w:bottom w:val="single" w:sz="4" w:space="0" w:color="auto"/>
              <w:right w:val="single" w:sz="4" w:space="0" w:color="auto"/>
            </w:tcBorders>
            <w:shd w:val="clear" w:color="auto" w:fill="EAF1DD" w:themeFill="accent3" w:themeFillTint="33"/>
            <w:textDirection w:val="btLr"/>
            <w:vAlign w:val="center"/>
          </w:tcPr>
          <w:p w14:paraId="13DD3D16" w14:textId="77777777" w:rsidR="005060D7" w:rsidRPr="007D675F" w:rsidRDefault="005060D7" w:rsidP="00CE7F2B">
            <w:pPr>
              <w:pStyle w:val="tv2131"/>
              <w:spacing w:line="240" w:lineRule="auto"/>
              <w:ind w:firstLine="301"/>
              <w:jc w:val="center"/>
              <w:rPr>
                <w:bCs/>
                <w:color w:val="auto"/>
                <w:sz w:val="18"/>
                <w:szCs w:val="18"/>
              </w:rPr>
            </w:pPr>
            <w:r w:rsidRPr="007D675F">
              <w:rPr>
                <w:bCs/>
                <w:color w:val="auto"/>
                <w:sz w:val="18"/>
                <w:szCs w:val="18"/>
              </w:rPr>
              <w:t>skaits</w:t>
            </w:r>
          </w:p>
        </w:tc>
        <w:tc>
          <w:tcPr>
            <w:tcW w:w="1024" w:type="dxa"/>
            <w:tcBorders>
              <w:top w:val="nil"/>
              <w:left w:val="nil"/>
              <w:bottom w:val="single" w:sz="4" w:space="0" w:color="auto"/>
              <w:right w:val="single" w:sz="4" w:space="0" w:color="auto"/>
            </w:tcBorders>
            <w:shd w:val="clear" w:color="auto" w:fill="EAF1DD" w:themeFill="accent3" w:themeFillTint="33"/>
            <w:vAlign w:val="center"/>
          </w:tcPr>
          <w:p w14:paraId="297D23AD" w14:textId="77777777" w:rsidR="005060D7" w:rsidRPr="007D675F" w:rsidRDefault="005060D7" w:rsidP="00CE7F2B">
            <w:pPr>
              <w:pStyle w:val="tv2131"/>
              <w:spacing w:line="240" w:lineRule="auto"/>
              <w:ind w:firstLine="0"/>
              <w:jc w:val="center"/>
              <w:rPr>
                <w:bCs/>
                <w:color w:val="auto"/>
                <w:sz w:val="18"/>
                <w:szCs w:val="18"/>
              </w:rPr>
            </w:pPr>
            <w:r w:rsidRPr="007D675F">
              <w:rPr>
                <w:bCs/>
                <w:color w:val="auto"/>
                <w:sz w:val="18"/>
                <w:szCs w:val="18"/>
              </w:rPr>
              <w:t>% no faktiski uzsākušo skaita</w:t>
            </w:r>
          </w:p>
        </w:tc>
        <w:tc>
          <w:tcPr>
            <w:tcW w:w="405" w:type="dxa"/>
            <w:tcBorders>
              <w:top w:val="nil"/>
              <w:left w:val="nil"/>
              <w:bottom w:val="single" w:sz="4" w:space="0" w:color="auto"/>
              <w:right w:val="single" w:sz="4" w:space="0" w:color="auto"/>
            </w:tcBorders>
            <w:shd w:val="clear" w:color="auto" w:fill="EAF1DD" w:themeFill="accent3" w:themeFillTint="33"/>
            <w:textDirection w:val="btLr"/>
            <w:vAlign w:val="center"/>
          </w:tcPr>
          <w:p w14:paraId="40CE5D8B" w14:textId="77777777" w:rsidR="005060D7" w:rsidRPr="007D675F" w:rsidRDefault="005060D7" w:rsidP="00CE7F2B">
            <w:pPr>
              <w:pStyle w:val="tv2131"/>
              <w:spacing w:line="240" w:lineRule="auto"/>
              <w:ind w:firstLine="301"/>
              <w:jc w:val="center"/>
              <w:rPr>
                <w:bCs/>
                <w:color w:val="auto"/>
                <w:sz w:val="18"/>
                <w:szCs w:val="18"/>
              </w:rPr>
            </w:pPr>
            <w:r w:rsidRPr="007D675F">
              <w:rPr>
                <w:bCs/>
                <w:color w:val="auto"/>
                <w:sz w:val="18"/>
                <w:szCs w:val="18"/>
              </w:rPr>
              <w:t>skaits</w:t>
            </w:r>
          </w:p>
        </w:tc>
        <w:tc>
          <w:tcPr>
            <w:tcW w:w="994" w:type="dxa"/>
            <w:tcBorders>
              <w:top w:val="nil"/>
              <w:left w:val="nil"/>
              <w:bottom w:val="single" w:sz="4" w:space="0" w:color="auto"/>
              <w:right w:val="single" w:sz="4" w:space="0" w:color="auto"/>
            </w:tcBorders>
            <w:shd w:val="clear" w:color="auto" w:fill="EAF1DD" w:themeFill="accent3" w:themeFillTint="33"/>
            <w:vAlign w:val="center"/>
          </w:tcPr>
          <w:p w14:paraId="47E77217" w14:textId="77777777" w:rsidR="005060D7" w:rsidRPr="007D675F" w:rsidRDefault="005060D7" w:rsidP="00CE7F2B">
            <w:pPr>
              <w:pStyle w:val="tv2131"/>
              <w:spacing w:line="240" w:lineRule="auto"/>
              <w:ind w:firstLine="0"/>
              <w:jc w:val="center"/>
              <w:rPr>
                <w:bCs/>
                <w:color w:val="auto"/>
                <w:sz w:val="18"/>
                <w:szCs w:val="18"/>
              </w:rPr>
            </w:pPr>
            <w:r w:rsidRPr="007D675F">
              <w:rPr>
                <w:bCs/>
                <w:color w:val="auto"/>
                <w:sz w:val="18"/>
                <w:szCs w:val="18"/>
              </w:rPr>
              <w:t>% no faktiski uzsākušo skaita</w:t>
            </w:r>
          </w:p>
        </w:tc>
      </w:tr>
      <w:tr w:rsidR="007D675F" w:rsidRPr="007D675F" w14:paraId="60A55E04" w14:textId="77777777" w:rsidTr="00DC5AFB">
        <w:trPr>
          <w:trHeight w:val="536"/>
          <w:jc w:val="center"/>
        </w:trPr>
        <w:tc>
          <w:tcPr>
            <w:tcW w:w="1543" w:type="dxa"/>
            <w:tcBorders>
              <w:top w:val="nil"/>
              <w:left w:val="single" w:sz="4" w:space="0" w:color="auto"/>
              <w:bottom w:val="single" w:sz="8" w:space="0" w:color="auto"/>
              <w:right w:val="single" w:sz="4" w:space="0" w:color="auto"/>
            </w:tcBorders>
            <w:vAlign w:val="center"/>
          </w:tcPr>
          <w:p w14:paraId="3D94C90D" w14:textId="77777777" w:rsidR="005060D7" w:rsidRPr="007D675F" w:rsidRDefault="005060D7" w:rsidP="00CE7F2B">
            <w:pPr>
              <w:pStyle w:val="tv2131"/>
              <w:spacing w:line="240" w:lineRule="auto"/>
              <w:ind w:firstLine="0"/>
              <w:jc w:val="center"/>
              <w:rPr>
                <w:b/>
                <w:bCs/>
                <w:color w:val="auto"/>
                <w:sz w:val="18"/>
                <w:szCs w:val="18"/>
              </w:rPr>
            </w:pPr>
            <w:r w:rsidRPr="007D675F">
              <w:rPr>
                <w:b/>
                <w:bCs/>
                <w:color w:val="auto"/>
                <w:sz w:val="18"/>
                <w:szCs w:val="18"/>
              </w:rPr>
              <w:t>Jaunieši</w:t>
            </w:r>
            <w:r w:rsidRPr="007D675F">
              <w:rPr>
                <w:b/>
                <w:color w:val="auto"/>
                <w:sz w:val="18"/>
                <w:szCs w:val="18"/>
              </w:rPr>
              <w:t xml:space="preserve"> bezdarbnieki un darba meklētāji (15 - 24)</w:t>
            </w:r>
          </w:p>
        </w:tc>
        <w:tc>
          <w:tcPr>
            <w:tcW w:w="559" w:type="dxa"/>
            <w:tcBorders>
              <w:top w:val="nil"/>
              <w:left w:val="nil"/>
              <w:bottom w:val="single" w:sz="8" w:space="0" w:color="auto"/>
              <w:right w:val="single" w:sz="4" w:space="0" w:color="auto"/>
            </w:tcBorders>
            <w:vAlign w:val="center"/>
          </w:tcPr>
          <w:p w14:paraId="0FF1D217" w14:textId="77777777" w:rsidR="005060D7" w:rsidRPr="007D675F" w:rsidRDefault="005060D7" w:rsidP="00CE7F2B">
            <w:pPr>
              <w:pStyle w:val="tv2131"/>
              <w:jc w:val="center"/>
              <w:rPr>
                <w:color w:val="auto"/>
                <w:sz w:val="18"/>
                <w:szCs w:val="18"/>
              </w:rPr>
            </w:pPr>
            <w:r w:rsidRPr="007D675F">
              <w:rPr>
                <w:color w:val="auto"/>
                <w:sz w:val="18"/>
                <w:szCs w:val="18"/>
              </w:rPr>
              <w:t>0</w:t>
            </w:r>
          </w:p>
        </w:tc>
        <w:tc>
          <w:tcPr>
            <w:tcW w:w="932" w:type="dxa"/>
            <w:tcBorders>
              <w:top w:val="nil"/>
              <w:left w:val="nil"/>
              <w:bottom w:val="single" w:sz="8" w:space="0" w:color="auto"/>
              <w:right w:val="single" w:sz="4" w:space="0" w:color="auto"/>
            </w:tcBorders>
            <w:vAlign w:val="center"/>
          </w:tcPr>
          <w:p w14:paraId="4B157214" w14:textId="77777777" w:rsidR="005060D7" w:rsidRPr="007D675F" w:rsidRDefault="005060D7" w:rsidP="00CE7F2B">
            <w:pPr>
              <w:pStyle w:val="tv2131"/>
              <w:ind w:firstLine="0"/>
              <w:jc w:val="center"/>
              <w:rPr>
                <w:color w:val="auto"/>
                <w:sz w:val="18"/>
                <w:szCs w:val="18"/>
              </w:rPr>
            </w:pPr>
            <w:r w:rsidRPr="007D675F">
              <w:rPr>
                <w:color w:val="auto"/>
                <w:sz w:val="18"/>
                <w:szCs w:val="18"/>
              </w:rPr>
              <w:t>0</w:t>
            </w:r>
          </w:p>
        </w:tc>
        <w:tc>
          <w:tcPr>
            <w:tcW w:w="461" w:type="dxa"/>
            <w:tcBorders>
              <w:top w:val="nil"/>
              <w:left w:val="nil"/>
              <w:bottom w:val="single" w:sz="8" w:space="0" w:color="auto"/>
              <w:right w:val="single" w:sz="4" w:space="0" w:color="auto"/>
            </w:tcBorders>
            <w:vAlign w:val="center"/>
          </w:tcPr>
          <w:p w14:paraId="10C64C2D" w14:textId="77777777" w:rsidR="005060D7" w:rsidRPr="007D675F" w:rsidRDefault="005060D7" w:rsidP="00CE7F2B">
            <w:pPr>
              <w:pStyle w:val="tv2131"/>
              <w:ind w:firstLine="0"/>
              <w:jc w:val="center"/>
              <w:rPr>
                <w:color w:val="auto"/>
                <w:sz w:val="18"/>
                <w:szCs w:val="18"/>
              </w:rPr>
            </w:pPr>
            <w:r w:rsidRPr="007D675F">
              <w:rPr>
                <w:color w:val="auto"/>
                <w:sz w:val="18"/>
                <w:szCs w:val="18"/>
              </w:rPr>
              <w:t>13</w:t>
            </w:r>
          </w:p>
        </w:tc>
        <w:tc>
          <w:tcPr>
            <w:tcW w:w="1041" w:type="dxa"/>
            <w:tcBorders>
              <w:top w:val="nil"/>
              <w:left w:val="nil"/>
              <w:bottom w:val="single" w:sz="8" w:space="0" w:color="auto"/>
              <w:right w:val="single" w:sz="4" w:space="0" w:color="auto"/>
            </w:tcBorders>
            <w:vAlign w:val="center"/>
          </w:tcPr>
          <w:p w14:paraId="226504D6" w14:textId="77777777" w:rsidR="005060D7" w:rsidRPr="007D675F" w:rsidRDefault="005060D7" w:rsidP="00CE7F2B">
            <w:pPr>
              <w:pStyle w:val="tv2131"/>
              <w:ind w:firstLine="0"/>
              <w:jc w:val="center"/>
              <w:rPr>
                <w:color w:val="auto"/>
                <w:sz w:val="18"/>
                <w:szCs w:val="18"/>
              </w:rPr>
            </w:pPr>
            <w:r w:rsidRPr="007D675F">
              <w:rPr>
                <w:color w:val="auto"/>
                <w:sz w:val="18"/>
                <w:szCs w:val="18"/>
              </w:rPr>
              <w:t>48</w:t>
            </w:r>
          </w:p>
        </w:tc>
        <w:tc>
          <w:tcPr>
            <w:tcW w:w="456" w:type="dxa"/>
            <w:tcBorders>
              <w:top w:val="nil"/>
              <w:left w:val="nil"/>
              <w:bottom w:val="single" w:sz="8" w:space="0" w:color="auto"/>
              <w:right w:val="single" w:sz="4" w:space="0" w:color="auto"/>
            </w:tcBorders>
            <w:vAlign w:val="center"/>
          </w:tcPr>
          <w:p w14:paraId="187738D9" w14:textId="77777777" w:rsidR="005060D7" w:rsidRPr="007D675F" w:rsidRDefault="005060D7" w:rsidP="00CE7F2B">
            <w:pPr>
              <w:pStyle w:val="tv2131"/>
              <w:ind w:firstLine="0"/>
              <w:jc w:val="center"/>
              <w:rPr>
                <w:color w:val="auto"/>
                <w:sz w:val="18"/>
                <w:szCs w:val="18"/>
              </w:rPr>
            </w:pPr>
            <w:r w:rsidRPr="007D675F">
              <w:rPr>
                <w:color w:val="auto"/>
                <w:sz w:val="18"/>
                <w:szCs w:val="18"/>
              </w:rPr>
              <w:t>14</w:t>
            </w:r>
          </w:p>
        </w:tc>
        <w:tc>
          <w:tcPr>
            <w:tcW w:w="1016" w:type="dxa"/>
            <w:tcBorders>
              <w:top w:val="nil"/>
              <w:left w:val="nil"/>
              <w:bottom w:val="single" w:sz="8" w:space="0" w:color="auto"/>
              <w:right w:val="single" w:sz="4" w:space="0" w:color="auto"/>
            </w:tcBorders>
            <w:vAlign w:val="center"/>
          </w:tcPr>
          <w:p w14:paraId="30CC8BAA" w14:textId="77777777" w:rsidR="005060D7" w:rsidRPr="007D675F" w:rsidRDefault="005060D7" w:rsidP="00CE7F2B">
            <w:pPr>
              <w:pStyle w:val="tv2131"/>
              <w:ind w:firstLine="0"/>
              <w:jc w:val="center"/>
              <w:rPr>
                <w:color w:val="auto"/>
                <w:sz w:val="18"/>
                <w:szCs w:val="18"/>
              </w:rPr>
            </w:pPr>
            <w:r w:rsidRPr="007D675F">
              <w:rPr>
                <w:color w:val="auto"/>
                <w:sz w:val="18"/>
                <w:szCs w:val="18"/>
              </w:rPr>
              <w:t>52</w:t>
            </w:r>
          </w:p>
        </w:tc>
        <w:tc>
          <w:tcPr>
            <w:tcW w:w="606" w:type="dxa"/>
            <w:tcBorders>
              <w:top w:val="nil"/>
              <w:left w:val="nil"/>
              <w:bottom w:val="single" w:sz="8" w:space="0" w:color="auto"/>
              <w:right w:val="single" w:sz="4" w:space="0" w:color="auto"/>
            </w:tcBorders>
            <w:vAlign w:val="center"/>
          </w:tcPr>
          <w:p w14:paraId="3216C064" w14:textId="77777777" w:rsidR="005060D7" w:rsidRPr="007D675F" w:rsidRDefault="005060D7" w:rsidP="00CE7F2B">
            <w:pPr>
              <w:pStyle w:val="tv2131"/>
              <w:jc w:val="center"/>
              <w:rPr>
                <w:color w:val="auto"/>
                <w:sz w:val="18"/>
                <w:szCs w:val="18"/>
              </w:rPr>
            </w:pPr>
            <w:r w:rsidRPr="007D675F">
              <w:rPr>
                <w:color w:val="auto"/>
                <w:sz w:val="18"/>
                <w:szCs w:val="18"/>
              </w:rPr>
              <w:t>0</w:t>
            </w:r>
          </w:p>
        </w:tc>
        <w:tc>
          <w:tcPr>
            <w:tcW w:w="1024" w:type="dxa"/>
            <w:tcBorders>
              <w:top w:val="nil"/>
              <w:left w:val="nil"/>
              <w:bottom w:val="single" w:sz="8" w:space="0" w:color="auto"/>
              <w:right w:val="single" w:sz="4" w:space="0" w:color="auto"/>
            </w:tcBorders>
            <w:vAlign w:val="center"/>
          </w:tcPr>
          <w:p w14:paraId="2DDF88AE" w14:textId="77777777" w:rsidR="005060D7" w:rsidRPr="007D675F" w:rsidRDefault="005060D7" w:rsidP="00CE7F2B">
            <w:pPr>
              <w:pStyle w:val="tv2131"/>
              <w:jc w:val="center"/>
              <w:rPr>
                <w:color w:val="auto"/>
                <w:sz w:val="18"/>
                <w:szCs w:val="18"/>
              </w:rPr>
            </w:pPr>
            <w:r w:rsidRPr="007D675F">
              <w:rPr>
                <w:color w:val="auto"/>
                <w:sz w:val="18"/>
                <w:szCs w:val="18"/>
              </w:rPr>
              <w:t>0</w:t>
            </w:r>
          </w:p>
        </w:tc>
        <w:tc>
          <w:tcPr>
            <w:tcW w:w="405" w:type="dxa"/>
            <w:tcBorders>
              <w:top w:val="nil"/>
              <w:left w:val="nil"/>
              <w:bottom w:val="single" w:sz="8" w:space="0" w:color="auto"/>
              <w:right w:val="single" w:sz="4" w:space="0" w:color="auto"/>
            </w:tcBorders>
            <w:vAlign w:val="center"/>
          </w:tcPr>
          <w:p w14:paraId="738B5892" w14:textId="77777777" w:rsidR="005060D7" w:rsidRPr="007D675F" w:rsidRDefault="005060D7" w:rsidP="00CE7F2B">
            <w:pPr>
              <w:pStyle w:val="tv2131"/>
              <w:ind w:firstLine="0"/>
              <w:jc w:val="center"/>
              <w:rPr>
                <w:color w:val="auto"/>
                <w:sz w:val="18"/>
                <w:szCs w:val="18"/>
              </w:rPr>
            </w:pPr>
            <w:r w:rsidRPr="007D675F">
              <w:rPr>
                <w:color w:val="auto"/>
                <w:sz w:val="18"/>
                <w:szCs w:val="18"/>
              </w:rPr>
              <w:t>0</w:t>
            </w:r>
          </w:p>
        </w:tc>
        <w:tc>
          <w:tcPr>
            <w:tcW w:w="994" w:type="dxa"/>
            <w:tcBorders>
              <w:top w:val="nil"/>
              <w:left w:val="nil"/>
              <w:bottom w:val="single" w:sz="8" w:space="0" w:color="auto"/>
              <w:right w:val="single" w:sz="4" w:space="0" w:color="auto"/>
            </w:tcBorders>
            <w:vAlign w:val="center"/>
          </w:tcPr>
          <w:p w14:paraId="43D1BF51" w14:textId="77777777" w:rsidR="005060D7" w:rsidRPr="007D675F" w:rsidRDefault="005060D7" w:rsidP="00CE7F2B">
            <w:pPr>
              <w:pStyle w:val="tv2131"/>
              <w:ind w:firstLine="0"/>
              <w:jc w:val="center"/>
              <w:rPr>
                <w:color w:val="auto"/>
                <w:sz w:val="18"/>
                <w:szCs w:val="18"/>
              </w:rPr>
            </w:pPr>
            <w:r w:rsidRPr="007D675F">
              <w:rPr>
                <w:color w:val="auto"/>
                <w:sz w:val="18"/>
                <w:szCs w:val="18"/>
              </w:rPr>
              <w:t>0</w:t>
            </w:r>
          </w:p>
        </w:tc>
      </w:tr>
      <w:tr w:rsidR="007D675F" w:rsidRPr="007D675F" w14:paraId="718852FB" w14:textId="77777777" w:rsidTr="00D21758">
        <w:trPr>
          <w:trHeight w:val="465"/>
          <w:jc w:val="center"/>
        </w:trPr>
        <w:tc>
          <w:tcPr>
            <w:tcW w:w="1543" w:type="dxa"/>
            <w:tcBorders>
              <w:top w:val="single" w:sz="4" w:space="0" w:color="auto"/>
              <w:left w:val="single" w:sz="4" w:space="0" w:color="auto"/>
              <w:bottom w:val="single" w:sz="8" w:space="0" w:color="auto"/>
              <w:right w:val="single" w:sz="4" w:space="0" w:color="auto"/>
            </w:tcBorders>
            <w:vAlign w:val="center"/>
          </w:tcPr>
          <w:p w14:paraId="4314A641" w14:textId="3ECA15EB" w:rsidR="005060D7" w:rsidRPr="007D675F" w:rsidRDefault="005060D7" w:rsidP="00CE7F2B">
            <w:pPr>
              <w:pStyle w:val="tv2131"/>
              <w:spacing w:line="240" w:lineRule="auto"/>
              <w:ind w:firstLine="0"/>
              <w:jc w:val="center"/>
              <w:rPr>
                <w:b/>
                <w:bCs/>
                <w:color w:val="auto"/>
                <w:sz w:val="18"/>
                <w:szCs w:val="18"/>
              </w:rPr>
            </w:pPr>
            <w:r w:rsidRPr="007D675F">
              <w:rPr>
                <w:b/>
                <w:color w:val="auto"/>
                <w:sz w:val="18"/>
                <w:szCs w:val="18"/>
              </w:rPr>
              <w:t xml:space="preserve"> </w:t>
            </w:r>
            <w:r w:rsidR="007463BA" w:rsidRPr="007D675F">
              <w:rPr>
                <w:b/>
                <w:color w:val="auto"/>
                <w:sz w:val="18"/>
                <w:szCs w:val="18"/>
              </w:rPr>
              <w:t>B</w:t>
            </w:r>
            <w:r w:rsidRPr="007D675F">
              <w:rPr>
                <w:b/>
                <w:color w:val="auto"/>
                <w:sz w:val="18"/>
                <w:szCs w:val="18"/>
              </w:rPr>
              <w:t>ezdarbnieki un darba meklētāji (25-54)</w:t>
            </w:r>
          </w:p>
        </w:tc>
        <w:tc>
          <w:tcPr>
            <w:tcW w:w="559" w:type="dxa"/>
            <w:tcBorders>
              <w:top w:val="single" w:sz="4" w:space="0" w:color="auto"/>
              <w:left w:val="nil"/>
              <w:bottom w:val="single" w:sz="8" w:space="0" w:color="auto"/>
              <w:right w:val="single" w:sz="4" w:space="0" w:color="auto"/>
            </w:tcBorders>
            <w:vAlign w:val="center"/>
          </w:tcPr>
          <w:p w14:paraId="0A3AED8C" w14:textId="77777777" w:rsidR="005060D7" w:rsidRPr="007D675F" w:rsidRDefault="005060D7" w:rsidP="00CE7F2B">
            <w:pPr>
              <w:pStyle w:val="tv2131"/>
              <w:jc w:val="center"/>
              <w:rPr>
                <w:color w:val="auto"/>
                <w:sz w:val="18"/>
                <w:szCs w:val="18"/>
              </w:rPr>
            </w:pPr>
            <w:r w:rsidRPr="007D675F">
              <w:rPr>
                <w:color w:val="auto"/>
                <w:sz w:val="18"/>
                <w:szCs w:val="18"/>
              </w:rPr>
              <w:t>0</w:t>
            </w:r>
          </w:p>
        </w:tc>
        <w:tc>
          <w:tcPr>
            <w:tcW w:w="932" w:type="dxa"/>
            <w:tcBorders>
              <w:top w:val="single" w:sz="4" w:space="0" w:color="auto"/>
              <w:left w:val="nil"/>
              <w:bottom w:val="single" w:sz="8" w:space="0" w:color="auto"/>
              <w:right w:val="single" w:sz="4" w:space="0" w:color="auto"/>
            </w:tcBorders>
            <w:vAlign w:val="center"/>
          </w:tcPr>
          <w:p w14:paraId="11B7D6D9" w14:textId="77777777" w:rsidR="005060D7" w:rsidRPr="007D675F" w:rsidRDefault="005060D7" w:rsidP="00CE7F2B">
            <w:pPr>
              <w:pStyle w:val="tv2131"/>
              <w:ind w:firstLine="0"/>
              <w:jc w:val="center"/>
              <w:rPr>
                <w:color w:val="auto"/>
                <w:sz w:val="18"/>
                <w:szCs w:val="18"/>
              </w:rPr>
            </w:pPr>
            <w:r w:rsidRPr="007D675F">
              <w:rPr>
                <w:color w:val="auto"/>
                <w:sz w:val="18"/>
                <w:szCs w:val="18"/>
              </w:rPr>
              <w:t>0</w:t>
            </w:r>
          </w:p>
        </w:tc>
        <w:tc>
          <w:tcPr>
            <w:tcW w:w="461" w:type="dxa"/>
            <w:tcBorders>
              <w:top w:val="single" w:sz="4" w:space="0" w:color="auto"/>
              <w:left w:val="nil"/>
              <w:bottom w:val="single" w:sz="8" w:space="0" w:color="auto"/>
              <w:right w:val="single" w:sz="4" w:space="0" w:color="auto"/>
            </w:tcBorders>
            <w:vAlign w:val="center"/>
          </w:tcPr>
          <w:p w14:paraId="54BA0525" w14:textId="77777777" w:rsidR="005060D7" w:rsidRPr="007D675F" w:rsidRDefault="005060D7" w:rsidP="00CE7F2B">
            <w:pPr>
              <w:pStyle w:val="tv2131"/>
              <w:ind w:firstLine="0"/>
              <w:jc w:val="center"/>
              <w:rPr>
                <w:color w:val="auto"/>
                <w:sz w:val="18"/>
                <w:szCs w:val="18"/>
              </w:rPr>
            </w:pPr>
            <w:r w:rsidRPr="007D675F">
              <w:rPr>
                <w:color w:val="auto"/>
                <w:sz w:val="18"/>
                <w:szCs w:val="18"/>
              </w:rPr>
              <w:t>35</w:t>
            </w:r>
          </w:p>
        </w:tc>
        <w:tc>
          <w:tcPr>
            <w:tcW w:w="1041" w:type="dxa"/>
            <w:tcBorders>
              <w:top w:val="single" w:sz="4" w:space="0" w:color="auto"/>
              <w:left w:val="nil"/>
              <w:bottom w:val="single" w:sz="8" w:space="0" w:color="auto"/>
              <w:right w:val="single" w:sz="4" w:space="0" w:color="auto"/>
            </w:tcBorders>
            <w:vAlign w:val="center"/>
          </w:tcPr>
          <w:p w14:paraId="7F642CC3" w14:textId="77777777" w:rsidR="005060D7" w:rsidRPr="007D675F" w:rsidRDefault="005060D7" w:rsidP="00CE7F2B">
            <w:pPr>
              <w:pStyle w:val="tv2131"/>
              <w:ind w:firstLine="0"/>
              <w:jc w:val="center"/>
              <w:rPr>
                <w:color w:val="auto"/>
                <w:sz w:val="18"/>
                <w:szCs w:val="18"/>
              </w:rPr>
            </w:pPr>
            <w:r w:rsidRPr="007D675F">
              <w:rPr>
                <w:color w:val="auto"/>
                <w:sz w:val="18"/>
                <w:szCs w:val="18"/>
              </w:rPr>
              <w:t>27</w:t>
            </w:r>
          </w:p>
        </w:tc>
        <w:tc>
          <w:tcPr>
            <w:tcW w:w="456" w:type="dxa"/>
            <w:tcBorders>
              <w:top w:val="single" w:sz="4" w:space="0" w:color="auto"/>
              <w:left w:val="nil"/>
              <w:bottom w:val="single" w:sz="8" w:space="0" w:color="auto"/>
              <w:right w:val="single" w:sz="4" w:space="0" w:color="auto"/>
            </w:tcBorders>
            <w:vAlign w:val="center"/>
          </w:tcPr>
          <w:p w14:paraId="41162A41" w14:textId="77777777" w:rsidR="005060D7" w:rsidRPr="007D675F" w:rsidRDefault="005060D7" w:rsidP="00CE7F2B">
            <w:pPr>
              <w:pStyle w:val="tv2131"/>
              <w:ind w:firstLine="0"/>
              <w:jc w:val="center"/>
              <w:rPr>
                <w:color w:val="auto"/>
                <w:sz w:val="18"/>
                <w:szCs w:val="18"/>
              </w:rPr>
            </w:pPr>
            <w:r w:rsidRPr="007D675F">
              <w:rPr>
                <w:color w:val="auto"/>
                <w:sz w:val="18"/>
                <w:szCs w:val="18"/>
              </w:rPr>
              <w:t>76</w:t>
            </w:r>
          </w:p>
        </w:tc>
        <w:tc>
          <w:tcPr>
            <w:tcW w:w="1016" w:type="dxa"/>
            <w:tcBorders>
              <w:top w:val="single" w:sz="4" w:space="0" w:color="auto"/>
              <w:left w:val="nil"/>
              <w:bottom w:val="single" w:sz="8" w:space="0" w:color="auto"/>
              <w:right w:val="single" w:sz="4" w:space="0" w:color="auto"/>
            </w:tcBorders>
            <w:vAlign w:val="center"/>
          </w:tcPr>
          <w:p w14:paraId="0A5FCB5F" w14:textId="77777777" w:rsidR="005060D7" w:rsidRPr="007D675F" w:rsidRDefault="005060D7" w:rsidP="00CE7F2B">
            <w:pPr>
              <w:pStyle w:val="tv2131"/>
              <w:ind w:firstLine="0"/>
              <w:jc w:val="center"/>
              <w:rPr>
                <w:color w:val="auto"/>
                <w:sz w:val="18"/>
                <w:szCs w:val="18"/>
              </w:rPr>
            </w:pPr>
            <w:r w:rsidRPr="007D675F">
              <w:rPr>
                <w:color w:val="auto"/>
                <w:sz w:val="18"/>
                <w:szCs w:val="18"/>
              </w:rPr>
              <w:t>59</w:t>
            </w:r>
          </w:p>
        </w:tc>
        <w:tc>
          <w:tcPr>
            <w:tcW w:w="606" w:type="dxa"/>
            <w:tcBorders>
              <w:top w:val="single" w:sz="4" w:space="0" w:color="auto"/>
              <w:left w:val="nil"/>
              <w:bottom w:val="single" w:sz="8" w:space="0" w:color="auto"/>
              <w:right w:val="single" w:sz="4" w:space="0" w:color="auto"/>
            </w:tcBorders>
            <w:vAlign w:val="center"/>
          </w:tcPr>
          <w:p w14:paraId="1809A121" w14:textId="77777777" w:rsidR="005060D7" w:rsidRPr="007D675F" w:rsidRDefault="005060D7" w:rsidP="00CE7F2B">
            <w:pPr>
              <w:pStyle w:val="tv2131"/>
              <w:jc w:val="center"/>
              <w:rPr>
                <w:color w:val="auto"/>
                <w:sz w:val="18"/>
                <w:szCs w:val="18"/>
              </w:rPr>
            </w:pPr>
            <w:r w:rsidRPr="007D675F">
              <w:rPr>
                <w:color w:val="auto"/>
                <w:sz w:val="18"/>
                <w:szCs w:val="18"/>
              </w:rPr>
              <w:t>6</w:t>
            </w:r>
          </w:p>
        </w:tc>
        <w:tc>
          <w:tcPr>
            <w:tcW w:w="1024" w:type="dxa"/>
            <w:tcBorders>
              <w:top w:val="single" w:sz="4" w:space="0" w:color="auto"/>
              <w:left w:val="nil"/>
              <w:bottom w:val="single" w:sz="8" w:space="0" w:color="auto"/>
              <w:right w:val="single" w:sz="4" w:space="0" w:color="auto"/>
            </w:tcBorders>
            <w:vAlign w:val="center"/>
          </w:tcPr>
          <w:p w14:paraId="44772982" w14:textId="77777777" w:rsidR="005060D7" w:rsidRPr="007D675F" w:rsidRDefault="005060D7" w:rsidP="00CE7F2B">
            <w:pPr>
              <w:pStyle w:val="tv2131"/>
              <w:jc w:val="center"/>
              <w:rPr>
                <w:color w:val="auto"/>
                <w:sz w:val="18"/>
                <w:szCs w:val="18"/>
              </w:rPr>
            </w:pPr>
            <w:r w:rsidRPr="007D675F">
              <w:rPr>
                <w:color w:val="auto"/>
                <w:sz w:val="18"/>
                <w:szCs w:val="18"/>
              </w:rPr>
              <w:t>5</w:t>
            </w:r>
          </w:p>
        </w:tc>
        <w:tc>
          <w:tcPr>
            <w:tcW w:w="405" w:type="dxa"/>
            <w:tcBorders>
              <w:top w:val="single" w:sz="4" w:space="0" w:color="auto"/>
              <w:left w:val="nil"/>
              <w:bottom w:val="single" w:sz="8" w:space="0" w:color="auto"/>
              <w:right w:val="single" w:sz="4" w:space="0" w:color="auto"/>
            </w:tcBorders>
            <w:vAlign w:val="center"/>
          </w:tcPr>
          <w:p w14:paraId="2A8034BF" w14:textId="77777777" w:rsidR="005060D7" w:rsidRPr="007D675F" w:rsidRDefault="005060D7" w:rsidP="00CE7F2B">
            <w:pPr>
              <w:pStyle w:val="tv2131"/>
              <w:ind w:firstLine="0"/>
              <w:jc w:val="center"/>
              <w:rPr>
                <w:color w:val="auto"/>
                <w:sz w:val="18"/>
                <w:szCs w:val="18"/>
              </w:rPr>
            </w:pPr>
            <w:r w:rsidRPr="007D675F">
              <w:rPr>
                <w:color w:val="auto"/>
                <w:sz w:val="18"/>
                <w:szCs w:val="18"/>
              </w:rPr>
              <w:t>11</w:t>
            </w:r>
          </w:p>
        </w:tc>
        <w:tc>
          <w:tcPr>
            <w:tcW w:w="994" w:type="dxa"/>
            <w:tcBorders>
              <w:top w:val="single" w:sz="4" w:space="0" w:color="auto"/>
              <w:left w:val="nil"/>
              <w:bottom w:val="single" w:sz="8" w:space="0" w:color="auto"/>
              <w:right w:val="single" w:sz="4" w:space="0" w:color="auto"/>
            </w:tcBorders>
            <w:vAlign w:val="center"/>
          </w:tcPr>
          <w:p w14:paraId="13745908" w14:textId="77777777" w:rsidR="005060D7" w:rsidRPr="007D675F" w:rsidRDefault="005060D7" w:rsidP="00CE7F2B">
            <w:pPr>
              <w:pStyle w:val="tv2131"/>
              <w:ind w:firstLine="0"/>
              <w:jc w:val="center"/>
              <w:rPr>
                <w:color w:val="auto"/>
                <w:sz w:val="18"/>
                <w:szCs w:val="18"/>
              </w:rPr>
            </w:pPr>
            <w:r w:rsidRPr="007D675F">
              <w:rPr>
                <w:color w:val="auto"/>
                <w:sz w:val="18"/>
                <w:szCs w:val="18"/>
              </w:rPr>
              <w:t>9</w:t>
            </w:r>
          </w:p>
        </w:tc>
      </w:tr>
      <w:tr w:rsidR="007D675F" w:rsidRPr="007D675F" w14:paraId="0C78694E" w14:textId="77777777" w:rsidTr="00D21758">
        <w:trPr>
          <w:trHeight w:val="465"/>
          <w:jc w:val="center"/>
        </w:trPr>
        <w:tc>
          <w:tcPr>
            <w:tcW w:w="1543" w:type="dxa"/>
            <w:tcBorders>
              <w:top w:val="nil"/>
              <w:left w:val="single" w:sz="4" w:space="0" w:color="auto"/>
              <w:bottom w:val="single" w:sz="8" w:space="0" w:color="auto"/>
              <w:right w:val="single" w:sz="4" w:space="0" w:color="auto"/>
            </w:tcBorders>
            <w:vAlign w:val="center"/>
          </w:tcPr>
          <w:p w14:paraId="15E4678A" w14:textId="77777777" w:rsidR="005060D7" w:rsidRPr="007D675F" w:rsidRDefault="005060D7" w:rsidP="00CE7F2B">
            <w:pPr>
              <w:pStyle w:val="tv2131"/>
              <w:spacing w:line="240" w:lineRule="auto"/>
              <w:ind w:firstLine="0"/>
              <w:jc w:val="center"/>
              <w:rPr>
                <w:b/>
                <w:color w:val="auto"/>
                <w:sz w:val="18"/>
                <w:szCs w:val="18"/>
              </w:rPr>
            </w:pPr>
            <w:r w:rsidRPr="007D675F">
              <w:rPr>
                <w:b/>
                <w:color w:val="auto"/>
                <w:sz w:val="18"/>
                <w:szCs w:val="18"/>
              </w:rPr>
              <w:t>Bezdarbnieki un darba meklētāji (55+)</w:t>
            </w:r>
          </w:p>
        </w:tc>
        <w:tc>
          <w:tcPr>
            <w:tcW w:w="559" w:type="dxa"/>
            <w:tcBorders>
              <w:top w:val="nil"/>
              <w:left w:val="nil"/>
              <w:bottom w:val="single" w:sz="8" w:space="0" w:color="auto"/>
              <w:right w:val="single" w:sz="4" w:space="0" w:color="auto"/>
            </w:tcBorders>
            <w:vAlign w:val="center"/>
          </w:tcPr>
          <w:p w14:paraId="7664D273" w14:textId="77777777" w:rsidR="005060D7" w:rsidRPr="007D675F" w:rsidRDefault="005060D7" w:rsidP="00CE7F2B">
            <w:pPr>
              <w:pStyle w:val="tv2131"/>
              <w:ind w:firstLine="301"/>
              <w:jc w:val="center"/>
              <w:rPr>
                <w:color w:val="auto"/>
                <w:sz w:val="18"/>
                <w:szCs w:val="18"/>
              </w:rPr>
            </w:pPr>
            <w:r w:rsidRPr="007D675F">
              <w:rPr>
                <w:color w:val="auto"/>
                <w:sz w:val="18"/>
                <w:szCs w:val="18"/>
              </w:rPr>
              <w:t>0</w:t>
            </w:r>
          </w:p>
        </w:tc>
        <w:tc>
          <w:tcPr>
            <w:tcW w:w="932" w:type="dxa"/>
            <w:tcBorders>
              <w:top w:val="single" w:sz="4" w:space="0" w:color="auto"/>
              <w:left w:val="nil"/>
              <w:bottom w:val="single" w:sz="8" w:space="0" w:color="auto"/>
              <w:right w:val="single" w:sz="4" w:space="0" w:color="auto"/>
            </w:tcBorders>
            <w:vAlign w:val="center"/>
          </w:tcPr>
          <w:p w14:paraId="14EA8442" w14:textId="77777777" w:rsidR="005060D7" w:rsidRPr="007D675F" w:rsidRDefault="005060D7" w:rsidP="00CE7F2B">
            <w:pPr>
              <w:pStyle w:val="tv2131"/>
              <w:ind w:firstLine="0"/>
              <w:jc w:val="center"/>
              <w:rPr>
                <w:color w:val="auto"/>
                <w:sz w:val="18"/>
                <w:szCs w:val="18"/>
              </w:rPr>
            </w:pPr>
            <w:r w:rsidRPr="007D675F">
              <w:rPr>
                <w:color w:val="auto"/>
                <w:sz w:val="18"/>
                <w:szCs w:val="18"/>
              </w:rPr>
              <w:t>0</w:t>
            </w:r>
          </w:p>
        </w:tc>
        <w:tc>
          <w:tcPr>
            <w:tcW w:w="461" w:type="dxa"/>
            <w:tcBorders>
              <w:top w:val="nil"/>
              <w:left w:val="nil"/>
              <w:bottom w:val="single" w:sz="8" w:space="0" w:color="auto"/>
              <w:right w:val="single" w:sz="4" w:space="0" w:color="auto"/>
            </w:tcBorders>
            <w:vAlign w:val="center"/>
          </w:tcPr>
          <w:p w14:paraId="03E0A2D5" w14:textId="77777777" w:rsidR="005060D7" w:rsidRPr="007D675F" w:rsidRDefault="005060D7" w:rsidP="00CE7F2B">
            <w:pPr>
              <w:pStyle w:val="tv2131"/>
              <w:ind w:firstLine="0"/>
              <w:jc w:val="center"/>
              <w:rPr>
                <w:color w:val="auto"/>
                <w:sz w:val="18"/>
                <w:szCs w:val="18"/>
              </w:rPr>
            </w:pPr>
            <w:r w:rsidRPr="007D675F">
              <w:rPr>
                <w:color w:val="auto"/>
                <w:sz w:val="18"/>
                <w:szCs w:val="18"/>
              </w:rPr>
              <w:t>0</w:t>
            </w:r>
          </w:p>
        </w:tc>
        <w:tc>
          <w:tcPr>
            <w:tcW w:w="1041" w:type="dxa"/>
            <w:tcBorders>
              <w:top w:val="single" w:sz="4" w:space="0" w:color="auto"/>
              <w:left w:val="nil"/>
              <w:bottom w:val="single" w:sz="8" w:space="0" w:color="auto"/>
              <w:right w:val="single" w:sz="4" w:space="0" w:color="auto"/>
            </w:tcBorders>
            <w:vAlign w:val="center"/>
          </w:tcPr>
          <w:p w14:paraId="5BD38A76" w14:textId="77777777" w:rsidR="005060D7" w:rsidRPr="007D675F" w:rsidRDefault="005060D7" w:rsidP="00CE7F2B">
            <w:pPr>
              <w:pStyle w:val="tv2131"/>
              <w:ind w:firstLine="0"/>
              <w:jc w:val="center"/>
              <w:rPr>
                <w:color w:val="auto"/>
                <w:sz w:val="18"/>
                <w:szCs w:val="18"/>
              </w:rPr>
            </w:pPr>
            <w:r w:rsidRPr="007D675F">
              <w:rPr>
                <w:color w:val="auto"/>
                <w:sz w:val="18"/>
                <w:szCs w:val="18"/>
              </w:rPr>
              <w:t>0</w:t>
            </w:r>
          </w:p>
        </w:tc>
        <w:tc>
          <w:tcPr>
            <w:tcW w:w="456" w:type="dxa"/>
            <w:tcBorders>
              <w:top w:val="nil"/>
              <w:left w:val="nil"/>
              <w:bottom w:val="single" w:sz="8" w:space="0" w:color="auto"/>
              <w:right w:val="single" w:sz="4" w:space="0" w:color="auto"/>
            </w:tcBorders>
            <w:vAlign w:val="center"/>
          </w:tcPr>
          <w:p w14:paraId="5D73BCD6" w14:textId="77777777" w:rsidR="005060D7" w:rsidRPr="007D675F" w:rsidRDefault="005060D7" w:rsidP="00CE7F2B">
            <w:pPr>
              <w:pStyle w:val="tv2131"/>
              <w:ind w:firstLine="0"/>
              <w:jc w:val="center"/>
              <w:rPr>
                <w:color w:val="auto"/>
                <w:sz w:val="18"/>
                <w:szCs w:val="18"/>
              </w:rPr>
            </w:pPr>
            <w:r w:rsidRPr="007D675F">
              <w:rPr>
                <w:color w:val="auto"/>
                <w:sz w:val="18"/>
                <w:szCs w:val="18"/>
              </w:rPr>
              <w:t>7</w:t>
            </w:r>
          </w:p>
        </w:tc>
        <w:tc>
          <w:tcPr>
            <w:tcW w:w="1016" w:type="dxa"/>
            <w:tcBorders>
              <w:top w:val="single" w:sz="4" w:space="0" w:color="auto"/>
              <w:left w:val="nil"/>
              <w:bottom w:val="single" w:sz="8" w:space="0" w:color="auto"/>
              <w:right w:val="single" w:sz="4" w:space="0" w:color="auto"/>
            </w:tcBorders>
            <w:vAlign w:val="center"/>
          </w:tcPr>
          <w:p w14:paraId="3C205421" w14:textId="77777777" w:rsidR="005060D7" w:rsidRPr="007D675F" w:rsidRDefault="005060D7" w:rsidP="00CE7F2B">
            <w:pPr>
              <w:pStyle w:val="tv2131"/>
              <w:ind w:firstLine="0"/>
              <w:jc w:val="center"/>
              <w:rPr>
                <w:color w:val="auto"/>
                <w:sz w:val="18"/>
                <w:szCs w:val="18"/>
              </w:rPr>
            </w:pPr>
            <w:r w:rsidRPr="007D675F">
              <w:rPr>
                <w:color w:val="auto"/>
                <w:sz w:val="18"/>
                <w:szCs w:val="18"/>
              </w:rPr>
              <w:t>78</w:t>
            </w:r>
          </w:p>
        </w:tc>
        <w:tc>
          <w:tcPr>
            <w:tcW w:w="606" w:type="dxa"/>
            <w:tcBorders>
              <w:top w:val="nil"/>
              <w:left w:val="nil"/>
              <w:bottom w:val="single" w:sz="8" w:space="0" w:color="auto"/>
              <w:right w:val="single" w:sz="4" w:space="0" w:color="auto"/>
            </w:tcBorders>
            <w:vAlign w:val="center"/>
          </w:tcPr>
          <w:p w14:paraId="3F484F87" w14:textId="77777777" w:rsidR="005060D7" w:rsidRPr="007D675F" w:rsidRDefault="005060D7" w:rsidP="00CE7F2B">
            <w:pPr>
              <w:pStyle w:val="tv2131"/>
              <w:jc w:val="center"/>
              <w:rPr>
                <w:color w:val="auto"/>
                <w:sz w:val="18"/>
                <w:szCs w:val="18"/>
              </w:rPr>
            </w:pPr>
            <w:r w:rsidRPr="007D675F">
              <w:rPr>
                <w:color w:val="auto"/>
                <w:sz w:val="18"/>
                <w:szCs w:val="18"/>
              </w:rPr>
              <w:t>0</w:t>
            </w:r>
          </w:p>
        </w:tc>
        <w:tc>
          <w:tcPr>
            <w:tcW w:w="1024" w:type="dxa"/>
            <w:tcBorders>
              <w:top w:val="single" w:sz="4" w:space="0" w:color="auto"/>
              <w:left w:val="nil"/>
              <w:bottom w:val="single" w:sz="8" w:space="0" w:color="auto"/>
              <w:right w:val="single" w:sz="4" w:space="0" w:color="auto"/>
            </w:tcBorders>
            <w:vAlign w:val="center"/>
          </w:tcPr>
          <w:p w14:paraId="541FCA34" w14:textId="77777777" w:rsidR="005060D7" w:rsidRPr="007D675F" w:rsidRDefault="005060D7" w:rsidP="00CE7F2B">
            <w:pPr>
              <w:pStyle w:val="tv2131"/>
              <w:jc w:val="center"/>
              <w:rPr>
                <w:color w:val="auto"/>
                <w:sz w:val="18"/>
                <w:szCs w:val="18"/>
              </w:rPr>
            </w:pPr>
            <w:r w:rsidRPr="007D675F">
              <w:rPr>
                <w:color w:val="auto"/>
                <w:sz w:val="18"/>
                <w:szCs w:val="18"/>
              </w:rPr>
              <w:t>0</w:t>
            </w:r>
          </w:p>
        </w:tc>
        <w:tc>
          <w:tcPr>
            <w:tcW w:w="405" w:type="dxa"/>
            <w:tcBorders>
              <w:top w:val="nil"/>
              <w:left w:val="nil"/>
              <w:bottom w:val="single" w:sz="8" w:space="0" w:color="auto"/>
              <w:right w:val="single" w:sz="4" w:space="0" w:color="auto"/>
            </w:tcBorders>
            <w:vAlign w:val="center"/>
          </w:tcPr>
          <w:p w14:paraId="629D16C3" w14:textId="77777777" w:rsidR="005060D7" w:rsidRPr="007D675F" w:rsidRDefault="005060D7" w:rsidP="00CE7F2B">
            <w:pPr>
              <w:pStyle w:val="tv2131"/>
              <w:ind w:firstLine="0"/>
              <w:jc w:val="center"/>
              <w:rPr>
                <w:color w:val="auto"/>
                <w:sz w:val="18"/>
                <w:szCs w:val="18"/>
              </w:rPr>
            </w:pPr>
            <w:r w:rsidRPr="007D675F">
              <w:rPr>
                <w:color w:val="auto"/>
                <w:sz w:val="18"/>
                <w:szCs w:val="18"/>
              </w:rPr>
              <w:t>2</w:t>
            </w:r>
          </w:p>
        </w:tc>
        <w:tc>
          <w:tcPr>
            <w:tcW w:w="994" w:type="dxa"/>
            <w:tcBorders>
              <w:top w:val="single" w:sz="4" w:space="0" w:color="auto"/>
              <w:left w:val="nil"/>
              <w:bottom w:val="single" w:sz="8" w:space="0" w:color="auto"/>
              <w:right w:val="single" w:sz="4" w:space="0" w:color="auto"/>
            </w:tcBorders>
            <w:vAlign w:val="center"/>
          </w:tcPr>
          <w:p w14:paraId="3F7F29EE" w14:textId="77777777" w:rsidR="005060D7" w:rsidRPr="007D675F" w:rsidRDefault="005060D7" w:rsidP="00CE7F2B">
            <w:pPr>
              <w:pStyle w:val="tv2131"/>
              <w:ind w:firstLine="0"/>
              <w:jc w:val="center"/>
              <w:rPr>
                <w:color w:val="auto"/>
                <w:sz w:val="18"/>
                <w:szCs w:val="18"/>
              </w:rPr>
            </w:pPr>
            <w:r w:rsidRPr="007D675F">
              <w:rPr>
                <w:color w:val="auto"/>
                <w:sz w:val="18"/>
                <w:szCs w:val="18"/>
              </w:rPr>
              <w:t>22</w:t>
            </w:r>
          </w:p>
        </w:tc>
      </w:tr>
      <w:tr w:rsidR="005060D7" w:rsidRPr="007D675F" w14:paraId="530E5E3E" w14:textId="77777777" w:rsidTr="00BD2744">
        <w:trPr>
          <w:trHeight w:val="450"/>
          <w:jc w:val="center"/>
        </w:trPr>
        <w:tc>
          <w:tcPr>
            <w:tcW w:w="1543" w:type="dxa"/>
            <w:tcBorders>
              <w:top w:val="nil"/>
              <w:left w:val="single" w:sz="4" w:space="0" w:color="auto"/>
              <w:bottom w:val="single" w:sz="4" w:space="0" w:color="auto"/>
              <w:right w:val="single" w:sz="4" w:space="0" w:color="auto"/>
            </w:tcBorders>
            <w:shd w:val="clear" w:color="auto" w:fill="EAF1DD" w:themeFill="accent3" w:themeFillTint="33"/>
            <w:noWrap/>
            <w:vAlign w:val="center"/>
          </w:tcPr>
          <w:p w14:paraId="026C80A6" w14:textId="77777777" w:rsidR="005060D7" w:rsidRPr="007D675F" w:rsidRDefault="005060D7" w:rsidP="00CE7F2B">
            <w:pPr>
              <w:pStyle w:val="tv2131"/>
              <w:ind w:firstLine="0"/>
              <w:jc w:val="center"/>
              <w:rPr>
                <w:b/>
                <w:bCs/>
                <w:color w:val="auto"/>
                <w:sz w:val="18"/>
                <w:szCs w:val="18"/>
              </w:rPr>
            </w:pPr>
            <w:r w:rsidRPr="007D675F">
              <w:rPr>
                <w:b/>
                <w:bCs/>
                <w:color w:val="auto"/>
                <w:sz w:val="18"/>
                <w:szCs w:val="18"/>
              </w:rPr>
              <w:t>KOPĀ</w:t>
            </w:r>
          </w:p>
        </w:tc>
        <w:tc>
          <w:tcPr>
            <w:tcW w:w="559" w:type="dxa"/>
            <w:tcBorders>
              <w:top w:val="nil"/>
              <w:left w:val="nil"/>
              <w:bottom w:val="single" w:sz="4" w:space="0" w:color="auto"/>
              <w:right w:val="single" w:sz="4" w:space="0" w:color="auto"/>
            </w:tcBorders>
            <w:shd w:val="clear" w:color="auto" w:fill="EAF1DD" w:themeFill="accent3" w:themeFillTint="33"/>
            <w:vAlign w:val="center"/>
          </w:tcPr>
          <w:p w14:paraId="17901355" w14:textId="77777777" w:rsidR="005060D7" w:rsidRPr="007D675F" w:rsidRDefault="005060D7" w:rsidP="00CE7F2B">
            <w:pPr>
              <w:pStyle w:val="tv2131"/>
              <w:ind w:firstLine="301"/>
              <w:jc w:val="center"/>
              <w:rPr>
                <w:color w:val="auto"/>
                <w:sz w:val="18"/>
                <w:szCs w:val="18"/>
              </w:rPr>
            </w:pPr>
            <w:r w:rsidRPr="007D675F">
              <w:rPr>
                <w:color w:val="auto"/>
                <w:sz w:val="18"/>
                <w:szCs w:val="18"/>
              </w:rPr>
              <w:t>0</w:t>
            </w:r>
          </w:p>
        </w:tc>
        <w:tc>
          <w:tcPr>
            <w:tcW w:w="932" w:type="dxa"/>
            <w:tcBorders>
              <w:top w:val="nil"/>
              <w:left w:val="nil"/>
              <w:bottom w:val="single" w:sz="4" w:space="0" w:color="auto"/>
              <w:right w:val="single" w:sz="4" w:space="0" w:color="auto"/>
            </w:tcBorders>
            <w:shd w:val="clear" w:color="auto" w:fill="EAF1DD" w:themeFill="accent3" w:themeFillTint="33"/>
            <w:vAlign w:val="center"/>
          </w:tcPr>
          <w:p w14:paraId="0D42721C" w14:textId="77777777" w:rsidR="005060D7" w:rsidRPr="007D675F" w:rsidRDefault="005060D7" w:rsidP="00E7030D">
            <w:pPr>
              <w:pStyle w:val="tv2131"/>
              <w:rPr>
                <w:color w:val="auto"/>
                <w:sz w:val="18"/>
                <w:szCs w:val="18"/>
              </w:rPr>
            </w:pPr>
            <w:r w:rsidRPr="007D675F">
              <w:rPr>
                <w:color w:val="auto"/>
                <w:sz w:val="18"/>
                <w:szCs w:val="18"/>
              </w:rPr>
              <w:t>0</w:t>
            </w:r>
          </w:p>
        </w:tc>
        <w:tc>
          <w:tcPr>
            <w:tcW w:w="461" w:type="dxa"/>
            <w:tcBorders>
              <w:top w:val="nil"/>
              <w:left w:val="nil"/>
              <w:bottom w:val="single" w:sz="4" w:space="0" w:color="auto"/>
              <w:right w:val="single" w:sz="4" w:space="0" w:color="auto"/>
            </w:tcBorders>
            <w:shd w:val="clear" w:color="auto" w:fill="EAF1DD" w:themeFill="accent3" w:themeFillTint="33"/>
            <w:vAlign w:val="center"/>
          </w:tcPr>
          <w:p w14:paraId="49205890" w14:textId="77777777" w:rsidR="005060D7" w:rsidRPr="007D675F" w:rsidRDefault="005060D7" w:rsidP="00CE7F2B">
            <w:pPr>
              <w:pStyle w:val="tv2131"/>
              <w:ind w:firstLine="0"/>
              <w:jc w:val="center"/>
              <w:rPr>
                <w:color w:val="auto"/>
                <w:sz w:val="18"/>
                <w:szCs w:val="18"/>
              </w:rPr>
            </w:pPr>
            <w:r w:rsidRPr="007D675F">
              <w:rPr>
                <w:color w:val="auto"/>
                <w:sz w:val="18"/>
                <w:szCs w:val="18"/>
              </w:rPr>
              <w:t>48</w:t>
            </w:r>
          </w:p>
        </w:tc>
        <w:tc>
          <w:tcPr>
            <w:tcW w:w="1041" w:type="dxa"/>
            <w:tcBorders>
              <w:top w:val="nil"/>
              <w:left w:val="nil"/>
              <w:bottom w:val="single" w:sz="4" w:space="0" w:color="auto"/>
              <w:right w:val="single" w:sz="4" w:space="0" w:color="auto"/>
            </w:tcBorders>
            <w:shd w:val="clear" w:color="auto" w:fill="EAF1DD" w:themeFill="accent3" w:themeFillTint="33"/>
            <w:vAlign w:val="center"/>
          </w:tcPr>
          <w:p w14:paraId="78F27595" w14:textId="77777777" w:rsidR="005060D7" w:rsidRPr="007D675F" w:rsidRDefault="005060D7" w:rsidP="00CE7F2B">
            <w:pPr>
              <w:pStyle w:val="tv2131"/>
              <w:ind w:firstLine="0"/>
              <w:jc w:val="center"/>
              <w:rPr>
                <w:color w:val="auto"/>
                <w:sz w:val="18"/>
                <w:szCs w:val="18"/>
              </w:rPr>
            </w:pPr>
            <w:r w:rsidRPr="007D675F">
              <w:rPr>
                <w:color w:val="auto"/>
                <w:sz w:val="18"/>
                <w:szCs w:val="18"/>
              </w:rPr>
              <w:t>29</w:t>
            </w:r>
          </w:p>
        </w:tc>
        <w:tc>
          <w:tcPr>
            <w:tcW w:w="456" w:type="dxa"/>
            <w:tcBorders>
              <w:top w:val="nil"/>
              <w:left w:val="nil"/>
              <w:bottom w:val="single" w:sz="4" w:space="0" w:color="auto"/>
              <w:right w:val="single" w:sz="4" w:space="0" w:color="auto"/>
            </w:tcBorders>
            <w:shd w:val="clear" w:color="auto" w:fill="EAF1DD" w:themeFill="accent3" w:themeFillTint="33"/>
            <w:vAlign w:val="center"/>
          </w:tcPr>
          <w:p w14:paraId="0895DD34" w14:textId="77777777" w:rsidR="005060D7" w:rsidRPr="007D675F" w:rsidRDefault="005060D7" w:rsidP="00CE7F2B">
            <w:pPr>
              <w:pStyle w:val="tv2131"/>
              <w:ind w:firstLine="0"/>
              <w:jc w:val="center"/>
              <w:rPr>
                <w:color w:val="auto"/>
                <w:sz w:val="18"/>
                <w:szCs w:val="18"/>
              </w:rPr>
            </w:pPr>
            <w:r w:rsidRPr="007D675F">
              <w:rPr>
                <w:color w:val="auto"/>
                <w:sz w:val="18"/>
                <w:szCs w:val="18"/>
              </w:rPr>
              <w:t>97</w:t>
            </w:r>
          </w:p>
        </w:tc>
        <w:tc>
          <w:tcPr>
            <w:tcW w:w="1016" w:type="dxa"/>
            <w:tcBorders>
              <w:top w:val="nil"/>
              <w:left w:val="nil"/>
              <w:bottom w:val="single" w:sz="4" w:space="0" w:color="auto"/>
              <w:right w:val="single" w:sz="4" w:space="0" w:color="auto"/>
            </w:tcBorders>
            <w:shd w:val="clear" w:color="auto" w:fill="EAF1DD" w:themeFill="accent3" w:themeFillTint="33"/>
            <w:vAlign w:val="center"/>
          </w:tcPr>
          <w:p w14:paraId="7853C1F8" w14:textId="77777777" w:rsidR="005060D7" w:rsidRPr="007D675F" w:rsidRDefault="005060D7" w:rsidP="00CE7F2B">
            <w:pPr>
              <w:pStyle w:val="tv2131"/>
              <w:ind w:firstLine="0"/>
              <w:jc w:val="center"/>
              <w:rPr>
                <w:color w:val="auto"/>
                <w:sz w:val="18"/>
                <w:szCs w:val="18"/>
              </w:rPr>
            </w:pPr>
            <w:r w:rsidRPr="007D675F">
              <w:rPr>
                <w:color w:val="auto"/>
                <w:sz w:val="18"/>
                <w:szCs w:val="18"/>
              </w:rPr>
              <w:t>59</w:t>
            </w:r>
          </w:p>
        </w:tc>
        <w:tc>
          <w:tcPr>
            <w:tcW w:w="606" w:type="dxa"/>
            <w:tcBorders>
              <w:top w:val="nil"/>
              <w:left w:val="nil"/>
              <w:bottom w:val="single" w:sz="4" w:space="0" w:color="auto"/>
              <w:right w:val="single" w:sz="4" w:space="0" w:color="auto"/>
            </w:tcBorders>
            <w:shd w:val="clear" w:color="auto" w:fill="EAF1DD" w:themeFill="accent3" w:themeFillTint="33"/>
            <w:vAlign w:val="center"/>
          </w:tcPr>
          <w:p w14:paraId="40453C22" w14:textId="77777777" w:rsidR="005060D7" w:rsidRPr="007D675F" w:rsidRDefault="005060D7" w:rsidP="00CE7F2B">
            <w:pPr>
              <w:pStyle w:val="tv2131"/>
              <w:jc w:val="center"/>
              <w:rPr>
                <w:color w:val="auto"/>
                <w:sz w:val="18"/>
                <w:szCs w:val="18"/>
              </w:rPr>
            </w:pPr>
            <w:r w:rsidRPr="007D675F">
              <w:rPr>
                <w:color w:val="auto"/>
                <w:sz w:val="18"/>
                <w:szCs w:val="18"/>
              </w:rPr>
              <w:t>6</w:t>
            </w:r>
          </w:p>
        </w:tc>
        <w:tc>
          <w:tcPr>
            <w:tcW w:w="1024" w:type="dxa"/>
            <w:tcBorders>
              <w:top w:val="nil"/>
              <w:left w:val="nil"/>
              <w:bottom w:val="single" w:sz="4" w:space="0" w:color="auto"/>
              <w:right w:val="single" w:sz="4" w:space="0" w:color="auto"/>
            </w:tcBorders>
            <w:shd w:val="clear" w:color="auto" w:fill="EAF1DD" w:themeFill="accent3" w:themeFillTint="33"/>
            <w:vAlign w:val="center"/>
          </w:tcPr>
          <w:p w14:paraId="3B20B3B4" w14:textId="77777777" w:rsidR="005060D7" w:rsidRPr="007D675F" w:rsidRDefault="005060D7" w:rsidP="00CE7F2B">
            <w:pPr>
              <w:pStyle w:val="tv2131"/>
              <w:jc w:val="center"/>
              <w:rPr>
                <w:color w:val="auto"/>
                <w:sz w:val="18"/>
                <w:szCs w:val="18"/>
              </w:rPr>
            </w:pPr>
            <w:r w:rsidRPr="007D675F">
              <w:rPr>
                <w:color w:val="auto"/>
                <w:sz w:val="18"/>
                <w:szCs w:val="18"/>
              </w:rPr>
              <w:t>4</w:t>
            </w:r>
          </w:p>
        </w:tc>
        <w:tc>
          <w:tcPr>
            <w:tcW w:w="405" w:type="dxa"/>
            <w:tcBorders>
              <w:top w:val="nil"/>
              <w:left w:val="nil"/>
              <w:bottom w:val="single" w:sz="4" w:space="0" w:color="auto"/>
              <w:right w:val="single" w:sz="4" w:space="0" w:color="auto"/>
            </w:tcBorders>
            <w:shd w:val="clear" w:color="auto" w:fill="EAF1DD" w:themeFill="accent3" w:themeFillTint="33"/>
            <w:vAlign w:val="center"/>
          </w:tcPr>
          <w:p w14:paraId="709AC193" w14:textId="77777777" w:rsidR="005060D7" w:rsidRPr="007D675F" w:rsidRDefault="005060D7" w:rsidP="00CE7F2B">
            <w:pPr>
              <w:pStyle w:val="tv2131"/>
              <w:ind w:firstLine="0"/>
              <w:jc w:val="center"/>
              <w:rPr>
                <w:color w:val="auto"/>
                <w:sz w:val="18"/>
                <w:szCs w:val="18"/>
              </w:rPr>
            </w:pPr>
            <w:r w:rsidRPr="007D675F">
              <w:rPr>
                <w:color w:val="auto"/>
                <w:sz w:val="18"/>
                <w:szCs w:val="18"/>
              </w:rPr>
              <w:t>13</w:t>
            </w:r>
          </w:p>
        </w:tc>
        <w:tc>
          <w:tcPr>
            <w:tcW w:w="994" w:type="dxa"/>
            <w:tcBorders>
              <w:top w:val="nil"/>
              <w:left w:val="nil"/>
              <w:bottom w:val="single" w:sz="4" w:space="0" w:color="auto"/>
              <w:right w:val="single" w:sz="4" w:space="0" w:color="auto"/>
            </w:tcBorders>
            <w:shd w:val="clear" w:color="auto" w:fill="EAF1DD" w:themeFill="accent3" w:themeFillTint="33"/>
            <w:vAlign w:val="center"/>
          </w:tcPr>
          <w:p w14:paraId="7C0125A6" w14:textId="77777777" w:rsidR="005060D7" w:rsidRPr="007D675F" w:rsidRDefault="005060D7" w:rsidP="00CE7F2B">
            <w:pPr>
              <w:pStyle w:val="tv2131"/>
              <w:ind w:firstLine="0"/>
              <w:jc w:val="center"/>
              <w:rPr>
                <w:color w:val="auto"/>
                <w:sz w:val="18"/>
                <w:szCs w:val="18"/>
              </w:rPr>
            </w:pPr>
            <w:r w:rsidRPr="007D675F">
              <w:rPr>
                <w:color w:val="auto"/>
                <w:sz w:val="18"/>
                <w:szCs w:val="18"/>
              </w:rPr>
              <w:t>8</w:t>
            </w:r>
          </w:p>
        </w:tc>
      </w:tr>
    </w:tbl>
    <w:p w14:paraId="4BC3FDBC" w14:textId="758EFFF4" w:rsidR="00C4245D" w:rsidRPr="007D675F" w:rsidRDefault="00C4245D" w:rsidP="00CE7F2B">
      <w:pPr>
        <w:tabs>
          <w:tab w:val="left" w:pos="709"/>
        </w:tabs>
        <w:spacing w:after="0" w:line="240" w:lineRule="auto"/>
        <w:ind w:left="720"/>
        <w:jc w:val="both"/>
        <w:rPr>
          <w:rFonts w:ascii="Times New Roman" w:hAnsi="Times New Roman"/>
          <w:sz w:val="28"/>
          <w:szCs w:val="28"/>
          <w:lang w:eastAsia="ar-SA"/>
        </w:rPr>
      </w:pPr>
    </w:p>
    <w:p w14:paraId="38E9FFEC" w14:textId="35D7353B" w:rsidR="00C4245D" w:rsidRPr="007D675F" w:rsidRDefault="005060D7" w:rsidP="00CE7F2B">
      <w:pPr>
        <w:spacing w:after="0" w:line="240" w:lineRule="auto"/>
        <w:ind w:left="142" w:firstLine="578"/>
        <w:jc w:val="both"/>
        <w:rPr>
          <w:rFonts w:ascii="Times New Roman" w:hAnsi="Times New Roman"/>
          <w:sz w:val="28"/>
          <w:szCs w:val="28"/>
        </w:rPr>
      </w:pPr>
      <w:r w:rsidRPr="007D675F">
        <w:rPr>
          <w:rFonts w:ascii="Times New Roman" w:hAnsi="Times New Roman"/>
          <w:sz w:val="28"/>
          <w:szCs w:val="28"/>
        </w:rPr>
        <w:t xml:space="preserve">Lai nodrošinātu sabiedrību ar aktuālu informāciju par </w:t>
      </w:r>
      <w:r w:rsidR="00FE502E" w:rsidRPr="007D675F">
        <w:rPr>
          <w:rFonts w:ascii="Times New Roman" w:hAnsi="Times New Roman"/>
          <w:sz w:val="28"/>
          <w:szCs w:val="28"/>
        </w:rPr>
        <w:t>i</w:t>
      </w:r>
      <w:r w:rsidRPr="007D675F">
        <w:rPr>
          <w:rFonts w:ascii="Times New Roman" w:hAnsi="Times New Roman"/>
          <w:sz w:val="28"/>
          <w:szCs w:val="28"/>
        </w:rPr>
        <w:t xml:space="preserve">zmēģinājumprojekta īstenošanas uzsākšanu, 2014. gada 21. februārī Aģentūras mājaslapā tika publicēta ar </w:t>
      </w:r>
      <w:proofErr w:type="spellStart"/>
      <w:r w:rsidR="00FE502E" w:rsidRPr="007D675F">
        <w:rPr>
          <w:rFonts w:ascii="Times New Roman" w:hAnsi="Times New Roman"/>
          <w:sz w:val="28"/>
          <w:szCs w:val="28"/>
        </w:rPr>
        <w:t>i</w:t>
      </w:r>
      <w:r w:rsidRPr="007D675F">
        <w:rPr>
          <w:rFonts w:ascii="Times New Roman" w:hAnsi="Times New Roman"/>
          <w:sz w:val="28"/>
          <w:szCs w:val="28"/>
        </w:rPr>
        <w:t>zmēģinājumprojektu</w:t>
      </w:r>
      <w:proofErr w:type="spellEnd"/>
      <w:r w:rsidRPr="007D675F">
        <w:rPr>
          <w:rFonts w:ascii="Times New Roman" w:hAnsi="Times New Roman"/>
          <w:sz w:val="28"/>
          <w:szCs w:val="28"/>
        </w:rPr>
        <w:t xml:space="preserve"> saistīta informācija. Bezdarbnieki tika informēti, ka, atšķirībā no bezdarbnieku profesionālajā un neformālajā izglītībā izmantotās kuponu metodes, </w:t>
      </w:r>
      <w:proofErr w:type="spellStart"/>
      <w:r w:rsidR="00FE502E" w:rsidRPr="007D675F">
        <w:rPr>
          <w:rFonts w:ascii="Times New Roman" w:hAnsi="Times New Roman"/>
          <w:sz w:val="28"/>
          <w:szCs w:val="28"/>
        </w:rPr>
        <w:t>i</w:t>
      </w:r>
      <w:r w:rsidRPr="007D675F">
        <w:rPr>
          <w:rFonts w:ascii="Times New Roman" w:hAnsi="Times New Roman"/>
          <w:sz w:val="28"/>
          <w:szCs w:val="28"/>
        </w:rPr>
        <w:t>zmēģinājumprojektā</w:t>
      </w:r>
      <w:proofErr w:type="spellEnd"/>
      <w:r w:rsidRPr="007D675F">
        <w:rPr>
          <w:rFonts w:ascii="Times New Roman" w:hAnsi="Times New Roman"/>
          <w:sz w:val="28"/>
          <w:szCs w:val="28"/>
        </w:rPr>
        <w:t xml:space="preserve"> grupu komplektēšanu veiks Aģentūra sadarbībā ar izglītības iestādēm. </w:t>
      </w:r>
      <w:r w:rsidR="0055076B" w:rsidRPr="007D675F">
        <w:rPr>
          <w:rFonts w:ascii="Times New Roman" w:hAnsi="Times New Roman"/>
          <w:sz w:val="28"/>
          <w:szCs w:val="28"/>
        </w:rPr>
        <w:t>B</w:t>
      </w:r>
      <w:r w:rsidRPr="007D675F">
        <w:rPr>
          <w:rFonts w:ascii="Times New Roman" w:hAnsi="Times New Roman"/>
          <w:sz w:val="28"/>
          <w:szCs w:val="28"/>
        </w:rPr>
        <w:t xml:space="preserve">ezdarbniekiem </w:t>
      </w:r>
      <w:r w:rsidR="0055076B" w:rsidRPr="007D675F">
        <w:rPr>
          <w:rFonts w:ascii="Times New Roman" w:hAnsi="Times New Roman"/>
          <w:sz w:val="28"/>
          <w:szCs w:val="28"/>
        </w:rPr>
        <w:t xml:space="preserve">arī </w:t>
      </w:r>
      <w:r w:rsidRPr="007D675F">
        <w:rPr>
          <w:rFonts w:ascii="Times New Roman" w:hAnsi="Times New Roman"/>
          <w:sz w:val="28"/>
          <w:szCs w:val="28"/>
        </w:rPr>
        <w:t xml:space="preserve">tika sniegta informācija par </w:t>
      </w:r>
      <w:r w:rsidR="0055076B" w:rsidRPr="007D675F">
        <w:rPr>
          <w:rFonts w:ascii="Times New Roman" w:hAnsi="Times New Roman"/>
          <w:sz w:val="28"/>
          <w:szCs w:val="28"/>
        </w:rPr>
        <w:t xml:space="preserve">izmēģinājumprojekta izglītības iestādēm. </w:t>
      </w:r>
    </w:p>
    <w:p w14:paraId="040BC66C" w14:textId="1C21DE6B" w:rsidR="005060D7" w:rsidRPr="007D675F" w:rsidRDefault="005060D7" w:rsidP="00CE7F2B">
      <w:pPr>
        <w:spacing w:after="0" w:line="240" w:lineRule="auto"/>
        <w:ind w:left="142" w:firstLine="578"/>
        <w:jc w:val="both"/>
        <w:rPr>
          <w:rFonts w:ascii="Times New Roman" w:hAnsi="Times New Roman"/>
          <w:sz w:val="28"/>
          <w:szCs w:val="28"/>
        </w:rPr>
      </w:pPr>
      <w:r w:rsidRPr="007D675F">
        <w:rPr>
          <w:rFonts w:ascii="Times New Roman" w:hAnsi="Times New Roman"/>
          <w:sz w:val="28"/>
          <w:szCs w:val="28"/>
        </w:rPr>
        <w:t xml:space="preserve">Papildus izglītības iestādēs tika sagatavots un izvietots informatīvais materiāls, lai informētu sabiedrību par to, ka </w:t>
      </w:r>
      <w:proofErr w:type="spellStart"/>
      <w:r w:rsidR="00FE502E" w:rsidRPr="007D675F">
        <w:rPr>
          <w:rFonts w:ascii="Times New Roman" w:hAnsi="Times New Roman"/>
          <w:sz w:val="28"/>
          <w:szCs w:val="28"/>
        </w:rPr>
        <w:t>i</w:t>
      </w:r>
      <w:r w:rsidRPr="007D675F">
        <w:rPr>
          <w:rFonts w:ascii="Times New Roman" w:hAnsi="Times New Roman"/>
          <w:sz w:val="28"/>
          <w:szCs w:val="28"/>
        </w:rPr>
        <w:t>zmēģinājumprojekts</w:t>
      </w:r>
      <w:proofErr w:type="spellEnd"/>
      <w:r w:rsidRPr="007D675F">
        <w:rPr>
          <w:rFonts w:ascii="Times New Roman" w:hAnsi="Times New Roman"/>
          <w:sz w:val="28"/>
          <w:szCs w:val="28"/>
        </w:rPr>
        <w:t xml:space="preserve"> tiek īstenots ar ESF atbalstu. Aktuālā informācija tika izvietota un uzturēta Aģentūras mājaslapā, klientiem bezdarbniekiem sniegta informācija individuālajās konsultācijās un informatīvajās dienās.</w:t>
      </w:r>
    </w:p>
    <w:p w14:paraId="52C7CDDD" w14:textId="75AFD6CE" w:rsidR="005060D7" w:rsidRPr="007D675F" w:rsidRDefault="005060D7" w:rsidP="00CE7F2B">
      <w:pPr>
        <w:spacing w:after="0" w:line="240" w:lineRule="auto"/>
        <w:ind w:firstLine="709"/>
        <w:jc w:val="both"/>
        <w:rPr>
          <w:rFonts w:ascii="Times New Roman" w:hAnsi="Times New Roman"/>
          <w:bCs/>
          <w:iCs/>
          <w:spacing w:val="-4"/>
          <w:sz w:val="28"/>
          <w:szCs w:val="28"/>
        </w:rPr>
      </w:pPr>
      <w:r w:rsidRPr="007D675F">
        <w:rPr>
          <w:rFonts w:ascii="Times New Roman" w:hAnsi="Times New Roman"/>
          <w:bCs/>
          <w:iCs/>
          <w:spacing w:val="-4"/>
          <w:sz w:val="28"/>
          <w:szCs w:val="28"/>
        </w:rPr>
        <w:t xml:space="preserve">Tālākizglītības kvalitātes izvērtēšanas un apmierinātības noteikšanas nolūkos, izlases veidā tika veikta </w:t>
      </w:r>
      <w:proofErr w:type="spellStart"/>
      <w:r w:rsidR="00FE502E" w:rsidRPr="007D675F">
        <w:rPr>
          <w:rFonts w:ascii="Times New Roman" w:hAnsi="Times New Roman"/>
          <w:sz w:val="28"/>
          <w:szCs w:val="28"/>
        </w:rPr>
        <w:t>i</w:t>
      </w:r>
      <w:r w:rsidRPr="007D675F">
        <w:rPr>
          <w:rFonts w:ascii="Times New Roman" w:hAnsi="Times New Roman"/>
          <w:sz w:val="28"/>
          <w:szCs w:val="28"/>
        </w:rPr>
        <w:t>zmēģinājumprojektā</w:t>
      </w:r>
      <w:proofErr w:type="spellEnd"/>
      <w:r w:rsidRPr="007D675F">
        <w:rPr>
          <w:rFonts w:ascii="Times New Roman" w:hAnsi="Times New Roman"/>
          <w:bCs/>
          <w:iCs/>
          <w:spacing w:val="-4"/>
          <w:sz w:val="28"/>
          <w:szCs w:val="28"/>
        </w:rPr>
        <w:t xml:space="preserve"> iesaistīto personu apmierinātības viedokļa noskaidrošana. Bezdarbnieku anonīmās aptaujas tika nodrošinātas brīdī, kad </w:t>
      </w:r>
      <w:r w:rsidR="00FE502E" w:rsidRPr="007D675F">
        <w:rPr>
          <w:rFonts w:ascii="Times New Roman" w:hAnsi="Times New Roman"/>
          <w:bCs/>
          <w:iCs/>
          <w:spacing w:val="-4"/>
          <w:sz w:val="28"/>
          <w:szCs w:val="28"/>
        </w:rPr>
        <w:t>i</w:t>
      </w:r>
      <w:r w:rsidRPr="007D675F">
        <w:rPr>
          <w:rFonts w:ascii="Times New Roman" w:hAnsi="Times New Roman"/>
          <w:bCs/>
          <w:iCs/>
          <w:spacing w:val="-4"/>
          <w:sz w:val="28"/>
          <w:szCs w:val="28"/>
        </w:rPr>
        <w:t>zmēģinājumprojekta īstenošanas personāls pārraudzīja tālākizglītības procesa īstenošanu izglītības iestādēs. Klientu aptaujas veikta</w:t>
      </w:r>
      <w:r w:rsidR="00353525" w:rsidRPr="007D675F">
        <w:rPr>
          <w:rFonts w:ascii="Times New Roman" w:hAnsi="Times New Roman"/>
          <w:bCs/>
          <w:iCs/>
          <w:spacing w:val="-4"/>
          <w:sz w:val="28"/>
          <w:szCs w:val="28"/>
        </w:rPr>
        <w:t xml:space="preserve">s 5 </w:t>
      </w:r>
      <w:r w:rsidR="00353525" w:rsidRPr="007D675F">
        <w:rPr>
          <w:rFonts w:ascii="Times New Roman" w:hAnsi="Times New Roman"/>
          <w:bCs/>
          <w:iCs/>
          <w:spacing w:val="-4"/>
          <w:sz w:val="28"/>
          <w:szCs w:val="28"/>
        </w:rPr>
        <w:lastRenderedPageBreak/>
        <w:t>izglītības</w:t>
      </w:r>
      <w:r w:rsidRPr="007D675F">
        <w:rPr>
          <w:rFonts w:ascii="Times New Roman" w:hAnsi="Times New Roman"/>
          <w:bCs/>
          <w:iCs/>
          <w:spacing w:val="-4"/>
          <w:sz w:val="28"/>
          <w:szCs w:val="28"/>
        </w:rPr>
        <w:t xml:space="preserve"> iestādēs, k</w:t>
      </w:r>
      <w:r w:rsidR="00353525" w:rsidRPr="007D675F">
        <w:rPr>
          <w:rFonts w:ascii="Times New Roman" w:hAnsi="Times New Roman"/>
          <w:bCs/>
          <w:iCs/>
          <w:spacing w:val="-4"/>
          <w:sz w:val="28"/>
          <w:szCs w:val="28"/>
        </w:rPr>
        <w:t>opā aptaujāti 141 bezdarbnieks</w:t>
      </w:r>
      <w:r w:rsidRPr="007D675F">
        <w:rPr>
          <w:rFonts w:ascii="Times New Roman" w:hAnsi="Times New Roman"/>
          <w:bCs/>
          <w:iCs/>
          <w:spacing w:val="-4"/>
          <w:sz w:val="28"/>
          <w:szCs w:val="28"/>
        </w:rPr>
        <w:t xml:space="preserve">, kuri bija </w:t>
      </w:r>
      <w:r w:rsidR="00353525" w:rsidRPr="007D675F">
        <w:rPr>
          <w:rFonts w:ascii="Times New Roman" w:hAnsi="Times New Roman"/>
          <w:bCs/>
          <w:iCs/>
          <w:spacing w:val="-4"/>
          <w:sz w:val="28"/>
          <w:szCs w:val="28"/>
        </w:rPr>
        <w:t>iesaistīti 12</w:t>
      </w:r>
      <w:r w:rsidRPr="007D675F">
        <w:rPr>
          <w:rFonts w:ascii="Times New Roman" w:hAnsi="Times New Roman"/>
          <w:bCs/>
          <w:iCs/>
          <w:spacing w:val="-4"/>
          <w:sz w:val="28"/>
          <w:szCs w:val="28"/>
        </w:rPr>
        <w:t xml:space="preserve"> izglītības programmu apguvē.</w:t>
      </w:r>
    </w:p>
    <w:p w14:paraId="56316CB4" w14:textId="77777777" w:rsidR="005060D7" w:rsidRPr="007D675F" w:rsidRDefault="005060D7" w:rsidP="00CE7F2B">
      <w:pPr>
        <w:spacing w:after="0" w:line="240" w:lineRule="auto"/>
        <w:ind w:left="280" w:firstLine="440"/>
        <w:jc w:val="both"/>
        <w:rPr>
          <w:rFonts w:ascii="Times New Roman" w:hAnsi="Times New Roman"/>
          <w:bCs/>
          <w:iCs/>
          <w:spacing w:val="-4"/>
          <w:sz w:val="28"/>
          <w:szCs w:val="28"/>
        </w:rPr>
      </w:pPr>
      <w:r w:rsidRPr="007D675F">
        <w:rPr>
          <w:rFonts w:ascii="Times New Roman" w:hAnsi="Times New Roman"/>
          <w:bCs/>
          <w:iCs/>
          <w:spacing w:val="-4"/>
          <w:sz w:val="28"/>
          <w:szCs w:val="28"/>
        </w:rPr>
        <w:t>Bezdarbnieku vērtējums:</w:t>
      </w:r>
    </w:p>
    <w:p w14:paraId="412411ED" w14:textId="77777777" w:rsidR="005060D7" w:rsidRPr="007D675F" w:rsidRDefault="005060D7" w:rsidP="00CE7F2B">
      <w:pPr>
        <w:numPr>
          <w:ilvl w:val="0"/>
          <w:numId w:val="24"/>
        </w:numPr>
        <w:spacing w:after="0" w:line="240" w:lineRule="auto"/>
        <w:ind w:hanging="440"/>
        <w:jc w:val="both"/>
        <w:rPr>
          <w:rFonts w:ascii="Times New Roman" w:hAnsi="Times New Roman"/>
          <w:bCs/>
          <w:iCs/>
          <w:spacing w:val="-4"/>
          <w:sz w:val="28"/>
          <w:szCs w:val="28"/>
        </w:rPr>
      </w:pPr>
      <w:r w:rsidRPr="007D675F">
        <w:rPr>
          <w:rFonts w:ascii="Times New Roman" w:hAnsi="Times New Roman"/>
          <w:sz w:val="28"/>
          <w:szCs w:val="28"/>
        </w:rPr>
        <w:t>Tālākizglītības programmu</w:t>
      </w:r>
      <w:r w:rsidRPr="007D675F">
        <w:rPr>
          <w:rFonts w:ascii="Times New Roman" w:hAnsi="Times New Roman"/>
          <w:bCs/>
          <w:iCs/>
          <w:spacing w:val="-4"/>
          <w:sz w:val="28"/>
          <w:szCs w:val="28"/>
        </w:rPr>
        <w:t xml:space="preserve"> </w:t>
      </w:r>
      <w:r w:rsidR="0097398E" w:rsidRPr="007D675F">
        <w:rPr>
          <w:rFonts w:ascii="Times New Roman" w:hAnsi="Times New Roman"/>
          <w:bCs/>
          <w:iCs/>
          <w:spacing w:val="-4"/>
          <w:sz w:val="28"/>
          <w:szCs w:val="28"/>
        </w:rPr>
        <w:t xml:space="preserve">satura </w:t>
      </w:r>
      <w:r w:rsidRPr="007D675F">
        <w:rPr>
          <w:rFonts w:ascii="Times New Roman" w:hAnsi="Times New Roman"/>
          <w:bCs/>
          <w:iCs/>
          <w:spacing w:val="-4"/>
          <w:sz w:val="28"/>
          <w:szCs w:val="28"/>
        </w:rPr>
        <w:t xml:space="preserve">novērtējums: </w:t>
      </w:r>
      <w:r w:rsidR="00DB3FC1" w:rsidRPr="007D675F">
        <w:rPr>
          <w:rFonts w:ascii="Times New Roman" w:hAnsi="Times New Roman"/>
          <w:bCs/>
          <w:iCs/>
          <w:spacing w:val="-4"/>
          <w:sz w:val="28"/>
          <w:szCs w:val="28"/>
        </w:rPr>
        <w:t>ļoti labu vai labu novērtējuši 8</w:t>
      </w:r>
      <w:r w:rsidRPr="007D675F">
        <w:rPr>
          <w:rFonts w:ascii="Times New Roman" w:hAnsi="Times New Roman"/>
          <w:bCs/>
          <w:iCs/>
          <w:spacing w:val="-4"/>
          <w:sz w:val="28"/>
          <w:szCs w:val="28"/>
        </w:rPr>
        <w:t>5 % bezdarbnieku.</w:t>
      </w:r>
    </w:p>
    <w:p w14:paraId="1FD09774" w14:textId="77777777" w:rsidR="005060D7" w:rsidRPr="007D675F" w:rsidRDefault="005060D7" w:rsidP="00CE7F2B">
      <w:pPr>
        <w:numPr>
          <w:ilvl w:val="0"/>
          <w:numId w:val="24"/>
        </w:numPr>
        <w:spacing w:after="0" w:line="240" w:lineRule="auto"/>
        <w:ind w:hanging="440"/>
        <w:jc w:val="both"/>
        <w:rPr>
          <w:rFonts w:ascii="Times New Roman" w:hAnsi="Times New Roman"/>
          <w:bCs/>
          <w:iCs/>
          <w:spacing w:val="-4"/>
          <w:sz w:val="28"/>
          <w:szCs w:val="28"/>
        </w:rPr>
      </w:pPr>
      <w:r w:rsidRPr="007D675F">
        <w:rPr>
          <w:rFonts w:ascii="Times New Roman" w:hAnsi="Times New Roman"/>
          <w:bCs/>
          <w:iCs/>
          <w:spacing w:val="-4"/>
          <w:sz w:val="28"/>
          <w:szCs w:val="28"/>
        </w:rPr>
        <w:t>Iegūto zināšanu/ prasmju novērtējums konkurētspējai darba tirgū - k</w:t>
      </w:r>
      <w:r w:rsidR="00DB3FC1" w:rsidRPr="007D675F">
        <w:rPr>
          <w:rFonts w:ascii="Times New Roman" w:hAnsi="Times New Roman"/>
          <w:bCs/>
          <w:iCs/>
          <w:spacing w:val="-4"/>
          <w:sz w:val="28"/>
          <w:szCs w:val="28"/>
        </w:rPr>
        <w:t>ā ļoti labi un labi vērtējuši 77</w:t>
      </w:r>
      <w:r w:rsidRPr="007D675F">
        <w:rPr>
          <w:rFonts w:ascii="Times New Roman" w:hAnsi="Times New Roman"/>
          <w:bCs/>
          <w:iCs/>
          <w:spacing w:val="-4"/>
          <w:sz w:val="28"/>
          <w:szCs w:val="28"/>
        </w:rPr>
        <w:t> % aptaujāto bezdarbnieku.</w:t>
      </w:r>
    </w:p>
    <w:p w14:paraId="204EF544" w14:textId="77777777" w:rsidR="005060D7" w:rsidRPr="007D675F" w:rsidRDefault="005060D7" w:rsidP="00CE7F2B">
      <w:pPr>
        <w:numPr>
          <w:ilvl w:val="0"/>
          <w:numId w:val="24"/>
        </w:numPr>
        <w:spacing w:after="0" w:line="240" w:lineRule="auto"/>
        <w:ind w:hanging="440"/>
        <w:jc w:val="both"/>
        <w:rPr>
          <w:rFonts w:ascii="Times New Roman" w:hAnsi="Times New Roman"/>
          <w:bCs/>
          <w:iCs/>
          <w:spacing w:val="-4"/>
          <w:sz w:val="28"/>
          <w:szCs w:val="28"/>
        </w:rPr>
      </w:pPr>
      <w:r w:rsidRPr="007D675F">
        <w:rPr>
          <w:rFonts w:ascii="Times New Roman" w:hAnsi="Times New Roman"/>
          <w:bCs/>
          <w:iCs/>
          <w:spacing w:val="-4"/>
          <w:sz w:val="28"/>
          <w:szCs w:val="28"/>
        </w:rPr>
        <w:t>Pedagogu un mācību vielas pasniegšanas prasmi k</w:t>
      </w:r>
      <w:r w:rsidR="00DB3FC1" w:rsidRPr="007D675F">
        <w:rPr>
          <w:rFonts w:ascii="Times New Roman" w:hAnsi="Times New Roman"/>
          <w:bCs/>
          <w:iCs/>
          <w:spacing w:val="-4"/>
          <w:sz w:val="28"/>
          <w:szCs w:val="28"/>
        </w:rPr>
        <w:t>ā ļoti labu un labu vērtējuši 88</w:t>
      </w:r>
      <w:r w:rsidRPr="007D675F">
        <w:rPr>
          <w:rFonts w:ascii="Times New Roman" w:hAnsi="Times New Roman"/>
          <w:bCs/>
          <w:iCs/>
          <w:spacing w:val="-4"/>
          <w:sz w:val="28"/>
          <w:szCs w:val="28"/>
        </w:rPr>
        <w:t> % aptaujāto. Praktisko nodarbību (prakses) v</w:t>
      </w:r>
      <w:r w:rsidR="00DB3FC1" w:rsidRPr="007D675F">
        <w:rPr>
          <w:rFonts w:ascii="Times New Roman" w:hAnsi="Times New Roman"/>
          <w:bCs/>
          <w:iCs/>
          <w:spacing w:val="-4"/>
          <w:sz w:val="28"/>
          <w:szCs w:val="28"/>
        </w:rPr>
        <w:t>ērtējums: ļoti labi un labi – 85</w:t>
      </w:r>
      <w:r w:rsidRPr="007D675F">
        <w:rPr>
          <w:rFonts w:ascii="Times New Roman" w:hAnsi="Times New Roman"/>
          <w:bCs/>
          <w:iCs/>
          <w:spacing w:val="-4"/>
          <w:sz w:val="28"/>
          <w:szCs w:val="28"/>
        </w:rPr>
        <w:t> % aptaujāto.</w:t>
      </w:r>
    </w:p>
    <w:p w14:paraId="1023E70E" w14:textId="77777777" w:rsidR="005060D7" w:rsidRPr="007D675F" w:rsidRDefault="005060D7" w:rsidP="00CE7F2B">
      <w:pPr>
        <w:numPr>
          <w:ilvl w:val="0"/>
          <w:numId w:val="24"/>
        </w:numPr>
        <w:spacing w:after="0" w:line="240" w:lineRule="auto"/>
        <w:ind w:hanging="440"/>
        <w:jc w:val="both"/>
        <w:rPr>
          <w:rFonts w:ascii="Times New Roman" w:hAnsi="Times New Roman"/>
          <w:bCs/>
          <w:iCs/>
          <w:spacing w:val="-4"/>
          <w:sz w:val="28"/>
          <w:szCs w:val="28"/>
        </w:rPr>
      </w:pPr>
      <w:r w:rsidRPr="007D675F">
        <w:rPr>
          <w:rFonts w:ascii="Times New Roman" w:hAnsi="Times New Roman"/>
          <w:bCs/>
          <w:iCs/>
          <w:spacing w:val="-4"/>
          <w:sz w:val="28"/>
          <w:szCs w:val="28"/>
        </w:rPr>
        <w:t>Mācību aprīk</w:t>
      </w:r>
      <w:r w:rsidR="00DB3FC1" w:rsidRPr="007D675F">
        <w:rPr>
          <w:rFonts w:ascii="Times New Roman" w:hAnsi="Times New Roman"/>
          <w:bCs/>
          <w:iCs/>
          <w:spacing w:val="-4"/>
          <w:sz w:val="28"/>
          <w:szCs w:val="28"/>
        </w:rPr>
        <w:t>ojumu kā ļoti labu vai labu – 89</w:t>
      </w:r>
      <w:r w:rsidRPr="007D675F">
        <w:rPr>
          <w:rFonts w:ascii="Times New Roman" w:hAnsi="Times New Roman"/>
          <w:bCs/>
          <w:iCs/>
          <w:spacing w:val="-4"/>
          <w:sz w:val="28"/>
          <w:szCs w:val="28"/>
        </w:rPr>
        <w:t> % novērtējuši aptaujātie bezdarbnieki.</w:t>
      </w:r>
    </w:p>
    <w:p w14:paraId="4C63C426" w14:textId="77777777" w:rsidR="005060D7" w:rsidRPr="007D675F" w:rsidRDefault="00DC2DB3" w:rsidP="00CE7F2B">
      <w:pPr>
        <w:pStyle w:val="Heading1"/>
        <w:jc w:val="center"/>
        <w:rPr>
          <w:rFonts w:ascii="Times New Roman" w:hAnsi="Times New Roman"/>
          <w:sz w:val="28"/>
          <w:szCs w:val="28"/>
        </w:rPr>
      </w:pPr>
      <w:bookmarkStart w:id="2" w:name="_Toc411246700"/>
      <w:r w:rsidRPr="007D675F">
        <w:rPr>
          <w:rFonts w:ascii="Times New Roman" w:hAnsi="Times New Roman"/>
          <w:sz w:val="28"/>
          <w:szCs w:val="28"/>
        </w:rPr>
        <w:t>3</w:t>
      </w:r>
      <w:r w:rsidR="005060D7" w:rsidRPr="007D675F">
        <w:rPr>
          <w:rFonts w:ascii="Times New Roman" w:hAnsi="Times New Roman"/>
          <w:sz w:val="28"/>
          <w:szCs w:val="28"/>
        </w:rPr>
        <w:t xml:space="preserve">. </w:t>
      </w:r>
      <w:proofErr w:type="spellStart"/>
      <w:r w:rsidR="005060D7" w:rsidRPr="007D675F">
        <w:rPr>
          <w:rFonts w:ascii="Times New Roman" w:hAnsi="Times New Roman"/>
          <w:sz w:val="28"/>
          <w:szCs w:val="28"/>
        </w:rPr>
        <w:t>Izmēģinājumprojekt</w:t>
      </w:r>
      <w:r w:rsidR="00DB3FC1" w:rsidRPr="007D675F">
        <w:rPr>
          <w:rFonts w:ascii="Times New Roman" w:hAnsi="Times New Roman"/>
          <w:sz w:val="28"/>
          <w:szCs w:val="28"/>
        </w:rPr>
        <w:t>ā</w:t>
      </w:r>
      <w:proofErr w:type="spellEnd"/>
      <w:r w:rsidR="00DB3FC1" w:rsidRPr="007D675F">
        <w:rPr>
          <w:rFonts w:ascii="Times New Roman" w:hAnsi="Times New Roman"/>
          <w:sz w:val="28"/>
          <w:szCs w:val="28"/>
        </w:rPr>
        <w:t xml:space="preserve"> konstatētās problēmas</w:t>
      </w:r>
      <w:bookmarkEnd w:id="2"/>
    </w:p>
    <w:p w14:paraId="2A68CB42" w14:textId="77777777" w:rsidR="005060D7" w:rsidRPr="007D675F" w:rsidRDefault="005060D7" w:rsidP="00CE7F2B">
      <w:pPr>
        <w:spacing w:after="0" w:line="240" w:lineRule="auto"/>
      </w:pPr>
    </w:p>
    <w:p w14:paraId="114A7A92" w14:textId="5FC65323" w:rsidR="005060D7" w:rsidRPr="007D675F" w:rsidRDefault="005060D7" w:rsidP="00CE7F2B">
      <w:pPr>
        <w:spacing w:after="0" w:line="240" w:lineRule="auto"/>
        <w:ind w:firstLine="720"/>
        <w:jc w:val="both"/>
        <w:rPr>
          <w:rFonts w:ascii="Times New Roman" w:hAnsi="Times New Roman"/>
          <w:sz w:val="28"/>
          <w:szCs w:val="28"/>
        </w:rPr>
      </w:pPr>
      <w:r w:rsidRPr="007D675F">
        <w:rPr>
          <w:rFonts w:ascii="Times New Roman" w:hAnsi="Times New Roman"/>
          <w:sz w:val="28"/>
          <w:szCs w:val="28"/>
        </w:rPr>
        <w:t xml:space="preserve">Analizējot </w:t>
      </w:r>
      <w:proofErr w:type="spellStart"/>
      <w:r w:rsidR="00FE502E" w:rsidRPr="007D675F">
        <w:rPr>
          <w:rFonts w:ascii="Times New Roman" w:hAnsi="Times New Roman"/>
          <w:sz w:val="28"/>
          <w:szCs w:val="28"/>
        </w:rPr>
        <w:t>i</w:t>
      </w:r>
      <w:r w:rsidR="003F2E49" w:rsidRPr="007D675F">
        <w:rPr>
          <w:rFonts w:ascii="Times New Roman" w:hAnsi="Times New Roman"/>
          <w:sz w:val="28"/>
          <w:szCs w:val="28"/>
        </w:rPr>
        <w:t>zmēģinājumprojektu</w:t>
      </w:r>
      <w:proofErr w:type="spellEnd"/>
      <w:r w:rsidR="003F2E49" w:rsidRPr="007D675F">
        <w:rPr>
          <w:rFonts w:ascii="Times New Roman" w:hAnsi="Times New Roman"/>
          <w:sz w:val="28"/>
          <w:szCs w:val="28"/>
        </w:rPr>
        <w:t xml:space="preserve">, tika konstatētas atsevišķas problēmas attiecībā uz </w:t>
      </w:r>
      <w:r w:rsidRPr="007D675F">
        <w:rPr>
          <w:rFonts w:ascii="Times New Roman" w:hAnsi="Times New Roman"/>
          <w:sz w:val="28"/>
          <w:szCs w:val="28"/>
        </w:rPr>
        <w:t>bezdarbnieku iesaist</w:t>
      </w:r>
      <w:r w:rsidR="00DC589A" w:rsidRPr="007D675F">
        <w:rPr>
          <w:rFonts w:ascii="Times New Roman" w:hAnsi="Times New Roman"/>
          <w:sz w:val="28"/>
          <w:szCs w:val="28"/>
        </w:rPr>
        <w:t>i</w:t>
      </w:r>
      <w:r w:rsidR="008B3347" w:rsidRPr="007D675F">
        <w:rPr>
          <w:rFonts w:ascii="Times New Roman" w:hAnsi="Times New Roman"/>
          <w:sz w:val="28"/>
          <w:szCs w:val="28"/>
        </w:rPr>
        <w:t xml:space="preserve">, kā arī </w:t>
      </w:r>
      <w:r w:rsidRPr="007D675F">
        <w:rPr>
          <w:rFonts w:ascii="Times New Roman" w:hAnsi="Times New Roman"/>
          <w:sz w:val="28"/>
          <w:szCs w:val="28"/>
        </w:rPr>
        <w:t>izglītības iestāžu iespēj</w:t>
      </w:r>
      <w:r w:rsidR="003F2E49" w:rsidRPr="007D675F">
        <w:rPr>
          <w:rFonts w:ascii="Times New Roman" w:hAnsi="Times New Roman"/>
          <w:sz w:val="28"/>
          <w:szCs w:val="28"/>
        </w:rPr>
        <w:t>ām</w:t>
      </w:r>
      <w:r w:rsidR="00AE7E4E" w:rsidRPr="007D675F">
        <w:rPr>
          <w:rFonts w:ascii="Times New Roman" w:hAnsi="Times New Roman"/>
          <w:sz w:val="28"/>
          <w:szCs w:val="28"/>
        </w:rPr>
        <w:t xml:space="preserve"> un </w:t>
      </w:r>
      <w:r w:rsidRPr="007D675F">
        <w:rPr>
          <w:rFonts w:ascii="Times New Roman" w:hAnsi="Times New Roman"/>
          <w:sz w:val="28"/>
          <w:szCs w:val="28"/>
        </w:rPr>
        <w:t xml:space="preserve">ieinteresētību piedalīties </w:t>
      </w:r>
      <w:proofErr w:type="spellStart"/>
      <w:r w:rsidR="00FE502E" w:rsidRPr="007D675F">
        <w:rPr>
          <w:rFonts w:ascii="Times New Roman" w:hAnsi="Times New Roman"/>
          <w:sz w:val="28"/>
          <w:szCs w:val="28"/>
        </w:rPr>
        <w:t>i</w:t>
      </w:r>
      <w:r w:rsidRPr="007D675F">
        <w:rPr>
          <w:rFonts w:ascii="Times New Roman" w:hAnsi="Times New Roman"/>
          <w:sz w:val="28"/>
          <w:szCs w:val="28"/>
        </w:rPr>
        <w:t>zmēģinājumpro</w:t>
      </w:r>
      <w:r w:rsidR="00DB3FC1" w:rsidRPr="007D675F">
        <w:rPr>
          <w:rFonts w:ascii="Times New Roman" w:hAnsi="Times New Roman"/>
          <w:sz w:val="28"/>
          <w:szCs w:val="28"/>
        </w:rPr>
        <w:t>jektā</w:t>
      </w:r>
      <w:proofErr w:type="spellEnd"/>
      <w:r w:rsidR="00DB3FC1" w:rsidRPr="007D675F">
        <w:rPr>
          <w:rFonts w:ascii="Times New Roman" w:hAnsi="Times New Roman"/>
          <w:sz w:val="28"/>
          <w:szCs w:val="28"/>
        </w:rPr>
        <w:t xml:space="preserve">, </w:t>
      </w:r>
      <w:r w:rsidR="003F2E49" w:rsidRPr="007D675F">
        <w:rPr>
          <w:rFonts w:ascii="Times New Roman" w:hAnsi="Times New Roman"/>
          <w:sz w:val="28"/>
          <w:szCs w:val="28"/>
        </w:rPr>
        <w:t>kā rezultātā netika sasniegts plānotais rezultatīvais rādītājs bezdarbnieku iesaistē.</w:t>
      </w:r>
      <w:r w:rsidRPr="007D675F">
        <w:rPr>
          <w:rFonts w:ascii="Times New Roman" w:hAnsi="Times New Roman"/>
          <w:sz w:val="28"/>
          <w:szCs w:val="28"/>
        </w:rPr>
        <w:t xml:space="preserve"> </w:t>
      </w:r>
    </w:p>
    <w:p w14:paraId="714CF37A" w14:textId="405FDB41" w:rsidR="005060D7" w:rsidRPr="007D675F" w:rsidRDefault="005060D7" w:rsidP="00CE7F2B">
      <w:pPr>
        <w:spacing w:after="0" w:line="240" w:lineRule="auto"/>
        <w:ind w:firstLine="720"/>
        <w:jc w:val="both"/>
        <w:rPr>
          <w:rFonts w:ascii="Times New Roman" w:hAnsi="Times New Roman"/>
          <w:sz w:val="28"/>
          <w:szCs w:val="28"/>
        </w:rPr>
      </w:pPr>
      <w:r w:rsidRPr="007D675F">
        <w:rPr>
          <w:rFonts w:ascii="Times New Roman" w:hAnsi="Times New Roman"/>
          <w:sz w:val="28"/>
          <w:szCs w:val="28"/>
        </w:rPr>
        <w:t xml:space="preserve">2014. gada 6. februāra Aģentūras organizētā informatīvā pasākuma ietvaros, iesaistīto izglītības iestāžu pārstāvji vērsa uzmanību uz to, ka ārējie normatīvie akti nenosaka izglītības iestāžu pasniedzēju samaksas apmēru pieaugušo izglītības programmu īstenošanā. Līdz ar to viņu skatījumā tiek kavētas pilnvērtīgas izglītības iestāžu iespējas iesaistīties bezdarbnieku </w:t>
      </w:r>
      <w:r w:rsidR="00BD5F43" w:rsidRPr="007D675F">
        <w:rPr>
          <w:rFonts w:ascii="Times New Roman" w:hAnsi="Times New Roman"/>
          <w:sz w:val="28"/>
          <w:szCs w:val="28"/>
        </w:rPr>
        <w:t>izglītībā</w:t>
      </w:r>
      <w:r w:rsidRPr="007D675F">
        <w:rPr>
          <w:rFonts w:ascii="Times New Roman" w:hAnsi="Times New Roman"/>
          <w:sz w:val="28"/>
          <w:szCs w:val="28"/>
        </w:rPr>
        <w:t xml:space="preserve">. </w:t>
      </w:r>
    </w:p>
    <w:p w14:paraId="30257141" w14:textId="414B6C5B" w:rsidR="005060D7" w:rsidRPr="007D675F" w:rsidRDefault="003F2E49" w:rsidP="00CE7F2B">
      <w:pPr>
        <w:spacing w:after="0" w:line="240" w:lineRule="auto"/>
        <w:ind w:firstLine="720"/>
        <w:jc w:val="both"/>
        <w:rPr>
          <w:rFonts w:ascii="Times New Roman" w:hAnsi="Times New Roman"/>
          <w:sz w:val="28"/>
          <w:szCs w:val="28"/>
        </w:rPr>
      </w:pPr>
      <w:r w:rsidRPr="007D675F">
        <w:rPr>
          <w:rFonts w:ascii="Times New Roman" w:hAnsi="Times New Roman"/>
          <w:sz w:val="28"/>
          <w:szCs w:val="28"/>
        </w:rPr>
        <w:t>Atšķirībā no privātajām izglītības iestādēm valsts un pašvaldību i</w:t>
      </w:r>
      <w:r w:rsidR="005060D7" w:rsidRPr="007D675F">
        <w:rPr>
          <w:rFonts w:ascii="Times New Roman" w:hAnsi="Times New Roman"/>
          <w:sz w:val="28"/>
          <w:szCs w:val="28"/>
        </w:rPr>
        <w:t xml:space="preserve">zglītības iestādes nevar nodrošināt nepārtrauktu tālākizglītības programmu apguvi visa gada garumā, jo mācību darbs tiek organizēts semestros un vasaras sezona tiek atvēlēta atvaļinājumiem. Atteikumu par bezdarbnieku iesaisti vasaras mēnešos Aģentūras filiālēm iesniedza Rīgas 3.arodskola un Kandavas Valsts lauksaimniecības tehnikums, pamatojoties uz plānotajiem pasniedzēju atvaļinājumiem un nelietderību iesaistīt izglītības procesā citus pasniedzējus, jo uzskata, ka tas nav mērķtiecīgi un nevar nodrošināt mācību procesa kvalitāti. Tāpat jūnija mēnesis ir ļoti intensīvs pamatslodzes mācību darbs izglītības iestādēs, kas saistīts ar sesijas </w:t>
      </w:r>
      <w:r w:rsidR="00BD5F43" w:rsidRPr="007D675F">
        <w:rPr>
          <w:rFonts w:ascii="Times New Roman" w:hAnsi="Times New Roman"/>
          <w:sz w:val="28"/>
          <w:szCs w:val="28"/>
        </w:rPr>
        <w:t>eksāmeniem, praktiskām mācībām</w:t>
      </w:r>
      <w:r w:rsidR="005060D7" w:rsidRPr="007D675F">
        <w:rPr>
          <w:rFonts w:ascii="Times New Roman" w:hAnsi="Times New Roman"/>
          <w:sz w:val="28"/>
          <w:szCs w:val="28"/>
        </w:rPr>
        <w:t xml:space="preserve">, konsultācijām, gatavošanos centralizētiem profesionālās kvalifikācijas eksāmeniem u.c., kuri notiek jūnija pēdējā nedēļā, kā rezultātā ir paaugstināta pedagogu noslogotība. </w:t>
      </w:r>
    </w:p>
    <w:p w14:paraId="6F3E0373" w14:textId="5670458C" w:rsidR="004351B8" w:rsidRPr="007D675F" w:rsidRDefault="005060D7" w:rsidP="00CE7F2B">
      <w:pPr>
        <w:spacing w:after="0" w:line="240" w:lineRule="auto"/>
        <w:ind w:firstLine="720"/>
        <w:jc w:val="both"/>
        <w:rPr>
          <w:rFonts w:ascii="Times New Roman" w:hAnsi="Times New Roman"/>
          <w:sz w:val="28"/>
          <w:szCs w:val="28"/>
        </w:rPr>
      </w:pPr>
      <w:r w:rsidRPr="007D675F">
        <w:rPr>
          <w:rFonts w:ascii="Times New Roman" w:hAnsi="Times New Roman"/>
          <w:sz w:val="28"/>
          <w:szCs w:val="28"/>
        </w:rPr>
        <w:t xml:space="preserve">Filiālēm </w:t>
      </w:r>
      <w:r w:rsidR="003F2E49" w:rsidRPr="007D675F">
        <w:rPr>
          <w:rFonts w:ascii="Times New Roman" w:hAnsi="Times New Roman"/>
          <w:sz w:val="28"/>
          <w:szCs w:val="28"/>
        </w:rPr>
        <w:t>b</w:t>
      </w:r>
      <w:r w:rsidRPr="007D675F">
        <w:rPr>
          <w:rFonts w:ascii="Times New Roman" w:hAnsi="Times New Roman"/>
          <w:sz w:val="28"/>
          <w:szCs w:val="28"/>
        </w:rPr>
        <w:t>i</w:t>
      </w:r>
      <w:r w:rsidR="003F2E49" w:rsidRPr="007D675F">
        <w:rPr>
          <w:rFonts w:ascii="Times New Roman" w:hAnsi="Times New Roman"/>
          <w:sz w:val="28"/>
          <w:szCs w:val="28"/>
        </w:rPr>
        <w:t>ja</w:t>
      </w:r>
      <w:r w:rsidRPr="007D675F">
        <w:rPr>
          <w:rFonts w:ascii="Times New Roman" w:hAnsi="Times New Roman"/>
          <w:sz w:val="28"/>
          <w:szCs w:val="28"/>
        </w:rPr>
        <w:t xml:space="preserve"> grūtības atrast bezdarbniekus, kuri būtu ar mieru uzsākt mācības</w:t>
      </w:r>
      <w:r w:rsidR="003F2E49" w:rsidRPr="007D675F">
        <w:rPr>
          <w:rFonts w:ascii="Times New Roman" w:hAnsi="Times New Roman"/>
          <w:sz w:val="28"/>
          <w:szCs w:val="28"/>
        </w:rPr>
        <w:t xml:space="preserve"> ārpus viņu apdzīvotajām administratīvajām teritorijām</w:t>
      </w:r>
      <w:r w:rsidRPr="007D675F">
        <w:rPr>
          <w:rFonts w:ascii="Times New Roman" w:hAnsi="Times New Roman"/>
          <w:sz w:val="28"/>
          <w:szCs w:val="28"/>
        </w:rPr>
        <w:t xml:space="preserve">. </w:t>
      </w:r>
      <w:r w:rsidRPr="007D675F">
        <w:rPr>
          <w:rFonts w:ascii="Times New Roman" w:hAnsi="Times New Roman"/>
          <w:sz w:val="28"/>
          <w:szCs w:val="28"/>
        </w:rPr>
        <w:lastRenderedPageBreak/>
        <w:t>Bezdarbniekiem tika piedāvāta iespēja dzīvot izglītības iestāžu kopmītn</w:t>
      </w:r>
      <w:r w:rsidR="003F2E49" w:rsidRPr="007D675F">
        <w:rPr>
          <w:rFonts w:ascii="Times New Roman" w:hAnsi="Times New Roman"/>
          <w:sz w:val="28"/>
          <w:szCs w:val="28"/>
        </w:rPr>
        <w:t>ēs</w:t>
      </w:r>
      <w:r w:rsidRPr="007D675F">
        <w:rPr>
          <w:rFonts w:ascii="Times New Roman" w:hAnsi="Times New Roman"/>
          <w:sz w:val="28"/>
          <w:szCs w:val="28"/>
        </w:rPr>
        <w:t xml:space="preserve">, bet neviens neizmantoja šo iespēju, jo apmācāmie nevēlējās dzīvot šķirti no savām ģimenēm. </w:t>
      </w:r>
      <w:r w:rsidRPr="007D675F">
        <w:rPr>
          <w:rFonts w:ascii="Times New Roman" w:hAnsi="Times New Roman"/>
          <w:bCs/>
          <w:sz w:val="28"/>
          <w:szCs w:val="28"/>
        </w:rPr>
        <w:t xml:space="preserve">Jāpiebilst, ka </w:t>
      </w:r>
      <w:r w:rsidR="00FE502E" w:rsidRPr="007D675F">
        <w:rPr>
          <w:rFonts w:ascii="Times New Roman" w:hAnsi="Times New Roman"/>
          <w:bCs/>
          <w:sz w:val="28"/>
          <w:szCs w:val="28"/>
        </w:rPr>
        <w:t>i</w:t>
      </w:r>
      <w:r w:rsidRPr="007D675F">
        <w:rPr>
          <w:rFonts w:ascii="Times New Roman" w:hAnsi="Times New Roman"/>
          <w:bCs/>
          <w:sz w:val="28"/>
          <w:szCs w:val="28"/>
        </w:rPr>
        <w:t xml:space="preserve">zmēģinājumprojekta laikā netika piemērots </w:t>
      </w:r>
      <w:r w:rsidRPr="007D675F">
        <w:rPr>
          <w:rFonts w:ascii="Times New Roman" w:hAnsi="Times New Roman"/>
          <w:sz w:val="28"/>
          <w:szCs w:val="28"/>
        </w:rPr>
        <w:t>mobilitātes atbalsta pasākums.</w:t>
      </w:r>
    </w:p>
    <w:p w14:paraId="0A25EF22" w14:textId="2C28F1EA" w:rsidR="005060D7" w:rsidRPr="007D675F" w:rsidRDefault="00D64BA7" w:rsidP="00CE7F2B">
      <w:pPr>
        <w:spacing w:after="0" w:line="240" w:lineRule="auto"/>
        <w:ind w:firstLine="720"/>
        <w:jc w:val="both"/>
        <w:rPr>
          <w:rFonts w:ascii="Times New Roman" w:hAnsi="Times New Roman"/>
          <w:bCs/>
          <w:sz w:val="28"/>
          <w:szCs w:val="28"/>
        </w:rPr>
      </w:pPr>
      <w:r w:rsidRPr="007D675F">
        <w:rPr>
          <w:rFonts w:ascii="Times New Roman" w:hAnsi="Times New Roman"/>
          <w:sz w:val="28"/>
          <w:szCs w:val="28"/>
        </w:rPr>
        <w:t xml:space="preserve">Komplektējot izglītojamo grupas, </w:t>
      </w:r>
      <w:r w:rsidR="005060D7" w:rsidRPr="007D675F">
        <w:rPr>
          <w:rFonts w:ascii="Times New Roman" w:hAnsi="Times New Roman"/>
          <w:sz w:val="28"/>
          <w:szCs w:val="28"/>
        </w:rPr>
        <w:t>Aģentūra</w:t>
      </w:r>
      <w:r w:rsidRPr="007D675F">
        <w:rPr>
          <w:rFonts w:ascii="Times New Roman" w:hAnsi="Times New Roman"/>
          <w:sz w:val="28"/>
          <w:szCs w:val="28"/>
        </w:rPr>
        <w:t xml:space="preserve"> centās respektēt arī bezdarbnieka vēlmi attiecībā uz apgūstamo profesiju, taču vienlaikus saskārās ar grūtībām to salāgot ar </w:t>
      </w:r>
      <w:proofErr w:type="spellStart"/>
      <w:r w:rsidR="00FE502E" w:rsidRPr="007D675F">
        <w:rPr>
          <w:rFonts w:ascii="Times New Roman" w:hAnsi="Times New Roman"/>
          <w:sz w:val="28"/>
          <w:szCs w:val="28"/>
        </w:rPr>
        <w:t>i</w:t>
      </w:r>
      <w:r w:rsidRPr="007D675F">
        <w:rPr>
          <w:rFonts w:ascii="Times New Roman" w:hAnsi="Times New Roman"/>
          <w:sz w:val="28"/>
          <w:szCs w:val="28"/>
        </w:rPr>
        <w:t>zmēģinājumprojektā</w:t>
      </w:r>
      <w:proofErr w:type="spellEnd"/>
      <w:r w:rsidRPr="007D675F">
        <w:rPr>
          <w:rFonts w:ascii="Times New Roman" w:hAnsi="Times New Roman"/>
          <w:sz w:val="28"/>
          <w:szCs w:val="28"/>
        </w:rPr>
        <w:t xml:space="preserve"> pieejamajām (piemēram, šuvēja profesiju, kas pakāpeniski sāk zaudēt savu popularitāti darba tirgū, izvēlējās tikai 5 bezdarbnieki)</w:t>
      </w:r>
      <w:r w:rsidR="005060D7" w:rsidRPr="007D675F">
        <w:rPr>
          <w:rFonts w:ascii="Times New Roman" w:hAnsi="Times New Roman"/>
          <w:sz w:val="28"/>
          <w:szCs w:val="28"/>
        </w:rPr>
        <w:t xml:space="preserve">. </w:t>
      </w:r>
    </w:p>
    <w:p w14:paraId="6C539130" w14:textId="49E87998" w:rsidR="00EA3950" w:rsidRPr="007D675F" w:rsidRDefault="005060D7" w:rsidP="00CE7F2B">
      <w:pPr>
        <w:spacing w:after="0" w:line="240" w:lineRule="auto"/>
        <w:ind w:firstLine="720"/>
        <w:jc w:val="both"/>
        <w:rPr>
          <w:rFonts w:ascii="Times New Roman" w:hAnsi="Times New Roman"/>
          <w:sz w:val="28"/>
          <w:szCs w:val="28"/>
        </w:rPr>
      </w:pPr>
      <w:r w:rsidRPr="007D675F">
        <w:rPr>
          <w:rFonts w:ascii="Times New Roman" w:hAnsi="Times New Roman"/>
          <w:sz w:val="28"/>
          <w:szCs w:val="28"/>
        </w:rPr>
        <w:t>Visbeidzot</w:t>
      </w:r>
      <w:r w:rsidR="00D64BA7" w:rsidRPr="007D675F">
        <w:rPr>
          <w:rFonts w:ascii="Times New Roman" w:hAnsi="Times New Roman"/>
          <w:sz w:val="28"/>
          <w:szCs w:val="28"/>
        </w:rPr>
        <w:t>,</w:t>
      </w:r>
      <w:r w:rsidRPr="007D675F">
        <w:rPr>
          <w:rFonts w:ascii="Times New Roman" w:hAnsi="Times New Roman"/>
          <w:sz w:val="28"/>
          <w:szCs w:val="28"/>
        </w:rPr>
        <w:t xml:space="preserve"> </w:t>
      </w:r>
      <w:r w:rsidR="00D64BA7" w:rsidRPr="007D675F">
        <w:rPr>
          <w:rFonts w:ascii="Times New Roman" w:hAnsi="Times New Roman"/>
          <w:sz w:val="28"/>
          <w:szCs w:val="28"/>
        </w:rPr>
        <w:t xml:space="preserve">lai izpildītu </w:t>
      </w:r>
      <w:r w:rsidR="00FE502E" w:rsidRPr="007D675F">
        <w:rPr>
          <w:rFonts w:ascii="Times New Roman" w:hAnsi="Times New Roman"/>
          <w:sz w:val="28"/>
          <w:szCs w:val="28"/>
        </w:rPr>
        <w:t>i</w:t>
      </w:r>
      <w:r w:rsidR="00D64BA7" w:rsidRPr="007D675F">
        <w:rPr>
          <w:rFonts w:ascii="Times New Roman" w:hAnsi="Times New Roman"/>
          <w:sz w:val="28"/>
          <w:szCs w:val="28"/>
        </w:rPr>
        <w:t xml:space="preserve">zmēģinājumprojekta plānoto rādītāju, </w:t>
      </w:r>
      <w:r w:rsidRPr="007D675F">
        <w:rPr>
          <w:rFonts w:ascii="Times New Roman" w:hAnsi="Times New Roman"/>
          <w:sz w:val="28"/>
          <w:szCs w:val="28"/>
        </w:rPr>
        <w:t xml:space="preserve">bezdarbnieku atlasēs </w:t>
      </w:r>
      <w:r w:rsidR="00D64BA7" w:rsidRPr="007D675F">
        <w:rPr>
          <w:rFonts w:ascii="Times New Roman" w:hAnsi="Times New Roman"/>
          <w:sz w:val="28"/>
          <w:szCs w:val="28"/>
        </w:rPr>
        <w:t xml:space="preserve">nācās </w:t>
      </w:r>
      <w:r w:rsidRPr="007D675F">
        <w:rPr>
          <w:rFonts w:ascii="Times New Roman" w:hAnsi="Times New Roman"/>
          <w:sz w:val="28"/>
          <w:szCs w:val="28"/>
        </w:rPr>
        <w:t>iesaistīt</w:t>
      </w:r>
      <w:r w:rsidR="00D64BA7" w:rsidRPr="007D675F">
        <w:rPr>
          <w:rFonts w:ascii="Times New Roman" w:hAnsi="Times New Roman"/>
          <w:sz w:val="28"/>
          <w:szCs w:val="28"/>
        </w:rPr>
        <w:t xml:space="preserve"> klientus no </w:t>
      </w:r>
      <w:r w:rsidRPr="007D675F">
        <w:rPr>
          <w:rFonts w:ascii="Times New Roman" w:hAnsi="Times New Roman"/>
          <w:sz w:val="28"/>
          <w:szCs w:val="28"/>
        </w:rPr>
        <w:t>Aģentūras filiāl</w:t>
      </w:r>
      <w:r w:rsidR="00D64BA7" w:rsidRPr="007D675F">
        <w:rPr>
          <w:rFonts w:ascii="Times New Roman" w:hAnsi="Times New Roman"/>
          <w:sz w:val="28"/>
          <w:szCs w:val="28"/>
        </w:rPr>
        <w:t xml:space="preserve">ēm, kuras sākotnēji nebija plānots iesaistīt </w:t>
      </w:r>
      <w:proofErr w:type="spellStart"/>
      <w:r w:rsidR="00FE502E" w:rsidRPr="007D675F">
        <w:rPr>
          <w:rFonts w:ascii="Times New Roman" w:hAnsi="Times New Roman"/>
          <w:sz w:val="28"/>
          <w:szCs w:val="28"/>
        </w:rPr>
        <w:t>i</w:t>
      </w:r>
      <w:r w:rsidR="00D64BA7" w:rsidRPr="007D675F">
        <w:rPr>
          <w:rFonts w:ascii="Times New Roman" w:hAnsi="Times New Roman"/>
          <w:sz w:val="28"/>
          <w:szCs w:val="28"/>
        </w:rPr>
        <w:t>zmēģinājumprojektā</w:t>
      </w:r>
      <w:proofErr w:type="spellEnd"/>
      <w:r w:rsidRPr="007D675F">
        <w:rPr>
          <w:rFonts w:ascii="Times New Roman" w:hAnsi="Times New Roman"/>
          <w:sz w:val="28"/>
          <w:szCs w:val="28"/>
        </w:rPr>
        <w:t xml:space="preserve">. Piemēram, Rīgas </w:t>
      </w:r>
      <w:r w:rsidR="009F4EE6" w:rsidRPr="007D675F">
        <w:rPr>
          <w:rFonts w:ascii="Times New Roman" w:hAnsi="Times New Roman"/>
          <w:sz w:val="28"/>
          <w:szCs w:val="28"/>
        </w:rPr>
        <w:t>reģionālajā filiālē</w:t>
      </w:r>
      <w:r w:rsidRPr="007D675F">
        <w:rPr>
          <w:rFonts w:ascii="Times New Roman" w:hAnsi="Times New Roman"/>
          <w:sz w:val="28"/>
          <w:szCs w:val="28"/>
        </w:rPr>
        <w:t xml:space="preserve"> piesaistīti 4 bezdarbnieki no Ogres, Saldus un Siguldas filiālēm. Tukuma filiālē - 3 bezdarbnieki no Dobeles, Jūrmalas un Talsu filiālēm. Savukārt attāluma dēļ </w:t>
      </w:r>
      <w:r w:rsidR="00DB3FC1" w:rsidRPr="007D675F">
        <w:rPr>
          <w:rFonts w:ascii="Times New Roman" w:hAnsi="Times New Roman"/>
          <w:sz w:val="28"/>
          <w:szCs w:val="28"/>
        </w:rPr>
        <w:t xml:space="preserve">(starp filiālēm un mācību iestādēm) </w:t>
      </w:r>
      <w:r w:rsidRPr="007D675F">
        <w:rPr>
          <w:rFonts w:ascii="Times New Roman" w:hAnsi="Times New Roman"/>
          <w:sz w:val="28"/>
          <w:szCs w:val="28"/>
        </w:rPr>
        <w:t xml:space="preserve">sadarbības iespējas ar citām filiālēm bija ierobežotas. </w:t>
      </w:r>
    </w:p>
    <w:p w14:paraId="2C87975B" w14:textId="46B36215" w:rsidR="00D21758" w:rsidRPr="007D675F" w:rsidRDefault="00D21758" w:rsidP="00CE7F2B">
      <w:pPr>
        <w:spacing w:after="0" w:line="240" w:lineRule="auto"/>
        <w:rPr>
          <w:rFonts w:ascii="Times New Roman" w:hAnsi="Times New Roman"/>
          <w:b/>
          <w:bCs/>
          <w:kern w:val="32"/>
          <w:sz w:val="28"/>
          <w:szCs w:val="28"/>
        </w:rPr>
      </w:pPr>
      <w:bookmarkStart w:id="3" w:name="_Toc411246701"/>
    </w:p>
    <w:p w14:paraId="5DDB7D3A" w14:textId="76942620" w:rsidR="005060D7" w:rsidRPr="007D675F" w:rsidRDefault="00DC2DB3" w:rsidP="00CE7F2B">
      <w:pPr>
        <w:pStyle w:val="Heading1"/>
        <w:spacing w:before="0" w:after="0"/>
        <w:jc w:val="center"/>
        <w:rPr>
          <w:rFonts w:ascii="Times New Roman" w:hAnsi="Times New Roman"/>
          <w:sz w:val="28"/>
          <w:szCs w:val="28"/>
        </w:rPr>
      </w:pPr>
      <w:r w:rsidRPr="007D675F">
        <w:rPr>
          <w:rFonts w:ascii="Times New Roman" w:hAnsi="Times New Roman"/>
          <w:sz w:val="28"/>
          <w:szCs w:val="28"/>
        </w:rPr>
        <w:t>4</w:t>
      </w:r>
      <w:r w:rsidR="005060D7" w:rsidRPr="007D675F">
        <w:rPr>
          <w:rFonts w:ascii="Times New Roman" w:hAnsi="Times New Roman"/>
          <w:sz w:val="28"/>
          <w:szCs w:val="28"/>
        </w:rPr>
        <w:t>. Uz pieprasījumu virzīta pakalpojuma sniegšana</w:t>
      </w:r>
      <w:bookmarkEnd w:id="3"/>
    </w:p>
    <w:p w14:paraId="485FF0D6" w14:textId="77777777" w:rsidR="005060D7" w:rsidRPr="007D675F" w:rsidRDefault="005060D7" w:rsidP="00CE7F2B">
      <w:pPr>
        <w:spacing w:after="0" w:line="240" w:lineRule="auto"/>
        <w:jc w:val="both"/>
        <w:rPr>
          <w:rFonts w:ascii="Times New Roman" w:hAnsi="Times New Roman"/>
          <w:sz w:val="28"/>
          <w:szCs w:val="28"/>
        </w:rPr>
      </w:pPr>
    </w:p>
    <w:p w14:paraId="23A7289F" w14:textId="326BFBFB" w:rsidR="006F319B" w:rsidRPr="007D675F" w:rsidRDefault="00EA3950" w:rsidP="00CE7F2B">
      <w:pPr>
        <w:spacing w:after="0" w:line="240" w:lineRule="auto"/>
        <w:ind w:firstLine="720"/>
        <w:jc w:val="both"/>
        <w:rPr>
          <w:rFonts w:ascii="Times New Roman" w:hAnsi="Times New Roman"/>
          <w:sz w:val="28"/>
          <w:szCs w:val="28"/>
        </w:rPr>
      </w:pPr>
      <w:r w:rsidRPr="007D675F">
        <w:rPr>
          <w:rFonts w:ascii="Times New Roman" w:hAnsi="Times New Roman"/>
          <w:sz w:val="28"/>
          <w:szCs w:val="28"/>
        </w:rPr>
        <w:t xml:space="preserve">PB </w:t>
      </w:r>
      <w:r w:rsidR="005060D7" w:rsidRPr="007D675F">
        <w:rPr>
          <w:rFonts w:ascii="Times New Roman" w:hAnsi="Times New Roman"/>
          <w:sz w:val="28"/>
          <w:szCs w:val="28"/>
        </w:rPr>
        <w:t xml:space="preserve">pētījumā tika norādīts, ka profesionālās izglītības programmas sniedz labus rezultātus gan nodarbinātības, gan darba ienākumu veidā, ja salīdzina ar tiem bezdarbniekiem, kas neiesaistās profesionālās izglītības programmu apguvē. </w:t>
      </w:r>
    </w:p>
    <w:p w14:paraId="5ECE1E4C" w14:textId="14724301" w:rsidR="00E95F53" w:rsidRPr="007D675F" w:rsidRDefault="006F319B" w:rsidP="00CE7F2B">
      <w:pPr>
        <w:spacing w:after="0" w:line="240" w:lineRule="auto"/>
        <w:ind w:firstLine="720"/>
        <w:jc w:val="both"/>
        <w:rPr>
          <w:rFonts w:ascii="Times New Roman" w:hAnsi="Times New Roman"/>
          <w:bCs/>
          <w:iCs/>
          <w:spacing w:val="-4"/>
          <w:sz w:val="28"/>
          <w:szCs w:val="28"/>
        </w:rPr>
      </w:pPr>
      <w:r w:rsidRPr="007D675F">
        <w:rPr>
          <w:rFonts w:ascii="Times New Roman" w:hAnsi="Times New Roman"/>
          <w:sz w:val="28"/>
          <w:szCs w:val="28"/>
        </w:rPr>
        <w:t xml:space="preserve">Objektīvu </w:t>
      </w:r>
      <w:r w:rsidR="00FE502E" w:rsidRPr="007D675F">
        <w:rPr>
          <w:rFonts w:ascii="Times New Roman" w:hAnsi="Times New Roman"/>
          <w:sz w:val="28"/>
          <w:szCs w:val="28"/>
        </w:rPr>
        <w:t>i</w:t>
      </w:r>
      <w:r w:rsidR="005060D7" w:rsidRPr="007D675F">
        <w:rPr>
          <w:rFonts w:ascii="Times New Roman" w:hAnsi="Times New Roman"/>
          <w:sz w:val="28"/>
          <w:szCs w:val="28"/>
        </w:rPr>
        <w:t xml:space="preserve">zmēģinājumprojekta efektivitātes </w:t>
      </w:r>
      <w:r w:rsidR="005060D7" w:rsidRPr="007D675F">
        <w:rPr>
          <w:rFonts w:ascii="Times New Roman" w:hAnsi="Times New Roman"/>
          <w:bCs/>
          <w:iCs/>
          <w:spacing w:val="-4"/>
          <w:sz w:val="28"/>
          <w:szCs w:val="28"/>
        </w:rPr>
        <w:t>izvērtējumu, t.sk., salīdzinot šo pieeju (</w:t>
      </w:r>
      <w:proofErr w:type="spellStart"/>
      <w:r w:rsidR="00FE502E" w:rsidRPr="007D675F">
        <w:rPr>
          <w:rFonts w:ascii="Times New Roman" w:hAnsi="Times New Roman"/>
          <w:bCs/>
          <w:iCs/>
          <w:spacing w:val="-4"/>
          <w:sz w:val="28"/>
          <w:szCs w:val="28"/>
        </w:rPr>
        <w:t>i</w:t>
      </w:r>
      <w:r w:rsidR="005060D7" w:rsidRPr="007D675F">
        <w:rPr>
          <w:rFonts w:ascii="Times New Roman" w:hAnsi="Times New Roman"/>
          <w:bCs/>
          <w:iCs/>
          <w:spacing w:val="-4"/>
          <w:sz w:val="28"/>
          <w:szCs w:val="28"/>
        </w:rPr>
        <w:t>zmēģinājumprojektā</w:t>
      </w:r>
      <w:proofErr w:type="spellEnd"/>
      <w:r w:rsidR="005060D7" w:rsidRPr="007D675F">
        <w:rPr>
          <w:rFonts w:ascii="Times New Roman" w:hAnsi="Times New Roman"/>
          <w:bCs/>
          <w:iCs/>
          <w:spacing w:val="-4"/>
          <w:sz w:val="28"/>
          <w:szCs w:val="28"/>
        </w:rPr>
        <w:t xml:space="preserve"> </w:t>
      </w:r>
      <w:r w:rsidR="005060D7" w:rsidRPr="007D675F">
        <w:rPr>
          <w:rFonts w:ascii="Times New Roman" w:hAnsi="Times New Roman"/>
          <w:sz w:val="28"/>
          <w:szCs w:val="28"/>
        </w:rPr>
        <w:t xml:space="preserve">netika piemērota apmācību kuponu metode un bezdarbnieku grupu komplektāciju veica Aģentūra sadarbībā ar izglītības iestādēm) </w:t>
      </w:r>
      <w:r w:rsidR="005060D7" w:rsidRPr="007D675F">
        <w:rPr>
          <w:rFonts w:ascii="Times New Roman" w:hAnsi="Times New Roman"/>
          <w:bCs/>
          <w:iCs/>
          <w:spacing w:val="-4"/>
          <w:sz w:val="28"/>
          <w:szCs w:val="28"/>
        </w:rPr>
        <w:t>ar „apmācību kuponu” sistēmas metodi (</w:t>
      </w:r>
      <w:r w:rsidR="005060D7" w:rsidRPr="007D675F">
        <w:rPr>
          <w:rFonts w:ascii="Times New Roman" w:hAnsi="Times New Roman"/>
          <w:sz w:val="28"/>
          <w:szCs w:val="28"/>
        </w:rPr>
        <w:t xml:space="preserve">bezdarbnieku tālākizglītībā ieviesta kopš 2011. gada, kurā </w:t>
      </w:r>
      <w:r w:rsidR="005060D7" w:rsidRPr="007D675F">
        <w:rPr>
          <w:rFonts w:ascii="Times New Roman" w:hAnsi="Times New Roman"/>
          <w:bCs/>
          <w:sz w:val="28"/>
          <w:szCs w:val="28"/>
        </w:rPr>
        <w:t>Aģentūra neveic grupu komplektāciju, bet gan bezdarbniekam izsniedz kuponu dalībai atbilstošā programmā)</w:t>
      </w:r>
      <w:r w:rsidR="005060D7" w:rsidRPr="007D675F">
        <w:rPr>
          <w:rFonts w:ascii="Times New Roman" w:hAnsi="Times New Roman"/>
          <w:sz w:val="28"/>
          <w:szCs w:val="28"/>
          <w:lang w:eastAsia="lv-LV"/>
        </w:rPr>
        <w:t>,</w:t>
      </w:r>
      <w:r w:rsidRPr="007D675F">
        <w:rPr>
          <w:rFonts w:ascii="Times New Roman" w:hAnsi="Times New Roman"/>
          <w:sz w:val="28"/>
          <w:szCs w:val="28"/>
          <w:lang w:eastAsia="lv-LV"/>
        </w:rPr>
        <w:t xml:space="preserve"> varēs veikt</w:t>
      </w:r>
      <w:r w:rsidR="00E95F53" w:rsidRPr="007D675F">
        <w:rPr>
          <w:rFonts w:ascii="Times New Roman" w:hAnsi="Times New Roman"/>
          <w:sz w:val="28"/>
          <w:szCs w:val="28"/>
          <w:lang w:eastAsia="lv-LV"/>
        </w:rPr>
        <w:t xml:space="preserve"> </w:t>
      </w:r>
      <w:r w:rsidR="00E95F53" w:rsidRPr="007D675F">
        <w:rPr>
          <w:rFonts w:ascii="Times New Roman" w:hAnsi="Times New Roman"/>
          <w:bCs/>
          <w:iCs/>
          <w:spacing w:val="-4"/>
          <w:sz w:val="28"/>
          <w:szCs w:val="28"/>
        </w:rPr>
        <w:t xml:space="preserve">tikai pēc tam, kad būs pagājuši vismaz 6 mēneši pēc </w:t>
      </w:r>
      <w:r w:rsidR="00E95F53" w:rsidRPr="007D675F">
        <w:rPr>
          <w:rFonts w:ascii="Times New Roman" w:hAnsi="Times New Roman"/>
          <w:sz w:val="28"/>
          <w:szCs w:val="28"/>
        </w:rPr>
        <w:t>tālākizglītības programmu apguves</w:t>
      </w:r>
      <w:r w:rsidR="00C76BD0" w:rsidRPr="007D675F">
        <w:rPr>
          <w:rFonts w:ascii="Times New Roman" w:hAnsi="Times New Roman"/>
          <w:bCs/>
          <w:iCs/>
          <w:spacing w:val="-4"/>
          <w:sz w:val="28"/>
          <w:szCs w:val="28"/>
        </w:rPr>
        <w:t xml:space="preserve"> jeb pēc 2015. gada jūnija, jo </w:t>
      </w:r>
      <w:r w:rsidR="00E95F53" w:rsidRPr="007D675F">
        <w:rPr>
          <w:rFonts w:ascii="Times New Roman" w:hAnsi="Times New Roman"/>
          <w:bCs/>
          <w:iCs/>
          <w:spacing w:val="-4"/>
          <w:sz w:val="28"/>
          <w:szCs w:val="28"/>
        </w:rPr>
        <w:t>pēdējā bezdarbnieku grupa mācība</w:t>
      </w:r>
      <w:r w:rsidR="00C76BD0" w:rsidRPr="007D675F">
        <w:rPr>
          <w:rFonts w:ascii="Times New Roman" w:hAnsi="Times New Roman"/>
          <w:bCs/>
          <w:iCs/>
          <w:spacing w:val="-4"/>
          <w:sz w:val="28"/>
          <w:szCs w:val="28"/>
        </w:rPr>
        <w:t>s pabeidza 2014. gada decembrī (papildus informatīvais ziņojums attiecībā uz izmēģinājumprojekta efektivitātes izvērtējumu nav plānots).</w:t>
      </w:r>
    </w:p>
    <w:p w14:paraId="246D2ED7" w14:textId="05BFF599" w:rsidR="00214C90" w:rsidRPr="007D675F" w:rsidRDefault="005060D7" w:rsidP="00CE7F2B">
      <w:pPr>
        <w:spacing w:after="0" w:line="240" w:lineRule="auto"/>
        <w:ind w:firstLine="720"/>
        <w:jc w:val="both"/>
        <w:rPr>
          <w:rFonts w:ascii="Times New Roman" w:hAnsi="Times New Roman"/>
          <w:bCs/>
          <w:iCs/>
          <w:spacing w:val="-4"/>
          <w:sz w:val="28"/>
          <w:szCs w:val="28"/>
        </w:rPr>
      </w:pPr>
      <w:r w:rsidRPr="007D675F">
        <w:rPr>
          <w:rFonts w:ascii="Times New Roman" w:hAnsi="Times New Roman"/>
          <w:bCs/>
          <w:iCs/>
          <w:spacing w:val="-4"/>
          <w:sz w:val="28"/>
          <w:szCs w:val="28"/>
        </w:rPr>
        <w:t xml:space="preserve"> </w:t>
      </w:r>
      <w:r w:rsidR="006F319B" w:rsidRPr="007D675F">
        <w:rPr>
          <w:rFonts w:ascii="Times New Roman" w:hAnsi="Times New Roman"/>
          <w:bCs/>
          <w:iCs/>
          <w:spacing w:val="-4"/>
          <w:sz w:val="28"/>
          <w:szCs w:val="28"/>
        </w:rPr>
        <w:t>Jāpiebilst</w:t>
      </w:r>
      <w:r w:rsidR="008B3FA1" w:rsidRPr="007D675F">
        <w:rPr>
          <w:rFonts w:ascii="Times New Roman" w:hAnsi="Times New Roman"/>
          <w:bCs/>
          <w:iCs/>
          <w:spacing w:val="-4"/>
          <w:sz w:val="28"/>
          <w:szCs w:val="28"/>
        </w:rPr>
        <w:t xml:space="preserve">, ka </w:t>
      </w:r>
      <w:r w:rsidR="00D1296F" w:rsidRPr="007D675F">
        <w:rPr>
          <w:rFonts w:ascii="Times New Roman" w:hAnsi="Times New Roman"/>
          <w:bCs/>
          <w:iCs/>
          <w:spacing w:val="-4"/>
          <w:sz w:val="28"/>
          <w:szCs w:val="28"/>
        </w:rPr>
        <w:t>Aģentūras statistika līdz 2014. gada 31</w:t>
      </w:r>
      <w:r w:rsidR="008B3FA1" w:rsidRPr="007D675F">
        <w:rPr>
          <w:rFonts w:ascii="Times New Roman" w:hAnsi="Times New Roman"/>
          <w:bCs/>
          <w:iCs/>
          <w:spacing w:val="-4"/>
          <w:sz w:val="28"/>
          <w:szCs w:val="28"/>
        </w:rPr>
        <w:t>. decembrim</w:t>
      </w:r>
      <w:r w:rsidR="00254D0B" w:rsidRPr="007D675F">
        <w:rPr>
          <w:rFonts w:ascii="Times New Roman" w:hAnsi="Times New Roman"/>
          <w:bCs/>
          <w:iCs/>
          <w:spacing w:val="-4"/>
          <w:sz w:val="28"/>
          <w:szCs w:val="28"/>
        </w:rPr>
        <w:t xml:space="preserve"> uzrāda</w:t>
      </w:r>
      <w:r w:rsidR="00D1296F" w:rsidRPr="007D675F">
        <w:rPr>
          <w:rFonts w:ascii="Times New Roman" w:hAnsi="Times New Roman"/>
          <w:bCs/>
          <w:iCs/>
          <w:spacing w:val="-4"/>
          <w:sz w:val="28"/>
          <w:szCs w:val="28"/>
        </w:rPr>
        <w:t>, ka</w:t>
      </w:r>
      <w:r w:rsidR="008B3FA1" w:rsidRPr="007D675F">
        <w:rPr>
          <w:rFonts w:ascii="Times New Roman" w:hAnsi="Times New Roman"/>
          <w:bCs/>
          <w:iCs/>
          <w:spacing w:val="-4"/>
          <w:sz w:val="28"/>
          <w:szCs w:val="28"/>
        </w:rPr>
        <w:t xml:space="preserve"> pi</w:t>
      </w:r>
      <w:r w:rsidR="00BD5F43" w:rsidRPr="007D675F">
        <w:rPr>
          <w:rFonts w:ascii="Times New Roman" w:hAnsi="Times New Roman"/>
          <w:bCs/>
          <w:iCs/>
          <w:spacing w:val="-4"/>
          <w:sz w:val="28"/>
          <w:szCs w:val="28"/>
        </w:rPr>
        <w:t>rmo 6 mēnešu laikā pēc izglītības apguves</w:t>
      </w:r>
      <w:r w:rsidR="008B3FA1" w:rsidRPr="007D675F">
        <w:rPr>
          <w:rFonts w:ascii="Times New Roman" w:hAnsi="Times New Roman"/>
          <w:bCs/>
          <w:iCs/>
          <w:spacing w:val="-4"/>
          <w:sz w:val="28"/>
          <w:szCs w:val="28"/>
        </w:rPr>
        <w:t xml:space="preserve"> darbā iekārtojās 55 bezdarbnieki, kas sastāda 33.5% no </w:t>
      </w:r>
      <w:proofErr w:type="spellStart"/>
      <w:r w:rsidR="00FE502E" w:rsidRPr="007D675F">
        <w:rPr>
          <w:rFonts w:ascii="Times New Roman" w:hAnsi="Times New Roman"/>
          <w:bCs/>
          <w:iCs/>
          <w:spacing w:val="-4"/>
          <w:sz w:val="28"/>
          <w:szCs w:val="28"/>
        </w:rPr>
        <w:t>i</w:t>
      </w:r>
      <w:r w:rsidR="00DA365E" w:rsidRPr="007D675F">
        <w:rPr>
          <w:rFonts w:ascii="Times New Roman" w:hAnsi="Times New Roman"/>
          <w:bCs/>
          <w:iCs/>
          <w:spacing w:val="-4"/>
          <w:sz w:val="28"/>
          <w:szCs w:val="28"/>
        </w:rPr>
        <w:t>zmēģinājumprojektā</w:t>
      </w:r>
      <w:proofErr w:type="spellEnd"/>
      <w:r w:rsidR="00DA365E" w:rsidRPr="007D675F">
        <w:rPr>
          <w:rFonts w:ascii="Times New Roman" w:hAnsi="Times New Roman"/>
          <w:bCs/>
          <w:iCs/>
          <w:spacing w:val="-4"/>
          <w:sz w:val="28"/>
          <w:szCs w:val="28"/>
        </w:rPr>
        <w:t xml:space="preserve"> iesaistītajiem 164 bezdarbniekiem. 47 bezdarbnieki </w:t>
      </w:r>
      <w:r w:rsidR="008B3FA1" w:rsidRPr="007D675F">
        <w:rPr>
          <w:rFonts w:ascii="Times New Roman" w:hAnsi="Times New Roman"/>
          <w:bCs/>
          <w:iCs/>
          <w:spacing w:val="-4"/>
          <w:sz w:val="28"/>
          <w:szCs w:val="28"/>
        </w:rPr>
        <w:t>jeb 28.6% joprojām atrodas Aģentūras uzskaitē.</w:t>
      </w:r>
    </w:p>
    <w:p w14:paraId="0BAAB0CC" w14:textId="7580BB44" w:rsidR="00BC116C" w:rsidRPr="007D675F" w:rsidRDefault="005060D7" w:rsidP="00CE7F2B">
      <w:pPr>
        <w:spacing w:after="0" w:line="240" w:lineRule="auto"/>
        <w:ind w:firstLine="720"/>
        <w:jc w:val="both"/>
        <w:rPr>
          <w:rFonts w:ascii="Times New Roman" w:hAnsi="Times New Roman"/>
          <w:sz w:val="28"/>
          <w:szCs w:val="28"/>
        </w:rPr>
      </w:pPr>
      <w:r w:rsidRPr="007D675F">
        <w:rPr>
          <w:rFonts w:ascii="Times New Roman" w:hAnsi="Times New Roman"/>
          <w:sz w:val="28"/>
          <w:szCs w:val="28"/>
        </w:rPr>
        <w:t xml:space="preserve">Atbilstoši PB pētījuma atziņām apmācību kuponu sistēmas darbībā svarīgākais ir pareizi noteikti un iestrādāti stimuli apmācību pakalpojumu sniedzējiem – gan privātajiem, gan publiskajiem, lai tiem būtu motivācija būt </w:t>
      </w:r>
      <w:r w:rsidRPr="007D675F">
        <w:rPr>
          <w:rFonts w:ascii="Times New Roman" w:hAnsi="Times New Roman"/>
          <w:sz w:val="28"/>
          <w:szCs w:val="28"/>
        </w:rPr>
        <w:lastRenderedPageBreak/>
        <w:t>elastīgākiem un sniegt pēc iespējas kvalitatīvāku pakalpojumu. Kopumā daudzas E</w:t>
      </w:r>
      <w:r w:rsidR="007463BA" w:rsidRPr="007D675F">
        <w:rPr>
          <w:rFonts w:ascii="Times New Roman" w:hAnsi="Times New Roman"/>
          <w:sz w:val="28"/>
          <w:szCs w:val="28"/>
        </w:rPr>
        <w:t xml:space="preserve">iropas </w:t>
      </w:r>
      <w:r w:rsidRPr="007D675F">
        <w:rPr>
          <w:rFonts w:ascii="Times New Roman" w:hAnsi="Times New Roman"/>
          <w:sz w:val="28"/>
          <w:szCs w:val="28"/>
        </w:rPr>
        <w:t>S</w:t>
      </w:r>
      <w:r w:rsidR="007463BA" w:rsidRPr="007D675F">
        <w:rPr>
          <w:rFonts w:ascii="Times New Roman" w:hAnsi="Times New Roman"/>
          <w:sz w:val="28"/>
          <w:szCs w:val="28"/>
        </w:rPr>
        <w:t>avienības</w:t>
      </w:r>
      <w:r w:rsidRPr="007D675F">
        <w:rPr>
          <w:rFonts w:ascii="Times New Roman" w:hAnsi="Times New Roman"/>
          <w:sz w:val="28"/>
          <w:szCs w:val="28"/>
        </w:rPr>
        <w:t xml:space="preserve"> dalībvalstis pāriet uz pakalpojumu kuponu sistēmām (pieprasījuma virzītu, ne</w:t>
      </w:r>
      <w:r w:rsidR="00BD5F43" w:rsidRPr="007D675F">
        <w:rPr>
          <w:rFonts w:ascii="Times New Roman" w:hAnsi="Times New Roman"/>
          <w:sz w:val="28"/>
          <w:szCs w:val="28"/>
        </w:rPr>
        <w:t>vis piedāvājuma virzītu izglītības īstenošanu</w:t>
      </w:r>
      <w:r w:rsidRPr="007D675F">
        <w:rPr>
          <w:rFonts w:ascii="Times New Roman" w:hAnsi="Times New Roman"/>
          <w:sz w:val="28"/>
          <w:szCs w:val="28"/>
        </w:rPr>
        <w:t xml:space="preserve">), jo tā labāk un ātrāk reaģē uz darba tirgus izmaiņām, nodrošina pastāvīgu motivāciju pakalpojumu sniedzējam nodrošināt augstu kvalitāti un plašu piedāvājumu. </w:t>
      </w:r>
    </w:p>
    <w:p w14:paraId="2E4D288D" w14:textId="71A2DB71" w:rsidR="00BC116C" w:rsidRPr="007D675F" w:rsidRDefault="00BC116C" w:rsidP="00CE7F2B">
      <w:pPr>
        <w:spacing w:after="0" w:line="240" w:lineRule="auto"/>
        <w:ind w:firstLine="720"/>
        <w:jc w:val="both"/>
        <w:rPr>
          <w:rFonts w:ascii="Times New Roman" w:hAnsi="Times New Roman"/>
          <w:sz w:val="28"/>
          <w:szCs w:val="28"/>
        </w:rPr>
      </w:pPr>
      <w:r w:rsidRPr="007D675F">
        <w:rPr>
          <w:rFonts w:ascii="Times New Roman" w:hAnsi="Times New Roman"/>
          <w:sz w:val="28"/>
          <w:szCs w:val="28"/>
        </w:rPr>
        <w:t>Fiksēta</w:t>
      </w:r>
      <w:r w:rsidR="00CA571B" w:rsidRPr="007D675F">
        <w:rPr>
          <w:rFonts w:ascii="Times New Roman" w:hAnsi="Times New Roman"/>
          <w:sz w:val="28"/>
          <w:szCs w:val="28"/>
        </w:rPr>
        <w:t>s</w:t>
      </w:r>
      <w:r w:rsidRPr="007D675F">
        <w:rPr>
          <w:rFonts w:ascii="Times New Roman" w:hAnsi="Times New Roman"/>
          <w:sz w:val="28"/>
          <w:szCs w:val="28"/>
        </w:rPr>
        <w:t xml:space="preserve"> kuponu vērtības noteikšana</w:t>
      </w:r>
      <w:r w:rsidR="00952A30" w:rsidRPr="007D675F">
        <w:rPr>
          <w:rFonts w:ascii="Times New Roman" w:hAnsi="Times New Roman"/>
          <w:sz w:val="28"/>
          <w:szCs w:val="28"/>
        </w:rPr>
        <w:t xml:space="preserve"> Ministru kabineta 2011. gada 25. janvāra noteikumos Nr.75 „Noteikumi par aktīvo nodarbinātības pasākumu un preventīvo bezdarba samazināšanas pasākumu organizēšanas un finansēšanas kārtību un pasākumu īstenotāju izvēles principiem”</w:t>
      </w:r>
      <w:r w:rsidR="00573124" w:rsidRPr="007D675F">
        <w:rPr>
          <w:rFonts w:ascii="Times New Roman" w:hAnsi="Times New Roman"/>
          <w:sz w:val="28"/>
          <w:szCs w:val="28"/>
        </w:rPr>
        <w:t xml:space="preserve"> (</w:t>
      </w:r>
      <w:r w:rsidR="00573124" w:rsidRPr="007D675F">
        <w:rPr>
          <w:rFonts w:ascii="Times New Roman" w:hAnsi="Times New Roman"/>
          <w:i/>
          <w:sz w:val="28"/>
          <w:szCs w:val="28"/>
        </w:rPr>
        <w:t>groz</w:t>
      </w:r>
      <w:r w:rsidR="006930B3" w:rsidRPr="007D675F">
        <w:rPr>
          <w:rFonts w:ascii="Times New Roman" w:hAnsi="Times New Roman"/>
          <w:i/>
          <w:sz w:val="28"/>
          <w:szCs w:val="28"/>
        </w:rPr>
        <w:t xml:space="preserve">ījumu projekts </w:t>
      </w:r>
      <w:r w:rsidR="00CA571B" w:rsidRPr="007D675F">
        <w:rPr>
          <w:rFonts w:ascii="Times New Roman" w:hAnsi="Times New Roman"/>
          <w:i/>
          <w:sz w:val="28"/>
          <w:szCs w:val="28"/>
        </w:rPr>
        <w:t xml:space="preserve">izsludināts </w:t>
      </w:r>
      <w:r w:rsidR="006930B3" w:rsidRPr="007D675F">
        <w:rPr>
          <w:rFonts w:ascii="Times New Roman" w:hAnsi="Times New Roman"/>
          <w:i/>
          <w:sz w:val="28"/>
          <w:szCs w:val="28"/>
        </w:rPr>
        <w:t>27.11.2014.</w:t>
      </w:r>
      <w:r w:rsidR="00CA571B" w:rsidRPr="007D675F">
        <w:rPr>
          <w:rFonts w:ascii="Times New Roman" w:hAnsi="Times New Roman"/>
          <w:i/>
          <w:sz w:val="28"/>
          <w:szCs w:val="28"/>
        </w:rPr>
        <w:t xml:space="preserve"> Valsts sekretāru sanāksmē</w:t>
      </w:r>
      <w:r w:rsidR="006930B3" w:rsidRPr="007D675F">
        <w:rPr>
          <w:rFonts w:ascii="Times New Roman" w:hAnsi="Times New Roman"/>
          <w:i/>
          <w:sz w:val="28"/>
          <w:szCs w:val="28"/>
        </w:rPr>
        <w:t>, VSS-1072</w:t>
      </w:r>
      <w:r w:rsidR="006930B3" w:rsidRPr="007D675F">
        <w:rPr>
          <w:rFonts w:ascii="Times New Roman" w:hAnsi="Times New Roman"/>
          <w:sz w:val="28"/>
          <w:szCs w:val="28"/>
        </w:rPr>
        <w:t>)</w:t>
      </w:r>
      <w:r w:rsidR="00C4245D" w:rsidRPr="007D675F">
        <w:rPr>
          <w:rFonts w:ascii="Times New Roman" w:hAnsi="Times New Roman"/>
          <w:sz w:val="28"/>
          <w:szCs w:val="28"/>
        </w:rPr>
        <w:t xml:space="preserve"> </w:t>
      </w:r>
      <w:r w:rsidRPr="007D675F">
        <w:rPr>
          <w:rFonts w:ascii="Times New Roman" w:hAnsi="Times New Roman"/>
          <w:sz w:val="28"/>
          <w:szCs w:val="28"/>
        </w:rPr>
        <w:t xml:space="preserve">Aģentūrai ļaus atteikties no publiskā iepirkuma organizēšanas, mainot arī maksājuma nosacījumus izglītības iestādēm (paredzot arī pēcapmaksas piemērošanu par darbā iekārtošanās rezultātiem), līdz ar to stiprinot arī uz nodarbinātību balstītu principu ievērošanu bezdarbnieku izglītības apguvē. </w:t>
      </w:r>
    </w:p>
    <w:p w14:paraId="611963AA" w14:textId="77777777" w:rsidR="005060D7" w:rsidRPr="007D675F" w:rsidRDefault="005060D7" w:rsidP="00CE7F2B">
      <w:pPr>
        <w:spacing w:after="0" w:line="240" w:lineRule="auto"/>
        <w:ind w:firstLine="720"/>
        <w:jc w:val="both"/>
        <w:rPr>
          <w:rFonts w:ascii="Times New Roman" w:hAnsi="Times New Roman"/>
          <w:sz w:val="28"/>
          <w:szCs w:val="28"/>
        </w:rPr>
      </w:pPr>
      <w:r w:rsidRPr="007D675F">
        <w:rPr>
          <w:rFonts w:ascii="Times New Roman" w:hAnsi="Times New Roman"/>
          <w:sz w:val="28"/>
          <w:szCs w:val="28"/>
        </w:rPr>
        <w:t xml:space="preserve">Ņemot vērā PB ieteikumus, nepieciešams ir radīt vidi, kurā starp skolām veidojas savstarpējā konkurence par iespēju piedāvāt tālākizglītības pakalpojumus (galvenais ir klients, kam ir jāsaņem pakalpojums) un veicināt gan valsts, gan privāto izglītības iestāžu </w:t>
      </w:r>
      <w:r w:rsidRPr="007D675F">
        <w:rPr>
          <w:rFonts w:ascii="Times New Roman" w:hAnsi="Times New Roman"/>
          <w:sz w:val="28"/>
          <w:szCs w:val="28"/>
          <w:lang w:eastAsia="lv-LV"/>
        </w:rPr>
        <w:t xml:space="preserve">gatavību piedalīties Aģentūras pasākumos. </w:t>
      </w:r>
      <w:r w:rsidRPr="007D675F">
        <w:rPr>
          <w:rFonts w:ascii="Times New Roman" w:hAnsi="Times New Roman"/>
          <w:sz w:val="28"/>
          <w:szCs w:val="28"/>
        </w:rPr>
        <w:t>Tāpat kā privātajām, arī valsts izglītības iestādēm Aģentūras organizētajā profesionālās tālākizglītības programmu apguvē būtu nepieciešams piemērot kuponu sistēmas pieeju (Aģentūras klients saņem kuponu un izvēlas izglītības iestād</w:t>
      </w:r>
      <w:r w:rsidR="004D422C" w:rsidRPr="007D675F">
        <w:rPr>
          <w:rFonts w:ascii="Times New Roman" w:hAnsi="Times New Roman"/>
          <w:sz w:val="28"/>
          <w:szCs w:val="28"/>
        </w:rPr>
        <w:t>i, Aģentūra nekomplektē grupas)</w:t>
      </w:r>
      <w:r w:rsidR="00700FB0" w:rsidRPr="007D675F">
        <w:rPr>
          <w:rFonts w:ascii="Times New Roman" w:hAnsi="Times New Roman"/>
          <w:sz w:val="28"/>
          <w:szCs w:val="28"/>
        </w:rPr>
        <w:t>,</w:t>
      </w:r>
      <w:r w:rsidR="004D422C" w:rsidRPr="007D675F">
        <w:rPr>
          <w:rFonts w:ascii="Times New Roman" w:hAnsi="Times New Roman"/>
          <w:sz w:val="28"/>
          <w:szCs w:val="28"/>
        </w:rPr>
        <w:t xml:space="preserve"> vienlaikus novēršot</w:t>
      </w:r>
      <w:r w:rsidRPr="007D675F">
        <w:rPr>
          <w:rFonts w:ascii="Times New Roman" w:hAnsi="Times New Roman"/>
          <w:sz w:val="28"/>
          <w:szCs w:val="28"/>
        </w:rPr>
        <w:t xml:space="preserve"> </w:t>
      </w:r>
      <w:r w:rsidRPr="007D675F">
        <w:rPr>
          <w:rFonts w:ascii="Times New Roman" w:hAnsi="Times New Roman"/>
          <w:bCs/>
          <w:sz w:val="28"/>
          <w:szCs w:val="28"/>
        </w:rPr>
        <w:t xml:space="preserve">tos šķēršļus, kas </w:t>
      </w:r>
      <w:r w:rsidR="00700FB0" w:rsidRPr="007D675F">
        <w:rPr>
          <w:rFonts w:ascii="Times New Roman" w:hAnsi="Times New Roman"/>
          <w:bCs/>
          <w:sz w:val="28"/>
          <w:szCs w:val="28"/>
        </w:rPr>
        <w:t>konstatēti</w:t>
      </w:r>
      <w:r w:rsidRPr="007D675F">
        <w:rPr>
          <w:rFonts w:ascii="Times New Roman" w:hAnsi="Times New Roman"/>
          <w:bCs/>
          <w:sz w:val="28"/>
          <w:szCs w:val="28"/>
        </w:rPr>
        <w:t xml:space="preserve"> valsts vai pašvaldību izglītības iestādēm, kuru dēļ tās neiesaistās bezdarbnieku tālākizglītībā, tajā skaitā –</w:t>
      </w:r>
      <w:r w:rsidR="004D422C" w:rsidRPr="007D675F">
        <w:rPr>
          <w:rFonts w:ascii="Times New Roman" w:hAnsi="Times New Roman"/>
          <w:bCs/>
          <w:sz w:val="28"/>
          <w:szCs w:val="28"/>
        </w:rPr>
        <w:t xml:space="preserve"> </w:t>
      </w:r>
      <w:r w:rsidRPr="007D675F">
        <w:rPr>
          <w:rFonts w:ascii="Times New Roman" w:hAnsi="Times New Roman"/>
          <w:bCs/>
          <w:sz w:val="28"/>
          <w:szCs w:val="28"/>
        </w:rPr>
        <w:t>kuros gadījumos tām ir izdevīgāk iznomāt savu mācību bāzi privātajām iestādēm vai šo skolu skolotājiem sniegt savus pakalpojumus privātajām skolām un kādā apmērā tas notiek.</w:t>
      </w:r>
    </w:p>
    <w:p w14:paraId="261164AC" w14:textId="77777777" w:rsidR="005060D7" w:rsidRPr="007D675F" w:rsidRDefault="005060D7" w:rsidP="00CE7F2B">
      <w:pPr>
        <w:spacing w:after="0" w:line="240" w:lineRule="auto"/>
        <w:ind w:firstLine="720"/>
        <w:jc w:val="both"/>
        <w:rPr>
          <w:rFonts w:ascii="Times New Roman" w:hAnsi="Times New Roman"/>
          <w:sz w:val="28"/>
          <w:szCs w:val="28"/>
        </w:rPr>
      </w:pPr>
      <w:r w:rsidRPr="007D675F">
        <w:rPr>
          <w:rFonts w:ascii="Times New Roman" w:hAnsi="Times New Roman"/>
          <w:sz w:val="28"/>
          <w:szCs w:val="28"/>
        </w:rPr>
        <w:t xml:space="preserve">Visbeidzot, svarīgi ir gūt apstiprinājumu tam, ka tālākizglītības programmu kvalitāte (eksāmenu rezultāti) valsts izglītības iestādēs neatšķiras no privāto izglītības iestāžu piedāvātās. Tomēr objektīvu eksāmenu rezultātu izvērtēšanu ir problemātiski veikt, jo profesionālās izglītības jomā nav noteikta viena - centralizēta – eksaminācijas komisija. Pašreiz katra izglītības iestāde var pati izveidot eksaminācijas komisiju no vērtētājiem, kas atbilst vispārīgajiem kritērijiem, tomēr tas izraisa situāciju, kad, iespējams, viena līmeņa sniegums dažādās izglītības iestādēs tiek novērtēts dažādi. </w:t>
      </w:r>
    </w:p>
    <w:p w14:paraId="5EE6BDC2" w14:textId="64265A7B" w:rsidR="00AE0B2D" w:rsidRPr="007D675F" w:rsidRDefault="005060D7" w:rsidP="004F0F2A">
      <w:pPr>
        <w:spacing w:after="0" w:line="240" w:lineRule="auto"/>
        <w:ind w:firstLine="720"/>
        <w:jc w:val="both"/>
        <w:rPr>
          <w:rFonts w:ascii="Times New Roman" w:hAnsi="Times New Roman"/>
          <w:sz w:val="28"/>
          <w:szCs w:val="28"/>
        </w:rPr>
      </w:pPr>
      <w:r w:rsidRPr="007D675F">
        <w:rPr>
          <w:rFonts w:ascii="Times New Roman" w:hAnsi="Times New Roman"/>
          <w:sz w:val="28"/>
          <w:szCs w:val="28"/>
        </w:rPr>
        <w:t>Nozaru ekspertu padomēs nepieciešamība pēc centralizētas eksāmena vērtēšanas komisijas profesionālajā izglītībā ir apzināta, tomēr nav zināmi termiņi, kad līdz vienotai sistēmai valsts līmenī varētu nonākt.</w:t>
      </w:r>
    </w:p>
    <w:p w14:paraId="25C16AE7" w14:textId="0E76555A" w:rsidR="005060D7" w:rsidRPr="007D675F" w:rsidRDefault="0099144E" w:rsidP="00CE7F2B">
      <w:pPr>
        <w:pStyle w:val="Heading1"/>
        <w:spacing w:before="0" w:after="0"/>
        <w:jc w:val="center"/>
        <w:rPr>
          <w:rFonts w:ascii="Times New Roman" w:hAnsi="Times New Roman"/>
          <w:sz w:val="28"/>
          <w:szCs w:val="28"/>
        </w:rPr>
      </w:pPr>
      <w:bookmarkStart w:id="4" w:name="_Toc411246702"/>
      <w:r w:rsidRPr="007D675F">
        <w:rPr>
          <w:rFonts w:ascii="Times New Roman" w:hAnsi="Times New Roman"/>
          <w:sz w:val="28"/>
          <w:szCs w:val="28"/>
        </w:rPr>
        <w:lastRenderedPageBreak/>
        <w:t>5</w:t>
      </w:r>
      <w:r w:rsidR="005060D7" w:rsidRPr="007D675F">
        <w:rPr>
          <w:rFonts w:ascii="Times New Roman" w:hAnsi="Times New Roman"/>
          <w:sz w:val="28"/>
          <w:szCs w:val="28"/>
        </w:rPr>
        <w:t xml:space="preserve">. </w:t>
      </w:r>
      <w:r w:rsidR="009771EA" w:rsidRPr="007D675F">
        <w:rPr>
          <w:rFonts w:ascii="Times New Roman" w:hAnsi="Times New Roman"/>
          <w:sz w:val="28"/>
          <w:szCs w:val="28"/>
        </w:rPr>
        <w:t>Turpmākā rīcība</w:t>
      </w:r>
      <w:bookmarkEnd w:id="4"/>
    </w:p>
    <w:p w14:paraId="082EE47B" w14:textId="77777777" w:rsidR="005060D7" w:rsidRPr="007D675F" w:rsidRDefault="005060D7" w:rsidP="00CE7F2B">
      <w:pPr>
        <w:spacing w:after="0" w:line="240" w:lineRule="auto"/>
        <w:ind w:left="360"/>
        <w:jc w:val="both"/>
        <w:rPr>
          <w:rFonts w:ascii="Times New Roman" w:hAnsi="Times New Roman"/>
          <w:sz w:val="28"/>
          <w:szCs w:val="28"/>
        </w:rPr>
      </w:pPr>
    </w:p>
    <w:p w14:paraId="43B9C80C" w14:textId="0FF3149D" w:rsidR="000A3AFC" w:rsidRPr="007D675F" w:rsidRDefault="005060D7" w:rsidP="00867215">
      <w:pPr>
        <w:spacing w:after="0" w:line="240" w:lineRule="auto"/>
        <w:ind w:firstLine="720"/>
        <w:jc w:val="both"/>
        <w:rPr>
          <w:rFonts w:ascii="Times New Roman" w:hAnsi="Times New Roman"/>
          <w:bCs/>
          <w:sz w:val="28"/>
          <w:szCs w:val="28"/>
        </w:rPr>
      </w:pPr>
      <w:r w:rsidRPr="007D675F">
        <w:rPr>
          <w:rFonts w:ascii="Times New Roman" w:hAnsi="Times New Roman"/>
          <w:bCs/>
          <w:sz w:val="28"/>
          <w:szCs w:val="28"/>
        </w:rPr>
        <w:t xml:space="preserve">Ņemot vērā nepieciešamību pēc pilnvērtīgas valsts izglītības iestāžu infrastruktūras izmantošanas un nepieciešamību pēc kvalitatīvas izglītības veicināšanas bezdarbniekiem, darba meklētājiem un bezdarba riskam pakļautajām personām, kā arī pieaugušo tālākizglītības sekmēšanas, </w:t>
      </w:r>
      <w:r w:rsidR="00924D3A" w:rsidRPr="007D675F">
        <w:rPr>
          <w:rFonts w:ascii="Times New Roman" w:hAnsi="Times New Roman"/>
          <w:bCs/>
          <w:sz w:val="28"/>
          <w:szCs w:val="28"/>
        </w:rPr>
        <w:t>tālāk ir aprakstītas</w:t>
      </w:r>
      <w:r w:rsidRPr="007D675F">
        <w:rPr>
          <w:rFonts w:ascii="Times New Roman" w:hAnsi="Times New Roman"/>
          <w:bCs/>
          <w:sz w:val="28"/>
          <w:szCs w:val="28"/>
        </w:rPr>
        <w:t xml:space="preserve"> darbības </w:t>
      </w:r>
      <w:proofErr w:type="spellStart"/>
      <w:r w:rsidR="00FE502E" w:rsidRPr="007D675F">
        <w:rPr>
          <w:rFonts w:ascii="Times New Roman" w:hAnsi="Times New Roman"/>
          <w:bCs/>
          <w:sz w:val="28"/>
          <w:szCs w:val="28"/>
        </w:rPr>
        <w:t>i</w:t>
      </w:r>
      <w:r w:rsidRPr="007D675F">
        <w:rPr>
          <w:rFonts w:ascii="Times New Roman" w:hAnsi="Times New Roman"/>
          <w:bCs/>
          <w:sz w:val="28"/>
          <w:szCs w:val="28"/>
        </w:rPr>
        <w:t>zmēģinājumprojektā</w:t>
      </w:r>
      <w:proofErr w:type="spellEnd"/>
      <w:r w:rsidRPr="007D675F">
        <w:rPr>
          <w:rFonts w:ascii="Times New Roman" w:hAnsi="Times New Roman"/>
          <w:bCs/>
          <w:sz w:val="28"/>
          <w:szCs w:val="28"/>
        </w:rPr>
        <w:t xml:space="preserve"> identificēto nepilnību novēršanai.</w:t>
      </w:r>
    </w:p>
    <w:p w14:paraId="60400495" w14:textId="41BD35F3" w:rsidR="00050F49" w:rsidRPr="007D675F" w:rsidRDefault="00050F49" w:rsidP="00CE7F2B">
      <w:pPr>
        <w:pStyle w:val="naisf"/>
        <w:spacing w:before="0" w:after="0"/>
        <w:ind w:firstLine="0"/>
        <w:rPr>
          <w:bCs/>
          <w:sz w:val="28"/>
          <w:szCs w:val="28"/>
          <w:lang w:eastAsia="en-US"/>
        </w:rPr>
      </w:pPr>
      <w:r w:rsidRPr="007D675F">
        <w:rPr>
          <w:bCs/>
          <w:sz w:val="28"/>
          <w:szCs w:val="28"/>
          <w:lang w:eastAsia="en-US"/>
        </w:rPr>
        <w:tab/>
      </w:r>
      <w:proofErr w:type="spellStart"/>
      <w:r w:rsidRPr="007D675F">
        <w:rPr>
          <w:bCs/>
          <w:sz w:val="28"/>
          <w:szCs w:val="28"/>
          <w:lang w:eastAsia="en-US"/>
        </w:rPr>
        <w:t>Izmēģinājumprojektā</w:t>
      </w:r>
      <w:proofErr w:type="spellEnd"/>
      <w:r w:rsidRPr="007D675F">
        <w:rPr>
          <w:bCs/>
          <w:sz w:val="28"/>
          <w:szCs w:val="28"/>
          <w:lang w:eastAsia="en-US"/>
        </w:rPr>
        <w:t xml:space="preserve"> tika iesaistītas ERAF pirmās atlases kārtas ietvaros renovētās profesionālās izglītības iestādes, kuru ERAF projektu īstenošana noritēja līdz 2013. gada 31. decembrim, t.sk. iegādāts nepieciešamais aprīkojums, savukārt ERAF otrās atlases kārtas projekti ilgst līdz 2015. gada oktobrim, un uz šīm PII </w:t>
      </w:r>
      <w:proofErr w:type="spellStart"/>
      <w:r w:rsidRPr="007D675F">
        <w:rPr>
          <w:bCs/>
          <w:sz w:val="28"/>
          <w:szCs w:val="28"/>
          <w:lang w:eastAsia="en-US"/>
        </w:rPr>
        <w:t>izmēģinājumprojekts</w:t>
      </w:r>
      <w:proofErr w:type="spellEnd"/>
      <w:r w:rsidRPr="007D675F">
        <w:rPr>
          <w:bCs/>
          <w:sz w:val="28"/>
          <w:szCs w:val="28"/>
          <w:lang w:eastAsia="en-US"/>
        </w:rPr>
        <w:t xml:space="preserve"> netika attiecināts. Tādējādi vēl aizvien pastāv ierobežotas ERAF izglītības iestāžu izvēles iespējas, jo Labklājības ministrijas Apmācību komisijas sarakstos kopš izmēģinājumprojekta uzsākšanas brīža nav iekļautas papildus tālākizglītības programmas, kas sakristu ar ERAF pirmās atlases kārtas ieguldījumus saņēmušajām PII tālākizglītības programmām (komisija lēmumu par jaunu programmu iekļaušanu pieņem, balstoties uz tautsaimniecības nozaru attīstības prognozēm, darba devēju aptaujām, Aģentūras datu bāzē reģistrēto vakanču skaitam </w:t>
      </w:r>
      <w:r w:rsidR="00E96CA9" w:rsidRPr="007D675F">
        <w:rPr>
          <w:bCs/>
          <w:sz w:val="28"/>
          <w:szCs w:val="28"/>
          <w:lang w:eastAsia="en-US"/>
        </w:rPr>
        <w:t>u.c.</w:t>
      </w:r>
      <w:r w:rsidRPr="007D675F">
        <w:rPr>
          <w:bCs/>
          <w:sz w:val="28"/>
          <w:szCs w:val="28"/>
          <w:lang w:eastAsia="en-US"/>
        </w:rPr>
        <w:t>).</w:t>
      </w:r>
    </w:p>
    <w:p w14:paraId="49A6548D" w14:textId="2E771499" w:rsidR="00162C45" w:rsidRPr="007D675F" w:rsidRDefault="0073350E" w:rsidP="00CE7F2B">
      <w:pPr>
        <w:spacing w:after="0" w:line="240" w:lineRule="auto"/>
        <w:ind w:firstLine="720"/>
        <w:jc w:val="both"/>
        <w:rPr>
          <w:rFonts w:ascii="Times New Roman" w:hAnsi="Times New Roman"/>
          <w:bCs/>
          <w:sz w:val="28"/>
          <w:szCs w:val="28"/>
        </w:rPr>
      </w:pPr>
      <w:r w:rsidRPr="007D675F">
        <w:rPr>
          <w:rFonts w:ascii="Times New Roman" w:hAnsi="Times New Roman"/>
          <w:bCs/>
          <w:sz w:val="28"/>
          <w:szCs w:val="28"/>
        </w:rPr>
        <w:t>Līdz ar to b</w:t>
      </w:r>
      <w:r w:rsidR="0099144E" w:rsidRPr="007D675F">
        <w:rPr>
          <w:rFonts w:ascii="Times New Roman" w:hAnsi="Times New Roman"/>
          <w:bCs/>
          <w:sz w:val="28"/>
          <w:szCs w:val="28"/>
        </w:rPr>
        <w:t xml:space="preserve">ezdarbnieku tālākizglītības apguvi kopā ar privātajām izglītības iestādēm </w:t>
      </w:r>
      <w:r w:rsidR="0045188A" w:rsidRPr="007D675F">
        <w:rPr>
          <w:rFonts w:ascii="Times New Roman" w:hAnsi="Times New Roman"/>
          <w:bCs/>
          <w:sz w:val="28"/>
          <w:szCs w:val="28"/>
        </w:rPr>
        <w:t xml:space="preserve">un </w:t>
      </w:r>
      <w:r w:rsidR="0045188A" w:rsidRPr="007D675F">
        <w:rPr>
          <w:rFonts w:ascii="Times New Roman" w:hAnsi="Times New Roman"/>
          <w:sz w:val="28"/>
          <w:szCs w:val="28"/>
        </w:rPr>
        <w:t>valsts un pašvaldību dibinātajām profesionālās izglītības iestādēm, kuru infrastruktūras uzlabošana veikta no ERAF līdzekļiem</w:t>
      </w:r>
      <w:r w:rsidR="0045188A" w:rsidRPr="007D675F">
        <w:rPr>
          <w:rFonts w:ascii="Times New Roman" w:hAnsi="Times New Roman"/>
          <w:bCs/>
          <w:sz w:val="28"/>
          <w:szCs w:val="28"/>
        </w:rPr>
        <w:t xml:space="preserve">, </w:t>
      </w:r>
      <w:r w:rsidR="0099144E" w:rsidRPr="007D675F">
        <w:rPr>
          <w:rFonts w:ascii="Times New Roman" w:hAnsi="Times New Roman"/>
          <w:bCs/>
          <w:sz w:val="28"/>
          <w:szCs w:val="28"/>
        </w:rPr>
        <w:t>lietderīgāk</w:t>
      </w:r>
      <w:r w:rsidR="0045188A" w:rsidRPr="007D675F">
        <w:rPr>
          <w:rFonts w:ascii="Times New Roman" w:hAnsi="Times New Roman"/>
          <w:bCs/>
          <w:sz w:val="28"/>
          <w:szCs w:val="28"/>
        </w:rPr>
        <w:t xml:space="preserve"> </w:t>
      </w:r>
      <w:r w:rsidR="0099144E" w:rsidRPr="007D675F">
        <w:rPr>
          <w:rFonts w:ascii="Times New Roman" w:hAnsi="Times New Roman"/>
          <w:bCs/>
          <w:sz w:val="28"/>
          <w:szCs w:val="28"/>
        </w:rPr>
        <w:t xml:space="preserve">ir īstenot </w:t>
      </w:r>
      <w:r w:rsidR="0045188A" w:rsidRPr="007D675F">
        <w:rPr>
          <w:rFonts w:ascii="Times New Roman" w:hAnsi="Times New Roman"/>
          <w:bCs/>
          <w:sz w:val="28"/>
          <w:szCs w:val="28"/>
        </w:rPr>
        <w:t xml:space="preserve">arī </w:t>
      </w:r>
      <w:r w:rsidR="0099144E" w:rsidRPr="007D675F">
        <w:rPr>
          <w:rFonts w:ascii="Times New Roman" w:hAnsi="Times New Roman"/>
          <w:bCs/>
          <w:sz w:val="28"/>
          <w:szCs w:val="28"/>
        </w:rPr>
        <w:t xml:space="preserve">visos profesionālās izglītības kompetences centros – PIKC (plašāks tālākizglītības </w:t>
      </w:r>
      <w:r w:rsidR="00B90DF9" w:rsidRPr="007D675F">
        <w:rPr>
          <w:rFonts w:ascii="Times New Roman" w:hAnsi="Times New Roman"/>
          <w:bCs/>
          <w:sz w:val="28"/>
          <w:szCs w:val="28"/>
        </w:rPr>
        <w:t xml:space="preserve">programmu </w:t>
      </w:r>
      <w:r w:rsidR="0099144E" w:rsidRPr="007D675F">
        <w:rPr>
          <w:rFonts w:ascii="Times New Roman" w:hAnsi="Times New Roman"/>
          <w:bCs/>
          <w:sz w:val="28"/>
          <w:szCs w:val="28"/>
        </w:rPr>
        <w:t>piedāvājums, kas sakrīt ar L</w:t>
      </w:r>
      <w:r w:rsidR="00826C5C" w:rsidRPr="007D675F">
        <w:rPr>
          <w:rFonts w:ascii="Times New Roman" w:hAnsi="Times New Roman"/>
          <w:bCs/>
          <w:sz w:val="28"/>
          <w:szCs w:val="28"/>
        </w:rPr>
        <w:t xml:space="preserve">abklājības ministrijas </w:t>
      </w:r>
      <w:r w:rsidR="004B7999" w:rsidRPr="007D675F">
        <w:rPr>
          <w:rFonts w:ascii="Times New Roman" w:hAnsi="Times New Roman"/>
          <w:bCs/>
          <w:sz w:val="28"/>
          <w:szCs w:val="28"/>
        </w:rPr>
        <w:t>a</w:t>
      </w:r>
      <w:r w:rsidR="0099144E" w:rsidRPr="007D675F">
        <w:rPr>
          <w:rFonts w:ascii="Times New Roman" w:hAnsi="Times New Roman"/>
          <w:bCs/>
          <w:sz w:val="28"/>
          <w:szCs w:val="28"/>
        </w:rPr>
        <w:t>pmācību sarakstā esošajām</w:t>
      </w:r>
      <w:r w:rsidR="00B90DF9" w:rsidRPr="007D675F">
        <w:rPr>
          <w:rFonts w:ascii="Times New Roman" w:hAnsi="Times New Roman"/>
          <w:bCs/>
          <w:sz w:val="28"/>
          <w:szCs w:val="28"/>
        </w:rPr>
        <w:t xml:space="preserve">, kā arī </w:t>
      </w:r>
      <w:r w:rsidR="00D7266F" w:rsidRPr="007D675F">
        <w:rPr>
          <w:rFonts w:ascii="Times New Roman" w:hAnsi="Times New Roman"/>
          <w:bCs/>
          <w:sz w:val="28"/>
          <w:szCs w:val="28"/>
        </w:rPr>
        <w:t xml:space="preserve">ir </w:t>
      </w:r>
      <w:r w:rsidR="00B90DF9" w:rsidRPr="007D675F">
        <w:rPr>
          <w:rFonts w:ascii="Times New Roman" w:hAnsi="Times New Roman"/>
          <w:bCs/>
          <w:sz w:val="28"/>
          <w:szCs w:val="28"/>
        </w:rPr>
        <w:t xml:space="preserve">pieprasītākas </w:t>
      </w:r>
      <w:r w:rsidR="00D7266F" w:rsidRPr="007D675F">
        <w:rPr>
          <w:rFonts w:ascii="Times New Roman" w:hAnsi="Times New Roman"/>
          <w:bCs/>
          <w:sz w:val="28"/>
          <w:szCs w:val="28"/>
        </w:rPr>
        <w:t>attiecībā uz</w:t>
      </w:r>
      <w:r w:rsidR="00B90DF9" w:rsidRPr="007D675F">
        <w:rPr>
          <w:rFonts w:ascii="Times New Roman" w:hAnsi="Times New Roman"/>
          <w:bCs/>
          <w:sz w:val="28"/>
          <w:szCs w:val="28"/>
        </w:rPr>
        <w:t xml:space="preserve"> bezdarbnieku izteiktajām vēlmēm</w:t>
      </w:r>
      <w:r w:rsidR="0099144E" w:rsidRPr="007D675F">
        <w:rPr>
          <w:rFonts w:ascii="Times New Roman" w:hAnsi="Times New Roman"/>
          <w:bCs/>
          <w:sz w:val="28"/>
          <w:szCs w:val="28"/>
        </w:rPr>
        <w:t>), neatkarīgi no tā, vai tur ir vai nav veikti ERAF ieguldījumi</w:t>
      </w:r>
      <w:r w:rsidR="00B95BD4" w:rsidRPr="007D675F">
        <w:rPr>
          <w:rFonts w:ascii="Times New Roman" w:hAnsi="Times New Roman"/>
          <w:bCs/>
          <w:sz w:val="28"/>
          <w:szCs w:val="28"/>
        </w:rPr>
        <w:t>.</w:t>
      </w:r>
    </w:p>
    <w:p w14:paraId="52ED84AE" w14:textId="5CE5649A" w:rsidR="00A2361D" w:rsidRPr="007D675F" w:rsidRDefault="0045188A" w:rsidP="00162C45">
      <w:pPr>
        <w:spacing w:after="0" w:line="240" w:lineRule="auto"/>
        <w:ind w:firstLine="720"/>
        <w:jc w:val="both"/>
        <w:rPr>
          <w:rFonts w:ascii="Times New Roman" w:hAnsi="Times New Roman"/>
          <w:bCs/>
          <w:sz w:val="28"/>
          <w:szCs w:val="28"/>
        </w:rPr>
      </w:pPr>
      <w:r w:rsidRPr="007D675F">
        <w:rPr>
          <w:rFonts w:ascii="Times New Roman" w:hAnsi="Times New Roman"/>
          <w:bCs/>
          <w:sz w:val="28"/>
          <w:szCs w:val="28"/>
        </w:rPr>
        <w:t>Lai veicinātu sociālās atstumtības riskam pakļauto bezdarbnieku (piemēram, ilgstošos bezdarbniekus, bezdarbniekus vecumā virs 50 gadiem), kuriem darba tirgū būs jāuzturas vēl samērā ilgi, bet vienlaikus ir paaugstināts ilgstošā bezdarba risks, iesaisti tālākizglītībā, nepieciešams ir uzsākt izmēģinājumprojekta 2.kārtas īstenošanu.</w:t>
      </w:r>
    </w:p>
    <w:p w14:paraId="3DA7316B" w14:textId="6CB11612" w:rsidR="00783060" w:rsidRPr="007D675F" w:rsidRDefault="00162C45" w:rsidP="00162C45">
      <w:pPr>
        <w:spacing w:after="0" w:line="240" w:lineRule="auto"/>
        <w:ind w:firstLine="720"/>
        <w:jc w:val="both"/>
        <w:rPr>
          <w:rFonts w:ascii="Times New Roman" w:hAnsi="Times New Roman"/>
          <w:sz w:val="28"/>
          <w:szCs w:val="28"/>
        </w:rPr>
      </w:pPr>
      <w:r w:rsidRPr="007D675F">
        <w:rPr>
          <w:rFonts w:ascii="Times New Roman" w:hAnsi="Times New Roman"/>
          <w:sz w:val="28"/>
          <w:szCs w:val="28"/>
        </w:rPr>
        <w:t xml:space="preserve">Vienlaikus </w:t>
      </w:r>
      <w:r w:rsidR="00ED79A0" w:rsidRPr="007D675F">
        <w:rPr>
          <w:rFonts w:ascii="Times New Roman" w:hAnsi="Times New Roman"/>
          <w:sz w:val="28"/>
          <w:szCs w:val="28"/>
        </w:rPr>
        <w:t xml:space="preserve">minēto </w:t>
      </w:r>
      <w:r w:rsidRPr="007D675F">
        <w:rPr>
          <w:rFonts w:ascii="Times New Roman" w:hAnsi="Times New Roman"/>
          <w:sz w:val="28"/>
          <w:szCs w:val="28"/>
        </w:rPr>
        <w:t xml:space="preserve">bezdarbnieku </w:t>
      </w:r>
      <w:proofErr w:type="spellStart"/>
      <w:r w:rsidRPr="007D675F">
        <w:rPr>
          <w:rFonts w:ascii="Times New Roman" w:hAnsi="Times New Roman"/>
          <w:sz w:val="28"/>
          <w:szCs w:val="28"/>
        </w:rPr>
        <w:t>problēmgrupu</w:t>
      </w:r>
      <w:proofErr w:type="spellEnd"/>
      <w:r w:rsidRPr="007D675F">
        <w:rPr>
          <w:rFonts w:ascii="Times New Roman" w:hAnsi="Times New Roman"/>
          <w:sz w:val="28"/>
          <w:szCs w:val="28"/>
        </w:rPr>
        <w:t xml:space="preserve"> tālākizglītības apg</w:t>
      </w:r>
      <w:r w:rsidR="00ED79A0" w:rsidRPr="007D675F">
        <w:rPr>
          <w:rFonts w:ascii="Times New Roman" w:hAnsi="Times New Roman"/>
          <w:sz w:val="28"/>
          <w:szCs w:val="28"/>
        </w:rPr>
        <w:t>uve</w:t>
      </w:r>
      <w:r w:rsidRPr="007D675F">
        <w:rPr>
          <w:rFonts w:ascii="Times New Roman" w:hAnsi="Times New Roman"/>
          <w:sz w:val="28"/>
          <w:szCs w:val="28"/>
        </w:rPr>
        <w:t xml:space="preserve"> ir </w:t>
      </w:r>
      <w:r w:rsidR="00ED79A0" w:rsidRPr="007D675F">
        <w:rPr>
          <w:rFonts w:ascii="Times New Roman" w:hAnsi="Times New Roman"/>
          <w:sz w:val="28"/>
          <w:szCs w:val="28"/>
        </w:rPr>
        <w:t xml:space="preserve">jāorganizē kopā ar </w:t>
      </w:r>
      <w:r w:rsidR="0045188A" w:rsidRPr="007D675F">
        <w:rPr>
          <w:rFonts w:ascii="Times New Roman" w:hAnsi="Times New Roman"/>
          <w:sz w:val="28"/>
          <w:szCs w:val="28"/>
        </w:rPr>
        <w:t>izglītības iestāžu</w:t>
      </w:r>
      <w:r w:rsidR="00ED79A0" w:rsidRPr="007D675F">
        <w:rPr>
          <w:rFonts w:ascii="Times New Roman" w:hAnsi="Times New Roman"/>
          <w:sz w:val="28"/>
          <w:szCs w:val="28"/>
        </w:rPr>
        <w:t xml:space="preserve"> audzēkņiem</w:t>
      </w:r>
      <w:r w:rsidRPr="007D675F">
        <w:rPr>
          <w:rFonts w:ascii="Times New Roman" w:hAnsi="Times New Roman"/>
          <w:sz w:val="28"/>
          <w:szCs w:val="28"/>
        </w:rPr>
        <w:t xml:space="preserve"> (izvērtējot pedagogu kvalifikāciju, programmu stundu skaitu, mācību grupu lielumu utt.). </w:t>
      </w:r>
      <w:r w:rsidR="00ED79A0" w:rsidRPr="007D675F">
        <w:rPr>
          <w:rFonts w:ascii="Times New Roman" w:hAnsi="Times New Roman"/>
          <w:sz w:val="28"/>
          <w:szCs w:val="28"/>
        </w:rPr>
        <w:t xml:space="preserve">Apmācot bezdarbniekus mācību grupās, tiktu nodrošināta tālākizglītības programmu apguve nepārtraukti jeb visa mācību gada ietvaros. Tas savukārt nozīmētu to, ka mācību viela tiktu apgūta pa dienu, kas sakrīt ar darba laiku, tādējādi atvieglojot Aģentūras personālsastāva iespējas veikt bezdarbnieku uzraudzību </w:t>
      </w:r>
      <w:r w:rsidR="00ED79A0" w:rsidRPr="007D675F">
        <w:rPr>
          <w:rFonts w:ascii="Times New Roman" w:hAnsi="Times New Roman"/>
          <w:sz w:val="28"/>
          <w:szCs w:val="28"/>
        </w:rPr>
        <w:lastRenderedPageBreak/>
        <w:t xml:space="preserve">un kontroli, kā arī mazinot riskus bezdarbnieku iesaistei ēnu ekonomikas aktivitātēs. </w:t>
      </w:r>
      <w:r w:rsidR="005060D7" w:rsidRPr="007D675F">
        <w:rPr>
          <w:rFonts w:ascii="Times New Roman" w:hAnsi="Times New Roman"/>
          <w:sz w:val="28"/>
          <w:szCs w:val="28"/>
        </w:rPr>
        <w:t xml:space="preserve">Pašlaik </w:t>
      </w:r>
      <w:r w:rsidR="00B4118C" w:rsidRPr="007D675F">
        <w:rPr>
          <w:rFonts w:ascii="Times New Roman" w:hAnsi="Times New Roman"/>
          <w:sz w:val="28"/>
          <w:szCs w:val="28"/>
        </w:rPr>
        <w:t>PIKC</w:t>
      </w:r>
      <w:r w:rsidR="00BD5F43" w:rsidRPr="007D675F">
        <w:rPr>
          <w:rFonts w:ascii="Times New Roman" w:hAnsi="Times New Roman"/>
          <w:sz w:val="28"/>
          <w:szCs w:val="28"/>
        </w:rPr>
        <w:t xml:space="preserve"> jau tiek izglītoti</w:t>
      </w:r>
      <w:r w:rsidR="005060D7" w:rsidRPr="007D675F">
        <w:rPr>
          <w:rFonts w:ascii="Times New Roman" w:hAnsi="Times New Roman"/>
          <w:sz w:val="28"/>
          <w:szCs w:val="28"/>
        </w:rPr>
        <w:t xml:space="preserve"> p</w:t>
      </w:r>
      <w:r w:rsidR="007343FF" w:rsidRPr="007D675F">
        <w:rPr>
          <w:rFonts w:ascii="Times New Roman" w:hAnsi="Times New Roman"/>
          <w:sz w:val="28"/>
          <w:szCs w:val="28"/>
        </w:rPr>
        <w:t>ieaugušie līdz 29 gadu vecumam.</w:t>
      </w:r>
      <w:r w:rsidR="00783060" w:rsidRPr="007D675F">
        <w:rPr>
          <w:rFonts w:ascii="Times New Roman" w:hAnsi="Times New Roman"/>
          <w:sz w:val="28"/>
          <w:szCs w:val="28"/>
        </w:rPr>
        <w:t xml:space="preserve"> </w:t>
      </w:r>
    </w:p>
    <w:p w14:paraId="64A35EC8" w14:textId="6516B006" w:rsidR="00890F48" w:rsidRPr="007D675F" w:rsidRDefault="00F40827" w:rsidP="00CE7F2B">
      <w:pPr>
        <w:spacing w:after="0" w:line="240" w:lineRule="auto"/>
        <w:ind w:firstLine="720"/>
        <w:jc w:val="both"/>
        <w:rPr>
          <w:rStyle w:val="Strong"/>
          <w:rFonts w:ascii="Times New Roman" w:hAnsi="Times New Roman"/>
          <w:b w:val="0"/>
          <w:sz w:val="28"/>
          <w:szCs w:val="28"/>
          <w:lang w:eastAsia="lv-LV"/>
        </w:rPr>
      </w:pPr>
      <w:r w:rsidRPr="007D675F">
        <w:rPr>
          <w:rFonts w:ascii="Times New Roman" w:hAnsi="Times New Roman"/>
          <w:sz w:val="28"/>
          <w:szCs w:val="28"/>
          <w:lang w:eastAsia="lv-LV"/>
        </w:rPr>
        <w:t xml:space="preserve">Vienlaikus, lai veicinātu bezdarbnieku mobilitāti un nodrošinātu iespēju sasniegt izglītības iestādes, </w:t>
      </w:r>
      <w:r w:rsidR="00FE502E" w:rsidRPr="007D675F">
        <w:rPr>
          <w:rFonts w:ascii="Times New Roman" w:hAnsi="Times New Roman"/>
          <w:sz w:val="28"/>
          <w:szCs w:val="28"/>
          <w:lang w:eastAsia="lv-LV"/>
        </w:rPr>
        <w:t>i</w:t>
      </w:r>
      <w:r w:rsidR="00E22DE5" w:rsidRPr="007D675F">
        <w:rPr>
          <w:rFonts w:ascii="Times New Roman" w:hAnsi="Times New Roman"/>
          <w:sz w:val="28"/>
          <w:szCs w:val="28"/>
          <w:lang w:eastAsia="lv-LV"/>
        </w:rPr>
        <w:t>zmēģinājuma 2.kārtā</w:t>
      </w:r>
      <w:r w:rsidR="00213F2E" w:rsidRPr="007D675F">
        <w:rPr>
          <w:rFonts w:ascii="Times New Roman" w:hAnsi="Times New Roman"/>
          <w:sz w:val="28"/>
          <w:szCs w:val="28"/>
          <w:lang w:eastAsia="lv-LV"/>
        </w:rPr>
        <w:t xml:space="preserve"> būtiski nodrošināt </w:t>
      </w:r>
      <w:r w:rsidR="00E22DE5" w:rsidRPr="007D675F">
        <w:rPr>
          <w:rFonts w:ascii="Times New Roman" w:hAnsi="Times New Roman"/>
          <w:sz w:val="28"/>
          <w:szCs w:val="28"/>
          <w:lang w:eastAsia="lv-LV"/>
        </w:rPr>
        <w:t>atbalstu reģionālajai mobilitātei</w:t>
      </w:r>
      <w:r w:rsidR="00A41791" w:rsidRPr="007D675F">
        <w:rPr>
          <w:rFonts w:ascii="Times New Roman" w:hAnsi="Times New Roman"/>
          <w:sz w:val="28"/>
          <w:szCs w:val="28"/>
          <w:lang w:eastAsia="lv-LV"/>
        </w:rPr>
        <w:t xml:space="preserve"> (</w:t>
      </w:r>
      <w:r w:rsidR="00A41791" w:rsidRPr="007D675F">
        <w:rPr>
          <w:rFonts w:ascii="Times New Roman" w:hAnsi="Times New Roman"/>
          <w:sz w:val="28"/>
          <w:szCs w:val="28"/>
        </w:rPr>
        <w:t xml:space="preserve">finansēšanas kārtību veikt saskaņā ar </w:t>
      </w:r>
      <w:r w:rsidR="00A41791" w:rsidRPr="007D675F">
        <w:rPr>
          <w:rFonts w:ascii="Times New Roman" w:hAnsi="Times New Roman"/>
          <w:sz w:val="28"/>
          <w:szCs w:val="28"/>
          <w:lang w:eastAsia="lv-LV"/>
        </w:rPr>
        <w:t>2014. gada 23. decembra Ministru kabineta noteikumiem Nr.8</w:t>
      </w:r>
      <w:r w:rsidR="00A41791" w:rsidRPr="007D675F">
        <w:rPr>
          <w:rFonts w:ascii="Times New Roman" w:hAnsi="Times New Roman"/>
          <w:sz w:val="28"/>
          <w:szCs w:val="28"/>
        </w:rPr>
        <w:t>36 “Darbības programmas "Izaugsme un nodarbinātība" 7.1.1.specifiskā atbalsta mērķa "Paaugstināt bezdarbnieku kvalifikāciju un prasmes atbilstoši darba tirgus pieprasījumam" īstenošanas noteikumi”).</w:t>
      </w:r>
    </w:p>
    <w:p w14:paraId="326BCF1D" w14:textId="77777777" w:rsidR="00B95BD4" w:rsidRPr="007D675F" w:rsidRDefault="00B95BD4" w:rsidP="00CE7F2B">
      <w:pPr>
        <w:spacing w:after="0" w:line="240" w:lineRule="auto"/>
        <w:ind w:firstLine="720"/>
        <w:jc w:val="both"/>
        <w:rPr>
          <w:rFonts w:ascii="Times New Roman" w:hAnsi="Times New Roman"/>
          <w:sz w:val="28"/>
          <w:szCs w:val="28"/>
          <w:lang w:eastAsia="lv-LV"/>
        </w:rPr>
      </w:pPr>
    </w:p>
    <w:p w14:paraId="0EFC58A1" w14:textId="7B5D6680" w:rsidR="009A2F9B" w:rsidRPr="007D675F" w:rsidRDefault="00890F48" w:rsidP="00CE7F2B">
      <w:pPr>
        <w:spacing w:after="0" w:line="240" w:lineRule="auto"/>
        <w:rPr>
          <w:rFonts w:ascii="Times New Roman" w:hAnsi="Times New Roman"/>
          <w:sz w:val="28"/>
          <w:szCs w:val="28"/>
          <w:lang w:eastAsia="lv-LV"/>
        </w:rPr>
      </w:pPr>
      <w:r w:rsidRPr="007D675F">
        <w:rPr>
          <w:rFonts w:ascii="Times New Roman" w:hAnsi="Times New Roman"/>
          <w:sz w:val="28"/>
          <w:szCs w:val="28"/>
          <w:lang w:eastAsia="lv-LV"/>
        </w:rPr>
        <w:tab/>
      </w:r>
      <w:r w:rsidR="005060D7" w:rsidRPr="007D675F">
        <w:rPr>
          <w:rFonts w:ascii="Times New Roman" w:hAnsi="Times New Roman"/>
          <w:sz w:val="28"/>
          <w:szCs w:val="28"/>
          <w:lang w:eastAsia="lv-LV"/>
        </w:rPr>
        <w:t>Atbilstoši iepriekš minētajām nepilnībām un to iespējamām novēršanas</w:t>
      </w:r>
      <w:r w:rsidR="005060D7" w:rsidRPr="007D675F">
        <w:rPr>
          <w:rFonts w:ascii="Times New Roman" w:hAnsi="Times New Roman"/>
          <w:bCs/>
          <w:sz w:val="28"/>
          <w:szCs w:val="28"/>
        </w:rPr>
        <w:t xml:space="preserve"> darbībām, kā arī atbilstoši informatīvā ziņojuma mērķim, </w:t>
      </w:r>
      <w:r w:rsidR="00181FA0" w:rsidRPr="007D675F">
        <w:rPr>
          <w:rFonts w:ascii="Times New Roman" w:hAnsi="Times New Roman"/>
          <w:sz w:val="28"/>
          <w:szCs w:val="28"/>
        </w:rPr>
        <w:t>2015.</w:t>
      </w:r>
      <w:r w:rsidR="00340C81" w:rsidRPr="007D675F">
        <w:rPr>
          <w:rFonts w:ascii="Times New Roman" w:hAnsi="Times New Roman"/>
          <w:sz w:val="28"/>
          <w:szCs w:val="28"/>
        </w:rPr>
        <w:t xml:space="preserve"> </w:t>
      </w:r>
      <w:r w:rsidR="00181FA0" w:rsidRPr="007D675F">
        <w:rPr>
          <w:rFonts w:ascii="Times New Roman" w:hAnsi="Times New Roman"/>
          <w:sz w:val="28"/>
          <w:szCs w:val="28"/>
        </w:rPr>
        <w:t>gadā</w:t>
      </w:r>
      <w:r w:rsidR="005060D7" w:rsidRPr="007D675F">
        <w:rPr>
          <w:rFonts w:ascii="Times New Roman" w:hAnsi="Times New Roman"/>
          <w:sz w:val="28"/>
          <w:szCs w:val="28"/>
        </w:rPr>
        <w:t xml:space="preserve"> plānots:</w:t>
      </w:r>
    </w:p>
    <w:p w14:paraId="6344088D" w14:textId="5052C44B" w:rsidR="00F305FC" w:rsidRPr="007D675F" w:rsidRDefault="00F305FC" w:rsidP="00CE7F2B">
      <w:pPr>
        <w:numPr>
          <w:ilvl w:val="0"/>
          <w:numId w:val="11"/>
        </w:numPr>
        <w:spacing w:before="120" w:after="120" w:line="240" w:lineRule="auto"/>
        <w:ind w:left="714" w:hanging="357"/>
        <w:jc w:val="both"/>
        <w:rPr>
          <w:rFonts w:ascii="Times New Roman" w:hAnsi="Times New Roman"/>
          <w:sz w:val="28"/>
          <w:szCs w:val="28"/>
        </w:rPr>
      </w:pPr>
      <w:r w:rsidRPr="007D675F">
        <w:rPr>
          <w:rFonts w:ascii="Times New Roman" w:hAnsi="Times New Roman"/>
          <w:sz w:val="28"/>
          <w:szCs w:val="28"/>
        </w:rPr>
        <w:t xml:space="preserve">Uzsākt izmēģinājumprojekta 2.kārtu, iesaistot 200 bezdarbniekus valsts un pašvaldību dibinātās </w:t>
      </w:r>
      <w:r w:rsidR="0045188A" w:rsidRPr="007D675F">
        <w:rPr>
          <w:rFonts w:ascii="Times New Roman" w:hAnsi="Times New Roman"/>
          <w:sz w:val="28"/>
          <w:szCs w:val="28"/>
        </w:rPr>
        <w:t>profesionālās izglītības iestādē</w:t>
      </w:r>
      <w:r w:rsidRPr="007D675F">
        <w:rPr>
          <w:rFonts w:ascii="Times New Roman" w:hAnsi="Times New Roman"/>
          <w:sz w:val="28"/>
          <w:szCs w:val="28"/>
        </w:rPr>
        <w:t>s, kuru infrastruktūras uzlabošana</w:t>
      </w:r>
      <w:r w:rsidR="00A762F6" w:rsidRPr="007D675F">
        <w:rPr>
          <w:rFonts w:ascii="Times New Roman" w:hAnsi="Times New Roman"/>
          <w:sz w:val="28"/>
          <w:szCs w:val="28"/>
        </w:rPr>
        <w:t xml:space="preserve"> ir veikta no ERAF līdzekļiem,</w:t>
      </w:r>
      <w:r w:rsidRPr="007D675F">
        <w:rPr>
          <w:rFonts w:ascii="Times New Roman" w:hAnsi="Times New Roman"/>
          <w:sz w:val="28"/>
          <w:szCs w:val="28"/>
        </w:rPr>
        <w:t xml:space="preserve"> un PIKC (izmēģinājumprojekta 2.kārtu finansējot Eiropas Savienības fondu darbības programmas "Izaugsme un nodarbinātība" 7.1.1. specifiskā atbalsta mērķa "Paaugstināt bezdarbnieku kvalifikāciju un prasmes atbilstoši darba tirgus pieprasījumam" ietvaros).</w:t>
      </w:r>
    </w:p>
    <w:p w14:paraId="1EB3DE40" w14:textId="4B6A9986" w:rsidR="005060D7" w:rsidRPr="007D675F" w:rsidRDefault="005060D7" w:rsidP="00CE7F2B">
      <w:pPr>
        <w:numPr>
          <w:ilvl w:val="0"/>
          <w:numId w:val="11"/>
        </w:numPr>
        <w:spacing w:before="120" w:after="120" w:line="240" w:lineRule="auto"/>
        <w:ind w:left="714" w:hanging="357"/>
        <w:jc w:val="both"/>
        <w:rPr>
          <w:rFonts w:ascii="Times New Roman" w:hAnsi="Times New Roman"/>
          <w:sz w:val="28"/>
          <w:szCs w:val="28"/>
        </w:rPr>
      </w:pPr>
      <w:proofErr w:type="spellStart"/>
      <w:r w:rsidRPr="007D675F">
        <w:rPr>
          <w:rFonts w:ascii="Times New Roman" w:hAnsi="Times New Roman"/>
          <w:sz w:val="28"/>
          <w:szCs w:val="28"/>
        </w:rPr>
        <w:t>Izmēģinājumprojekta</w:t>
      </w:r>
      <w:proofErr w:type="spellEnd"/>
      <w:r w:rsidRPr="007D675F">
        <w:rPr>
          <w:rFonts w:ascii="Times New Roman" w:hAnsi="Times New Roman"/>
          <w:sz w:val="28"/>
          <w:szCs w:val="28"/>
        </w:rPr>
        <w:t xml:space="preserve"> 2.kārtā iesaistīt bezdarbniekus, kuri vairāk pakļauti kādam sociālās atstumtības riskam, piemēram, ilgstošos bezdarbniekus, bezdarbniekus vecumā virs 50 gadiem, kuriem darba tirgū būs jāuzturas vēl samērā ilgi, bet vienlaikus ir paaugstināts ilgstošā bezdarba risks. Grupu komplektāciju veikt identiski izmēģinājumprojekta 1.kārtas pieejai</w:t>
      </w:r>
      <w:r w:rsidR="00670B23" w:rsidRPr="007D675F">
        <w:rPr>
          <w:rFonts w:ascii="Times New Roman" w:hAnsi="Times New Roman"/>
          <w:sz w:val="28"/>
          <w:szCs w:val="28"/>
        </w:rPr>
        <w:t>, vienlaikus</w:t>
      </w:r>
      <w:r w:rsidR="00600AD4" w:rsidRPr="007D675F">
        <w:rPr>
          <w:rFonts w:ascii="Times New Roman" w:hAnsi="Times New Roman"/>
          <w:sz w:val="28"/>
          <w:szCs w:val="28"/>
        </w:rPr>
        <w:t xml:space="preserve"> Aģentūrai</w:t>
      </w:r>
      <w:r w:rsidR="00670B23" w:rsidRPr="007D675F">
        <w:rPr>
          <w:rFonts w:ascii="Times New Roman" w:hAnsi="Times New Roman"/>
          <w:sz w:val="28"/>
          <w:szCs w:val="28"/>
        </w:rPr>
        <w:t xml:space="preserve"> piesaistot </w:t>
      </w:r>
      <w:r w:rsidRPr="007D675F">
        <w:rPr>
          <w:rFonts w:ascii="Times New Roman" w:hAnsi="Times New Roman"/>
          <w:sz w:val="28"/>
          <w:szCs w:val="28"/>
        </w:rPr>
        <w:t>papildus karjeras konsultantu</w:t>
      </w:r>
      <w:r w:rsidR="00670B23" w:rsidRPr="007D675F">
        <w:rPr>
          <w:rFonts w:ascii="Times New Roman" w:hAnsi="Times New Roman"/>
          <w:sz w:val="28"/>
          <w:szCs w:val="28"/>
        </w:rPr>
        <w:t>s</w:t>
      </w:r>
      <w:r w:rsidRPr="007D675F">
        <w:rPr>
          <w:rFonts w:ascii="Times New Roman" w:hAnsi="Times New Roman"/>
          <w:sz w:val="28"/>
          <w:szCs w:val="28"/>
        </w:rPr>
        <w:t xml:space="preserve"> izmēģinājumprojekta 2.kārtas dalībniekiem</w:t>
      </w:r>
      <w:r w:rsidR="00670B23" w:rsidRPr="007D675F">
        <w:rPr>
          <w:rFonts w:ascii="Times New Roman" w:hAnsi="Times New Roman"/>
          <w:sz w:val="28"/>
          <w:szCs w:val="28"/>
        </w:rPr>
        <w:t xml:space="preserve">, lai palīdzētu veiksmīgāk </w:t>
      </w:r>
      <w:r w:rsidR="00DB5089" w:rsidRPr="007D675F">
        <w:rPr>
          <w:rFonts w:ascii="Times New Roman" w:hAnsi="Times New Roman"/>
          <w:sz w:val="28"/>
          <w:szCs w:val="28"/>
        </w:rPr>
        <w:t>izvēlēties profesiju un mazinātu mācību pārtraukšanas risku</w:t>
      </w:r>
      <w:r w:rsidRPr="007D675F">
        <w:rPr>
          <w:rFonts w:ascii="Times New Roman" w:hAnsi="Times New Roman"/>
          <w:sz w:val="28"/>
          <w:szCs w:val="28"/>
        </w:rPr>
        <w:t>.</w:t>
      </w:r>
    </w:p>
    <w:p w14:paraId="12FCC65A" w14:textId="42BBF9A8" w:rsidR="00890F48" w:rsidRPr="007D675F" w:rsidRDefault="00484E0E" w:rsidP="00CE7F2B">
      <w:pPr>
        <w:numPr>
          <w:ilvl w:val="0"/>
          <w:numId w:val="11"/>
        </w:numPr>
        <w:spacing w:before="120" w:after="0" w:line="240" w:lineRule="auto"/>
        <w:ind w:left="714" w:hanging="357"/>
        <w:jc w:val="both"/>
        <w:rPr>
          <w:rFonts w:ascii="Times New Roman" w:hAnsi="Times New Roman"/>
          <w:sz w:val="28"/>
          <w:szCs w:val="28"/>
        </w:rPr>
      </w:pPr>
      <w:r w:rsidRPr="007D675F">
        <w:rPr>
          <w:rFonts w:ascii="Times New Roman" w:hAnsi="Times New Roman"/>
          <w:sz w:val="28"/>
          <w:szCs w:val="28"/>
        </w:rPr>
        <w:t>N</w:t>
      </w:r>
      <w:r w:rsidR="005060D7" w:rsidRPr="007D675F">
        <w:rPr>
          <w:rFonts w:ascii="Times New Roman" w:hAnsi="Times New Roman"/>
          <w:sz w:val="28"/>
          <w:szCs w:val="28"/>
        </w:rPr>
        <w:t xml:space="preserve">odrošināt vienlīdzīgus nosacījumus </w:t>
      </w:r>
      <w:r w:rsidR="0045188A" w:rsidRPr="007D675F">
        <w:rPr>
          <w:rFonts w:ascii="Times New Roman" w:hAnsi="Times New Roman"/>
          <w:sz w:val="28"/>
          <w:szCs w:val="28"/>
        </w:rPr>
        <w:t xml:space="preserve">visām izglītības iestādēm </w:t>
      </w:r>
      <w:r w:rsidR="005060D7" w:rsidRPr="007D675F">
        <w:rPr>
          <w:rFonts w:ascii="Times New Roman" w:hAnsi="Times New Roman"/>
          <w:sz w:val="28"/>
          <w:szCs w:val="28"/>
        </w:rPr>
        <w:t>piedalīties bezdarbnieku profesionālajā tālākizglītībā</w:t>
      </w:r>
      <w:r w:rsidR="00E22DE5" w:rsidRPr="007D675F">
        <w:rPr>
          <w:rFonts w:ascii="Times New Roman" w:hAnsi="Times New Roman"/>
          <w:sz w:val="28"/>
          <w:szCs w:val="28"/>
        </w:rPr>
        <w:t>.</w:t>
      </w:r>
    </w:p>
    <w:p w14:paraId="2B6F3725" w14:textId="77777777" w:rsidR="00890F48" w:rsidRPr="007D675F" w:rsidRDefault="00890F48" w:rsidP="00CE7F2B">
      <w:pPr>
        <w:spacing w:before="120" w:after="0" w:line="240" w:lineRule="auto"/>
        <w:ind w:left="714"/>
        <w:jc w:val="both"/>
        <w:rPr>
          <w:rFonts w:ascii="Times New Roman" w:hAnsi="Times New Roman"/>
          <w:sz w:val="28"/>
          <w:szCs w:val="28"/>
        </w:rPr>
      </w:pPr>
    </w:p>
    <w:p w14:paraId="5991B04D" w14:textId="72EB5B8D" w:rsidR="00CF05D1" w:rsidRPr="007D675F" w:rsidRDefault="005060D7" w:rsidP="00CE7F2B">
      <w:pPr>
        <w:spacing w:after="0" w:line="240" w:lineRule="auto"/>
        <w:rPr>
          <w:sz w:val="28"/>
          <w:szCs w:val="28"/>
        </w:rPr>
      </w:pPr>
      <w:r w:rsidRPr="007D675F">
        <w:rPr>
          <w:rFonts w:ascii="Times New Roman" w:hAnsi="Times New Roman"/>
          <w:bCs/>
          <w:sz w:val="28"/>
          <w:szCs w:val="28"/>
        </w:rPr>
        <w:t>Labklājības ministrija piedāvā veikt šādas turpmākās rīcības:</w:t>
      </w:r>
    </w:p>
    <w:p w14:paraId="55C521B9" w14:textId="77777777" w:rsidR="005C2076" w:rsidRPr="007D675F" w:rsidRDefault="005C2076" w:rsidP="00CE7F2B">
      <w:pPr>
        <w:spacing w:before="120" w:after="120" w:line="240" w:lineRule="auto"/>
        <w:ind w:left="720"/>
        <w:jc w:val="both"/>
        <w:rPr>
          <w:rFonts w:ascii="Times New Roman" w:hAnsi="Times New Roman"/>
          <w:sz w:val="28"/>
          <w:szCs w:val="28"/>
        </w:rPr>
      </w:pPr>
      <w:r w:rsidRPr="007D675F">
        <w:rPr>
          <w:rFonts w:ascii="Times New Roman" w:hAnsi="Times New Roman"/>
          <w:sz w:val="28"/>
          <w:szCs w:val="28"/>
        </w:rPr>
        <w:t>Labklājības ministrijai sadarbībā ar Izglītības un zinātnes ministriju:</w:t>
      </w:r>
    </w:p>
    <w:p w14:paraId="06AB8B1B" w14:textId="66B336A0" w:rsidR="005C2076" w:rsidRPr="007D675F" w:rsidRDefault="005C2076" w:rsidP="00CE7F2B">
      <w:pPr>
        <w:numPr>
          <w:ilvl w:val="0"/>
          <w:numId w:val="35"/>
        </w:numPr>
        <w:spacing w:before="120" w:after="120" w:line="240" w:lineRule="auto"/>
        <w:jc w:val="both"/>
        <w:rPr>
          <w:rFonts w:ascii="Times New Roman" w:hAnsi="Times New Roman"/>
          <w:sz w:val="28"/>
          <w:szCs w:val="28"/>
        </w:rPr>
      </w:pPr>
      <w:r w:rsidRPr="007D675F">
        <w:rPr>
          <w:rFonts w:ascii="Times New Roman" w:hAnsi="Times New Roman"/>
          <w:sz w:val="28"/>
          <w:szCs w:val="28"/>
        </w:rPr>
        <w:t xml:space="preserve">līdz </w:t>
      </w:r>
      <w:r w:rsidR="00340C81" w:rsidRPr="007D675F">
        <w:rPr>
          <w:rFonts w:ascii="Times New Roman" w:hAnsi="Times New Roman"/>
          <w:sz w:val="28"/>
          <w:szCs w:val="28"/>
        </w:rPr>
        <w:t>2015. gada</w:t>
      </w:r>
      <w:r w:rsidRPr="007D675F">
        <w:rPr>
          <w:rFonts w:ascii="Times New Roman" w:hAnsi="Times New Roman"/>
          <w:sz w:val="28"/>
          <w:szCs w:val="28"/>
        </w:rPr>
        <w:t xml:space="preserve"> </w:t>
      </w:r>
      <w:r w:rsidR="00CE7F2B" w:rsidRPr="007D675F">
        <w:rPr>
          <w:rFonts w:ascii="Times New Roman" w:hAnsi="Times New Roman"/>
          <w:sz w:val="28"/>
          <w:szCs w:val="28"/>
        </w:rPr>
        <w:t>1. jūlijam</w:t>
      </w:r>
      <w:r w:rsidRPr="007D675F">
        <w:rPr>
          <w:rFonts w:ascii="Times New Roman" w:hAnsi="Times New Roman"/>
          <w:sz w:val="28"/>
          <w:szCs w:val="28"/>
        </w:rPr>
        <w:t xml:space="preserve"> nepieciešamības gadījumā izstrādāt un noteiktā kārtībā iesniegt izskatīšanai Ministru kabinetā tiesību aktu projektus, lai nodrošinātu izmēģinājumprojekta 2.kārtas īstenošanu. </w:t>
      </w:r>
      <w:bookmarkStart w:id="5" w:name="OLE_LINK3"/>
      <w:r w:rsidRPr="007D675F">
        <w:rPr>
          <w:rFonts w:ascii="Times New Roman" w:hAnsi="Times New Roman"/>
          <w:sz w:val="28"/>
          <w:szCs w:val="28"/>
        </w:rPr>
        <w:t xml:space="preserve"> </w:t>
      </w:r>
    </w:p>
    <w:p w14:paraId="7E043690" w14:textId="5F8EC072" w:rsidR="005C2076" w:rsidRPr="007D675F" w:rsidRDefault="005C2076" w:rsidP="00CE7F2B">
      <w:pPr>
        <w:numPr>
          <w:ilvl w:val="0"/>
          <w:numId w:val="35"/>
        </w:numPr>
        <w:spacing w:before="120" w:after="120" w:line="240" w:lineRule="auto"/>
        <w:jc w:val="both"/>
        <w:rPr>
          <w:rFonts w:ascii="Times New Roman" w:hAnsi="Times New Roman"/>
          <w:sz w:val="28"/>
          <w:szCs w:val="28"/>
        </w:rPr>
      </w:pPr>
      <w:r w:rsidRPr="007D675F">
        <w:rPr>
          <w:rFonts w:ascii="Times New Roman" w:hAnsi="Times New Roman"/>
          <w:sz w:val="28"/>
          <w:szCs w:val="28"/>
        </w:rPr>
        <w:lastRenderedPageBreak/>
        <w:t xml:space="preserve">līdz </w:t>
      </w:r>
      <w:r w:rsidR="00340C81" w:rsidRPr="007D675F">
        <w:rPr>
          <w:rFonts w:ascii="Times New Roman" w:hAnsi="Times New Roman"/>
          <w:sz w:val="28"/>
          <w:szCs w:val="28"/>
        </w:rPr>
        <w:t>2015. gada</w:t>
      </w:r>
      <w:r w:rsidRPr="007D675F">
        <w:rPr>
          <w:rFonts w:ascii="Times New Roman" w:hAnsi="Times New Roman"/>
          <w:sz w:val="28"/>
          <w:szCs w:val="28"/>
        </w:rPr>
        <w:t xml:space="preserve"> </w:t>
      </w:r>
      <w:r w:rsidR="00CE7F2B" w:rsidRPr="007D675F">
        <w:rPr>
          <w:rFonts w:ascii="Times New Roman" w:hAnsi="Times New Roman"/>
          <w:sz w:val="28"/>
          <w:szCs w:val="28"/>
        </w:rPr>
        <w:t>1. septembrim</w:t>
      </w:r>
      <w:r w:rsidRPr="007D675F">
        <w:rPr>
          <w:rFonts w:ascii="Times New Roman" w:hAnsi="Times New Roman"/>
          <w:sz w:val="28"/>
          <w:szCs w:val="28"/>
        </w:rPr>
        <w:t xml:space="preserve"> uzsākt izmēģinājumprojekta 2.kārtas īstenošanu, nodrošinot sociālās atstumtības riskam pakļauto grupu bezdarbnieku iesaisti noteiktās profesionālās tālākizglītības programmās profesionālās izglītības kompetences centros. </w:t>
      </w:r>
    </w:p>
    <w:p w14:paraId="02AE3584" w14:textId="0070A060" w:rsidR="005C2076" w:rsidRPr="007D675F" w:rsidRDefault="005C2076" w:rsidP="00CE7F2B">
      <w:pPr>
        <w:numPr>
          <w:ilvl w:val="0"/>
          <w:numId w:val="35"/>
        </w:numPr>
        <w:spacing w:before="120" w:after="120" w:line="240" w:lineRule="auto"/>
        <w:jc w:val="both"/>
        <w:rPr>
          <w:rFonts w:ascii="Times New Roman" w:hAnsi="Times New Roman"/>
          <w:sz w:val="28"/>
          <w:szCs w:val="28"/>
        </w:rPr>
      </w:pPr>
      <w:r w:rsidRPr="007D675F">
        <w:rPr>
          <w:rFonts w:ascii="Times New Roman" w:hAnsi="Times New Roman"/>
          <w:sz w:val="28"/>
          <w:szCs w:val="28"/>
        </w:rPr>
        <w:t xml:space="preserve">ņemot vērā izmēģinājumprojekta 2.kārtas rezultātus līdz </w:t>
      </w:r>
      <w:r w:rsidR="00340C81" w:rsidRPr="007D675F">
        <w:rPr>
          <w:rFonts w:ascii="Times New Roman" w:hAnsi="Times New Roman"/>
          <w:sz w:val="28"/>
          <w:szCs w:val="28"/>
        </w:rPr>
        <w:t>2016. gada</w:t>
      </w:r>
      <w:r w:rsidRPr="007D675F">
        <w:rPr>
          <w:rFonts w:ascii="Times New Roman" w:hAnsi="Times New Roman"/>
          <w:sz w:val="28"/>
          <w:szCs w:val="28"/>
        </w:rPr>
        <w:t xml:space="preserve"> </w:t>
      </w:r>
      <w:r w:rsidR="00CE7F2B" w:rsidRPr="007D675F">
        <w:rPr>
          <w:rFonts w:ascii="Times New Roman" w:hAnsi="Times New Roman"/>
          <w:sz w:val="28"/>
          <w:szCs w:val="28"/>
        </w:rPr>
        <w:t>1. martam</w:t>
      </w:r>
      <w:r w:rsidRPr="007D675F">
        <w:rPr>
          <w:rFonts w:ascii="Times New Roman" w:hAnsi="Times New Roman"/>
          <w:sz w:val="28"/>
          <w:szCs w:val="28"/>
        </w:rPr>
        <w:t xml:space="preserve"> izstrādāt un noteiktā kārtībā iesniegt izskatīšanai Ministru kabinetā informatīvo ziņojumu par turpmāko rīcības modeli profesionālās tālākizglītības</w:t>
      </w:r>
      <w:r w:rsidRPr="007D675F" w:rsidDel="00811A89">
        <w:rPr>
          <w:rFonts w:ascii="Times New Roman" w:hAnsi="Times New Roman"/>
          <w:sz w:val="28"/>
          <w:szCs w:val="28"/>
        </w:rPr>
        <w:t xml:space="preserve"> </w:t>
      </w:r>
      <w:r w:rsidRPr="007D675F">
        <w:rPr>
          <w:rFonts w:ascii="Times New Roman" w:hAnsi="Times New Roman"/>
          <w:sz w:val="28"/>
          <w:szCs w:val="28"/>
        </w:rPr>
        <w:t>programmu īstenošanai</w:t>
      </w:r>
      <w:bookmarkEnd w:id="5"/>
      <w:r w:rsidRPr="007D675F">
        <w:rPr>
          <w:rFonts w:ascii="Times New Roman" w:hAnsi="Times New Roman"/>
          <w:sz w:val="28"/>
          <w:szCs w:val="28"/>
        </w:rPr>
        <w:t xml:space="preserve"> sociālās atstumtības riskam pakļauto grupu bezdarbniekiem, tai skaitā par nepieciešamajiem grozījumiem normatīvajos aktos.</w:t>
      </w:r>
    </w:p>
    <w:p w14:paraId="4D4ED6D8" w14:textId="70D5DB20" w:rsidR="00320F04" w:rsidRPr="007D675F" w:rsidRDefault="00320F04" w:rsidP="00CE7F2B">
      <w:pPr>
        <w:numPr>
          <w:ilvl w:val="0"/>
          <w:numId w:val="35"/>
        </w:numPr>
        <w:spacing w:before="120" w:after="120" w:line="240" w:lineRule="auto"/>
        <w:jc w:val="both"/>
        <w:rPr>
          <w:rFonts w:ascii="Times New Roman" w:hAnsi="Times New Roman"/>
          <w:sz w:val="28"/>
          <w:szCs w:val="28"/>
        </w:rPr>
      </w:pPr>
      <w:r w:rsidRPr="007D675F">
        <w:rPr>
          <w:rFonts w:ascii="Times New Roman" w:hAnsi="Times New Roman"/>
          <w:sz w:val="28"/>
          <w:szCs w:val="28"/>
        </w:rPr>
        <w:t>veikt izvērtējumu par bezdarbnieku profesionālās tālākizglītības programmu sarakstā esošo programmu īstenošanas iespējām PIKC.</w:t>
      </w:r>
    </w:p>
    <w:p w14:paraId="6495048B" w14:textId="1E9C1503" w:rsidR="00320F04" w:rsidRPr="007D675F" w:rsidRDefault="00DD095E" w:rsidP="00CE7F2B">
      <w:pPr>
        <w:numPr>
          <w:ilvl w:val="0"/>
          <w:numId w:val="35"/>
        </w:numPr>
        <w:spacing w:after="120" w:line="240" w:lineRule="auto"/>
        <w:jc w:val="both"/>
        <w:rPr>
          <w:rStyle w:val="Strong"/>
          <w:rFonts w:ascii="Times New Roman" w:hAnsi="Times New Roman"/>
          <w:b w:val="0"/>
          <w:bCs/>
          <w:sz w:val="28"/>
          <w:szCs w:val="28"/>
        </w:rPr>
      </w:pPr>
      <w:r w:rsidRPr="007D675F">
        <w:rPr>
          <w:rStyle w:val="Strong"/>
          <w:rFonts w:ascii="Times New Roman" w:hAnsi="Times New Roman"/>
          <w:b w:val="0"/>
          <w:bCs/>
          <w:sz w:val="28"/>
          <w:szCs w:val="28"/>
        </w:rPr>
        <w:t>Aģentūras kapacitātes ietvaros</w:t>
      </w:r>
      <w:r w:rsidR="00320F04" w:rsidRPr="007D675F">
        <w:rPr>
          <w:rStyle w:val="Strong"/>
          <w:rFonts w:ascii="Times New Roman" w:hAnsi="Times New Roman"/>
          <w:b w:val="0"/>
          <w:bCs/>
          <w:sz w:val="28"/>
          <w:szCs w:val="28"/>
        </w:rPr>
        <w:t xml:space="preserve"> organizēt informatīvos pasākumus </w:t>
      </w:r>
      <w:r w:rsidR="00A2361D" w:rsidRPr="007D675F">
        <w:rPr>
          <w:rStyle w:val="Strong"/>
          <w:rFonts w:ascii="Times New Roman" w:hAnsi="Times New Roman"/>
          <w:b w:val="0"/>
          <w:bCs/>
          <w:sz w:val="28"/>
          <w:szCs w:val="28"/>
        </w:rPr>
        <w:t xml:space="preserve">izglītības iestādēs </w:t>
      </w:r>
      <w:r w:rsidR="00320F04" w:rsidRPr="007D675F">
        <w:rPr>
          <w:rStyle w:val="Strong"/>
          <w:rFonts w:ascii="Times New Roman" w:hAnsi="Times New Roman"/>
          <w:b w:val="0"/>
          <w:bCs/>
          <w:sz w:val="28"/>
          <w:szCs w:val="28"/>
        </w:rPr>
        <w:t>par izmēģinājumprojekta 2.kārtas īstenošanu un mērķa grupas iesaisti, t.sk. PIKC personāla atalgojuma un administratīvo jautājumu risinājumiem.</w:t>
      </w:r>
    </w:p>
    <w:p w14:paraId="536E6613" w14:textId="77777777" w:rsidR="00320F04" w:rsidRPr="007D675F" w:rsidRDefault="00320F04" w:rsidP="00CE7F2B">
      <w:pPr>
        <w:spacing w:before="120" w:after="120" w:line="240" w:lineRule="auto"/>
        <w:ind w:left="720"/>
        <w:jc w:val="both"/>
        <w:rPr>
          <w:rFonts w:ascii="Times New Roman" w:hAnsi="Times New Roman"/>
          <w:sz w:val="28"/>
          <w:szCs w:val="28"/>
        </w:rPr>
      </w:pPr>
    </w:p>
    <w:p w14:paraId="125AD9C1" w14:textId="77777777" w:rsidR="001D063C" w:rsidRPr="007D675F" w:rsidRDefault="001D063C" w:rsidP="00CE7F2B">
      <w:pPr>
        <w:spacing w:after="0" w:line="240" w:lineRule="auto"/>
        <w:rPr>
          <w:rFonts w:ascii="Times New Roman" w:hAnsi="Times New Roman"/>
          <w:sz w:val="20"/>
          <w:szCs w:val="20"/>
        </w:rPr>
      </w:pPr>
    </w:p>
    <w:p w14:paraId="4C720779" w14:textId="77777777" w:rsidR="00CE7F2B" w:rsidRPr="007D675F" w:rsidRDefault="00CE7F2B">
      <w:pPr>
        <w:spacing w:after="0" w:line="240" w:lineRule="auto"/>
        <w:rPr>
          <w:rFonts w:ascii="Times New Roman" w:hAnsi="Times New Roman"/>
          <w:sz w:val="28"/>
          <w:szCs w:val="28"/>
        </w:rPr>
      </w:pPr>
      <w:bookmarkStart w:id="6" w:name="_Toc411246703"/>
      <w:r w:rsidRPr="007D675F">
        <w:rPr>
          <w:rFonts w:ascii="Times New Roman" w:hAnsi="Times New Roman"/>
          <w:sz w:val="28"/>
          <w:szCs w:val="28"/>
        </w:rPr>
        <w:br w:type="page"/>
      </w:r>
    </w:p>
    <w:p w14:paraId="0C5C7464" w14:textId="4AB99410" w:rsidR="000736D9" w:rsidRPr="007D675F" w:rsidRDefault="00F87924" w:rsidP="00CE7F2B">
      <w:pPr>
        <w:spacing w:after="0" w:line="240" w:lineRule="auto"/>
        <w:jc w:val="center"/>
        <w:rPr>
          <w:rFonts w:ascii="Times New Roman" w:hAnsi="Times New Roman"/>
          <w:b/>
          <w:bCs/>
          <w:iCs/>
          <w:spacing w:val="-4"/>
          <w:sz w:val="28"/>
          <w:szCs w:val="28"/>
        </w:rPr>
      </w:pPr>
      <w:r w:rsidRPr="007D675F">
        <w:rPr>
          <w:rFonts w:ascii="Times New Roman" w:hAnsi="Times New Roman"/>
          <w:b/>
          <w:sz w:val="28"/>
          <w:szCs w:val="28"/>
        </w:rPr>
        <w:lastRenderedPageBreak/>
        <w:t>Pielikums</w:t>
      </w:r>
      <w:bookmarkEnd w:id="6"/>
    </w:p>
    <w:p w14:paraId="51E9C591" w14:textId="77777777" w:rsidR="00476C18" w:rsidRPr="007D675F" w:rsidRDefault="00476C18" w:rsidP="00CE7F2B">
      <w:pPr>
        <w:spacing w:after="120"/>
      </w:pPr>
    </w:p>
    <w:p w14:paraId="7C3A5863" w14:textId="1689E084" w:rsidR="00476C18" w:rsidRPr="007D675F" w:rsidRDefault="000736D9" w:rsidP="00CE7F2B">
      <w:pPr>
        <w:pStyle w:val="ListParagraph"/>
        <w:spacing w:after="120"/>
        <w:ind w:left="0"/>
        <w:rPr>
          <w:rFonts w:ascii="Times New Roman" w:hAnsi="Times New Roman"/>
          <w:bCs/>
          <w:iCs/>
          <w:spacing w:val="-4"/>
          <w:sz w:val="28"/>
          <w:szCs w:val="28"/>
          <w:u w:val="single"/>
        </w:rPr>
      </w:pPr>
      <w:r w:rsidRPr="007D675F">
        <w:rPr>
          <w:rFonts w:ascii="Times New Roman" w:hAnsi="Times New Roman"/>
          <w:bCs/>
          <w:iCs/>
          <w:spacing w:val="-4"/>
          <w:sz w:val="28"/>
          <w:szCs w:val="28"/>
          <w:u w:val="single"/>
        </w:rPr>
        <w:t>Norise:</w:t>
      </w:r>
    </w:p>
    <w:p w14:paraId="655DC819" w14:textId="77777777" w:rsidR="000736D9" w:rsidRPr="007D675F" w:rsidRDefault="000736D9" w:rsidP="00CE7F2B">
      <w:pPr>
        <w:pStyle w:val="ListParagraph"/>
        <w:spacing w:after="120"/>
        <w:ind w:left="284" w:hanging="284"/>
        <w:rPr>
          <w:rFonts w:ascii="Times New Roman" w:hAnsi="Times New Roman"/>
          <w:bCs/>
          <w:iCs/>
          <w:spacing w:val="-4"/>
          <w:sz w:val="28"/>
          <w:szCs w:val="28"/>
          <w:u w:val="single"/>
        </w:rPr>
      </w:pPr>
      <w:proofErr w:type="spellStart"/>
      <w:r w:rsidRPr="007D675F">
        <w:rPr>
          <w:rFonts w:ascii="Times New Roman" w:hAnsi="Times New Roman"/>
          <w:sz w:val="28"/>
          <w:szCs w:val="28"/>
        </w:rPr>
        <w:t>Izmēģinājumprojekts</w:t>
      </w:r>
      <w:proofErr w:type="spellEnd"/>
      <w:r w:rsidRPr="007D675F">
        <w:rPr>
          <w:rFonts w:ascii="Times New Roman" w:hAnsi="Times New Roman"/>
          <w:sz w:val="28"/>
          <w:szCs w:val="28"/>
        </w:rPr>
        <w:t xml:space="preserve"> tika īstenots saskaņā ar:</w:t>
      </w:r>
    </w:p>
    <w:p w14:paraId="020B59C6" w14:textId="77777777" w:rsidR="000B6770" w:rsidRPr="007D675F" w:rsidRDefault="000B6770" w:rsidP="000B6770">
      <w:pPr>
        <w:pStyle w:val="ListParagraph"/>
        <w:numPr>
          <w:ilvl w:val="0"/>
          <w:numId w:val="37"/>
        </w:numPr>
        <w:ind w:left="714" w:hanging="357"/>
        <w:jc w:val="both"/>
        <w:rPr>
          <w:rFonts w:ascii="Times New Roman" w:hAnsi="Times New Roman"/>
          <w:sz w:val="28"/>
          <w:szCs w:val="28"/>
        </w:rPr>
      </w:pPr>
      <w:r w:rsidRPr="007D675F">
        <w:rPr>
          <w:rFonts w:ascii="Times New Roman" w:hAnsi="Times New Roman"/>
          <w:sz w:val="28"/>
          <w:szCs w:val="28"/>
        </w:rPr>
        <w:t xml:space="preserve">Bezdarbnieku un darba meklētāju atbalsta likumu; </w:t>
      </w:r>
    </w:p>
    <w:p w14:paraId="087FB648" w14:textId="77777777" w:rsidR="000B6770" w:rsidRPr="007D675F" w:rsidRDefault="000B6770" w:rsidP="000B6770">
      <w:pPr>
        <w:pStyle w:val="ListParagraph"/>
        <w:numPr>
          <w:ilvl w:val="0"/>
          <w:numId w:val="37"/>
        </w:numPr>
        <w:ind w:left="714" w:hanging="357"/>
        <w:jc w:val="both"/>
        <w:rPr>
          <w:rFonts w:ascii="Times New Roman" w:hAnsi="Times New Roman"/>
          <w:sz w:val="28"/>
          <w:szCs w:val="28"/>
        </w:rPr>
      </w:pPr>
      <w:r w:rsidRPr="007D675F">
        <w:rPr>
          <w:rFonts w:ascii="Times New Roman" w:hAnsi="Times New Roman"/>
          <w:sz w:val="28"/>
          <w:szCs w:val="28"/>
        </w:rPr>
        <w:t xml:space="preserve">Izglītības likumu; </w:t>
      </w:r>
    </w:p>
    <w:p w14:paraId="2680A839" w14:textId="77777777" w:rsidR="000B6770" w:rsidRPr="007D675F" w:rsidRDefault="000B6770" w:rsidP="000B6770">
      <w:pPr>
        <w:pStyle w:val="ListParagraph"/>
        <w:numPr>
          <w:ilvl w:val="0"/>
          <w:numId w:val="37"/>
        </w:numPr>
        <w:ind w:left="714" w:hanging="357"/>
        <w:jc w:val="both"/>
        <w:rPr>
          <w:rFonts w:ascii="Times New Roman" w:hAnsi="Times New Roman"/>
          <w:sz w:val="28"/>
          <w:szCs w:val="28"/>
        </w:rPr>
      </w:pPr>
      <w:r w:rsidRPr="007D675F">
        <w:rPr>
          <w:rFonts w:ascii="Times New Roman" w:hAnsi="Times New Roman"/>
          <w:sz w:val="28"/>
          <w:szCs w:val="28"/>
        </w:rPr>
        <w:t xml:space="preserve">Profesionālās izglītības likumu; </w:t>
      </w:r>
    </w:p>
    <w:p w14:paraId="06EDD067" w14:textId="77777777" w:rsidR="000B6770" w:rsidRPr="007D675F" w:rsidRDefault="000B6770" w:rsidP="000B6770">
      <w:pPr>
        <w:pStyle w:val="ListParagraph"/>
        <w:numPr>
          <w:ilvl w:val="0"/>
          <w:numId w:val="37"/>
        </w:numPr>
        <w:ind w:left="714" w:hanging="357"/>
        <w:jc w:val="both"/>
        <w:rPr>
          <w:rFonts w:ascii="Times New Roman" w:hAnsi="Times New Roman"/>
          <w:sz w:val="28"/>
          <w:szCs w:val="28"/>
        </w:rPr>
      </w:pPr>
      <w:r w:rsidRPr="007D675F">
        <w:rPr>
          <w:rFonts w:ascii="Times New Roman" w:hAnsi="Times New Roman"/>
          <w:sz w:val="28"/>
          <w:szCs w:val="28"/>
        </w:rPr>
        <w:t xml:space="preserve">Ministru kabineta 2007. gada 30. oktobra noteikumiem Nr.732 „Noteikumi par darbības programmas ”Cilvēkresursi un nodarbinātība” papildinājuma apakšaktivitātes bezdarbnieku un darba meklētāju apmācība” pirmo un otro kārtu”; </w:t>
      </w:r>
    </w:p>
    <w:p w14:paraId="2F746DE6" w14:textId="77777777" w:rsidR="000B6770" w:rsidRPr="007D675F" w:rsidRDefault="000B6770" w:rsidP="000B6770">
      <w:pPr>
        <w:pStyle w:val="ListParagraph"/>
        <w:numPr>
          <w:ilvl w:val="0"/>
          <w:numId w:val="37"/>
        </w:numPr>
        <w:ind w:left="714" w:hanging="357"/>
        <w:jc w:val="both"/>
        <w:rPr>
          <w:rFonts w:ascii="Times New Roman" w:hAnsi="Times New Roman"/>
          <w:sz w:val="28"/>
          <w:szCs w:val="28"/>
        </w:rPr>
      </w:pPr>
      <w:r w:rsidRPr="007D675F">
        <w:rPr>
          <w:rFonts w:ascii="Times New Roman" w:hAnsi="Times New Roman"/>
          <w:sz w:val="28"/>
          <w:szCs w:val="28"/>
        </w:rPr>
        <w:t>Ministru kabineta 2009. gada 3. marta noteikumiem Nr.212 „Noteikumi par bezdarbnieku stipendiju profesionālās apmācības, pārkvalifikācijas un kvalifikācijas paaugstināšanas laikā un neformālās izglītības ieguves laikā”.</w:t>
      </w:r>
    </w:p>
    <w:p w14:paraId="59D243EB" w14:textId="77777777" w:rsidR="000736D9" w:rsidRPr="007D675F" w:rsidRDefault="000736D9" w:rsidP="00CE7F2B">
      <w:pPr>
        <w:pStyle w:val="ListParagraph"/>
        <w:numPr>
          <w:ilvl w:val="0"/>
          <w:numId w:val="37"/>
        </w:numPr>
        <w:ind w:left="714" w:hanging="357"/>
        <w:jc w:val="both"/>
        <w:rPr>
          <w:rFonts w:ascii="Times New Roman" w:hAnsi="Times New Roman"/>
          <w:sz w:val="28"/>
          <w:szCs w:val="28"/>
        </w:rPr>
      </w:pPr>
      <w:r w:rsidRPr="007D675F">
        <w:rPr>
          <w:rFonts w:ascii="Times New Roman" w:hAnsi="Times New Roman"/>
          <w:sz w:val="28"/>
          <w:szCs w:val="28"/>
        </w:rPr>
        <w:t xml:space="preserve">Ministru kabineta 2011. gada 25. janvāra noteikumiem Nr.75 „Noteikumi par aktīvo nodarbinātības pasākumu un preventīvo bezdarba samazināšanas pasākumu organizēšanas un finansēšanas kārtību un pasākumu īstenotāju izvēles principiem” (turpmāk – MK noteikumi Nr.75); </w:t>
      </w:r>
    </w:p>
    <w:p w14:paraId="5CEC4DCC" w14:textId="77777777" w:rsidR="000736D9" w:rsidRPr="007D675F" w:rsidRDefault="000736D9" w:rsidP="00CE7F2B">
      <w:pPr>
        <w:pStyle w:val="ListParagraph"/>
        <w:numPr>
          <w:ilvl w:val="0"/>
          <w:numId w:val="37"/>
        </w:numPr>
        <w:ind w:left="714" w:hanging="357"/>
        <w:jc w:val="both"/>
        <w:rPr>
          <w:rFonts w:ascii="Times New Roman" w:hAnsi="Times New Roman"/>
          <w:sz w:val="28"/>
          <w:szCs w:val="28"/>
        </w:rPr>
      </w:pPr>
      <w:r w:rsidRPr="007D675F">
        <w:rPr>
          <w:rFonts w:ascii="Times New Roman" w:hAnsi="Times New Roman"/>
          <w:sz w:val="28"/>
          <w:szCs w:val="28"/>
        </w:rPr>
        <w:t xml:space="preserve">Nodarbinātības valsts aģentūras 2014. gada 6. janvārī apstiprināto iekšējo normatīvo aktu Nr.1 Pilotprojekta „Profesionālās tālākizglītības programmu īstenošana bezdarbniekiem valsts vai pašvaldību dibinātās izglītības iestādēs” organizēšanas iekšējie noteikumi; </w:t>
      </w:r>
    </w:p>
    <w:p w14:paraId="70716864" w14:textId="77777777" w:rsidR="000736D9" w:rsidRPr="007D675F" w:rsidRDefault="000736D9" w:rsidP="00CE7F2B">
      <w:pPr>
        <w:pStyle w:val="ListParagraph"/>
        <w:numPr>
          <w:ilvl w:val="0"/>
          <w:numId w:val="37"/>
        </w:numPr>
        <w:ind w:left="714" w:hanging="357"/>
        <w:jc w:val="both"/>
        <w:rPr>
          <w:rFonts w:ascii="Times New Roman" w:hAnsi="Times New Roman"/>
          <w:sz w:val="28"/>
          <w:szCs w:val="28"/>
        </w:rPr>
      </w:pPr>
      <w:r w:rsidRPr="007D675F">
        <w:rPr>
          <w:rFonts w:ascii="Times New Roman" w:hAnsi="Times New Roman"/>
          <w:sz w:val="28"/>
          <w:szCs w:val="28"/>
        </w:rPr>
        <w:t>Nodarbinātības valsts aģentūras Kvalitātes vadības sistēmas rokasgrāmatas 4.2.36. nodaļu „Pilotprojekts „Profesionālās tālākizglītības programmu īstenošana bezdarbniekiem valsts vai pašvaldību dibinātās izglītības iestādēs”;</w:t>
      </w:r>
    </w:p>
    <w:p w14:paraId="56577E35" w14:textId="77777777" w:rsidR="00600AD4" w:rsidRPr="007D675F" w:rsidRDefault="00600AD4" w:rsidP="00CE7F2B">
      <w:pPr>
        <w:pStyle w:val="ListParagraph"/>
        <w:ind w:left="714"/>
        <w:jc w:val="both"/>
        <w:rPr>
          <w:rFonts w:ascii="Times New Roman" w:hAnsi="Times New Roman"/>
          <w:sz w:val="28"/>
          <w:szCs w:val="28"/>
        </w:rPr>
      </w:pPr>
    </w:p>
    <w:p w14:paraId="38B49419" w14:textId="54302710" w:rsidR="00476C18" w:rsidRPr="007D675F" w:rsidRDefault="000736D9" w:rsidP="00CE7F2B">
      <w:pPr>
        <w:pStyle w:val="FootnoteText"/>
        <w:spacing w:after="120"/>
        <w:jc w:val="both"/>
        <w:rPr>
          <w:sz w:val="28"/>
          <w:szCs w:val="28"/>
          <w:u w:val="single"/>
          <w:lang w:eastAsia="en-US"/>
        </w:rPr>
      </w:pPr>
      <w:r w:rsidRPr="007D675F">
        <w:rPr>
          <w:sz w:val="28"/>
          <w:szCs w:val="28"/>
          <w:u w:val="single"/>
          <w:lang w:eastAsia="en-US"/>
        </w:rPr>
        <w:t>Izglītības programmas:</w:t>
      </w:r>
    </w:p>
    <w:p w14:paraId="02A26504" w14:textId="77777777" w:rsidR="000736D9" w:rsidRPr="007D675F" w:rsidRDefault="000736D9" w:rsidP="00CE7F2B">
      <w:pPr>
        <w:pStyle w:val="FootnoteText"/>
        <w:spacing w:after="120"/>
        <w:jc w:val="both"/>
        <w:rPr>
          <w:sz w:val="28"/>
          <w:szCs w:val="28"/>
        </w:rPr>
      </w:pPr>
      <w:proofErr w:type="spellStart"/>
      <w:r w:rsidRPr="007D675F">
        <w:rPr>
          <w:sz w:val="28"/>
          <w:szCs w:val="28"/>
          <w:lang w:eastAsia="en-US"/>
        </w:rPr>
        <w:t>Izmēģinājumprojekta</w:t>
      </w:r>
      <w:proofErr w:type="spellEnd"/>
      <w:r w:rsidRPr="007D675F">
        <w:rPr>
          <w:sz w:val="28"/>
          <w:szCs w:val="28"/>
          <w:lang w:eastAsia="en-US"/>
        </w:rPr>
        <w:t xml:space="preserve"> profesionālās tālākizglītības programmas tika piemērotas atbilstoši Labklājības ministrijas Apmācību komisijas </w:t>
      </w:r>
      <w:bookmarkStart w:id="7" w:name="_Toc347410197"/>
      <w:r w:rsidRPr="007D675F">
        <w:rPr>
          <w:sz w:val="28"/>
          <w:szCs w:val="28"/>
        </w:rPr>
        <w:t xml:space="preserve">apmācību jomu un profesiju sarakstam, kurās nepieciešams veikt bezdarbnieku apmācību, pārkvalifikāciju un kvalifikācijas paaugstināšanu </w:t>
      </w:r>
      <w:bookmarkEnd w:id="7"/>
      <w:r w:rsidRPr="007D675F">
        <w:rPr>
          <w:sz w:val="28"/>
          <w:szCs w:val="28"/>
        </w:rPr>
        <w:t>2014. gadā.</w:t>
      </w:r>
    </w:p>
    <w:p w14:paraId="2B0A0D71" w14:textId="77777777" w:rsidR="000634B6" w:rsidRPr="007D675F" w:rsidRDefault="000736D9" w:rsidP="00CE7F2B">
      <w:pPr>
        <w:pStyle w:val="FootnoteText"/>
        <w:jc w:val="both"/>
        <w:rPr>
          <w:bCs/>
          <w:i/>
          <w:iCs/>
          <w:spacing w:val="-4"/>
          <w:sz w:val="28"/>
          <w:szCs w:val="28"/>
        </w:rPr>
      </w:pPr>
      <w:r w:rsidRPr="007D675F">
        <w:rPr>
          <w:sz w:val="28"/>
          <w:szCs w:val="28"/>
          <w:lang w:eastAsia="en-US"/>
        </w:rPr>
        <w:t xml:space="preserve">Atbilstoši </w:t>
      </w:r>
      <w:r w:rsidRPr="007D675F">
        <w:rPr>
          <w:sz w:val="28"/>
          <w:szCs w:val="28"/>
        </w:rPr>
        <w:t>MK noteikumi Nr.75 22.punktam a</w:t>
      </w:r>
      <w:r w:rsidRPr="007D675F">
        <w:rPr>
          <w:sz w:val="28"/>
          <w:szCs w:val="28"/>
          <w:lang w:eastAsia="en-US"/>
        </w:rPr>
        <w:t xml:space="preserve">pmācību jomu, izglītības programmas, profesijas un sociālās un profesionālās pamatprasmes, kurās atbilstoši darba tirgus pieprasījumam un tautsaimniecības nozaru attīstības prognozēm nepieciešams veikt bezdarbnieku, darba meklētāju un bezdarba </w:t>
      </w:r>
      <w:r w:rsidRPr="007D675F">
        <w:rPr>
          <w:sz w:val="28"/>
          <w:szCs w:val="28"/>
          <w:lang w:eastAsia="en-US"/>
        </w:rPr>
        <w:lastRenderedPageBreak/>
        <w:t>riskam pakļauto personu apmācību, kā arī konkurētspējas paaugstināšanas pasākumu tematiskās jomas ne retāk kā reizi gadā nosaka labklājības ministra izveidota komisija. Komisijas sastāvā iekļauj Labklājības ministrijas, Ekonomikas ministrijas, Izglītības un zinātnes ministrijas, aģentūras, Latvijas Pašvaldību savienības, Latvijas Darba devēju konfederācijas, Latvijas Brīvo arodbiedrību savienības, kā arī, ja nepieciešams, citu kompetento valsts, pašvaldību, augstākās izglītības un zinātnes institūciju vai biedrību un nodibinājumu pārstāvjus un ekspertus.</w:t>
      </w:r>
    </w:p>
    <w:p w14:paraId="3BB26A5E" w14:textId="77777777" w:rsidR="000634B6" w:rsidRPr="007D675F" w:rsidRDefault="000634B6" w:rsidP="00CE7F2B">
      <w:pPr>
        <w:pStyle w:val="FootnoteText"/>
        <w:jc w:val="both"/>
        <w:rPr>
          <w:sz w:val="28"/>
          <w:szCs w:val="28"/>
          <w:u w:val="single"/>
          <w:lang w:eastAsia="en-US"/>
        </w:rPr>
      </w:pPr>
    </w:p>
    <w:p w14:paraId="67E681D1" w14:textId="6EC06830" w:rsidR="000634B6" w:rsidRPr="007D675F" w:rsidRDefault="000736D9" w:rsidP="00CE7F2B">
      <w:pPr>
        <w:pStyle w:val="FootnoteText"/>
        <w:spacing w:after="120"/>
        <w:jc w:val="both"/>
        <w:rPr>
          <w:sz w:val="28"/>
          <w:szCs w:val="28"/>
          <w:u w:val="single"/>
          <w:lang w:eastAsia="en-US"/>
        </w:rPr>
      </w:pPr>
      <w:r w:rsidRPr="007D675F">
        <w:rPr>
          <w:sz w:val="28"/>
          <w:szCs w:val="28"/>
          <w:u w:val="single"/>
          <w:lang w:eastAsia="en-US"/>
        </w:rPr>
        <w:t>Finansēšana:</w:t>
      </w:r>
    </w:p>
    <w:p w14:paraId="110F1A3A" w14:textId="77777777" w:rsidR="000736D9" w:rsidRPr="007D675F" w:rsidRDefault="000736D9" w:rsidP="00CE7F2B">
      <w:pPr>
        <w:spacing w:after="120" w:line="240" w:lineRule="auto"/>
        <w:jc w:val="both"/>
        <w:rPr>
          <w:rFonts w:ascii="Times New Roman" w:hAnsi="Times New Roman"/>
          <w:sz w:val="28"/>
          <w:szCs w:val="28"/>
        </w:rPr>
      </w:pPr>
      <w:r w:rsidRPr="007D675F">
        <w:rPr>
          <w:rFonts w:ascii="Times New Roman" w:hAnsi="Times New Roman"/>
          <w:sz w:val="28"/>
          <w:szCs w:val="28"/>
        </w:rPr>
        <w:t xml:space="preserve">Nodarbinātības valsts aģentūra viena bezdarbnieka tālākizglītības izmaksas sedza, piemērojot MK noteikumu Nr.75 45.punktā noteiktās apmācību izmaksas, kas tiek noteiktas, Ministru kabineta 2007. gada 2. oktobra noteikumu Nr.655 „Noteikumi par profesionālās izglītības programmu īstenošanas izmaksu minimumu uz vienu izglītojamo” 3.pielikumā noteikto koeficientu reizinot ar šādām bāzes vērtībām: </w:t>
      </w:r>
    </w:p>
    <w:p w14:paraId="0B6DDABF" w14:textId="77777777" w:rsidR="000736D9" w:rsidRPr="007D675F" w:rsidRDefault="000736D9" w:rsidP="00CE7F2B">
      <w:pPr>
        <w:numPr>
          <w:ilvl w:val="0"/>
          <w:numId w:val="19"/>
        </w:numPr>
        <w:spacing w:after="0" w:line="240" w:lineRule="auto"/>
        <w:ind w:left="851"/>
        <w:jc w:val="both"/>
        <w:rPr>
          <w:rFonts w:ascii="Times New Roman" w:hAnsi="Times New Roman"/>
          <w:sz w:val="28"/>
          <w:szCs w:val="28"/>
        </w:rPr>
      </w:pPr>
      <w:r w:rsidRPr="007D675F">
        <w:rPr>
          <w:rFonts w:ascii="Times New Roman" w:hAnsi="Times New Roman"/>
          <w:sz w:val="28"/>
          <w:szCs w:val="28"/>
        </w:rPr>
        <w:t xml:space="preserve">pirmā kvalifikācijas līmeņa profesionālās tālākizglītības programmām ar mācību ilgumu 480 mācību stundas – 533,58 </w:t>
      </w:r>
      <w:proofErr w:type="spellStart"/>
      <w:r w:rsidRPr="007D675F">
        <w:rPr>
          <w:rFonts w:ascii="Times New Roman" w:hAnsi="Times New Roman"/>
          <w:i/>
          <w:sz w:val="28"/>
          <w:szCs w:val="28"/>
        </w:rPr>
        <w:t>euro</w:t>
      </w:r>
      <w:proofErr w:type="spellEnd"/>
      <w:r w:rsidRPr="007D675F">
        <w:rPr>
          <w:rFonts w:ascii="Times New Roman" w:hAnsi="Times New Roman"/>
          <w:sz w:val="28"/>
          <w:szCs w:val="28"/>
        </w:rPr>
        <w:t xml:space="preserve">; </w:t>
      </w:r>
    </w:p>
    <w:p w14:paraId="106D834B" w14:textId="77777777" w:rsidR="000736D9" w:rsidRPr="007D675F" w:rsidRDefault="000736D9" w:rsidP="00CE7F2B">
      <w:pPr>
        <w:numPr>
          <w:ilvl w:val="0"/>
          <w:numId w:val="19"/>
        </w:numPr>
        <w:spacing w:after="0" w:line="240" w:lineRule="auto"/>
        <w:ind w:left="851"/>
        <w:jc w:val="both"/>
        <w:rPr>
          <w:rFonts w:ascii="Times New Roman" w:hAnsi="Times New Roman"/>
          <w:sz w:val="28"/>
          <w:szCs w:val="28"/>
        </w:rPr>
      </w:pPr>
      <w:r w:rsidRPr="007D675F">
        <w:rPr>
          <w:rFonts w:ascii="Times New Roman" w:hAnsi="Times New Roman"/>
          <w:sz w:val="28"/>
          <w:szCs w:val="28"/>
        </w:rPr>
        <w:t xml:space="preserve">otrā kvalifikācijas līmeņa profesionālās tālākizglītības programmām ar mācību ilgumu 480 mācību stundas – 533,58 </w:t>
      </w:r>
      <w:proofErr w:type="spellStart"/>
      <w:r w:rsidRPr="007D675F">
        <w:rPr>
          <w:rFonts w:ascii="Times New Roman" w:hAnsi="Times New Roman"/>
          <w:i/>
          <w:sz w:val="28"/>
          <w:szCs w:val="28"/>
        </w:rPr>
        <w:t>euro</w:t>
      </w:r>
      <w:proofErr w:type="spellEnd"/>
      <w:r w:rsidRPr="007D675F">
        <w:rPr>
          <w:rFonts w:ascii="Times New Roman" w:hAnsi="Times New Roman"/>
          <w:sz w:val="28"/>
          <w:szCs w:val="28"/>
        </w:rPr>
        <w:t xml:space="preserve"> vai ar mācību ilgumu 640 mācību stundas – 711,44 </w:t>
      </w:r>
      <w:proofErr w:type="spellStart"/>
      <w:r w:rsidRPr="007D675F">
        <w:rPr>
          <w:rFonts w:ascii="Times New Roman" w:hAnsi="Times New Roman"/>
          <w:i/>
          <w:sz w:val="28"/>
          <w:szCs w:val="28"/>
        </w:rPr>
        <w:t>euro</w:t>
      </w:r>
      <w:proofErr w:type="spellEnd"/>
      <w:r w:rsidRPr="007D675F">
        <w:rPr>
          <w:rFonts w:ascii="Times New Roman" w:hAnsi="Times New Roman"/>
          <w:sz w:val="28"/>
          <w:szCs w:val="28"/>
        </w:rPr>
        <w:t xml:space="preserve">; </w:t>
      </w:r>
    </w:p>
    <w:p w14:paraId="545286AC" w14:textId="77777777" w:rsidR="000736D9" w:rsidRPr="007D675F" w:rsidRDefault="000736D9" w:rsidP="00CE7F2B">
      <w:pPr>
        <w:numPr>
          <w:ilvl w:val="0"/>
          <w:numId w:val="19"/>
        </w:numPr>
        <w:spacing w:after="0" w:line="240" w:lineRule="auto"/>
        <w:ind w:left="851"/>
        <w:jc w:val="both"/>
        <w:rPr>
          <w:rFonts w:ascii="Times New Roman" w:hAnsi="Times New Roman"/>
          <w:sz w:val="28"/>
          <w:szCs w:val="28"/>
        </w:rPr>
      </w:pPr>
      <w:r w:rsidRPr="007D675F">
        <w:rPr>
          <w:rFonts w:ascii="Times New Roman" w:hAnsi="Times New Roman"/>
          <w:sz w:val="28"/>
          <w:szCs w:val="28"/>
        </w:rPr>
        <w:t xml:space="preserve">trešā kvalifikācijas līmeņa profesionālās tālākizglītības programmām ar mācību ilgumu no 960 līdz 1280 mācību stundām – 1067,15 </w:t>
      </w:r>
      <w:proofErr w:type="spellStart"/>
      <w:r w:rsidRPr="007D675F">
        <w:rPr>
          <w:rFonts w:ascii="Times New Roman" w:hAnsi="Times New Roman"/>
          <w:i/>
          <w:sz w:val="28"/>
          <w:szCs w:val="28"/>
        </w:rPr>
        <w:t>euro</w:t>
      </w:r>
      <w:proofErr w:type="spellEnd"/>
      <w:r w:rsidRPr="007D675F">
        <w:rPr>
          <w:rFonts w:ascii="Times New Roman" w:hAnsi="Times New Roman"/>
          <w:sz w:val="28"/>
          <w:szCs w:val="28"/>
        </w:rPr>
        <w:t>.</w:t>
      </w:r>
    </w:p>
    <w:p w14:paraId="65B2F649" w14:textId="77777777" w:rsidR="009D2604" w:rsidRPr="007D675F" w:rsidRDefault="009D2604" w:rsidP="00CE7F2B">
      <w:pPr>
        <w:spacing w:after="0" w:line="240" w:lineRule="auto"/>
        <w:rPr>
          <w:rFonts w:ascii="Times New Roman" w:hAnsi="Times New Roman"/>
          <w:bCs/>
          <w:iCs/>
          <w:spacing w:val="-4"/>
          <w:sz w:val="28"/>
          <w:szCs w:val="28"/>
        </w:rPr>
      </w:pPr>
    </w:p>
    <w:p w14:paraId="51210773" w14:textId="77777777" w:rsidR="00F87924" w:rsidRPr="007D675F" w:rsidRDefault="00F87924" w:rsidP="00CE7F2B">
      <w:pPr>
        <w:spacing w:after="0" w:line="240" w:lineRule="auto"/>
        <w:rPr>
          <w:rFonts w:ascii="Times New Roman" w:hAnsi="Times New Roman"/>
          <w:bCs/>
          <w:iCs/>
          <w:spacing w:val="-4"/>
          <w:sz w:val="28"/>
          <w:szCs w:val="28"/>
        </w:rPr>
      </w:pPr>
    </w:p>
    <w:p w14:paraId="7B27A46F" w14:textId="77777777" w:rsidR="00476C18" w:rsidRPr="007D675F" w:rsidRDefault="00476C18" w:rsidP="00CE7F2B">
      <w:pPr>
        <w:spacing w:after="0" w:line="240" w:lineRule="auto"/>
        <w:rPr>
          <w:rFonts w:ascii="Times New Roman" w:hAnsi="Times New Roman"/>
          <w:bCs/>
          <w:iCs/>
          <w:spacing w:val="-4"/>
          <w:sz w:val="28"/>
          <w:szCs w:val="28"/>
        </w:rPr>
      </w:pPr>
    </w:p>
    <w:p w14:paraId="3ADC387A" w14:textId="77777777" w:rsidR="00476C18" w:rsidRPr="007D675F" w:rsidRDefault="00476C18" w:rsidP="00CE7F2B">
      <w:pPr>
        <w:spacing w:after="0" w:line="240" w:lineRule="auto"/>
        <w:rPr>
          <w:sz w:val="28"/>
          <w:szCs w:val="28"/>
        </w:rPr>
      </w:pPr>
      <w:r w:rsidRPr="007D675F">
        <w:rPr>
          <w:rFonts w:ascii="Times New Roman" w:hAnsi="Times New Roman"/>
          <w:sz w:val="28"/>
          <w:szCs w:val="28"/>
        </w:rPr>
        <w:t>Labklājības ministrs</w:t>
      </w:r>
      <w:r w:rsidRPr="007D675F">
        <w:rPr>
          <w:rFonts w:ascii="Times New Roman" w:hAnsi="Times New Roman"/>
          <w:sz w:val="28"/>
          <w:szCs w:val="28"/>
        </w:rPr>
        <w:tab/>
      </w:r>
      <w:r w:rsidRPr="007D675F">
        <w:rPr>
          <w:rFonts w:ascii="Times New Roman" w:hAnsi="Times New Roman"/>
          <w:sz w:val="28"/>
          <w:szCs w:val="28"/>
        </w:rPr>
        <w:tab/>
      </w:r>
      <w:r w:rsidRPr="007D675F">
        <w:rPr>
          <w:rFonts w:ascii="Times New Roman" w:hAnsi="Times New Roman"/>
          <w:sz w:val="28"/>
          <w:szCs w:val="28"/>
        </w:rPr>
        <w:tab/>
      </w:r>
      <w:r w:rsidRPr="007D675F">
        <w:rPr>
          <w:rFonts w:ascii="Times New Roman" w:hAnsi="Times New Roman"/>
          <w:sz w:val="28"/>
          <w:szCs w:val="28"/>
        </w:rPr>
        <w:tab/>
      </w:r>
      <w:r w:rsidRPr="007D675F">
        <w:rPr>
          <w:rFonts w:ascii="Times New Roman" w:hAnsi="Times New Roman"/>
          <w:sz w:val="28"/>
          <w:szCs w:val="28"/>
        </w:rPr>
        <w:tab/>
      </w:r>
      <w:r w:rsidRPr="007D675F">
        <w:rPr>
          <w:rFonts w:ascii="Times New Roman" w:hAnsi="Times New Roman"/>
          <w:sz w:val="28"/>
          <w:szCs w:val="28"/>
        </w:rPr>
        <w:tab/>
      </w:r>
      <w:r w:rsidRPr="007D675F">
        <w:rPr>
          <w:rFonts w:ascii="Times New Roman" w:hAnsi="Times New Roman"/>
          <w:sz w:val="28"/>
          <w:szCs w:val="28"/>
        </w:rPr>
        <w:tab/>
        <w:t>U.Augulis</w:t>
      </w:r>
    </w:p>
    <w:p w14:paraId="2D6F676E" w14:textId="77777777" w:rsidR="00476C18" w:rsidRPr="007D675F" w:rsidRDefault="00476C18" w:rsidP="00CE7F2B">
      <w:pPr>
        <w:spacing w:after="0" w:line="240" w:lineRule="auto"/>
        <w:jc w:val="both"/>
        <w:rPr>
          <w:rStyle w:val="Strong"/>
          <w:rFonts w:ascii="Times New Roman" w:hAnsi="Times New Roman"/>
          <w:b w:val="0"/>
          <w:bCs/>
          <w:sz w:val="28"/>
          <w:szCs w:val="28"/>
        </w:rPr>
      </w:pPr>
    </w:p>
    <w:p w14:paraId="105F5367" w14:textId="77777777" w:rsidR="00476C18" w:rsidRPr="007D675F" w:rsidRDefault="00476C18" w:rsidP="00CE7F2B">
      <w:pPr>
        <w:spacing w:after="0" w:line="240" w:lineRule="auto"/>
        <w:jc w:val="both"/>
        <w:rPr>
          <w:rStyle w:val="Strong"/>
          <w:rFonts w:ascii="Times New Roman" w:hAnsi="Times New Roman"/>
          <w:b w:val="0"/>
          <w:bCs/>
          <w:sz w:val="28"/>
          <w:szCs w:val="28"/>
        </w:rPr>
      </w:pPr>
    </w:p>
    <w:p w14:paraId="340F53B6" w14:textId="77777777" w:rsidR="00476C18" w:rsidRPr="007D675F" w:rsidRDefault="00476C18" w:rsidP="00CE7F2B">
      <w:pPr>
        <w:spacing w:after="0" w:line="240" w:lineRule="auto"/>
        <w:jc w:val="both"/>
        <w:rPr>
          <w:rStyle w:val="Strong"/>
          <w:rFonts w:ascii="Times New Roman" w:hAnsi="Times New Roman"/>
          <w:b w:val="0"/>
          <w:bCs/>
          <w:sz w:val="28"/>
          <w:szCs w:val="28"/>
        </w:rPr>
      </w:pPr>
    </w:p>
    <w:p w14:paraId="4026BFFC" w14:textId="77777777" w:rsidR="009D2604" w:rsidRPr="007D675F" w:rsidRDefault="009D2604" w:rsidP="00CE7F2B">
      <w:pPr>
        <w:spacing w:after="0" w:line="240" w:lineRule="auto"/>
        <w:jc w:val="both"/>
        <w:rPr>
          <w:rStyle w:val="Strong"/>
          <w:rFonts w:ascii="Times New Roman" w:hAnsi="Times New Roman"/>
          <w:b w:val="0"/>
          <w:bCs/>
          <w:sz w:val="28"/>
          <w:szCs w:val="28"/>
        </w:rPr>
      </w:pPr>
    </w:p>
    <w:p w14:paraId="1D9F3E17" w14:textId="77777777" w:rsidR="009D2604" w:rsidRPr="007D675F" w:rsidRDefault="009D2604" w:rsidP="00CE7F2B">
      <w:pPr>
        <w:spacing w:after="0" w:line="240" w:lineRule="auto"/>
        <w:jc w:val="both"/>
        <w:rPr>
          <w:rStyle w:val="Strong"/>
          <w:rFonts w:ascii="Times New Roman" w:hAnsi="Times New Roman"/>
          <w:b w:val="0"/>
          <w:bCs/>
          <w:sz w:val="28"/>
          <w:szCs w:val="28"/>
        </w:rPr>
      </w:pPr>
    </w:p>
    <w:p w14:paraId="78EE36A3" w14:textId="77777777" w:rsidR="009D2604" w:rsidRPr="007D675F" w:rsidRDefault="009D2604" w:rsidP="00CE7F2B">
      <w:pPr>
        <w:spacing w:after="0" w:line="240" w:lineRule="auto"/>
        <w:jc w:val="both"/>
        <w:rPr>
          <w:rFonts w:ascii="Times New Roman" w:hAnsi="Times New Roman"/>
          <w:sz w:val="20"/>
          <w:szCs w:val="20"/>
        </w:rPr>
      </w:pPr>
    </w:p>
    <w:p w14:paraId="0846D25B" w14:textId="5058DDA2" w:rsidR="00476C18" w:rsidRPr="007D675F" w:rsidRDefault="00A119B0" w:rsidP="00CE7F2B">
      <w:pPr>
        <w:spacing w:after="0" w:line="240" w:lineRule="auto"/>
        <w:jc w:val="both"/>
        <w:rPr>
          <w:rFonts w:ascii="Times New Roman" w:hAnsi="Times New Roman"/>
          <w:bCs/>
          <w:sz w:val="28"/>
          <w:szCs w:val="28"/>
        </w:rPr>
      </w:pPr>
      <w:r>
        <w:rPr>
          <w:rFonts w:ascii="Times New Roman" w:hAnsi="Times New Roman"/>
          <w:sz w:val="20"/>
          <w:szCs w:val="20"/>
        </w:rPr>
        <w:t>18</w:t>
      </w:r>
      <w:r w:rsidR="00363E7D" w:rsidRPr="007D675F">
        <w:rPr>
          <w:rFonts w:ascii="Times New Roman" w:hAnsi="Times New Roman"/>
          <w:sz w:val="20"/>
          <w:szCs w:val="20"/>
        </w:rPr>
        <w:t>.03</w:t>
      </w:r>
      <w:r w:rsidR="00476C18" w:rsidRPr="007D675F">
        <w:rPr>
          <w:rFonts w:ascii="Times New Roman" w:hAnsi="Times New Roman"/>
          <w:sz w:val="20"/>
          <w:szCs w:val="20"/>
        </w:rPr>
        <w:t xml:space="preserve">.2015. </w:t>
      </w:r>
    </w:p>
    <w:p w14:paraId="20009FA3" w14:textId="11FB92D1" w:rsidR="00476C18" w:rsidRPr="007D675F" w:rsidRDefault="00A119B0" w:rsidP="00CE7F2B">
      <w:pPr>
        <w:spacing w:after="0" w:line="240" w:lineRule="auto"/>
        <w:rPr>
          <w:rFonts w:ascii="Times New Roman" w:hAnsi="Times New Roman"/>
          <w:sz w:val="20"/>
          <w:szCs w:val="20"/>
        </w:rPr>
      </w:pPr>
      <w:r>
        <w:rPr>
          <w:rFonts w:ascii="Times New Roman" w:hAnsi="Times New Roman"/>
          <w:sz w:val="20"/>
          <w:szCs w:val="20"/>
        </w:rPr>
        <w:t>3 3</w:t>
      </w:r>
      <w:bookmarkStart w:id="8" w:name="_GoBack"/>
      <w:bookmarkEnd w:id="8"/>
      <w:r w:rsidR="007D675F">
        <w:rPr>
          <w:rFonts w:ascii="Times New Roman" w:hAnsi="Times New Roman"/>
          <w:sz w:val="20"/>
          <w:szCs w:val="20"/>
        </w:rPr>
        <w:t>47</w:t>
      </w:r>
    </w:p>
    <w:p w14:paraId="52F8FAFE" w14:textId="77777777" w:rsidR="00476C18" w:rsidRPr="007D675F" w:rsidRDefault="00476C18" w:rsidP="00CE7F2B">
      <w:pPr>
        <w:spacing w:after="0" w:line="240" w:lineRule="auto"/>
        <w:rPr>
          <w:rFonts w:ascii="Times New Roman" w:hAnsi="Times New Roman"/>
          <w:sz w:val="20"/>
          <w:szCs w:val="20"/>
        </w:rPr>
      </w:pPr>
      <w:r w:rsidRPr="007D675F">
        <w:rPr>
          <w:rFonts w:ascii="Times New Roman" w:hAnsi="Times New Roman"/>
          <w:sz w:val="20"/>
          <w:szCs w:val="20"/>
        </w:rPr>
        <w:t xml:space="preserve">R. </w:t>
      </w:r>
      <w:proofErr w:type="spellStart"/>
      <w:r w:rsidRPr="007D675F">
        <w:rPr>
          <w:rFonts w:ascii="Times New Roman" w:hAnsi="Times New Roman"/>
          <w:sz w:val="20"/>
          <w:szCs w:val="20"/>
        </w:rPr>
        <w:t>Brīdaks</w:t>
      </w:r>
      <w:proofErr w:type="spellEnd"/>
    </w:p>
    <w:p w14:paraId="5F84651E" w14:textId="299FF7B2" w:rsidR="001D063C" w:rsidRPr="007D675F" w:rsidRDefault="00476C18" w:rsidP="00CE7F2B">
      <w:pPr>
        <w:spacing w:after="0" w:line="240" w:lineRule="auto"/>
        <w:rPr>
          <w:rFonts w:ascii="Times New Roman" w:hAnsi="Times New Roman"/>
          <w:sz w:val="20"/>
          <w:szCs w:val="20"/>
        </w:rPr>
      </w:pPr>
      <w:r w:rsidRPr="007D675F">
        <w:rPr>
          <w:rFonts w:ascii="Times New Roman" w:hAnsi="Times New Roman"/>
          <w:bCs/>
          <w:sz w:val="20"/>
          <w:szCs w:val="20"/>
        </w:rPr>
        <w:t>6</w:t>
      </w:r>
      <w:r w:rsidRPr="007D675F">
        <w:rPr>
          <w:rFonts w:ascii="Times New Roman" w:hAnsi="Times New Roman"/>
          <w:sz w:val="20"/>
          <w:szCs w:val="20"/>
        </w:rPr>
        <w:t>7021511</w:t>
      </w:r>
      <w:r w:rsidRPr="007D675F">
        <w:rPr>
          <w:rFonts w:ascii="Times New Roman" w:hAnsi="Times New Roman"/>
          <w:bCs/>
          <w:sz w:val="20"/>
          <w:szCs w:val="20"/>
        </w:rPr>
        <w:t xml:space="preserve">, </w:t>
      </w:r>
      <w:hyperlink r:id="rId8" w:history="1">
        <w:r w:rsidRPr="007D675F">
          <w:rPr>
            <w:rStyle w:val="Hyperlink"/>
            <w:rFonts w:ascii="Times New Roman" w:hAnsi="Times New Roman"/>
            <w:color w:val="auto"/>
            <w:sz w:val="20"/>
            <w:szCs w:val="20"/>
          </w:rPr>
          <w:t>Raimonds.Bridaks@lm.gov.lv</w:t>
        </w:r>
      </w:hyperlink>
    </w:p>
    <w:sectPr w:rsidR="001D063C" w:rsidRPr="007D675F" w:rsidSect="00D439E3">
      <w:headerReference w:type="even" r:id="rId9"/>
      <w:headerReference w:type="default" r:id="rId10"/>
      <w:footerReference w:type="default" r:id="rId11"/>
      <w:footerReference w:type="first" r:id="rId12"/>
      <w:pgSz w:w="11906" w:h="16838"/>
      <w:pgMar w:top="1418" w:right="1418"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02940" w14:textId="77777777" w:rsidR="006E2E7B" w:rsidRDefault="006E2E7B">
      <w:r>
        <w:separator/>
      </w:r>
    </w:p>
  </w:endnote>
  <w:endnote w:type="continuationSeparator" w:id="0">
    <w:p w14:paraId="7860E787" w14:textId="77777777" w:rsidR="006E2E7B" w:rsidRDefault="006E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69880" w14:textId="37BDCEDA" w:rsidR="00E7030D" w:rsidRPr="000A0A58" w:rsidRDefault="00E7030D" w:rsidP="00572DAE">
    <w:pPr>
      <w:spacing w:after="0" w:line="240" w:lineRule="auto"/>
      <w:jc w:val="both"/>
      <w:rPr>
        <w:rFonts w:ascii="Times New Roman" w:hAnsi="Times New Roman"/>
        <w:color w:val="000000"/>
        <w:sz w:val="20"/>
        <w:szCs w:val="20"/>
      </w:rPr>
    </w:pPr>
    <w:r>
      <w:rPr>
        <w:rFonts w:ascii="Times New Roman" w:hAnsi="Times New Roman"/>
        <w:sz w:val="20"/>
        <w:szCs w:val="20"/>
      </w:rPr>
      <w:t>L</w:t>
    </w:r>
    <w:r w:rsidR="00A119B0">
      <w:rPr>
        <w:rFonts w:ascii="Times New Roman" w:hAnsi="Times New Roman"/>
        <w:sz w:val="20"/>
        <w:szCs w:val="20"/>
      </w:rPr>
      <w:t>Mzino_18</w:t>
    </w:r>
    <w:r>
      <w:rPr>
        <w:rFonts w:ascii="Times New Roman" w:hAnsi="Times New Roman"/>
        <w:sz w:val="20"/>
        <w:szCs w:val="20"/>
      </w:rPr>
      <w:t>0315</w:t>
    </w:r>
    <w:r w:rsidRPr="000A0A58">
      <w:rPr>
        <w:rFonts w:ascii="Times New Roman" w:hAnsi="Times New Roman"/>
        <w:sz w:val="20"/>
        <w:szCs w:val="20"/>
      </w:rPr>
      <w:t xml:space="preserve">; </w:t>
    </w:r>
    <w:r w:rsidRPr="000A0A58">
      <w:rPr>
        <w:rStyle w:val="Strong"/>
        <w:rFonts w:ascii="Times New Roman" w:hAnsi="Times New Roman"/>
        <w:b w:val="0"/>
        <w:sz w:val="20"/>
        <w:szCs w:val="20"/>
      </w:rPr>
      <w:t>Informatīvais ziņojums</w:t>
    </w:r>
    <w:r w:rsidRPr="000A0A58">
      <w:rPr>
        <w:rFonts w:ascii="Times New Roman" w:hAnsi="Times New Roman"/>
        <w:sz w:val="20"/>
        <w:szCs w:val="20"/>
      </w:rPr>
      <w:t xml:space="preserve"> „Par </w:t>
    </w:r>
    <w:proofErr w:type="spellStart"/>
    <w:r w:rsidRPr="000A0A58">
      <w:rPr>
        <w:rFonts w:ascii="Times New Roman" w:hAnsi="Times New Roman"/>
        <w:sz w:val="20"/>
        <w:szCs w:val="20"/>
      </w:rPr>
      <w:t>izmēģnājumprojekta</w:t>
    </w:r>
    <w:proofErr w:type="spellEnd"/>
    <w:r w:rsidRPr="000A0A58">
      <w:rPr>
        <w:rFonts w:ascii="Times New Roman" w:hAnsi="Times New Roman"/>
        <w:sz w:val="20"/>
        <w:szCs w:val="20"/>
      </w:rPr>
      <w:t xml:space="preserve"> „Profesionālās tālākizglītības programmu īstenošana bezdarbniekiem valsts vai pašvaldību dibinātās </w:t>
    </w:r>
    <w:r>
      <w:rPr>
        <w:rFonts w:ascii="Times New Roman" w:hAnsi="Times New Roman"/>
        <w:sz w:val="20"/>
        <w:szCs w:val="20"/>
      </w:rPr>
      <w:t>izglītības iestādēs” īstenošanu</w:t>
    </w:r>
    <w:r w:rsidRPr="000A0A58">
      <w:rPr>
        <w:rFonts w:ascii="Times New Roman" w:hAnsi="Times New Roman"/>
        <w:color w:val="000000"/>
        <w:sz w:val="20"/>
        <w:szCs w:val="20"/>
      </w:rPr>
      <w:t>”</w:t>
    </w:r>
  </w:p>
  <w:p w14:paraId="06055686" w14:textId="77777777" w:rsidR="00E7030D" w:rsidRDefault="00E703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7BBD2" w14:textId="77777777" w:rsidR="00E7030D" w:rsidRPr="00CC0220" w:rsidRDefault="00E7030D" w:rsidP="000A0A58">
    <w:pPr>
      <w:spacing w:after="0" w:line="240" w:lineRule="auto"/>
      <w:jc w:val="both"/>
      <w:rPr>
        <w:rFonts w:ascii="Times New Roman" w:hAnsi="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FC570" w14:textId="77777777" w:rsidR="006E2E7B" w:rsidRDefault="006E2E7B">
      <w:r>
        <w:separator/>
      </w:r>
    </w:p>
  </w:footnote>
  <w:footnote w:type="continuationSeparator" w:id="0">
    <w:p w14:paraId="6345D005" w14:textId="77777777" w:rsidR="006E2E7B" w:rsidRDefault="006E2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A0261" w14:textId="77777777" w:rsidR="00E7030D" w:rsidRDefault="00E7030D" w:rsidP="00D439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5A38E1" w14:textId="77777777" w:rsidR="00E7030D" w:rsidRDefault="00E703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49B04" w14:textId="77777777" w:rsidR="00E7030D" w:rsidRPr="00D439E3" w:rsidRDefault="00E7030D" w:rsidP="00D439E3">
    <w:pPr>
      <w:pStyle w:val="Header"/>
      <w:framePr w:wrap="around" w:vAnchor="text" w:hAnchor="margin" w:xAlign="center" w:y="1"/>
      <w:jc w:val="center"/>
      <w:rPr>
        <w:rStyle w:val="PageNumber"/>
        <w:rFonts w:ascii="Times New Roman" w:hAnsi="Times New Roman"/>
        <w:sz w:val="24"/>
        <w:szCs w:val="24"/>
      </w:rPr>
    </w:pPr>
    <w:r w:rsidRPr="00D439E3">
      <w:rPr>
        <w:rStyle w:val="PageNumber"/>
        <w:rFonts w:ascii="Times New Roman" w:hAnsi="Times New Roman"/>
        <w:sz w:val="24"/>
        <w:szCs w:val="24"/>
      </w:rPr>
      <w:fldChar w:fldCharType="begin"/>
    </w:r>
    <w:r w:rsidRPr="00D439E3">
      <w:rPr>
        <w:rStyle w:val="PageNumber"/>
        <w:rFonts w:ascii="Times New Roman" w:hAnsi="Times New Roman"/>
        <w:sz w:val="24"/>
        <w:szCs w:val="24"/>
      </w:rPr>
      <w:instrText xml:space="preserve">PAGE  </w:instrText>
    </w:r>
    <w:r w:rsidRPr="00D439E3">
      <w:rPr>
        <w:rStyle w:val="PageNumber"/>
        <w:rFonts w:ascii="Times New Roman" w:hAnsi="Times New Roman"/>
        <w:sz w:val="24"/>
        <w:szCs w:val="24"/>
      </w:rPr>
      <w:fldChar w:fldCharType="separate"/>
    </w:r>
    <w:r w:rsidR="00A119B0">
      <w:rPr>
        <w:rStyle w:val="PageNumber"/>
        <w:rFonts w:ascii="Times New Roman" w:hAnsi="Times New Roman"/>
        <w:noProof/>
        <w:sz w:val="24"/>
        <w:szCs w:val="24"/>
      </w:rPr>
      <w:t>15</w:t>
    </w:r>
    <w:r w:rsidRPr="00D439E3">
      <w:rPr>
        <w:rStyle w:val="PageNumber"/>
        <w:rFonts w:ascii="Times New Roman" w:hAnsi="Times New Roman"/>
        <w:sz w:val="24"/>
        <w:szCs w:val="24"/>
      </w:rPr>
      <w:fldChar w:fldCharType="end"/>
    </w:r>
  </w:p>
  <w:p w14:paraId="3DBBA838" w14:textId="77777777" w:rsidR="00E7030D" w:rsidRDefault="00E7030D" w:rsidP="009A00DE">
    <w:pPr>
      <w:pStyle w:val="Header"/>
      <w:framePr w:wrap="around" w:vAnchor="text" w:hAnchor="margin" w:xAlign="center" w:y="1"/>
      <w:rPr>
        <w:rStyle w:val="PageNumber"/>
      </w:rPr>
    </w:pPr>
  </w:p>
  <w:p w14:paraId="633135EC" w14:textId="77777777" w:rsidR="00E7030D" w:rsidRDefault="00E7030D" w:rsidP="00D43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95BA2"/>
    <w:multiLevelType w:val="hybridMultilevel"/>
    <w:tmpl w:val="4B6613E2"/>
    <w:lvl w:ilvl="0" w:tplc="349EDB96">
      <w:start w:val="52"/>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6286AEC"/>
    <w:multiLevelType w:val="hybridMultilevel"/>
    <w:tmpl w:val="6220F906"/>
    <w:lvl w:ilvl="0" w:tplc="0426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09996F0F"/>
    <w:multiLevelType w:val="hybridMultilevel"/>
    <w:tmpl w:val="BFACDADE"/>
    <w:lvl w:ilvl="0" w:tplc="A1D863F6">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0BBE399E"/>
    <w:multiLevelType w:val="hybridMultilevel"/>
    <w:tmpl w:val="283A954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0DAE05FD"/>
    <w:multiLevelType w:val="hybridMultilevel"/>
    <w:tmpl w:val="EE7C9EC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0E4A6066"/>
    <w:multiLevelType w:val="hybridMultilevel"/>
    <w:tmpl w:val="DBD060BA"/>
    <w:lvl w:ilvl="0" w:tplc="5F104BCC">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19FD2B8B"/>
    <w:multiLevelType w:val="hybridMultilevel"/>
    <w:tmpl w:val="77EAC474"/>
    <w:lvl w:ilvl="0" w:tplc="04260011">
      <w:start w:val="1"/>
      <w:numFmt w:val="decimal"/>
      <w:lvlText w:val="%1)"/>
      <w:lvlJc w:val="left"/>
      <w:pPr>
        <w:ind w:left="1287" w:hanging="360"/>
      </w:pPr>
      <w:rPr>
        <w:rFonts w:cs="Times New Roman"/>
      </w:rPr>
    </w:lvl>
    <w:lvl w:ilvl="1" w:tplc="04260019" w:tentative="1">
      <w:start w:val="1"/>
      <w:numFmt w:val="lowerLetter"/>
      <w:lvlText w:val="%2."/>
      <w:lvlJc w:val="left"/>
      <w:pPr>
        <w:ind w:left="2007" w:hanging="360"/>
      </w:pPr>
      <w:rPr>
        <w:rFonts w:cs="Times New Roman"/>
      </w:rPr>
    </w:lvl>
    <w:lvl w:ilvl="2" w:tplc="0426001B" w:tentative="1">
      <w:start w:val="1"/>
      <w:numFmt w:val="lowerRoman"/>
      <w:lvlText w:val="%3."/>
      <w:lvlJc w:val="right"/>
      <w:pPr>
        <w:ind w:left="2727" w:hanging="180"/>
      </w:pPr>
      <w:rPr>
        <w:rFonts w:cs="Times New Roman"/>
      </w:rPr>
    </w:lvl>
    <w:lvl w:ilvl="3" w:tplc="0426000F" w:tentative="1">
      <w:start w:val="1"/>
      <w:numFmt w:val="decimal"/>
      <w:lvlText w:val="%4."/>
      <w:lvlJc w:val="left"/>
      <w:pPr>
        <w:ind w:left="3447" w:hanging="360"/>
      </w:pPr>
      <w:rPr>
        <w:rFonts w:cs="Times New Roman"/>
      </w:rPr>
    </w:lvl>
    <w:lvl w:ilvl="4" w:tplc="04260019" w:tentative="1">
      <w:start w:val="1"/>
      <w:numFmt w:val="lowerLetter"/>
      <w:lvlText w:val="%5."/>
      <w:lvlJc w:val="left"/>
      <w:pPr>
        <w:ind w:left="4167" w:hanging="360"/>
      </w:pPr>
      <w:rPr>
        <w:rFonts w:cs="Times New Roman"/>
      </w:rPr>
    </w:lvl>
    <w:lvl w:ilvl="5" w:tplc="0426001B" w:tentative="1">
      <w:start w:val="1"/>
      <w:numFmt w:val="lowerRoman"/>
      <w:lvlText w:val="%6."/>
      <w:lvlJc w:val="right"/>
      <w:pPr>
        <w:ind w:left="4887" w:hanging="180"/>
      </w:pPr>
      <w:rPr>
        <w:rFonts w:cs="Times New Roman"/>
      </w:rPr>
    </w:lvl>
    <w:lvl w:ilvl="6" w:tplc="0426000F" w:tentative="1">
      <w:start w:val="1"/>
      <w:numFmt w:val="decimal"/>
      <w:lvlText w:val="%7."/>
      <w:lvlJc w:val="left"/>
      <w:pPr>
        <w:ind w:left="5607" w:hanging="360"/>
      </w:pPr>
      <w:rPr>
        <w:rFonts w:cs="Times New Roman"/>
      </w:rPr>
    </w:lvl>
    <w:lvl w:ilvl="7" w:tplc="04260019" w:tentative="1">
      <w:start w:val="1"/>
      <w:numFmt w:val="lowerLetter"/>
      <w:lvlText w:val="%8."/>
      <w:lvlJc w:val="left"/>
      <w:pPr>
        <w:ind w:left="6327" w:hanging="360"/>
      </w:pPr>
      <w:rPr>
        <w:rFonts w:cs="Times New Roman"/>
      </w:rPr>
    </w:lvl>
    <w:lvl w:ilvl="8" w:tplc="0426001B" w:tentative="1">
      <w:start w:val="1"/>
      <w:numFmt w:val="lowerRoman"/>
      <w:lvlText w:val="%9."/>
      <w:lvlJc w:val="right"/>
      <w:pPr>
        <w:ind w:left="7047" w:hanging="180"/>
      </w:pPr>
      <w:rPr>
        <w:rFonts w:cs="Times New Roman"/>
      </w:rPr>
    </w:lvl>
  </w:abstractNum>
  <w:abstractNum w:abstractNumId="7">
    <w:nsid w:val="22584F33"/>
    <w:multiLevelType w:val="hybridMultilevel"/>
    <w:tmpl w:val="E750AEC2"/>
    <w:lvl w:ilvl="0" w:tplc="32E63216">
      <w:start w:val="4"/>
      <w:numFmt w:val="upperRoman"/>
      <w:lvlText w:val="%1."/>
      <w:lvlJc w:val="left"/>
      <w:pPr>
        <w:tabs>
          <w:tab w:val="num" w:pos="1080"/>
        </w:tabs>
        <w:ind w:left="1080" w:hanging="72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22CF1156"/>
    <w:multiLevelType w:val="hybridMultilevel"/>
    <w:tmpl w:val="91E0DFA0"/>
    <w:lvl w:ilvl="0" w:tplc="CB1EF72E">
      <w:numFmt w:val="bullet"/>
      <w:lvlText w:val="-"/>
      <w:lvlJc w:val="left"/>
      <w:pPr>
        <w:tabs>
          <w:tab w:val="num" w:pos="720"/>
        </w:tabs>
        <w:ind w:left="720" w:hanging="360"/>
      </w:pPr>
      <w:rPr>
        <w:rFonts w:ascii="Times New Roman" w:eastAsia="Times New Roman" w:hAnsi="Times New Roman" w:hint="default"/>
      </w:rPr>
    </w:lvl>
    <w:lvl w:ilvl="1" w:tplc="CB1EF72E">
      <w:numFmt w:val="bullet"/>
      <w:lvlText w:val="-"/>
      <w:lvlJc w:val="left"/>
      <w:pPr>
        <w:tabs>
          <w:tab w:val="num" w:pos="1440"/>
        </w:tabs>
        <w:ind w:left="1440" w:hanging="360"/>
      </w:pPr>
      <w:rPr>
        <w:rFonts w:ascii="Times New Roman" w:eastAsia="Times New Roman" w:hAnsi="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36D39C5"/>
    <w:multiLevelType w:val="multilevel"/>
    <w:tmpl w:val="E094382E"/>
    <w:lvl w:ilvl="0">
      <w:start w:val="52"/>
      <w:numFmt w:val="bullet"/>
      <w:lvlText w:val="-"/>
      <w:lvlJc w:val="left"/>
      <w:pPr>
        <w:ind w:left="720" w:hanging="360"/>
      </w:pPr>
      <w:rPr>
        <w:rFonts w:ascii="Times New Roman" w:eastAsia="Times New Roman" w:hAnsi="Times New Roman"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88109E4"/>
    <w:multiLevelType w:val="hybridMultilevel"/>
    <w:tmpl w:val="1CA069E0"/>
    <w:lvl w:ilvl="0" w:tplc="CB1EF72E">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2B726F0A"/>
    <w:multiLevelType w:val="hybridMultilevel"/>
    <w:tmpl w:val="CB306B70"/>
    <w:lvl w:ilvl="0" w:tplc="A1D863F6">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nsid w:val="2BDF4C9B"/>
    <w:multiLevelType w:val="hybridMultilevel"/>
    <w:tmpl w:val="9DD20D86"/>
    <w:lvl w:ilvl="0" w:tplc="4A76F71C">
      <w:start w:val="1"/>
      <w:numFmt w:val="decimal"/>
      <w:lvlText w:val="%1)"/>
      <w:lvlJc w:val="left"/>
      <w:pPr>
        <w:tabs>
          <w:tab w:val="num" w:pos="1440"/>
        </w:tabs>
        <w:ind w:left="1440" w:hanging="360"/>
      </w:pPr>
      <w:rPr>
        <w:rFonts w:cs="Times New Roman" w:hint="default"/>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13">
    <w:nsid w:val="2E2C02D4"/>
    <w:multiLevelType w:val="multilevel"/>
    <w:tmpl w:val="28A0E99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E75683F"/>
    <w:multiLevelType w:val="hybridMultilevel"/>
    <w:tmpl w:val="06CAE3BA"/>
    <w:lvl w:ilvl="0" w:tplc="04260011">
      <w:start w:val="1"/>
      <w:numFmt w:val="decimal"/>
      <w:lvlText w:val="%1)"/>
      <w:lvlJc w:val="left"/>
      <w:pPr>
        <w:ind w:left="144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15">
    <w:nsid w:val="2E9F34E1"/>
    <w:multiLevelType w:val="hybridMultilevel"/>
    <w:tmpl w:val="914E099C"/>
    <w:lvl w:ilvl="0" w:tplc="96108FCC">
      <w:start w:val="112"/>
      <w:numFmt w:val="bullet"/>
      <w:lvlText w:val="-"/>
      <w:lvlJc w:val="left"/>
      <w:pPr>
        <w:ind w:left="720" w:hanging="360"/>
      </w:pPr>
      <w:rPr>
        <w:rFonts w:ascii="Times New Roman" w:eastAsia="Times New Roman" w:hAnsi="Times New Roman" w:cs="Times New Roman"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F2A2557"/>
    <w:multiLevelType w:val="multilevel"/>
    <w:tmpl w:val="E094382E"/>
    <w:lvl w:ilvl="0">
      <w:start w:val="52"/>
      <w:numFmt w:val="bullet"/>
      <w:lvlText w:val="-"/>
      <w:lvlJc w:val="left"/>
      <w:pPr>
        <w:ind w:left="720" w:hanging="360"/>
      </w:pPr>
      <w:rPr>
        <w:rFonts w:ascii="Times New Roman" w:eastAsia="Times New Roman" w:hAnsi="Times New Roman"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C4F726D"/>
    <w:multiLevelType w:val="hybridMultilevel"/>
    <w:tmpl w:val="8DC6618C"/>
    <w:lvl w:ilvl="0" w:tplc="A1D863F6">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nsid w:val="49366B2E"/>
    <w:multiLevelType w:val="hybridMultilevel"/>
    <w:tmpl w:val="31B66026"/>
    <w:lvl w:ilvl="0" w:tplc="04260011">
      <w:start w:val="1"/>
      <w:numFmt w:val="decimal"/>
      <w:lvlText w:val="%1)"/>
      <w:lvlJc w:val="left"/>
      <w:pPr>
        <w:ind w:left="2160" w:hanging="360"/>
      </w:pPr>
      <w:rPr>
        <w:rFonts w:cs="Times New Roman"/>
      </w:rPr>
    </w:lvl>
    <w:lvl w:ilvl="1" w:tplc="04260019" w:tentative="1">
      <w:start w:val="1"/>
      <w:numFmt w:val="lowerLetter"/>
      <w:lvlText w:val="%2."/>
      <w:lvlJc w:val="left"/>
      <w:pPr>
        <w:ind w:left="2880" w:hanging="360"/>
      </w:pPr>
      <w:rPr>
        <w:rFonts w:cs="Times New Roman"/>
      </w:rPr>
    </w:lvl>
    <w:lvl w:ilvl="2" w:tplc="0426001B" w:tentative="1">
      <w:start w:val="1"/>
      <w:numFmt w:val="lowerRoman"/>
      <w:lvlText w:val="%3."/>
      <w:lvlJc w:val="right"/>
      <w:pPr>
        <w:ind w:left="3600" w:hanging="180"/>
      </w:pPr>
      <w:rPr>
        <w:rFonts w:cs="Times New Roman"/>
      </w:rPr>
    </w:lvl>
    <w:lvl w:ilvl="3" w:tplc="0426000F" w:tentative="1">
      <w:start w:val="1"/>
      <w:numFmt w:val="decimal"/>
      <w:lvlText w:val="%4."/>
      <w:lvlJc w:val="left"/>
      <w:pPr>
        <w:ind w:left="4320" w:hanging="360"/>
      </w:pPr>
      <w:rPr>
        <w:rFonts w:cs="Times New Roman"/>
      </w:rPr>
    </w:lvl>
    <w:lvl w:ilvl="4" w:tplc="04260019" w:tentative="1">
      <w:start w:val="1"/>
      <w:numFmt w:val="lowerLetter"/>
      <w:lvlText w:val="%5."/>
      <w:lvlJc w:val="left"/>
      <w:pPr>
        <w:ind w:left="5040" w:hanging="360"/>
      </w:pPr>
      <w:rPr>
        <w:rFonts w:cs="Times New Roman"/>
      </w:rPr>
    </w:lvl>
    <w:lvl w:ilvl="5" w:tplc="0426001B" w:tentative="1">
      <w:start w:val="1"/>
      <w:numFmt w:val="lowerRoman"/>
      <w:lvlText w:val="%6."/>
      <w:lvlJc w:val="right"/>
      <w:pPr>
        <w:ind w:left="5760" w:hanging="180"/>
      </w:pPr>
      <w:rPr>
        <w:rFonts w:cs="Times New Roman"/>
      </w:rPr>
    </w:lvl>
    <w:lvl w:ilvl="6" w:tplc="0426000F" w:tentative="1">
      <w:start w:val="1"/>
      <w:numFmt w:val="decimal"/>
      <w:lvlText w:val="%7."/>
      <w:lvlJc w:val="left"/>
      <w:pPr>
        <w:ind w:left="6480" w:hanging="360"/>
      </w:pPr>
      <w:rPr>
        <w:rFonts w:cs="Times New Roman"/>
      </w:rPr>
    </w:lvl>
    <w:lvl w:ilvl="7" w:tplc="04260019" w:tentative="1">
      <w:start w:val="1"/>
      <w:numFmt w:val="lowerLetter"/>
      <w:lvlText w:val="%8."/>
      <w:lvlJc w:val="left"/>
      <w:pPr>
        <w:ind w:left="7200" w:hanging="360"/>
      </w:pPr>
      <w:rPr>
        <w:rFonts w:cs="Times New Roman"/>
      </w:rPr>
    </w:lvl>
    <w:lvl w:ilvl="8" w:tplc="0426001B" w:tentative="1">
      <w:start w:val="1"/>
      <w:numFmt w:val="lowerRoman"/>
      <w:lvlText w:val="%9."/>
      <w:lvlJc w:val="right"/>
      <w:pPr>
        <w:ind w:left="7920" w:hanging="180"/>
      </w:pPr>
      <w:rPr>
        <w:rFonts w:cs="Times New Roman"/>
      </w:rPr>
    </w:lvl>
  </w:abstractNum>
  <w:abstractNum w:abstractNumId="19">
    <w:nsid w:val="4FC340A9"/>
    <w:multiLevelType w:val="hybridMultilevel"/>
    <w:tmpl w:val="BA0269D0"/>
    <w:lvl w:ilvl="0" w:tplc="9F307EE6">
      <w:start w:val="1"/>
      <w:numFmt w:val="decimal"/>
      <w:lvlText w:val="%1)"/>
      <w:lvlJc w:val="left"/>
      <w:pPr>
        <w:tabs>
          <w:tab w:val="num" w:pos="1785"/>
        </w:tabs>
        <w:ind w:left="1785" w:hanging="106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0">
    <w:nsid w:val="520D03D1"/>
    <w:multiLevelType w:val="hybridMultilevel"/>
    <w:tmpl w:val="B01E2254"/>
    <w:lvl w:ilvl="0" w:tplc="04260013">
      <w:start w:val="1"/>
      <w:numFmt w:val="upperRoman"/>
      <w:lvlText w:val="%1."/>
      <w:lvlJc w:val="right"/>
      <w:pPr>
        <w:tabs>
          <w:tab w:val="num" w:pos="540"/>
        </w:tabs>
        <w:ind w:left="540" w:hanging="180"/>
      </w:pPr>
      <w:rPr>
        <w:rFonts w:cs="Times New Roman" w:hint="default"/>
      </w:rPr>
    </w:lvl>
    <w:lvl w:ilvl="1" w:tplc="04260001">
      <w:start w:val="1"/>
      <w:numFmt w:val="bullet"/>
      <w:lvlText w:val=""/>
      <w:lvlJc w:val="left"/>
      <w:pPr>
        <w:tabs>
          <w:tab w:val="num" w:pos="1440"/>
        </w:tabs>
        <w:ind w:left="1440" w:hanging="360"/>
      </w:pPr>
      <w:rPr>
        <w:rFonts w:ascii="Symbol" w:hAnsi="Symbol" w:hint="default"/>
      </w:rPr>
    </w:lvl>
    <w:lvl w:ilvl="2" w:tplc="04260013">
      <w:start w:val="1"/>
      <w:numFmt w:val="upperRoman"/>
      <w:lvlText w:val="%3."/>
      <w:lvlJc w:val="right"/>
      <w:pPr>
        <w:tabs>
          <w:tab w:val="num" w:pos="2160"/>
        </w:tabs>
        <w:ind w:left="2160" w:hanging="180"/>
      </w:pPr>
      <w:rPr>
        <w:rFonts w:cs="Times New Roman" w:hint="default"/>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1">
    <w:nsid w:val="524979BD"/>
    <w:multiLevelType w:val="hybridMultilevel"/>
    <w:tmpl w:val="30348B76"/>
    <w:lvl w:ilvl="0" w:tplc="04260011">
      <w:start w:val="1"/>
      <w:numFmt w:val="decimal"/>
      <w:lvlText w:val="%1)"/>
      <w:lvlJc w:val="left"/>
      <w:pPr>
        <w:ind w:left="144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22">
    <w:nsid w:val="543A03FE"/>
    <w:multiLevelType w:val="hybridMultilevel"/>
    <w:tmpl w:val="D10E8166"/>
    <w:lvl w:ilvl="0" w:tplc="CB1EF72E">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55D6354F"/>
    <w:multiLevelType w:val="multilevel"/>
    <w:tmpl w:val="E094382E"/>
    <w:lvl w:ilvl="0">
      <w:start w:val="52"/>
      <w:numFmt w:val="bullet"/>
      <w:lvlText w:val="-"/>
      <w:lvlJc w:val="left"/>
      <w:pPr>
        <w:ind w:left="720" w:hanging="360"/>
      </w:pPr>
      <w:rPr>
        <w:rFonts w:ascii="Times New Roman" w:eastAsia="Times New Roman" w:hAnsi="Times New Roman"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561F35F8"/>
    <w:multiLevelType w:val="hybridMultilevel"/>
    <w:tmpl w:val="2E0607A4"/>
    <w:lvl w:ilvl="0" w:tplc="F2508426">
      <w:start w:val="1"/>
      <w:numFmt w:val="decimal"/>
      <w:lvlText w:val="%1)"/>
      <w:lvlJc w:val="left"/>
      <w:pPr>
        <w:tabs>
          <w:tab w:val="num" w:pos="1860"/>
        </w:tabs>
        <w:ind w:left="1860" w:hanging="114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5">
    <w:nsid w:val="58E87A82"/>
    <w:multiLevelType w:val="hybridMultilevel"/>
    <w:tmpl w:val="4686E32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D8B58E4"/>
    <w:multiLevelType w:val="multilevel"/>
    <w:tmpl w:val="4A9257F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62D4275C"/>
    <w:multiLevelType w:val="hybridMultilevel"/>
    <w:tmpl w:val="6A002240"/>
    <w:lvl w:ilvl="0" w:tplc="0426000F">
      <w:start w:val="1"/>
      <w:numFmt w:val="decimal"/>
      <w:lvlText w:val="%1."/>
      <w:lvlJc w:val="left"/>
      <w:pPr>
        <w:tabs>
          <w:tab w:val="num" w:pos="720"/>
        </w:tabs>
        <w:ind w:left="720" w:hanging="360"/>
      </w:pPr>
      <w:rPr>
        <w:rFonts w:cs="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nsid w:val="66F04BC9"/>
    <w:multiLevelType w:val="hybridMultilevel"/>
    <w:tmpl w:val="BDB0B694"/>
    <w:lvl w:ilvl="0" w:tplc="04260001">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hint="default"/>
      </w:rPr>
    </w:lvl>
    <w:lvl w:ilvl="8" w:tplc="04260005" w:tentative="1">
      <w:start w:val="1"/>
      <w:numFmt w:val="bullet"/>
      <w:lvlText w:val=""/>
      <w:lvlJc w:val="left"/>
      <w:pPr>
        <w:ind w:left="6781" w:hanging="360"/>
      </w:pPr>
      <w:rPr>
        <w:rFonts w:ascii="Wingdings" w:hAnsi="Wingdings" w:hint="default"/>
      </w:rPr>
    </w:lvl>
  </w:abstractNum>
  <w:abstractNum w:abstractNumId="29">
    <w:nsid w:val="68BA7A44"/>
    <w:multiLevelType w:val="hybridMultilevel"/>
    <w:tmpl w:val="E094382E"/>
    <w:lvl w:ilvl="0" w:tplc="349EDB96">
      <w:start w:val="52"/>
      <w:numFmt w:val="bullet"/>
      <w:lvlText w:val="-"/>
      <w:lvlJc w:val="left"/>
      <w:pPr>
        <w:ind w:left="720" w:hanging="360"/>
      </w:pPr>
      <w:rPr>
        <w:rFonts w:ascii="Times New Roman" w:eastAsia="Times New Roman" w:hAnsi="Times New Roman" w:hint="default"/>
      </w:rPr>
    </w:lvl>
    <w:lvl w:ilvl="1" w:tplc="CB1EF72E">
      <w:numFmt w:val="bullet"/>
      <w:lvlText w:val="-"/>
      <w:lvlJc w:val="left"/>
      <w:pPr>
        <w:tabs>
          <w:tab w:val="num" w:pos="1440"/>
        </w:tabs>
        <w:ind w:left="1440" w:hanging="360"/>
      </w:pPr>
      <w:rPr>
        <w:rFonts w:ascii="Times New Roman" w:eastAsia="Times New Roman" w:hAnsi="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9D139C3"/>
    <w:multiLevelType w:val="hybridMultilevel"/>
    <w:tmpl w:val="7234D8CC"/>
    <w:lvl w:ilvl="0" w:tplc="04260011">
      <w:start w:val="1"/>
      <w:numFmt w:val="decimal"/>
      <w:lvlText w:val="%1)"/>
      <w:lvlJc w:val="left"/>
      <w:pPr>
        <w:ind w:left="1364" w:hanging="360"/>
      </w:pPr>
      <w:rPr>
        <w:rFonts w:cs="Times New Roman"/>
      </w:rPr>
    </w:lvl>
    <w:lvl w:ilvl="1" w:tplc="04260019" w:tentative="1">
      <w:start w:val="1"/>
      <w:numFmt w:val="lowerLetter"/>
      <w:lvlText w:val="%2."/>
      <w:lvlJc w:val="left"/>
      <w:pPr>
        <w:ind w:left="2084" w:hanging="360"/>
      </w:pPr>
      <w:rPr>
        <w:rFonts w:cs="Times New Roman"/>
      </w:rPr>
    </w:lvl>
    <w:lvl w:ilvl="2" w:tplc="0426001B" w:tentative="1">
      <w:start w:val="1"/>
      <w:numFmt w:val="lowerRoman"/>
      <w:lvlText w:val="%3."/>
      <w:lvlJc w:val="right"/>
      <w:pPr>
        <w:ind w:left="2804" w:hanging="180"/>
      </w:pPr>
      <w:rPr>
        <w:rFonts w:cs="Times New Roman"/>
      </w:rPr>
    </w:lvl>
    <w:lvl w:ilvl="3" w:tplc="0426000F" w:tentative="1">
      <w:start w:val="1"/>
      <w:numFmt w:val="decimal"/>
      <w:lvlText w:val="%4."/>
      <w:lvlJc w:val="left"/>
      <w:pPr>
        <w:ind w:left="3524" w:hanging="360"/>
      </w:pPr>
      <w:rPr>
        <w:rFonts w:cs="Times New Roman"/>
      </w:rPr>
    </w:lvl>
    <w:lvl w:ilvl="4" w:tplc="04260019" w:tentative="1">
      <w:start w:val="1"/>
      <w:numFmt w:val="lowerLetter"/>
      <w:lvlText w:val="%5."/>
      <w:lvlJc w:val="left"/>
      <w:pPr>
        <w:ind w:left="4244" w:hanging="360"/>
      </w:pPr>
      <w:rPr>
        <w:rFonts w:cs="Times New Roman"/>
      </w:rPr>
    </w:lvl>
    <w:lvl w:ilvl="5" w:tplc="0426001B" w:tentative="1">
      <w:start w:val="1"/>
      <w:numFmt w:val="lowerRoman"/>
      <w:lvlText w:val="%6."/>
      <w:lvlJc w:val="right"/>
      <w:pPr>
        <w:ind w:left="4964" w:hanging="180"/>
      </w:pPr>
      <w:rPr>
        <w:rFonts w:cs="Times New Roman"/>
      </w:rPr>
    </w:lvl>
    <w:lvl w:ilvl="6" w:tplc="0426000F" w:tentative="1">
      <w:start w:val="1"/>
      <w:numFmt w:val="decimal"/>
      <w:lvlText w:val="%7."/>
      <w:lvlJc w:val="left"/>
      <w:pPr>
        <w:ind w:left="5684" w:hanging="360"/>
      </w:pPr>
      <w:rPr>
        <w:rFonts w:cs="Times New Roman"/>
      </w:rPr>
    </w:lvl>
    <w:lvl w:ilvl="7" w:tplc="04260019" w:tentative="1">
      <w:start w:val="1"/>
      <w:numFmt w:val="lowerLetter"/>
      <w:lvlText w:val="%8."/>
      <w:lvlJc w:val="left"/>
      <w:pPr>
        <w:ind w:left="6404" w:hanging="360"/>
      </w:pPr>
      <w:rPr>
        <w:rFonts w:cs="Times New Roman"/>
      </w:rPr>
    </w:lvl>
    <w:lvl w:ilvl="8" w:tplc="0426001B" w:tentative="1">
      <w:start w:val="1"/>
      <w:numFmt w:val="lowerRoman"/>
      <w:lvlText w:val="%9."/>
      <w:lvlJc w:val="right"/>
      <w:pPr>
        <w:ind w:left="7124" w:hanging="180"/>
      </w:pPr>
      <w:rPr>
        <w:rFonts w:cs="Times New Roman"/>
      </w:rPr>
    </w:lvl>
  </w:abstractNum>
  <w:abstractNum w:abstractNumId="31">
    <w:nsid w:val="6B707358"/>
    <w:multiLevelType w:val="multilevel"/>
    <w:tmpl w:val="8DC6618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6F433856"/>
    <w:multiLevelType w:val="hybridMultilevel"/>
    <w:tmpl w:val="02D64552"/>
    <w:lvl w:ilvl="0" w:tplc="4A76F71C">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3">
    <w:nsid w:val="714530CC"/>
    <w:multiLevelType w:val="hybridMultilevel"/>
    <w:tmpl w:val="D6224F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49537B4"/>
    <w:multiLevelType w:val="hybridMultilevel"/>
    <w:tmpl w:val="72B289E4"/>
    <w:lvl w:ilvl="0" w:tplc="96108FCC">
      <w:start w:val="112"/>
      <w:numFmt w:val="bullet"/>
      <w:lvlText w:val="-"/>
      <w:lvlJc w:val="left"/>
      <w:pPr>
        <w:ind w:left="720" w:hanging="360"/>
      </w:pPr>
      <w:rPr>
        <w:rFonts w:ascii="Times New Roman" w:eastAsia="Times New Roman" w:hAnsi="Times New Roman" w:hint="default"/>
        <w:color w:val="auto"/>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74D1EA9"/>
    <w:multiLevelType w:val="hybridMultilevel"/>
    <w:tmpl w:val="69A09CDE"/>
    <w:lvl w:ilvl="0" w:tplc="1C3C9464">
      <w:start w:val="1"/>
      <w:numFmt w:val="bullet"/>
      <w:lvlText w:val="-"/>
      <w:lvlJc w:val="left"/>
      <w:pPr>
        <w:ind w:left="1080" w:hanging="360"/>
      </w:pPr>
      <w:rPr>
        <w:rFonts w:ascii="Times New Roman" w:eastAsia="Times New Roman" w:hAnsi="Times New Roman" w:hint="default"/>
      </w:rPr>
    </w:lvl>
    <w:lvl w:ilvl="1" w:tplc="04260003">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nsid w:val="7A1303F6"/>
    <w:multiLevelType w:val="hybridMultilevel"/>
    <w:tmpl w:val="3948D742"/>
    <w:lvl w:ilvl="0" w:tplc="04260011">
      <w:start w:val="1"/>
      <w:numFmt w:val="decimal"/>
      <w:lvlText w:val="%1)"/>
      <w:lvlJc w:val="left"/>
      <w:pPr>
        <w:tabs>
          <w:tab w:val="num" w:pos="720"/>
        </w:tabs>
        <w:ind w:left="720" w:hanging="360"/>
      </w:pPr>
      <w:rPr>
        <w:rFonts w:cs="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nsid w:val="7A5D1197"/>
    <w:multiLevelType w:val="multilevel"/>
    <w:tmpl w:val="28A0E99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1"/>
  </w:num>
  <w:num w:numId="2">
    <w:abstractNumId w:val="18"/>
  </w:num>
  <w:num w:numId="3">
    <w:abstractNumId w:val="20"/>
  </w:num>
  <w:num w:numId="4">
    <w:abstractNumId w:val="10"/>
  </w:num>
  <w:num w:numId="5">
    <w:abstractNumId w:val="34"/>
  </w:num>
  <w:num w:numId="6">
    <w:abstractNumId w:val="0"/>
  </w:num>
  <w:num w:numId="7">
    <w:abstractNumId w:val="1"/>
  </w:num>
  <w:num w:numId="8">
    <w:abstractNumId w:val="7"/>
  </w:num>
  <w:num w:numId="9">
    <w:abstractNumId w:val="3"/>
  </w:num>
  <w:num w:numId="10">
    <w:abstractNumId w:val="29"/>
  </w:num>
  <w:num w:numId="11">
    <w:abstractNumId w:val="5"/>
  </w:num>
  <w:num w:numId="12">
    <w:abstractNumId w:val="37"/>
  </w:num>
  <w:num w:numId="13">
    <w:abstractNumId w:val="13"/>
  </w:num>
  <w:num w:numId="14">
    <w:abstractNumId w:val="26"/>
  </w:num>
  <w:num w:numId="15">
    <w:abstractNumId w:val="35"/>
  </w:num>
  <w:num w:numId="16">
    <w:abstractNumId w:val="11"/>
  </w:num>
  <w:num w:numId="17">
    <w:abstractNumId w:val="14"/>
  </w:num>
  <w:num w:numId="18">
    <w:abstractNumId w:val="28"/>
  </w:num>
  <w:num w:numId="19">
    <w:abstractNumId w:val="30"/>
  </w:num>
  <w:num w:numId="20">
    <w:abstractNumId w:val="6"/>
  </w:num>
  <w:num w:numId="21">
    <w:abstractNumId w:val="9"/>
  </w:num>
  <w:num w:numId="22">
    <w:abstractNumId w:val="23"/>
  </w:num>
  <w:num w:numId="23">
    <w:abstractNumId w:val="16"/>
  </w:num>
  <w:num w:numId="24">
    <w:abstractNumId w:val="8"/>
  </w:num>
  <w:num w:numId="25">
    <w:abstractNumId w:val="32"/>
  </w:num>
  <w:num w:numId="26">
    <w:abstractNumId w:val="24"/>
  </w:num>
  <w:num w:numId="27">
    <w:abstractNumId w:val="19"/>
  </w:num>
  <w:num w:numId="28">
    <w:abstractNumId w:val="12"/>
  </w:num>
  <w:num w:numId="29">
    <w:abstractNumId w:val="22"/>
  </w:num>
  <w:num w:numId="30">
    <w:abstractNumId w:val="4"/>
  </w:num>
  <w:num w:numId="31">
    <w:abstractNumId w:val="17"/>
  </w:num>
  <w:num w:numId="32">
    <w:abstractNumId w:val="31"/>
  </w:num>
  <w:num w:numId="33">
    <w:abstractNumId w:val="2"/>
  </w:num>
  <w:num w:numId="34">
    <w:abstractNumId w:val="27"/>
  </w:num>
  <w:num w:numId="35">
    <w:abstractNumId w:val="36"/>
  </w:num>
  <w:num w:numId="36">
    <w:abstractNumId w:val="33"/>
  </w:num>
  <w:num w:numId="37">
    <w:abstractNumId w:val="15"/>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C0"/>
    <w:rsid w:val="0000070C"/>
    <w:rsid w:val="000040C9"/>
    <w:rsid w:val="0000529C"/>
    <w:rsid w:val="00005B66"/>
    <w:rsid w:val="00012573"/>
    <w:rsid w:val="00012DA8"/>
    <w:rsid w:val="00015BC8"/>
    <w:rsid w:val="00021D4D"/>
    <w:rsid w:val="000245D5"/>
    <w:rsid w:val="000246AB"/>
    <w:rsid w:val="0002755E"/>
    <w:rsid w:val="00027E30"/>
    <w:rsid w:val="00032E34"/>
    <w:rsid w:val="00037334"/>
    <w:rsid w:val="00041662"/>
    <w:rsid w:val="00047F20"/>
    <w:rsid w:val="00050F49"/>
    <w:rsid w:val="00054D5E"/>
    <w:rsid w:val="0005577D"/>
    <w:rsid w:val="000634B6"/>
    <w:rsid w:val="000652CE"/>
    <w:rsid w:val="00065DEF"/>
    <w:rsid w:val="00072254"/>
    <w:rsid w:val="000736D9"/>
    <w:rsid w:val="00073B4B"/>
    <w:rsid w:val="000765AB"/>
    <w:rsid w:val="00082AF0"/>
    <w:rsid w:val="00087981"/>
    <w:rsid w:val="00091C54"/>
    <w:rsid w:val="0009261E"/>
    <w:rsid w:val="000938C7"/>
    <w:rsid w:val="00097BC3"/>
    <w:rsid w:val="000A0A58"/>
    <w:rsid w:val="000A3AFC"/>
    <w:rsid w:val="000A4AF0"/>
    <w:rsid w:val="000A68A6"/>
    <w:rsid w:val="000B0210"/>
    <w:rsid w:val="000B17D3"/>
    <w:rsid w:val="000B3073"/>
    <w:rsid w:val="000B3F31"/>
    <w:rsid w:val="000B6770"/>
    <w:rsid w:val="000B7F11"/>
    <w:rsid w:val="000C4D61"/>
    <w:rsid w:val="000C578D"/>
    <w:rsid w:val="000D2073"/>
    <w:rsid w:val="000E211C"/>
    <w:rsid w:val="000E2F26"/>
    <w:rsid w:val="000E4EA2"/>
    <w:rsid w:val="000E64B5"/>
    <w:rsid w:val="000E7DA9"/>
    <w:rsid w:val="000F055E"/>
    <w:rsid w:val="000F3E9D"/>
    <w:rsid w:val="000F41EA"/>
    <w:rsid w:val="00102B5A"/>
    <w:rsid w:val="00102DDD"/>
    <w:rsid w:val="00110177"/>
    <w:rsid w:val="00112073"/>
    <w:rsid w:val="001137C0"/>
    <w:rsid w:val="00113811"/>
    <w:rsid w:val="00121F19"/>
    <w:rsid w:val="001228BD"/>
    <w:rsid w:val="00124632"/>
    <w:rsid w:val="001312C3"/>
    <w:rsid w:val="00137E6C"/>
    <w:rsid w:val="001416A4"/>
    <w:rsid w:val="00145B47"/>
    <w:rsid w:val="00154BE1"/>
    <w:rsid w:val="001568EB"/>
    <w:rsid w:val="0016025C"/>
    <w:rsid w:val="001603EA"/>
    <w:rsid w:val="00162C45"/>
    <w:rsid w:val="001667AC"/>
    <w:rsid w:val="00167166"/>
    <w:rsid w:val="001706C1"/>
    <w:rsid w:val="00170B3A"/>
    <w:rsid w:val="001752D2"/>
    <w:rsid w:val="001808DB"/>
    <w:rsid w:val="00181FA0"/>
    <w:rsid w:val="001856B5"/>
    <w:rsid w:val="00186213"/>
    <w:rsid w:val="00191C58"/>
    <w:rsid w:val="00192A03"/>
    <w:rsid w:val="001A0FEE"/>
    <w:rsid w:val="001A3A92"/>
    <w:rsid w:val="001A5E6C"/>
    <w:rsid w:val="001A704D"/>
    <w:rsid w:val="001B087B"/>
    <w:rsid w:val="001B640F"/>
    <w:rsid w:val="001C07AF"/>
    <w:rsid w:val="001C6DB0"/>
    <w:rsid w:val="001D063C"/>
    <w:rsid w:val="001D222A"/>
    <w:rsid w:val="001D263D"/>
    <w:rsid w:val="001E0E29"/>
    <w:rsid w:val="001E161A"/>
    <w:rsid w:val="001E3E57"/>
    <w:rsid w:val="001E5E86"/>
    <w:rsid w:val="001E63FB"/>
    <w:rsid w:val="001F0B79"/>
    <w:rsid w:val="001F3868"/>
    <w:rsid w:val="001F63DD"/>
    <w:rsid w:val="00203025"/>
    <w:rsid w:val="00210DA9"/>
    <w:rsid w:val="002120AD"/>
    <w:rsid w:val="00213F2E"/>
    <w:rsid w:val="00214C90"/>
    <w:rsid w:val="002162E5"/>
    <w:rsid w:val="0022087A"/>
    <w:rsid w:val="0022138B"/>
    <w:rsid w:val="0022720E"/>
    <w:rsid w:val="00227B5B"/>
    <w:rsid w:val="00231A41"/>
    <w:rsid w:val="00233DDF"/>
    <w:rsid w:val="00240150"/>
    <w:rsid w:val="002453E7"/>
    <w:rsid w:val="00245C0D"/>
    <w:rsid w:val="00251FD6"/>
    <w:rsid w:val="00254D0B"/>
    <w:rsid w:val="0026618A"/>
    <w:rsid w:val="00266CDB"/>
    <w:rsid w:val="00267423"/>
    <w:rsid w:val="00271680"/>
    <w:rsid w:val="00274EE9"/>
    <w:rsid w:val="00284889"/>
    <w:rsid w:val="00285D12"/>
    <w:rsid w:val="00294EAC"/>
    <w:rsid w:val="00297AF8"/>
    <w:rsid w:val="002A16F5"/>
    <w:rsid w:val="002A3540"/>
    <w:rsid w:val="002A38C0"/>
    <w:rsid w:val="002B0B83"/>
    <w:rsid w:val="002B6770"/>
    <w:rsid w:val="002C17C9"/>
    <w:rsid w:val="002C2E64"/>
    <w:rsid w:val="002C3CC4"/>
    <w:rsid w:val="002C5B9C"/>
    <w:rsid w:val="002C6465"/>
    <w:rsid w:val="002E07F3"/>
    <w:rsid w:val="002E18FA"/>
    <w:rsid w:val="002E341B"/>
    <w:rsid w:val="002E3C32"/>
    <w:rsid w:val="002E4C17"/>
    <w:rsid w:val="002E7565"/>
    <w:rsid w:val="002F0177"/>
    <w:rsid w:val="00304C7B"/>
    <w:rsid w:val="00304F75"/>
    <w:rsid w:val="003068F0"/>
    <w:rsid w:val="00306A7B"/>
    <w:rsid w:val="00306B64"/>
    <w:rsid w:val="0031039F"/>
    <w:rsid w:val="00311610"/>
    <w:rsid w:val="00314A1E"/>
    <w:rsid w:val="00315A5E"/>
    <w:rsid w:val="0031749E"/>
    <w:rsid w:val="00317919"/>
    <w:rsid w:val="00320F04"/>
    <w:rsid w:val="003262FD"/>
    <w:rsid w:val="00330C67"/>
    <w:rsid w:val="0033342E"/>
    <w:rsid w:val="00337F30"/>
    <w:rsid w:val="00340C81"/>
    <w:rsid w:val="00342537"/>
    <w:rsid w:val="00343BD2"/>
    <w:rsid w:val="003452E1"/>
    <w:rsid w:val="00353525"/>
    <w:rsid w:val="00354DAD"/>
    <w:rsid w:val="00363600"/>
    <w:rsid w:val="00363D55"/>
    <w:rsid w:val="00363E7D"/>
    <w:rsid w:val="00364B44"/>
    <w:rsid w:val="00371A43"/>
    <w:rsid w:val="00373614"/>
    <w:rsid w:val="00374F8F"/>
    <w:rsid w:val="00376D4F"/>
    <w:rsid w:val="00384989"/>
    <w:rsid w:val="00385B72"/>
    <w:rsid w:val="00391276"/>
    <w:rsid w:val="00396D03"/>
    <w:rsid w:val="003A0D4A"/>
    <w:rsid w:val="003A30F1"/>
    <w:rsid w:val="003A4052"/>
    <w:rsid w:val="003B2D84"/>
    <w:rsid w:val="003B40D4"/>
    <w:rsid w:val="003C36E2"/>
    <w:rsid w:val="003D0235"/>
    <w:rsid w:val="003D04C6"/>
    <w:rsid w:val="003D33EA"/>
    <w:rsid w:val="003D4A40"/>
    <w:rsid w:val="003D4E99"/>
    <w:rsid w:val="003E2438"/>
    <w:rsid w:val="003F2E49"/>
    <w:rsid w:val="003F6E6B"/>
    <w:rsid w:val="003F71BF"/>
    <w:rsid w:val="00401B64"/>
    <w:rsid w:val="00406648"/>
    <w:rsid w:val="0041211E"/>
    <w:rsid w:val="00413C68"/>
    <w:rsid w:val="00415244"/>
    <w:rsid w:val="0041711A"/>
    <w:rsid w:val="00422400"/>
    <w:rsid w:val="004224FB"/>
    <w:rsid w:val="00425BBD"/>
    <w:rsid w:val="004274DA"/>
    <w:rsid w:val="004351B8"/>
    <w:rsid w:val="004400A7"/>
    <w:rsid w:val="00442433"/>
    <w:rsid w:val="00444396"/>
    <w:rsid w:val="00446AE0"/>
    <w:rsid w:val="00447C71"/>
    <w:rsid w:val="0045188A"/>
    <w:rsid w:val="00452DF9"/>
    <w:rsid w:val="004545DD"/>
    <w:rsid w:val="00454EC3"/>
    <w:rsid w:val="00462039"/>
    <w:rsid w:val="004621CB"/>
    <w:rsid w:val="0046508D"/>
    <w:rsid w:val="00471444"/>
    <w:rsid w:val="00476C18"/>
    <w:rsid w:val="00477571"/>
    <w:rsid w:val="0047796C"/>
    <w:rsid w:val="00484E0E"/>
    <w:rsid w:val="00485BB1"/>
    <w:rsid w:val="004906DC"/>
    <w:rsid w:val="00491360"/>
    <w:rsid w:val="00492AA2"/>
    <w:rsid w:val="004944B0"/>
    <w:rsid w:val="00494CF7"/>
    <w:rsid w:val="004A04E4"/>
    <w:rsid w:val="004A3AD5"/>
    <w:rsid w:val="004A7961"/>
    <w:rsid w:val="004B1464"/>
    <w:rsid w:val="004B7999"/>
    <w:rsid w:val="004C0E4B"/>
    <w:rsid w:val="004C1EA5"/>
    <w:rsid w:val="004C21A9"/>
    <w:rsid w:val="004C4901"/>
    <w:rsid w:val="004C5AA1"/>
    <w:rsid w:val="004C7B75"/>
    <w:rsid w:val="004D3906"/>
    <w:rsid w:val="004D422C"/>
    <w:rsid w:val="004D478A"/>
    <w:rsid w:val="004D517E"/>
    <w:rsid w:val="004D5D31"/>
    <w:rsid w:val="004D74EE"/>
    <w:rsid w:val="004D7991"/>
    <w:rsid w:val="004E0936"/>
    <w:rsid w:val="004E0C0D"/>
    <w:rsid w:val="004E2F41"/>
    <w:rsid w:val="004E4499"/>
    <w:rsid w:val="004E5860"/>
    <w:rsid w:val="004F0F2A"/>
    <w:rsid w:val="004F25A2"/>
    <w:rsid w:val="004F4444"/>
    <w:rsid w:val="004F5FE6"/>
    <w:rsid w:val="00503F24"/>
    <w:rsid w:val="00504977"/>
    <w:rsid w:val="005060D7"/>
    <w:rsid w:val="005063B5"/>
    <w:rsid w:val="00507EAF"/>
    <w:rsid w:val="00512972"/>
    <w:rsid w:val="005142B4"/>
    <w:rsid w:val="00515E9F"/>
    <w:rsid w:val="00520C1C"/>
    <w:rsid w:val="005219D4"/>
    <w:rsid w:val="00522D9F"/>
    <w:rsid w:val="00524530"/>
    <w:rsid w:val="00526AF5"/>
    <w:rsid w:val="00527434"/>
    <w:rsid w:val="0053182E"/>
    <w:rsid w:val="00532572"/>
    <w:rsid w:val="005328F0"/>
    <w:rsid w:val="005377A4"/>
    <w:rsid w:val="005416AB"/>
    <w:rsid w:val="00542E9E"/>
    <w:rsid w:val="00543DEA"/>
    <w:rsid w:val="00547240"/>
    <w:rsid w:val="005477B4"/>
    <w:rsid w:val="0055076B"/>
    <w:rsid w:val="005512E5"/>
    <w:rsid w:val="005530DE"/>
    <w:rsid w:val="00554A18"/>
    <w:rsid w:val="0056188D"/>
    <w:rsid w:val="00572DAE"/>
    <w:rsid w:val="00573121"/>
    <w:rsid w:val="00573124"/>
    <w:rsid w:val="005747FD"/>
    <w:rsid w:val="00574B71"/>
    <w:rsid w:val="00584D39"/>
    <w:rsid w:val="00585404"/>
    <w:rsid w:val="00585ED1"/>
    <w:rsid w:val="0058764C"/>
    <w:rsid w:val="0058797B"/>
    <w:rsid w:val="00590852"/>
    <w:rsid w:val="005954EF"/>
    <w:rsid w:val="00595771"/>
    <w:rsid w:val="0059735E"/>
    <w:rsid w:val="005A2C43"/>
    <w:rsid w:val="005A362F"/>
    <w:rsid w:val="005B2BC9"/>
    <w:rsid w:val="005C19E2"/>
    <w:rsid w:val="005C2076"/>
    <w:rsid w:val="005D23CE"/>
    <w:rsid w:val="005D259D"/>
    <w:rsid w:val="005D3D63"/>
    <w:rsid w:val="005D5CD8"/>
    <w:rsid w:val="005E2236"/>
    <w:rsid w:val="005E4B8A"/>
    <w:rsid w:val="005F0A80"/>
    <w:rsid w:val="00600AD4"/>
    <w:rsid w:val="00600F0D"/>
    <w:rsid w:val="006030AE"/>
    <w:rsid w:val="00604546"/>
    <w:rsid w:val="00604ABE"/>
    <w:rsid w:val="00605CF9"/>
    <w:rsid w:val="00606308"/>
    <w:rsid w:val="00612A3A"/>
    <w:rsid w:val="00625CE4"/>
    <w:rsid w:val="00626163"/>
    <w:rsid w:val="00634FA0"/>
    <w:rsid w:val="006352FD"/>
    <w:rsid w:val="00636D87"/>
    <w:rsid w:val="0064127F"/>
    <w:rsid w:val="00642993"/>
    <w:rsid w:val="00642D66"/>
    <w:rsid w:val="006440AA"/>
    <w:rsid w:val="00644E86"/>
    <w:rsid w:val="00650071"/>
    <w:rsid w:val="006516CC"/>
    <w:rsid w:val="00651980"/>
    <w:rsid w:val="00653D7E"/>
    <w:rsid w:val="00654157"/>
    <w:rsid w:val="00654747"/>
    <w:rsid w:val="00654B2A"/>
    <w:rsid w:val="00655D5C"/>
    <w:rsid w:val="006647C0"/>
    <w:rsid w:val="00664C01"/>
    <w:rsid w:val="00665C8A"/>
    <w:rsid w:val="00667E08"/>
    <w:rsid w:val="00670B23"/>
    <w:rsid w:val="00670EF1"/>
    <w:rsid w:val="006725BD"/>
    <w:rsid w:val="00675F70"/>
    <w:rsid w:val="0067702D"/>
    <w:rsid w:val="0067799C"/>
    <w:rsid w:val="00680768"/>
    <w:rsid w:val="00683FFD"/>
    <w:rsid w:val="00685FF9"/>
    <w:rsid w:val="00686A42"/>
    <w:rsid w:val="00687C0B"/>
    <w:rsid w:val="006930B3"/>
    <w:rsid w:val="00695AB0"/>
    <w:rsid w:val="006A2631"/>
    <w:rsid w:val="006A3FE6"/>
    <w:rsid w:val="006A4318"/>
    <w:rsid w:val="006A4C80"/>
    <w:rsid w:val="006A7DB5"/>
    <w:rsid w:val="006B2150"/>
    <w:rsid w:val="006C24C5"/>
    <w:rsid w:val="006C5AF9"/>
    <w:rsid w:val="006D0CF6"/>
    <w:rsid w:val="006D157F"/>
    <w:rsid w:val="006D3D92"/>
    <w:rsid w:val="006D6E78"/>
    <w:rsid w:val="006D7EED"/>
    <w:rsid w:val="006E02C2"/>
    <w:rsid w:val="006E1B99"/>
    <w:rsid w:val="006E1E89"/>
    <w:rsid w:val="006E2E7B"/>
    <w:rsid w:val="006E3CEB"/>
    <w:rsid w:val="006E42C8"/>
    <w:rsid w:val="006E5CE0"/>
    <w:rsid w:val="006E5FB3"/>
    <w:rsid w:val="006E6891"/>
    <w:rsid w:val="006F2985"/>
    <w:rsid w:val="006F319B"/>
    <w:rsid w:val="006F4E5A"/>
    <w:rsid w:val="00700FB0"/>
    <w:rsid w:val="0070417D"/>
    <w:rsid w:val="0070503C"/>
    <w:rsid w:val="007057B4"/>
    <w:rsid w:val="00712291"/>
    <w:rsid w:val="00715EDD"/>
    <w:rsid w:val="007160DC"/>
    <w:rsid w:val="00720441"/>
    <w:rsid w:val="0072068C"/>
    <w:rsid w:val="007262E3"/>
    <w:rsid w:val="007267D6"/>
    <w:rsid w:val="00726B92"/>
    <w:rsid w:val="00732857"/>
    <w:rsid w:val="0073350E"/>
    <w:rsid w:val="007343FF"/>
    <w:rsid w:val="007362AB"/>
    <w:rsid w:val="00736CFA"/>
    <w:rsid w:val="0074308F"/>
    <w:rsid w:val="00744191"/>
    <w:rsid w:val="00745BBF"/>
    <w:rsid w:val="007463BA"/>
    <w:rsid w:val="00751DBF"/>
    <w:rsid w:val="007647F1"/>
    <w:rsid w:val="007652EC"/>
    <w:rsid w:val="007679D1"/>
    <w:rsid w:val="007769C6"/>
    <w:rsid w:val="00777128"/>
    <w:rsid w:val="00780293"/>
    <w:rsid w:val="00783060"/>
    <w:rsid w:val="00785ADA"/>
    <w:rsid w:val="00787D93"/>
    <w:rsid w:val="00796504"/>
    <w:rsid w:val="007978DB"/>
    <w:rsid w:val="007A4D4F"/>
    <w:rsid w:val="007A60D5"/>
    <w:rsid w:val="007B3AC0"/>
    <w:rsid w:val="007B46C5"/>
    <w:rsid w:val="007B5DAC"/>
    <w:rsid w:val="007B7FEC"/>
    <w:rsid w:val="007D675F"/>
    <w:rsid w:val="007D72CD"/>
    <w:rsid w:val="007E0746"/>
    <w:rsid w:val="007E1012"/>
    <w:rsid w:val="007E1440"/>
    <w:rsid w:val="007E5358"/>
    <w:rsid w:val="007E6465"/>
    <w:rsid w:val="007E6984"/>
    <w:rsid w:val="007F241E"/>
    <w:rsid w:val="007F2AFF"/>
    <w:rsid w:val="007F317E"/>
    <w:rsid w:val="007F5242"/>
    <w:rsid w:val="007F5D96"/>
    <w:rsid w:val="00803D56"/>
    <w:rsid w:val="00804B04"/>
    <w:rsid w:val="00804F8D"/>
    <w:rsid w:val="00811A89"/>
    <w:rsid w:val="00813091"/>
    <w:rsid w:val="00813E9C"/>
    <w:rsid w:val="00815915"/>
    <w:rsid w:val="008228C1"/>
    <w:rsid w:val="00826C5C"/>
    <w:rsid w:val="00833DED"/>
    <w:rsid w:val="00836167"/>
    <w:rsid w:val="00840978"/>
    <w:rsid w:val="008474AE"/>
    <w:rsid w:val="00847642"/>
    <w:rsid w:val="00850D77"/>
    <w:rsid w:val="0085139B"/>
    <w:rsid w:val="00851700"/>
    <w:rsid w:val="00853EE5"/>
    <w:rsid w:val="00860581"/>
    <w:rsid w:val="0086110D"/>
    <w:rsid w:val="00867215"/>
    <w:rsid w:val="00870364"/>
    <w:rsid w:val="00873214"/>
    <w:rsid w:val="00873559"/>
    <w:rsid w:val="008775B6"/>
    <w:rsid w:val="00883961"/>
    <w:rsid w:val="00883D93"/>
    <w:rsid w:val="00885ED9"/>
    <w:rsid w:val="00887603"/>
    <w:rsid w:val="00887EDE"/>
    <w:rsid w:val="00890F48"/>
    <w:rsid w:val="008934D6"/>
    <w:rsid w:val="008A022A"/>
    <w:rsid w:val="008A2C4B"/>
    <w:rsid w:val="008A2C86"/>
    <w:rsid w:val="008A2DFA"/>
    <w:rsid w:val="008A339B"/>
    <w:rsid w:val="008A7AFB"/>
    <w:rsid w:val="008B11A2"/>
    <w:rsid w:val="008B1C90"/>
    <w:rsid w:val="008B2A54"/>
    <w:rsid w:val="008B3347"/>
    <w:rsid w:val="008B3FA1"/>
    <w:rsid w:val="008B62EF"/>
    <w:rsid w:val="008C0E34"/>
    <w:rsid w:val="008C6494"/>
    <w:rsid w:val="008C79F5"/>
    <w:rsid w:val="008D03FF"/>
    <w:rsid w:val="008D0B29"/>
    <w:rsid w:val="008D159D"/>
    <w:rsid w:val="008D2231"/>
    <w:rsid w:val="008E47A1"/>
    <w:rsid w:val="008F0265"/>
    <w:rsid w:val="008F08D7"/>
    <w:rsid w:val="008F1544"/>
    <w:rsid w:val="008F1762"/>
    <w:rsid w:val="008F6854"/>
    <w:rsid w:val="008F6F60"/>
    <w:rsid w:val="00914320"/>
    <w:rsid w:val="009148D4"/>
    <w:rsid w:val="00924D3A"/>
    <w:rsid w:val="009251C5"/>
    <w:rsid w:val="0092783C"/>
    <w:rsid w:val="00927F18"/>
    <w:rsid w:val="00930EFE"/>
    <w:rsid w:val="00931E14"/>
    <w:rsid w:val="00931FA5"/>
    <w:rsid w:val="009346C1"/>
    <w:rsid w:val="009353C4"/>
    <w:rsid w:val="00936133"/>
    <w:rsid w:val="00940339"/>
    <w:rsid w:val="00940B31"/>
    <w:rsid w:val="0094362F"/>
    <w:rsid w:val="00945A3A"/>
    <w:rsid w:val="00946DF3"/>
    <w:rsid w:val="00947228"/>
    <w:rsid w:val="00952A30"/>
    <w:rsid w:val="00952F2D"/>
    <w:rsid w:val="00956FDC"/>
    <w:rsid w:val="00960C6D"/>
    <w:rsid w:val="00962EF0"/>
    <w:rsid w:val="00966259"/>
    <w:rsid w:val="00970FA3"/>
    <w:rsid w:val="009729F1"/>
    <w:rsid w:val="0097398E"/>
    <w:rsid w:val="00974C3B"/>
    <w:rsid w:val="00976D30"/>
    <w:rsid w:val="009771EA"/>
    <w:rsid w:val="00977294"/>
    <w:rsid w:val="009831AD"/>
    <w:rsid w:val="00985853"/>
    <w:rsid w:val="0099144E"/>
    <w:rsid w:val="00993FDF"/>
    <w:rsid w:val="009A004F"/>
    <w:rsid w:val="009A00DE"/>
    <w:rsid w:val="009A1411"/>
    <w:rsid w:val="009A2B75"/>
    <w:rsid w:val="009A2C99"/>
    <w:rsid w:val="009A2F9B"/>
    <w:rsid w:val="009A5F1F"/>
    <w:rsid w:val="009A72DB"/>
    <w:rsid w:val="009B7AB2"/>
    <w:rsid w:val="009C041B"/>
    <w:rsid w:val="009C5698"/>
    <w:rsid w:val="009C5DFF"/>
    <w:rsid w:val="009D02CB"/>
    <w:rsid w:val="009D0EC6"/>
    <w:rsid w:val="009D2604"/>
    <w:rsid w:val="009D45E4"/>
    <w:rsid w:val="009E6808"/>
    <w:rsid w:val="009E7DCA"/>
    <w:rsid w:val="009F252D"/>
    <w:rsid w:val="009F4EE6"/>
    <w:rsid w:val="00A02E25"/>
    <w:rsid w:val="00A065F7"/>
    <w:rsid w:val="00A076EF"/>
    <w:rsid w:val="00A07F86"/>
    <w:rsid w:val="00A119B0"/>
    <w:rsid w:val="00A137EF"/>
    <w:rsid w:val="00A15E99"/>
    <w:rsid w:val="00A20A4A"/>
    <w:rsid w:val="00A2240A"/>
    <w:rsid w:val="00A2361D"/>
    <w:rsid w:val="00A23730"/>
    <w:rsid w:val="00A24106"/>
    <w:rsid w:val="00A2424B"/>
    <w:rsid w:val="00A26370"/>
    <w:rsid w:val="00A26498"/>
    <w:rsid w:val="00A326D2"/>
    <w:rsid w:val="00A41791"/>
    <w:rsid w:val="00A4384B"/>
    <w:rsid w:val="00A47FAD"/>
    <w:rsid w:val="00A5024E"/>
    <w:rsid w:val="00A509B6"/>
    <w:rsid w:val="00A52940"/>
    <w:rsid w:val="00A534AB"/>
    <w:rsid w:val="00A538A4"/>
    <w:rsid w:val="00A5510F"/>
    <w:rsid w:val="00A555F3"/>
    <w:rsid w:val="00A61A51"/>
    <w:rsid w:val="00A622FF"/>
    <w:rsid w:val="00A700E0"/>
    <w:rsid w:val="00A74CE9"/>
    <w:rsid w:val="00A75969"/>
    <w:rsid w:val="00A762F6"/>
    <w:rsid w:val="00A76941"/>
    <w:rsid w:val="00A82307"/>
    <w:rsid w:val="00A8479F"/>
    <w:rsid w:val="00A86D95"/>
    <w:rsid w:val="00A8723C"/>
    <w:rsid w:val="00A87A6C"/>
    <w:rsid w:val="00AA283E"/>
    <w:rsid w:val="00AA785A"/>
    <w:rsid w:val="00AB2323"/>
    <w:rsid w:val="00AB32F9"/>
    <w:rsid w:val="00AB4092"/>
    <w:rsid w:val="00AC0773"/>
    <w:rsid w:val="00AC28F9"/>
    <w:rsid w:val="00AC4E39"/>
    <w:rsid w:val="00AC5121"/>
    <w:rsid w:val="00AC5B60"/>
    <w:rsid w:val="00AD03E2"/>
    <w:rsid w:val="00AE001B"/>
    <w:rsid w:val="00AE0B2D"/>
    <w:rsid w:val="00AE19AC"/>
    <w:rsid w:val="00AE5F91"/>
    <w:rsid w:val="00AE7A0D"/>
    <w:rsid w:val="00AE7E4E"/>
    <w:rsid w:val="00AF17E6"/>
    <w:rsid w:val="00AF7973"/>
    <w:rsid w:val="00B000F7"/>
    <w:rsid w:val="00B0196C"/>
    <w:rsid w:val="00B04841"/>
    <w:rsid w:val="00B04E23"/>
    <w:rsid w:val="00B0525D"/>
    <w:rsid w:val="00B05306"/>
    <w:rsid w:val="00B0656F"/>
    <w:rsid w:val="00B14113"/>
    <w:rsid w:val="00B153D7"/>
    <w:rsid w:val="00B16EE7"/>
    <w:rsid w:val="00B206ED"/>
    <w:rsid w:val="00B212E1"/>
    <w:rsid w:val="00B30FAE"/>
    <w:rsid w:val="00B3228E"/>
    <w:rsid w:val="00B3389D"/>
    <w:rsid w:val="00B33EB9"/>
    <w:rsid w:val="00B346F7"/>
    <w:rsid w:val="00B34D19"/>
    <w:rsid w:val="00B4118C"/>
    <w:rsid w:val="00B4345D"/>
    <w:rsid w:val="00B44CC9"/>
    <w:rsid w:val="00B45044"/>
    <w:rsid w:val="00B4555F"/>
    <w:rsid w:val="00B616C4"/>
    <w:rsid w:val="00B65009"/>
    <w:rsid w:val="00B66B62"/>
    <w:rsid w:val="00B71310"/>
    <w:rsid w:val="00B7244B"/>
    <w:rsid w:val="00B814BA"/>
    <w:rsid w:val="00B823A9"/>
    <w:rsid w:val="00B868F0"/>
    <w:rsid w:val="00B86A2A"/>
    <w:rsid w:val="00B90D40"/>
    <w:rsid w:val="00B90DF9"/>
    <w:rsid w:val="00B93B49"/>
    <w:rsid w:val="00B95BD4"/>
    <w:rsid w:val="00BA4C5C"/>
    <w:rsid w:val="00BA7C08"/>
    <w:rsid w:val="00BB07E6"/>
    <w:rsid w:val="00BB3B24"/>
    <w:rsid w:val="00BB3D89"/>
    <w:rsid w:val="00BB6337"/>
    <w:rsid w:val="00BC116C"/>
    <w:rsid w:val="00BC2031"/>
    <w:rsid w:val="00BC2826"/>
    <w:rsid w:val="00BC51D6"/>
    <w:rsid w:val="00BC74FD"/>
    <w:rsid w:val="00BD1C8F"/>
    <w:rsid w:val="00BD1CC5"/>
    <w:rsid w:val="00BD2744"/>
    <w:rsid w:val="00BD5F43"/>
    <w:rsid w:val="00BD6290"/>
    <w:rsid w:val="00BD7ED3"/>
    <w:rsid w:val="00BD7F9E"/>
    <w:rsid w:val="00BE6B02"/>
    <w:rsid w:val="00BE6B2B"/>
    <w:rsid w:val="00BF40D4"/>
    <w:rsid w:val="00BF4F88"/>
    <w:rsid w:val="00BF646D"/>
    <w:rsid w:val="00BF6EDC"/>
    <w:rsid w:val="00C043D7"/>
    <w:rsid w:val="00C050CB"/>
    <w:rsid w:val="00C06778"/>
    <w:rsid w:val="00C1091C"/>
    <w:rsid w:val="00C11E7D"/>
    <w:rsid w:val="00C14850"/>
    <w:rsid w:val="00C150A2"/>
    <w:rsid w:val="00C165A7"/>
    <w:rsid w:val="00C2120F"/>
    <w:rsid w:val="00C243D8"/>
    <w:rsid w:val="00C24BEA"/>
    <w:rsid w:val="00C30FF0"/>
    <w:rsid w:val="00C365F6"/>
    <w:rsid w:val="00C40A22"/>
    <w:rsid w:val="00C4245D"/>
    <w:rsid w:val="00C43F9A"/>
    <w:rsid w:val="00C453EB"/>
    <w:rsid w:val="00C4626C"/>
    <w:rsid w:val="00C5030D"/>
    <w:rsid w:val="00C50B3E"/>
    <w:rsid w:val="00C52508"/>
    <w:rsid w:val="00C53421"/>
    <w:rsid w:val="00C56140"/>
    <w:rsid w:val="00C62322"/>
    <w:rsid w:val="00C66CA1"/>
    <w:rsid w:val="00C754B0"/>
    <w:rsid w:val="00C7566B"/>
    <w:rsid w:val="00C766C2"/>
    <w:rsid w:val="00C76BD0"/>
    <w:rsid w:val="00C804E1"/>
    <w:rsid w:val="00C8356F"/>
    <w:rsid w:val="00C93828"/>
    <w:rsid w:val="00CA14B7"/>
    <w:rsid w:val="00CA571B"/>
    <w:rsid w:val="00CB1DFF"/>
    <w:rsid w:val="00CB1E19"/>
    <w:rsid w:val="00CB4A18"/>
    <w:rsid w:val="00CB7914"/>
    <w:rsid w:val="00CB79F9"/>
    <w:rsid w:val="00CC0220"/>
    <w:rsid w:val="00CC4EF9"/>
    <w:rsid w:val="00CC680E"/>
    <w:rsid w:val="00CC7DF8"/>
    <w:rsid w:val="00CD706C"/>
    <w:rsid w:val="00CD7219"/>
    <w:rsid w:val="00CE2799"/>
    <w:rsid w:val="00CE7F2B"/>
    <w:rsid w:val="00CF05D1"/>
    <w:rsid w:val="00CF0AF6"/>
    <w:rsid w:val="00CF166E"/>
    <w:rsid w:val="00CF4350"/>
    <w:rsid w:val="00D030F2"/>
    <w:rsid w:val="00D075E0"/>
    <w:rsid w:val="00D106E3"/>
    <w:rsid w:val="00D1296F"/>
    <w:rsid w:val="00D1579C"/>
    <w:rsid w:val="00D15D7B"/>
    <w:rsid w:val="00D164FB"/>
    <w:rsid w:val="00D17F23"/>
    <w:rsid w:val="00D2092E"/>
    <w:rsid w:val="00D21758"/>
    <w:rsid w:val="00D21EFD"/>
    <w:rsid w:val="00D2443A"/>
    <w:rsid w:val="00D24556"/>
    <w:rsid w:val="00D34729"/>
    <w:rsid w:val="00D439E3"/>
    <w:rsid w:val="00D51386"/>
    <w:rsid w:val="00D52B9F"/>
    <w:rsid w:val="00D5339A"/>
    <w:rsid w:val="00D54CF0"/>
    <w:rsid w:val="00D60993"/>
    <w:rsid w:val="00D61F27"/>
    <w:rsid w:val="00D62883"/>
    <w:rsid w:val="00D64BA7"/>
    <w:rsid w:val="00D651C6"/>
    <w:rsid w:val="00D7266F"/>
    <w:rsid w:val="00D72D10"/>
    <w:rsid w:val="00D74E01"/>
    <w:rsid w:val="00D76E51"/>
    <w:rsid w:val="00D76FE9"/>
    <w:rsid w:val="00D8023A"/>
    <w:rsid w:val="00D8112F"/>
    <w:rsid w:val="00D8148C"/>
    <w:rsid w:val="00D84F77"/>
    <w:rsid w:val="00D878A6"/>
    <w:rsid w:val="00D9188D"/>
    <w:rsid w:val="00D9429A"/>
    <w:rsid w:val="00D97703"/>
    <w:rsid w:val="00DA0975"/>
    <w:rsid w:val="00DA1C11"/>
    <w:rsid w:val="00DA1E72"/>
    <w:rsid w:val="00DA365E"/>
    <w:rsid w:val="00DA4737"/>
    <w:rsid w:val="00DA6E10"/>
    <w:rsid w:val="00DA73C5"/>
    <w:rsid w:val="00DA78F8"/>
    <w:rsid w:val="00DB0942"/>
    <w:rsid w:val="00DB0C02"/>
    <w:rsid w:val="00DB33B6"/>
    <w:rsid w:val="00DB3FC1"/>
    <w:rsid w:val="00DB5089"/>
    <w:rsid w:val="00DB7AA1"/>
    <w:rsid w:val="00DC0E11"/>
    <w:rsid w:val="00DC1C8E"/>
    <w:rsid w:val="00DC1DD5"/>
    <w:rsid w:val="00DC2DB3"/>
    <w:rsid w:val="00DC480C"/>
    <w:rsid w:val="00DC589A"/>
    <w:rsid w:val="00DC5AFB"/>
    <w:rsid w:val="00DC60B5"/>
    <w:rsid w:val="00DD095E"/>
    <w:rsid w:val="00DD0CA5"/>
    <w:rsid w:val="00DE0B79"/>
    <w:rsid w:val="00DE6C78"/>
    <w:rsid w:val="00DF2042"/>
    <w:rsid w:val="00DF4024"/>
    <w:rsid w:val="00DF5012"/>
    <w:rsid w:val="00DF5B9B"/>
    <w:rsid w:val="00E00D04"/>
    <w:rsid w:val="00E0419E"/>
    <w:rsid w:val="00E05C4E"/>
    <w:rsid w:val="00E102FC"/>
    <w:rsid w:val="00E12A08"/>
    <w:rsid w:val="00E13BFF"/>
    <w:rsid w:val="00E2166A"/>
    <w:rsid w:val="00E22DE5"/>
    <w:rsid w:val="00E25FFD"/>
    <w:rsid w:val="00E261C7"/>
    <w:rsid w:val="00E34111"/>
    <w:rsid w:val="00E434A7"/>
    <w:rsid w:val="00E443BA"/>
    <w:rsid w:val="00E44D46"/>
    <w:rsid w:val="00E47CDA"/>
    <w:rsid w:val="00E52E9D"/>
    <w:rsid w:val="00E5446A"/>
    <w:rsid w:val="00E54D14"/>
    <w:rsid w:val="00E63384"/>
    <w:rsid w:val="00E6407C"/>
    <w:rsid w:val="00E67B30"/>
    <w:rsid w:val="00E7030D"/>
    <w:rsid w:val="00E72014"/>
    <w:rsid w:val="00E72863"/>
    <w:rsid w:val="00E7370E"/>
    <w:rsid w:val="00E74F00"/>
    <w:rsid w:val="00E76FDB"/>
    <w:rsid w:val="00E80A5F"/>
    <w:rsid w:val="00E80C52"/>
    <w:rsid w:val="00E81251"/>
    <w:rsid w:val="00E81501"/>
    <w:rsid w:val="00E81D65"/>
    <w:rsid w:val="00E84B32"/>
    <w:rsid w:val="00E87CA3"/>
    <w:rsid w:val="00E90C2A"/>
    <w:rsid w:val="00E9345A"/>
    <w:rsid w:val="00E95A72"/>
    <w:rsid w:val="00E95F53"/>
    <w:rsid w:val="00E96CA9"/>
    <w:rsid w:val="00EA3950"/>
    <w:rsid w:val="00EB2C13"/>
    <w:rsid w:val="00EB68F7"/>
    <w:rsid w:val="00EC1D43"/>
    <w:rsid w:val="00EC1E59"/>
    <w:rsid w:val="00EC37ED"/>
    <w:rsid w:val="00EC3B3C"/>
    <w:rsid w:val="00EC6828"/>
    <w:rsid w:val="00EC7019"/>
    <w:rsid w:val="00ED26C3"/>
    <w:rsid w:val="00ED2753"/>
    <w:rsid w:val="00ED388D"/>
    <w:rsid w:val="00ED4E0C"/>
    <w:rsid w:val="00ED6046"/>
    <w:rsid w:val="00ED6995"/>
    <w:rsid w:val="00ED79A0"/>
    <w:rsid w:val="00EE1542"/>
    <w:rsid w:val="00EE3381"/>
    <w:rsid w:val="00EF3551"/>
    <w:rsid w:val="00EF471B"/>
    <w:rsid w:val="00EF4887"/>
    <w:rsid w:val="00EF787C"/>
    <w:rsid w:val="00EF7A25"/>
    <w:rsid w:val="00F21010"/>
    <w:rsid w:val="00F24587"/>
    <w:rsid w:val="00F24BCC"/>
    <w:rsid w:val="00F24D45"/>
    <w:rsid w:val="00F305FC"/>
    <w:rsid w:val="00F30D86"/>
    <w:rsid w:val="00F312E8"/>
    <w:rsid w:val="00F40827"/>
    <w:rsid w:val="00F419C7"/>
    <w:rsid w:val="00F466A0"/>
    <w:rsid w:val="00F4778C"/>
    <w:rsid w:val="00F544E2"/>
    <w:rsid w:val="00F56196"/>
    <w:rsid w:val="00F569AC"/>
    <w:rsid w:val="00F61AA1"/>
    <w:rsid w:val="00F746F2"/>
    <w:rsid w:val="00F751B0"/>
    <w:rsid w:val="00F82EA3"/>
    <w:rsid w:val="00F83E1D"/>
    <w:rsid w:val="00F84DA6"/>
    <w:rsid w:val="00F8520C"/>
    <w:rsid w:val="00F86058"/>
    <w:rsid w:val="00F86181"/>
    <w:rsid w:val="00F86CA4"/>
    <w:rsid w:val="00F87924"/>
    <w:rsid w:val="00F87F6B"/>
    <w:rsid w:val="00F93994"/>
    <w:rsid w:val="00F96DAB"/>
    <w:rsid w:val="00F96E7A"/>
    <w:rsid w:val="00FA1BE3"/>
    <w:rsid w:val="00FA34B6"/>
    <w:rsid w:val="00FA3D39"/>
    <w:rsid w:val="00FA4D72"/>
    <w:rsid w:val="00FA600D"/>
    <w:rsid w:val="00FA79E5"/>
    <w:rsid w:val="00FB0689"/>
    <w:rsid w:val="00FB1034"/>
    <w:rsid w:val="00FB606A"/>
    <w:rsid w:val="00FC058A"/>
    <w:rsid w:val="00FC1C25"/>
    <w:rsid w:val="00FC4D05"/>
    <w:rsid w:val="00FC65CB"/>
    <w:rsid w:val="00FC6A17"/>
    <w:rsid w:val="00FD0BFE"/>
    <w:rsid w:val="00FD39C9"/>
    <w:rsid w:val="00FD6851"/>
    <w:rsid w:val="00FE0362"/>
    <w:rsid w:val="00FE0F78"/>
    <w:rsid w:val="00FE2838"/>
    <w:rsid w:val="00FE502E"/>
    <w:rsid w:val="00FE5EE8"/>
    <w:rsid w:val="00FE7D65"/>
    <w:rsid w:val="00FF18FE"/>
    <w:rsid w:val="00FF2798"/>
    <w:rsid w:val="00FF3814"/>
    <w:rsid w:val="00FF3DD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B67C5B"/>
  <w15:docId w15:val="{BC26A28D-BBBE-4829-A2B3-EC06F59C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AC0"/>
    <w:pPr>
      <w:spacing w:after="200" w:line="276" w:lineRule="auto"/>
    </w:pPr>
    <w:rPr>
      <w:rFonts w:ascii="Calibri" w:hAnsi="Calibri"/>
      <w:sz w:val="22"/>
      <w:szCs w:val="22"/>
      <w:lang w:eastAsia="en-US"/>
    </w:rPr>
  </w:style>
  <w:style w:type="paragraph" w:styleId="Heading1">
    <w:name w:val="heading 1"/>
    <w:basedOn w:val="Normal"/>
    <w:next w:val="Normal"/>
    <w:link w:val="Heading1Char"/>
    <w:uiPriority w:val="99"/>
    <w:qFormat/>
    <w:rsid w:val="00A2410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rsid w:val="00DC2D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A4AF0"/>
    <w:rPr>
      <w:rFonts w:ascii="Cambria" w:hAnsi="Cambria" w:cs="Times New Roman"/>
      <w:b/>
      <w:kern w:val="32"/>
      <w:sz w:val="32"/>
      <w:lang w:eastAsia="en-US"/>
    </w:rPr>
  </w:style>
  <w:style w:type="paragraph" w:styleId="BalloonText">
    <w:name w:val="Balloon Text"/>
    <w:basedOn w:val="Normal"/>
    <w:link w:val="BalloonTextChar"/>
    <w:uiPriority w:val="99"/>
    <w:rsid w:val="00FA3D39"/>
    <w:pPr>
      <w:spacing w:after="0" w:line="240" w:lineRule="auto"/>
    </w:pPr>
    <w:rPr>
      <w:rFonts w:ascii="Tahoma" w:hAnsi="Tahoma"/>
      <w:sz w:val="16"/>
      <w:szCs w:val="20"/>
    </w:rPr>
  </w:style>
  <w:style w:type="character" w:customStyle="1" w:styleId="BalloonTextChar">
    <w:name w:val="Balloon Text Char"/>
    <w:link w:val="BalloonText"/>
    <w:uiPriority w:val="99"/>
    <w:locked/>
    <w:rsid w:val="00FA3D39"/>
    <w:rPr>
      <w:rFonts w:ascii="Tahoma" w:hAnsi="Tahoma" w:cs="Times New Roman"/>
      <w:sz w:val="16"/>
      <w:lang w:eastAsia="en-US"/>
    </w:rPr>
  </w:style>
  <w:style w:type="paragraph" w:customStyle="1" w:styleId="tv2131">
    <w:name w:val="tv2131"/>
    <w:basedOn w:val="Normal"/>
    <w:rsid w:val="00DA1C11"/>
    <w:pPr>
      <w:spacing w:after="0" w:line="360" w:lineRule="auto"/>
      <w:ind w:firstLine="300"/>
    </w:pPr>
    <w:rPr>
      <w:rFonts w:ascii="Times New Roman" w:hAnsi="Times New Roman"/>
      <w:color w:val="414142"/>
      <w:sz w:val="20"/>
      <w:szCs w:val="20"/>
      <w:lang w:eastAsia="lv-LV"/>
    </w:rPr>
  </w:style>
  <w:style w:type="character" w:styleId="CommentReference">
    <w:name w:val="annotation reference"/>
    <w:uiPriority w:val="99"/>
    <w:rsid w:val="00FA3D39"/>
    <w:rPr>
      <w:rFonts w:cs="Times New Roman"/>
      <w:sz w:val="16"/>
    </w:rPr>
  </w:style>
  <w:style w:type="paragraph" w:styleId="CommentText">
    <w:name w:val="annotation text"/>
    <w:basedOn w:val="Normal"/>
    <w:link w:val="CommentTextChar"/>
    <w:uiPriority w:val="99"/>
    <w:rsid w:val="00FA3D39"/>
    <w:rPr>
      <w:sz w:val="20"/>
      <w:szCs w:val="20"/>
    </w:rPr>
  </w:style>
  <w:style w:type="character" w:customStyle="1" w:styleId="CommentTextChar">
    <w:name w:val="Comment Text Char"/>
    <w:link w:val="CommentText"/>
    <w:uiPriority w:val="99"/>
    <w:locked/>
    <w:rsid w:val="00FA3D39"/>
    <w:rPr>
      <w:rFonts w:ascii="Calibri" w:hAnsi="Calibri" w:cs="Times New Roman"/>
      <w:lang w:eastAsia="en-US"/>
    </w:rPr>
  </w:style>
  <w:style w:type="paragraph" w:styleId="CommentSubject">
    <w:name w:val="annotation subject"/>
    <w:basedOn w:val="CommentText"/>
    <w:next w:val="CommentText"/>
    <w:link w:val="CommentSubjectChar"/>
    <w:uiPriority w:val="99"/>
    <w:rsid w:val="00FA3D39"/>
    <w:rPr>
      <w:b/>
    </w:rPr>
  </w:style>
  <w:style w:type="character" w:customStyle="1" w:styleId="CommentSubjectChar">
    <w:name w:val="Comment Subject Char"/>
    <w:link w:val="CommentSubject"/>
    <w:uiPriority w:val="99"/>
    <w:locked/>
    <w:rsid w:val="00FA3D39"/>
    <w:rPr>
      <w:rFonts w:ascii="Calibri" w:hAnsi="Calibri" w:cs="Times New Roman"/>
      <w:b/>
      <w:lang w:eastAsia="en-US"/>
    </w:rPr>
  </w:style>
  <w:style w:type="character" w:styleId="Hyperlink">
    <w:name w:val="Hyperlink"/>
    <w:uiPriority w:val="99"/>
    <w:rsid w:val="00512972"/>
    <w:rPr>
      <w:rFonts w:cs="Times New Roman"/>
      <w:color w:val="0000FF"/>
      <w:u w:val="single"/>
    </w:rPr>
  </w:style>
  <w:style w:type="character" w:customStyle="1" w:styleId="null">
    <w:name w:val="null"/>
    <w:uiPriority w:val="99"/>
    <w:rsid w:val="001E63FB"/>
  </w:style>
  <w:style w:type="paragraph" w:styleId="ListParagraph">
    <w:name w:val="List Paragraph"/>
    <w:basedOn w:val="Normal"/>
    <w:uiPriority w:val="34"/>
    <w:qFormat/>
    <w:rsid w:val="0005577D"/>
    <w:pPr>
      <w:spacing w:after="0" w:line="240" w:lineRule="auto"/>
      <w:ind w:left="720"/>
    </w:pPr>
    <w:rPr>
      <w:rFonts w:cs="Calibri"/>
      <w:lang w:eastAsia="lv-LV"/>
    </w:rPr>
  </w:style>
  <w:style w:type="paragraph" w:styleId="NoSpacing">
    <w:name w:val="No Spacing"/>
    <w:uiPriority w:val="99"/>
    <w:qFormat/>
    <w:rsid w:val="00E44D46"/>
    <w:pPr>
      <w:widowControl w:val="0"/>
      <w:overflowPunct w:val="0"/>
      <w:autoSpaceDE w:val="0"/>
      <w:autoSpaceDN w:val="0"/>
      <w:adjustRightInd w:val="0"/>
    </w:pPr>
    <w:rPr>
      <w:kern w:val="28"/>
      <w:lang w:val="en-GB"/>
    </w:rPr>
  </w:style>
  <w:style w:type="character" w:styleId="Strong">
    <w:name w:val="Strong"/>
    <w:uiPriority w:val="99"/>
    <w:qFormat/>
    <w:rsid w:val="00E44D46"/>
    <w:rPr>
      <w:rFonts w:cs="Times New Roman"/>
      <w:b/>
    </w:rPr>
  </w:style>
  <w:style w:type="paragraph" w:styleId="Footer">
    <w:name w:val="footer"/>
    <w:basedOn w:val="Normal"/>
    <w:link w:val="FooterChar"/>
    <w:uiPriority w:val="99"/>
    <w:rsid w:val="00CB1E19"/>
    <w:pPr>
      <w:tabs>
        <w:tab w:val="center" w:pos="4153"/>
        <w:tab w:val="right" w:pos="8306"/>
      </w:tabs>
    </w:pPr>
    <w:rPr>
      <w:sz w:val="20"/>
      <w:szCs w:val="20"/>
    </w:rPr>
  </w:style>
  <w:style w:type="character" w:customStyle="1" w:styleId="FooterChar">
    <w:name w:val="Footer Char"/>
    <w:link w:val="Footer"/>
    <w:uiPriority w:val="99"/>
    <w:semiHidden/>
    <w:locked/>
    <w:rsid w:val="000A4AF0"/>
    <w:rPr>
      <w:rFonts w:ascii="Calibri" w:hAnsi="Calibri" w:cs="Times New Roman"/>
      <w:lang w:eastAsia="en-US"/>
    </w:rPr>
  </w:style>
  <w:style w:type="character" w:styleId="PageNumber">
    <w:name w:val="page number"/>
    <w:uiPriority w:val="99"/>
    <w:rsid w:val="00CB1E19"/>
    <w:rPr>
      <w:rFonts w:cs="Times New Roman"/>
    </w:rPr>
  </w:style>
  <w:style w:type="paragraph" w:styleId="Header">
    <w:name w:val="header"/>
    <w:basedOn w:val="Normal"/>
    <w:link w:val="HeaderChar"/>
    <w:uiPriority w:val="99"/>
    <w:rsid w:val="00CB1E19"/>
    <w:pPr>
      <w:tabs>
        <w:tab w:val="center" w:pos="4153"/>
        <w:tab w:val="right" w:pos="8306"/>
      </w:tabs>
    </w:pPr>
    <w:rPr>
      <w:sz w:val="20"/>
      <w:szCs w:val="20"/>
    </w:rPr>
  </w:style>
  <w:style w:type="character" w:customStyle="1" w:styleId="HeaderChar">
    <w:name w:val="Header Char"/>
    <w:link w:val="Header"/>
    <w:uiPriority w:val="99"/>
    <w:semiHidden/>
    <w:locked/>
    <w:rsid w:val="000A4AF0"/>
    <w:rPr>
      <w:rFonts w:ascii="Calibri" w:hAnsi="Calibri" w:cs="Times New Roman"/>
      <w:lang w:eastAsia="en-US"/>
    </w:rPr>
  </w:style>
  <w:style w:type="paragraph" w:styleId="TOC1">
    <w:name w:val="toc 1"/>
    <w:basedOn w:val="Normal"/>
    <w:next w:val="Normal"/>
    <w:autoRedefine/>
    <w:uiPriority w:val="39"/>
    <w:rsid w:val="00A24106"/>
  </w:style>
  <w:style w:type="character" w:styleId="SubtleEmphasis">
    <w:name w:val="Subtle Emphasis"/>
    <w:uiPriority w:val="99"/>
    <w:qFormat/>
    <w:rsid w:val="00A75969"/>
    <w:rPr>
      <w:rFonts w:cs="Times New Roman"/>
      <w:i/>
      <w:color w:val="808080"/>
    </w:rPr>
  </w:style>
  <w:style w:type="character" w:styleId="Emphasis">
    <w:name w:val="Emphasis"/>
    <w:uiPriority w:val="20"/>
    <w:qFormat/>
    <w:rsid w:val="00FC65CB"/>
    <w:rPr>
      <w:rFonts w:cs="Times New Roman"/>
      <w:i/>
    </w:rPr>
  </w:style>
  <w:style w:type="paragraph" w:styleId="FootnoteText">
    <w:name w:val="footnote text"/>
    <w:basedOn w:val="Normal"/>
    <w:link w:val="FootnoteTextChar"/>
    <w:uiPriority w:val="99"/>
    <w:rsid w:val="006F4E5A"/>
    <w:pPr>
      <w:spacing w:after="0" w:line="240" w:lineRule="auto"/>
    </w:pPr>
    <w:rPr>
      <w:rFonts w:ascii="Times New Roman" w:hAnsi="Times New Roman"/>
      <w:sz w:val="20"/>
      <w:szCs w:val="20"/>
      <w:lang w:eastAsia="lv-LV"/>
    </w:rPr>
  </w:style>
  <w:style w:type="character" w:customStyle="1" w:styleId="FootnoteTextChar">
    <w:name w:val="Footnote Text Char"/>
    <w:link w:val="FootnoteText"/>
    <w:uiPriority w:val="99"/>
    <w:locked/>
    <w:rsid w:val="006F4E5A"/>
    <w:rPr>
      <w:rFonts w:cs="Times New Roman"/>
      <w:lang w:val="lv-LV" w:eastAsia="lv-LV"/>
    </w:rPr>
  </w:style>
  <w:style w:type="character" w:styleId="FootnoteReference">
    <w:name w:val="footnote reference"/>
    <w:uiPriority w:val="99"/>
    <w:rsid w:val="006F4E5A"/>
    <w:rPr>
      <w:rFonts w:cs="Times New Roman"/>
      <w:vertAlign w:val="superscript"/>
    </w:rPr>
  </w:style>
  <w:style w:type="paragraph" w:styleId="NormalWeb">
    <w:name w:val="Normal (Web)"/>
    <w:basedOn w:val="Normal"/>
    <w:uiPriority w:val="99"/>
    <w:rsid w:val="00D9429A"/>
    <w:pPr>
      <w:spacing w:before="100" w:beforeAutospacing="1" w:after="100" w:afterAutospacing="1" w:line="240" w:lineRule="auto"/>
    </w:pPr>
    <w:rPr>
      <w:rFonts w:ascii="Times New Roman" w:hAnsi="Times New Roman"/>
      <w:sz w:val="24"/>
      <w:szCs w:val="24"/>
      <w:lang w:eastAsia="lv-LV"/>
    </w:rPr>
  </w:style>
  <w:style w:type="character" w:customStyle="1" w:styleId="apple-converted-space">
    <w:name w:val="apple-converted-space"/>
    <w:basedOn w:val="DefaultParagraphFont"/>
    <w:rsid w:val="00D72D10"/>
  </w:style>
  <w:style w:type="paragraph" w:styleId="Title">
    <w:name w:val="Title"/>
    <w:basedOn w:val="Normal"/>
    <w:next w:val="Normal"/>
    <w:link w:val="TitleChar"/>
    <w:qFormat/>
    <w:locked/>
    <w:rsid w:val="00DC2D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C2DB3"/>
    <w:rPr>
      <w:rFonts w:asciiTheme="majorHAnsi" w:eastAsiaTheme="majorEastAsia" w:hAnsiTheme="majorHAnsi" w:cstheme="majorBidi"/>
      <w:spacing w:val="-10"/>
      <w:kern w:val="28"/>
      <w:sz w:val="56"/>
      <w:szCs w:val="56"/>
      <w:lang w:eastAsia="en-US"/>
    </w:rPr>
  </w:style>
  <w:style w:type="character" w:customStyle="1" w:styleId="Heading2Char">
    <w:name w:val="Heading 2 Char"/>
    <w:basedOn w:val="DefaultParagraphFont"/>
    <w:link w:val="Heading2"/>
    <w:semiHidden/>
    <w:rsid w:val="00DC2DB3"/>
    <w:rPr>
      <w:rFonts w:asciiTheme="majorHAnsi" w:eastAsiaTheme="majorEastAsia" w:hAnsiTheme="majorHAnsi" w:cstheme="majorBidi"/>
      <w:color w:val="365F91" w:themeColor="accent1" w:themeShade="BF"/>
      <w:sz w:val="26"/>
      <w:szCs w:val="26"/>
      <w:lang w:eastAsia="en-US"/>
    </w:rPr>
  </w:style>
  <w:style w:type="paragraph" w:customStyle="1" w:styleId="naisf">
    <w:name w:val="naisf"/>
    <w:basedOn w:val="Normal"/>
    <w:rsid w:val="00050F49"/>
    <w:pPr>
      <w:spacing w:before="75" w:after="75" w:line="240" w:lineRule="auto"/>
      <w:ind w:firstLine="375"/>
      <w:jc w:val="both"/>
    </w:pPr>
    <w:rPr>
      <w:rFonts w:ascii="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426087">
      <w:marLeft w:val="0"/>
      <w:marRight w:val="0"/>
      <w:marTop w:val="0"/>
      <w:marBottom w:val="0"/>
      <w:divBdr>
        <w:top w:val="none" w:sz="0" w:space="0" w:color="auto"/>
        <w:left w:val="none" w:sz="0" w:space="0" w:color="auto"/>
        <w:bottom w:val="none" w:sz="0" w:space="0" w:color="auto"/>
        <w:right w:val="none" w:sz="0" w:space="0" w:color="auto"/>
      </w:divBdr>
    </w:div>
    <w:div w:id="1665426088">
      <w:marLeft w:val="0"/>
      <w:marRight w:val="0"/>
      <w:marTop w:val="0"/>
      <w:marBottom w:val="0"/>
      <w:divBdr>
        <w:top w:val="none" w:sz="0" w:space="0" w:color="auto"/>
        <w:left w:val="none" w:sz="0" w:space="0" w:color="auto"/>
        <w:bottom w:val="none" w:sz="0" w:space="0" w:color="auto"/>
        <w:right w:val="none" w:sz="0" w:space="0" w:color="auto"/>
      </w:divBdr>
    </w:div>
    <w:div w:id="1665426091">
      <w:marLeft w:val="0"/>
      <w:marRight w:val="0"/>
      <w:marTop w:val="0"/>
      <w:marBottom w:val="0"/>
      <w:divBdr>
        <w:top w:val="none" w:sz="0" w:space="0" w:color="auto"/>
        <w:left w:val="none" w:sz="0" w:space="0" w:color="auto"/>
        <w:bottom w:val="none" w:sz="0" w:space="0" w:color="auto"/>
        <w:right w:val="none" w:sz="0" w:space="0" w:color="auto"/>
      </w:divBdr>
      <w:divsChild>
        <w:div w:id="1665426089">
          <w:marLeft w:val="0"/>
          <w:marRight w:val="0"/>
          <w:marTop w:val="0"/>
          <w:marBottom w:val="0"/>
          <w:divBdr>
            <w:top w:val="none" w:sz="0" w:space="0" w:color="auto"/>
            <w:left w:val="none" w:sz="0" w:space="0" w:color="auto"/>
            <w:bottom w:val="none" w:sz="0" w:space="0" w:color="auto"/>
            <w:right w:val="none" w:sz="0" w:space="0" w:color="auto"/>
          </w:divBdr>
        </w:div>
        <w:div w:id="1665426090">
          <w:marLeft w:val="0"/>
          <w:marRight w:val="0"/>
          <w:marTop w:val="0"/>
          <w:marBottom w:val="0"/>
          <w:divBdr>
            <w:top w:val="none" w:sz="0" w:space="0" w:color="auto"/>
            <w:left w:val="none" w:sz="0" w:space="0" w:color="auto"/>
            <w:bottom w:val="none" w:sz="0" w:space="0" w:color="auto"/>
            <w:right w:val="none" w:sz="0" w:space="0" w:color="auto"/>
          </w:divBdr>
        </w:div>
      </w:divsChild>
    </w:div>
    <w:div w:id="1665426092">
      <w:marLeft w:val="0"/>
      <w:marRight w:val="0"/>
      <w:marTop w:val="0"/>
      <w:marBottom w:val="0"/>
      <w:divBdr>
        <w:top w:val="none" w:sz="0" w:space="0" w:color="auto"/>
        <w:left w:val="none" w:sz="0" w:space="0" w:color="auto"/>
        <w:bottom w:val="none" w:sz="0" w:space="0" w:color="auto"/>
        <w:right w:val="none" w:sz="0" w:space="0" w:color="auto"/>
      </w:divBdr>
    </w:div>
    <w:div w:id="1665426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imonds.Bridaks@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F8706-67B5-47AA-ADAC-E8BB018E3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15</Pages>
  <Words>18038</Words>
  <Characters>10283</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LaBmin</Company>
  <LinksUpToDate>false</LinksUpToDate>
  <CharactersWithSpaces>28265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
  <dc:creator>Raimonds Bridaks</dc:creator>
  <cp:keywords/>
  <dc:description/>
  <cp:lastModifiedBy>Raimonds Bridaks</cp:lastModifiedBy>
  <cp:revision>19</cp:revision>
  <cp:lastPrinted>2015-02-26T11:54:00Z</cp:lastPrinted>
  <dcterms:created xsi:type="dcterms:W3CDTF">2015-03-03T13:05:00Z</dcterms:created>
  <dcterms:modified xsi:type="dcterms:W3CDTF">2015-03-17T15:14:00Z</dcterms:modified>
</cp:coreProperties>
</file>