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0C" w:rsidRPr="0067061C" w:rsidRDefault="008A0BD3" w:rsidP="0058350C">
      <w:pPr>
        <w:spacing w:after="12"/>
        <w:jc w:val="center"/>
        <w:rPr>
          <w:b/>
          <w:color w:val="000000"/>
        </w:rPr>
      </w:pPr>
      <w:bookmarkStart w:id="0" w:name="_GoBack"/>
      <w:bookmarkEnd w:id="0"/>
      <w:r w:rsidRPr="0067061C">
        <w:rPr>
          <w:b/>
          <w:color w:val="000000"/>
        </w:rPr>
        <w:t>Noteikumu projekta</w:t>
      </w:r>
      <w:r w:rsidR="0058350C" w:rsidRPr="0067061C">
        <w:rPr>
          <w:b/>
          <w:color w:val="000000"/>
        </w:rPr>
        <w:t xml:space="preserve"> „Grozījumi </w:t>
      </w:r>
      <w:r w:rsidRPr="0067061C">
        <w:rPr>
          <w:b/>
          <w:color w:val="000000"/>
        </w:rPr>
        <w:t xml:space="preserve">Ministru kabineta 2011. gada </w:t>
      </w:r>
      <w:r w:rsidRPr="0067061C">
        <w:rPr>
          <w:b/>
        </w:rPr>
        <w:t>19. oktobra noteikumos Nr.815 „</w:t>
      </w:r>
      <w:proofErr w:type="spellStart"/>
      <w:r w:rsidRPr="0067061C">
        <w:rPr>
          <w:b/>
        </w:rPr>
        <w:t>Pārresoru</w:t>
      </w:r>
      <w:proofErr w:type="spellEnd"/>
      <w:r w:rsidRPr="0067061C">
        <w:rPr>
          <w:b/>
        </w:rPr>
        <w:t xml:space="preserve"> koordinācijas centra nolikums”</w:t>
      </w:r>
      <w:r w:rsidR="0058350C" w:rsidRPr="0067061C">
        <w:rPr>
          <w:b/>
          <w:color w:val="000000"/>
        </w:rPr>
        <w:t>” sākotnējās ietekmes novērtējuma ziņojums (anotācija)</w:t>
      </w:r>
    </w:p>
    <w:p w:rsidR="0058350C" w:rsidRPr="0067061C" w:rsidRDefault="0058350C" w:rsidP="0058350C">
      <w:pPr>
        <w:spacing w:after="12"/>
        <w:jc w:val="center"/>
        <w:rPr>
          <w:b/>
          <w:bCs/>
          <w:color w:val="00000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913"/>
        <w:gridCol w:w="6696"/>
      </w:tblGrid>
      <w:tr w:rsidR="0058350C" w:rsidRPr="0067061C" w:rsidTr="00AA4AD9">
        <w:trPr>
          <w:trHeight w:val="379"/>
        </w:trPr>
        <w:tc>
          <w:tcPr>
            <w:tcW w:w="10065" w:type="dxa"/>
            <w:gridSpan w:val="3"/>
            <w:vAlign w:val="center"/>
            <w:hideMark/>
          </w:tcPr>
          <w:p w:rsidR="0058350C" w:rsidRPr="0067061C" w:rsidRDefault="0058350C" w:rsidP="00AA4AD9">
            <w:pPr>
              <w:spacing w:after="120"/>
              <w:jc w:val="center"/>
              <w:rPr>
                <w:b/>
                <w:color w:val="000000"/>
              </w:rPr>
            </w:pPr>
            <w:r w:rsidRPr="0067061C">
              <w:rPr>
                <w:b/>
                <w:bCs/>
                <w:color w:val="000000"/>
              </w:rPr>
              <w:t>I. Tiesību akta projekta izstrādes nepieciešamība</w:t>
            </w:r>
          </w:p>
        </w:tc>
      </w:tr>
      <w:tr w:rsidR="0058350C" w:rsidRPr="0067061C" w:rsidTr="00AA4AD9">
        <w:tc>
          <w:tcPr>
            <w:tcW w:w="456" w:type="dxa"/>
            <w:hideMark/>
          </w:tcPr>
          <w:p w:rsidR="0058350C" w:rsidRPr="0067061C" w:rsidRDefault="0058350C" w:rsidP="00AA4AD9">
            <w:pPr>
              <w:spacing w:after="120"/>
              <w:rPr>
                <w:color w:val="000000"/>
              </w:rPr>
            </w:pPr>
            <w:r w:rsidRPr="0067061C">
              <w:rPr>
                <w:color w:val="000000"/>
              </w:rPr>
              <w:t> 1.</w:t>
            </w:r>
          </w:p>
        </w:tc>
        <w:tc>
          <w:tcPr>
            <w:tcW w:w="2913" w:type="dxa"/>
            <w:hideMark/>
          </w:tcPr>
          <w:p w:rsidR="0058350C" w:rsidRPr="0067061C" w:rsidRDefault="0058350C" w:rsidP="00AA4AD9">
            <w:pPr>
              <w:spacing w:after="120"/>
              <w:rPr>
                <w:color w:val="000000"/>
              </w:rPr>
            </w:pPr>
            <w:r w:rsidRPr="0067061C">
              <w:rPr>
                <w:color w:val="000000"/>
              </w:rPr>
              <w:t> Pamatojums</w:t>
            </w:r>
          </w:p>
        </w:tc>
        <w:tc>
          <w:tcPr>
            <w:tcW w:w="6696" w:type="dxa"/>
            <w:hideMark/>
          </w:tcPr>
          <w:p w:rsidR="0067061C" w:rsidRPr="0067061C" w:rsidRDefault="0067061C" w:rsidP="008A0BD3">
            <w:pPr>
              <w:jc w:val="both"/>
            </w:pPr>
            <w:r w:rsidRPr="0067061C">
              <w:t>Valsts kapitāla daļu pārvaldības koncepcija (atbalstīta ar Ministru kabineta 2012. gada 4. jūnija rīkojumu Nr.246 „Par Valsts kapitāl</w:t>
            </w:r>
            <w:r w:rsidR="003E21E4">
              <w:t>a daļu pārvaldības koncepciju”).</w:t>
            </w:r>
          </w:p>
          <w:p w:rsidR="0058350C" w:rsidRPr="0067061C" w:rsidRDefault="0067061C" w:rsidP="008A0BD3">
            <w:pPr>
              <w:jc w:val="both"/>
            </w:pPr>
            <w:r w:rsidRPr="0067061C">
              <w:t xml:space="preserve"> </w:t>
            </w:r>
            <w:r w:rsidR="008A0BD3" w:rsidRPr="0067061C">
              <w:t xml:space="preserve">Publiskas personas kapitāla daļu un kapitālsabiedrību pārvaldības likuma </w:t>
            </w:r>
            <w:proofErr w:type="gramStart"/>
            <w:r w:rsidR="008A0BD3" w:rsidRPr="0067061C">
              <w:t>22.panta</w:t>
            </w:r>
            <w:proofErr w:type="gramEnd"/>
            <w:r w:rsidR="008A0BD3" w:rsidRPr="0067061C">
              <w:t xml:space="preserve"> pirmā daļa</w:t>
            </w:r>
            <w:r w:rsidRPr="0067061C">
              <w:t xml:space="preserve"> un Pārejas noteikumu 2.1.apakšpunkts.</w:t>
            </w:r>
          </w:p>
          <w:p w:rsidR="008A0BD3" w:rsidRPr="0067061C" w:rsidRDefault="008A0BD3" w:rsidP="0067061C">
            <w:pPr>
              <w:jc w:val="both"/>
            </w:pPr>
            <w:r w:rsidRPr="0067061C">
              <w:t xml:space="preserve">Ministru kabineta </w:t>
            </w:r>
            <w:r w:rsidR="0077205F" w:rsidRPr="0067061C">
              <w:t>2015. gada</w:t>
            </w:r>
            <w:r w:rsidRPr="0067061C">
              <w:t xml:space="preserve"> </w:t>
            </w:r>
            <w:proofErr w:type="gramStart"/>
            <w:r w:rsidRPr="0067061C">
              <w:t>31.marta</w:t>
            </w:r>
            <w:proofErr w:type="gramEnd"/>
            <w:r w:rsidRPr="0067061C">
              <w:t xml:space="preserve"> sēdes </w:t>
            </w:r>
            <w:proofErr w:type="spellStart"/>
            <w:r w:rsidR="0067061C" w:rsidRPr="0067061C">
              <w:t>protokol</w:t>
            </w:r>
            <w:r w:rsidRPr="0067061C">
              <w:t>lēmums</w:t>
            </w:r>
            <w:proofErr w:type="spellEnd"/>
            <w:r w:rsidRPr="0067061C">
              <w:t xml:space="preserve"> </w:t>
            </w:r>
            <w:r w:rsidRPr="00650999">
              <w:t>(prot Nr.</w:t>
            </w:r>
            <w:bookmarkStart w:id="1" w:name="2"/>
            <w:r w:rsidR="0067061C" w:rsidRPr="00650999">
              <w:t>17</w:t>
            </w:r>
            <w:bookmarkStart w:id="2" w:name="27"/>
            <w:bookmarkEnd w:id="1"/>
            <w:r w:rsidR="005C0D1D">
              <w:t xml:space="preserve">, </w:t>
            </w:r>
            <w:r w:rsidR="005C0D1D" w:rsidRPr="00382B06">
              <w:t>27</w:t>
            </w:r>
            <w:bookmarkEnd w:id="2"/>
            <w:r w:rsidR="005C0D1D" w:rsidRPr="00382B06">
              <w:t>.§</w:t>
            </w:r>
            <w:r w:rsidR="0067061C" w:rsidRPr="00650999">
              <w:rPr>
                <w:b/>
              </w:rPr>
              <w:t>).</w:t>
            </w:r>
          </w:p>
        </w:tc>
      </w:tr>
      <w:tr w:rsidR="0058350C" w:rsidRPr="0067061C" w:rsidTr="00AA4AD9">
        <w:trPr>
          <w:trHeight w:val="2117"/>
        </w:trPr>
        <w:tc>
          <w:tcPr>
            <w:tcW w:w="456" w:type="dxa"/>
            <w:hideMark/>
          </w:tcPr>
          <w:p w:rsidR="0058350C" w:rsidRPr="0067061C" w:rsidRDefault="0058350C" w:rsidP="00AA4AD9">
            <w:pPr>
              <w:spacing w:after="120"/>
              <w:rPr>
                <w:color w:val="000000"/>
              </w:rPr>
            </w:pPr>
            <w:r w:rsidRPr="0067061C">
              <w:rPr>
                <w:color w:val="000000"/>
              </w:rPr>
              <w:t> 2.</w:t>
            </w:r>
          </w:p>
        </w:tc>
        <w:tc>
          <w:tcPr>
            <w:tcW w:w="2913" w:type="dxa"/>
            <w:hideMark/>
          </w:tcPr>
          <w:p w:rsidR="0058350C" w:rsidRPr="0067061C" w:rsidRDefault="0058350C" w:rsidP="00AA4AD9">
            <w:pPr>
              <w:spacing w:after="120"/>
              <w:rPr>
                <w:color w:val="000000"/>
              </w:rPr>
            </w:pPr>
            <w:r w:rsidRPr="0067061C">
              <w:rPr>
                <w:color w:val="000000"/>
              </w:rPr>
              <w:t> Pašreizējā situācija un problēmas</w:t>
            </w:r>
          </w:p>
        </w:tc>
        <w:tc>
          <w:tcPr>
            <w:tcW w:w="6696" w:type="dxa"/>
            <w:hideMark/>
          </w:tcPr>
          <w:p w:rsidR="0058350C" w:rsidRPr="0067061C" w:rsidRDefault="008A0BD3" w:rsidP="003E21E4">
            <w:pPr>
              <w:pStyle w:val="NormalWeb"/>
              <w:jc w:val="both"/>
              <w:rPr>
                <w:rFonts w:ascii="Times New Roman" w:hAnsi="Times New Roman"/>
                <w:bCs/>
                <w:sz w:val="24"/>
                <w:szCs w:val="24"/>
              </w:rPr>
            </w:pPr>
            <w:r w:rsidRPr="0067061C">
              <w:rPr>
                <w:rFonts w:ascii="Times New Roman" w:hAnsi="Times New Roman"/>
                <w:sz w:val="24"/>
                <w:szCs w:val="24"/>
              </w:rPr>
              <w:t xml:space="preserve">2015.gada 1.janvārī ir stājies spēkā Publiskas personas kapitāla daļu un kapitālsabiedrību pārvaldības likums (turpmāk - Kapitālsabiedrību pārvaldības likums). Šī likuma 22.pants nosaka, ka Ministru kabinets nosaka valsts pārvaldes iestādi, kura pilda koordinācijas institūcijai likumā noteiktos uzdevumus. Likuma pārejas noteikumu 2.1.apakšpunkts nosaka, ka Ministru kabinets šo lēmumu pieņem līdz 2015. gada </w:t>
            </w:r>
            <w:r w:rsidR="009B28EF" w:rsidRPr="0067061C">
              <w:rPr>
                <w:rFonts w:ascii="Times New Roman" w:hAnsi="Times New Roman"/>
                <w:sz w:val="24"/>
                <w:szCs w:val="24"/>
              </w:rPr>
              <w:t>1. martam</w:t>
            </w:r>
            <w:r w:rsidRPr="0067061C">
              <w:rPr>
                <w:rFonts w:ascii="Times New Roman" w:hAnsi="Times New Roman"/>
                <w:sz w:val="24"/>
                <w:szCs w:val="24"/>
              </w:rPr>
              <w:t>.</w:t>
            </w:r>
            <w:r w:rsidR="003E21E4">
              <w:rPr>
                <w:rFonts w:ascii="Times New Roman" w:hAnsi="Times New Roman"/>
                <w:sz w:val="24"/>
                <w:szCs w:val="24"/>
              </w:rPr>
              <w:t xml:space="preserve"> </w:t>
            </w:r>
            <w:r w:rsidRPr="0067061C">
              <w:rPr>
                <w:rFonts w:ascii="Times New Roman" w:hAnsi="Times New Roman"/>
                <w:sz w:val="24"/>
                <w:szCs w:val="24"/>
              </w:rPr>
              <w:t xml:space="preserve">Ministru kabinets </w:t>
            </w:r>
            <w:r w:rsidR="009B28EF" w:rsidRPr="0067061C">
              <w:rPr>
                <w:rFonts w:ascii="Times New Roman" w:hAnsi="Times New Roman"/>
                <w:sz w:val="24"/>
                <w:szCs w:val="24"/>
              </w:rPr>
              <w:t>2015. gada</w:t>
            </w:r>
            <w:r w:rsidRPr="0067061C">
              <w:rPr>
                <w:rFonts w:ascii="Times New Roman" w:hAnsi="Times New Roman"/>
                <w:sz w:val="24"/>
                <w:szCs w:val="24"/>
              </w:rPr>
              <w:t xml:space="preserve"> </w:t>
            </w:r>
            <w:r w:rsidR="009B28EF" w:rsidRPr="0067061C">
              <w:rPr>
                <w:rFonts w:ascii="Times New Roman" w:hAnsi="Times New Roman"/>
                <w:sz w:val="24"/>
                <w:szCs w:val="24"/>
              </w:rPr>
              <w:t>31. marta</w:t>
            </w:r>
            <w:r w:rsidRPr="0067061C">
              <w:rPr>
                <w:rFonts w:ascii="Times New Roman" w:hAnsi="Times New Roman"/>
                <w:sz w:val="24"/>
                <w:szCs w:val="24"/>
              </w:rPr>
              <w:t xml:space="preserve"> sēdē, izskatot Ekonomikas ministrijas sagatavoto informatīvo ziņojumu „Par valsts kapitālsabiedrību un valsts kapitāla daļu pārvaldības koordinācijas institūciju” pieņēma lēmumu </w:t>
            </w:r>
            <w:r w:rsidR="0067061C" w:rsidRPr="0067061C">
              <w:rPr>
                <w:rFonts w:ascii="Times New Roman" w:hAnsi="Times New Roman"/>
                <w:sz w:val="24"/>
                <w:szCs w:val="24"/>
              </w:rPr>
              <w:t xml:space="preserve">konceptuāli </w:t>
            </w:r>
            <w:r w:rsidRPr="0067061C">
              <w:rPr>
                <w:rFonts w:ascii="Times New Roman" w:hAnsi="Times New Roman"/>
                <w:sz w:val="24"/>
                <w:szCs w:val="24"/>
              </w:rPr>
              <w:t xml:space="preserve">atbalstīt, ka koordinācijas institūcijai likumā noteiktos uzdevumus pilda </w:t>
            </w:r>
            <w:proofErr w:type="spellStart"/>
            <w:r w:rsidRPr="0067061C">
              <w:rPr>
                <w:rFonts w:ascii="Times New Roman" w:hAnsi="Times New Roman"/>
                <w:sz w:val="24"/>
                <w:szCs w:val="24"/>
              </w:rPr>
              <w:t>Pārresoru</w:t>
            </w:r>
            <w:proofErr w:type="spellEnd"/>
            <w:r w:rsidRPr="0067061C">
              <w:rPr>
                <w:rFonts w:ascii="Times New Roman" w:hAnsi="Times New Roman"/>
                <w:sz w:val="24"/>
                <w:szCs w:val="24"/>
              </w:rPr>
              <w:t xml:space="preserve"> koordinācijas centrs.</w:t>
            </w:r>
            <w:r w:rsidR="00CF7AE3" w:rsidRPr="0067061C">
              <w:rPr>
                <w:rFonts w:ascii="Times New Roman" w:hAnsi="Times New Roman"/>
                <w:sz w:val="24"/>
                <w:szCs w:val="24"/>
              </w:rPr>
              <w:t xml:space="preserve"> Šāds risinājums pēc būtības atbilst Publiskas personas kapitāla daļu un kapitālsabiedrību pārvaldības likuma </w:t>
            </w:r>
            <w:proofErr w:type="gramStart"/>
            <w:r w:rsidR="00CF7AE3" w:rsidRPr="0067061C">
              <w:rPr>
                <w:rFonts w:ascii="Times New Roman" w:hAnsi="Times New Roman"/>
                <w:sz w:val="24"/>
                <w:szCs w:val="24"/>
              </w:rPr>
              <w:t>22.panta</w:t>
            </w:r>
            <w:proofErr w:type="gramEnd"/>
            <w:r w:rsidR="00CF7AE3" w:rsidRPr="0067061C">
              <w:rPr>
                <w:rFonts w:ascii="Times New Roman" w:hAnsi="Times New Roman"/>
                <w:sz w:val="24"/>
                <w:szCs w:val="24"/>
              </w:rPr>
              <w:t xml:space="preserve"> pirmajai daļai un Valsts kapitāla daļu pārvaldības koncepcijai (turpmāk - Koncepcija), ar kuru tika atbalstīts risinājums par centralizēto pārvaldības institūciju kā Ministru kabineta pārraudzībā esošu tiešās pārvaldes iestādi. </w:t>
            </w:r>
            <w:r w:rsidR="009B28EF" w:rsidRPr="0067061C">
              <w:rPr>
                <w:rFonts w:ascii="Times New Roman" w:hAnsi="Times New Roman"/>
                <w:sz w:val="24"/>
                <w:szCs w:val="24"/>
              </w:rPr>
              <w:t xml:space="preserve">Ņemot vērā Ministru kabineta </w:t>
            </w:r>
            <w:r w:rsidR="0077205F" w:rsidRPr="0067061C">
              <w:rPr>
                <w:rFonts w:ascii="Times New Roman" w:hAnsi="Times New Roman"/>
                <w:sz w:val="24"/>
                <w:szCs w:val="24"/>
              </w:rPr>
              <w:t xml:space="preserve">2015. gada 31. marta sēdē pieņemto </w:t>
            </w:r>
            <w:r w:rsidR="009B28EF" w:rsidRPr="0067061C">
              <w:rPr>
                <w:rFonts w:ascii="Times New Roman" w:hAnsi="Times New Roman"/>
                <w:sz w:val="24"/>
                <w:szCs w:val="24"/>
              </w:rPr>
              <w:t xml:space="preserve">konceptuālo lēmumu, nepieciešams veikt grozījumus </w:t>
            </w:r>
            <w:r w:rsidR="009B28EF" w:rsidRPr="0067061C">
              <w:rPr>
                <w:rFonts w:ascii="Times New Roman" w:hAnsi="Times New Roman"/>
                <w:color w:val="000000"/>
                <w:sz w:val="24"/>
                <w:szCs w:val="24"/>
              </w:rPr>
              <w:t xml:space="preserve">Ministru kabineta 2011. gada </w:t>
            </w:r>
            <w:r w:rsidR="009B28EF" w:rsidRPr="0067061C">
              <w:rPr>
                <w:rFonts w:ascii="Times New Roman" w:hAnsi="Times New Roman"/>
                <w:sz w:val="24"/>
                <w:szCs w:val="24"/>
              </w:rPr>
              <w:t>19. oktobra noteikumos Nr.815 „</w:t>
            </w:r>
            <w:proofErr w:type="spellStart"/>
            <w:r w:rsidR="009B28EF" w:rsidRPr="0067061C">
              <w:rPr>
                <w:rFonts w:ascii="Times New Roman" w:hAnsi="Times New Roman"/>
                <w:sz w:val="24"/>
                <w:szCs w:val="24"/>
              </w:rPr>
              <w:t>Pārresoru</w:t>
            </w:r>
            <w:proofErr w:type="spellEnd"/>
            <w:r w:rsidR="009B28EF" w:rsidRPr="0067061C">
              <w:rPr>
                <w:rFonts w:ascii="Times New Roman" w:hAnsi="Times New Roman"/>
                <w:sz w:val="24"/>
                <w:szCs w:val="24"/>
              </w:rPr>
              <w:t xml:space="preserve"> koordinācijas centra nolikums”, lai </w:t>
            </w:r>
            <w:r w:rsidR="003E21E4">
              <w:rPr>
                <w:rFonts w:ascii="Times New Roman" w:hAnsi="Times New Roman"/>
                <w:sz w:val="24"/>
                <w:szCs w:val="24"/>
              </w:rPr>
              <w:t xml:space="preserve">juridiski korekti </w:t>
            </w:r>
            <w:r w:rsidR="009B28EF" w:rsidRPr="0067061C">
              <w:rPr>
                <w:rFonts w:ascii="Times New Roman" w:hAnsi="Times New Roman"/>
                <w:sz w:val="24"/>
                <w:szCs w:val="24"/>
              </w:rPr>
              <w:t xml:space="preserve">nodrošinātu </w:t>
            </w:r>
            <w:r w:rsidR="00243205" w:rsidRPr="0067061C">
              <w:rPr>
                <w:rFonts w:ascii="Times New Roman" w:hAnsi="Times New Roman"/>
                <w:sz w:val="24"/>
                <w:szCs w:val="24"/>
              </w:rPr>
              <w:t xml:space="preserve">Kapitālsabiedrību pārvaldības </w:t>
            </w:r>
            <w:r w:rsidR="009B28EF" w:rsidRPr="0067061C">
              <w:rPr>
                <w:rFonts w:ascii="Times New Roman" w:hAnsi="Times New Roman"/>
                <w:sz w:val="24"/>
                <w:szCs w:val="24"/>
              </w:rPr>
              <w:t xml:space="preserve">likuma </w:t>
            </w:r>
            <w:r w:rsidR="003E21E4" w:rsidRPr="0067061C">
              <w:rPr>
                <w:rFonts w:ascii="Times New Roman" w:hAnsi="Times New Roman"/>
                <w:sz w:val="24"/>
                <w:szCs w:val="24"/>
              </w:rPr>
              <w:t>22. panta</w:t>
            </w:r>
            <w:r w:rsidR="009B28EF" w:rsidRPr="0067061C">
              <w:rPr>
                <w:rFonts w:ascii="Times New Roman" w:hAnsi="Times New Roman"/>
                <w:sz w:val="24"/>
                <w:szCs w:val="24"/>
              </w:rPr>
              <w:t xml:space="preserve"> pirmajā daļā Ministru k</w:t>
            </w:r>
            <w:r w:rsidR="003E21E4">
              <w:rPr>
                <w:rFonts w:ascii="Times New Roman" w:hAnsi="Times New Roman"/>
                <w:sz w:val="24"/>
                <w:szCs w:val="24"/>
              </w:rPr>
              <w:t>abinetam dotā uzdevuma izpildi.</w:t>
            </w:r>
          </w:p>
        </w:tc>
      </w:tr>
      <w:tr w:rsidR="0058350C" w:rsidRPr="0067061C" w:rsidTr="00AA4AD9">
        <w:trPr>
          <w:trHeight w:val="61"/>
        </w:trPr>
        <w:tc>
          <w:tcPr>
            <w:tcW w:w="456" w:type="dxa"/>
            <w:hideMark/>
          </w:tcPr>
          <w:p w:rsidR="0058350C" w:rsidRPr="0067061C" w:rsidRDefault="0058350C" w:rsidP="00AA4AD9">
            <w:pPr>
              <w:spacing w:after="120"/>
              <w:rPr>
                <w:color w:val="000000"/>
              </w:rPr>
            </w:pPr>
            <w:r w:rsidRPr="0067061C">
              <w:rPr>
                <w:color w:val="000000"/>
              </w:rPr>
              <w:t> 3.</w:t>
            </w:r>
          </w:p>
        </w:tc>
        <w:tc>
          <w:tcPr>
            <w:tcW w:w="2913" w:type="dxa"/>
            <w:hideMark/>
          </w:tcPr>
          <w:p w:rsidR="0058350C" w:rsidRPr="0067061C" w:rsidRDefault="0058350C" w:rsidP="00AA4AD9">
            <w:pPr>
              <w:spacing w:after="120"/>
              <w:rPr>
                <w:color w:val="000000"/>
              </w:rPr>
            </w:pPr>
            <w:r w:rsidRPr="0067061C">
              <w:rPr>
                <w:color w:val="000000"/>
              </w:rPr>
              <w:t>Saistītie politikas ietekmes novērtējumi un pētījumi</w:t>
            </w:r>
          </w:p>
        </w:tc>
        <w:tc>
          <w:tcPr>
            <w:tcW w:w="6696" w:type="dxa"/>
            <w:hideMark/>
          </w:tcPr>
          <w:p w:rsidR="0058350C" w:rsidRPr="0067061C" w:rsidRDefault="0067061C" w:rsidP="00AA4AD9">
            <w:pPr>
              <w:spacing w:after="120"/>
              <w:jc w:val="both"/>
            </w:pPr>
            <w:r w:rsidRPr="0067061C">
              <w:t>Nav attiecināms.</w:t>
            </w:r>
          </w:p>
        </w:tc>
      </w:tr>
      <w:tr w:rsidR="0058350C" w:rsidRPr="0067061C" w:rsidTr="003E21E4">
        <w:trPr>
          <w:trHeight w:val="1111"/>
        </w:trPr>
        <w:tc>
          <w:tcPr>
            <w:tcW w:w="456" w:type="dxa"/>
            <w:hideMark/>
          </w:tcPr>
          <w:p w:rsidR="0058350C" w:rsidRPr="0067061C" w:rsidRDefault="0058350C" w:rsidP="00AA4AD9">
            <w:pPr>
              <w:spacing w:after="120"/>
              <w:rPr>
                <w:color w:val="000000"/>
              </w:rPr>
            </w:pPr>
            <w:r w:rsidRPr="0067061C">
              <w:rPr>
                <w:color w:val="000000"/>
              </w:rPr>
              <w:t> 4.</w:t>
            </w:r>
          </w:p>
        </w:tc>
        <w:tc>
          <w:tcPr>
            <w:tcW w:w="2913" w:type="dxa"/>
            <w:hideMark/>
          </w:tcPr>
          <w:p w:rsidR="0058350C" w:rsidRPr="0067061C" w:rsidRDefault="0058350C" w:rsidP="00AA4AD9">
            <w:pPr>
              <w:spacing w:after="120"/>
              <w:rPr>
                <w:color w:val="000000"/>
              </w:rPr>
            </w:pPr>
            <w:r w:rsidRPr="0067061C">
              <w:rPr>
                <w:color w:val="000000"/>
              </w:rPr>
              <w:t>Tiesiskā regulējuma mērķis un būtība</w:t>
            </w:r>
          </w:p>
        </w:tc>
        <w:tc>
          <w:tcPr>
            <w:tcW w:w="6696" w:type="dxa"/>
            <w:hideMark/>
          </w:tcPr>
          <w:p w:rsidR="00697D3C" w:rsidRDefault="006C5985" w:rsidP="00697D3C">
            <w:pPr>
              <w:jc w:val="both"/>
            </w:pPr>
            <w:r w:rsidRPr="0067061C">
              <w:rPr>
                <w:color w:val="000000"/>
              </w:rPr>
              <w:t xml:space="preserve">Noteikumu </w:t>
            </w:r>
            <w:r w:rsidR="0058350C" w:rsidRPr="0067061C">
              <w:rPr>
                <w:color w:val="000000"/>
              </w:rPr>
              <w:t>projekts nosaka</w:t>
            </w:r>
            <w:r w:rsidRPr="0067061C">
              <w:rPr>
                <w:color w:val="000000"/>
              </w:rPr>
              <w:t xml:space="preserve">, ka </w:t>
            </w:r>
            <w:r w:rsidR="00697D3C" w:rsidRPr="0067061C">
              <w:t xml:space="preserve">Kapitālsabiedrību pārvaldības </w:t>
            </w:r>
            <w:r w:rsidR="00697D3C">
              <w:t>likuma</w:t>
            </w:r>
            <w:r w:rsidRPr="0067061C">
              <w:t xml:space="preserve"> </w:t>
            </w:r>
            <w:r w:rsidR="00697D3C" w:rsidRPr="0067061C">
              <w:t>22. panta</w:t>
            </w:r>
            <w:r w:rsidRPr="0067061C">
              <w:t xml:space="preserve"> pirmajā daļā</w:t>
            </w:r>
            <w:r w:rsidR="0058350C" w:rsidRPr="0067061C">
              <w:rPr>
                <w:color w:val="000000"/>
              </w:rPr>
              <w:t xml:space="preserve"> </w:t>
            </w:r>
            <w:r w:rsidRPr="0067061C">
              <w:rPr>
                <w:color w:val="000000"/>
              </w:rPr>
              <w:t xml:space="preserve">minētajai </w:t>
            </w:r>
            <w:r w:rsidRPr="0067061C">
              <w:t xml:space="preserve">koordinācijas institūcijai likumā noteiktos uzdevumus pilda </w:t>
            </w:r>
            <w:proofErr w:type="spellStart"/>
            <w:r w:rsidRPr="0067061C">
              <w:t>Pārresoru</w:t>
            </w:r>
            <w:proofErr w:type="spellEnd"/>
            <w:r w:rsidRPr="0067061C">
              <w:t xml:space="preserve"> koordinācijas centrs</w:t>
            </w:r>
            <w:r w:rsidR="003E21E4">
              <w:t>.</w:t>
            </w:r>
            <w:r w:rsidR="00697D3C">
              <w:t xml:space="preserve"> Līdz ar to tiek noteikta valsts pārvaldes iestāde, kas veiks </w:t>
            </w:r>
            <w:r w:rsidR="00697D3C" w:rsidRPr="0067061C">
              <w:t xml:space="preserve">Kapitālsabiedrību pārvaldības </w:t>
            </w:r>
            <w:r w:rsidR="00697D3C">
              <w:t xml:space="preserve">likuma </w:t>
            </w:r>
            <w:proofErr w:type="gramStart"/>
            <w:r w:rsidR="00697D3C">
              <w:t>22.pantā</w:t>
            </w:r>
            <w:proofErr w:type="gramEnd"/>
            <w:r w:rsidR="00697D3C">
              <w:t xml:space="preserve"> minētās koordinācijas institūcijas uzdevumus, kuri pašlaik netiek pildīti, tādējādi kavējot </w:t>
            </w:r>
            <w:r w:rsidR="00697D3C" w:rsidRPr="0067061C">
              <w:t xml:space="preserve">Kapitālsabiedrību pārvaldības </w:t>
            </w:r>
            <w:r w:rsidR="00697D3C">
              <w:t>likumā ietvertā regulējuma un labākas publisko personu kapitāla daļu un kapitālsabiedrību pārvaldības īstenošanu .</w:t>
            </w:r>
          </w:p>
          <w:p w:rsidR="0058350C" w:rsidRPr="0067061C" w:rsidRDefault="00697D3C" w:rsidP="00243205">
            <w:pPr>
              <w:ind w:left="57" w:right="57"/>
              <w:rPr>
                <w:bCs/>
              </w:rPr>
            </w:pPr>
            <w:r>
              <w:t xml:space="preserve">Noteikumu projekts paredz </w:t>
            </w:r>
            <w:r w:rsidRPr="0067061C">
              <w:t xml:space="preserve">Kapitālsabiedrību pārvaldības </w:t>
            </w:r>
            <w:r>
              <w:t xml:space="preserve">likuma paredzētās konsultatīvās padomes izveidošanu valsts pārvaldes iestādē, kurā veic koordinācijas institūcijas pienākumus, lai nodrošinātu ekspertu un nozares profesionāļu līdzdalību publisko </w:t>
            </w:r>
            <w:r>
              <w:lastRenderedPageBreak/>
              <w:t>personu kapitālsabiedrību un kapitāla daļu pārvaldības procesā, tai skaitā izskatot koordinācijas institūcijas izstrādātos tiesību aktu projektus, politikas plānošanas dokumentu un vadlīniju projektus</w:t>
            </w:r>
            <w:r w:rsidR="00243205">
              <w:t>. Padome darbosies saskaņā ar tās nolikumu, kuru apstiprina koordinācijas institūcijas vadītājs.</w:t>
            </w:r>
          </w:p>
        </w:tc>
      </w:tr>
      <w:tr w:rsidR="0058350C" w:rsidRPr="0067061C" w:rsidTr="003E21E4">
        <w:trPr>
          <w:trHeight w:val="546"/>
        </w:trPr>
        <w:tc>
          <w:tcPr>
            <w:tcW w:w="456" w:type="dxa"/>
            <w:hideMark/>
          </w:tcPr>
          <w:p w:rsidR="0058350C" w:rsidRPr="0067061C" w:rsidRDefault="0058350C" w:rsidP="00AA4AD9">
            <w:pPr>
              <w:spacing w:after="120"/>
              <w:rPr>
                <w:color w:val="000000"/>
              </w:rPr>
            </w:pPr>
            <w:r w:rsidRPr="0067061C">
              <w:rPr>
                <w:color w:val="000000"/>
              </w:rPr>
              <w:lastRenderedPageBreak/>
              <w:t> 5.</w:t>
            </w:r>
          </w:p>
        </w:tc>
        <w:tc>
          <w:tcPr>
            <w:tcW w:w="2913" w:type="dxa"/>
            <w:hideMark/>
          </w:tcPr>
          <w:p w:rsidR="0058350C" w:rsidRPr="0067061C" w:rsidRDefault="0058350C" w:rsidP="00AA4AD9">
            <w:pPr>
              <w:spacing w:after="120"/>
              <w:rPr>
                <w:color w:val="000000"/>
              </w:rPr>
            </w:pPr>
            <w:r w:rsidRPr="0067061C">
              <w:rPr>
                <w:color w:val="000000"/>
              </w:rPr>
              <w:t>Projekta izstrādē iesaistītās institūcijas</w:t>
            </w:r>
          </w:p>
        </w:tc>
        <w:tc>
          <w:tcPr>
            <w:tcW w:w="6696" w:type="dxa"/>
            <w:hideMark/>
          </w:tcPr>
          <w:p w:rsidR="0058350C" w:rsidRPr="0067061C" w:rsidRDefault="0058350C" w:rsidP="00AA4AD9">
            <w:pPr>
              <w:spacing w:after="120"/>
              <w:rPr>
                <w:color w:val="000000"/>
              </w:rPr>
            </w:pPr>
            <w:r w:rsidRPr="0067061C">
              <w:rPr>
                <w:color w:val="000000"/>
              </w:rPr>
              <w:t>Projekts šo jomu neskar</w:t>
            </w:r>
          </w:p>
        </w:tc>
      </w:tr>
      <w:tr w:rsidR="0058350C" w:rsidRPr="0067061C" w:rsidTr="00AA4AD9">
        <w:trPr>
          <w:trHeight w:val="760"/>
        </w:trPr>
        <w:tc>
          <w:tcPr>
            <w:tcW w:w="456" w:type="dxa"/>
            <w:hideMark/>
          </w:tcPr>
          <w:p w:rsidR="0058350C" w:rsidRPr="0067061C" w:rsidRDefault="0058350C" w:rsidP="00AA4AD9">
            <w:pPr>
              <w:spacing w:after="120"/>
              <w:rPr>
                <w:color w:val="000000"/>
              </w:rPr>
            </w:pPr>
            <w:r w:rsidRPr="0067061C">
              <w:rPr>
                <w:color w:val="000000"/>
              </w:rPr>
              <w:t> 6.</w:t>
            </w:r>
          </w:p>
        </w:tc>
        <w:tc>
          <w:tcPr>
            <w:tcW w:w="2913" w:type="dxa"/>
            <w:hideMark/>
          </w:tcPr>
          <w:p w:rsidR="0058350C" w:rsidRPr="0067061C" w:rsidRDefault="0058350C" w:rsidP="00AA4AD9">
            <w:pPr>
              <w:spacing w:after="120"/>
              <w:rPr>
                <w:color w:val="000000"/>
              </w:rPr>
            </w:pPr>
            <w:r w:rsidRPr="0067061C">
              <w:rPr>
                <w:color w:val="000000"/>
              </w:rPr>
              <w:t>Iemesli, kādēļ netika nodrošināta sabiedrības līdzdalība</w:t>
            </w:r>
          </w:p>
        </w:tc>
        <w:tc>
          <w:tcPr>
            <w:tcW w:w="6696" w:type="dxa"/>
            <w:hideMark/>
          </w:tcPr>
          <w:p w:rsidR="0058350C" w:rsidRPr="0067061C" w:rsidRDefault="00731514" w:rsidP="00AA4AD9">
            <w:pPr>
              <w:jc w:val="both"/>
              <w:rPr>
                <w:bCs/>
              </w:rPr>
            </w:pPr>
            <w:r w:rsidRPr="0067061C">
              <w:rPr>
                <w:color w:val="000000"/>
              </w:rPr>
              <w:t>Projekts šo jomu neskar</w:t>
            </w:r>
          </w:p>
        </w:tc>
      </w:tr>
      <w:tr w:rsidR="0058350C" w:rsidRPr="0067061C" w:rsidTr="00AA4AD9">
        <w:tc>
          <w:tcPr>
            <w:tcW w:w="456" w:type="dxa"/>
            <w:hideMark/>
          </w:tcPr>
          <w:p w:rsidR="0058350C" w:rsidRPr="0067061C" w:rsidRDefault="0058350C" w:rsidP="00AA4AD9">
            <w:pPr>
              <w:spacing w:after="120"/>
              <w:rPr>
                <w:color w:val="000000"/>
              </w:rPr>
            </w:pPr>
            <w:r w:rsidRPr="0067061C">
              <w:rPr>
                <w:color w:val="000000"/>
              </w:rPr>
              <w:t> 7.</w:t>
            </w:r>
          </w:p>
        </w:tc>
        <w:tc>
          <w:tcPr>
            <w:tcW w:w="2913" w:type="dxa"/>
            <w:hideMark/>
          </w:tcPr>
          <w:p w:rsidR="0058350C" w:rsidRPr="0067061C" w:rsidRDefault="0058350C" w:rsidP="00AA4AD9">
            <w:pPr>
              <w:spacing w:after="120"/>
              <w:rPr>
                <w:color w:val="000000"/>
              </w:rPr>
            </w:pPr>
            <w:r w:rsidRPr="0067061C">
              <w:rPr>
                <w:color w:val="000000"/>
              </w:rPr>
              <w:t> Cita informācija</w:t>
            </w:r>
          </w:p>
        </w:tc>
        <w:tc>
          <w:tcPr>
            <w:tcW w:w="6696" w:type="dxa"/>
            <w:hideMark/>
          </w:tcPr>
          <w:p w:rsidR="0058350C" w:rsidRPr="0067061C" w:rsidRDefault="006C5985" w:rsidP="00AA4AD9">
            <w:pPr>
              <w:jc w:val="both"/>
              <w:rPr>
                <w:bCs/>
                <w:color w:val="000000"/>
              </w:rPr>
            </w:pPr>
            <w:r w:rsidRPr="0067061C">
              <w:rPr>
                <w:bCs/>
                <w:color w:val="000000"/>
              </w:rPr>
              <w:t>Nav</w:t>
            </w:r>
          </w:p>
        </w:tc>
      </w:tr>
    </w:tbl>
    <w:p w:rsidR="0058350C" w:rsidRPr="0067061C" w:rsidRDefault="0058350C" w:rsidP="0058350C">
      <w:pPr>
        <w:pStyle w:val="naisf"/>
        <w:spacing w:before="0" w:after="0"/>
        <w:ind w:firstLine="0"/>
      </w:pPr>
    </w:p>
    <w:tbl>
      <w:tblPr>
        <w:tblW w:w="9498" w:type="dxa"/>
        <w:jc w:val="right"/>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21"/>
        <w:gridCol w:w="1190"/>
        <w:gridCol w:w="1661"/>
        <w:gridCol w:w="1242"/>
        <w:gridCol w:w="1310"/>
        <w:gridCol w:w="1274"/>
      </w:tblGrid>
      <w:tr w:rsidR="0058350C" w:rsidRPr="0067061C" w:rsidTr="00AA4AD9">
        <w:trPr>
          <w:jc w:val="right"/>
        </w:trPr>
        <w:tc>
          <w:tcPr>
            <w:tcW w:w="9498" w:type="dxa"/>
            <w:gridSpan w:val="6"/>
            <w:hideMark/>
          </w:tcPr>
          <w:p w:rsidR="0058350C" w:rsidRPr="0067061C" w:rsidRDefault="0058350C" w:rsidP="00AA4AD9">
            <w:pPr>
              <w:jc w:val="center"/>
              <w:rPr>
                <w:b/>
              </w:rPr>
            </w:pPr>
            <w:r w:rsidRPr="0067061C">
              <w:rPr>
                <w:b/>
              </w:rPr>
              <w:t>III. Tiesību akta projekta ietekme uz valsts budžetu un pašvaldību budžetiem</w:t>
            </w:r>
          </w:p>
          <w:p w:rsidR="0058350C" w:rsidRPr="0067061C" w:rsidRDefault="0058350C" w:rsidP="00AA4AD9">
            <w:pPr>
              <w:jc w:val="both"/>
              <w:rPr>
                <w:b/>
              </w:rPr>
            </w:pPr>
          </w:p>
        </w:tc>
      </w:tr>
      <w:tr w:rsidR="0058350C" w:rsidRPr="0067061C" w:rsidTr="00AA4AD9">
        <w:trPr>
          <w:cantSplit/>
          <w:jc w:val="right"/>
        </w:trPr>
        <w:tc>
          <w:tcPr>
            <w:tcW w:w="2821" w:type="dxa"/>
            <w:vMerge w:val="restart"/>
            <w:vAlign w:val="center"/>
            <w:hideMark/>
          </w:tcPr>
          <w:p w:rsidR="0058350C" w:rsidRPr="0067061C" w:rsidRDefault="0058350C" w:rsidP="00AA4AD9">
            <w:pPr>
              <w:ind w:firstLine="720"/>
              <w:jc w:val="both"/>
              <w:rPr>
                <w:b/>
              </w:rPr>
            </w:pPr>
            <w:r w:rsidRPr="0067061C">
              <w:rPr>
                <w:b/>
              </w:rPr>
              <w:t> Rādītāji</w:t>
            </w:r>
          </w:p>
        </w:tc>
        <w:tc>
          <w:tcPr>
            <w:tcW w:w="2851" w:type="dxa"/>
            <w:gridSpan w:val="2"/>
            <w:vMerge w:val="restart"/>
            <w:vAlign w:val="center"/>
            <w:hideMark/>
          </w:tcPr>
          <w:p w:rsidR="0058350C" w:rsidRPr="0067061C" w:rsidRDefault="0058350C" w:rsidP="0077205F">
            <w:pPr>
              <w:ind w:firstLine="720"/>
              <w:jc w:val="both"/>
              <w:rPr>
                <w:b/>
              </w:rPr>
            </w:pPr>
            <w:r w:rsidRPr="0067061C">
              <w:rPr>
                <w:b/>
              </w:rPr>
              <w:t> 201</w:t>
            </w:r>
            <w:r w:rsidR="0077205F" w:rsidRPr="0067061C">
              <w:rPr>
                <w:b/>
              </w:rPr>
              <w:t>5</w:t>
            </w:r>
            <w:r w:rsidRPr="0067061C">
              <w:rPr>
                <w:b/>
              </w:rPr>
              <w:t>.gads</w:t>
            </w:r>
          </w:p>
        </w:tc>
        <w:tc>
          <w:tcPr>
            <w:tcW w:w="3826" w:type="dxa"/>
            <w:gridSpan w:val="3"/>
            <w:vAlign w:val="center"/>
            <w:hideMark/>
          </w:tcPr>
          <w:p w:rsidR="0058350C" w:rsidRPr="0067061C" w:rsidRDefault="0058350C" w:rsidP="00BE7B81">
            <w:pPr>
              <w:ind w:firstLine="194"/>
              <w:jc w:val="both"/>
            </w:pPr>
            <w:r w:rsidRPr="0067061C">
              <w:t> </w:t>
            </w:r>
            <w:r w:rsidR="0077205F" w:rsidRPr="0067061C">
              <w:t>Turpmākie trīs gadi (</w:t>
            </w:r>
            <w:proofErr w:type="spellStart"/>
            <w:r w:rsidR="0077205F" w:rsidRPr="0067061C">
              <w:t>euro</w:t>
            </w:r>
            <w:proofErr w:type="spellEnd"/>
            <w:r w:rsidRPr="0067061C">
              <w:t>)</w:t>
            </w:r>
          </w:p>
        </w:tc>
      </w:tr>
      <w:tr w:rsidR="0058350C" w:rsidRPr="0067061C" w:rsidTr="00AA4AD9">
        <w:trPr>
          <w:cantSplit/>
          <w:jc w:val="right"/>
        </w:trPr>
        <w:tc>
          <w:tcPr>
            <w:tcW w:w="2821" w:type="dxa"/>
            <w:vMerge/>
            <w:vAlign w:val="center"/>
            <w:hideMark/>
          </w:tcPr>
          <w:p w:rsidR="0058350C" w:rsidRPr="0067061C" w:rsidRDefault="0058350C" w:rsidP="00AA4AD9">
            <w:pPr>
              <w:ind w:firstLine="720"/>
              <w:jc w:val="both"/>
            </w:pPr>
          </w:p>
        </w:tc>
        <w:tc>
          <w:tcPr>
            <w:tcW w:w="2851" w:type="dxa"/>
            <w:gridSpan w:val="2"/>
            <w:vMerge/>
            <w:vAlign w:val="center"/>
            <w:hideMark/>
          </w:tcPr>
          <w:p w:rsidR="0058350C" w:rsidRPr="0067061C" w:rsidRDefault="0058350C" w:rsidP="00AA4AD9">
            <w:pPr>
              <w:ind w:firstLine="720"/>
              <w:jc w:val="both"/>
            </w:pPr>
          </w:p>
        </w:tc>
        <w:tc>
          <w:tcPr>
            <w:tcW w:w="1242" w:type="dxa"/>
            <w:tcBorders>
              <w:bottom w:val="single" w:sz="4" w:space="0" w:color="auto"/>
            </w:tcBorders>
            <w:vAlign w:val="center"/>
            <w:hideMark/>
          </w:tcPr>
          <w:p w:rsidR="0058350C" w:rsidRPr="0067061C" w:rsidRDefault="0077205F" w:rsidP="00AA4AD9">
            <w:pPr>
              <w:ind w:firstLine="194"/>
              <w:jc w:val="both"/>
              <w:rPr>
                <w:b/>
              </w:rPr>
            </w:pPr>
            <w:r w:rsidRPr="0067061C">
              <w:rPr>
                <w:b/>
              </w:rPr>
              <w:t> 2016</w:t>
            </w:r>
            <w:r w:rsidR="0058350C" w:rsidRPr="0067061C">
              <w:rPr>
                <w:b/>
              </w:rPr>
              <w:t>.</w:t>
            </w:r>
          </w:p>
        </w:tc>
        <w:tc>
          <w:tcPr>
            <w:tcW w:w="1310" w:type="dxa"/>
            <w:vAlign w:val="center"/>
            <w:hideMark/>
          </w:tcPr>
          <w:p w:rsidR="0058350C" w:rsidRPr="0067061C" w:rsidRDefault="0058350C" w:rsidP="0077205F">
            <w:pPr>
              <w:ind w:firstLine="301"/>
              <w:jc w:val="both"/>
              <w:rPr>
                <w:b/>
              </w:rPr>
            </w:pPr>
            <w:r w:rsidRPr="0067061C">
              <w:rPr>
                <w:b/>
              </w:rPr>
              <w:t> 201</w:t>
            </w:r>
            <w:r w:rsidR="0077205F" w:rsidRPr="0067061C">
              <w:rPr>
                <w:b/>
              </w:rPr>
              <w:t>7</w:t>
            </w:r>
            <w:r w:rsidRPr="0067061C">
              <w:rPr>
                <w:b/>
              </w:rPr>
              <w:t>.</w:t>
            </w:r>
          </w:p>
        </w:tc>
        <w:tc>
          <w:tcPr>
            <w:tcW w:w="1274" w:type="dxa"/>
            <w:vAlign w:val="center"/>
            <w:hideMark/>
          </w:tcPr>
          <w:p w:rsidR="0058350C" w:rsidRPr="0067061C" w:rsidRDefault="0077205F" w:rsidP="00AA4AD9">
            <w:pPr>
              <w:ind w:firstLine="125"/>
              <w:jc w:val="both"/>
              <w:rPr>
                <w:b/>
              </w:rPr>
            </w:pPr>
            <w:r w:rsidRPr="0067061C">
              <w:rPr>
                <w:b/>
              </w:rPr>
              <w:t>2018</w:t>
            </w:r>
            <w:r w:rsidR="0058350C" w:rsidRPr="0067061C">
              <w:rPr>
                <w:b/>
              </w:rPr>
              <w:t>.</w:t>
            </w:r>
          </w:p>
        </w:tc>
      </w:tr>
      <w:tr w:rsidR="0058350C" w:rsidRPr="0067061C" w:rsidTr="00AA4AD9">
        <w:trPr>
          <w:cantSplit/>
          <w:jc w:val="right"/>
        </w:trPr>
        <w:tc>
          <w:tcPr>
            <w:tcW w:w="2821" w:type="dxa"/>
            <w:vMerge/>
            <w:vAlign w:val="center"/>
            <w:hideMark/>
          </w:tcPr>
          <w:p w:rsidR="0058350C" w:rsidRPr="0067061C" w:rsidRDefault="0058350C" w:rsidP="00AA4AD9">
            <w:pPr>
              <w:ind w:firstLine="720"/>
              <w:jc w:val="both"/>
            </w:pPr>
          </w:p>
        </w:tc>
        <w:tc>
          <w:tcPr>
            <w:tcW w:w="1190" w:type="dxa"/>
            <w:vAlign w:val="center"/>
            <w:hideMark/>
          </w:tcPr>
          <w:p w:rsidR="0058350C" w:rsidRPr="0067061C" w:rsidRDefault="0058350C" w:rsidP="00AA4AD9">
            <w:pPr>
              <w:jc w:val="center"/>
            </w:pPr>
            <w:r w:rsidRPr="0067061C">
              <w:t>Saskaņā ar valsts budžetu kārtējam gadam</w:t>
            </w:r>
          </w:p>
        </w:tc>
        <w:tc>
          <w:tcPr>
            <w:tcW w:w="1661" w:type="dxa"/>
            <w:vAlign w:val="center"/>
            <w:hideMark/>
          </w:tcPr>
          <w:p w:rsidR="0058350C" w:rsidRPr="0067061C" w:rsidRDefault="0058350C" w:rsidP="00AA4AD9">
            <w:pPr>
              <w:jc w:val="center"/>
            </w:pPr>
            <w:r w:rsidRPr="0067061C">
              <w:t>Izmaiņas kārtējā gadā, salīdzinot ar budžetu kārtējam gadam</w:t>
            </w:r>
          </w:p>
        </w:tc>
        <w:tc>
          <w:tcPr>
            <w:tcW w:w="1242" w:type="dxa"/>
            <w:vAlign w:val="center"/>
            <w:hideMark/>
          </w:tcPr>
          <w:p w:rsidR="0058350C" w:rsidRPr="0067061C" w:rsidRDefault="0058350C" w:rsidP="00AA4AD9">
            <w:pPr>
              <w:jc w:val="center"/>
            </w:pPr>
            <w:r w:rsidRPr="0067061C">
              <w:t>Izmaiņas, salīdzinot ar kārtējo (n) gadu</w:t>
            </w:r>
          </w:p>
        </w:tc>
        <w:tc>
          <w:tcPr>
            <w:tcW w:w="1310" w:type="dxa"/>
            <w:vAlign w:val="center"/>
            <w:hideMark/>
          </w:tcPr>
          <w:p w:rsidR="0058350C" w:rsidRPr="0067061C" w:rsidRDefault="0058350C" w:rsidP="00AA4AD9">
            <w:pPr>
              <w:jc w:val="center"/>
            </w:pPr>
            <w:r w:rsidRPr="0067061C">
              <w:t>Izmaiņas, salīdzinot ar kārtējo (n) gadu</w:t>
            </w:r>
          </w:p>
        </w:tc>
        <w:tc>
          <w:tcPr>
            <w:tcW w:w="1274" w:type="dxa"/>
            <w:vAlign w:val="center"/>
            <w:hideMark/>
          </w:tcPr>
          <w:p w:rsidR="0058350C" w:rsidRPr="0067061C" w:rsidRDefault="0058350C" w:rsidP="00AA4AD9">
            <w:pPr>
              <w:jc w:val="center"/>
            </w:pPr>
            <w:r w:rsidRPr="0067061C">
              <w:t>Izmaiņas, salīdzinot ar kārtējo (n) gadu</w:t>
            </w:r>
          </w:p>
        </w:tc>
      </w:tr>
      <w:tr w:rsidR="0058350C" w:rsidRPr="0067061C" w:rsidTr="00AA4AD9">
        <w:trPr>
          <w:jc w:val="right"/>
        </w:trPr>
        <w:tc>
          <w:tcPr>
            <w:tcW w:w="2821" w:type="dxa"/>
            <w:vAlign w:val="center"/>
            <w:hideMark/>
          </w:tcPr>
          <w:p w:rsidR="0058350C" w:rsidRPr="0067061C" w:rsidRDefault="0058350C" w:rsidP="00AA4AD9">
            <w:pPr>
              <w:ind w:firstLine="720"/>
              <w:jc w:val="both"/>
            </w:pPr>
            <w:r w:rsidRPr="0067061C">
              <w:t> 1</w:t>
            </w:r>
          </w:p>
        </w:tc>
        <w:tc>
          <w:tcPr>
            <w:tcW w:w="1190" w:type="dxa"/>
            <w:vAlign w:val="center"/>
            <w:hideMark/>
          </w:tcPr>
          <w:p w:rsidR="0058350C" w:rsidRPr="0067061C" w:rsidRDefault="0058350C" w:rsidP="00AA4AD9">
            <w:pPr>
              <w:ind w:firstLine="720"/>
              <w:jc w:val="center"/>
            </w:pPr>
            <w:r w:rsidRPr="0067061C">
              <w:t>2</w:t>
            </w:r>
          </w:p>
        </w:tc>
        <w:tc>
          <w:tcPr>
            <w:tcW w:w="1661" w:type="dxa"/>
            <w:vAlign w:val="center"/>
            <w:hideMark/>
          </w:tcPr>
          <w:p w:rsidR="0058350C" w:rsidRPr="0067061C" w:rsidRDefault="0058350C" w:rsidP="00AA4AD9">
            <w:pPr>
              <w:ind w:firstLine="720"/>
              <w:jc w:val="center"/>
            </w:pPr>
            <w:r w:rsidRPr="0067061C">
              <w:t>3</w:t>
            </w:r>
          </w:p>
        </w:tc>
        <w:tc>
          <w:tcPr>
            <w:tcW w:w="1242" w:type="dxa"/>
            <w:vAlign w:val="center"/>
            <w:hideMark/>
          </w:tcPr>
          <w:p w:rsidR="0058350C" w:rsidRPr="0067061C" w:rsidRDefault="0058350C" w:rsidP="00AA4AD9">
            <w:pPr>
              <w:ind w:firstLine="720"/>
              <w:jc w:val="center"/>
            </w:pPr>
            <w:r w:rsidRPr="0067061C">
              <w:t>4</w:t>
            </w:r>
          </w:p>
        </w:tc>
        <w:tc>
          <w:tcPr>
            <w:tcW w:w="1310" w:type="dxa"/>
            <w:vAlign w:val="center"/>
            <w:hideMark/>
          </w:tcPr>
          <w:p w:rsidR="0058350C" w:rsidRPr="0067061C" w:rsidRDefault="0058350C" w:rsidP="00AA4AD9">
            <w:pPr>
              <w:ind w:firstLine="720"/>
              <w:jc w:val="center"/>
            </w:pPr>
            <w:r w:rsidRPr="0067061C">
              <w:t>5</w:t>
            </w:r>
          </w:p>
        </w:tc>
        <w:tc>
          <w:tcPr>
            <w:tcW w:w="1274" w:type="dxa"/>
            <w:vAlign w:val="center"/>
            <w:hideMark/>
          </w:tcPr>
          <w:p w:rsidR="0058350C" w:rsidRPr="0067061C" w:rsidRDefault="0058350C" w:rsidP="00AA4AD9">
            <w:pPr>
              <w:ind w:firstLine="720"/>
              <w:jc w:val="center"/>
            </w:pPr>
            <w:r w:rsidRPr="0067061C">
              <w:t>6</w:t>
            </w:r>
          </w:p>
        </w:tc>
      </w:tr>
      <w:tr w:rsidR="00BE7B81" w:rsidRPr="0067061C" w:rsidTr="00263345">
        <w:trPr>
          <w:jc w:val="right"/>
        </w:trPr>
        <w:tc>
          <w:tcPr>
            <w:tcW w:w="2821" w:type="dxa"/>
          </w:tcPr>
          <w:p w:rsidR="00BE7B81" w:rsidRPr="005A48B6" w:rsidRDefault="00BE7B81" w:rsidP="00C92C20">
            <w:pPr>
              <w:jc w:val="both"/>
            </w:pPr>
            <w:r w:rsidRPr="005A48B6">
              <w:t> 1. Budžeta ieņēmumi:</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pPr>
              <w:ind w:firstLine="669"/>
              <w:jc w:val="center"/>
            </w:pPr>
            <w:r>
              <w:t xml:space="preserve"> 0</w:t>
            </w:r>
          </w:p>
        </w:tc>
        <w:tc>
          <w:tcPr>
            <w:tcW w:w="1242" w:type="dxa"/>
          </w:tcPr>
          <w:p w:rsidR="00BE7B81" w:rsidRPr="005A48B6" w:rsidRDefault="00BE7B81" w:rsidP="00C92C20">
            <w:pPr>
              <w:ind w:firstLine="720"/>
              <w:jc w:val="center"/>
            </w:pPr>
            <w:r w:rsidRPr="005A48B6">
              <w:t>0</w:t>
            </w:r>
          </w:p>
        </w:tc>
        <w:tc>
          <w:tcPr>
            <w:tcW w:w="1310" w:type="dxa"/>
          </w:tcPr>
          <w:p w:rsidR="00BE7B81" w:rsidRPr="005A48B6" w:rsidRDefault="00BE7B81" w:rsidP="00C92C20">
            <w:pPr>
              <w:ind w:firstLine="720"/>
              <w:jc w:val="center"/>
            </w:pPr>
            <w:r w:rsidRPr="005A48B6">
              <w:t>0</w:t>
            </w:r>
          </w:p>
        </w:tc>
        <w:tc>
          <w:tcPr>
            <w:tcW w:w="1274" w:type="dxa"/>
          </w:tcPr>
          <w:p w:rsidR="00BE7B81" w:rsidRPr="005A48B6" w:rsidRDefault="00BE7B81" w:rsidP="00C92C20">
            <w:pPr>
              <w:ind w:firstLine="720"/>
              <w:jc w:val="center"/>
            </w:pPr>
            <w:r w:rsidRPr="005A48B6">
              <w:t>0</w:t>
            </w:r>
          </w:p>
        </w:tc>
      </w:tr>
      <w:tr w:rsidR="00BE7B81" w:rsidRPr="0067061C" w:rsidTr="00263345">
        <w:trPr>
          <w:jc w:val="right"/>
        </w:trPr>
        <w:tc>
          <w:tcPr>
            <w:tcW w:w="2821" w:type="dxa"/>
          </w:tcPr>
          <w:p w:rsidR="00BE7B81" w:rsidRPr="005A48B6" w:rsidRDefault="00BE7B81" w:rsidP="00C92C20">
            <w:pPr>
              <w:jc w:val="both"/>
            </w:pPr>
            <w:r w:rsidRPr="005A48B6">
              <w:t> 1.1. valsts pamatbudžets, tai sk</w:t>
            </w:r>
            <w:r>
              <w:t>aitā ieņēmumi no maksas pakalpo</w:t>
            </w:r>
            <w:r w:rsidRPr="005A48B6">
              <w:t>jumiem un citi pašu ieņēmumi</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pPr>
              <w:ind w:firstLine="669"/>
              <w:jc w:val="center"/>
            </w:pPr>
            <w:r>
              <w:t xml:space="preserve"> 0</w:t>
            </w:r>
          </w:p>
        </w:tc>
        <w:tc>
          <w:tcPr>
            <w:tcW w:w="1242" w:type="dxa"/>
          </w:tcPr>
          <w:p w:rsidR="00BE7B81" w:rsidRPr="005A48B6" w:rsidRDefault="00BE7B81" w:rsidP="00C92C20">
            <w:pPr>
              <w:ind w:firstLine="720"/>
              <w:jc w:val="center"/>
            </w:pPr>
            <w:r w:rsidRPr="005A48B6">
              <w:t>0</w:t>
            </w:r>
          </w:p>
        </w:tc>
        <w:tc>
          <w:tcPr>
            <w:tcW w:w="1310" w:type="dxa"/>
          </w:tcPr>
          <w:p w:rsidR="00BE7B81" w:rsidRPr="005A48B6" w:rsidRDefault="00BE7B81" w:rsidP="00C92C20">
            <w:pPr>
              <w:ind w:firstLine="720"/>
              <w:jc w:val="center"/>
            </w:pPr>
            <w:r w:rsidRPr="005A48B6">
              <w:t>0</w:t>
            </w:r>
          </w:p>
        </w:tc>
        <w:tc>
          <w:tcPr>
            <w:tcW w:w="1274" w:type="dxa"/>
          </w:tcPr>
          <w:p w:rsidR="00BE7B81" w:rsidRPr="005A48B6" w:rsidRDefault="00BE7B81" w:rsidP="00C92C20">
            <w:pPr>
              <w:ind w:firstLine="720"/>
              <w:jc w:val="center"/>
            </w:pPr>
            <w:r w:rsidRPr="005A48B6">
              <w:t>0</w:t>
            </w:r>
          </w:p>
        </w:tc>
      </w:tr>
      <w:tr w:rsidR="00BE7B81" w:rsidRPr="0067061C" w:rsidTr="00263345">
        <w:trPr>
          <w:jc w:val="right"/>
        </w:trPr>
        <w:tc>
          <w:tcPr>
            <w:tcW w:w="2821" w:type="dxa"/>
          </w:tcPr>
          <w:p w:rsidR="00BE7B81" w:rsidRPr="005A48B6" w:rsidRDefault="00BE7B81" w:rsidP="00C92C20">
            <w:pPr>
              <w:jc w:val="both"/>
            </w:pPr>
            <w:r w:rsidRPr="005A48B6">
              <w:t> 1.2. valsts speciālais budžets</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pPr>
              <w:ind w:firstLine="669"/>
              <w:jc w:val="center"/>
            </w:pPr>
            <w:r>
              <w:t xml:space="preserve"> 0</w:t>
            </w:r>
          </w:p>
        </w:tc>
        <w:tc>
          <w:tcPr>
            <w:tcW w:w="1242" w:type="dxa"/>
          </w:tcPr>
          <w:p w:rsidR="00BE7B81" w:rsidRPr="005A48B6" w:rsidRDefault="00BE7B81" w:rsidP="00C92C20">
            <w:pPr>
              <w:ind w:firstLine="720"/>
              <w:jc w:val="center"/>
            </w:pPr>
            <w:r w:rsidRPr="005A48B6">
              <w:t>0</w:t>
            </w:r>
          </w:p>
        </w:tc>
        <w:tc>
          <w:tcPr>
            <w:tcW w:w="1310" w:type="dxa"/>
          </w:tcPr>
          <w:p w:rsidR="00BE7B81" w:rsidRPr="005A48B6" w:rsidRDefault="00BE7B81" w:rsidP="00C92C20">
            <w:pPr>
              <w:ind w:firstLine="720"/>
              <w:jc w:val="center"/>
            </w:pPr>
            <w:r w:rsidRPr="005A48B6">
              <w:t>0</w:t>
            </w:r>
          </w:p>
        </w:tc>
        <w:tc>
          <w:tcPr>
            <w:tcW w:w="1274" w:type="dxa"/>
          </w:tcPr>
          <w:p w:rsidR="00BE7B81" w:rsidRPr="005A48B6" w:rsidRDefault="00BE7B81" w:rsidP="00C92C20">
            <w:pPr>
              <w:ind w:firstLine="720"/>
              <w:jc w:val="center"/>
            </w:pPr>
            <w:r w:rsidRPr="005A48B6">
              <w:t>0</w:t>
            </w:r>
          </w:p>
        </w:tc>
      </w:tr>
      <w:tr w:rsidR="00BE7B81" w:rsidRPr="0067061C" w:rsidTr="00941EBD">
        <w:trPr>
          <w:jc w:val="right"/>
        </w:trPr>
        <w:tc>
          <w:tcPr>
            <w:tcW w:w="2821" w:type="dxa"/>
          </w:tcPr>
          <w:p w:rsidR="00BE7B81" w:rsidRPr="005A48B6" w:rsidRDefault="00BE7B81" w:rsidP="00C92C20">
            <w:pPr>
              <w:jc w:val="both"/>
            </w:pPr>
            <w:r w:rsidRPr="005A48B6">
              <w:t> 1.3. pašvaldību budžets</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pPr>
              <w:ind w:firstLine="669"/>
              <w:jc w:val="center"/>
            </w:pPr>
            <w:r>
              <w:t xml:space="preserve"> 0</w:t>
            </w:r>
          </w:p>
        </w:tc>
        <w:tc>
          <w:tcPr>
            <w:tcW w:w="1242" w:type="dxa"/>
          </w:tcPr>
          <w:p w:rsidR="00BE7B81" w:rsidRPr="005A48B6" w:rsidRDefault="00BE7B81" w:rsidP="00C92C20">
            <w:pPr>
              <w:ind w:firstLine="720"/>
              <w:jc w:val="center"/>
            </w:pPr>
            <w:r w:rsidRPr="005A48B6">
              <w:t>0</w:t>
            </w:r>
          </w:p>
        </w:tc>
        <w:tc>
          <w:tcPr>
            <w:tcW w:w="1310" w:type="dxa"/>
          </w:tcPr>
          <w:p w:rsidR="00BE7B81" w:rsidRPr="005A48B6" w:rsidRDefault="00BE7B81" w:rsidP="00C92C20">
            <w:pPr>
              <w:ind w:firstLine="720"/>
              <w:jc w:val="center"/>
            </w:pPr>
            <w:r w:rsidRPr="005A48B6">
              <w:t>0</w:t>
            </w:r>
          </w:p>
        </w:tc>
        <w:tc>
          <w:tcPr>
            <w:tcW w:w="1274" w:type="dxa"/>
          </w:tcPr>
          <w:p w:rsidR="00BE7B81" w:rsidRPr="005A48B6" w:rsidRDefault="00BE7B81" w:rsidP="00C92C20">
            <w:pPr>
              <w:ind w:firstLine="720"/>
              <w:jc w:val="center"/>
            </w:pPr>
            <w:r w:rsidRPr="005A48B6">
              <w:t>0</w:t>
            </w:r>
          </w:p>
        </w:tc>
      </w:tr>
      <w:tr w:rsidR="00BE7B81" w:rsidRPr="0067061C" w:rsidTr="00941EBD">
        <w:trPr>
          <w:jc w:val="right"/>
        </w:trPr>
        <w:tc>
          <w:tcPr>
            <w:tcW w:w="2821" w:type="dxa"/>
          </w:tcPr>
          <w:p w:rsidR="00BE7B81" w:rsidRPr="005A48B6" w:rsidRDefault="00BE7B81" w:rsidP="00C92C20">
            <w:pPr>
              <w:jc w:val="both"/>
            </w:pPr>
            <w:r w:rsidRPr="005A48B6">
              <w:t> 2. Budžeta izdevumi:</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r>
              <w:t xml:space="preserve">       + 184  086</w:t>
            </w:r>
          </w:p>
        </w:tc>
        <w:tc>
          <w:tcPr>
            <w:tcW w:w="1242" w:type="dxa"/>
          </w:tcPr>
          <w:p w:rsidR="00BE7B81" w:rsidRPr="005A48B6" w:rsidRDefault="00BE7B81" w:rsidP="00C92C20">
            <w:pPr>
              <w:ind w:firstLine="209"/>
              <w:jc w:val="center"/>
            </w:pPr>
            <w:r>
              <w:t>+308 426</w:t>
            </w:r>
          </w:p>
        </w:tc>
        <w:tc>
          <w:tcPr>
            <w:tcW w:w="1310" w:type="dxa"/>
          </w:tcPr>
          <w:p w:rsidR="00BE7B81" w:rsidRDefault="00BE7B81" w:rsidP="00C92C20">
            <w:r>
              <w:t xml:space="preserve">    </w:t>
            </w:r>
            <w:r w:rsidRPr="00A42569">
              <w:t>+308 426</w:t>
            </w:r>
          </w:p>
        </w:tc>
        <w:tc>
          <w:tcPr>
            <w:tcW w:w="1274" w:type="dxa"/>
          </w:tcPr>
          <w:p w:rsidR="00BE7B81" w:rsidRDefault="00BE7B81" w:rsidP="00C92C20">
            <w:r>
              <w:t xml:space="preserve">   </w:t>
            </w:r>
            <w:r w:rsidRPr="00A42569">
              <w:t>+308 426</w:t>
            </w:r>
          </w:p>
        </w:tc>
      </w:tr>
      <w:tr w:rsidR="00BE7B81" w:rsidRPr="0067061C" w:rsidTr="00941EBD">
        <w:trPr>
          <w:jc w:val="right"/>
        </w:trPr>
        <w:tc>
          <w:tcPr>
            <w:tcW w:w="2821" w:type="dxa"/>
          </w:tcPr>
          <w:p w:rsidR="00BE7B81" w:rsidRPr="005A48B6" w:rsidRDefault="00BE7B81" w:rsidP="00C92C20">
            <w:pPr>
              <w:jc w:val="both"/>
            </w:pPr>
            <w:r w:rsidRPr="005A48B6">
              <w:t> 2.1. valsts pamatbudžets</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r>
              <w:t xml:space="preserve">       + 184  086</w:t>
            </w:r>
          </w:p>
        </w:tc>
        <w:tc>
          <w:tcPr>
            <w:tcW w:w="1242" w:type="dxa"/>
          </w:tcPr>
          <w:p w:rsidR="00BE7B81" w:rsidRPr="005A48B6" w:rsidRDefault="00BE7B81" w:rsidP="00C92C20">
            <w:pPr>
              <w:ind w:firstLine="209"/>
              <w:jc w:val="center"/>
            </w:pPr>
            <w:r>
              <w:t>+308 426</w:t>
            </w:r>
          </w:p>
        </w:tc>
        <w:tc>
          <w:tcPr>
            <w:tcW w:w="1310" w:type="dxa"/>
          </w:tcPr>
          <w:p w:rsidR="00BE7B81" w:rsidRDefault="00BE7B81" w:rsidP="00C92C20">
            <w:r>
              <w:t xml:space="preserve">    </w:t>
            </w:r>
            <w:r w:rsidRPr="00A42569">
              <w:t>+308 426</w:t>
            </w:r>
          </w:p>
        </w:tc>
        <w:tc>
          <w:tcPr>
            <w:tcW w:w="1274" w:type="dxa"/>
          </w:tcPr>
          <w:p w:rsidR="00BE7B81" w:rsidRDefault="00BE7B81" w:rsidP="00C92C20">
            <w:r>
              <w:t xml:space="preserve">   </w:t>
            </w:r>
            <w:r w:rsidRPr="00A42569">
              <w:t>+308 426</w:t>
            </w:r>
          </w:p>
        </w:tc>
      </w:tr>
      <w:tr w:rsidR="00BE7B81" w:rsidRPr="0067061C" w:rsidTr="00941EBD">
        <w:trPr>
          <w:jc w:val="right"/>
        </w:trPr>
        <w:tc>
          <w:tcPr>
            <w:tcW w:w="2821" w:type="dxa"/>
          </w:tcPr>
          <w:p w:rsidR="00BE7B81" w:rsidRPr="005A48B6" w:rsidRDefault="00BE7B81" w:rsidP="00C92C20">
            <w:pPr>
              <w:jc w:val="both"/>
            </w:pPr>
            <w:r w:rsidRPr="005A48B6">
              <w:t> 2.2. valsts speciālais budžets</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pPr>
              <w:ind w:firstLine="720"/>
              <w:jc w:val="center"/>
            </w:pPr>
            <w:r w:rsidRPr="005A48B6">
              <w:t>0</w:t>
            </w:r>
          </w:p>
        </w:tc>
        <w:tc>
          <w:tcPr>
            <w:tcW w:w="1242" w:type="dxa"/>
          </w:tcPr>
          <w:p w:rsidR="00BE7B81" w:rsidRPr="005A48B6" w:rsidRDefault="00BE7B81" w:rsidP="00C92C20">
            <w:pPr>
              <w:ind w:firstLine="720"/>
              <w:jc w:val="center"/>
            </w:pPr>
            <w:r w:rsidRPr="005A48B6">
              <w:t>0</w:t>
            </w:r>
          </w:p>
        </w:tc>
        <w:tc>
          <w:tcPr>
            <w:tcW w:w="1310" w:type="dxa"/>
          </w:tcPr>
          <w:p w:rsidR="00BE7B81" w:rsidRPr="00661A84" w:rsidRDefault="00BE7B81" w:rsidP="00C92C20">
            <w:pPr>
              <w:ind w:firstLine="720"/>
              <w:jc w:val="center"/>
            </w:pPr>
            <w:r w:rsidRPr="00661A84">
              <w:t>0</w:t>
            </w:r>
          </w:p>
        </w:tc>
        <w:tc>
          <w:tcPr>
            <w:tcW w:w="1274" w:type="dxa"/>
          </w:tcPr>
          <w:p w:rsidR="00BE7B81" w:rsidRPr="00661A84" w:rsidRDefault="00BE7B81" w:rsidP="00C92C20">
            <w:pPr>
              <w:ind w:firstLine="720"/>
              <w:jc w:val="center"/>
            </w:pPr>
            <w:r w:rsidRPr="00661A84">
              <w:t>0</w:t>
            </w:r>
          </w:p>
        </w:tc>
      </w:tr>
      <w:tr w:rsidR="00BE7B81" w:rsidRPr="0067061C" w:rsidTr="00941EBD">
        <w:trPr>
          <w:jc w:val="right"/>
        </w:trPr>
        <w:tc>
          <w:tcPr>
            <w:tcW w:w="2821" w:type="dxa"/>
          </w:tcPr>
          <w:p w:rsidR="00BE7B81" w:rsidRPr="005A48B6" w:rsidRDefault="00BE7B81" w:rsidP="00C92C20">
            <w:pPr>
              <w:jc w:val="both"/>
            </w:pPr>
            <w:r w:rsidRPr="005A48B6">
              <w:t> 2.3. pašvaldību budžets</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pPr>
              <w:ind w:firstLine="720"/>
              <w:jc w:val="center"/>
            </w:pPr>
            <w:r>
              <w:t>0</w:t>
            </w:r>
          </w:p>
        </w:tc>
        <w:tc>
          <w:tcPr>
            <w:tcW w:w="1242" w:type="dxa"/>
          </w:tcPr>
          <w:p w:rsidR="00BE7B81" w:rsidRPr="005A48B6" w:rsidRDefault="00BE7B81" w:rsidP="00C92C20">
            <w:pPr>
              <w:ind w:firstLine="720"/>
              <w:jc w:val="center"/>
            </w:pPr>
            <w:r w:rsidRPr="005A48B6">
              <w:t>0</w:t>
            </w:r>
          </w:p>
        </w:tc>
        <w:tc>
          <w:tcPr>
            <w:tcW w:w="1310" w:type="dxa"/>
          </w:tcPr>
          <w:p w:rsidR="00BE7B81" w:rsidRPr="00661A84" w:rsidRDefault="00BE7B81" w:rsidP="00C92C20">
            <w:pPr>
              <w:ind w:firstLine="720"/>
              <w:jc w:val="center"/>
            </w:pPr>
            <w:r w:rsidRPr="00661A84">
              <w:t>0</w:t>
            </w:r>
          </w:p>
        </w:tc>
        <w:tc>
          <w:tcPr>
            <w:tcW w:w="1274" w:type="dxa"/>
          </w:tcPr>
          <w:p w:rsidR="00BE7B81" w:rsidRPr="00661A84" w:rsidRDefault="00BE7B81" w:rsidP="00C92C20">
            <w:pPr>
              <w:ind w:firstLine="720"/>
              <w:jc w:val="center"/>
            </w:pPr>
            <w:r w:rsidRPr="00661A84">
              <w:t>0</w:t>
            </w:r>
          </w:p>
        </w:tc>
      </w:tr>
      <w:tr w:rsidR="00BE7B81" w:rsidRPr="0067061C" w:rsidTr="00941EBD">
        <w:trPr>
          <w:jc w:val="right"/>
        </w:trPr>
        <w:tc>
          <w:tcPr>
            <w:tcW w:w="2821" w:type="dxa"/>
          </w:tcPr>
          <w:p w:rsidR="00BE7B81" w:rsidRPr="005A48B6" w:rsidRDefault="00BE7B81" w:rsidP="00C92C20">
            <w:pPr>
              <w:jc w:val="both"/>
            </w:pPr>
            <w:r w:rsidRPr="005A48B6">
              <w:t> 3. Finansiālā ietekme:</w:t>
            </w:r>
          </w:p>
        </w:tc>
        <w:tc>
          <w:tcPr>
            <w:tcW w:w="1190" w:type="dxa"/>
            <w:vAlign w:val="center"/>
          </w:tcPr>
          <w:p w:rsidR="00BE7B81" w:rsidRPr="005A48B6" w:rsidRDefault="00BE7B81" w:rsidP="00C92C20">
            <w:pPr>
              <w:ind w:firstLine="720"/>
              <w:jc w:val="center"/>
            </w:pPr>
            <w:r w:rsidRPr="005A48B6">
              <w:t>0</w:t>
            </w:r>
          </w:p>
        </w:tc>
        <w:tc>
          <w:tcPr>
            <w:tcW w:w="1661" w:type="dxa"/>
          </w:tcPr>
          <w:p w:rsidR="00BE7B81" w:rsidRPr="005A48B6" w:rsidRDefault="00BE7B81" w:rsidP="00C92C20">
            <w:r>
              <w:t xml:space="preserve">          - 184 086  </w:t>
            </w:r>
          </w:p>
        </w:tc>
        <w:tc>
          <w:tcPr>
            <w:tcW w:w="1242" w:type="dxa"/>
          </w:tcPr>
          <w:p w:rsidR="00BE7B81" w:rsidRPr="005A48B6" w:rsidRDefault="00BE7B81" w:rsidP="00C92C20">
            <w:pPr>
              <w:ind w:firstLine="209"/>
              <w:jc w:val="center"/>
            </w:pPr>
            <w:r>
              <w:t>-308 426</w:t>
            </w:r>
          </w:p>
        </w:tc>
        <w:tc>
          <w:tcPr>
            <w:tcW w:w="1310" w:type="dxa"/>
          </w:tcPr>
          <w:p w:rsidR="00BE7B81" w:rsidRDefault="00BE7B81" w:rsidP="00C92C20">
            <w:r>
              <w:t xml:space="preserve">    </w:t>
            </w:r>
            <w:r w:rsidRPr="0081036C">
              <w:t>-308 426</w:t>
            </w:r>
          </w:p>
        </w:tc>
        <w:tc>
          <w:tcPr>
            <w:tcW w:w="1274" w:type="dxa"/>
          </w:tcPr>
          <w:p w:rsidR="00BE7B81" w:rsidRDefault="00BE7B81" w:rsidP="00C92C20">
            <w:r>
              <w:t xml:space="preserve">   </w:t>
            </w:r>
            <w:r w:rsidRPr="0081036C">
              <w:t>-308 426</w:t>
            </w:r>
          </w:p>
        </w:tc>
      </w:tr>
      <w:tr w:rsidR="00BE7B81" w:rsidRPr="0067061C" w:rsidTr="00941EBD">
        <w:trPr>
          <w:jc w:val="right"/>
        </w:trPr>
        <w:tc>
          <w:tcPr>
            <w:tcW w:w="2821" w:type="dxa"/>
          </w:tcPr>
          <w:p w:rsidR="00BE7B81" w:rsidRPr="005A48B6" w:rsidRDefault="00BE7B81" w:rsidP="00C92C20">
            <w:pPr>
              <w:jc w:val="both"/>
            </w:pPr>
            <w:r w:rsidRPr="005A48B6">
              <w:t> 3.1. valsts pamatbudžets</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r>
              <w:t xml:space="preserve">          - 184 086  </w:t>
            </w:r>
          </w:p>
        </w:tc>
        <w:tc>
          <w:tcPr>
            <w:tcW w:w="1242" w:type="dxa"/>
          </w:tcPr>
          <w:p w:rsidR="00BE7B81" w:rsidRPr="005A48B6" w:rsidRDefault="00BE7B81" w:rsidP="00C92C20">
            <w:pPr>
              <w:ind w:firstLine="209"/>
              <w:jc w:val="center"/>
            </w:pPr>
            <w:r>
              <w:t>-308 426</w:t>
            </w:r>
          </w:p>
        </w:tc>
        <w:tc>
          <w:tcPr>
            <w:tcW w:w="1310" w:type="dxa"/>
          </w:tcPr>
          <w:p w:rsidR="00BE7B81" w:rsidRDefault="00BE7B81" w:rsidP="00C92C20">
            <w:r>
              <w:t xml:space="preserve">    </w:t>
            </w:r>
            <w:r w:rsidRPr="0081036C">
              <w:t>-308 426</w:t>
            </w:r>
          </w:p>
        </w:tc>
        <w:tc>
          <w:tcPr>
            <w:tcW w:w="1274" w:type="dxa"/>
          </w:tcPr>
          <w:p w:rsidR="00BE7B81" w:rsidRDefault="00BE7B81" w:rsidP="00C92C20">
            <w:r>
              <w:t xml:space="preserve">   </w:t>
            </w:r>
            <w:r w:rsidRPr="0081036C">
              <w:t>-308 426</w:t>
            </w:r>
          </w:p>
        </w:tc>
      </w:tr>
      <w:tr w:rsidR="00BE7B81" w:rsidRPr="0067061C" w:rsidTr="00941EBD">
        <w:trPr>
          <w:jc w:val="right"/>
        </w:trPr>
        <w:tc>
          <w:tcPr>
            <w:tcW w:w="2821" w:type="dxa"/>
          </w:tcPr>
          <w:p w:rsidR="00BE7B81" w:rsidRPr="005A48B6" w:rsidRDefault="00BE7B81" w:rsidP="00C92C20">
            <w:pPr>
              <w:jc w:val="both"/>
            </w:pPr>
            <w:r w:rsidRPr="005A48B6">
              <w:t> 3.2. speciālais budžets</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pPr>
              <w:ind w:firstLine="720"/>
              <w:jc w:val="center"/>
            </w:pPr>
            <w:r w:rsidRPr="005A48B6">
              <w:t>0</w:t>
            </w:r>
          </w:p>
        </w:tc>
        <w:tc>
          <w:tcPr>
            <w:tcW w:w="1242" w:type="dxa"/>
          </w:tcPr>
          <w:p w:rsidR="00BE7B81" w:rsidRPr="005A48B6" w:rsidRDefault="00BE7B81" w:rsidP="00C92C20">
            <w:pPr>
              <w:ind w:firstLine="720"/>
              <w:jc w:val="center"/>
            </w:pPr>
            <w:r w:rsidRPr="005A48B6">
              <w:t>0</w:t>
            </w:r>
          </w:p>
        </w:tc>
        <w:tc>
          <w:tcPr>
            <w:tcW w:w="1310" w:type="dxa"/>
          </w:tcPr>
          <w:p w:rsidR="00BE7B81" w:rsidRPr="00661A84" w:rsidRDefault="00BE7B81" w:rsidP="00C92C20">
            <w:pPr>
              <w:ind w:firstLine="720"/>
              <w:jc w:val="center"/>
            </w:pPr>
            <w:r w:rsidRPr="00661A84">
              <w:t>0</w:t>
            </w:r>
          </w:p>
        </w:tc>
        <w:tc>
          <w:tcPr>
            <w:tcW w:w="1274" w:type="dxa"/>
          </w:tcPr>
          <w:p w:rsidR="00BE7B81" w:rsidRPr="00661A84" w:rsidRDefault="00BE7B81" w:rsidP="00C92C20">
            <w:pPr>
              <w:ind w:firstLine="720"/>
              <w:jc w:val="center"/>
            </w:pPr>
            <w:r w:rsidRPr="00661A84">
              <w:t>0</w:t>
            </w:r>
          </w:p>
        </w:tc>
      </w:tr>
      <w:tr w:rsidR="00BE7B81" w:rsidRPr="0067061C" w:rsidTr="00941EBD">
        <w:trPr>
          <w:jc w:val="right"/>
        </w:trPr>
        <w:tc>
          <w:tcPr>
            <w:tcW w:w="2821" w:type="dxa"/>
          </w:tcPr>
          <w:p w:rsidR="00BE7B81" w:rsidRPr="005A48B6" w:rsidRDefault="00BE7B81" w:rsidP="00C92C20">
            <w:pPr>
              <w:jc w:val="both"/>
            </w:pPr>
            <w:r w:rsidRPr="005A48B6">
              <w:t> 3.3. pašvaldību budžets</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pPr>
              <w:ind w:firstLine="720"/>
              <w:jc w:val="center"/>
            </w:pPr>
            <w:r w:rsidRPr="005A48B6">
              <w:t>0</w:t>
            </w:r>
          </w:p>
        </w:tc>
        <w:tc>
          <w:tcPr>
            <w:tcW w:w="1242" w:type="dxa"/>
          </w:tcPr>
          <w:p w:rsidR="00BE7B81" w:rsidRPr="005A48B6" w:rsidRDefault="00BE7B81" w:rsidP="00C92C20">
            <w:pPr>
              <w:ind w:firstLine="720"/>
              <w:jc w:val="center"/>
            </w:pPr>
            <w:r w:rsidRPr="005A48B6">
              <w:t>0</w:t>
            </w:r>
          </w:p>
        </w:tc>
        <w:tc>
          <w:tcPr>
            <w:tcW w:w="1310" w:type="dxa"/>
          </w:tcPr>
          <w:p w:rsidR="00BE7B81" w:rsidRPr="00661A84" w:rsidRDefault="00BE7B81" w:rsidP="00C92C20">
            <w:pPr>
              <w:ind w:firstLine="720"/>
              <w:jc w:val="center"/>
            </w:pPr>
            <w:r w:rsidRPr="00661A84">
              <w:t>0</w:t>
            </w:r>
          </w:p>
        </w:tc>
        <w:tc>
          <w:tcPr>
            <w:tcW w:w="1274" w:type="dxa"/>
          </w:tcPr>
          <w:p w:rsidR="00BE7B81" w:rsidRPr="00661A84" w:rsidRDefault="00BE7B81" w:rsidP="00C92C20">
            <w:pPr>
              <w:ind w:firstLine="720"/>
              <w:jc w:val="center"/>
            </w:pPr>
            <w:r w:rsidRPr="00661A84">
              <w:t>0</w:t>
            </w:r>
          </w:p>
        </w:tc>
      </w:tr>
      <w:tr w:rsidR="00BE7B81" w:rsidRPr="0067061C" w:rsidTr="00B07CC2">
        <w:trPr>
          <w:jc w:val="right"/>
        </w:trPr>
        <w:tc>
          <w:tcPr>
            <w:tcW w:w="2821" w:type="dxa"/>
          </w:tcPr>
          <w:p w:rsidR="00BE7B81" w:rsidRPr="005A48B6" w:rsidRDefault="00BE7B81" w:rsidP="00C92C20">
            <w:pPr>
              <w:jc w:val="both"/>
            </w:pPr>
            <w:r w:rsidRPr="005A48B6">
              <w:t> 4. Finanšu līdzekļi papildu izde</w:t>
            </w:r>
            <w:r w:rsidRPr="005A48B6">
              <w:softHyphen/>
              <w:t>vumu finansēšanai (kompensējošu izdevumu samazinājumu norāda ar "+" zīmi)</w:t>
            </w:r>
          </w:p>
        </w:tc>
        <w:tc>
          <w:tcPr>
            <w:tcW w:w="1190" w:type="dxa"/>
          </w:tcPr>
          <w:p w:rsidR="00BE7B81" w:rsidRPr="005A48B6" w:rsidRDefault="00BE7B81" w:rsidP="00C92C20">
            <w:pPr>
              <w:ind w:firstLine="720"/>
              <w:jc w:val="center"/>
            </w:pPr>
            <w:r w:rsidRPr="005A48B6">
              <w:t>0</w:t>
            </w:r>
          </w:p>
        </w:tc>
        <w:tc>
          <w:tcPr>
            <w:tcW w:w="1661" w:type="dxa"/>
          </w:tcPr>
          <w:p w:rsidR="00BE7B81" w:rsidRPr="005A48B6" w:rsidRDefault="00BE7B81" w:rsidP="00C92C20">
            <w:r>
              <w:t xml:space="preserve">          +184 086</w:t>
            </w:r>
          </w:p>
        </w:tc>
        <w:tc>
          <w:tcPr>
            <w:tcW w:w="1242" w:type="dxa"/>
          </w:tcPr>
          <w:p w:rsidR="00BE7B81" w:rsidRPr="005A48B6" w:rsidRDefault="00BE7B81" w:rsidP="00C92C20">
            <w:pPr>
              <w:ind w:firstLine="720"/>
              <w:jc w:val="center"/>
            </w:pPr>
            <w:r w:rsidRPr="005A48B6">
              <w:t>0</w:t>
            </w:r>
          </w:p>
        </w:tc>
        <w:tc>
          <w:tcPr>
            <w:tcW w:w="1310" w:type="dxa"/>
          </w:tcPr>
          <w:p w:rsidR="00BE7B81" w:rsidRPr="00661A84" w:rsidRDefault="00BE7B81" w:rsidP="00C92C20">
            <w:pPr>
              <w:ind w:firstLine="720"/>
              <w:jc w:val="center"/>
            </w:pPr>
            <w:r w:rsidRPr="00661A84">
              <w:t>0</w:t>
            </w:r>
          </w:p>
        </w:tc>
        <w:tc>
          <w:tcPr>
            <w:tcW w:w="1274" w:type="dxa"/>
          </w:tcPr>
          <w:p w:rsidR="00BE7B81" w:rsidRPr="00661A84" w:rsidRDefault="00BE7B81" w:rsidP="00C92C20">
            <w:pPr>
              <w:ind w:firstLine="720"/>
              <w:jc w:val="center"/>
            </w:pPr>
            <w:r w:rsidRPr="00661A84">
              <w:t>0</w:t>
            </w:r>
          </w:p>
        </w:tc>
      </w:tr>
      <w:tr w:rsidR="00BE7B81" w:rsidRPr="0067061C" w:rsidTr="00F0179B">
        <w:trPr>
          <w:jc w:val="right"/>
        </w:trPr>
        <w:tc>
          <w:tcPr>
            <w:tcW w:w="2821" w:type="dxa"/>
          </w:tcPr>
          <w:p w:rsidR="00BE7B81" w:rsidRPr="005A48B6" w:rsidRDefault="00BE7B81" w:rsidP="00C92C20">
            <w:pPr>
              <w:jc w:val="both"/>
            </w:pPr>
            <w:r w:rsidRPr="005A48B6">
              <w:t> 5. Precizēta finansiālā ietekme:</w:t>
            </w:r>
          </w:p>
        </w:tc>
        <w:tc>
          <w:tcPr>
            <w:tcW w:w="1190" w:type="dxa"/>
            <w:vAlign w:val="center"/>
          </w:tcPr>
          <w:p w:rsidR="00BE7B81" w:rsidRPr="0067061C" w:rsidRDefault="00BE7B81" w:rsidP="00AA4AD9">
            <w:pPr>
              <w:ind w:firstLine="720"/>
              <w:jc w:val="center"/>
            </w:pPr>
            <w:r>
              <w:t>X</w:t>
            </w:r>
          </w:p>
        </w:tc>
        <w:tc>
          <w:tcPr>
            <w:tcW w:w="1661" w:type="dxa"/>
          </w:tcPr>
          <w:p w:rsidR="00BE7B81" w:rsidRPr="005A48B6" w:rsidRDefault="00BE7B81" w:rsidP="00C92C20">
            <w:pPr>
              <w:ind w:firstLine="720"/>
              <w:jc w:val="center"/>
            </w:pPr>
            <w:r w:rsidRPr="005A48B6">
              <w:t>0</w:t>
            </w:r>
          </w:p>
        </w:tc>
        <w:tc>
          <w:tcPr>
            <w:tcW w:w="1242" w:type="dxa"/>
          </w:tcPr>
          <w:p w:rsidR="00BE7B81" w:rsidRDefault="00BE7B81" w:rsidP="00C92C20">
            <w:r w:rsidRPr="003234FA">
              <w:t>-308 426</w:t>
            </w:r>
          </w:p>
        </w:tc>
        <w:tc>
          <w:tcPr>
            <w:tcW w:w="1310" w:type="dxa"/>
          </w:tcPr>
          <w:p w:rsidR="00BE7B81" w:rsidRDefault="00BE7B81" w:rsidP="00C92C20">
            <w:r w:rsidRPr="003234FA">
              <w:t>-308 426</w:t>
            </w:r>
          </w:p>
        </w:tc>
        <w:tc>
          <w:tcPr>
            <w:tcW w:w="1274" w:type="dxa"/>
          </w:tcPr>
          <w:p w:rsidR="00BE7B81" w:rsidRDefault="00BE7B81" w:rsidP="00C92C20">
            <w:r w:rsidRPr="003234FA">
              <w:t>-308 426</w:t>
            </w:r>
          </w:p>
        </w:tc>
      </w:tr>
      <w:tr w:rsidR="00BE7B81" w:rsidRPr="0067061C" w:rsidTr="00F0179B">
        <w:trPr>
          <w:jc w:val="right"/>
        </w:trPr>
        <w:tc>
          <w:tcPr>
            <w:tcW w:w="2821" w:type="dxa"/>
          </w:tcPr>
          <w:p w:rsidR="00BE7B81" w:rsidRPr="005A48B6" w:rsidRDefault="00BE7B81" w:rsidP="00C92C20">
            <w:pPr>
              <w:jc w:val="both"/>
            </w:pPr>
            <w:r w:rsidRPr="005A48B6">
              <w:t> 5.1. valsts pamatbudžets</w:t>
            </w:r>
          </w:p>
        </w:tc>
        <w:tc>
          <w:tcPr>
            <w:tcW w:w="1190" w:type="dxa"/>
            <w:vAlign w:val="center"/>
          </w:tcPr>
          <w:p w:rsidR="00BE7B81" w:rsidRPr="0067061C" w:rsidRDefault="00BE7B81" w:rsidP="00AA4AD9">
            <w:pPr>
              <w:ind w:firstLine="720"/>
              <w:jc w:val="center"/>
            </w:pPr>
          </w:p>
        </w:tc>
        <w:tc>
          <w:tcPr>
            <w:tcW w:w="1661" w:type="dxa"/>
          </w:tcPr>
          <w:p w:rsidR="00BE7B81" w:rsidRPr="005A48B6" w:rsidRDefault="00BE7B81" w:rsidP="00C92C20">
            <w:pPr>
              <w:ind w:firstLine="720"/>
              <w:jc w:val="center"/>
            </w:pPr>
            <w:r>
              <w:t>0 </w:t>
            </w:r>
          </w:p>
        </w:tc>
        <w:tc>
          <w:tcPr>
            <w:tcW w:w="1242" w:type="dxa"/>
          </w:tcPr>
          <w:p w:rsidR="00BE7B81" w:rsidRDefault="00BE7B81" w:rsidP="00C92C20">
            <w:r w:rsidRPr="003A128E">
              <w:t>-308 426</w:t>
            </w:r>
          </w:p>
        </w:tc>
        <w:tc>
          <w:tcPr>
            <w:tcW w:w="1310" w:type="dxa"/>
          </w:tcPr>
          <w:p w:rsidR="00BE7B81" w:rsidRDefault="00BE7B81" w:rsidP="00C92C20">
            <w:r w:rsidRPr="003A128E">
              <w:t>-308 426</w:t>
            </w:r>
          </w:p>
        </w:tc>
        <w:tc>
          <w:tcPr>
            <w:tcW w:w="1274" w:type="dxa"/>
          </w:tcPr>
          <w:p w:rsidR="00BE7B81" w:rsidRDefault="00BE7B81" w:rsidP="00C92C20">
            <w:r w:rsidRPr="003A128E">
              <w:t>-308 426</w:t>
            </w:r>
          </w:p>
        </w:tc>
      </w:tr>
      <w:tr w:rsidR="00BE7B81" w:rsidRPr="0067061C" w:rsidTr="00F0179B">
        <w:trPr>
          <w:jc w:val="right"/>
        </w:trPr>
        <w:tc>
          <w:tcPr>
            <w:tcW w:w="2821" w:type="dxa"/>
          </w:tcPr>
          <w:p w:rsidR="00BE7B81" w:rsidRPr="005A48B6" w:rsidRDefault="00BE7B81" w:rsidP="00C92C20">
            <w:pPr>
              <w:jc w:val="both"/>
            </w:pPr>
            <w:r w:rsidRPr="005A48B6">
              <w:t> 5.2. speciālais budžets</w:t>
            </w:r>
          </w:p>
        </w:tc>
        <w:tc>
          <w:tcPr>
            <w:tcW w:w="1190" w:type="dxa"/>
            <w:vAlign w:val="center"/>
          </w:tcPr>
          <w:p w:rsidR="00BE7B81" w:rsidRPr="0067061C" w:rsidRDefault="00BE7B81" w:rsidP="00AA4AD9">
            <w:pPr>
              <w:ind w:firstLine="720"/>
              <w:jc w:val="center"/>
            </w:pPr>
          </w:p>
        </w:tc>
        <w:tc>
          <w:tcPr>
            <w:tcW w:w="1661" w:type="dxa"/>
          </w:tcPr>
          <w:p w:rsidR="00BE7B81" w:rsidRPr="005A48B6" w:rsidRDefault="00BE7B81" w:rsidP="00C92C20">
            <w:pPr>
              <w:ind w:firstLine="720"/>
              <w:jc w:val="center"/>
            </w:pPr>
            <w:r w:rsidRPr="005A48B6">
              <w:t>0</w:t>
            </w:r>
          </w:p>
        </w:tc>
        <w:tc>
          <w:tcPr>
            <w:tcW w:w="1242" w:type="dxa"/>
          </w:tcPr>
          <w:p w:rsidR="00BE7B81" w:rsidRPr="005A48B6" w:rsidRDefault="00BE7B81" w:rsidP="00C92C20">
            <w:pPr>
              <w:ind w:firstLine="720"/>
              <w:jc w:val="center"/>
            </w:pPr>
            <w:r w:rsidRPr="005A48B6">
              <w:t>0</w:t>
            </w:r>
          </w:p>
        </w:tc>
        <w:tc>
          <w:tcPr>
            <w:tcW w:w="1310" w:type="dxa"/>
          </w:tcPr>
          <w:p w:rsidR="00BE7B81" w:rsidRPr="005A48B6" w:rsidRDefault="00BE7B81" w:rsidP="00C92C20">
            <w:pPr>
              <w:ind w:firstLine="720"/>
              <w:jc w:val="center"/>
            </w:pPr>
            <w:r w:rsidRPr="005A48B6">
              <w:t>0</w:t>
            </w:r>
          </w:p>
        </w:tc>
        <w:tc>
          <w:tcPr>
            <w:tcW w:w="1274" w:type="dxa"/>
          </w:tcPr>
          <w:p w:rsidR="00BE7B81" w:rsidRPr="005A48B6" w:rsidRDefault="00BE7B81" w:rsidP="00C92C20">
            <w:pPr>
              <w:ind w:firstLine="720"/>
              <w:jc w:val="center"/>
            </w:pPr>
            <w:r w:rsidRPr="005A48B6">
              <w:t>0</w:t>
            </w:r>
          </w:p>
        </w:tc>
      </w:tr>
      <w:tr w:rsidR="00BE7B81" w:rsidRPr="0067061C" w:rsidTr="00F0179B">
        <w:trPr>
          <w:jc w:val="right"/>
        </w:trPr>
        <w:tc>
          <w:tcPr>
            <w:tcW w:w="2821" w:type="dxa"/>
          </w:tcPr>
          <w:p w:rsidR="00BE7B81" w:rsidRPr="005A48B6" w:rsidRDefault="00BE7B81" w:rsidP="00C92C20">
            <w:pPr>
              <w:jc w:val="both"/>
            </w:pPr>
            <w:r w:rsidRPr="005A48B6">
              <w:t> 5.3. pašvaldību budžets</w:t>
            </w:r>
          </w:p>
        </w:tc>
        <w:tc>
          <w:tcPr>
            <w:tcW w:w="1190" w:type="dxa"/>
            <w:vAlign w:val="center"/>
          </w:tcPr>
          <w:p w:rsidR="00BE7B81" w:rsidRPr="0067061C" w:rsidRDefault="00BE7B81" w:rsidP="00AA4AD9">
            <w:pPr>
              <w:ind w:firstLine="720"/>
              <w:jc w:val="center"/>
            </w:pPr>
          </w:p>
        </w:tc>
        <w:tc>
          <w:tcPr>
            <w:tcW w:w="1661" w:type="dxa"/>
          </w:tcPr>
          <w:p w:rsidR="00BE7B81" w:rsidRPr="005A48B6" w:rsidRDefault="00BE7B81" w:rsidP="00C92C20">
            <w:pPr>
              <w:ind w:firstLine="720"/>
              <w:jc w:val="center"/>
            </w:pPr>
            <w:r w:rsidRPr="005A48B6">
              <w:t>0</w:t>
            </w:r>
          </w:p>
        </w:tc>
        <w:tc>
          <w:tcPr>
            <w:tcW w:w="1242" w:type="dxa"/>
          </w:tcPr>
          <w:p w:rsidR="00BE7B81" w:rsidRPr="005A48B6" w:rsidRDefault="00BE7B81" w:rsidP="00C92C20">
            <w:pPr>
              <w:ind w:firstLine="720"/>
              <w:jc w:val="center"/>
            </w:pPr>
            <w:r w:rsidRPr="005A48B6">
              <w:t>0</w:t>
            </w:r>
          </w:p>
        </w:tc>
        <w:tc>
          <w:tcPr>
            <w:tcW w:w="1310" w:type="dxa"/>
          </w:tcPr>
          <w:p w:rsidR="00BE7B81" w:rsidRPr="005A48B6" w:rsidRDefault="00BE7B81" w:rsidP="00C92C20">
            <w:pPr>
              <w:ind w:firstLine="720"/>
              <w:jc w:val="center"/>
            </w:pPr>
            <w:r w:rsidRPr="005A48B6">
              <w:t>0</w:t>
            </w:r>
          </w:p>
        </w:tc>
        <w:tc>
          <w:tcPr>
            <w:tcW w:w="1274" w:type="dxa"/>
          </w:tcPr>
          <w:p w:rsidR="00BE7B81" w:rsidRPr="005A48B6" w:rsidRDefault="00BE7B81" w:rsidP="00C92C20">
            <w:pPr>
              <w:ind w:firstLine="720"/>
              <w:jc w:val="center"/>
            </w:pPr>
            <w:r w:rsidRPr="005A48B6">
              <w:t>0</w:t>
            </w:r>
          </w:p>
        </w:tc>
      </w:tr>
      <w:tr w:rsidR="00BE7B81" w:rsidRPr="0067061C" w:rsidTr="00AA4AD9">
        <w:trPr>
          <w:trHeight w:val="343"/>
          <w:jc w:val="right"/>
        </w:trPr>
        <w:tc>
          <w:tcPr>
            <w:tcW w:w="2821" w:type="dxa"/>
            <w:hideMark/>
          </w:tcPr>
          <w:p w:rsidR="00BE7B81" w:rsidRPr="0067061C" w:rsidRDefault="00BE7B81" w:rsidP="00AA4AD9">
            <w:pPr>
              <w:jc w:val="both"/>
            </w:pPr>
            <w:r w:rsidRPr="0067061C">
              <w:lastRenderedPageBreak/>
              <w:t> 7. Cita informācija</w:t>
            </w:r>
          </w:p>
        </w:tc>
        <w:tc>
          <w:tcPr>
            <w:tcW w:w="6677" w:type="dxa"/>
            <w:gridSpan w:val="5"/>
            <w:hideMark/>
          </w:tcPr>
          <w:p w:rsidR="00BE7B81" w:rsidRPr="0067061C" w:rsidRDefault="00BE7B81" w:rsidP="003E21E4">
            <w:pPr>
              <w:ind w:right="140"/>
              <w:jc w:val="both"/>
              <w:rPr>
                <w:bCs/>
              </w:rPr>
            </w:pPr>
            <w:r w:rsidRPr="0067061C">
              <w:rPr>
                <w:bCs/>
              </w:rPr>
              <w:t xml:space="preserve"> </w:t>
            </w:r>
            <w:r w:rsidRPr="003E21E4">
              <w:rPr>
                <w:bCs/>
              </w:rPr>
              <w:t>Jaunās PKC fun</w:t>
            </w:r>
            <w:r>
              <w:rPr>
                <w:bCs/>
              </w:rPr>
              <w:t>kcijas nodrošināšanai detalizēti aprēķini norādīti</w:t>
            </w:r>
            <w:r w:rsidRPr="003E21E4">
              <w:rPr>
                <w:bCs/>
              </w:rPr>
              <w:t xml:space="preserve"> Ministru kabineta rīkojuma projektam „Par </w:t>
            </w:r>
            <w:proofErr w:type="spellStart"/>
            <w:r w:rsidRPr="003E21E4">
              <w:rPr>
                <w:bCs/>
              </w:rPr>
              <w:t>Pārresoru</w:t>
            </w:r>
            <w:proofErr w:type="spellEnd"/>
            <w:r w:rsidRPr="003E21E4">
              <w:rPr>
                <w:bCs/>
              </w:rPr>
              <w:t xml:space="preserve"> koordinācijas centra noteikšanu par valsts kapitālsabiedrību un valsts kapitāla daļu pārvaldības koordinācijas institūciju” pievienotajā anotācijā.</w:t>
            </w:r>
          </w:p>
        </w:tc>
      </w:tr>
    </w:tbl>
    <w:p w:rsidR="0058350C" w:rsidRPr="0067061C" w:rsidRDefault="0058350C" w:rsidP="0058350C">
      <w:pPr>
        <w:spacing w:after="12"/>
        <w:rPr>
          <w:color w:val="000000"/>
        </w:rPr>
      </w:pPr>
    </w:p>
    <w:tbl>
      <w:tblPr>
        <w:tblW w:w="10065" w:type="dxa"/>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595"/>
        <w:gridCol w:w="6096"/>
      </w:tblGrid>
      <w:tr w:rsidR="0058350C" w:rsidRPr="0067061C" w:rsidTr="00AA4AD9">
        <w:trPr>
          <w:jc w:val="center"/>
        </w:trPr>
        <w:tc>
          <w:tcPr>
            <w:tcW w:w="10065" w:type="dxa"/>
            <w:gridSpan w:val="3"/>
            <w:tcBorders>
              <w:top w:val="single" w:sz="4" w:space="0" w:color="auto"/>
            </w:tcBorders>
          </w:tcPr>
          <w:p w:rsidR="0058350C" w:rsidRPr="0067061C" w:rsidRDefault="0058350C" w:rsidP="00AA4AD9">
            <w:pPr>
              <w:pStyle w:val="naisnod"/>
              <w:spacing w:before="0" w:after="120"/>
              <w:ind w:left="57" w:right="57"/>
            </w:pPr>
            <w:r w:rsidRPr="0067061C">
              <w:t>VII. Tiesību akta projekta izpildes nodrošināšana un tās ietekme uz institūcijām</w:t>
            </w:r>
          </w:p>
        </w:tc>
      </w:tr>
      <w:tr w:rsidR="0058350C" w:rsidRPr="0067061C" w:rsidTr="00AA4AD9">
        <w:trPr>
          <w:trHeight w:val="427"/>
          <w:jc w:val="center"/>
        </w:trPr>
        <w:tc>
          <w:tcPr>
            <w:tcW w:w="374" w:type="dxa"/>
          </w:tcPr>
          <w:p w:rsidR="0058350C" w:rsidRPr="0067061C" w:rsidRDefault="0058350C" w:rsidP="00AA4AD9">
            <w:pPr>
              <w:pStyle w:val="naisnod"/>
              <w:spacing w:before="0" w:after="120"/>
              <w:ind w:left="57" w:right="57"/>
              <w:jc w:val="left"/>
              <w:rPr>
                <w:b w:val="0"/>
              </w:rPr>
            </w:pPr>
            <w:r w:rsidRPr="0067061C">
              <w:rPr>
                <w:b w:val="0"/>
              </w:rPr>
              <w:t>1.</w:t>
            </w:r>
          </w:p>
        </w:tc>
        <w:tc>
          <w:tcPr>
            <w:tcW w:w="3595" w:type="dxa"/>
          </w:tcPr>
          <w:p w:rsidR="0058350C" w:rsidRPr="0067061C" w:rsidRDefault="0058350C" w:rsidP="00AA4AD9">
            <w:pPr>
              <w:pStyle w:val="naisf"/>
              <w:spacing w:before="0" w:after="0"/>
              <w:ind w:left="57" w:right="57" w:firstLine="0"/>
              <w:jc w:val="left"/>
            </w:pPr>
            <w:r w:rsidRPr="0067061C">
              <w:t xml:space="preserve">Projekta izpildē iesaistītās institūcijas </w:t>
            </w:r>
          </w:p>
        </w:tc>
        <w:tc>
          <w:tcPr>
            <w:tcW w:w="6096" w:type="dxa"/>
          </w:tcPr>
          <w:p w:rsidR="0058350C" w:rsidRPr="0067061C" w:rsidRDefault="0058350C" w:rsidP="00061F6A">
            <w:pPr>
              <w:pStyle w:val="naisnod"/>
              <w:spacing w:before="0" w:after="120"/>
              <w:ind w:right="57"/>
              <w:jc w:val="left"/>
              <w:rPr>
                <w:b w:val="0"/>
              </w:rPr>
            </w:pPr>
            <w:r w:rsidRPr="0067061C">
              <w:rPr>
                <w:b w:val="0"/>
                <w:iCs/>
              </w:rPr>
              <w:t xml:space="preserve"> PKC</w:t>
            </w:r>
            <w:r w:rsidR="00061F6A" w:rsidRPr="005C0D1D">
              <w:rPr>
                <w:b w:val="0"/>
                <w:iCs/>
              </w:rPr>
              <w:t>. Atbalsta funkcijas, ņemot vērā PKC darbinieku skaita palielinājumu, papildus nepieciešamajā apjomā nodrošinās Valsts kanceleja</w:t>
            </w:r>
          </w:p>
        </w:tc>
      </w:tr>
      <w:tr w:rsidR="0058350C" w:rsidRPr="0067061C" w:rsidTr="00AA4AD9">
        <w:trPr>
          <w:trHeight w:val="463"/>
          <w:jc w:val="center"/>
        </w:trPr>
        <w:tc>
          <w:tcPr>
            <w:tcW w:w="374" w:type="dxa"/>
          </w:tcPr>
          <w:p w:rsidR="0058350C" w:rsidRPr="0067061C" w:rsidRDefault="0058350C" w:rsidP="00AA4AD9">
            <w:pPr>
              <w:pStyle w:val="naisnod"/>
              <w:spacing w:before="0" w:after="120"/>
              <w:ind w:left="57" w:right="57"/>
              <w:jc w:val="left"/>
              <w:rPr>
                <w:b w:val="0"/>
              </w:rPr>
            </w:pPr>
            <w:r w:rsidRPr="0067061C">
              <w:rPr>
                <w:b w:val="0"/>
              </w:rPr>
              <w:t>2.</w:t>
            </w:r>
          </w:p>
        </w:tc>
        <w:tc>
          <w:tcPr>
            <w:tcW w:w="3595" w:type="dxa"/>
          </w:tcPr>
          <w:p w:rsidR="0058350C" w:rsidRPr="0067061C" w:rsidRDefault="0058350C" w:rsidP="00AA4AD9">
            <w:pPr>
              <w:pStyle w:val="naisf"/>
              <w:spacing w:before="0" w:after="0"/>
              <w:ind w:left="57" w:right="57" w:firstLine="0"/>
              <w:jc w:val="left"/>
            </w:pPr>
            <w:r w:rsidRPr="0067061C">
              <w:t xml:space="preserve">Projekta izpildes ietekme uz pārvaldes funkcijām </w:t>
            </w:r>
          </w:p>
        </w:tc>
        <w:tc>
          <w:tcPr>
            <w:tcW w:w="6096" w:type="dxa"/>
          </w:tcPr>
          <w:p w:rsidR="0058350C" w:rsidRPr="0067061C" w:rsidRDefault="0067061C" w:rsidP="0067061C">
            <w:pPr>
              <w:pStyle w:val="naisnod"/>
              <w:spacing w:before="0" w:after="120"/>
              <w:ind w:left="57" w:right="57"/>
              <w:jc w:val="both"/>
              <w:rPr>
                <w:b w:val="0"/>
              </w:rPr>
            </w:pPr>
            <w:r>
              <w:rPr>
                <w:b w:val="0"/>
                <w:bCs w:val="0"/>
              </w:rPr>
              <w:t>PKC</w:t>
            </w:r>
            <w:r w:rsidR="006C5985" w:rsidRPr="0067061C">
              <w:rPr>
                <w:b w:val="0"/>
                <w:bCs w:val="0"/>
              </w:rPr>
              <w:t xml:space="preserve"> funkcijas tiek papildinātas </w:t>
            </w:r>
            <w:r w:rsidRPr="0067061C">
              <w:rPr>
                <w:b w:val="0"/>
                <w:bCs w:val="0"/>
              </w:rPr>
              <w:t>atbilstoši</w:t>
            </w:r>
            <w:r w:rsidR="006C5985" w:rsidRPr="0067061C">
              <w:rPr>
                <w:b w:val="0"/>
              </w:rPr>
              <w:t xml:space="preserve"> Publiskas personas kapitāla daļu un kapitālsabiedrību pārvaldības likum</w:t>
            </w:r>
            <w:r w:rsidRPr="0067061C">
              <w:rPr>
                <w:b w:val="0"/>
              </w:rPr>
              <w:t>ā</w:t>
            </w:r>
            <w:r w:rsidR="006C5985" w:rsidRPr="0067061C">
              <w:rPr>
                <w:b w:val="0"/>
              </w:rPr>
              <w:t xml:space="preserve"> noteiktaj</w:t>
            </w:r>
            <w:r w:rsidRPr="0067061C">
              <w:rPr>
                <w:b w:val="0"/>
              </w:rPr>
              <w:t>a</w:t>
            </w:r>
            <w:r w:rsidR="006C5985" w:rsidRPr="0067061C">
              <w:rPr>
                <w:b w:val="0"/>
              </w:rPr>
              <w:t>m</w:t>
            </w:r>
            <w:r w:rsidRPr="0067061C">
              <w:rPr>
                <w:b w:val="0"/>
              </w:rPr>
              <w:t>.</w:t>
            </w:r>
            <w:r w:rsidR="006C5985" w:rsidRPr="0067061C">
              <w:rPr>
                <w:b w:val="0"/>
              </w:rPr>
              <w:t xml:space="preserve"> </w:t>
            </w:r>
          </w:p>
        </w:tc>
      </w:tr>
      <w:tr w:rsidR="0058350C" w:rsidRPr="0067061C" w:rsidTr="00AA4AD9">
        <w:trPr>
          <w:trHeight w:val="725"/>
          <w:jc w:val="center"/>
        </w:trPr>
        <w:tc>
          <w:tcPr>
            <w:tcW w:w="374" w:type="dxa"/>
          </w:tcPr>
          <w:p w:rsidR="0058350C" w:rsidRPr="0067061C" w:rsidRDefault="0058350C" w:rsidP="00AA4AD9">
            <w:pPr>
              <w:pStyle w:val="naisnod"/>
              <w:spacing w:before="0" w:after="120"/>
              <w:ind w:left="57" w:right="57"/>
              <w:jc w:val="left"/>
              <w:rPr>
                <w:b w:val="0"/>
              </w:rPr>
            </w:pPr>
            <w:r w:rsidRPr="0067061C">
              <w:rPr>
                <w:b w:val="0"/>
              </w:rPr>
              <w:t>3.</w:t>
            </w:r>
          </w:p>
        </w:tc>
        <w:tc>
          <w:tcPr>
            <w:tcW w:w="3595" w:type="dxa"/>
          </w:tcPr>
          <w:p w:rsidR="0058350C" w:rsidRPr="0067061C" w:rsidRDefault="0058350C" w:rsidP="00AA4AD9">
            <w:pPr>
              <w:pStyle w:val="naisf"/>
              <w:spacing w:before="0" w:after="0"/>
              <w:ind w:left="57" w:right="57" w:firstLine="0"/>
              <w:jc w:val="left"/>
            </w:pPr>
            <w:r w:rsidRPr="0067061C">
              <w:t>Projekta izpildes ietekme uz pārvaldes institucionālo struktūru.</w:t>
            </w:r>
          </w:p>
          <w:p w:rsidR="0058350C" w:rsidRPr="0067061C" w:rsidRDefault="0058350C" w:rsidP="00AA4AD9">
            <w:pPr>
              <w:pStyle w:val="naisf"/>
              <w:spacing w:before="0" w:after="0"/>
              <w:ind w:left="57" w:right="57" w:firstLine="0"/>
              <w:jc w:val="left"/>
            </w:pPr>
            <w:r w:rsidRPr="0067061C">
              <w:t>Jaunu institūciju izveide</w:t>
            </w:r>
          </w:p>
        </w:tc>
        <w:tc>
          <w:tcPr>
            <w:tcW w:w="6096" w:type="dxa"/>
          </w:tcPr>
          <w:p w:rsidR="0058350C" w:rsidRPr="0067061C" w:rsidRDefault="006C5985" w:rsidP="00AA4AD9">
            <w:pPr>
              <w:pStyle w:val="naisnod"/>
              <w:spacing w:before="0" w:after="120"/>
              <w:ind w:left="57" w:right="57"/>
              <w:jc w:val="both"/>
              <w:rPr>
                <w:b w:val="0"/>
              </w:rPr>
            </w:pPr>
            <w:r w:rsidRPr="0067061C">
              <w:rPr>
                <w:b w:val="0"/>
                <w:color w:val="000000"/>
              </w:rPr>
              <w:t>Jaunas institūcijas netiek veidotas</w:t>
            </w:r>
            <w:r w:rsidR="0077205F" w:rsidRPr="0067061C">
              <w:rPr>
                <w:b w:val="0"/>
                <w:color w:val="000000"/>
              </w:rPr>
              <w:t>.</w:t>
            </w:r>
          </w:p>
        </w:tc>
      </w:tr>
      <w:tr w:rsidR="0058350C" w:rsidRPr="0067061C" w:rsidTr="00AA4AD9">
        <w:trPr>
          <w:trHeight w:val="780"/>
          <w:jc w:val="center"/>
        </w:trPr>
        <w:tc>
          <w:tcPr>
            <w:tcW w:w="374" w:type="dxa"/>
          </w:tcPr>
          <w:p w:rsidR="0058350C" w:rsidRPr="0067061C" w:rsidRDefault="0058350C" w:rsidP="00AA4AD9">
            <w:pPr>
              <w:pStyle w:val="naisnod"/>
              <w:spacing w:before="0" w:after="120"/>
              <w:ind w:left="57" w:right="57"/>
              <w:jc w:val="left"/>
              <w:rPr>
                <w:b w:val="0"/>
              </w:rPr>
            </w:pPr>
            <w:r w:rsidRPr="0067061C">
              <w:rPr>
                <w:b w:val="0"/>
              </w:rPr>
              <w:t>4.</w:t>
            </w:r>
          </w:p>
        </w:tc>
        <w:tc>
          <w:tcPr>
            <w:tcW w:w="3595" w:type="dxa"/>
          </w:tcPr>
          <w:p w:rsidR="0058350C" w:rsidRPr="0067061C" w:rsidRDefault="0058350C" w:rsidP="00AA4AD9">
            <w:pPr>
              <w:pStyle w:val="naisf"/>
              <w:spacing w:before="0" w:after="0"/>
              <w:ind w:left="57" w:right="57" w:firstLine="0"/>
              <w:jc w:val="left"/>
            </w:pPr>
            <w:r w:rsidRPr="0067061C">
              <w:t>Projekta izpildes ietekme uz pārvaldes institucionālo struktūru.</w:t>
            </w:r>
          </w:p>
          <w:p w:rsidR="0058350C" w:rsidRPr="0067061C" w:rsidRDefault="0058350C" w:rsidP="00AA4AD9">
            <w:pPr>
              <w:pStyle w:val="naisf"/>
              <w:spacing w:before="0" w:after="0"/>
              <w:ind w:left="57" w:right="57" w:firstLine="0"/>
              <w:jc w:val="left"/>
            </w:pPr>
            <w:r w:rsidRPr="0067061C">
              <w:t>Esošu institūciju likvidācija</w:t>
            </w:r>
          </w:p>
        </w:tc>
        <w:tc>
          <w:tcPr>
            <w:tcW w:w="6096" w:type="dxa"/>
          </w:tcPr>
          <w:p w:rsidR="0058350C" w:rsidRPr="0067061C" w:rsidRDefault="006C5985" w:rsidP="00AA4AD9">
            <w:pPr>
              <w:pStyle w:val="naisnod"/>
              <w:spacing w:before="0" w:after="120"/>
              <w:ind w:left="57" w:right="57"/>
              <w:jc w:val="left"/>
              <w:rPr>
                <w:b w:val="0"/>
              </w:rPr>
            </w:pPr>
            <w:r w:rsidRPr="0067061C">
              <w:rPr>
                <w:b w:val="0"/>
                <w:color w:val="000000"/>
              </w:rPr>
              <w:t>Institūcijas netiek likvidētas</w:t>
            </w:r>
            <w:r w:rsidR="0077205F" w:rsidRPr="0067061C">
              <w:rPr>
                <w:b w:val="0"/>
                <w:color w:val="000000"/>
              </w:rPr>
              <w:t>.</w:t>
            </w:r>
          </w:p>
        </w:tc>
      </w:tr>
      <w:tr w:rsidR="0058350C" w:rsidRPr="0067061C" w:rsidTr="00AA4AD9">
        <w:trPr>
          <w:trHeight w:val="703"/>
          <w:jc w:val="center"/>
        </w:trPr>
        <w:tc>
          <w:tcPr>
            <w:tcW w:w="374" w:type="dxa"/>
          </w:tcPr>
          <w:p w:rsidR="0058350C" w:rsidRPr="0067061C" w:rsidRDefault="0058350C" w:rsidP="00AA4AD9">
            <w:pPr>
              <w:pStyle w:val="naisnod"/>
              <w:spacing w:before="0" w:after="120"/>
              <w:ind w:left="57" w:right="57"/>
              <w:jc w:val="left"/>
              <w:rPr>
                <w:b w:val="0"/>
              </w:rPr>
            </w:pPr>
            <w:r w:rsidRPr="0067061C">
              <w:rPr>
                <w:b w:val="0"/>
              </w:rPr>
              <w:t>5.</w:t>
            </w:r>
          </w:p>
        </w:tc>
        <w:tc>
          <w:tcPr>
            <w:tcW w:w="3595" w:type="dxa"/>
          </w:tcPr>
          <w:p w:rsidR="0058350C" w:rsidRPr="0067061C" w:rsidRDefault="0058350C" w:rsidP="00AA4AD9">
            <w:pPr>
              <w:pStyle w:val="naisf"/>
              <w:spacing w:before="0" w:after="0"/>
              <w:ind w:left="57" w:right="57" w:firstLine="0"/>
              <w:jc w:val="left"/>
            </w:pPr>
            <w:r w:rsidRPr="0067061C">
              <w:t>Projekta izpildes ietekme uz pārvaldes institucionālo struktūru.</w:t>
            </w:r>
          </w:p>
          <w:p w:rsidR="0058350C" w:rsidRPr="0067061C" w:rsidRDefault="0058350C" w:rsidP="00AA4AD9">
            <w:pPr>
              <w:pStyle w:val="naisf"/>
              <w:spacing w:before="0" w:after="0"/>
              <w:ind w:left="57" w:right="57" w:firstLine="0"/>
              <w:jc w:val="left"/>
            </w:pPr>
            <w:r w:rsidRPr="0067061C">
              <w:t>Esošu institūciju reorganizācija</w:t>
            </w:r>
          </w:p>
        </w:tc>
        <w:tc>
          <w:tcPr>
            <w:tcW w:w="6096" w:type="dxa"/>
          </w:tcPr>
          <w:p w:rsidR="0058350C" w:rsidRPr="0067061C" w:rsidRDefault="006C5985" w:rsidP="0077205F">
            <w:pPr>
              <w:pStyle w:val="naisnod"/>
              <w:spacing w:before="0" w:after="120"/>
              <w:ind w:left="57" w:right="57"/>
              <w:jc w:val="both"/>
              <w:rPr>
                <w:b w:val="0"/>
              </w:rPr>
            </w:pPr>
            <w:r w:rsidRPr="0067061C">
              <w:rPr>
                <w:b w:val="0"/>
                <w:color w:val="000000"/>
              </w:rPr>
              <w:t>Esoš</w:t>
            </w:r>
            <w:r w:rsidR="0077205F" w:rsidRPr="0067061C">
              <w:rPr>
                <w:b w:val="0"/>
                <w:color w:val="000000"/>
              </w:rPr>
              <w:t>ā</w:t>
            </w:r>
            <w:r w:rsidRPr="0067061C">
              <w:rPr>
                <w:b w:val="0"/>
                <w:color w:val="000000"/>
              </w:rPr>
              <w:t>s institūcijas netiek reorganizētas</w:t>
            </w:r>
            <w:r w:rsidR="00731514" w:rsidRPr="0067061C">
              <w:rPr>
                <w:b w:val="0"/>
                <w:color w:val="000000"/>
              </w:rPr>
              <w:t>.</w:t>
            </w:r>
          </w:p>
        </w:tc>
      </w:tr>
      <w:tr w:rsidR="0058350C" w:rsidRPr="0067061C" w:rsidTr="00AA4AD9">
        <w:trPr>
          <w:trHeight w:val="256"/>
          <w:jc w:val="center"/>
        </w:trPr>
        <w:tc>
          <w:tcPr>
            <w:tcW w:w="374" w:type="dxa"/>
          </w:tcPr>
          <w:p w:rsidR="0058350C" w:rsidRPr="0067061C" w:rsidRDefault="0058350C" w:rsidP="00AA4AD9">
            <w:pPr>
              <w:pStyle w:val="naiskr"/>
              <w:spacing w:before="0" w:after="120"/>
              <w:ind w:left="57" w:right="57"/>
            </w:pPr>
            <w:r w:rsidRPr="0067061C">
              <w:t>6.</w:t>
            </w:r>
          </w:p>
        </w:tc>
        <w:tc>
          <w:tcPr>
            <w:tcW w:w="3595" w:type="dxa"/>
          </w:tcPr>
          <w:p w:rsidR="0058350C" w:rsidRPr="0067061C" w:rsidRDefault="0058350C" w:rsidP="00AA4AD9">
            <w:pPr>
              <w:pStyle w:val="naiskr"/>
              <w:spacing w:before="0" w:after="120"/>
              <w:ind w:left="57" w:right="57"/>
            </w:pPr>
            <w:r w:rsidRPr="0067061C">
              <w:t>Cita informācija</w:t>
            </w:r>
          </w:p>
        </w:tc>
        <w:tc>
          <w:tcPr>
            <w:tcW w:w="6096" w:type="dxa"/>
          </w:tcPr>
          <w:p w:rsidR="0058350C" w:rsidRPr="0067061C" w:rsidRDefault="0058350C" w:rsidP="00AA4AD9">
            <w:pPr>
              <w:pStyle w:val="naiskr"/>
              <w:spacing w:before="0" w:after="120"/>
              <w:ind w:left="57" w:right="57"/>
            </w:pPr>
            <w:r w:rsidRPr="0067061C">
              <w:t>Nav</w:t>
            </w:r>
          </w:p>
        </w:tc>
      </w:tr>
    </w:tbl>
    <w:p w:rsidR="0067061C" w:rsidRPr="0067061C" w:rsidRDefault="0067061C" w:rsidP="0067061C">
      <w:pPr>
        <w:pStyle w:val="naisf"/>
        <w:spacing w:before="0" w:after="0"/>
        <w:ind w:firstLine="0"/>
        <w:rPr>
          <w:i/>
          <w:color w:val="000000"/>
        </w:rPr>
      </w:pPr>
    </w:p>
    <w:p w:rsidR="0067061C" w:rsidRPr="0067061C" w:rsidRDefault="0067061C" w:rsidP="0067061C">
      <w:pPr>
        <w:pStyle w:val="naisf"/>
        <w:spacing w:before="0" w:after="0"/>
        <w:ind w:firstLine="0"/>
        <w:rPr>
          <w:i/>
          <w:color w:val="000000"/>
        </w:rPr>
      </w:pPr>
      <w:r w:rsidRPr="0067061C">
        <w:rPr>
          <w:i/>
          <w:color w:val="000000"/>
        </w:rPr>
        <w:t xml:space="preserve">Anotācijas </w:t>
      </w:r>
      <w:r w:rsidRPr="0067061C">
        <w:rPr>
          <w:i/>
        </w:rPr>
        <w:t xml:space="preserve">II, </w:t>
      </w:r>
      <w:r w:rsidRPr="0067061C">
        <w:rPr>
          <w:i/>
          <w:color w:val="000000"/>
        </w:rPr>
        <w:t xml:space="preserve">IV, V un VI sadaļa – projekts šo jomu neskar. </w:t>
      </w:r>
    </w:p>
    <w:p w:rsidR="0058350C" w:rsidRPr="0067061C" w:rsidRDefault="0058350C" w:rsidP="0058350C">
      <w:pPr>
        <w:pStyle w:val="NoSpacing"/>
        <w:tabs>
          <w:tab w:val="left" w:pos="6804"/>
        </w:tabs>
        <w:rPr>
          <w:rFonts w:ascii="Times New Roman" w:hAnsi="Times New Roman"/>
          <w:sz w:val="24"/>
          <w:szCs w:val="24"/>
        </w:rPr>
      </w:pPr>
    </w:p>
    <w:p w:rsidR="003E21E4" w:rsidRDefault="003E21E4" w:rsidP="0058350C">
      <w:pPr>
        <w:pStyle w:val="NoSpacing"/>
        <w:tabs>
          <w:tab w:val="left" w:pos="6804"/>
        </w:tabs>
        <w:rPr>
          <w:rFonts w:ascii="Times New Roman" w:hAnsi="Times New Roman"/>
          <w:sz w:val="24"/>
          <w:szCs w:val="24"/>
        </w:rPr>
      </w:pPr>
    </w:p>
    <w:p w:rsidR="0058350C" w:rsidRPr="0067061C" w:rsidRDefault="006C5985" w:rsidP="0058350C">
      <w:pPr>
        <w:pStyle w:val="NoSpacing"/>
        <w:tabs>
          <w:tab w:val="left" w:pos="6804"/>
        </w:tabs>
        <w:rPr>
          <w:rFonts w:ascii="Times New Roman" w:hAnsi="Times New Roman"/>
          <w:sz w:val="24"/>
          <w:szCs w:val="24"/>
        </w:rPr>
      </w:pPr>
      <w:r w:rsidRPr="0067061C">
        <w:rPr>
          <w:rFonts w:ascii="Times New Roman" w:hAnsi="Times New Roman"/>
          <w:sz w:val="24"/>
          <w:szCs w:val="24"/>
        </w:rPr>
        <w:t>Ministru prezidente</w:t>
      </w:r>
      <w:r w:rsidR="0058350C" w:rsidRPr="0067061C">
        <w:rPr>
          <w:rFonts w:ascii="Times New Roman" w:hAnsi="Times New Roman"/>
          <w:sz w:val="24"/>
          <w:szCs w:val="24"/>
        </w:rPr>
        <w:tab/>
      </w:r>
      <w:r w:rsidRPr="0067061C">
        <w:rPr>
          <w:rFonts w:ascii="Times New Roman" w:hAnsi="Times New Roman"/>
          <w:sz w:val="24"/>
          <w:szCs w:val="24"/>
        </w:rPr>
        <w:t>L.Straujuma</w:t>
      </w:r>
    </w:p>
    <w:p w:rsidR="003E21E4" w:rsidRDefault="003E21E4" w:rsidP="0058350C">
      <w:pPr>
        <w:pStyle w:val="NoSpacing"/>
        <w:tabs>
          <w:tab w:val="left" w:pos="6804"/>
        </w:tabs>
        <w:rPr>
          <w:rFonts w:ascii="Times New Roman" w:hAnsi="Times New Roman"/>
          <w:sz w:val="24"/>
          <w:szCs w:val="24"/>
        </w:rPr>
      </w:pPr>
    </w:p>
    <w:p w:rsidR="003E21E4" w:rsidRDefault="003E21E4" w:rsidP="0058350C">
      <w:pPr>
        <w:pStyle w:val="NoSpacing"/>
        <w:tabs>
          <w:tab w:val="left" w:pos="6804"/>
        </w:tabs>
        <w:rPr>
          <w:rFonts w:ascii="Times New Roman" w:hAnsi="Times New Roman"/>
          <w:sz w:val="24"/>
          <w:szCs w:val="24"/>
        </w:rPr>
      </w:pPr>
    </w:p>
    <w:p w:rsidR="003E21E4" w:rsidRDefault="003E21E4" w:rsidP="0058350C">
      <w:pPr>
        <w:pStyle w:val="NoSpacing"/>
        <w:tabs>
          <w:tab w:val="left" w:pos="6804"/>
        </w:tabs>
        <w:rPr>
          <w:rFonts w:ascii="Times New Roman" w:hAnsi="Times New Roman"/>
          <w:sz w:val="24"/>
          <w:szCs w:val="24"/>
        </w:rPr>
      </w:pPr>
    </w:p>
    <w:p w:rsidR="0058350C" w:rsidRPr="0067061C" w:rsidRDefault="0058350C" w:rsidP="0058350C">
      <w:pPr>
        <w:pStyle w:val="NoSpacing"/>
        <w:tabs>
          <w:tab w:val="left" w:pos="6804"/>
        </w:tabs>
        <w:rPr>
          <w:rFonts w:ascii="Times New Roman" w:hAnsi="Times New Roman"/>
          <w:sz w:val="24"/>
          <w:szCs w:val="24"/>
        </w:rPr>
      </w:pPr>
      <w:r w:rsidRPr="0067061C">
        <w:rPr>
          <w:rFonts w:ascii="Times New Roman" w:hAnsi="Times New Roman"/>
          <w:sz w:val="24"/>
          <w:szCs w:val="24"/>
        </w:rPr>
        <w:t>Vīza:</w:t>
      </w:r>
    </w:p>
    <w:p w:rsidR="0058350C" w:rsidRPr="0067061C" w:rsidRDefault="0058350C" w:rsidP="0058350C">
      <w:pPr>
        <w:pStyle w:val="NoSpacing"/>
        <w:tabs>
          <w:tab w:val="left" w:pos="6804"/>
        </w:tabs>
        <w:rPr>
          <w:rFonts w:ascii="Times New Roman" w:hAnsi="Times New Roman"/>
          <w:sz w:val="24"/>
          <w:szCs w:val="24"/>
        </w:rPr>
      </w:pPr>
      <w:proofErr w:type="spellStart"/>
      <w:r w:rsidRPr="0067061C">
        <w:rPr>
          <w:rFonts w:ascii="Times New Roman" w:hAnsi="Times New Roman"/>
          <w:sz w:val="24"/>
          <w:szCs w:val="24"/>
        </w:rPr>
        <w:t>Pārresoru</w:t>
      </w:r>
      <w:proofErr w:type="spellEnd"/>
      <w:r w:rsidRPr="0067061C">
        <w:rPr>
          <w:rFonts w:ascii="Times New Roman" w:hAnsi="Times New Roman"/>
          <w:sz w:val="24"/>
          <w:szCs w:val="24"/>
        </w:rPr>
        <w:t xml:space="preserve"> koordinācijas centra vadītājs</w:t>
      </w:r>
      <w:r w:rsidRPr="0067061C">
        <w:rPr>
          <w:rFonts w:ascii="Times New Roman" w:hAnsi="Times New Roman"/>
          <w:sz w:val="24"/>
          <w:szCs w:val="24"/>
        </w:rPr>
        <w:tab/>
        <w:t>P.Vilks</w:t>
      </w:r>
    </w:p>
    <w:p w:rsidR="0058350C" w:rsidRPr="0067061C" w:rsidRDefault="0058350C" w:rsidP="0058350C">
      <w:pPr>
        <w:pStyle w:val="NoSpacing"/>
        <w:tabs>
          <w:tab w:val="left" w:pos="6804"/>
        </w:tabs>
        <w:rPr>
          <w:rFonts w:ascii="Times New Roman" w:hAnsi="Times New Roman"/>
          <w:sz w:val="24"/>
          <w:szCs w:val="24"/>
        </w:rPr>
      </w:pPr>
    </w:p>
    <w:p w:rsidR="00592366" w:rsidRPr="0067061C" w:rsidRDefault="00592366" w:rsidP="0058350C">
      <w:pPr>
        <w:pStyle w:val="NoSpacing"/>
        <w:tabs>
          <w:tab w:val="left" w:pos="6804"/>
        </w:tabs>
        <w:rPr>
          <w:rFonts w:ascii="Times New Roman" w:hAnsi="Times New Roman"/>
          <w:sz w:val="24"/>
          <w:szCs w:val="24"/>
        </w:rPr>
      </w:pPr>
    </w:p>
    <w:p w:rsidR="00592366" w:rsidRPr="0067061C" w:rsidRDefault="00592366" w:rsidP="0058350C">
      <w:pPr>
        <w:pStyle w:val="NoSpacing"/>
        <w:tabs>
          <w:tab w:val="left" w:pos="6804"/>
        </w:tabs>
        <w:rPr>
          <w:rFonts w:ascii="Times New Roman" w:hAnsi="Times New Roman"/>
          <w:sz w:val="20"/>
          <w:szCs w:val="20"/>
        </w:rPr>
      </w:pPr>
    </w:p>
    <w:p w:rsidR="0058350C" w:rsidRPr="0067061C" w:rsidRDefault="0058350C" w:rsidP="0058350C">
      <w:pPr>
        <w:pStyle w:val="NoSpacing"/>
        <w:tabs>
          <w:tab w:val="left" w:pos="6804"/>
        </w:tabs>
        <w:rPr>
          <w:rFonts w:ascii="Times New Roman" w:hAnsi="Times New Roman"/>
          <w:sz w:val="20"/>
          <w:szCs w:val="20"/>
        </w:rPr>
      </w:pPr>
      <w:r w:rsidRPr="0067061C">
        <w:rPr>
          <w:rFonts w:ascii="Times New Roman" w:hAnsi="Times New Roman"/>
          <w:sz w:val="20"/>
          <w:szCs w:val="20"/>
        </w:rPr>
        <w:fldChar w:fldCharType="begin"/>
      </w:r>
      <w:r w:rsidRPr="0067061C">
        <w:rPr>
          <w:rFonts w:ascii="Times New Roman" w:hAnsi="Times New Roman"/>
          <w:sz w:val="20"/>
          <w:szCs w:val="20"/>
        </w:rPr>
        <w:instrText xml:space="preserve"> TIME \@ "yyyy.MM.dd. H:mm" </w:instrText>
      </w:r>
      <w:r w:rsidRPr="0067061C">
        <w:rPr>
          <w:rFonts w:ascii="Times New Roman" w:hAnsi="Times New Roman"/>
          <w:sz w:val="20"/>
          <w:szCs w:val="20"/>
        </w:rPr>
        <w:fldChar w:fldCharType="separate"/>
      </w:r>
      <w:r w:rsidR="00DF48B7">
        <w:rPr>
          <w:rFonts w:ascii="Times New Roman" w:hAnsi="Times New Roman"/>
          <w:noProof/>
          <w:sz w:val="20"/>
          <w:szCs w:val="20"/>
        </w:rPr>
        <w:t>2015.04.13. 15:43</w:t>
      </w:r>
      <w:r w:rsidRPr="0067061C">
        <w:rPr>
          <w:rFonts w:ascii="Times New Roman" w:hAnsi="Times New Roman"/>
          <w:sz w:val="20"/>
          <w:szCs w:val="20"/>
        </w:rPr>
        <w:fldChar w:fldCharType="end"/>
      </w:r>
    </w:p>
    <w:p w:rsidR="0058350C" w:rsidRPr="0067061C" w:rsidRDefault="005C0D1D" w:rsidP="0058350C">
      <w:pPr>
        <w:pStyle w:val="NoSpacing"/>
        <w:tabs>
          <w:tab w:val="left" w:pos="6804"/>
        </w:tabs>
        <w:rPr>
          <w:rFonts w:ascii="Times New Roman" w:hAnsi="Times New Roman"/>
          <w:sz w:val="20"/>
          <w:szCs w:val="20"/>
        </w:rPr>
      </w:pPr>
      <w:r>
        <w:rPr>
          <w:rFonts w:ascii="Times New Roman" w:hAnsi="Times New Roman"/>
          <w:sz w:val="20"/>
          <w:szCs w:val="20"/>
        </w:rPr>
        <w:t>810</w:t>
      </w:r>
    </w:p>
    <w:p w:rsidR="0058350C" w:rsidRPr="0067061C" w:rsidRDefault="00B07CD8" w:rsidP="0058350C">
      <w:pPr>
        <w:pStyle w:val="NoSpacing"/>
        <w:tabs>
          <w:tab w:val="left" w:pos="6804"/>
        </w:tabs>
        <w:rPr>
          <w:rFonts w:ascii="Times New Roman" w:hAnsi="Times New Roman"/>
          <w:sz w:val="20"/>
          <w:szCs w:val="20"/>
        </w:rPr>
      </w:pPr>
      <w:r w:rsidRPr="0067061C">
        <w:rPr>
          <w:rFonts w:ascii="Times New Roman" w:hAnsi="Times New Roman"/>
          <w:sz w:val="20"/>
          <w:szCs w:val="20"/>
        </w:rPr>
        <w:t>V.Vesperis, 67082812</w:t>
      </w:r>
    </w:p>
    <w:p w:rsidR="00DC1B7D" w:rsidRPr="0067061C" w:rsidRDefault="00DF48B7" w:rsidP="003E21E4">
      <w:pPr>
        <w:pStyle w:val="NoSpacing"/>
        <w:tabs>
          <w:tab w:val="left" w:pos="6804"/>
        </w:tabs>
      </w:pPr>
      <w:hyperlink r:id="rId9" w:history="1">
        <w:r w:rsidR="00B07CD8" w:rsidRPr="0067061C">
          <w:rPr>
            <w:rStyle w:val="Hyperlink"/>
            <w:rFonts w:ascii="Times New Roman" w:hAnsi="Times New Roman"/>
            <w:sz w:val="20"/>
            <w:szCs w:val="20"/>
          </w:rPr>
          <w:t>vladislavs.vesperis@pkc.mk.gov.lv</w:t>
        </w:r>
      </w:hyperlink>
    </w:p>
    <w:sectPr w:rsidR="00DC1B7D" w:rsidRPr="0067061C" w:rsidSect="00616953">
      <w:headerReference w:type="even" r:id="rId10"/>
      <w:headerReference w:type="default" r:id="rId11"/>
      <w:footerReference w:type="default" r:id="rId12"/>
      <w:footerReference w:type="first" r:id="rId13"/>
      <w:pgSz w:w="11906" w:h="16838" w:code="9"/>
      <w:pgMar w:top="993" w:right="127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A2" w:rsidRDefault="00611AA2">
      <w:r>
        <w:separator/>
      </w:r>
    </w:p>
  </w:endnote>
  <w:endnote w:type="continuationSeparator" w:id="0">
    <w:p w:rsidR="00611AA2" w:rsidRDefault="0061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D8" w:rsidRPr="00353DA8" w:rsidRDefault="0058350C" w:rsidP="0067061C">
    <w:pPr>
      <w:jc w:val="both"/>
      <w:rPr>
        <w:bCs/>
        <w:sz w:val="20"/>
        <w:szCs w:val="20"/>
      </w:rPr>
    </w:pPr>
    <w:r w:rsidRPr="000708BA">
      <w:rPr>
        <w:color w:val="000000"/>
        <w:sz w:val="20"/>
        <w:szCs w:val="20"/>
      </w:rPr>
      <w:t>PKCAnot_</w:t>
    </w:r>
    <w:r w:rsidR="008F7247">
      <w:rPr>
        <w:color w:val="000000"/>
        <w:sz w:val="20"/>
        <w:szCs w:val="20"/>
      </w:rPr>
      <w:t>13</w:t>
    </w:r>
    <w:r w:rsidR="0067061C">
      <w:rPr>
        <w:color w:val="000000"/>
        <w:sz w:val="20"/>
        <w:szCs w:val="20"/>
      </w:rPr>
      <w:t>042015_PKC</w:t>
    </w:r>
    <w:r w:rsidR="00B07CD8">
      <w:rPr>
        <w:color w:val="000000"/>
        <w:sz w:val="20"/>
        <w:szCs w:val="20"/>
      </w:rPr>
      <w:t>nolikums</w:t>
    </w:r>
    <w:r w:rsidRPr="000708BA">
      <w:rPr>
        <w:color w:val="000000"/>
        <w:sz w:val="20"/>
        <w:szCs w:val="20"/>
      </w:rPr>
      <w:t xml:space="preserve">; </w:t>
    </w:r>
    <w:bookmarkStart w:id="3" w:name="OLE_LINK1"/>
    <w:bookmarkStart w:id="4" w:name="OLE_LINK2"/>
    <w:bookmarkStart w:id="5" w:name="OLE_LINK3"/>
    <w:bookmarkStart w:id="6" w:name="OLE_LINK4"/>
    <w:bookmarkStart w:id="7" w:name="_Hlk300145984"/>
    <w:r w:rsidR="00B07CD8" w:rsidRPr="00353DA8">
      <w:rPr>
        <w:sz w:val="20"/>
        <w:szCs w:val="20"/>
      </w:rPr>
      <w:t>Mini</w:t>
    </w:r>
    <w:r w:rsidR="00B07CD8">
      <w:rPr>
        <w:sz w:val="20"/>
        <w:szCs w:val="20"/>
      </w:rPr>
      <w:t>stru kabineta noteikumu projekta</w:t>
    </w:r>
    <w:r w:rsidR="00B07CD8" w:rsidRPr="00353DA8">
      <w:rPr>
        <w:sz w:val="20"/>
        <w:szCs w:val="20"/>
      </w:rPr>
      <w:t xml:space="preserve"> </w:t>
    </w:r>
    <w:bookmarkEnd w:id="3"/>
    <w:bookmarkEnd w:id="4"/>
    <w:bookmarkEnd w:id="5"/>
    <w:bookmarkEnd w:id="6"/>
    <w:bookmarkEnd w:id="7"/>
    <w:r w:rsidR="00B07CD8" w:rsidRPr="00353DA8">
      <w:rPr>
        <w:bCs/>
        <w:sz w:val="20"/>
        <w:szCs w:val="20"/>
      </w:rPr>
      <w:t xml:space="preserve">„Grozījumi Ministru kabineta </w:t>
    </w:r>
  </w:p>
  <w:p w:rsidR="00616953" w:rsidRPr="000708BA" w:rsidRDefault="00B07CD8" w:rsidP="0067061C">
    <w:pPr>
      <w:jc w:val="both"/>
      <w:rPr>
        <w:sz w:val="20"/>
        <w:szCs w:val="20"/>
      </w:rPr>
    </w:pPr>
    <w:r w:rsidRPr="00353DA8">
      <w:rPr>
        <w:sz w:val="20"/>
        <w:szCs w:val="20"/>
      </w:rPr>
      <w:t xml:space="preserve">2011.gada 19.oktobra </w:t>
    </w:r>
    <w:r w:rsidRPr="00353DA8">
      <w:rPr>
        <w:bCs/>
        <w:sz w:val="20"/>
        <w:szCs w:val="20"/>
      </w:rPr>
      <w:t>noteikumos Nr.815 „</w:t>
    </w:r>
    <w:proofErr w:type="spellStart"/>
    <w:r w:rsidRPr="00353DA8">
      <w:rPr>
        <w:sz w:val="20"/>
        <w:szCs w:val="20"/>
      </w:rPr>
      <w:t>Pārresoru</w:t>
    </w:r>
    <w:proofErr w:type="spellEnd"/>
    <w:r w:rsidRPr="00353DA8">
      <w:rPr>
        <w:sz w:val="20"/>
        <w:szCs w:val="20"/>
      </w:rPr>
      <w:t xml:space="preserve"> koordinācijas centra </w:t>
    </w:r>
    <w:r>
      <w:rPr>
        <w:color w:val="000000"/>
        <w:sz w:val="20"/>
        <w:szCs w:val="20"/>
      </w:rPr>
      <w:t>nolikums”</w:t>
    </w:r>
    <w:r w:rsidRPr="00353DA8">
      <w:rPr>
        <w:color w:val="000000"/>
        <w:sz w:val="20"/>
        <w:szCs w:val="20"/>
      </w:rPr>
      <w:t>”</w:t>
    </w:r>
    <w:r w:rsidR="0067061C">
      <w:rPr>
        <w:color w:val="000000"/>
        <w:sz w:val="20"/>
        <w:szCs w:val="20"/>
      </w:rPr>
      <w:t xml:space="preserve"> </w:t>
    </w:r>
    <w:r w:rsidR="0058350C" w:rsidRPr="000708BA">
      <w:rPr>
        <w:color w:val="000000"/>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1E4" w:rsidRPr="00353DA8" w:rsidRDefault="003E21E4" w:rsidP="003E21E4">
    <w:pPr>
      <w:jc w:val="both"/>
      <w:rPr>
        <w:bCs/>
        <w:sz w:val="20"/>
        <w:szCs w:val="20"/>
      </w:rPr>
    </w:pPr>
    <w:r w:rsidRPr="000708BA">
      <w:rPr>
        <w:color w:val="000000"/>
        <w:sz w:val="20"/>
        <w:szCs w:val="20"/>
      </w:rPr>
      <w:t>PKCAnot_</w:t>
    </w:r>
    <w:r w:rsidR="008F7247">
      <w:rPr>
        <w:color w:val="000000"/>
        <w:sz w:val="20"/>
        <w:szCs w:val="20"/>
      </w:rPr>
      <w:t>13</w:t>
    </w:r>
    <w:r>
      <w:rPr>
        <w:color w:val="000000"/>
        <w:sz w:val="20"/>
        <w:szCs w:val="20"/>
      </w:rPr>
      <w:t>042015_PKCnolikums</w:t>
    </w:r>
    <w:r w:rsidRPr="000708BA">
      <w:rPr>
        <w:color w:val="000000"/>
        <w:sz w:val="20"/>
        <w:szCs w:val="20"/>
      </w:rPr>
      <w:t xml:space="preserve">; </w:t>
    </w:r>
    <w:r w:rsidRPr="00353DA8">
      <w:rPr>
        <w:sz w:val="20"/>
        <w:szCs w:val="20"/>
      </w:rPr>
      <w:t>Mini</w:t>
    </w:r>
    <w:r>
      <w:rPr>
        <w:sz w:val="20"/>
        <w:szCs w:val="20"/>
      </w:rPr>
      <w:t>stru kabineta noteikumu projekta</w:t>
    </w:r>
    <w:r w:rsidRPr="00353DA8">
      <w:rPr>
        <w:sz w:val="20"/>
        <w:szCs w:val="20"/>
      </w:rPr>
      <w:t xml:space="preserve"> </w:t>
    </w:r>
    <w:r w:rsidRPr="00353DA8">
      <w:rPr>
        <w:bCs/>
        <w:sz w:val="20"/>
        <w:szCs w:val="20"/>
      </w:rPr>
      <w:t xml:space="preserve">„Grozījumi Ministru kabineta </w:t>
    </w:r>
  </w:p>
  <w:p w:rsidR="003E21E4" w:rsidRPr="000708BA" w:rsidRDefault="003E21E4" w:rsidP="003E21E4">
    <w:pPr>
      <w:jc w:val="both"/>
      <w:rPr>
        <w:sz w:val="20"/>
        <w:szCs w:val="20"/>
      </w:rPr>
    </w:pPr>
    <w:proofErr w:type="gramStart"/>
    <w:r w:rsidRPr="00353DA8">
      <w:rPr>
        <w:sz w:val="20"/>
        <w:szCs w:val="20"/>
      </w:rPr>
      <w:t>2011.gada</w:t>
    </w:r>
    <w:proofErr w:type="gramEnd"/>
    <w:r w:rsidRPr="00353DA8">
      <w:rPr>
        <w:sz w:val="20"/>
        <w:szCs w:val="20"/>
      </w:rPr>
      <w:t xml:space="preserve"> 19.oktobra </w:t>
    </w:r>
    <w:r w:rsidRPr="00353DA8">
      <w:rPr>
        <w:bCs/>
        <w:sz w:val="20"/>
        <w:szCs w:val="20"/>
      </w:rPr>
      <w:t>noteikumos Nr.815 „</w:t>
    </w:r>
    <w:proofErr w:type="spellStart"/>
    <w:r w:rsidRPr="00353DA8">
      <w:rPr>
        <w:sz w:val="20"/>
        <w:szCs w:val="20"/>
      </w:rPr>
      <w:t>Pārresoru</w:t>
    </w:r>
    <w:proofErr w:type="spellEnd"/>
    <w:r w:rsidRPr="00353DA8">
      <w:rPr>
        <w:sz w:val="20"/>
        <w:szCs w:val="20"/>
      </w:rPr>
      <w:t xml:space="preserve"> koordinācijas centra </w:t>
    </w:r>
    <w:r>
      <w:rPr>
        <w:color w:val="000000"/>
        <w:sz w:val="20"/>
        <w:szCs w:val="20"/>
      </w:rPr>
      <w:t>nolikums”</w:t>
    </w:r>
    <w:r w:rsidRPr="00353DA8">
      <w:rPr>
        <w:color w:val="000000"/>
        <w:sz w:val="20"/>
        <w:szCs w:val="20"/>
      </w:rPr>
      <w:t>”</w:t>
    </w:r>
    <w:r>
      <w:rPr>
        <w:color w:val="000000"/>
        <w:sz w:val="20"/>
        <w:szCs w:val="20"/>
      </w:rPr>
      <w:t xml:space="preserve"> </w:t>
    </w:r>
    <w:r w:rsidRPr="000708BA">
      <w:rPr>
        <w:color w:val="000000"/>
        <w:sz w:val="20"/>
        <w:szCs w:val="20"/>
      </w:rPr>
      <w:t>sākotnējās ietekmes novērtējuma ziņojums (anotācija)</w:t>
    </w:r>
  </w:p>
  <w:p w:rsidR="00616953" w:rsidRPr="003E21E4" w:rsidRDefault="00DF48B7" w:rsidP="003E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A2" w:rsidRDefault="00611AA2">
      <w:r>
        <w:separator/>
      </w:r>
    </w:p>
  </w:footnote>
  <w:footnote w:type="continuationSeparator" w:id="0">
    <w:p w:rsidR="00611AA2" w:rsidRDefault="00611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53" w:rsidRDefault="0058350C" w:rsidP="006169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953" w:rsidRDefault="00DF4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53" w:rsidRDefault="0058350C" w:rsidP="006169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8B7">
      <w:rPr>
        <w:rStyle w:val="PageNumber"/>
        <w:noProof/>
      </w:rPr>
      <w:t>2</w:t>
    </w:r>
    <w:r>
      <w:rPr>
        <w:rStyle w:val="PageNumber"/>
      </w:rPr>
      <w:fldChar w:fldCharType="end"/>
    </w:r>
  </w:p>
  <w:p w:rsidR="00616953" w:rsidRDefault="00DF4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CBB"/>
    <w:multiLevelType w:val="hybridMultilevel"/>
    <w:tmpl w:val="5FD83878"/>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CC023BD"/>
    <w:multiLevelType w:val="hybridMultilevel"/>
    <w:tmpl w:val="1182F76A"/>
    <w:lvl w:ilvl="0" w:tplc="47AE673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536041CF"/>
    <w:multiLevelType w:val="hybridMultilevel"/>
    <w:tmpl w:val="0102EBB4"/>
    <w:lvl w:ilvl="0" w:tplc="05C832E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6CB3581"/>
    <w:multiLevelType w:val="hybridMultilevel"/>
    <w:tmpl w:val="462094DA"/>
    <w:lvl w:ilvl="0" w:tplc="F0D489C6">
      <w:start w:val="1"/>
      <w:numFmt w:val="decimal"/>
      <w:lvlText w:val="%1)"/>
      <w:lvlJc w:val="left"/>
      <w:pPr>
        <w:ind w:left="720" w:hanging="360"/>
      </w:pPr>
      <w:rPr>
        <w:rFonts w:ascii="Times New Roman" w:eastAsiaTheme="minorEastAsia"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6585DD5"/>
    <w:multiLevelType w:val="hybridMultilevel"/>
    <w:tmpl w:val="EEA613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0C"/>
    <w:rsid w:val="00022E63"/>
    <w:rsid w:val="00061F6A"/>
    <w:rsid w:val="000E5B29"/>
    <w:rsid w:val="0011056E"/>
    <w:rsid w:val="001D6042"/>
    <w:rsid w:val="00243205"/>
    <w:rsid w:val="00251A94"/>
    <w:rsid w:val="003E21E4"/>
    <w:rsid w:val="00571987"/>
    <w:rsid w:val="0058350C"/>
    <w:rsid w:val="00592366"/>
    <w:rsid w:val="00597389"/>
    <w:rsid w:val="005C0D1D"/>
    <w:rsid w:val="00611AA2"/>
    <w:rsid w:val="00636C4C"/>
    <w:rsid w:val="00650999"/>
    <w:rsid w:val="0067061C"/>
    <w:rsid w:val="00697D3C"/>
    <w:rsid w:val="006C5985"/>
    <w:rsid w:val="00731514"/>
    <w:rsid w:val="007448A3"/>
    <w:rsid w:val="0077205F"/>
    <w:rsid w:val="007E0F41"/>
    <w:rsid w:val="00862CD1"/>
    <w:rsid w:val="008810F6"/>
    <w:rsid w:val="008A0BD3"/>
    <w:rsid w:val="008F7247"/>
    <w:rsid w:val="0097289B"/>
    <w:rsid w:val="009B28EF"/>
    <w:rsid w:val="00B07CD8"/>
    <w:rsid w:val="00BE7B81"/>
    <w:rsid w:val="00C92357"/>
    <w:rsid w:val="00CB5AFA"/>
    <w:rsid w:val="00CF7AE3"/>
    <w:rsid w:val="00D7455F"/>
    <w:rsid w:val="00D976E6"/>
    <w:rsid w:val="00DC1B7D"/>
    <w:rsid w:val="00DE31A0"/>
    <w:rsid w:val="00DF48B7"/>
    <w:rsid w:val="00E15A29"/>
    <w:rsid w:val="00EB4389"/>
    <w:rsid w:val="00E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0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350C"/>
    <w:pPr>
      <w:tabs>
        <w:tab w:val="center" w:pos="4153"/>
        <w:tab w:val="right" w:pos="8306"/>
      </w:tabs>
    </w:pPr>
  </w:style>
  <w:style w:type="character" w:customStyle="1" w:styleId="HeaderChar">
    <w:name w:val="Header Char"/>
    <w:basedOn w:val="DefaultParagraphFont"/>
    <w:link w:val="Header"/>
    <w:rsid w:val="0058350C"/>
    <w:rPr>
      <w:rFonts w:ascii="Times New Roman" w:eastAsia="Times New Roman" w:hAnsi="Times New Roman" w:cs="Times New Roman"/>
      <w:sz w:val="24"/>
      <w:szCs w:val="24"/>
      <w:lang w:val="lv-LV" w:eastAsia="lv-LV"/>
    </w:rPr>
  </w:style>
  <w:style w:type="character" w:styleId="PageNumber">
    <w:name w:val="page number"/>
    <w:basedOn w:val="DefaultParagraphFont"/>
    <w:rsid w:val="0058350C"/>
  </w:style>
  <w:style w:type="paragraph" w:customStyle="1" w:styleId="naisf">
    <w:name w:val="naisf"/>
    <w:basedOn w:val="Normal"/>
    <w:rsid w:val="0058350C"/>
    <w:pPr>
      <w:spacing w:before="75" w:after="75"/>
      <w:ind w:firstLine="375"/>
      <w:jc w:val="both"/>
    </w:pPr>
  </w:style>
  <w:style w:type="paragraph" w:customStyle="1" w:styleId="naisnod">
    <w:name w:val="naisnod"/>
    <w:basedOn w:val="Normal"/>
    <w:rsid w:val="0058350C"/>
    <w:pPr>
      <w:spacing w:before="150" w:after="150"/>
      <w:jc w:val="center"/>
    </w:pPr>
    <w:rPr>
      <w:b/>
      <w:bCs/>
    </w:rPr>
  </w:style>
  <w:style w:type="paragraph" w:customStyle="1" w:styleId="naiskr">
    <w:name w:val="naiskr"/>
    <w:basedOn w:val="Normal"/>
    <w:rsid w:val="0058350C"/>
    <w:pPr>
      <w:spacing w:before="75" w:after="75"/>
    </w:pPr>
  </w:style>
  <w:style w:type="paragraph" w:styleId="NoSpacing">
    <w:name w:val="No Spacing"/>
    <w:uiPriority w:val="1"/>
    <w:qFormat/>
    <w:rsid w:val="0058350C"/>
    <w:pPr>
      <w:spacing w:after="0" w:line="240" w:lineRule="auto"/>
    </w:pPr>
    <w:rPr>
      <w:rFonts w:ascii="Calibri" w:eastAsia="Calibri" w:hAnsi="Calibri" w:cs="Times New Roman"/>
      <w:lang w:val="lv-LV"/>
    </w:rPr>
  </w:style>
  <w:style w:type="paragraph" w:styleId="NormalWeb">
    <w:name w:val="Normal (Web)"/>
    <w:basedOn w:val="Normal"/>
    <w:uiPriority w:val="99"/>
    <w:unhideWhenUsed/>
    <w:rsid w:val="0058350C"/>
    <w:pPr>
      <w:spacing w:before="100" w:beforeAutospacing="1" w:after="100" w:afterAutospacing="1"/>
    </w:pPr>
    <w:rPr>
      <w:rFonts w:ascii="Verdana" w:hAnsi="Verdana"/>
      <w:sz w:val="14"/>
      <w:szCs w:val="14"/>
    </w:rPr>
  </w:style>
  <w:style w:type="paragraph" w:styleId="Footer">
    <w:name w:val="footer"/>
    <w:basedOn w:val="Normal"/>
    <w:link w:val="FooterChar"/>
    <w:uiPriority w:val="99"/>
    <w:unhideWhenUsed/>
    <w:rsid w:val="0058350C"/>
    <w:pPr>
      <w:tabs>
        <w:tab w:val="center" w:pos="4153"/>
        <w:tab w:val="right" w:pos="8306"/>
      </w:tabs>
    </w:pPr>
  </w:style>
  <w:style w:type="character" w:customStyle="1" w:styleId="FooterChar">
    <w:name w:val="Footer Char"/>
    <w:basedOn w:val="DefaultParagraphFont"/>
    <w:link w:val="Footer"/>
    <w:uiPriority w:val="99"/>
    <w:rsid w:val="0058350C"/>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58350C"/>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8350C"/>
    <w:rPr>
      <w:color w:val="0000FF" w:themeColor="hyperlink"/>
      <w:u w:val="single"/>
    </w:rPr>
  </w:style>
  <w:style w:type="paragraph" w:styleId="BodyText">
    <w:name w:val="Body Text"/>
    <w:basedOn w:val="Normal"/>
    <w:link w:val="BodyTextChar"/>
    <w:uiPriority w:val="99"/>
    <w:semiHidden/>
    <w:unhideWhenUsed/>
    <w:rsid w:val="00022E63"/>
    <w:pPr>
      <w:spacing w:after="120"/>
    </w:pPr>
  </w:style>
  <w:style w:type="character" w:customStyle="1" w:styleId="BodyTextChar">
    <w:name w:val="Body Text Char"/>
    <w:basedOn w:val="DefaultParagraphFont"/>
    <w:link w:val="BodyText"/>
    <w:uiPriority w:val="99"/>
    <w:semiHidden/>
    <w:rsid w:val="00022E63"/>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77205F"/>
    <w:rPr>
      <w:sz w:val="20"/>
      <w:szCs w:val="20"/>
    </w:rPr>
  </w:style>
  <w:style w:type="character" w:customStyle="1" w:styleId="FootnoteTextChar">
    <w:name w:val="Footnote Text Char"/>
    <w:basedOn w:val="DefaultParagraphFont"/>
    <w:link w:val="FootnoteText"/>
    <w:uiPriority w:val="99"/>
    <w:semiHidden/>
    <w:rsid w:val="0077205F"/>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720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0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350C"/>
    <w:pPr>
      <w:tabs>
        <w:tab w:val="center" w:pos="4153"/>
        <w:tab w:val="right" w:pos="8306"/>
      </w:tabs>
    </w:pPr>
  </w:style>
  <w:style w:type="character" w:customStyle="1" w:styleId="HeaderChar">
    <w:name w:val="Header Char"/>
    <w:basedOn w:val="DefaultParagraphFont"/>
    <w:link w:val="Header"/>
    <w:rsid w:val="0058350C"/>
    <w:rPr>
      <w:rFonts w:ascii="Times New Roman" w:eastAsia="Times New Roman" w:hAnsi="Times New Roman" w:cs="Times New Roman"/>
      <w:sz w:val="24"/>
      <w:szCs w:val="24"/>
      <w:lang w:val="lv-LV" w:eastAsia="lv-LV"/>
    </w:rPr>
  </w:style>
  <w:style w:type="character" w:styleId="PageNumber">
    <w:name w:val="page number"/>
    <w:basedOn w:val="DefaultParagraphFont"/>
    <w:rsid w:val="0058350C"/>
  </w:style>
  <w:style w:type="paragraph" w:customStyle="1" w:styleId="naisf">
    <w:name w:val="naisf"/>
    <w:basedOn w:val="Normal"/>
    <w:rsid w:val="0058350C"/>
    <w:pPr>
      <w:spacing w:before="75" w:after="75"/>
      <w:ind w:firstLine="375"/>
      <w:jc w:val="both"/>
    </w:pPr>
  </w:style>
  <w:style w:type="paragraph" w:customStyle="1" w:styleId="naisnod">
    <w:name w:val="naisnod"/>
    <w:basedOn w:val="Normal"/>
    <w:rsid w:val="0058350C"/>
    <w:pPr>
      <w:spacing w:before="150" w:after="150"/>
      <w:jc w:val="center"/>
    </w:pPr>
    <w:rPr>
      <w:b/>
      <w:bCs/>
    </w:rPr>
  </w:style>
  <w:style w:type="paragraph" w:customStyle="1" w:styleId="naiskr">
    <w:name w:val="naiskr"/>
    <w:basedOn w:val="Normal"/>
    <w:rsid w:val="0058350C"/>
    <w:pPr>
      <w:spacing w:before="75" w:after="75"/>
    </w:pPr>
  </w:style>
  <w:style w:type="paragraph" w:styleId="NoSpacing">
    <w:name w:val="No Spacing"/>
    <w:uiPriority w:val="1"/>
    <w:qFormat/>
    <w:rsid w:val="0058350C"/>
    <w:pPr>
      <w:spacing w:after="0" w:line="240" w:lineRule="auto"/>
    </w:pPr>
    <w:rPr>
      <w:rFonts w:ascii="Calibri" w:eastAsia="Calibri" w:hAnsi="Calibri" w:cs="Times New Roman"/>
      <w:lang w:val="lv-LV"/>
    </w:rPr>
  </w:style>
  <w:style w:type="paragraph" w:styleId="NormalWeb">
    <w:name w:val="Normal (Web)"/>
    <w:basedOn w:val="Normal"/>
    <w:uiPriority w:val="99"/>
    <w:unhideWhenUsed/>
    <w:rsid w:val="0058350C"/>
    <w:pPr>
      <w:spacing w:before="100" w:beforeAutospacing="1" w:after="100" w:afterAutospacing="1"/>
    </w:pPr>
    <w:rPr>
      <w:rFonts w:ascii="Verdana" w:hAnsi="Verdana"/>
      <w:sz w:val="14"/>
      <w:szCs w:val="14"/>
    </w:rPr>
  </w:style>
  <w:style w:type="paragraph" w:styleId="Footer">
    <w:name w:val="footer"/>
    <w:basedOn w:val="Normal"/>
    <w:link w:val="FooterChar"/>
    <w:uiPriority w:val="99"/>
    <w:unhideWhenUsed/>
    <w:rsid w:val="0058350C"/>
    <w:pPr>
      <w:tabs>
        <w:tab w:val="center" w:pos="4153"/>
        <w:tab w:val="right" w:pos="8306"/>
      </w:tabs>
    </w:pPr>
  </w:style>
  <w:style w:type="character" w:customStyle="1" w:styleId="FooterChar">
    <w:name w:val="Footer Char"/>
    <w:basedOn w:val="DefaultParagraphFont"/>
    <w:link w:val="Footer"/>
    <w:uiPriority w:val="99"/>
    <w:rsid w:val="0058350C"/>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58350C"/>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8350C"/>
    <w:rPr>
      <w:color w:val="0000FF" w:themeColor="hyperlink"/>
      <w:u w:val="single"/>
    </w:rPr>
  </w:style>
  <w:style w:type="paragraph" w:styleId="BodyText">
    <w:name w:val="Body Text"/>
    <w:basedOn w:val="Normal"/>
    <w:link w:val="BodyTextChar"/>
    <w:uiPriority w:val="99"/>
    <w:semiHidden/>
    <w:unhideWhenUsed/>
    <w:rsid w:val="00022E63"/>
    <w:pPr>
      <w:spacing w:after="120"/>
    </w:pPr>
  </w:style>
  <w:style w:type="character" w:customStyle="1" w:styleId="BodyTextChar">
    <w:name w:val="Body Text Char"/>
    <w:basedOn w:val="DefaultParagraphFont"/>
    <w:link w:val="BodyText"/>
    <w:uiPriority w:val="99"/>
    <w:semiHidden/>
    <w:rsid w:val="00022E63"/>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77205F"/>
    <w:rPr>
      <w:sz w:val="20"/>
      <w:szCs w:val="20"/>
    </w:rPr>
  </w:style>
  <w:style w:type="character" w:customStyle="1" w:styleId="FootnoteTextChar">
    <w:name w:val="Footnote Text Char"/>
    <w:basedOn w:val="DefaultParagraphFont"/>
    <w:link w:val="FootnoteText"/>
    <w:uiPriority w:val="99"/>
    <w:semiHidden/>
    <w:rsid w:val="0077205F"/>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720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ladislavs.vesperis@pkc.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523F-4041-4A30-9CE5-DD941AE9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4089</Words>
  <Characters>2332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Noteikumu projekta "Grozījumi Ministru kabineta 2011.gada 19.oktobra noteikumos Nr.815 "Pārresoru koordinācijas centra nolikums""anotācija</vt:lpstr>
    </vt:vector>
  </TitlesOfParts>
  <Manager>P.Vilks</Manager>
  <Company>PKC</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2011.gada 19.oktobra noteikumos Nr.815 "Pārresoru koordinācijas centra nolikums""anotācija</dc:title>
  <dc:creator>Vladislavs Vesperis,vladislavs.vesperis@pkc.mk.gov.lv, 67082812</dc:creator>
  <cp:lastModifiedBy>Ināra Laure</cp:lastModifiedBy>
  <cp:revision>2</cp:revision>
  <cp:lastPrinted>2013-09-13T12:21:00Z</cp:lastPrinted>
  <dcterms:created xsi:type="dcterms:W3CDTF">2015-04-13T12:43:00Z</dcterms:created>
  <dcterms:modified xsi:type="dcterms:W3CDTF">2015-04-13T12:43:00Z</dcterms:modified>
</cp:coreProperties>
</file>