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DF011" w14:textId="1C21C0A4" w:rsidR="002F30BD" w:rsidRPr="00BF02BD" w:rsidRDefault="002F30BD" w:rsidP="00290226">
      <w:pPr>
        <w:pStyle w:val="naisc"/>
        <w:spacing w:before="0" w:after="0"/>
        <w:rPr>
          <w:b/>
          <w:bCs/>
          <w:sz w:val="24"/>
          <w:szCs w:val="24"/>
        </w:rPr>
      </w:pPr>
      <w:bookmarkStart w:id="0" w:name="OLE_LINK1"/>
      <w:r w:rsidRPr="00BF02BD">
        <w:rPr>
          <w:b/>
          <w:bCs/>
          <w:sz w:val="24"/>
          <w:szCs w:val="24"/>
        </w:rPr>
        <w:t>Ministru kabineta noteikumu projekta</w:t>
      </w:r>
      <w:bookmarkEnd w:id="0"/>
      <w:r w:rsidRPr="00BF02BD">
        <w:rPr>
          <w:b/>
          <w:bCs/>
          <w:sz w:val="24"/>
          <w:szCs w:val="24"/>
        </w:rPr>
        <w:t xml:space="preserve"> „</w:t>
      </w:r>
      <w:r w:rsidR="00924961" w:rsidRPr="00BF02BD">
        <w:rPr>
          <w:b/>
          <w:sz w:val="24"/>
          <w:szCs w:val="24"/>
        </w:rPr>
        <w:t>Lauksaimniecības un lauku attīstības kredītu garantēšanas programmas noteikumi</w:t>
      </w:r>
      <w:r w:rsidRPr="00BF02BD">
        <w:rPr>
          <w:b/>
          <w:bCs/>
          <w:sz w:val="24"/>
          <w:szCs w:val="24"/>
        </w:rPr>
        <w:t xml:space="preserve">” sākotnējās ietekmes novērtējuma </w:t>
      </w:r>
      <w:smartTag w:uri="schemas-tilde-lv/tildestengine" w:element="veidnes">
        <w:smartTagPr>
          <w:attr w:name="id" w:val="-1"/>
          <w:attr w:name="baseform" w:val="ziņojums"/>
          <w:attr w:name="text" w:val="ziņojums"/>
        </w:smartTagPr>
        <w:r w:rsidRPr="00BF02BD">
          <w:rPr>
            <w:b/>
            <w:bCs/>
            <w:sz w:val="24"/>
            <w:szCs w:val="24"/>
          </w:rPr>
          <w:t>ziņojums</w:t>
        </w:r>
      </w:smartTag>
      <w:r w:rsidRPr="00BF02BD">
        <w:rPr>
          <w:b/>
          <w:bCs/>
          <w:sz w:val="24"/>
          <w:szCs w:val="24"/>
        </w:rPr>
        <w:t xml:space="preserve"> (anotācija)</w:t>
      </w:r>
    </w:p>
    <w:p w14:paraId="31BF7E57" w14:textId="77777777" w:rsidR="002F30BD" w:rsidRDefault="002F30BD" w:rsidP="00422589">
      <w:pPr>
        <w:jc w:val="cente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70"/>
        <w:gridCol w:w="5883"/>
      </w:tblGrid>
      <w:tr w:rsidR="002F30BD" w:rsidRPr="00ED22C8" w14:paraId="3C85D587" w14:textId="77777777" w:rsidTr="00C72A47">
        <w:trPr>
          <w:trHeight w:val="419"/>
        </w:trPr>
        <w:tc>
          <w:tcPr>
            <w:tcW w:w="5000" w:type="pct"/>
            <w:gridSpan w:val="3"/>
            <w:vAlign w:val="center"/>
          </w:tcPr>
          <w:p w14:paraId="1A5EA8FE" w14:textId="77777777" w:rsidR="002F30BD" w:rsidRPr="00DD49B6" w:rsidRDefault="002F30BD" w:rsidP="00C72A47">
            <w:pPr>
              <w:pStyle w:val="naisnod"/>
              <w:spacing w:before="0" w:beforeAutospacing="0" w:after="0" w:afterAutospacing="0"/>
              <w:ind w:left="57" w:right="57"/>
              <w:jc w:val="center"/>
              <w:rPr>
                <w:b/>
              </w:rPr>
            </w:pPr>
            <w:r w:rsidRPr="00DD49B6">
              <w:rPr>
                <w:b/>
              </w:rPr>
              <w:t>I. Tiesību akta projekta izstrādes nepieciešamība</w:t>
            </w:r>
          </w:p>
        </w:tc>
      </w:tr>
      <w:tr w:rsidR="002F30BD" w:rsidRPr="00ED22C8" w14:paraId="4EAAE50C" w14:textId="77777777" w:rsidTr="00422589">
        <w:trPr>
          <w:trHeight w:val="415"/>
        </w:trPr>
        <w:tc>
          <w:tcPr>
            <w:tcW w:w="227" w:type="pct"/>
          </w:tcPr>
          <w:p w14:paraId="755D758B" w14:textId="77777777" w:rsidR="002F30BD" w:rsidRPr="00DD49B6" w:rsidRDefault="002F30BD" w:rsidP="00C72A47">
            <w:pPr>
              <w:pStyle w:val="naiskr"/>
              <w:spacing w:before="0" w:beforeAutospacing="0" w:after="0" w:afterAutospacing="0"/>
              <w:ind w:left="57" w:right="57"/>
              <w:jc w:val="center"/>
            </w:pPr>
            <w:r w:rsidRPr="00DD49B6">
              <w:t>1.</w:t>
            </w:r>
          </w:p>
        </w:tc>
        <w:tc>
          <w:tcPr>
            <w:tcW w:w="1565" w:type="pct"/>
          </w:tcPr>
          <w:p w14:paraId="1D734165" w14:textId="77777777" w:rsidR="002F30BD" w:rsidRPr="00DD49B6" w:rsidRDefault="002F30BD" w:rsidP="00C72A47">
            <w:pPr>
              <w:pStyle w:val="naiskr"/>
              <w:spacing w:before="0" w:beforeAutospacing="0" w:after="0" w:afterAutospacing="0"/>
              <w:ind w:left="57" w:right="57"/>
            </w:pPr>
            <w:r w:rsidRPr="00DD49B6">
              <w:t>Pamatojums</w:t>
            </w:r>
          </w:p>
        </w:tc>
        <w:tc>
          <w:tcPr>
            <w:tcW w:w="3208" w:type="pct"/>
          </w:tcPr>
          <w:p w14:paraId="69A088BF" w14:textId="46CA6CC2" w:rsidR="002F30BD" w:rsidRPr="000D0E55" w:rsidRDefault="002F30BD" w:rsidP="008A7F6E">
            <w:pPr>
              <w:spacing w:after="0" w:line="240" w:lineRule="auto"/>
              <w:jc w:val="both"/>
              <w:rPr>
                <w:rFonts w:ascii="Times New Roman" w:hAnsi="Times New Roman"/>
                <w:color w:val="000000"/>
                <w:sz w:val="24"/>
                <w:szCs w:val="24"/>
              </w:rPr>
            </w:pPr>
            <w:r w:rsidRPr="000D0E55">
              <w:rPr>
                <w:rFonts w:ascii="Times New Roman" w:hAnsi="Times New Roman"/>
                <w:bCs/>
                <w:sz w:val="24"/>
                <w:szCs w:val="24"/>
              </w:rPr>
              <w:t>Ministru kabineta noteikumu projekt</w:t>
            </w:r>
            <w:r>
              <w:rPr>
                <w:rFonts w:ascii="Times New Roman" w:hAnsi="Times New Roman"/>
                <w:bCs/>
                <w:sz w:val="24"/>
                <w:szCs w:val="24"/>
              </w:rPr>
              <w:t>s</w:t>
            </w:r>
            <w:r w:rsidRPr="000D0E55">
              <w:rPr>
                <w:rFonts w:ascii="Times New Roman" w:hAnsi="Times New Roman"/>
                <w:bCs/>
                <w:sz w:val="24"/>
                <w:szCs w:val="24"/>
              </w:rPr>
              <w:t xml:space="preserve"> „</w:t>
            </w:r>
            <w:r w:rsidR="00924961" w:rsidRPr="00924961">
              <w:rPr>
                <w:rFonts w:ascii="Times New Roman" w:hAnsi="Times New Roman"/>
                <w:bCs/>
                <w:sz w:val="24"/>
                <w:szCs w:val="24"/>
              </w:rPr>
              <w:t>Lauksaimniecības un lauku attīstības kredītu garantēšanas programmas noteikumi</w:t>
            </w:r>
            <w:r w:rsidRPr="000D0E55">
              <w:rPr>
                <w:rFonts w:ascii="Times New Roman" w:hAnsi="Times New Roman"/>
                <w:bCs/>
                <w:sz w:val="24"/>
                <w:szCs w:val="24"/>
              </w:rPr>
              <w:t>”</w:t>
            </w:r>
            <w:r>
              <w:rPr>
                <w:rFonts w:ascii="Times New Roman" w:hAnsi="Times New Roman"/>
                <w:bCs/>
                <w:sz w:val="24"/>
                <w:szCs w:val="24"/>
              </w:rPr>
              <w:t xml:space="preserve"> sagatavots, pamatojoties uz </w:t>
            </w:r>
            <w:r w:rsidRPr="000D0E55">
              <w:rPr>
                <w:rFonts w:ascii="Times New Roman" w:hAnsi="Times New Roman"/>
                <w:bCs/>
                <w:sz w:val="24"/>
                <w:szCs w:val="24"/>
              </w:rPr>
              <w:t>Attīstības</w:t>
            </w:r>
            <w:r w:rsidRPr="000D0E55">
              <w:rPr>
                <w:rFonts w:ascii="Times New Roman" w:hAnsi="Times New Roman"/>
                <w:color w:val="000000"/>
                <w:sz w:val="24"/>
                <w:szCs w:val="24"/>
              </w:rPr>
              <w:t xml:space="preserve"> finanšu institūcijas likum</w:t>
            </w:r>
            <w:r>
              <w:rPr>
                <w:rFonts w:ascii="Times New Roman" w:hAnsi="Times New Roman"/>
                <w:color w:val="000000"/>
                <w:sz w:val="24"/>
                <w:szCs w:val="24"/>
              </w:rPr>
              <w:t>a</w:t>
            </w:r>
            <w:r w:rsidRPr="000D0E55">
              <w:rPr>
                <w:rFonts w:ascii="Times New Roman" w:hAnsi="Times New Roman"/>
                <w:color w:val="000000"/>
                <w:sz w:val="24"/>
                <w:szCs w:val="24"/>
              </w:rPr>
              <w:t xml:space="preserve"> 12.panta ceturto daļ</w:t>
            </w:r>
            <w:r>
              <w:rPr>
                <w:rFonts w:ascii="Times New Roman" w:hAnsi="Times New Roman"/>
                <w:color w:val="000000"/>
                <w:sz w:val="24"/>
                <w:szCs w:val="24"/>
              </w:rPr>
              <w:t>u.</w:t>
            </w:r>
          </w:p>
        </w:tc>
      </w:tr>
      <w:tr w:rsidR="002F30BD" w:rsidRPr="00ED22C8" w14:paraId="433721AA" w14:textId="77777777" w:rsidTr="00422589">
        <w:trPr>
          <w:trHeight w:val="472"/>
        </w:trPr>
        <w:tc>
          <w:tcPr>
            <w:tcW w:w="227" w:type="pct"/>
          </w:tcPr>
          <w:p w14:paraId="0D21D926" w14:textId="77777777" w:rsidR="002F30BD" w:rsidRPr="00DD49B6" w:rsidRDefault="002F30BD" w:rsidP="00C72A47">
            <w:pPr>
              <w:pStyle w:val="naiskr"/>
              <w:spacing w:before="0" w:beforeAutospacing="0" w:after="0" w:afterAutospacing="0"/>
              <w:ind w:left="57" w:right="57"/>
              <w:jc w:val="center"/>
            </w:pPr>
            <w:r w:rsidRPr="00DD49B6">
              <w:t>2.</w:t>
            </w:r>
          </w:p>
        </w:tc>
        <w:tc>
          <w:tcPr>
            <w:tcW w:w="1565" w:type="pct"/>
          </w:tcPr>
          <w:p w14:paraId="66944DD6" w14:textId="77777777" w:rsidR="002F30BD" w:rsidRPr="00DD49B6" w:rsidRDefault="002F30BD" w:rsidP="00C72A47">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3208" w:type="pct"/>
          </w:tcPr>
          <w:p w14:paraId="627AEC12" w14:textId="6868B956" w:rsidR="008A7F6E" w:rsidRDefault="002F30BD" w:rsidP="000D0E55">
            <w:pPr>
              <w:pStyle w:val="Virsraksts3"/>
              <w:shd w:val="clear" w:color="auto" w:fill="FFFFFF"/>
              <w:spacing w:before="0" w:beforeAutospacing="0" w:after="0" w:afterAutospacing="0"/>
              <w:jc w:val="both"/>
              <w:rPr>
                <w:b w:val="0"/>
                <w:bCs/>
                <w:sz w:val="24"/>
                <w:szCs w:val="24"/>
              </w:rPr>
            </w:pPr>
            <w:r w:rsidRPr="00BB7213">
              <w:rPr>
                <w:b w:val="0"/>
                <w:bCs/>
                <w:sz w:val="24"/>
                <w:szCs w:val="24"/>
              </w:rPr>
              <w:t>Ministru kabineta 2009.gada 7.jūlija noteikumi Nr.746 „Lauksaimniecības un lauku attīstības kredītu garantēšanas kārtība</w:t>
            </w:r>
            <w:r w:rsidRPr="00BB7213">
              <w:rPr>
                <w:b w:val="0"/>
                <w:sz w:val="24"/>
                <w:szCs w:val="24"/>
              </w:rPr>
              <w:t>”</w:t>
            </w:r>
            <w:r w:rsidRPr="00BB7213">
              <w:rPr>
                <w:b w:val="0"/>
                <w:bCs/>
                <w:sz w:val="24"/>
                <w:szCs w:val="24"/>
              </w:rPr>
              <w:t xml:space="preserve">” </w:t>
            </w:r>
            <w:r w:rsidR="001721C8">
              <w:rPr>
                <w:b w:val="0"/>
                <w:bCs/>
                <w:sz w:val="24"/>
                <w:szCs w:val="24"/>
              </w:rPr>
              <w:t xml:space="preserve">(turpmāk – noteikumi Nr.746) </w:t>
            </w:r>
            <w:r w:rsidRPr="00BB7213">
              <w:rPr>
                <w:b w:val="0"/>
                <w:bCs/>
                <w:sz w:val="24"/>
                <w:szCs w:val="24"/>
              </w:rPr>
              <w:t>izdoti, pamatojoties uz Lauksaimniecības un lauku attīstības likuma 5.panta desmito daļu</w:t>
            </w:r>
            <w:r w:rsidR="008A4412">
              <w:rPr>
                <w:b w:val="0"/>
                <w:bCs/>
                <w:sz w:val="24"/>
                <w:szCs w:val="24"/>
              </w:rPr>
              <w:t>.</w:t>
            </w:r>
            <w:r w:rsidRPr="00BB7213">
              <w:rPr>
                <w:b w:val="0"/>
                <w:bCs/>
                <w:sz w:val="24"/>
                <w:szCs w:val="24"/>
              </w:rPr>
              <w:t xml:space="preserve"> </w:t>
            </w:r>
            <w:r w:rsidR="008A4412">
              <w:rPr>
                <w:b w:val="0"/>
                <w:bCs/>
                <w:sz w:val="24"/>
                <w:szCs w:val="24"/>
              </w:rPr>
              <w:t>G</w:t>
            </w:r>
            <w:r w:rsidRPr="00BB7213">
              <w:rPr>
                <w:b w:val="0"/>
                <w:bCs/>
                <w:sz w:val="24"/>
                <w:szCs w:val="24"/>
              </w:rPr>
              <w:t>arantij</w:t>
            </w:r>
            <w:r w:rsidR="001721C8">
              <w:rPr>
                <w:b w:val="0"/>
                <w:bCs/>
                <w:sz w:val="24"/>
                <w:szCs w:val="24"/>
              </w:rPr>
              <w:t>as</w:t>
            </w:r>
            <w:r w:rsidRPr="00BB7213">
              <w:rPr>
                <w:b w:val="0"/>
                <w:bCs/>
                <w:sz w:val="24"/>
                <w:szCs w:val="24"/>
              </w:rPr>
              <w:t xml:space="preserve"> piešķir </w:t>
            </w:r>
            <w:r w:rsidR="001721C8">
              <w:rPr>
                <w:b w:val="0"/>
                <w:bCs/>
                <w:sz w:val="24"/>
                <w:szCs w:val="24"/>
              </w:rPr>
              <w:t>v</w:t>
            </w:r>
            <w:r w:rsidRPr="00BB7213">
              <w:rPr>
                <w:b w:val="0"/>
                <w:bCs/>
                <w:sz w:val="24"/>
                <w:szCs w:val="24"/>
              </w:rPr>
              <w:t>alsts akciju sabiedrība “Lauku attīstības fonds”</w:t>
            </w:r>
            <w:r w:rsidR="008A7F6E">
              <w:rPr>
                <w:b w:val="0"/>
                <w:bCs/>
                <w:sz w:val="24"/>
                <w:szCs w:val="24"/>
              </w:rPr>
              <w:t xml:space="preserve">. </w:t>
            </w:r>
          </w:p>
          <w:p w14:paraId="20BF6CDF" w14:textId="3AFFB090" w:rsidR="008A7F6E" w:rsidRDefault="008A7F6E" w:rsidP="000D0E55">
            <w:pPr>
              <w:pStyle w:val="Virsraksts3"/>
              <w:shd w:val="clear" w:color="auto" w:fill="FFFFFF"/>
              <w:spacing w:before="0" w:beforeAutospacing="0" w:after="0" w:afterAutospacing="0"/>
              <w:jc w:val="both"/>
              <w:rPr>
                <w:b w:val="0"/>
                <w:bCs/>
                <w:sz w:val="24"/>
                <w:szCs w:val="24"/>
              </w:rPr>
            </w:pPr>
            <w:r w:rsidRPr="008A7F6E">
              <w:rPr>
                <w:b w:val="0"/>
                <w:bCs/>
                <w:sz w:val="24"/>
                <w:szCs w:val="24"/>
              </w:rPr>
              <w:t>Ministru kabinets 2013.gada 17.decembrī izskatīja informatīvo ziņojumu par vienotās attīstības finanšu institūcijas izveidi un atbalstīja vienotā attīstības finanšu institūcija</w:t>
            </w:r>
            <w:r w:rsidR="001721C8">
              <w:rPr>
                <w:b w:val="0"/>
                <w:bCs/>
                <w:sz w:val="24"/>
                <w:szCs w:val="24"/>
              </w:rPr>
              <w:t>s</w:t>
            </w:r>
            <w:r w:rsidRPr="008A7F6E">
              <w:rPr>
                <w:b w:val="0"/>
                <w:bCs/>
                <w:sz w:val="24"/>
                <w:szCs w:val="24"/>
              </w:rPr>
              <w:t xml:space="preserve"> </w:t>
            </w:r>
            <w:r w:rsidR="001721C8">
              <w:rPr>
                <w:b w:val="0"/>
                <w:bCs/>
                <w:sz w:val="24"/>
                <w:szCs w:val="24"/>
              </w:rPr>
              <w:t>iz</w:t>
            </w:r>
            <w:r w:rsidRPr="008A7F6E">
              <w:rPr>
                <w:b w:val="0"/>
                <w:bCs/>
                <w:sz w:val="24"/>
                <w:szCs w:val="24"/>
              </w:rPr>
              <w:t>veid</w:t>
            </w:r>
            <w:r w:rsidR="001721C8">
              <w:rPr>
                <w:b w:val="0"/>
                <w:bCs/>
                <w:sz w:val="24"/>
                <w:szCs w:val="24"/>
              </w:rPr>
              <w:t>i</w:t>
            </w:r>
            <w:r w:rsidRPr="008A7F6E">
              <w:rPr>
                <w:b w:val="0"/>
                <w:bCs/>
                <w:sz w:val="24"/>
                <w:szCs w:val="24"/>
              </w:rPr>
              <w:t xml:space="preserve"> holdinga sabiedrība</w:t>
            </w:r>
            <w:r w:rsidR="001721C8">
              <w:rPr>
                <w:b w:val="0"/>
                <w:bCs/>
                <w:sz w:val="24"/>
                <w:szCs w:val="24"/>
              </w:rPr>
              <w:t>s statusā</w:t>
            </w:r>
            <w:r w:rsidRPr="008A7F6E">
              <w:rPr>
                <w:b w:val="0"/>
                <w:bCs/>
                <w:sz w:val="24"/>
                <w:szCs w:val="24"/>
              </w:rPr>
              <w:t>, apvienojot</w:t>
            </w:r>
            <w:r w:rsidR="001721C8">
              <w:rPr>
                <w:b w:val="0"/>
                <w:bCs/>
                <w:sz w:val="24"/>
                <w:szCs w:val="24"/>
              </w:rPr>
              <w:t>ies</w:t>
            </w:r>
            <w:r w:rsidRPr="008A7F6E">
              <w:rPr>
                <w:b w:val="0"/>
                <w:bCs/>
                <w:sz w:val="24"/>
                <w:szCs w:val="24"/>
              </w:rPr>
              <w:t xml:space="preserve"> valsts akciju sabiedrīb</w:t>
            </w:r>
            <w:r w:rsidR="000E7E1F">
              <w:rPr>
                <w:b w:val="0"/>
                <w:bCs/>
                <w:sz w:val="24"/>
                <w:szCs w:val="24"/>
              </w:rPr>
              <w:t>ai</w:t>
            </w:r>
            <w:r w:rsidRPr="008A7F6E">
              <w:rPr>
                <w:b w:val="0"/>
                <w:bCs/>
                <w:sz w:val="24"/>
                <w:szCs w:val="24"/>
              </w:rPr>
              <w:t xml:space="preserve"> „Latvijas Hipotēku un zemes banka” (kopš 2014.gada 1.janvāra </w:t>
            </w:r>
            <w:r w:rsidR="001721C8">
              <w:rPr>
                <w:b w:val="0"/>
                <w:bCs/>
                <w:sz w:val="24"/>
                <w:szCs w:val="24"/>
              </w:rPr>
              <w:t xml:space="preserve">– </w:t>
            </w:r>
            <w:r w:rsidRPr="008A7F6E">
              <w:rPr>
                <w:b w:val="0"/>
                <w:bCs/>
                <w:sz w:val="24"/>
                <w:szCs w:val="24"/>
              </w:rPr>
              <w:t>valsts akciju sabiedrība „Attīstības finanšu institūcija „</w:t>
            </w:r>
            <w:proofErr w:type="spellStart"/>
            <w:r w:rsidRPr="008A7F6E">
              <w:rPr>
                <w:b w:val="0"/>
                <w:bCs/>
                <w:sz w:val="24"/>
                <w:szCs w:val="24"/>
              </w:rPr>
              <w:t>Altum</w:t>
            </w:r>
            <w:proofErr w:type="spellEnd"/>
            <w:r w:rsidRPr="008A7F6E">
              <w:rPr>
                <w:b w:val="0"/>
                <w:bCs/>
                <w:sz w:val="24"/>
                <w:szCs w:val="24"/>
              </w:rPr>
              <w:t>””) (turpmāk</w:t>
            </w:r>
            <w:r w:rsidR="001721C8">
              <w:rPr>
                <w:b w:val="0"/>
                <w:bCs/>
                <w:sz w:val="24"/>
                <w:szCs w:val="24"/>
              </w:rPr>
              <w:t xml:space="preserve"> –</w:t>
            </w:r>
            <w:r w:rsidRPr="008A7F6E">
              <w:rPr>
                <w:b w:val="0"/>
                <w:bCs/>
                <w:sz w:val="24"/>
                <w:szCs w:val="24"/>
              </w:rPr>
              <w:t xml:space="preserve"> </w:t>
            </w:r>
            <w:proofErr w:type="spellStart"/>
            <w:r w:rsidRPr="008A7F6E">
              <w:rPr>
                <w:b w:val="0"/>
                <w:bCs/>
                <w:sz w:val="24"/>
                <w:szCs w:val="24"/>
              </w:rPr>
              <w:t>Altum</w:t>
            </w:r>
            <w:proofErr w:type="spellEnd"/>
            <w:r w:rsidRPr="008A7F6E">
              <w:rPr>
                <w:b w:val="0"/>
                <w:bCs/>
                <w:sz w:val="24"/>
                <w:szCs w:val="24"/>
              </w:rPr>
              <w:t>), sabiedrīb</w:t>
            </w:r>
            <w:r w:rsidR="001721C8">
              <w:rPr>
                <w:b w:val="0"/>
                <w:bCs/>
                <w:sz w:val="24"/>
                <w:szCs w:val="24"/>
              </w:rPr>
              <w:t>ai</w:t>
            </w:r>
            <w:r w:rsidRPr="008A7F6E">
              <w:rPr>
                <w:b w:val="0"/>
                <w:bCs/>
                <w:sz w:val="24"/>
                <w:szCs w:val="24"/>
              </w:rPr>
              <w:t xml:space="preserve"> ar ierobežotu atbildību „Latvijas Garantiju aģentūra” (turpmāk</w:t>
            </w:r>
            <w:r w:rsidR="001721C8">
              <w:rPr>
                <w:b w:val="0"/>
                <w:bCs/>
                <w:sz w:val="24"/>
                <w:szCs w:val="24"/>
              </w:rPr>
              <w:t xml:space="preserve"> –</w:t>
            </w:r>
            <w:r w:rsidRPr="008A7F6E">
              <w:rPr>
                <w:b w:val="0"/>
                <w:bCs/>
                <w:sz w:val="24"/>
                <w:szCs w:val="24"/>
              </w:rPr>
              <w:t xml:space="preserve"> LGA)</w:t>
            </w:r>
            <w:r w:rsidR="008A4412">
              <w:rPr>
                <w:b w:val="0"/>
                <w:bCs/>
                <w:sz w:val="24"/>
                <w:szCs w:val="24"/>
              </w:rPr>
              <w:t xml:space="preserve"> un</w:t>
            </w:r>
            <w:r w:rsidRPr="008A7F6E">
              <w:rPr>
                <w:b w:val="0"/>
                <w:bCs/>
                <w:sz w:val="24"/>
                <w:szCs w:val="24"/>
              </w:rPr>
              <w:t xml:space="preserve"> valsts akciju sabiedrīb</w:t>
            </w:r>
            <w:r w:rsidR="001721C8">
              <w:rPr>
                <w:b w:val="0"/>
                <w:bCs/>
                <w:sz w:val="24"/>
                <w:szCs w:val="24"/>
              </w:rPr>
              <w:t>ai</w:t>
            </w:r>
            <w:r w:rsidRPr="008A7F6E">
              <w:rPr>
                <w:b w:val="0"/>
                <w:bCs/>
                <w:sz w:val="24"/>
                <w:szCs w:val="24"/>
              </w:rPr>
              <w:t xml:space="preserve"> „Lauku attīstības fonds” (turpmāk</w:t>
            </w:r>
            <w:r w:rsidR="001721C8">
              <w:rPr>
                <w:b w:val="0"/>
                <w:bCs/>
                <w:sz w:val="24"/>
                <w:szCs w:val="24"/>
              </w:rPr>
              <w:t xml:space="preserve"> –</w:t>
            </w:r>
            <w:r w:rsidRPr="008A7F6E">
              <w:rPr>
                <w:b w:val="0"/>
                <w:bCs/>
                <w:sz w:val="24"/>
                <w:szCs w:val="24"/>
              </w:rPr>
              <w:t xml:space="preserve"> LAF)</w:t>
            </w:r>
            <w:r w:rsidR="001721C8">
              <w:rPr>
                <w:b w:val="0"/>
                <w:bCs/>
                <w:sz w:val="24"/>
                <w:szCs w:val="24"/>
              </w:rPr>
              <w:t>,</w:t>
            </w:r>
            <w:r w:rsidRPr="008A7F6E">
              <w:rPr>
                <w:b w:val="0"/>
                <w:bCs/>
                <w:sz w:val="24"/>
                <w:szCs w:val="24"/>
              </w:rPr>
              <w:t xml:space="preserve"> </w:t>
            </w:r>
            <w:r w:rsidR="001721C8">
              <w:rPr>
                <w:b w:val="0"/>
                <w:bCs/>
                <w:sz w:val="24"/>
                <w:szCs w:val="24"/>
              </w:rPr>
              <w:t>lai</w:t>
            </w:r>
            <w:r w:rsidR="001721C8" w:rsidRPr="008A7F6E">
              <w:rPr>
                <w:b w:val="0"/>
                <w:bCs/>
                <w:sz w:val="24"/>
                <w:szCs w:val="24"/>
              </w:rPr>
              <w:t xml:space="preserve"> </w:t>
            </w:r>
            <w:r w:rsidRPr="008A7F6E">
              <w:rPr>
                <w:b w:val="0"/>
                <w:bCs/>
                <w:sz w:val="24"/>
                <w:szCs w:val="24"/>
              </w:rPr>
              <w:t>dibin</w:t>
            </w:r>
            <w:r w:rsidR="001721C8">
              <w:rPr>
                <w:b w:val="0"/>
                <w:bCs/>
                <w:sz w:val="24"/>
                <w:szCs w:val="24"/>
              </w:rPr>
              <w:t>ātu</w:t>
            </w:r>
            <w:r w:rsidRPr="008A7F6E">
              <w:rPr>
                <w:b w:val="0"/>
                <w:bCs/>
                <w:sz w:val="24"/>
                <w:szCs w:val="24"/>
              </w:rPr>
              <w:t xml:space="preserve"> jaunu holdinga sabiedrību. Lai nodrošinātu vienotās attīstības finanšu institūcijas darbību </w:t>
            </w:r>
            <w:r w:rsidR="001721C8" w:rsidRPr="008A7F6E">
              <w:rPr>
                <w:b w:val="0"/>
                <w:bCs/>
                <w:sz w:val="24"/>
                <w:szCs w:val="24"/>
              </w:rPr>
              <w:t>holdinga sabiedrība</w:t>
            </w:r>
            <w:r w:rsidR="001721C8">
              <w:rPr>
                <w:b w:val="0"/>
                <w:bCs/>
                <w:sz w:val="24"/>
                <w:szCs w:val="24"/>
              </w:rPr>
              <w:t>s statusā</w:t>
            </w:r>
            <w:r w:rsidRPr="008A7F6E">
              <w:rPr>
                <w:b w:val="0"/>
                <w:bCs/>
                <w:sz w:val="24"/>
                <w:szCs w:val="24"/>
              </w:rPr>
              <w:t>, akciju sabiedrībai „Attīstības finanšu institūcija</w:t>
            </w:r>
            <w:r w:rsidR="00A44D47">
              <w:rPr>
                <w:b w:val="0"/>
                <w:bCs/>
                <w:sz w:val="24"/>
                <w:szCs w:val="24"/>
              </w:rPr>
              <w:t xml:space="preserve"> „ALTUM</w:t>
            </w:r>
            <w:r w:rsidRPr="008A7F6E">
              <w:rPr>
                <w:b w:val="0"/>
                <w:bCs/>
                <w:sz w:val="24"/>
                <w:szCs w:val="24"/>
              </w:rPr>
              <w:t>” (turpmāk</w:t>
            </w:r>
            <w:r w:rsidR="001721C8">
              <w:rPr>
                <w:b w:val="0"/>
                <w:bCs/>
                <w:sz w:val="24"/>
                <w:szCs w:val="24"/>
              </w:rPr>
              <w:t xml:space="preserve"> –</w:t>
            </w:r>
            <w:r w:rsidRPr="008A7F6E">
              <w:rPr>
                <w:b w:val="0"/>
                <w:bCs/>
                <w:sz w:val="24"/>
                <w:szCs w:val="24"/>
              </w:rPr>
              <w:t xml:space="preserve"> AFI) kā holdinga vadošajai sabiedrībai atbilstoši Ministru kabineta 2013.gada 17.decembra lēmumam (Ministru kabineta 2013.gada 17.decembra protokols Nr.67, 141.§.) i</w:t>
            </w:r>
            <w:r w:rsidR="001721C8">
              <w:rPr>
                <w:b w:val="0"/>
                <w:bCs/>
                <w:sz w:val="24"/>
                <w:szCs w:val="24"/>
              </w:rPr>
              <w:t>r noteikta</w:t>
            </w:r>
            <w:r w:rsidRPr="008A7F6E">
              <w:rPr>
                <w:b w:val="0"/>
                <w:bCs/>
                <w:sz w:val="24"/>
                <w:szCs w:val="24"/>
              </w:rPr>
              <w:t xml:space="preserve"> izšķiroš</w:t>
            </w:r>
            <w:r w:rsidR="001721C8">
              <w:rPr>
                <w:b w:val="0"/>
                <w:bCs/>
                <w:sz w:val="24"/>
                <w:szCs w:val="24"/>
              </w:rPr>
              <w:t>ā</w:t>
            </w:r>
            <w:r w:rsidRPr="008A7F6E">
              <w:rPr>
                <w:b w:val="0"/>
                <w:bCs/>
                <w:sz w:val="24"/>
                <w:szCs w:val="24"/>
              </w:rPr>
              <w:t xml:space="preserve"> iete</w:t>
            </w:r>
            <w:r>
              <w:rPr>
                <w:b w:val="0"/>
                <w:bCs/>
                <w:sz w:val="24"/>
                <w:szCs w:val="24"/>
              </w:rPr>
              <w:t>km</w:t>
            </w:r>
            <w:r w:rsidR="001721C8">
              <w:rPr>
                <w:b w:val="0"/>
                <w:bCs/>
                <w:sz w:val="24"/>
                <w:szCs w:val="24"/>
              </w:rPr>
              <w:t>e</w:t>
            </w:r>
            <w:r>
              <w:rPr>
                <w:b w:val="0"/>
                <w:bCs/>
                <w:sz w:val="24"/>
                <w:szCs w:val="24"/>
              </w:rPr>
              <w:t xml:space="preserve"> LAF, </w:t>
            </w:r>
            <w:proofErr w:type="spellStart"/>
            <w:r>
              <w:rPr>
                <w:b w:val="0"/>
                <w:bCs/>
                <w:sz w:val="24"/>
                <w:szCs w:val="24"/>
              </w:rPr>
              <w:t>Altum</w:t>
            </w:r>
            <w:proofErr w:type="spellEnd"/>
            <w:r>
              <w:rPr>
                <w:b w:val="0"/>
                <w:bCs/>
                <w:sz w:val="24"/>
                <w:szCs w:val="24"/>
              </w:rPr>
              <w:t xml:space="preserve"> un LGA. </w:t>
            </w:r>
            <w:r w:rsidR="001721C8">
              <w:rPr>
                <w:b w:val="0"/>
                <w:bCs/>
                <w:sz w:val="24"/>
                <w:szCs w:val="24"/>
              </w:rPr>
              <w:t>Pamatojoties uz</w:t>
            </w:r>
            <w:r w:rsidRPr="008A7F6E">
              <w:rPr>
                <w:b w:val="0"/>
                <w:bCs/>
                <w:sz w:val="24"/>
                <w:szCs w:val="24"/>
              </w:rPr>
              <w:t xml:space="preserve"> Ministru kabineta 2014.gada 29.jūlija lēmum</w:t>
            </w:r>
            <w:r w:rsidR="001721C8">
              <w:rPr>
                <w:b w:val="0"/>
                <w:bCs/>
                <w:sz w:val="24"/>
                <w:szCs w:val="24"/>
              </w:rPr>
              <w:t>u</w:t>
            </w:r>
            <w:r w:rsidRPr="008A7F6E">
              <w:rPr>
                <w:b w:val="0"/>
                <w:bCs/>
                <w:sz w:val="24"/>
                <w:szCs w:val="24"/>
              </w:rPr>
              <w:t xml:space="preserve"> (Ministru kabineta 2014.gada 29.jūlija protokols Nr.41, 32.§.)</w:t>
            </w:r>
            <w:r w:rsidR="001721C8">
              <w:rPr>
                <w:b w:val="0"/>
                <w:bCs/>
                <w:sz w:val="24"/>
                <w:szCs w:val="24"/>
              </w:rPr>
              <w:t>,</w:t>
            </w:r>
            <w:r w:rsidRPr="008A7F6E">
              <w:rPr>
                <w:b w:val="0"/>
                <w:bCs/>
                <w:sz w:val="24"/>
                <w:szCs w:val="24"/>
              </w:rPr>
              <w:t xml:space="preserve"> ir uzsākta </w:t>
            </w:r>
            <w:proofErr w:type="spellStart"/>
            <w:r w:rsidRPr="008A7F6E">
              <w:rPr>
                <w:b w:val="0"/>
                <w:bCs/>
                <w:sz w:val="24"/>
                <w:szCs w:val="24"/>
              </w:rPr>
              <w:t>Altum</w:t>
            </w:r>
            <w:proofErr w:type="spellEnd"/>
            <w:r w:rsidRPr="008A7F6E">
              <w:rPr>
                <w:b w:val="0"/>
                <w:bCs/>
                <w:sz w:val="24"/>
                <w:szCs w:val="24"/>
              </w:rPr>
              <w:t xml:space="preserve">, LGA, LAF un AFI reorganizācija, </w:t>
            </w:r>
            <w:proofErr w:type="spellStart"/>
            <w:r w:rsidRPr="008A7F6E">
              <w:rPr>
                <w:b w:val="0"/>
                <w:bCs/>
                <w:sz w:val="24"/>
                <w:szCs w:val="24"/>
              </w:rPr>
              <w:t>Altum</w:t>
            </w:r>
            <w:proofErr w:type="spellEnd"/>
            <w:r w:rsidRPr="008A7F6E">
              <w:rPr>
                <w:b w:val="0"/>
                <w:bCs/>
                <w:sz w:val="24"/>
                <w:szCs w:val="24"/>
              </w:rPr>
              <w:t xml:space="preserve">, LGA, LAF pievienojot AFI. </w:t>
            </w:r>
            <w:r w:rsidR="001721C8">
              <w:rPr>
                <w:b w:val="0"/>
                <w:bCs/>
                <w:sz w:val="24"/>
                <w:szCs w:val="24"/>
              </w:rPr>
              <w:t xml:space="preserve">Ievērojot šo reorganizāciju, </w:t>
            </w:r>
            <w:r w:rsidRPr="008A7F6E">
              <w:rPr>
                <w:b w:val="0"/>
                <w:bCs/>
                <w:sz w:val="24"/>
                <w:szCs w:val="24"/>
              </w:rPr>
              <w:t>2014.gada 30.oktobrī ir pieņemts Attīstības finanšu institūcijas likums.</w:t>
            </w:r>
            <w:r>
              <w:rPr>
                <w:b w:val="0"/>
                <w:bCs/>
                <w:sz w:val="24"/>
                <w:szCs w:val="24"/>
              </w:rPr>
              <w:t xml:space="preserve"> Minētā likuma 12.panta ceturtā daļa attiecībā uz AFI darbību </w:t>
            </w:r>
            <w:r w:rsidR="001721C8">
              <w:rPr>
                <w:b w:val="0"/>
                <w:bCs/>
                <w:sz w:val="24"/>
                <w:szCs w:val="24"/>
              </w:rPr>
              <w:t>paredz</w:t>
            </w:r>
            <w:r>
              <w:rPr>
                <w:b w:val="0"/>
                <w:bCs/>
                <w:sz w:val="24"/>
                <w:szCs w:val="24"/>
              </w:rPr>
              <w:t xml:space="preserve">, ka </w:t>
            </w:r>
            <w:r w:rsidRPr="008A7F6E">
              <w:rPr>
                <w:b w:val="0"/>
                <w:bCs/>
                <w:sz w:val="24"/>
                <w:szCs w:val="24"/>
              </w:rPr>
              <w:t xml:space="preserve">Ministru kabinets apstiprina programmas un nosaka to īstenošanas kārtību, finansējumu, atbalstāmo darbību un izmaksu attiecināmības nosacījumus, tai skaitā finansējumu </w:t>
            </w:r>
            <w:r w:rsidR="001721C8">
              <w:rPr>
                <w:b w:val="0"/>
                <w:bCs/>
                <w:sz w:val="24"/>
                <w:szCs w:val="24"/>
              </w:rPr>
              <w:t>f</w:t>
            </w:r>
            <w:r w:rsidRPr="008A7F6E">
              <w:rPr>
                <w:b w:val="0"/>
                <w:bCs/>
                <w:sz w:val="24"/>
                <w:szCs w:val="24"/>
              </w:rPr>
              <w:t>inanšu institūcijas izdevumu segšanai.</w:t>
            </w:r>
          </w:p>
          <w:p w14:paraId="6AC063ED" w14:textId="7C0C9F27" w:rsidR="002F30BD" w:rsidRDefault="008A7F6E" w:rsidP="000D0E55">
            <w:pPr>
              <w:pStyle w:val="Virsraksts3"/>
              <w:shd w:val="clear" w:color="auto" w:fill="FFFFFF"/>
              <w:spacing w:before="0" w:beforeAutospacing="0" w:after="0" w:afterAutospacing="0"/>
              <w:jc w:val="both"/>
              <w:rPr>
                <w:b w:val="0"/>
                <w:bCs/>
                <w:sz w:val="24"/>
                <w:szCs w:val="24"/>
              </w:rPr>
            </w:pPr>
            <w:r>
              <w:rPr>
                <w:b w:val="0"/>
                <w:bCs/>
                <w:sz w:val="24"/>
                <w:szCs w:val="24"/>
              </w:rPr>
              <w:t>T</w:t>
            </w:r>
            <w:r w:rsidR="002F30BD" w:rsidRPr="00BB7213">
              <w:rPr>
                <w:b w:val="0"/>
                <w:bCs/>
                <w:sz w:val="24"/>
                <w:szCs w:val="24"/>
              </w:rPr>
              <w:t xml:space="preserve">ādēļ noteikumi </w:t>
            </w:r>
            <w:r w:rsidR="001721C8">
              <w:rPr>
                <w:b w:val="0"/>
                <w:bCs/>
                <w:sz w:val="24"/>
                <w:szCs w:val="24"/>
              </w:rPr>
              <w:t xml:space="preserve">Nr.746 </w:t>
            </w:r>
            <w:r w:rsidR="002F30BD" w:rsidRPr="00BB7213">
              <w:rPr>
                <w:b w:val="0"/>
                <w:bCs/>
                <w:sz w:val="24"/>
                <w:szCs w:val="24"/>
              </w:rPr>
              <w:t xml:space="preserve">tiek izdoti </w:t>
            </w:r>
            <w:r>
              <w:rPr>
                <w:b w:val="0"/>
                <w:bCs/>
                <w:sz w:val="24"/>
                <w:szCs w:val="24"/>
              </w:rPr>
              <w:t>no</w:t>
            </w:r>
            <w:r w:rsidRPr="00BB7213">
              <w:rPr>
                <w:b w:val="0"/>
                <w:bCs/>
                <w:sz w:val="24"/>
                <w:szCs w:val="24"/>
              </w:rPr>
              <w:t xml:space="preserve"> </w:t>
            </w:r>
            <w:r w:rsidR="002F30BD" w:rsidRPr="00BB7213">
              <w:rPr>
                <w:b w:val="0"/>
                <w:bCs/>
                <w:sz w:val="24"/>
                <w:szCs w:val="24"/>
              </w:rPr>
              <w:t>jaun</w:t>
            </w:r>
            <w:r>
              <w:rPr>
                <w:b w:val="0"/>
                <w:bCs/>
                <w:sz w:val="24"/>
                <w:szCs w:val="24"/>
              </w:rPr>
              <w:t>a</w:t>
            </w:r>
            <w:r w:rsidR="001721C8">
              <w:rPr>
                <w:b w:val="0"/>
                <w:bCs/>
                <w:sz w:val="24"/>
                <w:szCs w:val="24"/>
              </w:rPr>
              <w:t>,</w:t>
            </w:r>
            <w:r w:rsidR="002F30BD" w:rsidRPr="00BB7213">
              <w:rPr>
                <w:b w:val="0"/>
                <w:bCs/>
                <w:sz w:val="24"/>
                <w:szCs w:val="24"/>
              </w:rPr>
              <w:t xml:space="preserve"> mainot likuma deleģējumu, nosaukumu un garantijas </w:t>
            </w:r>
            <w:proofErr w:type="spellStart"/>
            <w:r w:rsidR="002F30BD" w:rsidRPr="00BB7213">
              <w:rPr>
                <w:b w:val="0"/>
                <w:bCs/>
                <w:sz w:val="24"/>
                <w:szCs w:val="24"/>
              </w:rPr>
              <w:t>piešķīrējiestādi</w:t>
            </w:r>
            <w:proofErr w:type="spellEnd"/>
            <w:r w:rsidR="002F30BD" w:rsidRPr="00BB7213">
              <w:rPr>
                <w:b w:val="0"/>
                <w:bCs/>
                <w:sz w:val="24"/>
                <w:szCs w:val="24"/>
              </w:rPr>
              <w:t xml:space="preserve"> saskaņā ar Attīstības finanšu institūcijas likuma </w:t>
            </w:r>
            <w:r w:rsidR="001721C8">
              <w:rPr>
                <w:b w:val="0"/>
                <w:bCs/>
                <w:sz w:val="24"/>
                <w:szCs w:val="24"/>
              </w:rPr>
              <w:t>(</w:t>
            </w:r>
            <w:r w:rsidR="002F30BD" w:rsidRPr="00BB7213">
              <w:rPr>
                <w:b w:val="0"/>
                <w:bCs/>
                <w:sz w:val="24"/>
                <w:szCs w:val="24"/>
              </w:rPr>
              <w:t>stāj</w:t>
            </w:r>
            <w:r w:rsidR="001721C8">
              <w:rPr>
                <w:b w:val="0"/>
                <w:bCs/>
                <w:sz w:val="24"/>
                <w:szCs w:val="24"/>
              </w:rPr>
              <w:t>ā</w:t>
            </w:r>
            <w:r w:rsidR="002F30BD" w:rsidRPr="00BB7213">
              <w:rPr>
                <w:b w:val="0"/>
                <w:bCs/>
                <w:sz w:val="24"/>
                <w:szCs w:val="24"/>
              </w:rPr>
              <w:t>s spēkā 2015.gada 1.martā</w:t>
            </w:r>
            <w:r w:rsidR="001721C8">
              <w:rPr>
                <w:b w:val="0"/>
                <w:bCs/>
                <w:sz w:val="24"/>
                <w:szCs w:val="24"/>
              </w:rPr>
              <w:t>)</w:t>
            </w:r>
            <w:r w:rsidR="002F30BD" w:rsidRPr="00BB7213">
              <w:rPr>
                <w:b w:val="0"/>
                <w:bCs/>
                <w:sz w:val="24"/>
                <w:szCs w:val="24"/>
              </w:rPr>
              <w:t xml:space="preserve"> 2.panta otrās daļas </w:t>
            </w:r>
            <w:r w:rsidR="001721C8">
              <w:rPr>
                <w:b w:val="0"/>
                <w:bCs/>
                <w:sz w:val="24"/>
                <w:szCs w:val="24"/>
              </w:rPr>
              <w:t>9.</w:t>
            </w:r>
            <w:r w:rsidR="002F30BD" w:rsidRPr="00BB7213">
              <w:rPr>
                <w:b w:val="0"/>
                <w:bCs/>
                <w:sz w:val="24"/>
                <w:szCs w:val="24"/>
              </w:rPr>
              <w:t>punktu. Turpmāk kredītgarantij</w:t>
            </w:r>
            <w:r w:rsidR="001721C8">
              <w:rPr>
                <w:b w:val="0"/>
                <w:bCs/>
                <w:sz w:val="24"/>
                <w:szCs w:val="24"/>
              </w:rPr>
              <w:t>as</w:t>
            </w:r>
            <w:r w:rsidR="002F30BD" w:rsidRPr="00BB7213">
              <w:rPr>
                <w:b w:val="0"/>
                <w:bCs/>
                <w:sz w:val="24"/>
                <w:szCs w:val="24"/>
              </w:rPr>
              <w:t xml:space="preserve"> lauksaimniecības, lauksaimniecības </w:t>
            </w:r>
            <w:r w:rsidR="002F30BD" w:rsidRPr="00BB7213">
              <w:rPr>
                <w:b w:val="0"/>
                <w:bCs/>
                <w:sz w:val="24"/>
                <w:szCs w:val="24"/>
              </w:rPr>
              <w:lastRenderedPageBreak/>
              <w:t>produktu pārstrādes, lauku teritoriju, zivsaimniecības un mežsaimniecības attīstība</w:t>
            </w:r>
            <w:r w:rsidR="001721C8">
              <w:rPr>
                <w:b w:val="0"/>
                <w:bCs/>
                <w:sz w:val="24"/>
                <w:szCs w:val="24"/>
              </w:rPr>
              <w:t>s pasākumiem</w:t>
            </w:r>
            <w:r w:rsidR="002F30BD" w:rsidRPr="00BB7213">
              <w:rPr>
                <w:b w:val="0"/>
                <w:bCs/>
                <w:sz w:val="24"/>
                <w:szCs w:val="24"/>
              </w:rPr>
              <w:t xml:space="preserve"> </w:t>
            </w:r>
            <w:r w:rsidR="001721C8">
              <w:rPr>
                <w:b w:val="0"/>
                <w:bCs/>
                <w:sz w:val="24"/>
                <w:szCs w:val="24"/>
              </w:rPr>
              <w:t>piešķirs</w:t>
            </w:r>
            <w:r w:rsidR="008A4412">
              <w:rPr>
                <w:b w:val="0"/>
                <w:bCs/>
                <w:sz w:val="24"/>
                <w:szCs w:val="24"/>
              </w:rPr>
              <w:t xml:space="preserve"> AFI</w:t>
            </w:r>
            <w:r w:rsidR="002F30BD" w:rsidRPr="00BB7213">
              <w:rPr>
                <w:b w:val="0"/>
                <w:bCs/>
                <w:sz w:val="24"/>
                <w:szCs w:val="24"/>
              </w:rPr>
              <w:t>.</w:t>
            </w:r>
          </w:p>
          <w:p w14:paraId="78209B7A" w14:textId="40204604" w:rsidR="0077120D" w:rsidRDefault="00C52A48" w:rsidP="00A63CC5">
            <w:pPr>
              <w:pStyle w:val="Virsraksts3"/>
              <w:shd w:val="clear" w:color="auto" w:fill="FFFFFF"/>
              <w:spacing w:before="0" w:beforeAutospacing="0" w:after="0" w:afterAutospacing="0"/>
              <w:jc w:val="both"/>
              <w:rPr>
                <w:b w:val="0"/>
                <w:bCs/>
                <w:sz w:val="24"/>
                <w:szCs w:val="24"/>
              </w:rPr>
            </w:pPr>
            <w:r>
              <w:rPr>
                <w:b w:val="0"/>
                <w:bCs/>
                <w:sz w:val="24"/>
                <w:szCs w:val="24"/>
              </w:rPr>
              <w:t>Tā kā</w:t>
            </w:r>
            <w:r w:rsidR="0077120D">
              <w:rPr>
                <w:b w:val="0"/>
                <w:bCs/>
                <w:sz w:val="24"/>
                <w:szCs w:val="24"/>
              </w:rPr>
              <w:t xml:space="preserve"> noteikumu projektā paredzēts kredītgarantijas turpmāk piešķirt</w:t>
            </w:r>
            <w:r w:rsidR="0077120D" w:rsidRPr="00BB7213">
              <w:rPr>
                <w:b w:val="0"/>
                <w:bCs/>
                <w:sz w:val="24"/>
                <w:szCs w:val="24"/>
              </w:rPr>
              <w:t xml:space="preserve"> </w:t>
            </w:r>
            <w:r w:rsidR="0077120D">
              <w:rPr>
                <w:b w:val="0"/>
                <w:bCs/>
                <w:sz w:val="24"/>
                <w:szCs w:val="24"/>
              </w:rPr>
              <w:t xml:space="preserve">saskaņā ar </w:t>
            </w:r>
            <w:r w:rsidR="0077120D" w:rsidRPr="00BB7213">
              <w:rPr>
                <w:b w:val="0"/>
                <w:bCs/>
                <w:sz w:val="24"/>
                <w:szCs w:val="24"/>
              </w:rPr>
              <w:t>Komisijas 2014.gada 25.</w:t>
            </w:r>
            <w:r w:rsidR="0077120D">
              <w:rPr>
                <w:b w:val="0"/>
                <w:bCs/>
                <w:sz w:val="24"/>
                <w:szCs w:val="24"/>
              </w:rPr>
              <w:t xml:space="preserve"> </w:t>
            </w:r>
            <w:r w:rsidR="0077120D" w:rsidRPr="00BB7213">
              <w:rPr>
                <w:b w:val="0"/>
                <w:bCs/>
                <w:sz w:val="24"/>
                <w:szCs w:val="24"/>
              </w:rPr>
              <w:t>jūnija Regulu (ES) Nr.702/2014, ar kuru konkrētas atbalsta kategorijas lauksaimniecības un mežsaimniecības nozarē un lauku apvidos atzīst par saderīgām ar iekšējo tirgu, piemērojot Līguma par Eiropas Savienības darbību 107. un 108.pantu (Eiropas Savienības Oficiālais Vēstnesis, 2014.gada 1.jūlijs, Nr.L193)</w:t>
            </w:r>
            <w:r>
              <w:rPr>
                <w:b w:val="0"/>
                <w:bCs/>
                <w:sz w:val="24"/>
                <w:szCs w:val="24"/>
              </w:rPr>
              <w:t>,</w:t>
            </w:r>
            <w:r w:rsidR="0077120D">
              <w:rPr>
                <w:b w:val="0"/>
                <w:bCs/>
                <w:sz w:val="24"/>
                <w:szCs w:val="24"/>
              </w:rPr>
              <w:t xml:space="preserve"> nevis saskaņā ar saskaņā ar Eiropas Komisijas Lēmumu Nr.SA.37390, </w:t>
            </w:r>
            <w:r w:rsidR="008A4412">
              <w:rPr>
                <w:b w:val="0"/>
                <w:bCs/>
                <w:sz w:val="24"/>
                <w:szCs w:val="24"/>
              </w:rPr>
              <w:t xml:space="preserve">no noteikumiem Nr.746 </w:t>
            </w:r>
            <w:r w:rsidR="0077120D">
              <w:rPr>
                <w:b w:val="0"/>
                <w:bCs/>
                <w:sz w:val="24"/>
                <w:szCs w:val="24"/>
              </w:rPr>
              <w:t>tiek svītrotas vairākas liekas prasības pretendentam</w:t>
            </w:r>
            <w:r>
              <w:rPr>
                <w:b w:val="0"/>
                <w:bCs/>
                <w:sz w:val="24"/>
                <w:szCs w:val="24"/>
              </w:rPr>
              <w:t>, t.i.</w:t>
            </w:r>
            <w:r w:rsidR="008A4412">
              <w:rPr>
                <w:b w:val="0"/>
                <w:bCs/>
                <w:sz w:val="24"/>
                <w:szCs w:val="24"/>
              </w:rPr>
              <w:t>,</w:t>
            </w:r>
            <w:r w:rsidR="0077120D">
              <w:rPr>
                <w:b w:val="0"/>
                <w:bCs/>
                <w:sz w:val="24"/>
                <w:szCs w:val="24"/>
              </w:rPr>
              <w:t xml:space="preserve"> 8.</w:t>
            </w:r>
            <w:r w:rsidR="0077120D" w:rsidRPr="0077120D">
              <w:rPr>
                <w:b w:val="0"/>
                <w:bCs/>
                <w:sz w:val="24"/>
                <w:szCs w:val="24"/>
                <w:vertAlign w:val="superscript"/>
              </w:rPr>
              <w:t>1</w:t>
            </w:r>
            <w:r w:rsidR="0077120D">
              <w:rPr>
                <w:b w:val="0"/>
                <w:bCs/>
                <w:sz w:val="24"/>
                <w:szCs w:val="24"/>
              </w:rPr>
              <w:t xml:space="preserve"> un 8.</w:t>
            </w:r>
            <w:r w:rsidR="0077120D" w:rsidRPr="0077120D">
              <w:rPr>
                <w:b w:val="0"/>
                <w:bCs/>
                <w:sz w:val="24"/>
                <w:szCs w:val="24"/>
                <w:vertAlign w:val="superscript"/>
              </w:rPr>
              <w:t>2</w:t>
            </w:r>
            <w:r w:rsidR="0077120D">
              <w:rPr>
                <w:b w:val="0"/>
                <w:bCs/>
                <w:sz w:val="24"/>
                <w:szCs w:val="24"/>
              </w:rPr>
              <w:t xml:space="preserve"> punkts. </w:t>
            </w:r>
          </w:p>
          <w:p w14:paraId="028987AD" w14:textId="312ADF45" w:rsidR="0077120D" w:rsidRPr="0077120D" w:rsidRDefault="0077120D" w:rsidP="00A63CC5">
            <w:pPr>
              <w:pStyle w:val="Virsraksts3"/>
              <w:shd w:val="clear" w:color="auto" w:fill="FFFFFF"/>
              <w:spacing w:before="0" w:beforeAutospacing="0" w:after="0" w:afterAutospacing="0"/>
              <w:jc w:val="both"/>
              <w:rPr>
                <w:b w:val="0"/>
                <w:bCs/>
                <w:sz w:val="24"/>
                <w:szCs w:val="24"/>
              </w:rPr>
            </w:pPr>
            <w:r>
              <w:rPr>
                <w:b w:val="0"/>
                <w:bCs/>
                <w:sz w:val="24"/>
                <w:szCs w:val="24"/>
              </w:rPr>
              <w:t>Noteikumu Nr.746 7.1. un 7.2.apakšpunkt</w:t>
            </w:r>
            <w:r w:rsidR="00C52A48">
              <w:rPr>
                <w:b w:val="0"/>
                <w:bCs/>
                <w:sz w:val="24"/>
                <w:szCs w:val="24"/>
              </w:rPr>
              <w:t>s</w:t>
            </w:r>
            <w:r>
              <w:rPr>
                <w:b w:val="0"/>
                <w:bCs/>
                <w:sz w:val="24"/>
                <w:szCs w:val="24"/>
              </w:rPr>
              <w:t xml:space="preserve"> </w:t>
            </w:r>
            <w:r w:rsidR="008A4412">
              <w:rPr>
                <w:b w:val="0"/>
                <w:bCs/>
                <w:sz w:val="24"/>
                <w:szCs w:val="24"/>
              </w:rPr>
              <w:t xml:space="preserve">ir </w:t>
            </w:r>
            <w:r>
              <w:rPr>
                <w:b w:val="0"/>
                <w:bCs/>
                <w:sz w:val="24"/>
                <w:szCs w:val="24"/>
              </w:rPr>
              <w:t>apvienot</w:t>
            </w:r>
            <w:r w:rsidR="00C52A48">
              <w:rPr>
                <w:b w:val="0"/>
                <w:bCs/>
                <w:sz w:val="24"/>
                <w:szCs w:val="24"/>
              </w:rPr>
              <w:t>s</w:t>
            </w:r>
            <w:r>
              <w:rPr>
                <w:b w:val="0"/>
                <w:bCs/>
                <w:sz w:val="24"/>
                <w:szCs w:val="24"/>
              </w:rPr>
              <w:t xml:space="preserve"> vienā apakšpunktā</w:t>
            </w:r>
            <w:r w:rsidR="00C52A48">
              <w:rPr>
                <w:b w:val="0"/>
                <w:bCs/>
                <w:sz w:val="24"/>
                <w:szCs w:val="24"/>
              </w:rPr>
              <w:t>,</w:t>
            </w:r>
            <w:r>
              <w:rPr>
                <w:b w:val="0"/>
                <w:bCs/>
                <w:sz w:val="24"/>
                <w:szCs w:val="24"/>
              </w:rPr>
              <w:t xml:space="preserve"> tā </w:t>
            </w:r>
            <w:r w:rsidR="00C52A48">
              <w:rPr>
                <w:b w:val="0"/>
                <w:bCs/>
                <w:sz w:val="24"/>
                <w:szCs w:val="24"/>
              </w:rPr>
              <w:t xml:space="preserve">7.1.apakšpunktā minētajiem atbalsta pretendentiem </w:t>
            </w:r>
            <w:r>
              <w:rPr>
                <w:b w:val="0"/>
                <w:bCs/>
                <w:sz w:val="24"/>
                <w:szCs w:val="24"/>
              </w:rPr>
              <w:t xml:space="preserve">palielinot kredītgarantijas maksimālo apmēru no 853 724 līdz 1 000 000 </w:t>
            </w:r>
            <w:proofErr w:type="spellStart"/>
            <w:r w:rsidRPr="0077120D">
              <w:rPr>
                <w:b w:val="0"/>
                <w:bCs/>
                <w:i/>
                <w:sz w:val="24"/>
                <w:szCs w:val="24"/>
              </w:rPr>
              <w:t>euro</w:t>
            </w:r>
            <w:proofErr w:type="spellEnd"/>
            <w:r>
              <w:rPr>
                <w:b w:val="0"/>
                <w:bCs/>
                <w:sz w:val="24"/>
                <w:szCs w:val="24"/>
              </w:rPr>
              <w:t>.</w:t>
            </w:r>
          </w:p>
          <w:p w14:paraId="7EAA81A3" w14:textId="7707D529" w:rsidR="00C06281" w:rsidRDefault="00676910" w:rsidP="00A63CC5">
            <w:pPr>
              <w:pStyle w:val="Virsraksts3"/>
              <w:shd w:val="clear" w:color="auto" w:fill="FFFFFF"/>
              <w:spacing w:before="0" w:beforeAutospacing="0" w:after="0" w:afterAutospacing="0"/>
              <w:jc w:val="both"/>
              <w:rPr>
                <w:b w:val="0"/>
                <w:bCs/>
                <w:sz w:val="24"/>
                <w:szCs w:val="24"/>
              </w:rPr>
            </w:pPr>
            <w:r w:rsidRPr="00C06281">
              <w:rPr>
                <w:b w:val="0"/>
                <w:bCs/>
                <w:sz w:val="24"/>
                <w:szCs w:val="24"/>
              </w:rPr>
              <w:t xml:space="preserve">Lauksaimniecības un lauku attīstības likumā paredzēts </w:t>
            </w:r>
            <w:r w:rsidR="00C524DF">
              <w:rPr>
                <w:b w:val="0"/>
                <w:bCs/>
                <w:sz w:val="24"/>
                <w:szCs w:val="24"/>
              </w:rPr>
              <w:t>izdarī</w:t>
            </w:r>
            <w:r w:rsidRPr="00C06281">
              <w:rPr>
                <w:b w:val="0"/>
                <w:bCs/>
                <w:sz w:val="24"/>
                <w:szCs w:val="24"/>
              </w:rPr>
              <w:t xml:space="preserve">t grozījumus, svītrojot 5.panta </w:t>
            </w:r>
            <w:r w:rsidR="00C524DF">
              <w:rPr>
                <w:b w:val="0"/>
                <w:bCs/>
                <w:sz w:val="24"/>
                <w:szCs w:val="24"/>
              </w:rPr>
              <w:t xml:space="preserve">desmito </w:t>
            </w:r>
            <w:r w:rsidRPr="00C06281">
              <w:rPr>
                <w:b w:val="0"/>
                <w:bCs/>
                <w:sz w:val="24"/>
                <w:szCs w:val="24"/>
              </w:rPr>
              <w:t>daļu.</w:t>
            </w:r>
          </w:p>
          <w:p w14:paraId="71C66EC9" w14:textId="15BD85E3" w:rsidR="002F30BD" w:rsidRDefault="00C524DF" w:rsidP="00A63CC5">
            <w:pPr>
              <w:pStyle w:val="Virsraksts3"/>
              <w:shd w:val="clear" w:color="auto" w:fill="FFFFFF"/>
              <w:spacing w:before="0" w:beforeAutospacing="0" w:after="0" w:afterAutospacing="0"/>
              <w:jc w:val="both"/>
              <w:rPr>
                <w:b w:val="0"/>
                <w:bCs/>
                <w:sz w:val="24"/>
                <w:szCs w:val="24"/>
              </w:rPr>
            </w:pPr>
            <w:r>
              <w:rPr>
                <w:b w:val="0"/>
                <w:bCs/>
                <w:sz w:val="24"/>
                <w:szCs w:val="24"/>
              </w:rPr>
              <w:t>Atšķirībā no</w:t>
            </w:r>
            <w:r w:rsidR="00B109EA">
              <w:rPr>
                <w:b w:val="0"/>
                <w:bCs/>
                <w:sz w:val="24"/>
                <w:szCs w:val="24"/>
              </w:rPr>
              <w:t xml:space="preserve"> spēkā esoš</w:t>
            </w:r>
            <w:r>
              <w:rPr>
                <w:b w:val="0"/>
                <w:bCs/>
                <w:sz w:val="24"/>
                <w:szCs w:val="24"/>
              </w:rPr>
              <w:t>ā</w:t>
            </w:r>
            <w:r w:rsidR="00B109EA">
              <w:rPr>
                <w:b w:val="0"/>
                <w:bCs/>
                <w:sz w:val="24"/>
                <w:szCs w:val="24"/>
              </w:rPr>
              <w:t xml:space="preserve"> regulējum</w:t>
            </w:r>
            <w:r>
              <w:rPr>
                <w:b w:val="0"/>
                <w:bCs/>
                <w:sz w:val="24"/>
                <w:szCs w:val="24"/>
              </w:rPr>
              <w:t>a</w:t>
            </w:r>
            <w:r w:rsidR="00B109EA">
              <w:rPr>
                <w:b w:val="0"/>
                <w:bCs/>
                <w:sz w:val="24"/>
                <w:szCs w:val="24"/>
              </w:rPr>
              <w:t xml:space="preserve"> noteikumu projektā ir ie</w:t>
            </w:r>
            <w:r w:rsidR="00997B58">
              <w:rPr>
                <w:b w:val="0"/>
                <w:bCs/>
                <w:sz w:val="24"/>
                <w:szCs w:val="24"/>
              </w:rPr>
              <w:t>tver</w:t>
            </w:r>
            <w:r w:rsidR="00B109EA">
              <w:rPr>
                <w:b w:val="0"/>
                <w:bCs/>
                <w:sz w:val="24"/>
                <w:szCs w:val="24"/>
              </w:rPr>
              <w:t>tas tiesību normas,</w:t>
            </w:r>
            <w:r w:rsidR="00415977">
              <w:rPr>
                <w:b w:val="0"/>
                <w:bCs/>
                <w:sz w:val="24"/>
                <w:szCs w:val="24"/>
              </w:rPr>
              <w:t xml:space="preserve"> </w:t>
            </w:r>
            <w:r w:rsidR="00B109EA">
              <w:rPr>
                <w:b w:val="0"/>
                <w:bCs/>
                <w:sz w:val="24"/>
                <w:szCs w:val="24"/>
              </w:rPr>
              <w:t>l</w:t>
            </w:r>
            <w:r w:rsidR="002F30BD" w:rsidRPr="00BB7213">
              <w:rPr>
                <w:b w:val="0"/>
                <w:bCs/>
                <w:sz w:val="24"/>
                <w:szCs w:val="24"/>
              </w:rPr>
              <w:t xml:space="preserve">ai veicinātu Lauku attīstības programmas 2014.–2020.gadam atbalsta pasākumu </w:t>
            </w:r>
            <w:r w:rsidR="00997B58">
              <w:rPr>
                <w:b w:val="0"/>
                <w:bCs/>
                <w:sz w:val="24"/>
                <w:szCs w:val="24"/>
              </w:rPr>
              <w:t xml:space="preserve">īstenošanu </w:t>
            </w:r>
            <w:r w:rsidR="002F30BD" w:rsidRPr="00BB7213">
              <w:rPr>
                <w:b w:val="0"/>
                <w:bCs/>
                <w:sz w:val="24"/>
                <w:szCs w:val="24"/>
              </w:rPr>
              <w:t xml:space="preserve">un Eiropas Lauksaimniecības fonda lauku attīstībai </w:t>
            </w:r>
            <w:r w:rsidR="00997B58" w:rsidRPr="00BB7213">
              <w:rPr>
                <w:b w:val="0"/>
                <w:bCs/>
                <w:sz w:val="24"/>
                <w:szCs w:val="24"/>
              </w:rPr>
              <w:t xml:space="preserve">paredzētā </w:t>
            </w:r>
            <w:r w:rsidR="002F30BD" w:rsidRPr="00BB7213">
              <w:rPr>
                <w:b w:val="0"/>
                <w:bCs/>
                <w:sz w:val="24"/>
                <w:szCs w:val="24"/>
              </w:rPr>
              <w:t xml:space="preserve">finansējuma </w:t>
            </w:r>
            <w:r w:rsidR="00997B58" w:rsidRPr="00BB7213">
              <w:rPr>
                <w:b w:val="0"/>
                <w:bCs/>
                <w:sz w:val="24"/>
                <w:szCs w:val="24"/>
              </w:rPr>
              <w:t xml:space="preserve">sekmīgu </w:t>
            </w:r>
            <w:r w:rsidR="002F30BD" w:rsidRPr="00BB7213">
              <w:rPr>
                <w:b w:val="0"/>
                <w:bCs/>
                <w:sz w:val="24"/>
                <w:szCs w:val="24"/>
              </w:rPr>
              <w:t>apguvi</w:t>
            </w:r>
            <w:r w:rsidR="00997B58">
              <w:rPr>
                <w:b w:val="0"/>
                <w:bCs/>
                <w:sz w:val="24"/>
                <w:szCs w:val="24"/>
              </w:rPr>
              <w:t>,</w:t>
            </w:r>
            <w:r w:rsidR="002F30BD" w:rsidRPr="00BB7213">
              <w:rPr>
                <w:b w:val="0"/>
                <w:bCs/>
                <w:sz w:val="24"/>
                <w:szCs w:val="24"/>
              </w:rPr>
              <w:t xml:space="preserve"> modernizējot ražošanu efektivitātes palielināšanai un radot jaunas darbavietas</w:t>
            </w:r>
            <w:r w:rsidR="00997B58">
              <w:rPr>
                <w:b w:val="0"/>
                <w:bCs/>
                <w:sz w:val="24"/>
                <w:szCs w:val="24"/>
              </w:rPr>
              <w:t>. Tāpēc</w:t>
            </w:r>
            <w:r w:rsidR="002F30BD" w:rsidRPr="00BB7213">
              <w:rPr>
                <w:b w:val="0"/>
                <w:bCs/>
                <w:sz w:val="24"/>
                <w:szCs w:val="24"/>
              </w:rPr>
              <w:t xml:space="preserve"> tiek palielināta maksimālā atbalsta intensitāte atbalsta pasākumiem</w:t>
            </w:r>
            <w:r w:rsidR="0077120D">
              <w:rPr>
                <w:b w:val="0"/>
                <w:bCs/>
                <w:sz w:val="24"/>
                <w:szCs w:val="24"/>
              </w:rPr>
              <w:t xml:space="preserve"> </w:t>
            </w:r>
            <w:r w:rsidR="002F30BD" w:rsidRPr="00BB7213">
              <w:rPr>
                <w:b w:val="0"/>
                <w:bCs/>
                <w:sz w:val="24"/>
                <w:szCs w:val="24"/>
              </w:rPr>
              <w:t>saskaņā ar Komisijas 2014.gada 25.jūnija Regulu (ES) Nr.702/2014, ar kuru konkrētas atbalsta kategorijas lauksaimniecības un mežsaimniecības nozarē un lauku apvidos atzīst par saderīgām ar iekšējo tirgu, piemērojot Līguma par Eiropas Savienības darbību 107. un 108.pantu (Eiropas Savienības Oficiālais Vēstnesis, 2014.gada 1.jūlijs, Nr.L193).</w:t>
            </w:r>
          </w:p>
          <w:p w14:paraId="6495003D" w14:textId="669C8894" w:rsidR="00B109EA" w:rsidRPr="00BB7213" w:rsidRDefault="00997B58" w:rsidP="00997B58">
            <w:pPr>
              <w:pStyle w:val="Virsraksts3"/>
              <w:shd w:val="clear" w:color="auto" w:fill="FFFFFF"/>
              <w:spacing w:before="0" w:beforeAutospacing="0" w:after="0" w:afterAutospacing="0"/>
              <w:jc w:val="both"/>
              <w:rPr>
                <w:b w:val="0"/>
                <w:bCs/>
                <w:sz w:val="24"/>
                <w:szCs w:val="24"/>
              </w:rPr>
            </w:pPr>
            <w:r>
              <w:rPr>
                <w:b w:val="0"/>
                <w:bCs/>
                <w:sz w:val="24"/>
                <w:szCs w:val="24"/>
              </w:rPr>
              <w:t>Ar n</w:t>
            </w:r>
            <w:r w:rsidR="00B109EA">
              <w:rPr>
                <w:b w:val="0"/>
                <w:bCs/>
                <w:sz w:val="24"/>
                <w:szCs w:val="24"/>
              </w:rPr>
              <w:t>oteikumu projekt</w:t>
            </w:r>
            <w:r>
              <w:rPr>
                <w:b w:val="0"/>
                <w:bCs/>
                <w:sz w:val="24"/>
                <w:szCs w:val="24"/>
              </w:rPr>
              <w:t>u</w:t>
            </w:r>
            <w:r w:rsidR="00B109EA">
              <w:rPr>
                <w:b w:val="0"/>
                <w:bCs/>
                <w:sz w:val="24"/>
                <w:szCs w:val="24"/>
              </w:rPr>
              <w:t xml:space="preserve"> par spēku zaudējušiem </w:t>
            </w:r>
            <w:r>
              <w:rPr>
                <w:b w:val="0"/>
                <w:bCs/>
                <w:sz w:val="24"/>
                <w:szCs w:val="24"/>
              </w:rPr>
              <w:t xml:space="preserve">tiek atzīti </w:t>
            </w:r>
            <w:r w:rsidR="00B109EA" w:rsidRPr="00B109EA">
              <w:rPr>
                <w:b w:val="0"/>
                <w:bCs/>
                <w:sz w:val="24"/>
                <w:szCs w:val="24"/>
              </w:rPr>
              <w:t>noteikumi Nr.746</w:t>
            </w:r>
            <w:r w:rsidR="00930360">
              <w:rPr>
                <w:b w:val="0"/>
                <w:bCs/>
                <w:sz w:val="24"/>
                <w:szCs w:val="24"/>
              </w:rPr>
              <w:t>.</w:t>
            </w:r>
          </w:p>
        </w:tc>
      </w:tr>
      <w:tr w:rsidR="002F30BD" w:rsidRPr="00ED22C8" w14:paraId="337C2057" w14:textId="77777777" w:rsidTr="00422589">
        <w:trPr>
          <w:trHeight w:val="476"/>
        </w:trPr>
        <w:tc>
          <w:tcPr>
            <w:tcW w:w="227" w:type="pct"/>
          </w:tcPr>
          <w:p w14:paraId="35135A1D" w14:textId="71269C09" w:rsidR="002F30BD" w:rsidRPr="00DD49B6" w:rsidRDefault="002F30BD" w:rsidP="00C72A47">
            <w:pPr>
              <w:pStyle w:val="naiskr"/>
              <w:spacing w:before="0" w:beforeAutospacing="0" w:after="0" w:afterAutospacing="0"/>
              <w:ind w:left="57" w:right="57"/>
              <w:jc w:val="center"/>
            </w:pPr>
            <w:r w:rsidRPr="00DD49B6">
              <w:lastRenderedPageBreak/>
              <w:t>3.</w:t>
            </w:r>
          </w:p>
        </w:tc>
        <w:tc>
          <w:tcPr>
            <w:tcW w:w="1565" w:type="pct"/>
          </w:tcPr>
          <w:p w14:paraId="4274DED4" w14:textId="77777777" w:rsidR="002F30BD" w:rsidRPr="00DD49B6" w:rsidRDefault="002F30BD" w:rsidP="00C72A47">
            <w:pPr>
              <w:pStyle w:val="naiskr"/>
              <w:spacing w:before="0" w:beforeAutospacing="0" w:after="0" w:afterAutospacing="0"/>
              <w:ind w:left="57" w:right="57"/>
            </w:pPr>
            <w:r w:rsidRPr="00DD49B6">
              <w:t>Projekta izstrādē iesaistītās institūcijas</w:t>
            </w:r>
          </w:p>
        </w:tc>
        <w:tc>
          <w:tcPr>
            <w:tcW w:w="3208" w:type="pct"/>
          </w:tcPr>
          <w:p w14:paraId="1895521F" w14:textId="1612D478" w:rsidR="002F30BD" w:rsidRPr="00ED22C8" w:rsidRDefault="002F30BD" w:rsidP="008A4412">
            <w:pPr>
              <w:spacing w:after="0" w:line="240" w:lineRule="auto"/>
              <w:ind w:left="57" w:right="57"/>
              <w:rPr>
                <w:rFonts w:ascii="Times New Roman" w:hAnsi="Times New Roman"/>
                <w:b/>
                <w:sz w:val="24"/>
                <w:szCs w:val="24"/>
              </w:rPr>
            </w:pPr>
            <w:r w:rsidRPr="00290226">
              <w:rPr>
                <w:rFonts w:ascii="Times New Roman" w:hAnsi="Times New Roman"/>
                <w:bCs/>
                <w:sz w:val="24"/>
                <w:szCs w:val="24"/>
              </w:rPr>
              <w:t>Zemkopības ministrija</w:t>
            </w:r>
            <w:r>
              <w:rPr>
                <w:rFonts w:ascii="Times New Roman" w:hAnsi="Times New Roman"/>
                <w:bCs/>
                <w:sz w:val="24"/>
                <w:szCs w:val="24"/>
              </w:rPr>
              <w:t xml:space="preserve"> un </w:t>
            </w:r>
            <w:r w:rsidR="008A4412">
              <w:rPr>
                <w:rFonts w:ascii="Times New Roman" w:hAnsi="Times New Roman"/>
                <w:bCs/>
                <w:sz w:val="24"/>
                <w:szCs w:val="24"/>
              </w:rPr>
              <w:t>AFI</w:t>
            </w:r>
          </w:p>
        </w:tc>
      </w:tr>
      <w:tr w:rsidR="002F30BD" w:rsidRPr="00ED22C8" w14:paraId="34ABCA31" w14:textId="77777777" w:rsidTr="00422589">
        <w:tc>
          <w:tcPr>
            <w:tcW w:w="227" w:type="pct"/>
          </w:tcPr>
          <w:p w14:paraId="3BF18279" w14:textId="77777777" w:rsidR="002F30BD" w:rsidRPr="00DD49B6" w:rsidRDefault="002F30BD" w:rsidP="00C72A47">
            <w:pPr>
              <w:pStyle w:val="naiskr"/>
              <w:spacing w:before="0" w:beforeAutospacing="0" w:after="0" w:afterAutospacing="0"/>
              <w:ind w:left="57" w:right="57"/>
              <w:jc w:val="center"/>
            </w:pPr>
            <w:r w:rsidRPr="00DD49B6">
              <w:t>4.</w:t>
            </w:r>
          </w:p>
        </w:tc>
        <w:tc>
          <w:tcPr>
            <w:tcW w:w="1565" w:type="pct"/>
          </w:tcPr>
          <w:p w14:paraId="3B271FC5" w14:textId="77777777" w:rsidR="002F30BD" w:rsidRPr="00DD49B6" w:rsidRDefault="002F30BD" w:rsidP="00C72A47">
            <w:pPr>
              <w:pStyle w:val="naiskr"/>
              <w:spacing w:before="0" w:beforeAutospacing="0" w:after="0" w:afterAutospacing="0"/>
              <w:ind w:left="57" w:right="57"/>
            </w:pPr>
            <w:r w:rsidRPr="00DD49B6">
              <w:t>Cita informācija</w:t>
            </w:r>
          </w:p>
        </w:tc>
        <w:tc>
          <w:tcPr>
            <w:tcW w:w="3208" w:type="pct"/>
          </w:tcPr>
          <w:p w14:paraId="66FA8ACD" w14:textId="77777777" w:rsidR="002F30BD" w:rsidRPr="00DD49B6" w:rsidRDefault="002F30BD" w:rsidP="00C72A47">
            <w:pPr>
              <w:pStyle w:val="naiskr"/>
              <w:spacing w:before="0" w:beforeAutospacing="0" w:after="0" w:afterAutospacing="0"/>
              <w:ind w:left="57" w:right="57"/>
            </w:pPr>
            <w:r>
              <w:t>Nav.</w:t>
            </w:r>
          </w:p>
        </w:tc>
      </w:tr>
    </w:tbl>
    <w:p w14:paraId="3D788CF9" w14:textId="77777777" w:rsidR="002F30BD" w:rsidRPr="00DD49B6" w:rsidRDefault="002F30BD" w:rsidP="000330A2">
      <w:pPr>
        <w:spacing w:after="0" w:line="240" w:lineRule="auto"/>
        <w:rPr>
          <w:rFonts w:ascii="Times New Roman" w:hAnsi="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2F30BD" w:rsidRPr="00ED22C8" w14:paraId="77845BC1" w14:textId="77777777" w:rsidTr="00C72A47">
        <w:trPr>
          <w:trHeight w:val="556"/>
        </w:trPr>
        <w:tc>
          <w:tcPr>
            <w:tcW w:w="9503" w:type="dxa"/>
            <w:gridSpan w:val="3"/>
            <w:vAlign w:val="center"/>
          </w:tcPr>
          <w:p w14:paraId="54C4F7C2" w14:textId="77777777" w:rsidR="002F30BD" w:rsidRPr="00DD49B6" w:rsidRDefault="002F30BD" w:rsidP="00C72A47">
            <w:pPr>
              <w:pStyle w:val="naisnod"/>
              <w:spacing w:before="0" w:beforeAutospacing="0" w:after="0" w:afterAutospacing="0"/>
              <w:ind w:left="57" w:right="57"/>
              <w:jc w:val="center"/>
              <w:rPr>
                <w:b/>
              </w:rPr>
            </w:pPr>
            <w:r w:rsidRPr="00DD49B6">
              <w:rPr>
                <w:b/>
              </w:rPr>
              <w:t>II. Tiesību akta projekta ietekme uz sabiedrību, tautsaimniecības attīstību</w:t>
            </w:r>
          </w:p>
          <w:p w14:paraId="2361BC5F" w14:textId="77777777" w:rsidR="002F30BD" w:rsidRPr="00DD49B6" w:rsidRDefault="002F30BD" w:rsidP="00C72A47">
            <w:pPr>
              <w:pStyle w:val="naisnod"/>
              <w:spacing w:before="0" w:beforeAutospacing="0" w:after="0" w:afterAutospacing="0"/>
              <w:ind w:left="57" w:right="57"/>
              <w:jc w:val="center"/>
              <w:rPr>
                <w:b/>
              </w:rPr>
            </w:pPr>
            <w:r w:rsidRPr="00DD49B6">
              <w:rPr>
                <w:b/>
              </w:rPr>
              <w:t>un administratīvo slogu</w:t>
            </w:r>
          </w:p>
        </w:tc>
      </w:tr>
      <w:tr w:rsidR="002F30BD" w:rsidRPr="00ED22C8" w14:paraId="747D9B7B" w14:textId="77777777" w:rsidTr="00C72A47">
        <w:trPr>
          <w:trHeight w:val="467"/>
        </w:trPr>
        <w:tc>
          <w:tcPr>
            <w:tcW w:w="431" w:type="dxa"/>
          </w:tcPr>
          <w:p w14:paraId="2BC0F3C0" w14:textId="77777777" w:rsidR="002F30BD" w:rsidRPr="00DD49B6" w:rsidRDefault="002F30BD" w:rsidP="00C72A47">
            <w:pPr>
              <w:pStyle w:val="naiskr"/>
              <w:spacing w:before="0" w:beforeAutospacing="0" w:after="0" w:afterAutospacing="0"/>
              <w:ind w:left="57" w:right="57"/>
              <w:jc w:val="both"/>
            </w:pPr>
            <w:r w:rsidRPr="00DD49B6">
              <w:t>1.</w:t>
            </w:r>
          </w:p>
        </w:tc>
        <w:tc>
          <w:tcPr>
            <w:tcW w:w="2976" w:type="dxa"/>
          </w:tcPr>
          <w:p w14:paraId="2453D150" w14:textId="77777777" w:rsidR="002F30BD" w:rsidRPr="00DD49B6" w:rsidRDefault="002F30BD" w:rsidP="00C72A47">
            <w:pPr>
              <w:pStyle w:val="naiskr"/>
              <w:spacing w:before="0" w:beforeAutospacing="0" w:after="0" w:afterAutospacing="0"/>
              <w:ind w:left="57" w:right="57"/>
            </w:pPr>
            <w:r w:rsidRPr="00DD49B6">
              <w:t>Sabiedrības mērķgrupas, kuras tiesiskais regulējums ietekmē vai varētu ietekmēt</w:t>
            </w:r>
          </w:p>
        </w:tc>
        <w:tc>
          <w:tcPr>
            <w:tcW w:w="6096" w:type="dxa"/>
          </w:tcPr>
          <w:p w14:paraId="3E91A542" w14:textId="48DF1DCD" w:rsidR="002F30BD" w:rsidRPr="00ED22C8" w:rsidRDefault="002F30BD" w:rsidP="00676910">
            <w:pPr>
              <w:shd w:val="clear" w:color="auto" w:fill="FFFFFF"/>
              <w:spacing w:after="0" w:line="240" w:lineRule="auto"/>
              <w:ind w:left="57" w:right="57"/>
              <w:jc w:val="both"/>
              <w:rPr>
                <w:rFonts w:ascii="Times New Roman" w:hAnsi="Times New Roman"/>
                <w:sz w:val="24"/>
                <w:szCs w:val="24"/>
              </w:rPr>
            </w:pPr>
            <w:bookmarkStart w:id="1" w:name="p21"/>
            <w:bookmarkEnd w:id="1"/>
            <w:r w:rsidRPr="00290226">
              <w:rPr>
                <w:rFonts w:ascii="Times New Roman" w:hAnsi="Times New Roman"/>
                <w:bCs/>
                <w:sz w:val="24"/>
                <w:szCs w:val="24"/>
              </w:rPr>
              <w:t>Ministru kabineta noteikumu projekts attiecas uz</w:t>
            </w:r>
            <w:r>
              <w:rPr>
                <w:rFonts w:ascii="Times New Roman" w:hAnsi="Times New Roman"/>
                <w:bCs/>
                <w:sz w:val="24"/>
                <w:szCs w:val="24"/>
              </w:rPr>
              <w:t xml:space="preserve"> lauksaimniecības, mežsaimniecības,</w:t>
            </w:r>
            <w:r w:rsidRPr="00290226">
              <w:rPr>
                <w:rFonts w:ascii="Times New Roman" w:hAnsi="Times New Roman"/>
                <w:bCs/>
                <w:sz w:val="24"/>
                <w:szCs w:val="24"/>
              </w:rPr>
              <w:t xml:space="preserve"> pārtikas pārstrādes</w:t>
            </w:r>
            <w:r>
              <w:rPr>
                <w:rFonts w:ascii="Times New Roman" w:hAnsi="Times New Roman"/>
                <w:bCs/>
                <w:sz w:val="24"/>
                <w:szCs w:val="24"/>
              </w:rPr>
              <w:t xml:space="preserve"> un zivsaimniecības</w:t>
            </w:r>
            <w:r w:rsidRPr="00290226">
              <w:rPr>
                <w:rFonts w:ascii="Times New Roman" w:hAnsi="Times New Roman"/>
                <w:bCs/>
                <w:sz w:val="24"/>
                <w:szCs w:val="24"/>
              </w:rPr>
              <w:t xml:space="preserve"> </w:t>
            </w:r>
            <w:r w:rsidR="00676910" w:rsidRPr="00290226">
              <w:rPr>
                <w:rFonts w:ascii="Times New Roman" w:hAnsi="Times New Roman"/>
                <w:bCs/>
                <w:sz w:val="24"/>
                <w:szCs w:val="24"/>
              </w:rPr>
              <w:t>nozar</w:t>
            </w:r>
            <w:r w:rsidR="00676910">
              <w:rPr>
                <w:rFonts w:ascii="Times New Roman" w:hAnsi="Times New Roman"/>
                <w:bCs/>
                <w:sz w:val="24"/>
                <w:szCs w:val="24"/>
              </w:rPr>
              <w:t>ē iesaistītajiem</w:t>
            </w:r>
            <w:r w:rsidRPr="00290226">
              <w:rPr>
                <w:rFonts w:ascii="Times New Roman" w:hAnsi="Times New Roman"/>
                <w:bCs/>
                <w:sz w:val="24"/>
                <w:szCs w:val="24"/>
              </w:rPr>
              <w:t>.</w:t>
            </w:r>
          </w:p>
        </w:tc>
      </w:tr>
      <w:tr w:rsidR="002F30BD" w:rsidRPr="00ED22C8" w14:paraId="2E70D86B" w14:textId="77777777" w:rsidTr="00C72A47">
        <w:trPr>
          <w:trHeight w:val="523"/>
        </w:trPr>
        <w:tc>
          <w:tcPr>
            <w:tcW w:w="431" w:type="dxa"/>
          </w:tcPr>
          <w:p w14:paraId="11C2BAF8" w14:textId="77777777" w:rsidR="002F30BD" w:rsidRPr="00DD49B6" w:rsidRDefault="002F30BD" w:rsidP="00C72A47">
            <w:pPr>
              <w:pStyle w:val="naiskr"/>
              <w:spacing w:before="0" w:beforeAutospacing="0" w:after="0" w:afterAutospacing="0"/>
              <w:ind w:left="57" w:right="57"/>
              <w:jc w:val="both"/>
            </w:pPr>
            <w:r w:rsidRPr="00DD49B6">
              <w:t>2.</w:t>
            </w:r>
          </w:p>
        </w:tc>
        <w:tc>
          <w:tcPr>
            <w:tcW w:w="2976" w:type="dxa"/>
          </w:tcPr>
          <w:p w14:paraId="768B642D" w14:textId="77777777" w:rsidR="002F30BD" w:rsidRPr="00DD49B6" w:rsidRDefault="002F30BD" w:rsidP="00C72A47">
            <w:pPr>
              <w:pStyle w:val="naiskr"/>
              <w:spacing w:before="0" w:beforeAutospacing="0" w:after="0" w:afterAutospacing="0"/>
              <w:ind w:left="57" w:right="57"/>
            </w:pPr>
            <w:r w:rsidRPr="00DD49B6">
              <w:t>Tiesiskā regulējuma ietekme uz tautsaimniecību un administratīvo slogu</w:t>
            </w:r>
          </w:p>
        </w:tc>
        <w:tc>
          <w:tcPr>
            <w:tcW w:w="6096" w:type="dxa"/>
          </w:tcPr>
          <w:p w14:paraId="5C8F195E" w14:textId="184ECB38" w:rsidR="002F30BD" w:rsidRPr="00BD3C7E" w:rsidRDefault="002F30BD" w:rsidP="00A63CC5">
            <w:pPr>
              <w:spacing w:after="0" w:line="240" w:lineRule="auto"/>
              <w:jc w:val="both"/>
              <w:rPr>
                <w:rFonts w:ascii="Times New Roman" w:hAnsi="Times New Roman"/>
                <w:sz w:val="24"/>
              </w:rPr>
            </w:pPr>
            <w:r w:rsidRPr="00BD3C7E">
              <w:rPr>
                <w:rFonts w:ascii="Times New Roman" w:hAnsi="Times New Roman"/>
                <w:sz w:val="24"/>
              </w:rPr>
              <w:t xml:space="preserve">Pārtikas rūpniecība ir lielākā Latvijas apstrādes rūpniecības nozare un veido aptuveni piekto daļu no apstrādes rūpniecības pievienotās vērtības. 2013. gadā nozares pievienotā vērtība bija 654,9 miljoni </w:t>
            </w:r>
            <w:proofErr w:type="spellStart"/>
            <w:r w:rsidR="00997B58" w:rsidRPr="009741FB">
              <w:rPr>
                <w:rFonts w:ascii="Times New Roman" w:hAnsi="Times New Roman"/>
                <w:i/>
                <w:sz w:val="24"/>
              </w:rPr>
              <w:t>euro</w:t>
            </w:r>
            <w:proofErr w:type="spellEnd"/>
            <w:r w:rsidR="00997B58">
              <w:rPr>
                <w:rFonts w:ascii="Times New Roman" w:hAnsi="Times New Roman"/>
                <w:sz w:val="24"/>
              </w:rPr>
              <w:t> –</w:t>
            </w:r>
            <w:r w:rsidRPr="00BD3C7E">
              <w:rPr>
                <w:rFonts w:ascii="Times New Roman" w:hAnsi="Times New Roman"/>
                <w:sz w:val="24"/>
              </w:rPr>
              <w:t xml:space="preserve"> salīdzinājumā ar 2008.</w:t>
            </w:r>
            <w:r w:rsidR="00997B58">
              <w:rPr>
                <w:rFonts w:ascii="Times New Roman" w:hAnsi="Times New Roman"/>
                <w:sz w:val="24"/>
              </w:rPr>
              <w:t> </w:t>
            </w:r>
            <w:r w:rsidRPr="00BD3C7E">
              <w:rPr>
                <w:rFonts w:ascii="Times New Roman" w:hAnsi="Times New Roman"/>
                <w:sz w:val="24"/>
              </w:rPr>
              <w:t>gadu tā palielinājusies par 30,8%</w:t>
            </w:r>
            <w:r>
              <w:rPr>
                <w:rFonts w:ascii="Times New Roman" w:hAnsi="Times New Roman"/>
                <w:sz w:val="24"/>
              </w:rPr>
              <w:t xml:space="preserve"> ar</w:t>
            </w:r>
            <w:r w:rsidRPr="00BD3C7E">
              <w:rPr>
                <w:rFonts w:ascii="Times New Roman" w:hAnsi="Times New Roman"/>
                <w:sz w:val="24"/>
              </w:rPr>
              <w:t xml:space="preserve"> vienmērīg</w:t>
            </w:r>
            <w:r>
              <w:rPr>
                <w:rFonts w:ascii="Times New Roman" w:hAnsi="Times New Roman"/>
                <w:sz w:val="24"/>
              </w:rPr>
              <w:t>u kāpumu</w:t>
            </w:r>
            <w:r w:rsidRPr="00BD3C7E">
              <w:rPr>
                <w:rFonts w:ascii="Times New Roman" w:hAnsi="Times New Roman"/>
                <w:sz w:val="24"/>
              </w:rPr>
              <w:t xml:space="preserve"> katru gadu. </w:t>
            </w:r>
            <w:r w:rsidRPr="00BD3C7E">
              <w:rPr>
                <w:rFonts w:ascii="Times New Roman" w:hAnsi="Times New Roman"/>
                <w:sz w:val="24"/>
              </w:rPr>
              <w:lastRenderedPageBreak/>
              <w:t xml:space="preserve">Nozares īpatsvars kopējā pievienotajā vērtībā pēdējos gados ir stabils, ar nelielām </w:t>
            </w:r>
            <w:r>
              <w:rPr>
                <w:rFonts w:ascii="Times New Roman" w:hAnsi="Times New Roman"/>
                <w:sz w:val="24"/>
              </w:rPr>
              <w:t>pār</w:t>
            </w:r>
            <w:r w:rsidRPr="00BD3C7E">
              <w:rPr>
                <w:rFonts w:ascii="Times New Roman" w:hAnsi="Times New Roman"/>
                <w:sz w:val="24"/>
              </w:rPr>
              <w:t>maiņām.</w:t>
            </w:r>
          </w:p>
          <w:p w14:paraId="78CD1146" w14:textId="7332A047" w:rsidR="002F30BD" w:rsidRPr="00BD3C7E" w:rsidRDefault="002F30BD" w:rsidP="00A63CC5">
            <w:pPr>
              <w:spacing w:after="0" w:line="240" w:lineRule="auto"/>
              <w:jc w:val="both"/>
              <w:rPr>
                <w:rFonts w:ascii="Times New Roman" w:hAnsi="Times New Roman"/>
                <w:sz w:val="24"/>
              </w:rPr>
            </w:pPr>
            <w:r w:rsidRPr="00BD3C7E">
              <w:rPr>
                <w:rFonts w:ascii="Times New Roman" w:hAnsi="Times New Roman"/>
                <w:sz w:val="24"/>
              </w:rPr>
              <w:t>2013. gadā turpināja p</w:t>
            </w:r>
            <w:r>
              <w:rPr>
                <w:rFonts w:ascii="Times New Roman" w:hAnsi="Times New Roman"/>
                <w:sz w:val="24"/>
              </w:rPr>
              <w:t>alielināties</w:t>
            </w:r>
            <w:r w:rsidRPr="00BD3C7E">
              <w:rPr>
                <w:rFonts w:ascii="Times New Roman" w:hAnsi="Times New Roman"/>
                <w:sz w:val="24"/>
              </w:rPr>
              <w:t xml:space="preserve"> lauksaimniecības, pārtikas un zivsaimniecības produktu eksports vērtības izteiksmē un lauksaimniecības, pārtikas un zivsaimniecības produkti </w:t>
            </w:r>
            <w:r w:rsidR="00997B58">
              <w:rPr>
                <w:rFonts w:ascii="Times New Roman" w:hAnsi="Times New Roman"/>
                <w:sz w:val="24"/>
              </w:rPr>
              <w:t xml:space="preserve">veidoja </w:t>
            </w:r>
            <w:r w:rsidRPr="00BD3C7E">
              <w:rPr>
                <w:rFonts w:ascii="Times New Roman" w:hAnsi="Times New Roman"/>
                <w:sz w:val="24"/>
              </w:rPr>
              <w:t>nozīmīg</w:t>
            </w:r>
            <w:r w:rsidR="00997B58">
              <w:rPr>
                <w:rFonts w:ascii="Times New Roman" w:hAnsi="Times New Roman"/>
                <w:sz w:val="24"/>
              </w:rPr>
              <w:t>u daļu</w:t>
            </w:r>
            <w:r w:rsidRPr="00BD3C7E">
              <w:rPr>
                <w:rFonts w:ascii="Times New Roman" w:hAnsi="Times New Roman"/>
                <w:sz w:val="24"/>
              </w:rPr>
              <w:t xml:space="preserve"> Latvijas eksport</w:t>
            </w:r>
            <w:r w:rsidR="00997B58">
              <w:rPr>
                <w:rFonts w:ascii="Times New Roman" w:hAnsi="Times New Roman"/>
                <w:sz w:val="24"/>
              </w:rPr>
              <w:t>ā</w:t>
            </w:r>
            <w:r w:rsidRPr="00BD3C7E">
              <w:rPr>
                <w:rFonts w:ascii="Times New Roman" w:hAnsi="Times New Roman"/>
                <w:sz w:val="24"/>
              </w:rPr>
              <w:t xml:space="preserve"> (2</w:t>
            </w:r>
            <w:r w:rsidR="00997B58">
              <w:rPr>
                <w:rFonts w:ascii="Times New Roman" w:hAnsi="Times New Roman"/>
                <w:sz w:val="24"/>
              </w:rPr>
              <w:t> </w:t>
            </w:r>
            <w:r w:rsidRPr="00BD3C7E">
              <w:rPr>
                <w:rFonts w:ascii="Times New Roman" w:hAnsi="Times New Roman"/>
                <w:sz w:val="24"/>
              </w:rPr>
              <w:t xml:space="preserve">312,8 milj. </w:t>
            </w:r>
            <w:proofErr w:type="spellStart"/>
            <w:r w:rsidR="00997B58" w:rsidRPr="00FD4B4E">
              <w:rPr>
                <w:rFonts w:ascii="Times New Roman" w:hAnsi="Times New Roman"/>
                <w:i/>
                <w:sz w:val="24"/>
              </w:rPr>
              <w:t>euro</w:t>
            </w:r>
            <w:proofErr w:type="spellEnd"/>
            <w:r w:rsidR="00997B58">
              <w:rPr>
                <w:rFonts w:ascii="Times New Roman" w:hAnsi="Times New Roman"/>
                <w:i/>
                <w:sz w:val="24"/>
              </w:rPr>
              <w:t xml:space="preserve"> </w:t>
            </w:r>
            <w:r w:rsidRPr="00BD3C7E">
              <w:rPr>
                <w:rFonts w:ascii="Times New Roman" w:hAnsi="Times New Roman"/>
                <w:sz w:val="24"/>
              </w:rPr>
              <w:t>jeb 21,2% no Latvijas kopējās eksporta vērtības), apsteidzot meža nozares produktu eksporta vērtību (1</w:t>
            </w:r>
            <w:r w:rsidR="00997B58">
              <w:rPr>
                <w:rFonts w:ascii="Times New Roman" w:hAnsi="Times New Roman"/>
                <w:sz w:val="24"/>
              </w:rPr>
              <w:t> </w:t>
            </w:r>
            <w:r w:rsidRPr="00BD3C7E">
              <w:rPr>
                <w:rFonts w:ascii="Times New Roman" w:hAnsi="Times New Roman"/>
                <w:sz w:val="24"/>
              </w:rPr>
              <w:t>876,6 milj.</w:t>
            </w:r>
            <w:r w:rsidR="00C52A48">
              <w:rPr>
                <w:rFonts w:ascii="Times New Roman" w:hAnsi="Times New Roman"/>
                <w:sz w:val="24"/>
              </w:rPr>
              <w:t xml:space="preserve"> </w:t>
            </w:r>
            <w:proofErr w:type="spellStart"/>
            <w:r w:rsidR="00997B58" w:rsidRPr="00FD4B4E">
              <w:rPr>
                <w:rFonts w:ascii="Times New Roman" w:hAnsi="Times New Roman"/>
                <w:i/>
                <w:sz w:val="24"/>
              </w:rPr>
              <w:t>euro</w:t>
            </w:r>
            <w:proofErr w:type="spellEnd"/>
            <w:r w:rsidRPr="00BD3C7E">
              <w:rPr>
                <w:rFonts w:ascii="Times New Roman" w:hAnsi="Times New Roman"/>
                <w:sz w:val="24"/>
              </w:rPr>
              <w:t xml:space="preserve"> jeb 17,2%). 2013. gadā eksporta vērtība sasniedza augstākos rādītājus pēdējo astoņu gadu laikā</w:t>
            </w:r>
            <w:r>
              <w:rPr>
                <w:rFonts w:ascii="Times New Roman" w:hAnsi="Times New Roman"/>
                <w:sz w:val="24"/>
              </w:rPr>
              <w:t>.</w:t>
            </w:r>
          </w:p>
          <w:p w14:paraId="6E1C9A5F" w14:textId="762A2175" w:rsidR="002F30BD" w:rsidRPr="00BD3C7E" w:rsidRDefault="002F30BD" w:rsidP="00A63CC5">
            <w:pPr>
              <w:autoSpaceDE w:val="0"/>
              <w:autoSpaceDN w:val="0"/>
              <w:adjustRightInd w:val="0"/>
              <w:spacing w:after="0" w:line="240" w:lineRule="auto"/>
              <w:jc w:val="both"/>
              <w:rPr>
                <w:rFonts w:ascii="Times New Roman" w:hAnsi="Times New Roman"/>
                <w:sz w:val="24"/>
              </w:rPr>
            </w:pPr>
            <w:r w:rsidRPr="00BD3C7E">
              <w:rPr>
                <w:rFonts w:ascii="Times New Roman" w:hAnsi="Times New Roman"/>
                <w:sz w:val="24"/>
              </w:rPr>
              <w:t xml:space="preserve">2013. gadā </w:t>
            </w:r>
            <w:r w:rsidR="00997B58">
              <w:rPr>
                <w:rFonts w:ascii="Times New Roman" w:hAnsi="Times New Roman"/>
                <w:sz w:val="24"/>
              </w:rPr>
              <w:t>bija</w:t>
            </w:r>
            <w:r w:rsidRPr="00BD3C7E">
              <w:rPr>
                <w:rFonts w:ascii="Times New Roman" w:hAnsi="Times New Roman"/>
                <w:sz w:val="24"/>
              </w:rPr>
              <w:t xml:space="preserve"> novērojams lauksaimniecības, pārtikas un zivsaimniecības produktu eksporta vērtības palielinājums, pārsniedzot importa vērtību un veidojot pozitīvu tirdzniecības bilanci. Eksports vērtības izteiksmē pieauga par 1,6% jeb par 36,1 milj. </w:t>
            </w:r>
            <w:proofErr w:type="spellStart"/>
            <w:r w:rsidR="00997B58" w:rsidRPr="00FD4B4E">
              <w:rPr>
                <w:rFonts w:ascii="Times New Roman" w:hAnsi="Times New Roman"/>
                <w:i/>
                <w:sz w:val="24"/>
              </w:rPr>
              <w:t>euro</w:t>
            </w:r>
            <w:proofErr w:type="spellEnd"/>
            <w:r w:rsidRPr="00BD3C7E">
              <w:rPr>
                <w:rFonts w:ascii="Times New Roman" w:hAnsi="Times New Roman"/>
                <w:sz w:val="24"/>
              </w:rPr>
              <w:t xml:space="preserve"> salīdzinājumā ar 2012. gadu, savukārt imports palielinājās tikai par 8,4% jeb par 175,9 milj. </w:t>
            </w:r>
            <w:proofErr w:type="spellStart"/>
            <w:r w:rsidR="00997B58" w:rsidRPr="00FD4B4E">
              <w:rPr>
                <w:rFonts w:ascii="Times New Roman" w:hAnsi="Times New Roman"/>
                <w:i/>
                <w:sz w:val="24"/>
              </w:rPr>
              <w:t>euro</w:t>
            </w:r>
            <w:proofErr w:type="spellEnd"/>
            <w:r w:rsidRPr="00BD3C7E">
              <w:rPr>
                <w:rFonts w:ascii="Times New Roman" w:hAnsi="Times New Roman"/>
                <w:sz w:val="24"/>
              </w:rPr>
              <w:t xml:space="preserve">. </w:t>
            </w:r>
          </w:p>
          <w:p w14:paraId="5A5B16BC" w14:textId="11C9CA4A" w:rsidR="002F30BD" w:rsidRDefault="002F30BD" w:rsidP="00A63CC5">
            <w:pPr>
              <w:spacing w:after="0" w:line="240" w:lineRule="auto"/>
              <w:jc w:val="both"/>
              <w:rPr>
                <w:rFonts w:ascii="Times New Roman" w:hAnsi="Times New Roman"/>
                <w:sz w:val="24"/>
              </w:rPr>
            </w:pPr>
            <w:r w:rsidRPr="00BD3C7E">
              <w:rPr>
                <w:rFonts w:ascii="Times New Roman" w:hAnsi="Times New Roman"/>
                <w:sz w:val="24"/>
              </w:rPr>
              <w:t xml:space="preserve">Lauksaimniecības, pārtikas un zivsaimniecības produktu eksporta </w:t>
            </w:r>
            <w:r w:rsidR="00997B58">
              <w:rPr>
                <w:rFonts w:ascii="Times New Roman" w:hAnsi="Times New Roman"/>
                <w:sz w:val="24"/>
              </w:rPr>
              <w:t>kāpums</w:t>
            </w:r>
            <w:r w:rsidRPr="00BD3C7E">
              <w:rPr>
                <w:rFonts w:ascii="Times New Roman" w:hAnsi="Times New Roman"/>
                <w:sz w:val="24"/>
              </w:rPr>
              <w:t xml:space="preserve"> ir pozitīvi ietekmējis Latvijas lauksaimniecības, pārtikas un zivsaimniecības produktu ārējās tirdzniecības bilanci</w:t>
            </w:r>
            <w:r w:rsidR="009741FB">
              <w:rPr>
                <w:rFonts w:ascii="Times New Roman" w:hAnsi="Times New Roman"/>
                <w:sz w:val="24"/>
              </w:rPr>
              <w:t>.</w:t>
            </w:r>
            <w:r w:rsidRPr="00BD3C7E">
              <w:rPr>
                <w:rFonts w:ascii="Times New Roman" w:hAnsi="Times New Roman"/>
                <w:sz w:val="24"/>
              </w:rPr>
              <w:t xml:space="preserve"> 2013.</w:t>
            </w:r>
            <w:r w:rsidR="000E7E1F">
              <w:rPr>
                <w:rFonts w:ascii="Times New Roman" w:hAnsi="Times New Roman"/>
                <w:sz w:val="24"/>
              </w:rPr>
              <w:t> </w:t>
            </w:r>
            <w:r w:rsidRPr="00BD3C7E">
              <w:rPr>
                <w:rFonts w:ascii="Times New Roman" w:hAnsi="Times New Roman"/>
                <w:sz w:val="24"/>
              </w:rPr>
              <w:t xml:space="preserve">gadā Latvijas lauksaimniecības, pārtikas un zivsaimniecības produktu eksports par 46,6 milj. </w:t>
            </w:r>
            <w:proofErr w:type="spellStart"/>
            <w:r w:rsidR="00997B58" w:rsidRPr="00FD4B4E">
              <w:rPr>
                <w:rFonts w:ascii="Times New Roman" w:hAnsi="Times New Roman"/>
                <w:i/>
                <w:sz w:val="24"/>
              </w:rPr>
              <w:t>euro</w:t>
            </w:r>
            <w:proofErr w:type="spellEnd"/>
            <w:r w:rsidR="00997B58">
              <w:rPr>
                <w:rFonts w:ascii="Times New Roman" w:hAnsi="Times New Roman"/>
                <w:i/>
                <w:sz w:val="24"/>
              </w:rPr>
              <w:t xml:space="preserve"> </w:t>
            </w:r>
            <w:r w:rsidRPr="00BD3C7E">
              <w:rPr>
                <w:rFonts w:ascii="Times New Roman" w:hAnsi="Times New Roman"/>
                <w:sz w:val="24"/>
              </w:rPr>
              <w:t>pārsniedza importa vērtī</w:t>
            </w:r>
            <w:r>
              <w:rPr>
                <w:rFonts w:ascii="Times New Roman" w:hAnsi="Times New Roman"/>
                <w:sz w:val="24"/>
              </w:rPr>
              <w:t>bu.</w:t>
            </w:r>
          </w:p>
          <w:p w14:paraId="73841D9C" w14:textId="7D540FA7" w:rsidR="002F30BD" w:rsidRPr="00290226" w:rsidRDefault="002F30BD" w:rsidP="00A63CC5">
            <w:pPr>
              <w:shd w:val="clear" w:color="auto" w:fill="FFFFFF"/>
              <w:spacing w:after="0" w:line="240" w:lineRule="auto"/>
              <w:ind w:left="57" w:right="57"/>
              <w:jc w:val="both"/>
              <w:rPr>
                <w:rFonts w:ascii="Times New Roman" w:hAnsi="Times New Roman"/>
                <w:bCs/>
                <w:sz w:val="24"/>
                <w:szCs w:val="24"/>
              </w:rPr>
            </w:pPr>
            <w:r w:rsidRPr="004A07AB">
              <w:rPr>
                <w:rFonts w:ascii="Times New Roman" w:hAnsi="Times New Roman"/>
                <w:sz w:val="24"/>
              </w:rPr>
              <w:t>Lai gan nozares darbība kopumā ir veiksmīga, E</w:t>
            </w:r>
            <w:r w:rsidR="000E7E1F">
              <w:rPr>
                <w:rFonts w:ascii="Times New Roman" w:hAnsi="Times New Roman"/>
                <w:sz w:val="24"/>
              </w:rPr>
              <w:t>iropas Savienības</w:t>
            </w:r>
            <w:r w:rsidRPr="004A07AB">
              <w:rPr>
                <w:rFonts w:ascii="Times New Roman" w:hAnsi="Times New Roman"/>
                <w:sz w:val="24"/>
              </w:rPr>
              <w:t xml:space="preserve"> vienotajā tirgū Latvijai ir raksturīga sadrumstalota pārtikas produktu ražošana ar salīdzinoši nelielu ražošanas jaudu un saražotās produkcijas apjomu un augstu izmaksu slogu pret neto apgrozījumu, </w:t>
            </w:r>
            <w:r w:rsidR="000E7E1F">
              <w:rPr>
                <w:rFonts w:ascii="Times New Roman" w:hAnsi="Times New Roman"/>
                <w:sz w:val="24"/>
              </w:rPr>
              <w:t>un</w:t>
            </w:r>
            <w:r w:rsidRPr="004A07AB">
              <w:rPr>
                <w:rFonts w:ascii="Times New Roman" w:hAnsi="Times New Roman"/>
                <w:sz w:val="24"/>
              </w:rPr>
              <w:t xml:space="preserve"> tas rada grūtības konkurēt vienotajā tirgū. Tādēļ nozarē tiek </w:t>
            </w:r>
            <w:r w:rsidR="000E7E1F">
              <w:rPr>
                <w:rFonts w:ascii="Times New Roman" w:hAnsi="Times New Roman"/>
                <w:sz w:val="24"/>
              </w:rPr>
              <w:t>īstenoti</w:t>
            </w:r>
            <w:r w:rsidRPr="004A07AB">
              <w:rPr>
                <w:rFonts w:ascii="Times New Roman" w:hAnsi="Times New Roman"/>
                <w:sz w:val="24"/>
              </w:rPr>
              <w:t xml:space="preserve"> pasākumi pārstrādes efektivitātes palielināšanai, investējot jaunās iekārtās un būvniecībā, lai palielinātu arī uzņēmumu konkurētspēju Latvijas un eksporta tirgos.</w:t>
            </w:r>
            <w:r>
              <w:rPr>
                <w:rFonts w:ascii="Times New Roman" w:hAnsi="Times New Roman"/>
                <w:sz w:val="24"/>
              </w:rPr>
              <w:t xml:space="preserve"> </w:t>
            </w:r>
            <w:r w:rsidRPr="00B232A4">
              <w:rPr>
                <w:rFonts w:ascii="Times New Roman" w:hAnsi="Times New Roman"/>
                <w:sz w:val="24"/>
              </w:rPr>
              <w:t>Valsts</w:t>
            </w:r>
            <w:r>
              <w:rPr>
                <w:rFonts w:ascii="Times New Roman" w:hAnsi="Times New Roman"/>
                <w:sz w:val="24"/>
              </w:rPr>
              <w:t xml:space="preserve"> </w:t>
            </w:r>
            <w:r w:rsidRPr="00B232A4">
              <w:rPr>
                <w:rFonts w:ascii="Times New Roman" w:hAnsi="Times New Roman"/>
                <w:sz w:val="24"/>
              </w:rPr>
              <w:t>atbalsta pasākum</w:t>
            </w:r>
            <w:r>
              <w:rPr>
                <w:rFonts w:ascii="Times New Roman" w:hAnsi="Times New Roman"/>
                <w:sz w:val="24"/>
              </w:rPr>
              <w:t>u</w:t>
            </w:r>
            <w:r w:rsidRPr="00B232A4">
              <w:rPr>
                <w:rFonts w:ascii="Times New Roman" w:hAnsi="Times New Roman"/>
                <w:sz w:val="24"/>
              </w:rPr>
              <w:t xml:space="preserve"> mērķis ir nodrošināt lauksaimniecības produktu ražošanas attīstību, veicinot lauku ekonomiskās telpas attīstību.</w:t>
            </w:r>
          </w:p>
        </w:tc>
      </w:tr>
      <w:tr w:rsidR="002F30BD" w:rsidRPr="00ED22C8" w14:paraId="22D0FA01" w14:textId="77777777" w:rsidTr="00C72A47">
        <w:trPr>
          <w:trHeight w:val="523"/>
        </w:trPr>
        <w:tc>
          <w:tcPr>
            <w:tcW w:w="431" w:type="dxa"/>
          </w:tcPr>
          <w:p w14:paraId="3A2B4655" w14:textId="77777777" w:rsidR="002F30BD" w:rsidRPr="00DD49B6" w:rsidRDefault="002F30BD" w:rsidP="00C72A47">
            <w:pPr>
              <w:pStyle w:val="naiskr"/>
              <w:spacing w:before="0" w:beforeAutospacing="0" w:after="0" w:afterAutospacing="0"/>
              <w:ind w:left="57" w:right="57"/>
              <w:jc w:val="both"/>
            </w:pPr>
            <w:r w:rsidRPr="00DD49B6">
              <w:lastRenderedPageBreak/>
              <w:t>3.</w:t>
            </w:r>
          </w:p>
        </w:tc>
        <w:tc>
          <w:tcPr>
            <w:tcW w:w="2976" w:type="dxa"/>
          </w:tcPr>
          <w:p w14:paraId="2935ECF8" w14:textId="77777777" w:rsidR="002F30BD" w:rsidRPr="00DD49B6" w:rsidRDefault="002F30BD" w:rsidP="00C72A47">
            <w:pPr>
              <w:pStyle w:val="naiskr"/>
              <w:spacing w:before="0" w:beforeAutospacing="0" w:after="0" w:afterAutospacing="0"/>
              <w:ind w:left="57" w:right="57"/>
            </w:pPr>
            <w:r w:rsidRPr="00DD49B6">
              <w:t>Administratīvo izmaksu monetārs novērtējums</w:t>
            </w:r>
          </w:p>
        </w:tc>
        <w:tc>
          <w:tcPr>
            <w:tcW w:w="6096" w:type="dxa"/>
          </w:tcPr>
          <w:p w14:paraId="0EDE473C" w14:textId="77777777" w:rsidR="00A44D47" w:rsidRDefault="00A44D47" w:rsidP="00A44D47">
            <w:pPr>
              <w:autoSpaceDE w:val="0"/>
              <w:autoSpaceDN w:val="0"/>
              <w:adjustRightInd w:val="0"/>
              <w:spacing w:after="0" w:line="240" w:lineRule="auto"/>
              <w:jc w:val="both"/>
              <w:rPr>
                <w:rFonts w:ascii="Times New Roman" w:hAnsi="Times New Roman"/>
                <w:sz w:val="24"/>
              </w:rPr>
            </w:pPr>
            <w:r w:rsidRPr="00A44D47">
              <w:rPr>
                <w:rFonts w:ascii="Times New Roman" w:hAnsi="Times New Roman"/>
                <w:sz w:val="24"/>
              </w:rPr>
              <w:t>Aprēķinos ir izmantoti šādi pieņēmum</w:t>
            </w:r>
            <w:r>
              <w:rPr>
                <w:rFonts w:ascii="Times New Roman" w:hAnsi="Times New Roman"/>
                <w:sz w:val="24"/>
              </w:rPr>
              <w:t>i:</w:t>
            </w:r>
          </w:p>
          <w:p w14:paraId="1CDE1B93" w14:textId="3756692E" w:rsidR="00A44D47" w:rsidRPr="00A44D47" w:rsidRDefault="00A44D47" w:rsidP="00374119">
            <w:pPr>
              <w:pStyle w:val="Sarakstarindkopa"/>
              <w:numPr>
                <w:ilvl w:val="0"/>
                <w:numId w:val="2"/>
              </w:numPr>
              <w:autoSpaceDE w:val="0"/>
              <w:autoSpaceDN w:val="0"/>
              <w:adjustRightInd w:val="0"/>
              <w:spacing w:after="0" w:line="240" w:lineRule="auto"/>
              <w:jc w:val="both"/>
              <w:rPr>
                <w:rFonts w:ascii="Times New Roman" w:hAnsi="Times New Roman"/>
                <w:sz w:val="24"/>
              </w:rPr>
            </w:pPr>
            <w:r w:rsidRPr="00A44D47">
              <w:rPr>
                <w:rFonts w:ascii="Times New Roman" w:hAnsi="Times New Roman"/>
                <w:sz w:val="24"/>
              </w:rPr>
              <w:t xml:space="preserve">vidējā darba alga – 4,32 </w:t>
            </w:r>
            <w:proofErr w:type="spellStart"/>
            <w:r w:rsidRPr="00374119">
              <w:rPr>
                <w:rFonts w:ascii="Times New Roman" w:hAnsi="Times New Roman"/>
                <w:i/>
                <w:sz w:val="24"/>
              </w:rPr>
              <w:t>euro</w:t>
            </w:r>
            <w:proofErr w:type="spellEnd"/>
            <w:r w:rsidRPr="00A44D47">
              <w:rPr>
                <w:rFonts w:ascii="Times New Roman" w:hAnsi="Times New Roman"/>
                <w:sz w:val="24"/>
              </w:rPr>
              <w:t xml:space="preserve"> stundā (Centrālās statistikas pārvaldes dati: 2013.gada mēneša vidējā darba samaksa: 716 </w:t>
            </w:r>
            <w:proofErr w:type="spellStart"/>
            <w:r w:rsidRPr="00374119">
              <w:rPr>
                <w:rFonts w:ascii="Times New Roman" w:hAnsi="Times New Roman"/>
                <w:i/>
                <w:sz w:val="24"/>
              </w:rPr>
              <w:t>euro</w:t>
            </w:r>
            <w:proofErr w:type="spellEnd"/>
            <w:r w:rsidRPr="00A44D47">
              <w:rPr>
                <w:rFonts w:ascii="Times New Roman" w:hAnsi="Times New Roman"/>
                <w:sz w:val="24"/>
              </w:rPr>
              <w:t>, 2014.gadā: 165,58 stundas/mēnesī));</w:t>
            </w:r>
          </w:p>
          <w:p w14:paraId="2D8F5373" w14:textId="6B6DADE6" w:rsidR="00A44D47" w:rsidRPr="00A44D47" w:rsidRDefault="00A44D47" w:rsidP="00374119">
            <w:pPr>
              <w:pStyle w:val="Sarakstarindkopa"/>
              <w:numPr>
                <w:ilvl w:val="0"/>
                <w:numId w:val="2"/>
              </w:numPr>
              <w:autoSpaceDE w:val="0"/>
              <w:autoSpaceDN w:val="0"/>
              <w:adjustRightInd w:val="0"/>
              <w:spacing w:after="0" w:line="240" w:lineRule="auto"/>
              <w:jc w:val="both"/>
              <w:rPr>
                <w:rFonts w:ascii="Times New Roman" w:hAnsi="Times New Roman"/>
                <w:sz w:val="24"/>
              </w:rPr>
            </w:pPr>
            <w:r w:rsidRPr="00A44D47">
              <w:rPr>
                <w:rFonts w:ascii="Times New Roman" w:hAnsi="Times New Roman"/>
                <w:sz w:val="24"/>
              </w:rPr>
              <w:t xml:space="preserve">degvielas cena </w:t>
            </w:r>
            <w:r w:rsidR="008A4412">
              <w:rPr>
                <w:rFonts w:ascii="Times New Roman" w:hAnsi="Times New Roman"/>
                <w:sz w:val="24"/>
              </w:rPr>
              <w:t>–</w:t>
            </w:r>
            <w:r w:rsidRPr="00A44D47">
              <w:rPr>
                <w:rFonts w:ascii="Times New Roman" w:hAnsi="Times New Roman"/>
                <w:sz w:val="24"/>
              </w:rPr>
              <w:t xml:space="preserve"> 1,3 </w:t>
            </w:r>
            <w:proofErr w:type="spellStart"/>
            <w:r w:rsidRPr="00374119">
              <w:rPr>
                <w:rFonts w:ascii="Times New Roman" w:hAnsi="Times New Roman"/>
                <w:i/>
                <w:sz w:val="24"/>
              </w:rPr>
              <w:t>euro</w:t>
            </w:r>
            <w:proofErr w:type="spellEnd"/>
            <w:r w:rsidRPr="00A44D47">
              <w:rPr>
                <w:rFonts w:ascii="Times New Roman" w:hAnsi="Times New Roman"/>
                <w:sz w:val="24"/>
              </w:rPr>
              <w:t xml:space="preserve"> litrā;</w:t>
            </w:r>
          </w:p>
          <w:p w14:paraId="5E998922" w14:textId="3ED53073" w:rsidR="00A44D47" w:rsidRPr="00A44D47" w:rsidRDefault="00A44D47" w:rsidP="00374119">
            <w:pPr>
              <w:pStyle w:val="Sarakstarindkopa"/>
              <w:numPr>
                <w:ilvl w:val="0"/>
                <w:numId w:val="2"/>
              </w:numPr>
              <w:autoSpaceDE w:val="0"/>
              <w:autoSpaceDN w:val="0"/>
              <w:adjustRightInd w:val="0"/>
              <w:spacing w:after="0" w:line="240" w:lineRule="auto"/>
              <w:jc w:val="both"/>
              <w:rPr>
                <w:rFonts w:ascii="Times New Roman" w:hAnsi="Times New Roman"/>
                <w:sz w:val="24"/>
              </w:rPr>
            </w:pPr>
            <w:r w:rsidRPr="00A44D47">
              <w:rPr>
                <w:rFonts w:ascii="Times New Roman" w:hAnsi="Times New Roman"/>
                <w:sz w:val="24"/>
              </w:rPr>
              <w:t>degvielas patēriņa maksimums – 10 litri uz 100 kilometriem.</w:t>
            </w:r>
          </w:p>
          <w:p w14:paraId="443B8D6F" w14:textId="77777777" w:rsidR="00A44D47" w:rsidRDefault="00A44D47" w:rsidP="00A44D47">
            <w:pPr>
              <w:autoSpaceDE w:val="0"/>
              <w:autoSpaceDN w:val="0"/>
              <w:adjustRightInd w:val="0"/>
              <w:spacing w:after="0" w:line="240" w:lineRule="auto"/>
              <w:jc w:val="both"/>
              <w:rPr>
                <w:rFonts w:ascii="Times New Roman" w:hAnsi="Times New Roman"/>
                <w:sz w:val="24"/>
              </w:rPr>
            </w:pPr>
            <w:r w:rsidRPr="00A44D47">
              <w:rPr>
                <w:rFonts w:ascii="Times New Roman" w:hAnsi="Times New Roman"/>
                <w:sz w:val="24"/>
              </w:rPr>
              <w:t>Attīstības finanšu institūcija piešķir garantijas par kredītiestādes vai krājaizdevu sabiedrības</w:t>
            </w:r>
            <w:r>
              <w:rPr>
                <w:rFonts w:ascii="Times New Roman" w:hAnsi="Times New Roman"/>
                <w:sz w:val="24"/>
              </w:rPr>
              <w:t xml:space="preserve"> </w:t>
            </w:r>
            <w:r w:rsidRPr="00A44D47">
              <w:rPr>
                <w:rFonts w:ascii="Times New Roman" w:hAnsi="Times New Roman"/>
                <w:sz w:val="24"/>
              </w:rPr>
              <w:t>(turpmāk – kredītiestāde) līdzekļiem piešķirtiem kredītiem, ja tiem nav pietiekama kredī</w:t>
            </w:r>
            <w:r>
              <w:rPr>
                <w:rFonts w:ascii="Times New Roman" w:hAnsi="Times New Roman"/>
                <w:sz w:val="24"/>
              </w:rPr>
              <w:t xml:space="preserve">ta nodrošinājuma. </w:t>
            </w:r>
          </w:p>
          <w:p w14:paraId="46F155A6" w14:textId="69B53422" w:rsidR="00A44D47" w:rsidRDefault="00A44D47" w:rsidP="00A44D47">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Izsniegto kredītgarantiju skaits </w:t>
            </w:r>
            <w:r w:rsidR="008A4412">
              <w:rPr>
                <w:rFonts w:ascii="Times New Roman" w:hAnsi="Times New Roman"/>
                <w:sz w:val="24"/>
              </w:rPr>
              <w:t xml:space="preserve">–  vidēji </w:t>
            </w:r>
            <w:r>
              <w:rPr>
                <w:rFonts w:ascii="Times New Roman" w:hAnsi="Times New Roman"/>
                <w:sz w:val="24"/>
              </w:rPr>
              <w:t>120 gadā.</w:t>
            </w:r>
          </w:p>
          <w:p w14:paraId="445FB647" w14:textId="77777777" w:rsidR="00A44D47" w:rsidRPr="00A44D47" w:rsidRDefault="00A44D47" w:rsidP="00A44D47">
            <w:pPr>
              <w:autoSpaceDE w:val="0"/>
              <w:autoSpaceDN w:val="0"/>
              <w:adjustRightInd w:val="0"/>
              <w:spacing w:after="0" w:line="240" w:lineRule="auto"/>
              <w:jc w:val="both"/>
              <w:rPr>
                <w:rFonts w:ascii="Times New Roman" w:hAnsi="Times New Roman"/>
                <w:sz w:val="24"/>
              </w:rPr>
            </w:pPr>
          </w:p>
          <w:p w14:paraId="3D417E03" w14:textId="679DE5A0" w:rsidR="00A44D47" w:rsidRPr="00A44D47" w:rsidRDefault="00A44D47" w:rsidP="00A44D47">
            <w:pPr>
              <w:spacing w:after="0" w:line="240" w:lineRule="auto"/>
              <w:jc w:val="both"/>
              <w:rPr>
                <w:rFonts w:ascii="Times New Roman" w:hAnsi="Times New Roman"/>
                <w:sz w:val="24"/>
              </w:rPr>
            </w:pPr>
            <w:r>
              <w:rPr>
                <w:rFonts w:ascii="Times New Roman" w:hAnsi="Times New Roman"/>
                <w:b/>
                <w:sz w:val="24"/>
              </w:rPr>
              <w:t>1</w:t>
            </w:r>
            <w:r w:rsidRPr="00A44D47">
              <w:rPr>
                <w:rFonts w:ascii="Times New Roman" w:hAnsi="Times New Roman"/>
                <w:b/>
                <w:sz w:val="24"/>
              </w:rPr>
              <w:t>)</w:t>
            </w:r>
            <w:r w:rsidRPr="00A44D47">
              <w:rPr>
                <w:rFonts w:ascii="Times New Roman" w:hAnsi="Times New Roman"/>
                <w:sz w:val="24"/>
              </w:rPr>
              <w:t xml:space="preserve"> </w:t>
            </w:r>
            <w:r w:rsidR="008A4412">
              <w:rPr>
                <w:rFonts w:ascii="Times New Roman" w:hAnsi="Times New Roman"/>
                <w:b/>
                <w:sz w:val="24"/>
              </w:rPr>
              <w:t>D</w:t>
            </w:r>
            <w:r w:rsidRPr="00A44D47">
              <w:rPr>
                <w:rFonts w:ascii="Times New Roman" w:hAnsi="Times New Roman"/>
                <w:b/>
                <w:sz w:val="24"/>
              </w:rPr>
              <w:t>okumentu iesniegšana</w:t>
            </w:r>
          </w:p>
          <w:p w14:paraId="03301502" w14:textId="381C1BD3" w:rsidR="00A44D47" w:rsidRDefault="00A44D47" w:rsidP="00A44D47">
            <w:pPr>
              <w:spacing w:after="0" w:line="240" w:lineRule="auto"/>
              <w:jc w:val="both"/>
              <w:rPr>
                <w:rFonts w:ascii="Times New Roman" w:hAnsi="Times New Roman"/>
                <w:sz w:val="24"/>
              </w:rPr>
            </w:pPr>
            <w:r>
              <w:rPr>
                <w:rFonts w:ascii="Times New Roman" w:hAnsi="Times New Roman"/>
                <w:sz w:val="24"/>
              </w:rPr>
              <w:t>K</w:t>
            </w:r>
            <w:r w:rsidRPr="00A44D47">
              <w:rPr>
                <w:rFonts w:ascii="Times New Roman" w:hAnsi="Times New Roman"/>
                <w:sz w:val="24"/>
              </w:rPr>
              <w:t>redītiestāde</w:t>
            </w:r>
            <w:r>
              <w:rPr>
                <w:rFonts w:ascii="Times New Roman" w:hAnsi="Times New Roman"/>
                <w:sz w:val="24"/>
              </w:rPr>
              <w:t xml:space="preserve"> iesniedz iesniegumu un nepieciešamo dokumentāciju kredītgarantiju saņemšanai</w:t>
            </w:r>
            <w:r w:rsidR="008A4412">
              <w:rPr>
                <w:rFonts w:ascii="Times New Roman" w:hAnsi="Times New Roman"/>
                <w:sz w:val="24"/>
              </w:rPr>
              <w:t xml:space="preserve"> AFI</w:t>
            </w:r>
            <w:r>
              <w:rPr>
                <w:rFonts w:ascii="Times New Roman" w:hAnsi="Times New Roman"/>
                <w:sz w:val="24"/>
              </w:rPr>
              <w:t xml:space="preserve">. </w:t>
            </w:r>
          </w:p>
          <w:p w14:paraId="44C1DCE6" w14:textId="056B31B8" w:rsidR="00A44D47" w:rsidRDefault="00A44D47" w:rsidP="00A44D47">
            <w:pPr>
              <w:spacing w:after="0" w:line="240" w:lineRule="auto"/>
              <w:jc w:val="both"/>
              <w:rPr>
                <w:rFonts w:ascii="Times New Roman" w:hAnsi="Times New Roman"/>
                <w:sz w:val="24"/>
              </w:rPr>
            </w:pPr>
            <w:r>
              <w:rPr>
                <w:rFonts w:ascii="Times New Roman" w:hAnsi="Times New Roman"/>
                <w:sz w:val="24"/>
              </w:rPr>
              <w:t xml:space="preserve">Iepazīšanās ar kredītgarantiju saņemšanas nosacījumiem </w:t>
            </w:r>
            <w:r w:rsidRPr="00A44D47">
              <w:rPr>
                <w:rFonts w:ascii="Times New Roman" w:hAnsi="Times New Roman"/>
                <w:sz w:val="24"/>
              </w:rPr>
              <w:t>viena</w:t>
            </w:r>
            <w:r>
              <w:rPr>
                <w:rFonts w:ascii="Times New Roman" w:hAnsi="Times New Roman"/>
                <w:sz w:val="24"/>
              </w:rPr>
              <w:t>i</w:t>
            </w:r>
            <w:r w:rsidRPr="00A44D47">
              <w:rPr>
                <w:rFonts w:ascii="Times New Roman" w:hAnsi="Times New Roman"/>
                <w:sz w:val="24"/>
              </w:rPr>
              <w:t xml:space="preserve"> </w:t>
            </w:r>
            <w:r>
              <w:rPr>
                <w:rFonts w:ascii="Times New Roman" w:hAnsi="Times New Roman"/>
                <w:sz w:val="24"/>
              </w:rPr>
              <w:lastRenderedPageBreak/>
              <w:t>kredītiestādei (vidēji gadā kredītgarant</w:t>
            </w:r>
            <w:r w:rsidR="008A4412">
              <w:rPr>
                <w:rFonts w:ascii="Times New Roman" w:hAnsi="Times New Roman"/>
                <w:sz w:val="24"/>
              </w:rPr>
              <w:t>i</w:t>
            </w:r>
            <w:r>
              <w:rPr>
                <w:rFonts w:ascii="Times New Roman" w:hAnsi="Times New Roman"/>
                <w:sz w:val="24"/>
              </w:rPr>
              <w:t>ju pieprasījumu iesniedz 5 kredītiestādes)</w:t>
            </w:r>
            <w:r w:rsidRPr="00A44D47">
              <w:rPr>
                <w:rFonts w:ascii="Times New Roman" w:hAnsi="Times New Roman"/>
                <w:sz w:val="24"/>
              </w:rPr>
              <w:t xml:space="preserve"> vidēji prasīs 45 minūtes (0,75 stundas)</w:t>
            </w:r>
            <w:r>
              <w:rPr>
                <w:rFonts w:ascii="Times New Roman" w:hAnsi="Times New Roman"/>
                <w:sz w:val="24"/>
              </w:rPr>
              <w:t>:</w:t>
            </w:r>
          </w:p>
          <w:p w14:paraId="76054CC9" w14:textId="77777777" w:rsidR="00A44D47" w:rsidRDefault="00A44D47" w:rsidP="00A44D47">
            <w:pPr>
              <w:spacing w:after="0" w:line="240" w:lineRule="auto"/>
              <w:jc w:val="both"/>
              <w:rPr>
                <w:rFonts w:ascii="Times New Roman" w:hAnsi="Times New Roman"/>
                <w:sz w:val="24"/>
              </w:rPr>
            </w:pPr>
          </w:p>
          <w:p w14:paraId="79E58990" w14:textId="379FBCBE" w:rsidR="00A44D47" w:rsidRDefault="00A44D47" w:rsidP="00A44D47">
            <w:pPr>
              <w:jc w:val="both"/>
              <w:rPr>
                <w:rFonts w:ascii="Times New Roman" w:hAnsi="Times New Roman"/>
                <w:i/>
                <w:sz w:val="24"/>
              </w:rPr>
            </w:pPr>
            <w:r w:rsidRPr="00A44D47">
              <w:rPr>
                <w:rFonts w:ascii="Times New Roman" w:hAnsi="Times New Roman"/>
                <w:sz w:val="24"/>
              </w:rPr>
              <w:t>C</w:t>
            </w:r>
            <w:r w:rsidRPr="00A44D47">
              <w:rPr>
                <w:rFonts w:ascii="Times New Roman" w:hAnsi="Times New Roman"/>
                <w:sz w:val="24"/>
                <w:vertAlign w:val="subscript"/>
              </w:rPr>
              <w:t>1i</w:t>
            </w:r>
            <w:r w:rsidRPr="00A44D47">
              <w:rPr>
                <w:rFonts w:ascii="Times New Roman" w:hAnsi="Times New Roman"/>
                <w:sz w:val="24"/>
              </w:rPr>
              <w:t xml:space="preserve"> = 4,32 </w:t>
            </w:r>
            <w:r w:rsidRPr="00A44D47">
              <w:rPr>
                <w:rFonts w:ascii="Times New Roman" w:hAnsi="Times New Roman"/>
                <w:sz w:val="24"/>
                <w:vertAlign w:val="subscript"/>
              </w:rPr>
              <w:t>(vidējā darba alga)</w:t>
            </w:r>
            <w:r w:rsidRPr="00A44D47">
              <w:rPr>
                <w:rFonts w:ascii="Times New Roman" w:hAnsi="Times New Roman"/>
                <w:sz w:val="24"/>
              </w:rPr>
              <w:t xml:space="preserve"> x 0,75 x </w:t>
            </w:r>
            <w:r>
              <w:rPr>
                <w:rFonts w:ascii="Times New Roman" w:hAnsi="Times New Roman"/>
                <w:sz w:val="24"/>
              </w:rPr>
              <w:t>5</w:t>
            </w:r>
            <w:r w:rsidRPr="00A44D47">
              <w:rPr>
                <w:rFonts w:ascii="Times New Roman" w:hAnsi="Times New Roman"/>
                <w:sz w:val="24"/>
              </w:rPr>
              <w:t xml:space="preserve"> x 1 = </w:t>
            </w:r>
            <w:r>
              <w:rPr>
                <w:rFonts w:ascii="Times New Roman" w:hAnsi="Times New Roman"/>
                <w:sz w:val="24"/>
              </w:rPr>
              <w:t>16</w:t>
            </w:r>
            <w:r w:rsidRPr="00A44D47">
              <w:rPr>
                <w:rFonts w:ascii="Times New Roman" w:hAnsi="Times New Roman"/>
                <w:sz w:val="24"/>
              </w:rPr>
              <w:t xml:space="preserve">,2 </w:t>
            </w:r>
            <w:proofErr w:type="spellStart"/>
            <w:r w:rsidRPr="00A44D47">
              <w:rPr>
                <w:rFonts w:ascii="Times New Roman" w:hAnsi="Times New Roman"/>
                <w:i/>
                <w:sz w:val="24"/>
              </w:rPr>
              <w:t>euro</w:t>
            </w:r>
            <w:proofErr w:type="spellEnd"/>
          </w:p>
          <w:p w14:paraId="2ABA92E7" w14:textId="1F4F823F" w:rsidR="00A44D47" w:rsidRDefault="00A44D47" w:rsidP="00A44D47">
            <w:pPr>
              <w:jc w:val="both"/>
              <w:rPr>
                <w:rFonts w:ascii="Times New Roman" w:hAnsi="Times New Roman"/>
                <w:sz w:val="24"/>
              </w:rPr>
            </w:pPr>
            <w:r w:rsidRPr="00A44D47">
              <w:rPr>
                <w:rFonts w:ascii="Times New Roman" w:hAnsi="Times New Roman"/>
                <w:sz w:val="24"/>
              </w:rPr>
              <w:t>Ceļa izmaksas (degvielas izmaksas)</w:t>
            </w:r>
            <w:r>
              <w:rPr>
                <w:rFonts w:ascii="Times New Roman" w:hAnsi="Times New Roman"/>
                <w:sz w:val="24"/>
              </w:rPr>
              <w:t xml:space="preserve"> </w:t>
            </w:r>
            <w:r w:rsidRPr="00A44D47">
              <w:rPr>
                <w:rFonts w:ascii="Times New Roman" w:hAnsi="Times New Roman"/>
                <w:sz w:val="24"/>
              </w:rPr>
              <w:t>(</w:t>
            </w:r>
            <w:r>
              <w:rPr>
                <w:rFonts w:ascii="Times New Roman" w:hAnsi="Times New Roman"/>
                <w:sz w:val="24"/>
              </w:rPr>
              <w:t>120</w:t>
            </w:r>
            <w:r w:rsidRPr="00A44D47">
              <w:rPr>
                <w:rFonts w:ascii="Times New Roman" w:hAnsi="Times New Roman"/>
                <w:sz w:val="24"/>
              </w:rPr>
              <w:t xml:space="preserve"> </w:t>
            </w:r>
            <w:r>
              <w:rPr>
                <w:rFonts w:ascii="Times New Roman" w:hAnsi="Times New Roman"/>
                <w:sz w:val="24"/>
              </w:rPr>
              <w:t>kredītgarantiju pieprasījumiem</w:t>
            </w:r>
            <w:r w:rsidRPr="00A44D47">
              <w:rPr>
                <w:rFonts w:ascii="Times New Roman" w:hAnsi="Times New Roman"/>
                <w:sz w:val="24"/>
              </w:rPr>
              <w:t>)</w:t>
            </w:r>
            <w:r>
              <w:rPr>
                <w:rFonts w:ascii="Times New Roman" w:hAnsi="Times New Roman"/>
                <w:sz w:val="24"/>
              </w:rPr>
              <w:t>:</w:t>
            </w:r>
          </w:p>
          <w:p w14:paraId="0A61769C" w14:textId="653EF8D1" w:rsidR="00A44D47" w:rsidRPr="00A44D47" w:rsidRDefault="00A44D47" w:rsidP="00A44D47">
            <w:pPr>
              <w:jc w:val="both"/>
              <w:rPr>
                <w:rFonts w:ascii="Times New Roman" w:hAnsi="Times New Roman"/>
                <w:sz w:val="24"/>
              </w:rPr>
            </w:pPr>
            <w:r w:rsidRPr="00A44D47">
              <w:rPr>
                <w:rFonts w:ascii="Times New Roman" w:hAnsi="Times New Roman"/>
                <w:sz w:val="24"/>
              </w:rPr>
              <w:t>C</w:t>
            </w:r>
            <w:r w:rsidRPr="00A44D47">
              <w:rPr>
                <w:rFonts w:ascii="Times New Roman" w:hAnsi="Times New Roman"/>
                <w:sz w:val="24"/>
                <w:vertAlign w:val="subscript"/>
              </w:rPr>
              <w:t>1c</w:t>
            </w:r>
            <w:r w:rsidRPr="00A44D47">
              <w:rPr>
                <w:rFonts w:ascii="Times New Roman" w:hAnsi="Times New Roman"/>
                <w:sz w:val="24"/>
              </w:rPr>
              <w:t xml:space="preserve"> = (</w:t>
            </w:r>
            <w:r>
              <w:rPr>
                <w:rFonts w:ascii="Times New Roman" w:hAnsi="Times New Roman"/>
                <w:sz w:val="24"/>
              </w:rPr>
              <w:t>45</w:t>
            </w:r>
            <w:r w:rsidRPr="00A44D47">
              <w:rPr>
                <w:rFonts w:ascii="Times New Roman" w:hAnsi="Times New Roman"/>
                <w:sz w:val="24"/>
              </w:rPr>
              <w:t xml:space="preserve"> km x 10 l /100 km) x 1,3 x </w:t>
            </w:r>
            <w:r>
              <w:rPr>
                <w:rFonts w:ascii="Times New Roman" w:hAnsi="Times New Roman"/>
                <w:sz w:val="24"/>
              </w:rPr>
              <w:t>120</w:t>
            </w:r>
            <w:r w:rsidRPr="00A44D47">
              <w:rPr>
                <w:rFonts w:ascii="Times New Roman" w:hAnsi="Times New Roman"/>
                <w:sz w:val="24"/>
              </w:rPr>
              <w:t xml:space="preserve"> x 1 = </w:t>
            </w:r>
            <w:r>
              <w:rPr>
                <w:rFonts w:ascii="Times New Roman" w:hAnsi="Times New Roman"/>
                <w:sz w:val="24"/>
              </w:rPr>
              <w:t xml:space="preserve">702 </w:t>
            </w:r>
            <w:proofErr w:type="spellStart"/>
            <w:r w:rsidRPr="00A44D47">
              <w:rPr>
                <w:rFonts w:ascii="Times New Roman" w:hAnsi="Times New Roman"/>
                <w:i/>
                <w:sz w:val="24"/>
              </w:rPr>
              <w:t>euro</w:t>
            </w:r>
            <w:proofErr w:type="spellEnd"/>
          </w:p>
          <w:p w14:paraId="66A2A313" w14:textId="379FBCBE" w:rsidR="00A44D47" w:rsidRDefault="00A44D47" w:rsidP="00A44D47">
            <w:pPr>
              <w:spacing w:after="0" w:line="240" w:lineRule="auto"/>
              <w:jc w:val="both"/>
              <w:rPr>
                <w:rFonts w:ascii="Times New Roman" w:hAnsi="Times New Roman"/>
                <w:sz w:val="24"/>
              </w:rPr>
            </w:pPr>
            <w:r w:rsidRPr="00A44D47">
              <w:rPr>
                <w:rFonts w:ascii="Times New Roman" w:hAnsi="Times New Roman"/>
                <w:sz w:val="24"/>
              </w:rPr>
              <w:t>Iepazīšanās ar atbalsta saņemšanas nosacījumiem un dokumentu iesniegšana izmaksas kopā:</w:t>
            </w:r>
          </w:p>
          <w:p w14:paraId="43A041B3" w14:textId="77777777" w:rsidR="00A44D47" w:rsidRPr="00A44D47" w:rsidRDefault="00A44D47" w:rsidP="00A44D47">
            <w:pPr>
              <w:spacing w:after="0" w:line="240" w:lineRule="auto"/>
              <w:jc w:val="both"/>
              <w:rPr>
                <w:rFonts w:ascii="Times New Roman" w:hAnsi="Times New Roman"/>
                <w:sz w:val="24"/>
              </w:rPr>
            </w:pPr>
          </w:p>
          <w:p w14:paraId="0856F656" w14:textId="2FC14296" w:rsidR="00A44D47" w:rsidRPr="00A44D47" w:rsidRDefault="00A44D47" w:rsidP="00A44D47">
            <w:pPr>
              <w:spacing w:after="0" w:line="240" w:lineRule="auto"/>
              <w:jc w:val="both"/>
              <w:rPr>
                <w:rFonts w:ascii="Times New Roman" w:hAnsi="Times New Roman"/>
                <w:sz w:val="24"/>
              </w:rPr>
            </w:pPr>
            <w:r w:rsidRPr="00A44D47">
              <w:rPr>
                <w:rFonts w:ascii="Times New Roman" w:hAnsi="Times New Roman"/>
                <w:sz w:val="24"/>
              </w:rPr>
              <w:t>C</w:t>
            </w:r>
            <w:r w:rsidRPr="00A44D47">
              <w:rPr>
                <w:rFonts w:ascii="Times New Roman" w:hAnsi="Times New Roman"/>
                <w:sz w:val="24"/>
                <w:vertAlign w:val="subscript"/>
              </w:rPr>
              <w:t>1</w:t>
            </w:r>
            <w:r w:rsidRPr="00A44D47">
              <w:rPr>
                <w:rFonts w:ascii="Times New Roman" w:hAnsi="Times New Roman"/>
                <w:sz w:val="24"/>
              </w:rPr>
              <w:t xml:space="preserve"> = C</w:t>
            </w:r>
            <w:r w:rsidRPr="00A44D47">
              <w:rPr>
                <w:rFonts w:ascii="Times New Roman" w:hAnsi="Times New Roman"/>
                <w:sz w:val="24"/>
                <w:vertAlign w:val="subscript"/>
              </w:rPr>
              <w:t>1c</w:t>
            </w:r>
            <w:r w:rsidRPr="00A44D47">
              <w:rPr>
                <w:rFonts w:ascii="Times New Roman" w:hAnsi="Times New Roman"/>
                <w:sz w:val="24"/>
              </w:rPr>
              <w:t xml:space="preserve"> + C</w:t>
            </w:r>
            <w:r w:rsidRPr="00A44D47">
              <w:rPr>
                <w:rFonts w:ascii="Times New Roman" w:hAnsi="Times New Roman"/>
                <w:sz w:val="24"/>
                <w:vertAlign w:val="subscript"/>
              </w:rPr>
              <w:t>1i</w:t>
            </w:r>
            <w:r w:rsidRPr="00A44D47">
              <w:rPr>
                <w:rFonts w:ascii="Times New Roman" w:hAnsi="Times New Roman"/>
                <w:sz w:val="24"/>
              </w:rPr>
              <w:t xml:space="preserve"> = </w:t>
            </w:r>
            <w:r>
              <w:rPr>
                <w:rFonts w:ascii="Times New Roman" w:hAnsi="Times New Roman"/>
                <w:sz w:val="24"/>
              </w:rPr>
              <w:t>702</w:t>
            </w:r>
            <w:r w:rsidRPr="00A44D47">
              <w:rPr>
                <w:rFonts w:ascii="Times New Roman" w:hAnsi="Times New Roman"/>
                <w:sz w:val="24"/>
              </w:rPr>
              <w:t xml:space="preserve"> + </w:t>
            </w:r>
            <w:r>
              <w:rPr>
                <w:rFonts w:ascii="Times New Roman" w:hAnsi="Times New Roman"/>
                <w:sz w:val="24"/>
              </w:rPr>
              <w:t>16,2</w:t>
            </w:r>
            <w:r w:rsidRPr="00A44D47">
              <w:rPr>
                <w:rFonts w:ascii="Times New Roman" w:hAnsi="Times New Roman"/>
                <w:sz w:val="24"/>
              </w:rPr>
              <w:t xml:space="preserve"> = </w:t>
            </w:r>
            <w:r>
              <w:rPr>
                <w:rFonts w:ascii="Times New Roman" w:hAnsi="Times New Roman"/>
                <w:sz w:val="24"/>
              </w:rPr>
              <w:t>718,2</w:t>
            </w:r>
            <w:r w:rsidRPr="00A44D47">
              <w:rPr>
                <w:rFonts w:ascii="Times New Roman" w:hAnsi="Times New Roman"/>
                <w:sz w:val="24"/>
              </w:rPr>
              <w:t xml:space="preserve"> </w:t>
            </w:r>
            <w:proofErr w:type="spellStart"/>
            <w:r w:rsidRPr="00A44D47">
              <w:rPr>
                <w:rFonts w:ascii="Times New Roman" w:hAnsi="Times New Roman"/>
                <w:i/>
                <w:sz w:val="24"/>
              </w:rPr>
              <w:t>euro</w:t>
            </w:r>
            <w:proofErr w:type="spellEnd"/>
            <w:r w:rsidRPr="00A44D47">
              <w:rPr>
                <w:rFonts w:ascii="Times New Roman" w:hAnsi="Times New Roman"/>
                <w:sz w:val="24"/>
              </w:rPr>
              <w:t xml:space="preserve"> </w:t>
            </w:r>
          </w:p>
          <w:p w14:paraId="0B34F0FA" w14:textId="77777777" w:rsidR="00A44D47" w:rsidRPr="00A44D47" w:rsidRDefault="00A44D47" w:rsidP="00A44D47">
            <w:pPr>
              <w:spacing w:after="0" w:line="240" w:lineRule="auto"/>
              <w:jc w:val="both"/>
              <w:rPr>
                <w:rFonts w:ascii="Times New Roman" w:hAnsi="Times New Roman"/>
                <w:sz w:val="24"/>
              </w:rPr>
            </w:pPr>
          </w:p>
          <w:p w14:paraId="090D4EFC" w14:textId="15AF62E6" w:rsidR="00A44D47" w:rsidRPr="00A44D47" w:rsidRDefault="00A44D47" w:rsidP="00A44D47">
            <w:pPr>
              <w:spacing w:after="0" w:line="240" w:lineRule="auto"/>
              <w:jc w:val="both"/>
              <w:rPr>
                <w:rFonts w:ascii="Times New Roman" w:hAnsi="Times New Roman"/>
                <w:b/>
                <w:sz w:val="24"/>
              </w:rPr>
            </w:pPr>
            <w:r w:rsidRPr="00A44D47">
              <w:rPr>
                <w:rFonts w:ascii="Times New Roman" w:hAnsi="Times New Roman"/>
                <w:b/>
                <w:sz w:val="24"/>
              </w:rPr>
              <w:t xml:space="preserve">2) Iesnieguma aizpildīšana (noteikumu projekta </w:t>
            </w:r>
            <w:r>
              <w:rPr>
                <w:rFonts w:ascii="Times New Roman" w:hAnsi="Times New Roman"/>
                <w:b/>
                <w:sz w:val="24"/>
              </w:rPr>
              <w:t>2</w:t>
            </w:r>
            <w:r w:rsidRPr="00A44D47">
              <w:rPr>
                <w:rFonts w:ascii="Times New Roman" w:hAnsi="Times New Roman"/>
                <w:b/>
                <w:sz w:val="24"/>
              </w:rPr>
              <w:t>.pielikums)</w:t>
            </w:r>
          </w:p>
          <w:p w14:paraId="5E9BDACF" w14:textId="45D49B77" w:rsidR="00A44D47" w:rsidRPr="00A44D47" w:rsidRDefault="00A44D47" w:rsidP="00A44D47">
            <w:pPr>
              <w:spacing w:after="0" w:line="240" w:lineRule="auto"/>
              <w:jc w:val="both"/>
              <w:rPr>
                <w:rFonts w:ascii="Times New Roman" w:hAnsi="Times New Roman"/>
                <w:sz w:val="24"/>
              </w:rPr>
            </w:pPr>
            <w:r w:rsidRPr="00A44D47">
              <w:rPr>
                <w:rFonts w:ascii="Times New Roman" w:hAnsi="Times New Roman"/>
                <w:sz w:val="24"/>
              </w:rPr>
              <w:t xml:space="preserve">Iesnieguma aizpildīšanai </w:t>
            </w:r>
            <w:r w:rsidR="008A4412">
              <w:rPr>
                <w:rFonts w:ascii="Times New Roman" w:hAnsi="Times New Roman"/>
                <w:sz w:val="24"/>
              </w:rPr>
              <w:t>AFI</w:t>
            </w:r>
            <w:r w:rsidRPr="00A44D47">
              <w:rPr>
                <w:rFonts w:ascii="Times New Roman" w:hAnsi="Times New Roman"/>
                <w:sz w:val="24"/>
              </w:rPr>
              <w:t xml:space="preserve"> izmantoti š</w:t>
            </w:r>
            <w:r w:rsidR="008A4412">
              <w:rPr>
                <w:rFonts w:ascii="Times New Roman" w:hAnsi="Times New Roman"/>
                <w:sz w:val="24"/>
              </w:rPr>
              <w:t>ād</w:t>
            </w:r>
            <w:r w:rsidRPr="00A44D47">
              <w:rPr>
                <w:rFonts w:ascii="Times New Roman" w:hAnsi="Times New Roman"/>
                <w:sz w:val="24"/>
              </w:rPr>
              <w:t>i pieņēmumi par laika patēriņu:</w:t>
            </w:r>
          </w:p>
          <w:p w14:paraId="1C26190F" w14:textId="71669766" w:rsidR="00A44D47" w:rsidRPr="00374119" w:rsidRDefault="00A44D47" w:rsidP="00374119">
            <w:pPr>
              <w:pStyle w:val="Sarakstarindkopa"/>
              <w:numPr>
                <w:ilvl w:val="0"/>
                <w:numId w:val="3"/>
              </w:numPr>
              <w:spacing w:after="0" w:line="240" w:lineRule="auto"/>
              <w:jc w:val="both"/>
              <w:rPr>
                <w:rFonts w:ascii="Times New Roman" w:hAnsi="Times New Roman"/>
                <w:sz w:val="24"/>
              </w:rPr>
            </w:pPr>
            <w:r w:rsidRPr="00374119">
              <w:rPr>
                <w:rFonts w:ascii="Times New Roman" w:hAnsi="Times New Roman"/>
                <w:sz w:val="24"/>
              </w:rPr>
              <w:t>iepazīšan</w:t>
            </w:r>
            <w:r w:rsidR="008A4412">
              <w:rPr>
                <w:rFonts w:ascii="Times New Roman" w:hAnsi="Times New Roman"/>
                <w:sz w:val="24"/>
              </w:rPr>
              <w:t>ā</w:t>
            </w:r>
            <w:r w:rsidRPr="00374119">
              <w:rPr>
                <w:rFonts w:ascii="Times New Roman" w:hAnsi="Times New Roman"/>
                <w:sz w:val="24"/>
              </w:rPr>
              <w:t xml:space="preserve">s ar iesnieguma veidlapu – 5 minūtes (0,083 stundas); </w:t>
            </w:r>
          </w:p>
          <w:p w14:paraId="7C9C1077" w14:textId="07CB222A" w:rsidR="00A44D47" w:rsidRPr="00374119" w:rsidRDefault="00A44D47" w:rsidP="00374119">
            <w:pPr>
              <w:pStyle w:val="Sarakstarindkopa"/>
              <w:numPr>
                <w:ilvl w:val="0"/>
                <w:numId w:val="3"/>
              </w:numPr>
              <w:spacing w:after="0" w:line="240" w:lineRule="auto"/>
              <w:jc w:val="both"/>
              <w:rPr>
                <w:rFonts w:ascii="Times New Roman" w:hAnsi="Times New Roman"/>
                <w:sz w:val="24"/>
              </w:rPr>
            </w:pPr>
            <w:r w:rsidRPr="00374119">
              <w:rPr>
                <w:rFonts w:ascii="Times New Roman" w:hAnsi="Times New Roman"/>
                <w:sz w:val="24"/>
              </w:rPr>
              <w:t>iesnieguma aizpildīšana (120 kredītgarantiju pieprasījumiem) – 15 minūtes (0,25  stundas):</w:t>
            </w:r>
          </w:p>
          <w:p w14:paraId="06569BB6" w14:textId="77777777" w:rsidR="00A44D47" w:rsidRPr="00A44D47" w:rsidRDefault="00A44D47" w:rsidP="00A44D47">
            <w:pPr>
              <w:spacing w:after="0" w:line="240" w:lineRule="auto"/>
              <w:jc w:val="both"/>
              <w:rPr>
                <w:rFonts w:ascii="Times New Roman" w:hAnsi="Times New Roman"/>
                <w:sz w:val="24"/>
              </w:rPr>
            </w:pPr>
          </w:p>
          <w:p w14:paraId="0A309208" w14:textId="5BDF0F3D" w:rsidR="00A44D47" w:rsidRPr="00A44D47" w:rsidRDefault="00A44D47" w:rsidP="00A44D47">
            <w:pPr>
              <w:spacing w:after="0" w:line="240" w:lineRule="auto"/>
              <w:jc w:val="both"/>
              <w:rPr>
                <w:rFonts w:ascii="Times New Roman" w:hAnsi="Times New Roman"/>
                <w:sz w:val="24"/>
              </w:rPr>
            </w:pPr>
            <w:r w:rsidRPr="00A44D47">
              <w:rPr>
                <w:rFonts w:ascii="Times New Roman" w:hAnsi="Times New Roman"/>
                <w:sz w:val="24"/>
              </w:rPr>
              <w:t>C</w:t>
            </w:r>
            <w:r w:rsidRPr="00A44D47">
              <w:rPr>
                <w:rFonts w:ascii="Times New Roman" w:hAnsi="Times New Roman"/>
                <w:sz w:val="24"/>
                <w:vertAlign w:val="subscript"/>
              </w:rPr>
              <w:t>2</w:t>
            </w:r>
            <w:r w:rsidRPr="00A44D47">
              <w:rPr>
                <w:rFonts w:ascii="Times New Roman" w:hAnsi="Times New Roman"/>
                <w:sz w:val="24"/>
              </w:rPr>
              <w:t xml:space="preserve"> = 4,32 x (0,083 + 0,25) x </w:t>
            </w:r>
            <w:r>
              <w:rPr>
                <w:rFonts w:ascii="Times New Roman" w:hAnsi="Times New Roman"/>
                <w:sz w:val="24"/>
              </w:rPr>
              <w:t>120</w:t>
            </w:r>
            <w:r w:rsidRPr="00A44D47">
              <w:rPr>
                <w:rFonts w:ascii="Times New Roman" w:hAnsi="Times New Roman"/>
                <w:sz w:val="24"/>
              </w:rPr>
              <w:t xml:space="preserve"> = </w:t>
            </w:r>
            <w:r>
              <w:rPr>
                <w:rFonts w:ascii="Times New Roman" w:hAnsi="Times New Roman"/>
                <w:sz w:val="24"/>
              </w:rPr>
              <w:t>172,63</w:t>
            </w:r>
            <w:r w:rsidRPr="00A44D47">
              <w:rPr>
                <w:rFonts w:ascii="Times New Roman" w:hAnsi="Times New Roman"/>
                <w:sz w:val="24"/>
              </w:rPr>
              <w:t xml:space="preserve"> </w:t>
            </w:r>
            <w:proofErr w:type="spellStart"/>
            <w:r w:rsidRPr="00A44D47">
              <w:rPr>
                <w:rFonts w:ascii="Times New Roman" w:hAnsi="Times New Roman"/>
                <w:i/>
                <w:sz w:val="24"/>
              </w:rPr>
              <w:t>euro</w:t>
            </w:r>
            <w:proofErr w:type="spellEnd"/>
          </w:p>
          <w:p w14:paraId="045EE67F" w14:textId="77777777" w:rsidR="00A44D47" w:rsidRPr="00A44D47" w:rsidRDefault="00A44D47" w:rsidP="00A44D47">
            <w:pPr>
              <w:spacing w:after="0" w:line="240" w:lineRule="auto"/>
              <w:jc w:val="both"/>
              <w:rPr>
                <w:rFonts w:ascii="Times New Roman" w:hAnsi="Times New Roman"/>
                <w:sz w:val="24"/>
              </w:rPr>
            </w:pPr>
          </w:p>
          <w:p w14:paraId="0BE9C9A4" w14:textId="424FBBFB" w:rsidR="00A44D47" w:rsidRPr="00A44D47" w:rsidRDefault="00A44D47" w:rsidP="00A44D47">
            <w:pPr>
              <w:jc w:val="both"/>
              <w:rPr>
                <w:rFonts w:ascii="Times New Roman" w:hAnsi="Times New Roman"/>
                <w:b/>
                <w:sz w:val="24"/>
              </w:rPr>
            </w:pPr>
            <w:r w:rsidRPr="00A44D47">
              <w:rPr>
                <w:rFonts w:ascii="Times New Roman" w:hAnsi="Times New Roman"/>
                <w:b/>
                <w:sz w:val="24"/>
              </w:rPr>
              <w:t xml:space="preserve">Kopējās administratīvās izmaksas: </w:t>
            </w:r>
          </w:p>
          <w:p w14:paraId="3DFD7DFC" w14:textId="098EE328" w:rsidR="00A44D47" w:rsidRPr="00A44D47" w:rsidRDefault="00A44D47" w:rsidP="00A44D47">
            <w:pPr>
              <w:jc w:val="both"/>
              <w:rPr>
                <w:rFonts w:ascii="Times New Roman" w:hAnsi="Times New Roman"/>
                <w:sz w:val="24"/>
              </w:rPr>
            </w:pPr>
            <w:proofErr w:type="spellStart"/>
            <w:r w:rsidRPr="00A44D47">
              <w:rPr>
                <w:rFonts w:ascii="Times New Roman" w:hAnsi="Times New Roman"/>
                <w:sz w:val="24"/>
              </w:rPr>
              <w:t>C</w:t>
            </w:r>
            <w:r w:rsidRPr="00A44D47">
              <w:rPr>
                <w:rFonts w:ascii="Times New Roman" w:hAnsi="Times New Roman"/>
                <w:sz w:val="24"/>
                <w:vertAlign w:val="subscript"/>
              </w:rPr>
              <w:t>kopā</w:t>
            </w:r>
            <w:proofErr w:type="spellEnd"/>
            <w:r w:rsidRPr="00A44D47">
              <w:rPr>
                <w:rFonts w:ascii="Times New Roman" w:hAnsi="Times New Roman"/>
                <w:sz w:val="24"/>
              </w:rPr>
              <w:t xml:space="preserve"> = C</w:t>
            </w:r>
            <w:r w:rsidRPr="00A44D47">
              <w:rPr>
                <w:rFonts w:ascii="Times New Roman" w:hAnsi="Times New Roman"/>
                <w:sz w:val="24"/>
                <w:vertAlign w:val="subscript"/>
              </w:rPr>
              <w:t>1</w:t>
            </w:r>
            <w:r w:rsidRPr="00A44D47">
              <w:rPr>
                <w:rFonts w:ascii="Times New Roman" w:hAnsi="Times New Roman"/>
                <w:sz w:val="24"/>
              </w:rPr>
              <w:t xml:space="preserve"> + C</w:t>
            </w:r>
            <w:r w:rsidRPr="00A44D47">
              <w:rPr>
                <w:rFonts w:ascii="Times New Roman" w:hAnsi="Times New Roman"/>
                <w:sz w:val="24"/>
                <w:vertAlign w:val="subscript"/>
              </w:rPr>
              <w:t>2</w:t>
            </w:r>
            <w:r w:rsidRPr="00A44D47">
              <w:rPr>
                <w:rFonts w:ascii="Times New Roman" w:hAnsi="Times New Roman"/>
                <w:sz w:val="24"/>
              </w:rPr>
              <w:t xml:space="preserve"> = </w:t>
            </w:r>
            <w:r>
              <w:rPr>
                <w:rFonts w:ascii="Times New Roman" w:hAnsi="Times New Roman"/>
                <w:sz w:val="24"/>
              </w:rPr>
              <w:t>516,43</w:t>
            </w:r>
            <w:r w:rsidRPr="00A44D47">
              <w:rPr>
                <w:rFonts w:ascii="Times New Roman" w:hAnsi="Times New Roman"/>
                <w:sz w:val="24"/>
              </w:rPr>
              <w:t xml:space="preserve"> + </w:t>
            </w:r>
            <w:r w:rsidR="0063432D">
              <w:rPr>
                <w:rFonts w:ascii="Times New Roman" w:hAnsi="Times New Roman"/>
                <w:sz w:val="24"/>
              </w:rPr>
              <w:t>172</w:t>
            </w:r>
            <w:r>
              <w:rPr>
                <w:rFonts w:ascii="Times New Roman" w:hAnsi="Times New Roman"/>
                <w:sz w:val="24"/>
              </w:rPr>
              <w:t>,2</w:t>
            </w:r>
            <w:r w:rsidRPr="00A44D47">
              <w:rPr>
                <w:rFonts w:ascii="Times New Roman" w:hAnsi="Times New Roman"/>
                <w:sz w:val="24"/>
              </w:rPr>
              <w:t xml:space="preserve"> = </w:t>
            </w:r>
            <w:r w:rsidR="0063432D">
              <w:rPr>
                <w:rFonts w:ascii="Times New Roman" w:hAnsi="Times New Roman"/>
                <w:sz w:val="24"/>
              </w:rPr>
              <w:t>688</w:t>
            </w:r>
            <w:r>
              <w:rPr>
                <w:rFonts w:ascii="Times New Roman" w:hAnsi="Times New Roman"/>
                <w:sz w:val="24"/>
              </w:rPr>
              <w:t>,63</w:t>
            </w:r>
            <w:r w:rsidRPr="00A44D47">
              <w:rPr>
                <w:rFonts w:ascii="Times New Roman" w:hAnsi="Times New Roman"/>
                <w:sz w:val="24"/>
              </w:rPr>
              <w:t xml:space="preserve"> </w:t>
            </w:r>
            <w:proofErr w:type="spellStart"/>
            <w:r w:rsidRPr="00A44D47">
              <w:rPr>
                <w:rFonts w:ascii="Times New Roman" w:hAnsi="Times New Roman"/>
                <w:i/>
                <w:sz w:val="24"/>
              </w:rPr>
              <w:t>euro</w:t>
            </w:r>
            <w:proofErr w:type="spellEnd"/>
          </w:p>
          <w:p w14:paraId="14D0A184" w14:textId="0BD3941D" w:rsidR="002F30BD" w:rsidRPr="00A44D47" w:rsidRDefault="00A44D47" w:rsidP="0063432D">
            <w:pPr>
              <w:shd w:val="clear" w:color="auto" w:fill="FFFFFF"/>
              <w:spacing w:after="0" w:line="240" w:lineRule="auto"/>
              <w:ind w:left="57" w:right="57"/>
              <w:rPr>
                <w:rFonts w:ascii="Times New Roman" w:hAnsi="Times New Roman"/>
                <w:sz w:val="24"/>
              </w:rPr>
            </w:pPr>
            <w:proofErr w:type="spellStart"/>
            <w:r w:rsidRPr="00A44D47">
              <w:rPr>
                <w:rFonts w:ascii="Times New Roman" w:hAnsi="Times New Roman"/>
                <w:sz w:val="24"/>
              </w:rPr>
              <w:t>C</w:t>
            </w:r>
            <w:r w:rsidR="0063432D" w:rsidRPr="0063432D">
              <w:rPr>
                <w:rFonts w:ascii="Times New Roman" w:hAnsi="Times New Roman"/>
                <w:sz w:val="24"/>
                <w:vertAlign w:val="subscript"/>
              </w:rPr>
              <w:t>viens</w:t>
            </w:r>
            <w:proofErr w:type="spellEnd"/>
            <w:r w:rsidR="0063432D">
              <w:rPr>
                <w:rFonts w:ascii="Times New Roman" w:hAnsi="Times New Roman"/>
                <w:sz w:val="24"/>
                <w:vertAlign w:val="subscript"/>
              </w:rPr>
              <w:t xml:space="preserve"> kredītgarantiju pieprasījums</w:t>
            </w:r>
            <w:r w:rsidRPr="00A44D47">
              <w:rPr>
                <w:rFonts w:ascii="Times New Roman" w:hAnsi="Times New Roman"/>
                <w:sz w:val="24"/>
              </w:rPr>
              <w:t xml:space="preserve"> = </w:t>
            </w:r>
            <w:r w:rsidR="0063432D">
              <w:rPr>
                <w:rFonts w:ascii="Times New Roman" w:hAnsi="Times New Roman"/>
                <w:sz w:val="24"/>
              </w:rPr>
              <w:t>688</w:t>
            </w:r>
            <w:r>
              <w:rPr>
                <w:rFonts w:ascii="Times New Roman" w:hAnsi="Times New Roman"/>
                <w:sz w:val="24"/>
              </w:rPr>
              <w:t>,63</w:t>
            </w:r>
            <w:r w:rsidRPr="00A44D47">
              <w:rPr>
                <w:rFonts w:ascii="Times New Roman" w:hAnsi="Times New Roman"/>
                <w:sz w:val="24"/>
              </w:rPr>
              <w:t xml:space="preserve"> / </w:t>
            </w:r>
            <w:r>
              <w:rPr>
                <w:rFonts w:ascii="Times New Roman" w:hAnsi="Times New Roman"/>
                <w:sz w:val="24"/>
              </w:rPr>
              <w:t>120</w:t>
            </w:r>
            <w:r w:rsidRPr="00A44D47">
              <w:rPr>
                <w:rFonts w:ascii="Times New Roman" w:hAnsi="Times New Roman"/>
                <w:sz w:val="24"/>
              </w:rPr>
              <w:t xml:space="preserve"> = </w:t>
            </w:r>
            <w:r w:rsidR="0063432D">
              <w:rPr>
                <w:rFonts w:ascii="Times New Roman" w:hAnsi="Times New Roman"/>
                <w:sz w:val="24"/>
              </w:rPr>
              <w:t>5</w:t>
            </w:r>
            <w:r w:rsidRPr="00A44D47">
              <w:rPr>
                <w:rFonts w:ascii="Times New Roman" w:hAnsi="Times New Roman"/>
                <w:sz w:val="24"/>
              </w:rPr>
              <w:t>,</w:t>
            </w:r>
            <w:r w:rsidR="0063432D">
              <w:rPr>
                <w:rFonts w:ascii="Times New Roman" w:hAnsi="Times New Roman"/>
                <w:sz w:val="24"/>
              </w:rPr>
              <w:t>73</w:t>
            </w:r>
            <w:r w:rsidRPr="00A44D47">
              <w:rPr>
                <w:rFonts w:ascii="Times New Roman" w:hAnsi="Times New Roman"/>
                <w:sz w:val="24"/>
              </w:rPr>
              <w:t xml:space="preserve"> </w:t>
            </w:r>
            <w:proofErr w:type="spellStart"/>
            <w:r w:rsidRPr="00A44D47">
              <w:rPr>
                <w:rFonts w:ascii="Times New Roman" w:hAnsi="Times New Roman"/>
                <w:i/>
                <w:sz w:val="24"/>
              </w:rPr>
              <w:t>euro</w:t>
            </w:r>
            <w:proofErr w:type="spellEnd"/>
          </w:p>
        </w:tc>
      </w:tr>
      <w:tr w:rsidR="002F30BD" w:rsidRPr="00ED22C8" w14:paraId="40D50D54" w14:textId="77777777" w:rsidTr="00C72A47">
        <w:trPr>
          <w:trHeight w:val="357"/>
        </w:trPr>
        <w:tc>
          <w:tcPr>
            <w:tcW w:w="431" w:type="dxa"/>
          </w:tcPr>
          <w:p w14:paraId="4613C2EB" w14:textId="62310B00" w:rsidR="002F30BD" w:rsidRPr="00DD49B6" w:rsidRDefault="002F30BD" w:rsidP="00C72A47">
            <w:pPr>
              <w:pStyle w:val="naiskr"/>
              <w:spacing w:before="0" w:beforeAutospacing="0" w:after="0" w:afterAutospacing="0"/>
              <w:ind w:left="57" w:right="57"/>
              <w:jc w:val="both"/>
            </w:pPr>
            <w:r w:rsidRPr="00DD49B6">
              <w:lastRenderedPageBreak/>
              <w:t>4.</w:t>
            </w:r>
          </w:p>
        </w:tc>
        <w:tc>
          <w:tcPr>
            <w:tcW w:w="2976" w:type="dxa"/>
          </w:tcPr>
          <w:p w14:paraId="7F2980F1" w14:textId="77777777" w:rsidR="002F30BD" w:rsidRPr="00DD49B6" w:rsidRDefault="002F30BD" w:rsidP="00C72A47">
            <w:pPr>
              <w:pStyle w:val="naiskr"/>
              <w:spacing w:before="0" w:beforeAutospacing="0" w:after="0" w:afterAutospacing="0"/>
              <w:ind w:left="57" w:right="57"/>
            </w:pPr>
            <w:r w:rsidRPr="00DD49B6">
              <w:t>Cita informācija</w:t>
            </w:r>
          </w:p>
        </w:tc>
        <w:tc>
          <w:tcPr>
            <w:tcW w:w="6096" w:type="dxa"/>
          </w:tcPr>
          <w:p w14:paraId="76449A01" w14:textId="77777777" w:rsidR="002F30BD" w:rsidRPr="00ED22C8" w:rsidRDefault="002F30BD" w:rsidP="00C72A47">
            <w:pPr>
              <w:shd w:val="clear" w:color="auto" w:fill="FFFFFF"/>
              <w:spacing w:after="0" w:line="240" w:lineRule="auto"/>
              <w:ind w:left="57" w:right="57"/>
              <w:rPr>
                <w:rFonts w:ascii="Times New Roman" w:hAnsi="Times New Roman"/>
                <w:sz w:val="24"/>
                <w:szCs w:val="24"/>
              </w:rPr>
            </w:pPr>
            <w:r w:rsidRPr="00ED22C8">
              <w:rPr>
                <w:rFonts w:ascii="Times New Roman" w:hAnsi="Times New Roman"/>
                <w:sz w:val="24"/>
                <w:szCs w:val="24"/>
              </w:rPr>
              <w:t>Nav.</w:t>
            </w:r>
          </w:p>
        </w:tc>
      </w:tr>
    </w:tbl>
    <w:p w14:paraId="486D17D2" w14:textId="77777777" w:rsidR="002F30BD" w:rsidRDefault="002F30BD" w:rsidP="00290226">
      <w:pPr>
        <w:pStyle w:val="naiskr"/>
        <w:spacing w:before="0" w:after="0"/>
        <w:rPr>
          <w:i/>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1536"/>
        <w:gridCol w:w="1292"/>
        <w:gridCol w:w="1344"/>
        <w:gridCol w:w="1413"/>
        <w:gridCol w:w="1309"/>
      </w:tblGrid>
      <w:tr w:rsidR="002F30BD" w:rsidRPr="00ED22C8" w14:paraId="209A69E9" w14:textId="77777777" w:rsidTr="007A059D">
        <w:trPr>
          <w:trHeight w:val="361"/>
          <w:jc w:val="center"/>
        </w:trPr>
        <w:tc>
          <w:tcPr>
            <w:tcW w:w="9744" w:type="dxa"/>
            <w:gridSpan w:val="6"/>
            <w:vAlign w:val="center"/>
          </w:tcPr>
          <w:p w14:paraId="1C37B7FF" w14:textId="77777777" w:rsidR="002F30BD" w:rsidRPr="00DD49B6" w:rsidRDefault="002F30BD" w:rsidP="007A059D">
            <w:pPr>
              <w:pStyle w:val="naisnod"/>
              <w:spacing w:before="0" w:beforeAutospacing="0" w:after="0" w:afterAutospacing="0"/>
              <w:jc w:val="center"/>
              <w:rPr>
                <w:b/>
                <w:i/>
              </w:rPr>
            </w:pPr>
            <w:r w:rsidRPr="00DD49B6">
              <w:br w:type="page"/>
            </w:r>
            <w:r w:rsidRPr="00A24EE1">
              <w:rPr>
                <w:b/>
              </w:rPr>
              <w:t>III. Tiesību akta projekta ietekme uz valsts budžetu un pašvaldību budžetiem</w:t>
            </w:r>
          </w:p>
        </w:tc>
      </w:tr>
      <w:tr w:rsidR="002F30BD" w:rsidRPr="00ED22C8" w14:paraId="6F655DFD" w14:textId="77777777" w:rsidTr="00C42B7D">
        <w:trPr>
          <w:jc w:val="center"/>
        </w:trPr>
        <w:tc>
          <w:tcPr>
            <w:tcW w:w="2850" w:type="dxa"/>
            <w:vMerge w:val="restart"/>
            <w:vAlign w:val="center"/>
          </w:tcPr>
          <w:p w14:paraId="5EDDD2EE" w14:textId="77777777" w:rsidR="002F30BD" w:rsidRPr="00DD49B6" w:rsidRDefault="002F30BD" w:rsidP="007A059D">
            <w:pPr>
              <w:pStyle w:val="naisf"/>
              <w:spacing w:before="0" w:beforeAutospacing="0" w:after="0" w:afterAutospacing="0"/>
              <w:jc w:val="center"/>
              <w:rPr>
                <w:b/>
              </w:rPr>
            </w:pPr>
            <w:r w:rsidRPr="00DD49B6">
              <w:rPr>
                <w:b/>
              </w:rPr>
              <w:t>Rādītāji</w:t>
            </w:r>
          </w:p>
        </w:tc>
        <w:tc>
          <w:tcPr>
            <w:tcW w:w="2828" w:type="dxa"/>
            <w:gridSpan w:val="2"/>
            <w:vMerge w:val="restart"/>
            <w:vAlign w:val="center"/>
          </w:tcPr>
          <w:p w14:paraId="7EF1D2A4" w14:textId="77777777" w:rsidR="002F30BD" w:rsidRPr="00DD49B6" w:rsidRDefault="002F30BD" w:rsidP="000D0E55">
            <w:pPr>
              <w:pStyle w:val="naisf"/>
              <w:spacing w:before="0" w:beforeAutospacing="0" w:after="0" w:afterAutospacing="0"/>
              <w:jc w:val="center"/>
              <w:rPr>
                <w:b/>
              </w:rPr>
            </w:pPr>
            <w:r>
              <w:rPr>
                <w:b/>
              </w:rPr>
              <w:t>2015.</w:t>
            </w:r>
            <w:r w:rsidRPr="00DD49B6">
              <w:rPr>
                <w:b/>
              </w:rPr>
              <w:t>gads</w:t>
            </w:r>
          </w:p>
        </w:tc>
        <w:tc>
          <w:tcPr>
            <w:tcW w:w="4066" w:type="dxa"/>
            <w:gridSpan w:val="3"/>
            <w:vAlign w:val="center"/>
          </w:tcPr>
          <w:p w14:paraId="1E2AEA25" w14:textId="77777777" w:rsidR="002F30BD" w:rsidRPr="00DD49B6" w:rsidRDefault="002F30BD" w:rsidP="007A059D">
            <w:pPr>
              <w:pStyle w:val="naisf"/>
              <w:spacing w:before="0" w:beforeAutospacing="0" w:after="0" w:afterAutospacing="0"/>
              <w:jc w:val="center"/>
              <w:rPr>
                <w:b/>
                <w:i/>
              </w:rPr>
            </w:pPr>
            <w:r w:rsidRPr="00DD49B6">
              <w:t>Turpmākie trīs gadi (</w:t>
            </w:r>
            <w:proofErr w:type="spellStart"/>
            <w:r w:rsidRPr="00487C57">
              <w:rPr>
                <w:i/>
              </w:rPr>
              <w:t>euro</w:t>
            </w:r>
            <w:proofErr w:type="spellEnd"/>
            <w:r w:rsidRPr="00DD49B6">
              <w:t>)</w:t>
            </w:r>
          </w:p>
        </w:tc>
      </w:tr>
      <w:tr w:rsidR="002F30BD" w:rsidRPr="00ED22C8" w14:paraId="684139DC" w14:textId="77777777" w:rsidTr="00C42B7D">
        <w:trPr>
          <w:jc w:val="center"/>
        </w:trPr>
        <w:tc>
          <w:tcPr>
            <w:tcW w:w="2850" w:type="dxa"/>
            <w:vMerge/>
            <w:vAlign w:val="center"/>
          </w:tcPr>
          <w:p w14:paraId="1ED396DE" w14:textId="77777777" w:rsidR="002F30BD" w:rsidRPr="00DD49B6" w:rsidRDefault="002F30BD" w:rsidP="007A059D">
            <w:pPr>
              <w:pStyle w:val="naisf"/>
              <w:spacing w:before="0" w:beforeAutospacing="0" w:after="0" w:afterAutospacing="0"/>
              <w:jc w:val="center"/>
              <w:rPr>
                <w:b/>
                <w:i/>
              </w:rPr>
            </w:pPr>
          </w:p>
        </w:tc>
        <w:tc>
          <w:tcPr>
            <w:tcW w:w="2828" w:type="dxa"/>
            <w:gridSpan w:val="2"/>
            <w:vMerge/>
            <w:vAlign w:val="center"/>
          </w:tcPr>
          <w:p w14:paraId="364F821D" w14:textId="77777777" w:rsidR="002F30BD" w:rsidRPr="00DD49B6" w:rsidRDefault="002F30BD" w:rsidP="007A059D">
            <w:pPr>
              <w:pStyle w:val="naisf"/>
              <w:spacing w:before="0" w:beforeAutospacing="0" w:after="0" w:afterAutospacing="0"/>
              <w:jc w:val="center"/>
              <w:rPr>
                <w:b/>
                <w:i/>
              </w:rPr>
            </w:pPr>
          </w:p>
        </w:tc>
        <w:tc>
          <w:tcPr>
            <w:tcW w:w="1344" w:type="dxa"/>
            <w:vAlign w:val="center"/>
          </w:tcPr>
          <w:p w14:paraId="233F669B" w14:textId="77777777" w:rsidR="002F30BD" w:rsidRPr="00DD49B6" w:rsidRDefault="002F30BD" w:rsidP="000D0E55">
            <w:pPr>
              <w:pStyle w:val="naisf"/>
              <w:spacing w:before="0" w:beforeAutospacing="0" w:after="0" w:afterAutospacing="0"/>
              <w:jc w:val="center"/>
              <w:rPr>
                <w:b/>
                <w:i/>
              </w:rPr>
            </w:pPr>
            <w:r>
              <w:rPr>
                <w:b/>
                <w:bCs/>
              </w:rPr>
              <w:t>2016</w:t>
            </w:r>
          </w:p>
        </w:tc>
        <w:tc>
          <w:tcPr>
            <w:tcW w:w="1413" w:type="dxa"/>
            <w:vAlign w:val="center"/>
          </w:tcPr>
          <w:p w14:paraId="52501A81" w14:textId="77777777" w:rsidR="002F30BD" w:rsidRPr="00DD49B6" w:rsidRDefault="002F30BD" w:rsidP="000D0E55">
            <w:pPr>
              <w:pStyle w:val="naisf"/>
              <w:spacing w:before="0" w:beforeAutospacing="0" w:after="0" w:afterAutospacing="0"/>
              <w:jc w:val="center"/>
              <w:rPr>
                <w:b/>
                <w:i/>
              </w:rPr>
            </w:pPr>
            <w:r>
              <w:rPr>
                <w:b/>
                <w:bCs/>
              </w:rPr>
              <w:t>2017</w:t>
            </w:r>
          </w:p>
        </w:tc>
        <w:tc>
          <w:tcPr>
            <w:tcW w:w="1309" w:type="dxa"/>
            <w:vAlign w:val="center"/>
          </w:tcPr>
          <w:p w14:paraId="6615AAAA" w14:textId="77777777" w:rsidR="002F30BD" w:rsidRPr="00DD49B6" w:rsidRDefault="002F30BD" w:rsidP="000D0E55">
            <w:pPr>
              <w:pStyle w:val="naisf"/>
              <w:spacing w:before="0" w:beforeAutospacing="0" w:after="0" w:afterAutospacing="0"/>
              <w:jc w:val="center"/>
              <w:rPr>
                <w:b/>
                <w:i/>
              </w:rPr>
            </w:pPr>
            <w:r>
              <w:rPr>
                <w:b/>
                <w:bCs/>
              </w:rPr>
              <w:t>2018</w:t>
            </w:r>
          </w:p>
        </w:tc>
      </w:tr>
      <w:tr w:rsidR="002F30BD" w:rsidRPr="00ED22C8" w14:paraId="225A82A2" w14:textId="77777777" w:rsidTr="00C42B7D">
        <w:trPr>
          <w:jc w:val="center"/>
        </w:trPr>
        <w:tc>
          <w:tcPr>
            <w:tcW w:w="2850" w:type="dxa"/>
            <w:vMerge/>
            <w:vAlign w:val="center"/>
          </w:tcPr>
          <w:p w14:paraId="2955A1A9" w14:textId="77777777" w:rsidR="002F30BD" w:rsidRPr="00DD49B6" w:rsidRDefault="002F30BD" w:rsidP="007A059D">
            <w:pPr>
              <w:pStyle w:val="naisf"/>
              <w:spacing w:before="0" w:beforeAutospacing="0" w:after="0" w:afterAutospacing="0"/>
              <w:jc w:val="center"/>
              <w:rPr>
                <w:b/>
                <w:i/>
              </w:rPr>
            </w:pPr>
          </w:p>
        </w:tc>
        <w:tc>
          <w:tcPr>
            <w:tcW w:w="1536" w:type="dxa"/>
            <w:vAlign w:val="center"/>
          </w:tcPr>
          <w:p w14:paraId="5527AA15" w14:textId="77777777" w:rsidR="002F30BD" w:rsidRPr="00DD49B6" w:rsidRDefault="002F30BD" w:rsidP="007A059D">
            <w:pPr>
              <w:pStyle w:val="naisf"/>
              <w:spacing w:before="0" w:beforeAutospacing="0" w:after="0" w:afterAutospacing="0"/>
              <w:jc w:val="center"/>
              <w:rPr>
                <w:b/>
                <w:i/>
              </w:rPr>
            </w:pPr>
            <w:r>
              <w:t>s</w:t>
            </w:r>
            <w:r w:rsidRPr="00DD49B6">
              <w:t>askaņā ar valsts budžetu kārtējam gadam</w:t>
            </w:r>
          </w:p>
        </w:tc>
        <w:tc>
          <w:tcPr>
            <w:tcW w:w="1292" w:type="dxa"/>
            <w:vAlign w:val="center"/>
          </w:tcPr>
          <w:p w14:paraId="6DB4D1BA" w14:textId="77777777" w:rsidR="002F30BD" w:rsidRPr="00DD49B6" w:rsidRDefault="002F30BD" w:rsidP="007A059D">
            <w:pPr>
              <w:pStyle w:val="naisf"/>
              <w:spacing w:before="0" w:beforeAutospacing="0" w:after="0" w:afterAutospacing="0"/>
              <w:jc w:val="center"/>
              <w:rPr>
                <w:b/>
                <w:i/>
              </w:rPr>
            </w:pPr>
            <w:r>
              <w:t>i</w:t>
            </w:r>
            <w:r w:rsidRPr="00DD49B6">
              <w:t>zmaiņas kārtējā gadā, salīdzinot ar budžetu kārtējam gadam</w:t>
            </w:r>
          </w:p>
        </w:tc>
        <w:tc>
          <w:tcPr>
            <w:tcW w:w="1344" w:type="dxa"/>
            <w:vAlign w:val="center"/>
          </w:tcPr>
          <w:p w14:paraId="4CDEAE34" w14:textId="77777777" w:rsidR="002F30BD" w:rsidRPr="00DD49B6" w:rsidRDefault="002F30BD" w:rsidP="007A059D">
            <w:pPr>
              <w:pStyle w:val="naisf"/>
              <w:spacing w:before="0" w:beforeAutospacing="0" w:after="0" w:afterAutospacing="0"/>
              <w:jc w:val="center"/>
              <w:rPr>
                <w:b/>
                <w:i/>
              </w:rPr>
            </w:pPr>
            <w:r>
              <w:t>i</w:t>
            </w:r>
            <w:r w:rsidRPr="00DD49B6">
              <w:t>zmaiņas, salīdzinot ar kārtējo (n) gadu</w:t>
            </w:r>
          </w:p>
        </w:tc>
        <w:tc>
          <w:tcPr>
            <w:tcW w:w="1413" w:type="dxa"/>
            <w:vAlign w:val="center"/>
          </w:tcPr>
          <w:p w14:paraId="15CDCE72" w14:textId="77777777" w:rsidR="002F30BD" w:rsidRPr="00DD49B6" w:rsidRDefault="002F30BD" w:rsidP="007A059D">
            <w:pPr>
              <w:pStyle w:val="naisf"/>
              <w:spacing w:before="0" w:beforeAutospacing="0" w:after="0" w:afterAutospacing="0"/>
              <w:jc w:val="center"/>
              <w:rPr>
                <w:b/>
                <w:i/>
              </w:rPr>
            </w:pPr>
            <w:r>
              <w:t>i</w:t>
            </w:r>
            <w:r w:rsidRPr="00DD49B6">
              <w:t>zmaiņas, salīdzinot ar kārtējo (n) gadu</w:t>
            </w:r>
          </w:p>
        </w:tc>
        <w:tc>
          <w:tcPr>
            <w:tcW w:w="1309" w:type="dxa"/>
            <w:vAlign w:val="center"/>
          </w:tcPr>
          <w:p w14:paraId="13759ED1" w14:textId="77777777" w:rsidR="002F30BD" w:rsidRPr="00DD49B6" w:rsidRDefault="002F30BD" w:rsidP="007A059D">
            <w:pPr>
              <w:pStyle w:val="naisf"/>
              <w:spacing w:before="0" w:beforeAutospacing="0" w:after="0" w:afterAutospacing="0"/>
              <w:jc w:val="center"/>
              <w:rPr>
                <w:b/>
                <w:i/>
              </w:rPr>
            </w:pPr>
            <w:r>
              <w:t>i</w:t>
            </w:r>
            <w:r w:rsidRPr="00DD49B6">
              <w:t>zmaiņas, salīdzinot ar kārtējo (n) gadu</w:t>
            </w:r>
          </w:p>
        </w:tc>
      </w:tr>
      <w:tr w:rsidR="002F30BD" w:rsidRPr="00ED22C8" w14:paraId="184195E9" w14:textId="77777777" w:rsidTr="00C42B7D">
        <w:trPr>
          <w:jc w:val="center"/>
        </w:trPr>
        <w:tc>
          <w:tcPr>
            <w:tcW w:w="2850" w:type="dxa"/>
            <w:vAlign w:val="center"/>
          </w:tcPr>
          <w:p w14:paraId="05523801" w14:textId="77777777" w:rsidR="002F30BD" w:rsidRPr="00DD49B6" w:rsidRDefault="002F30BD" w:rsidP="007A059D">
            <w:pPr>
              <w:pStyle w:val="naisf"/>
              <w:spacing w:before="0" w:beforeAutospacing="0" w:after="0" w:afterAutospacing="0"/>
              <w:jc w:val="center"/>
              <w:rPr>
                <w:bCs/>
              </w:rPr>
            </w:pPr>
            <w:r w:rsidRPr="00DD49B6">
              <w:rPr>
                <w:bCs/>
              </w:rPr>
              <w:t>1</w:t>
            </w:r>
          </w:p>
        </w:tc>
        <w:tc>
          <w:tcPr>
            <w:tcW w:w="1536" w:type="dxa"/>
            <w:vAlign w:val="center"/>
          </w:tcPr>
          <w:p w14:paraId="3E3B25DA" w14:textId="77777777" w:rsidR="002F30BD" w:rsidRPr="00DD49B6" w:rsidRDefault="002F30BD" w:rsidP="007A059D">
            <w:pPr>
              <w:pStyle w:val="naisf"/>
              <w:spacing w:before="0" w:beforeAutospacing="0" w:after="0" w:afterAutospacing="0"/>
              <w:jc w:val="center"/>
              <w:rPr>
                <w:bCs/>
              </w:rPr>
            </w:pPr>
            <w:r w:rsidRPr="00DD49B6">
              <w:rPr>
                <w:bCs/>
              </w:rPr>
              <w:t>2</w:t>
            </w:r>
          </w:p>
        </w:tc>
        <w:tc>
          <w:tcPr>
            <w:tcW w:w="1292" w:type="dxa"/>
            <w:vAlign w:val="center"/>
          </w:tcPr>
          <w:p w14:paraId="7E27EB77" w14:textId="77777777" w:rsidR="002F30BD" w:rsidRPr="00DD49B6" w:rsidRDefault="002F30BD" w:rsidP="007A059D">
            <w:pPr>
              <w:pStyle w:val="naisf"/>
              <w:spacing w:before="0" w:beforeAutospacing="0" w:after="0" w:afterAutospacing="0"/>
              <w:jc w:val="center"/>
              <w:rPr>
                <w:bCs/>
              </w:rPr>
            </w:pPr>
            <w:r w:rsidRPr="00DD49B6">
              <w:rPr>
                <w:bCs/>
              </w:rPr>
              <w:t>3</w:t>
            </w:r>
          </w:p>
        </w:tc>
        <w:tc>
          <w:tcPr>
            <w:tcW w:w="1344" w:type="dxa"/>
            <w:vAlign w:val="center"/>
          </w:tcPr>
          <w:p w14:paraId="5C813B2D" w14:textId="77777777" w:rsidR="002F30BD" w:rsidRPr="00DD49B6" w:rsidRDefault="002F30BD" w:rsidP="007A059D">
            <w:pPr>
              <w:pStyle w:val="naisf"/>
              <w:spacing w:before="0" w:beforeAutospacing="0" w:after="0" w:afterAutospacing="0"/>
              <w:jc w:val="center"/>
              <w:rPr>
                <w:bCs/>
              </w:rPr>
            </w:pPr>
            <w:r w:rsidRPr="00DD49B6">
              <w:rPr>
                <w:bCs/>
              </w:rPr>
              <w:t>4</w:t>
            </w:r>
          </w:p>
        </w:tc>
        <w:tc>
          <w:tcPr>
            <w:tcW w:w="1413" w:type="dxa"/>
            <w:vAlign w:val="center"/>
          </w:tcPr>
          <w:p w14:paraId="64C80C6E" w14:textId="77777777" w:rsidR="002F30BD" w:rsidRPr="00DD49B6" w:rsidRDefault="002F30BD" w:rsidP="007A059D">
            <w:pPr>
              <w:pStyle w:val="naisf"/>
              <w:spacing w:before="0" w:beforeAutospacing="0" w:after="0" w:afterAutospacing="0"/>
              <w:jc w:val="center"/>
              <w:rPr>
                <w:bCs/>
              </w:rPr>
            </w:pPr>
            <w:r w:rsidRPr="00DD49B6">
              <w:rPr>
                <w:bCs/>
              </w:rPr>
              <w:t>5</w:t>
            </w:r>
          </w:p>
        </w:tc>
        <w:tc>
          <w:tcPr>
            <w:tcW w:w="1309" w:type="dxa"/>
            <w:vAlign w:val="center"/>
          </w:tcPr>
          <w:p w14:paraId="6991C50E" w14:textId="77777777" w:rsidR="002F30BD" w:rsidRPr="00DD49B6" w:rsidRDefault="002F30BD" w:rsidP="007A059D">
            <w:pPr>
              <w:pStyle w:val="naisf"/>
              <w:spacing w:before="0" w:beforeAutospacing="0" w:after="0" w:afterAutospacing="0"/>
              <w:jc w:val="center"/>
              <w:rPr>
                <w:bCs/>
              </w:rPr>
            </w:pPr>
            <w:r w:rsidRPr="00DD49B6">
              <w:rPr>
                <w:bCs/>
              </w:rPr>
              <w:t>6</w:t>
            </w:r>
          </w:p>
        </w:tc>
      </w:tr>
      <w:tr w:rsidR="002F30BD" w:rsidRPr="00ED22C8" w14:paraId="477EAA48" w14:textId="77777777" w:rsidTr="00C42B7D">
        <w:trPr>
          <w:jc w:val="center"/>
        </w:trPr>
        <w:tc>
          <w:tcPr>
            <w:tcW w:w="2850" w:type="dxa"/>
          </w:tcPr>
          <w:p w14:paraId="2720CDBC" w14:textId="77777777" w:rsidR="002F30BD" w:rsidRPr="00DD49B6" w:rsidRDefault="002F30BD" w:rsidP="007A059D">
            <w:pPr>
              <w:pStyle w:val="naisf"/>
              <w:spacing w:before="0" w:beforeAutospacing="0" w:after="0" w:afterAutospacing="0"/>
              <w:rPr>
                <w:i/>
              </w:rPr>
            </w:pPr>
            <w:r w:rsidRPr="00DD49B6">
              <w:t>1. Budžeta ieņēmumi:</w:t>
            </w:r>
          </w:p>
        </w:tc>
        <w:tc>
          <w:tcPr>
            <w:tcW w:w="1536" w:type="dxa"/>
          </w:tcPr>
          <w:p w14:paraId="308160B7"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292" w:type="dxa"/>
          </w:tcPr>
          <w:p w14:paraId="6E6827E4"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344" w:type="dxa"/>
          </w:tcPr>
          <w:p w14:paraId="2CCF46BF"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14:paraId="26D9DD0A"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14:paraId="0F017F55"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2F30BD" w:rsidRPr="00ED22C8" w14:paraId="46A66B7D" w14:textId="77777777" w:rsidTr="00C42B7D">
        <w:trPr>
          <w:jc w:val="center"/>
        </w:trPr>
        <w:tc>
          <w:tcPr>
            <w:tcW w:w="2850" w:type="dxa"/>
          </w:tcPr>
          <w:p w14:paraId="61577428" w14:textId="77777777" w:rsidR="002F30BD" w:rsidRPr="00DD49B6" w:rsidRDefault="002F30BD" w:rsidP="007A059D">
            <w:pPr>
              <w:pStyle w:val="naisf"/>
              <w:spacing w:before="0" w:beforeAutospacing="0" w:after="0" w:afterAutospacing="0"/>
              <w:rPr>
                <w:i/>
              </w:rPr>
            </w:pPr>
            <w:r w:rsidRPr="00DD49B6">
              <w:t xml:space="preserve">1.1. valsts pamatbudžets, tai skaitā ieņēmumi no </w:t>
            </w:r>
            <w:r w:rsidRPr="00DD49B6">
              <w:lastRenderedPageBreak/>
              <w:t>maksas pakalpojumiem un citi pašu ieņēmumi</w:t>
            </w:r>
          </w:p>
        </w:tc>
        <w:tc>
          <w:tcPr>
            <w:tcW w:w="1536" w:type="dxa"/>
          </w:tcPr>
          <w:p w14:paraId="731000DD"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lastRenderedPageBreak/>
              <w:t>  0</w:t>
            </w:r>
          </w:p>
        </w:tc>
        <w:tc>
          <w:tcPr>
            <w:tcW w:w="1292" w:type="dxa"/>
          </w:tcPr>
          <w:p w14:paraId="47FE126D"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344" w:type="dxa"/>
          </w:tcPr>
          <w:p w14:paraId="7915A80D"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14:paraId="4EDCED5D"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14:paraId="0C8ADF55"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2F30BD" w:rsidRPr="00ED22C8" w14:paraId="7A42CBF1" w14:textId="77777777" w:rsidTr="00C42B7D">
        <w:trPr>
          <w:jc w:val="center"/>
        </w:trPr>
        <w:tc>
          <w:tcPr>
            <w:tcW w:w="2850" w:type="dxa"/>
          </w:tcPr>
          <w:p w14:paraId="7976694E" w14:textId="77777777" w:rsidR="002F30BD" w:rsidRPr="00DD49B6" w:rsidRDefault="002F30BD" w:rsidP="007A059D">
            <w:pPr>
              <w:pStyle w:val="naisf"/>
              <w:spacing w:before="0" w:beforeAutospacing="0" w:after="0" w:afterAutospacing="0"/>
              <w:rPr>
                <w:i/>
              </w:rPr>
            </w:pPr>
            <w:r w:rsidRPr="00DD49B6">
              <w:lastRenderedPageBreak/>
              <w:t>1.2. valsts speciālais budžets</w:t>
            </w:r>
          </w:p>
        </w:tc>
        <w:tc>
          <w:tcPr>
            <w:tcW w:w="1536" w:type="dxa"/>
          </w:tcPr>
          <w:p w14:paraId="4EB2DFCE"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292" w:type="dxa"/>
          </w:tcPr>
          <w:p w14:paraId="3F40AF16"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344" w:type="dxa"/>
          </w:tcPr>
          <w:p w14:paraId="2F89C33F"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14:paraId="53142313"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14:paraId="46926BEA"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2F30BD" w:rsidRPr="00ED22C8" w14:paraId="7858FA3B" w14:textId="77777777" w:rsidTr="00C42B7D">
        <w:trPr>
          <w:jc w:val="center"/>
        </w:trPr>
        <w:tc>
          <w:tcPr>
            <w:tcW w:w="2850" w:type="dxa"/>
          </w:tcPr>
          <w:p w14:paraId="6F96D7E1" w14:textId="77777777" w:rsidR="002F30BD" w:rsidRPr="00DD49B6" w:rsidRDefault="002F30BD" w:rsidP="007A059D">
            <w:pPr>
              <w:pStyle w:val="naisf"/>
              <w:spacing w:before="0" w:beforeAutospacing="0" w:after="0" w:afterAutospacing="0"/>
              <w:rPr>
                <w:i/>
              </w:rPr>
            </w:pPr>
            <w:r w:rsidRPr="00DD49B6">
              <w:t>1.3. pašvaldību budžets</w:t>
            </w:r>
          </w:p>
        </w:tc>
        <w:tc>
          <w:tcPr>
            <w:tcW w:w="1536" w:type="dxa"/>
          </w:tcPr>
          <w:p w14:paraId="08E4D258"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292" w:type="dxa"/>
          </w:tcPr>
          <w:p w14:paraId="4D663A55"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344" w:type="dxa"/>
          </w:tcPr>
          <w:p w14:paraId="65D8A9D7"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14:paraId="43F88A93"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14:paraId="30E911B4"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2F30BD" w:rsidRPr="00ED22C8" w14:paraId="5CB5E335" w14:textId="77777777" w:rsidTr="00C42B7D">
        <w:trPr>
          <w:jc w:val="center"/>
        </w:trPr>
        <w:tc>
          <w:tcPr>
            <w:tcW w:w="2850" w:type="dxa"/>
          </w:tcPr>
          <w:p w14:paraId="0884B375"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2. Budžeta izdevumi:</w:t>
            </w:r>
          </w:p>
        </w:tc>
        <w:tc>
          <w:tcPr>
            <w:tcW w:w="1536" w:type="dxa"/>
          </w:tcPr>
          <w:p w14:paraId="65E53318" w14:textId="77777777" w:rsidR="002F30BD" w:rsidRPr="00ED22C8" w:rsidRDefault="002F30BD" w:rsidP="004A0587">
            <w:pPr>
              <w:spacing w:after="0" w:line="240" w:lineRule="auto"/>
              <w:rPr>
                <w:rFonts w:ascii="Times New Roman" w:hAnsi="Times New Roman"/>
                <w:sz w:val="24"/>
                <w:szCs w:val="24"/>
              </w:rPr>
            </w:pPr>
            <w:r w:rsidRPr="00ED22C8">
              <w:rPr>
                <w:rFonts w:ascii="Times New Roman" w:hAnsi="Times New Roman"/>
                <w:sz w:val="24"/>
                <w:szCs w:val="24"/>
              </w:rPr>
              <w:t>  0</w:t>
            </w:r>
          </w:p>
        </w:tc>
        <w:tc>
          <w:tcPr>
            <w:tcW w:w="1292" w:type="dxa"/>
          </w:tcPr>
          <w:p w14:paraId="24E60446"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344" w:type="dxa"/>
          </w:tcPr>
          <w:p w14:paraId="273EC221"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14:paraId="2DAA3784"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14:paraId="7620A063"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2F30BD" w:rsidRPr="00ED22C8" w14:paraId="5F4C8EE6" w14:textId="77777777" w:rsidTr="00C42B7D">
        <w:trPr>
          <w:jc w:val="center"/>
        </w:trPr>
        <w:tc>
          <w:tcPr>
            <w:tcW w:w="2850" w:type="dxa"/>
          </w:tcPr>
          <w:p w14:paraId="48DA6229"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2.1. valsts pamatbudžets</w:t>
            </w:r>
          </w:p>
        </w:tc>
        <w:tc>
          <w:tcPr>
            <w:tcW w:w="1536" w:type="dxa"/>
          </w:tcPr>
          <w:p w14:paraId="7CF4AD09"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0</w:t>
            </w:r>
          </w:p>
        </w:tc>
        <w:tc>
          <w:tcPr>
            <w:tcW w:w="1292" w:type="dxa"/>
          </w:tcPr>
          <w:p w14:paraId="519F32EC"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344" w:type="dxa"/>
          </w:tcPr>
          <w:p w14:paraId="63715CED"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14:paraId="0F06DE18"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14:paraId="15830B13"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2F30BD" w:rsidRPr="00ED22C8" w14:paraId="4B9B4AC0" w14:textId="77777777" w:rsidTr="00C42B7D">
        <w:trPr>
          <w:jc w:val="center"/>
        </w:trPr>
        <w:tc>
          <w:tcPr>
            <w:tcW w:w="2850" w:type="dxa"/>
          </w:tcPr>
          <w:p w14:paraId="1712F3D6"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2.2. valsts speciālais budžets</w:t>
            </w:r>
          </w:p>
        </w:tc>
        <w:tc>
          <w:tcPr>
            <w:tcW w:w="1536" w:type="dxa"/>
          </w:tcPr>
          <w:p w14:paraId="4D2109E5"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292" w:type="dxa"/>
          </w:tcPr>
          <w:p w14:paraId="07857607"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344" w:type="dxa"/>
          </w:tcPr>
          <w:p w14:paraId="260DAA3C"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14:paraId="75488268"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14:paraId="79BFBBF9"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2F30BD" w:rsidRPr="00ED22C8" w14:paraId="3BF64631" w14:textId="77777777" w:rsidTr="00C42B7D">
        <w:trPr>
          <w:jc w:val="center"/>
        </w:trPr>
        <w:tc>
          <w:tcPr>
            <w:tcW w:w="2850" w:type="dxa"/>
          </w:tcPr>
          <w:p w14:paraId="1F8F7501"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 xml:space="preserve">2.3. pašvaldību budžets </w:t>
            </w:r>
          </w:p>
        </w:tc>
        <w:tc>
          <w:tcPr>
            <w:tcW w:w="1536" w:type="dxa"/>
          </w:tcPr>
          <w:p w14:paraId="5D886541"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292" w:type="dxa"/>
          </w:tcPr>
          <w:p w14:paraId="54A149CD"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344" w:type="dxa"/>
          </w:tcPr>
          <w:p w14:paraId="4A99197C"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14:paraId="6E7385FB"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14:paraId="60E7E984"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2F30BD" w:rsidRPr="00ED22C8" w14:paraId="5BA0110A" w14:textId="77777777" w:rsidTr="00C42B7D">
        <w:trPr>
          <w:jc w:val="center"/>
        </w:trPr>
        <w:tc>
          <w:tcPr>
            <w:tcW w:w="2850" w:type="dxa"/>
          </w:tcPr>
          <w:p w14:paraId="71EFAC73"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3. Finansiālā ietekme:</w:t>
            </w:r>
          </w:p>
        </w:tc>
        <w:tc>
          <w:tcPr>
            <w:tcW w:w="1536" w:type="dxa"/>
            <w:vAlign w:val="center"/>
          </w:tcPr>
          <w:p w14:paraId="12B7B223"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0</w:t>
            </w:r>
          </w:p>
        </w:tc>
        <w:tc>
          <w:tcPr>
            <w:tcW w:w="1292" w:type="dxa"/>
          </w:tcPr>
          <w:p w14:paraId="2C39B405"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344" w:type="dxa"/>
          </w:tcPr>
          <w:p w14:paraId="3CBBEC59"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14:paraId="1066E595"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14:paraId="56823109"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2F30BD" w:rsidRPr="00ED22C8" w14:paraId="7A35E636" w14:textId="77777777" w:rsidTr="00C42B7D">
        <w:trPr>
          <w:jc w:val="center"/>
        </w:trPr>
        <w:tc>
          <w:tcPr>
            <w:tcW w:w="2850" w:type="dxa"/>
          </w:tcPr>
          <w:p w14:paraId="26BAA69E"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3.1. valsts pamatbudžets</w:t>
            </w:r>
          </w:p>
        </w:tc>
        <w:tc>
          <w:tcPr>
            <w:tcW w:w="1536" w:type="dxa"/>
          </w:tcPr>
          <w:p w14:paraId="6196CA25" w14:textId="77777777" w:rsidR="002F30BD" w:rsidRPr="00ED22C8" w:rsidRDefault="002F30BD" w:rsidP="004A0587">
            <w:pPr>
              <w:spacing w:after="0" w:line="240" w:lineRule="auto"/>
              <w:rPr>
                <w:rFonts w:ascii="Times New Roman" w:hAnsi="Times New Roman"/>
                <w:sz w:val="24"/>
                <w:szCs w:val="24"/>
              </w:rPr>
            </w:pPr>
            <w:r w:rsidRPr="00ED22C8">
              <w:rPr>
                <w:rFonts w:ascii="Times New Roman" w:hAnsi="Times New Roman"/>
                <w:sz w:val="24"/>
                <w:szCs w:val="24"/>
              </w:rPr>
              <w:t> 0</w:t>
            </w:r>
          </w:p>
        </w:tc>
        <w:tc>
          <w:tcPr>
            <w:tcW w:w="1292" w:type="dxa"/>
          </w:tcPr>
          <w:p w14:paraId="70D5E9F8"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344" w:type="dxa"/>
          </w:tcPr>
          <w:p w14:paraId="597DCAF3"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14:paraId="49DFAFDB"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14:paraId="256A4DC3"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2F30BD" w:rsidRPr="00ED22C8" w14:paraId="3510DC3E" w14:textId="77777777" w:rsidTr="00C42B7D">
        <w:trPr>
          <w:jc w:val="center"/>
        </w:trPr>
        <w:tc>
          <w:tcPr>
            <w:tcW w:w="2850" w:type="dxa"/>
          </w:tcPr>
          <w:p w14:paraId="00CDA48D"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3.2. speciālais budžets</w:t>
            </w:r>
          </w:p>
        </w:tc>
        <w:tc>
          <w:tcPr>
            <w:tcW w:w="1536" w:type="dxa"/>
          </w:tcPr>
          <w:p w14:paraId="6C2E5D4F"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292" w:type="dxa"/>
          </w:tcPr>
          <w:p w14:paraId="49BE805C"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344" w:type="dxa"/>
          </w:tcPr>
          <w:p w14:paraId="2C4F1494"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14:paraId="70D52C5B"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14:paraId="3D13A0E9"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2F30BD" w:rsidRPr="00ED22C8" w14:paraId="4AB18271" w14:textId="77777777" w:rsidTr="00C42B7D">
        <w:trPr>
          <w:jc w:val="center"/>
        </w:trPr>
        <w:tc>
          <w:tcPr>
            <w:tcW w:w="2850" w:type="dxa"/>
          </w:tcPr>
          <w:p w14:paraId="62DE08F1"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 xml:space="preserve">3.3. pašvaldību budžets </w:t>
            </w:r>
          </w:p>
        </w:tc>
        <w:tc>
          <w:tcPr>
            <w:tcW w:w="1536" w:type="dxa"/>
          </w:tcPr>
          <w:p w14:paraId="7B09FE42"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292" w:type="dxa"/>
          </w:tcPr>
          <w:p w14:paraId="496C1BB8"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344" w:type="dxa"/>
          </w:tcPr>
          <w:p w14:paraId="5370317E"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14:paraId="12278BD6"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14:paraId="122C5B26"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2F30BD" w:rsidRPr="00ED22C8" w14:paraId="53F399C7" w14:textId="77777777" w:rsidTr="00C42B7D">
        <w:trPr>
          <w:jc w:val="center"/>
        </w:trPr>
        <w:tc>
          <w:tcPr>
            <w:tcW w:w="2850" w:type="dxa"/>
            <w:vMerge w:val="restart"/>
          </w:tcPr>
          <w:p w14:paraId="16E60763"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4. Finanšu līdzekļi papildu izdevumu finansēšanai (kompensējošu izdevumu samazinājumu norāda ar "+" zīmi)</w:t>
            </w:r>
          </w:p>
        </w:tc>
        <w:tc>
          <w:tcPr>
            <w:tcW w:w="1536" w:type="dxa"/>
            <w:vMerge w:val="restart"/>
          </w:tcPr>
          <w:p w14:paraId="11B62EBE" w14:textId="77777777" w:rsidR="002F30BD" w:rsidRPr="00ED22C8" w:rsidRDefault="002F30BD" w:rsidP="007A059D">
            <w:pPr>
              <w:spacing w:after="0" w:line="240" w:lineRule="auto"/>
              <w:rPr>
                <w:rFonts w:ascii="Times New Roman" w:hAnsi="Times New Roman"/>
                <w:sz w:val="24"/>
                <w:szCs w:val="24"/>
              </w:rPr>
            </w:pPr>
            <w:r>
              <w:rPr>
                <w:rFonts w:ascii="Times New Roman" w:hAnsi="Times New Roman"/>
                <w:sz w:val="24"/>
                <w:szCs w:val="24"/>
              </w:rPr>
              <w:t>0</w:t>
            </w:r>
          </w:p>
        </w:tc>
        <w:tc>
          <w:tcPr>
            <w:tcW w:w="1292" w:type="dxa"/>
          </w:tcPr>
          <w:p w14:paraId="152BF755"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344" w:type="dxa"/>
          </w:tcPr>
          <w:p w14:paraId="52BC3638"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14:paraId="1978E0FB"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14:paraId="4D5BC078"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2F30BD" w:rsidRPr="00ED22C8" w14:paraId="6815DE0D" w14:textId="77777777" w:rsidTr="00C42B7D">
        <w:trPr>
          <w:jc w:val="center"/>
        </w:trPr>
        <w:tc>
          <w:tcPr>
            <w:tcW w:w="2850" w:type="dxa"/>
            <w:vMerge/>
          </w:tcPr>
          <w:p w14:paraId="435F4D7F" w14:textId="77777777" w:rsidR="002F30BD" w:rsidRPr="00ED22C8" w:rsidRDefault="002F30BD" w:rsidP="007A059D">
            <w:pPr>
              <w:spacing w:after="0" w:line="240" w:lineRule="auto"/>
              <w:rPr>
                <w:rFonts w:ascii="Times New Roman" w:hAnsi="Times New Roman"/>
                <w:sz w:val="24"/>
                <w:szCs w:val="24"/>
              </w:rPr>
            </w:pPr>
          </w:p>
        </w:tc>
        <w:tc>
          <w:tcPr>
            <w:tcW w:w="1536" w:type="dxa"/>
            <w:vMerge/>
            <w:vAlign w:val="center"/>
          </w:tcPr>
          <w:p w14:paraId="3A2CD1AF" w14:textId="77777777" w:rsidR="002F30BD" w:rsidRPr="00DD49B6" w:rsidRDefault="002F30BD" w:rsidP="007A059D">
            <w:pPr>
              <w:pStyle w:val="naisf"/>
              <w:spacing w:before="0" w:beforeAutospacing="0" w:after="0" w:afterAutospacing="0"/>
              <w:jc w:val="center"/>
              <w:rPr>
                <w:i/>
              </w:rPr>
            </w:pPr>
          </w:p>
        </w:tc>
        <w:tc>
          <w:tcPr>
            <w:tcW w:w="1292" w:type="dxa"/>
          </w:tcPr>
          <w:p w14:paraId="64750A87" w14:textId="77777777" w:rsidR="002F30BD" w:rsidRPr="00DD49B6" w:rsidRDefault="002F30BD" w:rsidP="007A059D">
            <w:pPr>
              <w:pStyle w:val="naisf"/>
              <w:spacing w:before="0" w:beforeAutospacing="0" w:after="0" w:afterAutospacing="0"/>
              <w:rPr>
                <w:b/>
                <w:i/>
              </w:rPr>
            </w:pPr>
            <w:r w:rsidRPr="00D25E38">
              <w:t>  </w:t>
            </w:r>
            <w:r>
              <w:t>0</w:t>
            </w:r>
          </w:p>
        </w:tc>
        <w:tc>
          <w:tcPr>
            <w:tcW w:w="1344" w:type="dxa"/>
          </w:tcPr>
          <w:p w14:paraId="7921C2B8"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14:paraId="1F37F958"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14:paraId="4165590B"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2F30BD" w:rsidRPr="00ED22C8" w14:paraId="3E7D9649" w14:textId="77777777" w:rsidTr="00C42B7D">
        <w:trPr>
          <w:jc w:val="center"/>
        </w:trPr>
        <w:tc>
          <w:tcPr>
            <w:tcW w:w="2850" w:type="dxa"/>
            <w:vMerge/>
          </w:tcPr>
          <w:p w14:paraId="29F47782" w14:textId="77777777" w:rsidR="002F30BD" w:rsidRPr="00ED22C8" w:rsidRDefault="002F30BD" w:rsidP="007A059D">
            <w:pPr>
              <w:spacing w:after="0" w:line="240" w:lineRule="auto"/>
              <w:rPr>
                <w:rFonts w:ascii="Times New Roman" w:hAnsi="Times New Roman"/>
                <w:sz w:val="24"/>
                <w:szCs w:val="24"/>
              </w:rPr>
            </w:pPr>
          </w:p>
        </w:tc>
        <w:tc>
          <w:tcPr>
            <w:tcW w:w="1536" w:type="dxa"/>
            <w:vMerge/>
            <w:vAlign w:val="center"/>
          </w:tcPr>
          <w:p w14:paraId="22998773" w14:textId="77777777" w:rsidR="002F30BD" w:rsidRPr="00DD49B6" w:rsidRDefault="002F30BD" w:rsidP="007A059D">
            <w:pPr>
              <w:pStyle w:val="naisf"/>
              <w:spacing w:before="0" w:beforeAutospacing="0" w:after="0" w:afterAutospacing="0"/>
              <w:jc w:val="center"/>
              <w:rPr>
                <w:i/>
              </w:rPr>
            </w:pPr>
          </w:p>
        </w:tc>
        <w:tc>
          <w:tcPr>
            <w:tcW w:w="1292" w:type="dxa"/>
          </w:tcPr>
          <w:p w14:paraId="76EE1CB8" w14:textId="77777777" w:rsidR="002F30BD" w:rsidRPr="00DD49B6" w:rsidRDefault="002F30BD" w:rsidP="007A059D">
            <w:pPr>
              <w:pStyle w:val="naisf"/>
              <w:spacing w:before="0" w:beforeAutospacing="0" w:after="0" w:afterAutospacing="0"/>
              <w:rPr>
                <w:b/>
                <w:i/>
              </w:rPr>
            </w:pPr>
            <w:r w:rsidRPr="00D25E38">
              <w:t>  </w:t>
            </w:r>
            <w:r>
              <w:t>0</w:t>
            </w:r>
          </w:p>
        </w:tc>
        <w:tc>
          <w:tcPr>
            <w:tcW w:w="1344" w:type="dxa"/>
          </w:tcPr>
          <w:p w14:paraId="27D0A5CC"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14:paraId="0A754CC4"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14:paraId="510EC3E2"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2F30BD" w:rsidRPr="00ED22C8" w14:paraId="0D7A5003" w14:textId="77777777" w:rsidTr="00C42B7D">
        <w:trPr>
          <w:jc w:val="center"/>
        </w:trPr>
        <w:tc>
          <w:tcPr>
            <w:tcW w:w="2850" w:type="dxa"/>
          </w:tcPr>
          <w:p w14:paraId="72FB388C"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5. Precizēta finansiālā ietekme:</w:t>
            </w:r>
          </w:p>
        </w:tc>
        <w:tc>
          <w:tcPr>
            <w:tcW w:w="1536" w:type="dxa"/>
            <w:vMerge w:val="restart"/>
          </w:tcPr>
          <w:p w14:paraId="2AB53E62" w14:textId="77777777" w:rsidR="002F30BD" w:rsidRPr="00ED22C8" w:rsidRDefault="002F30BD" w:rsidP="007A059D">
            <w:pPr>
              <w:spacing w:after="0" w:line="240" w:lineRule="auto"/>
              <w:rPr>
                <w:rFonts w:ascii="Times New Roman" w:hAnsi="Times New Roman"/>
                <w:sz w:val="24"/>
                <w:szCs w:val="24"/>
              </w:rPr>
            </w:pPr>
            <w:r>
              <w:rPr>
                <w:rFonts w:ascii="Times New Roman" w:hAnsi="Times New Roman"/>
                <w:sz w:val="24"/>
                <w:szCs w:val="24"/>
              </w:rPr>
              <w:t>0</w:t>
            </w:r>
          </w:p>
        </w:tc>
        <w:tc>
          <w:tcPr>
            <w:tcW w:w="1292" w:type="dxa"/>
          </w:tcPr>
          <w:p w14:paraId="06270242"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  0</w:t>
            </w:r>
          </w:p>
        </w:tc>
        <w:tc>
          <w:tcPr>
            <w:tcW w:w="1344" w:type="dxa"/>
          </w:tcPr>
          <w:p w14:paraId="218E4A7C"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14:paraId="6ACC4CD6"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14:paraId="3AACAD1F"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2F30BD" w:rsidRPr="00ED22C8" w14:paraId="428C79D8" w14:textId="77777777" w:rsidTr="00C42B7D">
        <w:trPr>
          <w:jc w:val="center"/>
        </w:trPr>
        <w:tc>
          <w:tcPr>
            <w:tcW w:w="2850" w:type="dxa"/>
          </w:tcPr>
          <w:p w14:paraId="285C3D16"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5.1. valsts pamatbudžets</w:t>
            </w:r>
          </w:p>
        </w:tc>
        <w:tc>
          <w:tcPr>
            <w:tcW w:w="1536" w:type="dxa"/>
            <w:vMerge/>
            <w:vAlign w:val="center"/>
          </w:tcPr>
          <w:p w14:paraId="75A03F18" w14:textId="77777777" w:rsidR="002F30BD" w:rsidRPr="00DD49B6" w:rsidRDefault="002F30BD" w:rsidP="007A059D">
            <w:pPr>
              <w:pStyle w:val="naisf"/>
              <w:spacing w:before="0" w:beforeAutospacing="0" w:after="0" w:afterAutospacing="0"/>
              <w:jc w:val="center"/>
              <w:rPr>
                <w:i/>
              </w:rPr>
            </w:pPr>
          </w:p>
        </w:tc>
        <w:tc>
          <w:tcPr>
            <w:tcW w:w="1292" w:type="dxa"/>
          </w:tcPr>
          <w:p w14:paraId="1FA16E36" w14:textId="77777777" w:rsidR="002F30BD" w:rsidRPr="00DD49B6" w:rsidRDefault="002F30BD" w:rsidP="007A059D">
            <w:pPr>
              <w:pStyle w:val="naisf"/>
              <w:spacing w:before="0" w:beforeAutospacing="0" w:after="0" w:afterAutospacing="0"/>
              <w:rPr>
                <w:b/>
                <w:i/>
              </w:rPr>
            </w:pPr>
            <w:r w:rsidRPr="00D25E38">
              <w:t>  </w:t>
            </w:r>
            <w:r>
              <w:t>0</w:t>
            </w:r>
          </w:p>
        </w:tc>
        <w:tc>
          <w:tcPr>
            <w:tcW w:w="1344" w:type="dxa"/>
          </w:tcPr>
          <w:p w14:paraId="0F0DD613"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14:paraId="20DA632E"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14:paraId="751BB21A"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2F30BD" w:rsidRPr="00ED22C8" w14:paraId="4946EF9A" w14:textId="77777777" w:rsidTr="00C42B7D">
        <w:trPr>
          <w:jc w:val="center"/>
        </w:trPr>
        <w:tc>
          <w:tcPr>
            <w:tcW w:w="2850" w:type="dxa"/>
          </w:tcPr>
          <w:p w14:paraId="222B2A9D"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5.2. speciālais budžets</w:t>
            </w:r>
          </w:p>
        </w:tc>
        <w:tc>
          <w:tcPr>
            <w:tcW w:w="1536" w:type="dxa"/>
            <w:vMerge/>
            <w:vAlign w:val="center"/>
          </w:tcPr>
          <w:p w14:paraId="6D0E8606" w14:textId="77777777" w:rsidR="002F30BD" w:rsidRPr="00DD49B6" w:rsidRDefault="002F30BD" w:rsidP="007A059D">
            <w:pPr>
              <w:pStyle w:val="naisf"/>
              <w:spacing w:before="0" w:beforeAutospacing="0" w:after="0" w:afterAutospacing="0"/>
              <w:jc w:val="center"/>
              <w:rPr>
                <w:i/>
              </w:rPr>
            </w:pPr>
          </w:p>
        </w:tc>
        <w:tc>
          <w:tcPr>
            <w:tcW w:w="1292" w:type="dxa"/>
          </w:tcPr>
          <w:p w14:paraId="61388ED6" w14:textId="77777777" w:rsidR="002F30BD" w:rsidRPr="00DD49B6" w:rsidRDefault="002F30BD" w:rsidP="007A059D">
            <w:pPr>
              <w:pStyle w:val="naisf"/>
              <w:spacing w:before="0" w:beforeAutospacing="0" w:after="0" w:afterAutospacing="0"/>
              <w:rPr>
                <w:b/>
                <w:i/>
              </w:rPr>
            </w:pPr>
            <w:r w:rsidRPr="00D25E38">
              <w:t>  </w:t>
            </w:r>
            <w:r>
              <w:t>0</w:t>
            </w:r>
          </w:p>
        </w:tc>
        <w:tc>
          <w:tcPr>
            <w:tcW w:w="1344" w:type="dxa"/>
          </w:tcPr>
          <w:p w14:paraId="51CC8EEB"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14:paraId="2F93ABC8"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14:paraId="4F31EC66"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2F30BD" w:rsidRPr="00ED22C8" w14:paraId="1A3D96FA" w14:textId="77777777" w:rsidTr="00C42B7D">
        <w:trPr>
          <w:jc w:val="center"/>
        </w:trPr>
        <w:tc>
          <w:tcPr>
            <w:tcW w:w="2850" w:type="dxa"/>
          </w:tcPr>
          <w:p w14:paraId="4162CC06"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 xml:space="preserve">5.3. pašvaldību budžets </w:t>
            </w:r>
          </w:p>
        </w:tc>
        <w:tc>
          <w:tcPr>
            <w:tcW w:w="1536" w:type="dxa"/>
            <w:vMerge/>
            <w:vAlign w:val="center"/>
          </w:tcPr>
          <w:p w14:paraId="0639DD4C" w14:textId="77777777" w:rsidR="002F30BD" w:rsidRPr="00DD49B6" w:rsidRDefault="002F30BD" w:rsidP="007A059D">
            <w:pPr>
              <w:pStyle w:val="naisf"/>
              <w:spacing w:before="0" w:beforeAutospacing="0" w:after="0" w:afterAutospacing="0"/>
              <w:jc w:val="center"/>
              <w:rPr>
                <w:i/>
              </w:rPr>
            </w:pPr>
          </w:p>
        </w:tc>
        <w:tc>
          <w:tcPr>
            <w:tcW w:w="1292" w:type="dxa"/>
          </w:tcPr>
          <w:p w14:paraId="74EB5B49" w14:textId="77777777" w:rsidR="002F30BD" w:rsidRPr="00DD49B6" w:rsidRDefault="002F30BD" w:rsidP="007A059D">
            <w:pPr>
              <w:pStyle w:val="naisf"/>
              <w:spacing w:before="0" w:beforeAutospacing="0" w:after="0" w:afterAutospacing="0"/>
              <w:rPr>
                <w:b/>
                <w:i/>
              </w:rPr>
            </w:pPr>
            <w:r w:rsidRPr="00D25E38">
              <w:t>  </w:t>
            </w:r>
            <w:r>
              <w:t>0</w:t>
            </w:r>
          </w:p>
        </w:tc>
        <w:tc>
          <w:tcPr>
            <w:tcW w:w="1344" w:type="dxa"/>
          </w:tcPr>
          <w:p w14:paraId="041A05F2"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413" w:type="dxa"/>
          </w:tcPr>
          <w:p w14:paraId="7562C34B"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c>
          <w:tcPr>
            <w:tcW w:w="1309" w:type="dxa"/>
          </w:tcPr>
          <w:p w14:paraId="68EAFECB" w14:textId="77777777" w:rsidR="002F30BD" w:rsidRPr="00ED22C8" w:rsidRDefault="002F30BD" w:rsidP="00EE67A6">
            <w:pPr>
              <w:spacing w:after="0" w:line="240" w:lineRule="auto"/>
              <w:rPr>
                <w:rFonts w:ascii="Times New Roman" w:hAnsi="Times New Roman"/>
                <w:sz w:val="24"/>
                <w:szCs w:val="24"/>
              </w:rPr>
            </w:pPr>
            <w:r w:rsidRPr="00ED22C8">
              <w:rPr>
                <w:rFonts w:ascii="Times New Roman" w:hAnsi="Times New Roman"/>
                <w:sz w:val="24"/>
                <w:szCs w:val="24"/>
              </w:rPr>
              <w:t>  0</w:t>
            </w:r>
          </w:p>
        </w:tc>
      </w:tr>
      <w:tr w:rsidR="002F30BD" w:rsidRPr="00ED22C8" w14:paraId="785FC459" w14:textId="77777777" w:rsidTr="00C42B7D">
        <w:trPr>
          <w:jc w:val="center"/>
        </w:trPr>
        <w:tc>
          <w:tcPr>
            <w:tcW w:w="2850" w:type="dxa"/>
          </w:tcPr>
          <w:p w14:paraId="47D5B782"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6. Detalizēts ieņēmumu un izdevumu aprēķins (ja nepie</w:t>
            </w:r>
            <w:r w:rsidRPr="00ED22C8">
              <w:rPr>
                <w:rFonts w:ascii="Times New Roman" w:hAnsi="Times New Roman"/>
                <w:sz w:val="24"/>
                <w:szCs w:val="24"/>
              </w:rPr>
              <w:softHyphen/>
              <w:t>ciešams, detalizētu ieņēmumu un izdevumu aprēķinu var pievienot anotācijas pielikumā):</w:t>
            </w:r>
          </w:p>
        </w:tc>
        <w:tc>
          <w:tcPr>
            <w:tcW w:w="6894" w:type="dxa"/>
            <w:gridSpan w:val="5"/>
            <w:vMerge w:val="restart"/>
            <w:vAlign w:val="center"/>
          </w:tcPr>
          <w:p w14:paraId="6CEDC307" w14:textId="77777777" w:rsidR="002F30BD" w:rsidRPr="00ED22C8" w:rsidRDefault="002F30BD" w:rsidP="00C42B7D">
            <w:pPr>
              <w:spacing w:after="0" w:line="240" w:lineRule="auto"/>
              <w:jc w:val="both"/>
              <w:rPr>
                <w:rFonts w:ascii="Times New Roman" w:hAnsi="Times New Roman"/>
                <w:sz w:val="24"/>
                <w:szCs w:val="24"/>
              </w:rPr>
            </w:pPr>
            <w:r w:rsidRPr="00ED22C8">
              <w:rPr>
                <w:rFonts w:ascii="Times New Roman" w:hAnsi="Times New Roman"/>
                <w:sz w:val="24"/>
                <w:szCs w:val="24"/>
              </w:rPr>
              <w:t>Projekts šo jomu neskar.</w:t>
            </w:r>
          </w:p>
        </w:tc>
      </w:tr>
      <w:tr w:rsidR="002F30BD" w:rsidRPr="00ED22C8" w14:paraId="5E82813E" w14:textId="77777777" w:rsidTr="00C42B7D">
        <w:trPr>
          <w:jc w:val="center"/>
        </w:trPr>
        <w:tc>
          <w:tcPr>
            <w:tcW w:w="2850" w:type="dxa"/>
          </w:tcPr>
          <w:p w14:paraId="0CFC7E40"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6.1. detalizēts ieņēmumu aprēķins</w:t>
            </w:r>
          </w:p>
        </w:tc>
        <w:tc>
          <w:tcPr>
            <w:tcW w:w="6894" w:type="dxa"/>
            <w:gridSpan w:val="5"/>
            <w:vMerge/>
            <w:vAlign w:val="center"/>
          </w:tcPr>
          <w:p w14:paraId="4D8410BA" w14:textId="77777777" w:rsidR="002F30BD" w:rsidRPr="00DD49B6" w:rsidRDefault="002F30BD" w:rsidP="007A059D">
            <w:pPr>
              <w:pStyle w:val="naisf"/>
              <w:spacing w:before="0" w:beforeAutospacing="0" w:after="0" w:afterAutospacing="0"/>
              <w:rPr>
                <w:b/>
                <w:i/>
              </w:rPr>
            </w:pPr>
          </w:p>
        </w:tc>
      </w:tr>
      <w:tr w:rsidR="002F30BD" w:rsidRPr="00ED22C8" w14:paraId="7020CC8C" w14:textId="77777777" w:rsidTr="00C42B7D">
        <w:trPr>
          <w:jc w:val="center"/>
        </w:trPr>
        <w:tc>
          <w:tcPr>
            <w:tcW w:w="2850" w:type="dxa"/>
          </w:tcPr>
          <w:p w14:paraId="4FA500EA" w14:textId="77777777" w:rsidR="002F30BD" w:rsidRPr="00ED22C8" w:rsidRDefault="002F30BD" w:rsidP="007A059D">
            <w:pPr>
              <w:spacing w:after="0" w:line="240" w:lineRule="auto"/>
              <w:rPr>
                <w:rFonts w:ascii="Times New Roman" w:hAnsi="Times New Roman"/>
                <w:sz w:val="24"/>
                <w:szCs w:val="24"/>
              </w:rPr>
            </w:pPr>
            <w:r w:rsidRPr="00ED22C8">
              <w:rPr>
                <w:rFonts w:ascii="Times New Roman" w:hAnsi="Times New Roman"/>
                <w:sz w:val="24"/>
                <w:szCs w:val="24"/>
              </w:rPr>
              <w:t>6.2. detalizēts izdevumu aprēķins</w:t>
            </w:r>
          </w:p>
        </w:tc>
        <w:tc>
          <w:tcPr>
            <w:tcW w:w="6894" w:type="dxa"/>
            <w:gridSpan w:val="5"/>
            <w:vMerge/>
            <w:vAlign w:val="center"/>
          </w:tcPr>
          <w:p w14:paraId="0820DF3D" w14:textId="77777777" w:rsidR="002F30BD" w:rsidRPr="00DD49B6" w:rsidRDefault="002F30BD" w:rsidP="007A059D">
            <w:pPr>
              <w:pStyle w:val="naisf"/>
              <w:spacing w:before="0" w:beforeAutospacing="0" w:after="0" w:afterAutospacing="0"/>
              <w:rPr>
                <w:b/>
                <w:i/>
              </w:rPr>
            </w:pPr>
          </w:p>
        </w:tc>
      </w:tr>
      <w:tr w:rsidR="002F30BD" w:rsidRPr="007A137C" w14:paraId="1DF4B268" w14:textId="77777777" w:rsidTr="00C42B7D">
        <w:trPr>
          <w:trHeight w:val="556"/>
          <w:jc w:val="center"/>
        </w:trPr>
        <w:tc>
          <w:tcPr>
            <w:tcW w:w="2850" w:type="dxa"/>
          </w:tcPr>
          <w:p w14:paraId="35540933" w14:textId="77777777" w:rsidR="002F30BD" w:rsidRPr="007A137C" w:rsidRDefault="002F30BD" w:rsidP="007A059D">
            <w:pPr>
              <w:spacing w:after="0" w:line="240" w:lineRule="auto"/>
              <w:rPr>
                <w:rFonts w:ascii="Times New Roman" w:hAnsi="Times New Roman"/>
                <w:sz w:val="24"/>
                <w:szCs w:val="24"/>
              </w:rPr>
            </w:pPr>
            <w:r w:rsidRPr="007A137C">
              <w:rPr>
                <w:rFonts w:ascii="Times New Roman" w:hAnsi="Times New Roman"/>
                <w:sz w:val="24"/>
                <w:szCs w:val="24"/>
              </w:rPr>
              <w:t>7. Cita informācija</w:t>
            </w:r>
          </w:p>
        </w:tc>
        <w:tc>
          <w:tcPr>
            <w:tcW w:w="6894" w:type="dxa"/>
            <w:gridSpan w:val="5"/>
          </w:tcPr>
          <w:p w14:paraId="73F1CA8E" w14:textId="44847BE1" w:rsidR="002F30BD" w:rsidRPr="007A137C" w:rsidRDefault="000E7E1F" w:rsidP="000D0E55">
            <w:pPr>
              <w:jc w:val="both"/>
              <w:rPr>
                <w:rFonts w:ascii="Times New Roman" w:hAnsi="Times New Roman"/>
                <w:sz w:val="24"/>
                <w:szCs w:val="24"/>
              </w:rPr>
            </w:pPr>
            <w:r>
              <w:rPr>
                <w:rFonts w:ascii="Times New Roman" w:hAnsi="Times New Roman"/>
                <w:sz w:val="24"/>
                <w:szCs w:val="24"/>
              </w:rPr>
              <w:t>L</w:t>
            </w:r>
            <w:r w:rsidR="002F30BD" w:rsidRPr="007A137C">
              <w:rPr>
                <w:rFonts w:ascii="Times New Roman" w:hAnsi="Times New Roman"/>
                <w:sz w:val="24"/>
                <w:szCs w:val="24"/>
              </w:rPr>
              <w:t>ikum</w:t>
            </w:r>
            <w:r>
              <w:rPr>
                <w:rFonts w:ascii="Times New Roman" w:hAnsi="Times New Roman"/>
                <w:sz w:val="24"/>
                <w:szCs w:val="24"/>
              </w:rPr>
              <w:t>a</w:t>
            </w:r>
            <w:r w:rsidR="002F30BD" w:rsidRPr="007A137C">
              <w:rPr>
                <w:rFonts w:ascii="Times New Roman" w:hAnsi="Times New Roman"/>
                <w:sz w:val="24"/>
                <w:szCs w:val="24"/>
              </w:rPr>
              <w:t xml:space="preserve"> </w:t>
            </w:r>
            <w:r>
              <w:rPr>
                <w:rFonts w:ascii="Times New Roman" w:hAnsi="Times New Roman"/>
                <w:sz w:val="24"/>
                <w:szCs w:val="24"/>
              </w:rPr>
              <w:t>„P</w:t>
            </w:r>
            <w:r w:rsidR="002F30BD" w:rsidRPr="007A137C">
              <w:rPr>
                <w:rFonts w:ascii="Times New Roman" w:hAnsi="Times New Roman"/>
                <w:sz w:val="24"/>
                <w:szCs w:val="24"/>
              </w:rPr>
              <w:t>ar valsts budžetu 2015.gadam</w:t>
            </w:r>
            <w:r>
              <w:rPr>
                <w:rFonts w:ascii="Times New Roman" w:hAnsi="Times New Roman"/>
                <w:sz w:val="24"/>
                <w:szCs w:val="24"/>
              </w:rPr>
              <w:t>”</w:t>
            </w:r>
            <w:r w:rsidR="002F30BD" w:rsidRPr="007A137C">
              <w:rPr>
                <w:rFonts w:ascii="Times New Roman" w:hAnsi="Times New Roman"/>
                <w:sz w:val="24"/>
                <w:szCs w:val="24"/>
              </w:rPr>
              <w:t xml:space="preserve"> 43.pant</w:t>
            </w:r>
            <w:r>
              <w:rPr>
                <w:rFonts w:ascii="Times New Roman" w:hAnsi="Times New Roman"/>
                <w:sz w:val="24"/>
                <w:szCs w:val="24"/>
              </w:rPr>
              <w:t>ā</w:t>
            </w:r>
            <w:r w:rsidR="002F30BD" w:rsidRPr="007A137C">
              <w:rPr>
                <w:rFonts w:ascii="Times New Roman" w:hAnsi="Times New Roman"/>
                <w:sz w:val="24"/>
                <w:szCs w:val="24"/>
              </w:rPr>
              <w:t xml:space="preserve"> noteikts, ka valsts 60 000 000 </w:t>
            </w:r>
            <w:proofErr w:type="spellStart"/>
            <w:r w:rsidR="002F30BD" w:rsidRPr="007A137C">
              <w:rPr>
                <w:rFonts w:ascii="Times New Roman" w:hAnsi="Times New Roman"/>
                <w:i/>
                <w:sz w:val="24"/>
                <w:szCs w:val="24"/>
              </w:rPr>
              <w:t>euro</w:t>
            </w:r>
            <w:proofErr w:type="spellEnd"/>
            <w:r w:rsidR="002F30BD" w:rsidRPr="007A137C">
              <w:rPr>
                <w:rFonts w:ascii="Times New Roman" w:hAnsi="Times New Roman"/>
                <w:sz w:val="24"/>
                <w:szCs w:val="24"/>
              </w:rPr>
              <w:t xml:space="preserve"> apmērā atbild par valsts akciju sabiedrības “Lauku attīstības fonds” vai šīs valsts akciju sabiedrības saistību un tiesību pārņēmēja garantijām.</w:t>
            </w:r>
          </w:p>
        </w:tc>
      </w:tr>
    </w:tbl>
    <w:p w14:paraId="4BEB6FF2" w14:textId="6C79EF3C" w:rsidR="00676910" w:rsidRDefault="002F30BD" w:rsidP="000330A2">
      <w:pPr>
        <w:spacing w:after="0" w:line="240" w:lineRule="auto"/>
        <w:rPr>
          <w:rFonts w:ascii="Times New Roman" w:hAnsi="Times New Roman"/>
          <w:i/>
          <w:sz w:val="24"/>
          <w:szCs w:val="24"/>
        </w:rPr>
      </w:pPr>
      <w:r w:rsidRPr="007A137C">
        <w:rPr>
          <w:rFonts w:ascii="Times New Roman" w:hAnsi="Times New Roman"/>
          <w:i/>
          <w:sz w:val="24"/>
          <w:szCs w:val="24"/>
        </w:rPr>
        <w:t xml:space="preserve">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7727"/>
      </w:tblGrid>
      <w:tr w:rsidR="00676910" w:rsidRPr="00A51904" w14:paraId="3E325D5B" w14:textId="77777777" w:rsidTr="00676910">
        <w:trPr>
          <w:trHeight w:val="279"/>
        </w:trPr>
        <w:tc>
          <w:tcPr>
            <w:tcW w:w="9640" w:type="dxa"/>
            <w:gridSpan w:val="2"/>
          </w:tcPr>
          <w:p w14:paraId="154975A1" w14:textId="77777777" w:rsidR="00676910" w:rsidRPr="00B45C8D" w:rsidRDefault="00676910" w:rsidP="00997B58">
            <w:pPr>
              <w:jc w:val="center"/>
              <w:rPr>
                <w:rFonts w:ascii="Times New Roman" w:hAnsi="Times New Roman"/>
                <w:b/>
                <w:color w:val="000000"/>
                <w:sz w:val="24"/>
                <w:szCs w:val="24"/>
              </w:rPr>
            </w:pPr>
            <w:r w:rsidRPr="00B45C8D">
              <w:rPr>
                <w:rFonts w:ascii="Times New Roman" w:hAnsi="Times New Roman"/>
                <w:b/>
                <w:color w:val="000000"/>
                <w:sz w:val="24"/>
                <w:szCs w:val="24"/>
              </w:rPr>
              <w:t>IV. Tiesību akta projekta ietekme uz spēkā esošo tiesību normu sistēmu</w:t>
            </w:r>
          </w:p>
        </w:tc>
      </w:tr>
      <w:tr w:rsidR="00676910" w:rsidRPr="00C3682F" w14:paraId="6C81F322" w14:textId="77777777" w:rsidTr="00676910">
        <w:trPr>
          <w:trHeight w:val="981"/>
        </w:trPr>
        <w:tc>
          <w:tcPr>
            <w:tcW w:w="1913" w:type="dxa"/>
          </w:tcPr>
          <w:p w14:paraId="2D344AEB" w14:textId="77777777" w:rsidR="00676910" w:rsidRPr="00B45C8D" w:rsidRDefault="00676910" w:rsidP="00997B58">
            <w:pPr>
              <w:spacing w:after="0" w:line="240" w:lineRule="auto"/>
              <w:jc w:val="both"/>
              <w:rPr>
                <w:rFonts w:ascii="Times New Roman" w:hAnsi="Times New Roman"/>
                <w:color w:val="000000"/>
                <w:sz w:val="24"/>
                <w:szCs w:val="24"/>
              </w:rPr>
            </w:pPr>
            <w:r w:rsidRPr="00B45C8D">
              <w:rPr>
                <w:rFonts w:ascii="Times New Roman" w:hAnsi="Times New Roman"/>
                <w:color w:val="000000"/>
                <w:sz w:val="24"/>
                <w:szCs w:val="24"/>
              </w:rPr>
              <w:t>Nepieciešamie saistītie tiesību aktu projekti</w:t>
            </w:r>
          </w:p>
        </w:tc>
        <w:tc>
          <w:tcPr>
            <w:tcW w:w="7727" w:type="dxa"/>
          </w:tcPr>
          <w:p w14:paraId="40F4E8D8" w14:textId="77777777" w:rsidR="00676910" w:rsidRDefault="00676910" w:rsidP="00997B58">
            <w:pPr>
              <w:pStyle w:val="Pamattekstaatkpe2"/>
              <w:tabs>
                <w:tab w:val="left" w:pos="312"/>
              </w:tabs>
              <w:ind w:right="180" w:firstLine="0"/>
              <w:rPr>
                <w:rFonts w:eastAsia="Calibri"/>
                <w:bCs/>
                <w:szCs w:val="24"/>
              </w:rPr>
            </w:pPr>
            <w:r w:rsidRPr="00676910">
              <w:rPr>
                <w:rFonts w:eastAsia="Calibri"/>
                <w:bCs/>
                <w:szCs w:val="24"/>
              </w:rPr>
              <w:t>Lauksaimniecības un lauku attīstības likumā</w:t>
            </w:r>
            <w:r>
              <w:rPr>
                <w:rFonts w:eastAsia="Calibri"/>
                <w:bCs/>
                <w:szCs w:val="24"/>
              </w:rPr>
              <w:t xml:space="preserve"> paredzēts </w:t>
            </w:r>
            <w:r w:rsidR="000E7E1F">
              <w:rPr>
                <w:rFonts w:eastAsia="Calibri"/>
                <w:bCs/>
                <w:szCs w:val="24"/>
              </w:rPr>
              <w:t>izdarī</w:t>
            </w:r>
            <w:r>
              <w:rPr>
                <w:rFonts w:eastAsia="Calibri"/>
                <w:bCs/>
                <w:szCs w:val="24"/>
              </w:rPr>
              <w:t>t grozījumus</w:t>
            </w:r>
            <w:r w:rsidRPr="00676910">
              <w:rPr>
                <w:rFonts w:eastAsia="Calibri"/>
                <w:bCs/>
                <w:szCs w:val="24"/>
              </w:rPr>
              <w:t xml:space="preserve">, svītrojot 5.panta </w:t>
            </w:r>
            <w:r w:rsidR="000E7E1F">
              <w:rPr>
                <w:rFonts w:eastAsia="Calibri"/>
                <w:bCs/>
                <w:szCs w:val="24"/>
              </w:rPr>
              <w:t xml:space="preserve">desmito </w:t>
            </w:r>
            <w:r w:rsidRPr="00676910">
              <w:rPr>
                <w:rFonts w:eastAsia="Calibri"/>
                <w:bCs/>
                <w:szCs w:val="24"/>
              </w:rPr>
              <w:t>daļu</w:t>
            </w:r>
            <w:r>
              <w:rPr>
                <w:rFonts w:eastAsia="Calibri"/>
                <w:bCs/>
                <w:szCs w:val="24"/>
              </w:rPr>
              <w:t>.</w:t>
            </w:r>
          </w:p>
          <w:p w14:paraId="4A2AF190" w14:textId="302ECE0C" w:rsidR="00980B36" w:rsidRPr="00B45C8D" w:rsidRDefault="00980B36" w:rsidP="00997B58">
            <w:pPr>
              <w:pStyle w:val="Pamattekstaatkpe2"/>
              <w:tabs>
                <w:tab w:val="left" w:pos="312"/>
              </w:tabs>
              <w:ind w:right="180" w:firstLine="0"/>
              <w:rPr>
                <w:szCs w:val="24"/>
                <w:lang w:eastAsia="lv-LV"/>
              </w:rPr>
            </w:pPr>
            <w:r>
              <w:rPr>
                <w:szCs w:val="24"/>
              </w:rPr>
              <w:t>P</w:t>
            </w:r>
            <w:r w:rsidRPr="00E713DE">
              <w:rPr>
                <w:szCs w:val="24"/>
              </w:rPr>
              <w:t>aredzēti grozījumi arī Ministru kabineta 2009.gada 7.jūlija noteikumos Nr.747 “Kārtība, kādā, izstrādājot likumprojektu par valsts budžetu kārtējam gadam, tiek paredzētas valsts saistības par garantijām, kas sniegtas atbilstoši lauksaimniecības un lauku attīstības kredītu garantēšanas programmām, kā arī izsniegto garantiju uzraudzības kārtība</w:t>
            </w:r>
            <w:r>
              <w:rPr>
                <w:szCs w:val="24"/>
              </w:rPr>
              <w:t>”.</w:t>
            </w:r>
          </w:p>
        </w:tc>
      </w:tr>
      <w:tr w:rsidR="00676910" w:rsidRPr="00C3682F" w14:paraId="752FF589" w14:textId="77777777" w:rsidTr="00676910">
        <w:trPr>
          <w:trHeight w:val="279"/>
        </w:trPr>
        <w:tc>
          <w:tcPr>
            <w:tcW w:w="1913" w:type="dxa"/>
          </w:tcPr>
          <w:p w14:paraId="505946AD" w14:textId="77777777" w:rsidR="00676910" w:rsidRPr="00B45C8D" w:rsidRDefault="00676910" w:rsidP="00997B58">
            <w:pPr>
              <w:spacing w:after="0" w:line="240" w:lineRule="auto"/>
              <w:jc w:val="both"/>
              <w:rPr>
                <w:rFonts w:ascii="Times New Roman" w:hAnsi="Times New Roman"/>
                <w:color w:val="000000"/>
                <w:sz w:val="24"/>
                <w:szCs w:val="24"/>
              </w:rPr>
            </w:pPr>
            <w:r w:rsidRPr="00B45C8D">
              <w:rPr>
                <w:rFonts w:ascii="Times New Roman" w:hAnsi="Times New Roman"/>
                <w:color w:val="000000"/>
                <w:sz w:val="24"/>
                <w:szCs w:val="24"/>
              </w:rPr>
              <w:lastRenderedPageBreak/>
              <w:t>Cita informācija</w:t>
            </w:r>
          </w:p>
        </w:tc>
        <w:tc>
          <w:tcPr>
            <w:tcW w:w="7727" w:type="dxa"/>
          </w:tcPr>
          <w:p w14:paraId="0BF94746" w14:textId="77777777" w:rsidR="00676910" w:rsidRPr="00B45C8D" w:rsidRDefault="00676910" w:rsidP="00997B58">
            <w:pPr>
              <w:jc w:val="both"/>
              <w:rPr>
                <w:rFonts w:ascii="Times New Roman" w:hAnsi="Times New Roman"/>
                <w:color w:val="000000"/>
                <w:sz w:val="24"/>
                <w:szCs w:val="24"/>
              </w:rPr>
            </w:pPr>
            <w:r w:rsidRPr="00B45C8D">
              <w:rPr>
                <w:rFonts w:ascii="Times New Roman" w:hAnsi="Times New Roman"/>
                <w:color w:val="000000"/>
                <w:sz w:val="24"/>
                <w:szCs w:val="24"/>
              </w:rPr>
              <w:t>Nav</w:t>
            </w:r>
          </w:p>
        </w:tc>
      </w:tr>
    </w:tbl>
    <w:p w14:paraId="4F375B01" w14:textId="77777777" w:rsidR="00676910" w:rsidRDefault="00676910" w:rsidP="000330A2">
      <w:pPr>
        <w:spacing w:after="0" w:line="240" w:lineRule="auto"/>
        <w:rPr>
          <w:rFonts w:ascii="Times New Roman" w:hAnsi="Times New Roman"/>
          <w:sz w:val="24"/>
          <w:szCs w:val="24"/>
        </w:rPr>
      </w:pPr>
    </w:p>
    <w:p w14:paraId="405B9AAB" w14:textId="77777777" w:rsidR="00676910" w:rsidRPr="007A137C" w:rsidRDefault="00676910" w:rsidP="000330A2">
      <w:pPr>
        <w:spacing w:after="0" w:line="240" w:lineRule="auto"/>
        <w:rPr>
          <w:rFonts w:ascii="Times New Roman" w:hAnsi="Times New Roman"/>
          <w:sz w:val="24"/>
          <w:szCs w:val="24"/>
        </w:rPr>
      </w:pPr>
    </w:p>
    <w:tbl>
      <w:tblPr>
        <w:tblW w:w="9680"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179"/>
        <w:gridCol w:w="715"/>
        <w:gridCol w:w="1319"/>
        <w:gridCol w:w="173"/>
        <w:gridCol w:w="412"/>
        <w:gridCol w:w="735"/>
        <w:gridCol w:w="764"/>
        <w:gridCol w:w="179"/>
        <w:gridCol w:w="1290"/>
        <w:gridCol w:w="1125"/>
        <w:gridCol w:w="179"/>
        <w:gridCol w:w="2431"/>
        <w:gridCol w:w="179"/>
      </w:tblGrid>
      <w:tr w:rsidR="00676910" w:rsidRPr="007A137C" w14:paraId="147C9274" w14:textId="77777777" w:rsidTr="00676910">
        <w:trPr>
          <w:gridBefore w:val="1"/>
          <w:wBefore w:w="179" w:type="dxa"/>
          <w:jc w:val="center"/>
        </w:trPr>
        <w:tc>
          <w:tcPr>
            <w:tcW w:w="9501" w:type="dxa"/>
            <w:gridSpan w:val="12"/>
            <w:tcBorders>
              <w:top w:val="outset" w:sz="6" w:space="0" w:color="auto"/>
              <w:bottom w:val="outset" w:sz="6" w:space="0" w:color="auto"/>
            </w:tcBorders>
            <w:vAlign w:val="center"/>
          </w:tcPr>
          <w:p w14:paraId="51ED37A5" w14:textId="77777777" w:rsidR="002F30BD" w:rsidRPr="007A137C" w:rsidRDefault="002F30BD" w:rsidP="000B64EA">
            <w:pPr>
              <w:spacing w:after="0" w:line="240" w:lineRule="auto"/>
              <w:rPr>
                <w:rFonts w:ascii="Times New Roman" w:hAnsi="Times New Roman"/>
                <w:b/>
                <w:sz w:val="24"/>
                <w:szCs w:val="24"/>
              </w:rPr>
            </w:pPr>
            <w:r w:rsidRPr="007A137C">
              <w:rPr>
                <w:rFonts w:ascii="Times New Roman" w:hAnsi="Times New Roman"/>
                <w:b/>
                <w:sz w:val="24"/>
                <w:szCs w:val="24"/>
              </w:rPr>
              <w:t>V. Tiesību akta projekta atbilstība Latvijas Republikas starptautiskajām saistībām</w:t>
            </w:r>
          </w:p>
        </w:tc>
      </w:tr>
      <w:tr w:rsidR="00676910" w:rsidRPr="007A137C" w14:paraId="74CD039C" w14:textId="77777777" w:rsidTr="00676910">
        <w:trPr>
          <w:gridBefore w:val="1"/>
          <w:wBefore w:w="179" w:type="dxa"/>
          <w:jc w:val="center"/>
        </w:trPr>
        <w:tc>
          <w:tcPr>
            <w:tcW w:w="715" w:type="dxa"/>
            <w:tcBorders>
              <w:top w:val="outset" w:sz="6" w:space="0" w:color="auto"/>
              <w:bottom w:val="outset" w:sz="6" w:space="0" w:color="auto"/>
              <w:right w:val="outset" w:sz="6" w:space="0" w:color="auto"/>
            </w:tcBorders>
          </w:tcPr>
          <w:p w14:paraId="0A0B39FF" w14:textId="77777777" w:rsidR="002F30BD" w:rsidRPr="007A137C" w:rsidRDefault="002F30BD" w:rsidP="000B64EA">
            <w:pPr>
              <w:spacing w:after="0" w:line="240" w:lineRule="auto"/>
              <w:rPr>
                <w:rFonts w:ascii="Times New Roman" w:hAnsi="Times New Roman"/>
                <w:sz w:val="24"/>
                <w:szCs w:val="24"/>
              </w:rPr>
            </w:pPr>
            <w:r w:rsidRPr="007A137C">
              <w:rPr>
                <w:rFonts w:ascii="Times New Roman" w:hAnsi="Times New Roman"/>
                <w:sz w:val="24"/>
                <w:szCs w:val="24"/>
              </w:rPr>
              <w:t>1.</w:t>
            </w:r>
          </w:p>
        </w:tc>
        <w:tc>
          <w:tcPr>
            <w:tcW w:w="2639" w:type="dxa"/>
            <w:gridSpan w:val="4"/>
            <w:tcBorders>
              <w:top w:val="outset" w:sz="6" w:space="0" w:color="auto"/>
              <w:left w:val="outset" w:sz="6" w:space="0" w:color="auto"/>
              <w:bottom w:val="outset" w:sz="6" w:space="0" w:color="auto"/>
              <w:right w:val="outset" w:sz="6" w:space="0" w:color="auto"/>
            </w:tcBorders>
          </w:tcPr>
          <w:p w14:paraId="6BBC948C" w14:textId="77777777" w:rsidR="002F30BD" w:rsidRPr="007A137C" w:rsidRDefault="002F30BD" w:rsidP="000B64EA">
            <w:pPr>
              <w:spacing w:after="0" w:line="240" w:lineRule="auto"/>
              <w:rPr>
                <w:rFonts w:ascii="Times New Roman" w:hAnsi="Times New Roman"/>
                <w:sz w:val="24"/>
                <w:szCs w:val="24"/>
              </w:rPr>
            </w:pPr>
            <w:r w:rsidRPr="007A137C">
              <w:rPr>
                <w:rFonts w:ascii="Times New Roman" w:hAnsi="Times New Roman"/>
                <w:sz w:val="24"/>
                <w:szCs w:val="24"/>
              </w:rPr>
              <w:t>Saistības pret Eiropas Savienību</w:t>
            </w:r>
          </w:p>
        </w:tc>
        <w:tc>
          <w:tcPr>
            <w:tcW w:w="6147" w:type="dxa"/>
            <w:gridSpan w:val="7"/>
            <w:tcBorders>
              <w:top w:val="outset" w:sz="6" w:space="0" w:color="auto"/>
              <w:left w:val="outset" w:sz="6" w:space="0" w:color="auto"/>
              <w:bottom w:val="outset" w:sz="6" w:space="0" w:color="auto"/>
            </w:tcBorders>
          </w:tcPr>
          <w:p w14:paraId="3C9B9F71" w14:textId="77777777" w:rsidR="002F30BD" w:rsidRPr="007A137C" w:rsidRDefault="002F30BD" w:rsidP="000B64EA">
            <w:pPr>
              <w:spacing w:after="0" w:line="240" w:lineRule="auto"/>
              <w:jc w:val="both"/>
              <w:rPr>
                <w:rFonts w:ascii="Times New Roman" w:hAnsi="Times New Roman"/>
                <w:sz w:val="24"/>
                <w:szCs w:val="24"/>
              </w:rPr>
            </w:pPr>
            <w:r w:rsidRPr="007A137C">
              <w:rPr>
                <w:rFonts w:ascii="Times New Roman" w:hAnsi="Times New Roman"/>
                <w:sz w:val="24"/>
                <w:szCs w:val="24"/>
              </w:rPr>
              <w:t>Komisijas 2013.gada 18.decembra Regula (EK) Nr.</w:t>
            </w:r>
            <w:hyperlink r:id="rId7" w:tgtFrame="_blank" w:history="1">
              <w:r w:rsidRPr="007A137C">
                <w:rPr>
                  <w:rFonts w:ascii="Times New Roman" w:hAnsi="Times New Roman"/>
                  <w:sz w:val="24"/>
                  <w:szCs w:val="24"/>
                </w:rPr>
                <w:t>1407/2013</w:t>
              </w:r>
            </w:hyperlink>
            <w:r w:rsidRPr="007A137C">
              <w:rPr>
                <w:rFonts w:ascii="Times New Roman" w:hAnsi="Times New Roman"/>
                <w:sz w:val="24"/>
                <w:szCs w:val="24"/>
              </w:rPr>
              <w:t xml:space="preserve"> par Līguma par Eiropas Savienības darbību 107. un 108.panta piemērošanu </w:t>
            </w:r>
            <w:proofErr w:type="spellStart"/>
            <w:r w:rsidRPr="007A137C">
              <w:rPr>
                <w:rFonts w:ascii="Times New Roman" w:hAnsi="Times New Roman"/>
                <w:i/>
                <w:sz w:val="24"/>
                <w:szCs w:val="24"/>
              </w:rPr>
              <w:t>de</w:t>
            </w:r>
            <w:proofErr w:type="spellEnd"/>
            <w:r w:rsidRPr="007A137C">
              <w:rPr>
                <w:rFonts w:ascii="Times New Roman" w:hAnsi="Times New Roman"/>
                <w:i/>
                <w:sz w:val="24"/>
                <w:szCs w:val="24"/>
              </w:rPr>
              <w:t xml:space="preserve"> </w:t>
            </w:r>
            <w:proofErr w:type="spellStart"/>
            <w:r w:rsidRPr="007A137C">
              <w:rPr>
                <w:rFonts w:ascii="Times New Roman" w:hAnsi="Times New Roman"/>
                <w:i/>
                <w:sz w:val="24"/>
                <w:szCs w:val="24"/>
              </w:rPr>
              <w:t>minimis</w:t>
            </w:r>
            <w:proofErr w:type="spellEnd"/>
            <w:r w:rsidRPr="007A137C">
              <w:rPr>
                <w:rFonts w:ascii="Times New Roman" w:hAnsi="Times New Roman"/>
                <w:sz w:val="24"/>
                <w:szCs w:val="24"/>
              </w:rPr>
              <w:t xml:space="preserve"> atbalstam (Eiropas Savienības Oficiālais Vēstnesis, 2013.gada 24.decembris, Nr. L 352).</w:t>
            </w:r>
          </w:p>
          <w:p w14:paraId="39409123" w14:textId="77777777" w:rsidR="002F30BD" w:rsidRPr="007A137C" w:rsidRDefault="002F30BD" w:rsidP="000B64EA">
            <w:pPr>
              <w:spacing w:after="0" w:line="240" w:lineRule="auto"/>
              <w:jc w:val="both"/>
              <w:rPr>
                <w:rFonts w:ascii="Times New Roman" w:hAnsi="Times New Roman"/>
                <w:sz w:val="24"/>
                <w:szCs w:val="24"/>
              </w:rPr>
            </w:pPr>
            <w:r w:rsidRPr="007A137C">
              <w:rPr>
                <w:rFonts w:ascii="Times New Roman" w:hAnsi="Times New Roman"/>
                <w:sz w:val="24"/>
                <w:szCs w:val="24"/>
              </w:rPr>
              <w:t>Komisijas 2013.gada 18.decembra Regula (EK) Nr.</w:t>
            </w:r>
            <w:hyperlink r:id="rId8" w:tgtFrame="_blank" w:history="1">
              <w:r w:rsidRPr="007A137C">
                <w:rPr>
                  <w:rFonts w:ascii="Times New Roman" w:hAnsi="Times New Roman"/>
                  <w:sz w:val="24"/>
                  <w:szCs w:val="24"/>
                </w:rPr>
                <w:t>1408/2013</w:t>
              </w:r>
            </w:hyperlink>
            <w:r w:rsidRPr="007A137C">
              <w:rPr>
                <w:rFonts w:ascii="Times New Roman" w:hAnsi="Times New Roman"/>
                <w:sz w:val="24"/>
                <w:szCs w:val="24"/>
              </w:rPr>
              <w:t xml:space="preserve"> par Līguma par Eiropas Savienības darbību 107. un 108.panta piemērošanu </w:t>
            </w:r>
            <w:proofErr w:type="spellStart"/>
            <w:r w:rsidRPr="007A137C">
              <w:rPr>
                <w:rFonts w:ascii="Times New Roman" w:hAnsi="Times New Roman"/>
                <w:i/>
                <w:sz w:val="24"/>
                <w:szCs w:val="24"/>
              </w:rPr>
              <w:t>de</w:t>
            </w:r>
            <w:proofErr w:type="spellEnd"/>
            <w:r w:rsidRPr="007A137C">
              <w:rPr>
                <w:rFonts w:ascii="Times New Roman" w:hAnsi="Times New Roman"/>
                <w:i/>
                <w:sz w:val="24"/>
                <w:szCs w:val="24"/>
              </w:rPr>
              <w:t xml:space="preserve"> </w:t>
            </w:r>
            <w:proofErr w:type="spellStart"/>
            <w:r w:rsidRPr="007A137C">
              <w:rPr>
                <w:rFonts w:ascii="Times New Roman" w:hAnsi="Times New Roman"/>
                <w:i/>
                <w:sz w:val="24"/>
                <w:szCs w:val="24"/>
              </w:rPr>
              <w:t>minimis</w:t>
            </w:r>
            <w:proofErr w:type="spellEnd"/>
            <w:r w:rsidRPr="007A137C">
              <w:rPr>
                <w:rFonts w:ascii="Times New Roman" w:hAnsi="Times New Roman"/>
                <w:sz w:val="24"/>
                <w:szCs w:val="24"/>
              </w:rPr>
              <w:t xml:space="preserve"> atbalstam lauksaimniecības nozarē (Eiropas Savienības Oficiālais Vēstnesis, 2013.gada 24.decembris, Nr. L 352);</w:t>
            </w:r>
          </w:p>
          <w:p w14:paraId="7D0CB272" w14:textId="57EB543A" w:rsidR="002F30BD" w:rsidRPr="007A137C" w:rsidRDefault="002F30BD" w:rsidP="000B64EA">
            <w:pPr>
              <w:spacing w:after="0" w:line="240" w:lineRule="auto"/>
              <w:jc w:val="both"/>
              <w:rPr>
                <w:rFonts w:ascii="Times New Roman" w:hAnsi="Times New Roman"/>
                <w:iCs/>
                <w:sz w:val="24"/>
                <w:szCs w:val="24"/>
              </w:rPr>
            </w:pPr>
            <w:r w:rsidRPr="007A137C">
              <w:rPr>
                <w:rFonts w:ascii="Times New Roman" w:hAnsi="Times New Roman"/>
                <w:iCs/>
                <w:sz w:val="24"/>
                <w:szCs w:val="24"/>
              </w:rPr>
              <w:t>Komisijas 2014. gada 27. jūnija Regul</w:t>
            </w:r>
            <w:r w:rsidR="000E7E1F">
              <w:rPr>
                <w:rFonts w:ascii="Times New Roman" w:hAnsi="Times New Roman"/>
                <w:iCs/>
                <w:sz w:val="24"/>
                <w:szCs w:val="24"/>
              </w:rPr>
              <w:t>a</w:t>
            </w:r>
            <w:r w:rsidRPr="007A137C">
              <w:rPr>
                <w:rFonts w:ascii="Times New Roman" w:hAnsi="Times New Roman"/>
                <w:iCs/>
                <w:sz w:val="24"/>
                <w:szCs w:val="24"/>
              </w:rPr>
              <w:t xml:space="preserve"> (EK) Nr. </w:t>
            </w:r>
            <w:hyperlink r:id="rId9" w:tgtFrame="_blank" w:history="1">
              <w:r w:rsidRPr="007A137C">
                <w:rPr>
                  <w:rFonts w:ascii="Times New Roman" w:hAnsi="Times New Roman"/>
                  <w:iCs/>
                  <w:sz w:val="24"/>
                  <w:szCs w:val="24"/>
                </w:rPr>
                <w:t>717/2014</w:t>
              </w:r>
            </w:hyperlink>
            <w:r w:rsidRPr="007A137C">
              <w:rPr>
                <w:rFonts w:ascii="Times New Roman" w:hAnsi="Times New Roman"/>
                <w:iCs/>
                <w:sz w:val="24"/>
                <w:szCs w:val="24"/>
              </w:rPr>
              <w:t xml:space="preserve"> par Līguma par Eiropas Savienības darbību 107. un 108. panta piemērošanu </w:t>
            </w:r>
            <w:proofErr w:type="spellStart"/>
            <w:r w:rsidRPr="007A137C">
              <w:rPr>
                <w:rFonts w:ascii="Times New Roman" w:hAnsi="Times New Roman"/>
                <w:i/>
                <w:iCs/>
                <w:sz w:val="24"/>
                <w:szCs w:val="24"/>
              </w:rPr>
              <w:t>de</w:t>
            </w:r>
            <w:proofErr w:type="spellEnd"/>
            <w:r w:rsidRPr="007A137C">
              <w:rPr>
                <w:rFonts w:ascii="Times New Roman" w:hAnsi="Times New Roman"/>
                <w:i/>
                <w:iCs/>
                <w:sz w:val="24"/>
                <w:szCs w:val="24"/>
              </w:rPr>
              <w:t xml:space="preserve"> </w:t>
            </w:r>
            <w:proofErr w:type="spellStart"/>
            <w:r w:rsidRPr="007A137C">
              <w:rPr>
                <w:rFonts w:ascii="Times New Roman" w:hAnsi="Times New Roman"/>
                <w:i/>
                <w:iCs/>
                <w:sz w:val="24"/>
                <w:szCs w:val="24"/>
              </w:rPr>
              <w:t>minimis</w:t>
            </w:r>
            <w:proofErr w:type="spellEnd"/>
            <w:r w:rsidRPr="007A137C">
              <w:rPr>
                <w:rFonts w:ascii="Times New Roman" w:hAnsi="Times New Roman"/>
                <w:iCs/>
                <w:sz w:val="24"/>
                <w:szCs w:val="24"/>
              </w:rPr>
              <w:t xml:space="preserve"> atbalstam zvejniecības un akvakultūras nozarē (Eiropas Savienības Oficiālais Vēstnesis, 2014. gada 28. jūnijs, Nr. L190)</w:t>
            </w:r>
            <w:r w:rsidR="000E7E1F">
              <w:rPr>
                <w:rFonts w:ascii="Times New Roman" w:hAnsi="Times New Roman"/>
                <w:iCs/>
                <w:sz w:val="24"/>
                <w:szCs w:val="24"/>
              </w:rPr>
              <w:t>;</w:t>
            </w:r>
          </w:p>
          <w:p w14:paraId="6B26AB3C" w14:textId="194FC3E4" w:rsidR="002F30BD" w:rsidRPr="007A137C" w:rsidRDefault="002F30BD" w:rsidP="000B64EA">
            <w:pPr>
              <w:spacing w:after="0" w:line="240" w:lineRule="auto"/>
              <w:jc w:val="both"/>
              <w:rPr>
                <w:rFonts w:ascii="Times New Roman" w:hAnsi="Times New Roman"/>
                <w:sz w:val="24"/>
                <w:szCs w:val="24"/>
              </w:rPr>
            </w:pPr>
            <w:r w:rsidRPr="007A137C">
              <w:rPr>
                <w:rFonts w:ascii="Times New Roman" w:hAnsi="Times New Roman"/>
                <w:sz w:val="24"/>
                <w:szCs w:val="24"/>
              </w:rPr>
              <w:t xml:space="preserve">Eiropas Parlamenta un Padomes 2013.gada 26.jūnija </w:t>
            </w:r>
            <w:r w:rsidR="000E7E1F">
              <w:rPr>
                <w:rFonts w:ascii="Times New Roman" w:hAnsi="Times New Roman"/>
                <w:sz w:val="24"/>
                <w:szCs w:val="24"/>
              </w:rPr>
              <w:t>R</w:t>
            </w:r>
            <w:r w:rsidRPr="007A137C">
              <w:rPr>
                <w:rFonts w:ascii="Times New Roman" w:hAnsi="Times New Roman"/>
                <w:sz w:val="24"/>
                <w:szCs w:val="24"/>
              </w:rPr>
              <w:t xml:space="preserve">egula (ES) Nr. </w:t>
            </w:r>
            <w:hyperlink r:id="rId10" w:tgtFrame="_blank" w:history="1">
              <w:r w:rsidRPr="007A137C">
                <w:rPr>
                  <w:rFonts w:ascii="Times New Roman" w:hAnsi="Times New Roman"/>
                  <w:sz w:val="24"/>
                  <w:szCs w:val="24"/>
                </w:rPr>
                <w:t>575/2013</w:t>
              </w:r>
            </w:hyperlink>
            <w:r w:rsidRPr="007A137C">
              <w:rPr>
                <w:rFonts w:ascii="Times New Roman" w:hAnsi="Times New Roman"/>
                <w:sz w:val="24"/>
                <w:szCs w:val="24"/>
              </w:rPr>
              <w:t xml:space="preserve"> par </w:t>
            </w:r>
            <w:proofErr w:type="spellStart"/>
            <w:r w:rsidRPr="007A137C">
              <w:rPr>
                <w:rFonts w:ascii="Times New Roman" w:hAnsi="Times New Roman"/>
                <w:sz w:val="24"/>
                <w:szCs w:val="24"/>
              </w:rPr>
              <w:t>prudenciālajām</w:t>
            </w:r>
            <w:proofErr w:type="spellEnd"/>
            <w:r w:rsidRPr="007A137C">
              <w:rPr>
                <w:rFonts w:ascii="Times New Roman" w:hAnsi="Times New Roman"/>
                <w:sz w:val="24"/>
                <w:szCs w:val="24"/>
              </w:rPr>
              <w:t xml:space="preserve"> prasībām attiecībā uz kredītiestādēm un ieguldījumu brokeru sabiedrībām, un ar ko groza regulu (ES) Nr. </w:t>
            </w:r>
            <w:hyperlink r:id="rId11" w:tgtFrame="_blank" w:history="1">
              <w:r w:rsidRPr="007A137C">
                <w:rPr>
                  <w:rFonts w:ascii="Times New Roman" w:hAnsi="Times New Roman"/>
                  <w:sz w:val="24"/>
                  <w:szCs w:val="24"/>
                </w:rPr>
                <w:t>648/2012</w:t>
              </w:r>
            </w:hyperlink>
            <w:r w:rsidRPr="007A137C">
              <w:rPr>
                <w:rFonts w:ascii="Times New Roman" w:hAnsi="Times New Roman"/>
                <w:sz w:val="24"/>
                <w:szCs w:val="24"/>
              </w:rPr>
              <w:t xml:space="preserve"> (Eiropas Savienības Oficiālais Vēstnesis, 2013.gada 27.jūnijs, Nr.L176</w:t>
            </w:r>
            <w:r w:rsidR="000E7E1F">
              <w:rPr>
                <w:rFonts w:ascii="Times New Roman" w:hAnsi="Times New Roman"/>
                <w:sz w:val="24"/>
                <w:szCs w:val="24"/>
              </w:rPr>
              <w:t>)</w:t>
            </w:r>
            <w:r w:rsidRPr="007A137C">
              <w:rPr>
                <w:rFonts w:ascii="Times New Roman" w:hAnsi="Times New Roman"/>
                <w:sz w:val="24"/>
                <w:szCs w:val="24"/>
              </w:rPr>
              <w:t>;</w:t>
            </w:r>
          </w:p>
          <w:p w14:paraId="4A1422C2" w14:textId="77777777" w:rsidR="009070ED" w:rsidRDefault="002F30BD" w:rsidP="000B64EA">
            <w:pPr>
              <w:autoSpaceDE w:val="0"/>
              <w:autoSpaceDN w:val="0"/>
              <w:adjustRightInd w:val="0"/>
              <w:spacing w:after="0" w:line="240" w:lineRule="auto"/>
              <w:jc w:val="both"/>
              <w:rPr>
                <w:rFonts w:ascii="Times New Roman" w:hAnsi="Times New Roman"/>
                <w:sz w:val="24"/>
                <w:szCs w:val="24"/>
              </w:rPr>
            </w:pPr>
            <w:r w:rsidRPr="007A137C">
              <w:rPr>
                <w:rFonts w:ascii="Times New Roman" w:hAnsi="Times New Roman"/>
                <w:sz w:val="24"/>
                <w:szCs w:val="24"/>
              </w:rPr>
              <w:t>Komisijas 2014.gada 25.jūnija Regula (ES) Nr.702/2014, ar kuru konkrētas atbalsta kategorijas lauksaimniecības un mežsaimniecības nozarē un lauku apvidos atzīst par saderīgām ar iekšējo tirgu, piemērojot Līguma par Eiropas Savienības darbību 107. un 108.pantu (Eiropas Savienības Oficiālais Vēstnesis, 2014.gada 1.jūlijs, Nr.L193)</w:t>
            </w:r>
            <w:r w:rsidR="009070ED">
              <w:rPr>
                <w:rFonts w:ascii="Times New Roman" w:hAnsi="Times New Roman"/>
                <w:sz w:val="24"/>
                <w:szCs w:val="24"/>
              </w:rPr>
              <w:t>;</w:t>
            </w:r>
          </w:p>
          <w:p w14:paraId="45840552" w14:textId="5F18D948" w:rsidR="002F30BD" w:rsidRPr="007A137C" w:rsidRDefault="009070ED" w:rsidP="003F2028">
            <w:pPr>
              <w:autoSpaceDE w:val="0"/>
              <w:autoSpaceDN w:val="0"/>
              <w:adjustRightInd w:val="0"/>
              <w:spacing w:after="0" w:line="240" w:lineRule="auto"/>
              <w:jc w:val="both"/>
              <w:rPr>
                <w:rFonts w:ascii="Times New Roman" w:hAnsi="Times New Roman"/>
                <w:sz w:val="24"/>
                <w:szCs w:val="24"/>
              </w:rPr>
            </w:pPr>
            <w:r w:rsidRPr="009070ED">
              <w:rPr>
                <w:rFonts w:ascii="Times New Roman" w:hAnsi="Times New Roman"/>
                <w:sz w:val="24"/>
                <w:szCs w:val="24"/>
              </w:rPr>
              <w:t>Padomes 1999. gada 22. marta Regul</w:t>
            </w:r>
            <w:r w:rsidR="003F2028">
              <w:rPr>
                <w:rFonts w:ascii="Times New Roman" w:hAnsi="Times New Roman"/>
                <w:sz w:val="24"/>
                <w:szCs w:val="24"/>
              </w:rPr>
              <w:t>a</w:t>
            </w:r>
            <w:r w:rsidRPr="009070ED">
              <w:rPr>
                <w:rFonts w:ascii="Times New Roman" w:hAnsi="Times New Roman"/>
                <w:sz w:val="24"/>
                <w:szCs w:val="24"/>
              </w:rPr>
              <w:t xml:space="preserve"> (EK) Nr. </w:t>
            </w:r>
            <w:hyperlink r:id="rId12" w:tgtFrame="_blank" w:history="1">
              <w:r w:rsidRPr="009070ED">
                <w:rPr>
                  <w:rFonts w:ascii="Times New Roman" w:hAnsi="Times New Roman"/>
                  <w:sz w:val="24"/>
                  <w:szCs w:val="24"/>
                </w:rPr>
                <w:t>659/1999</w:t>
              </w:r>
            </w:hyperlink>
            <w:r w:rsidRPr="009070ED">
              <w:rPr>
                <w:rFonts w:ascii="Times New Roman" w:hAnsi="Times New Roman"/>
                <w:sz w:val="24"/>
                <w:szCs w:val="24"/>
              </w:rPr>
              <w:t>, ar ko nosaka sīki izstrādātus noteikumus EK līguma 93. panta piemērošanai</w:t>
            </w:r>
            <w:r>
              <w:rPr>
                <w:rFonts w:ascii="Times New Roman" w:hAnsi="Times New Roman"/>
                <w:sz w:val="24"/>
                <w:szCs w:val="24"/>
              </w:rPr>
              <w:t xml:space="preserve"> (</w:t>
            </w:r>
            <w:r w:rsidRPr="007A137C">
              <w:rPr>
                <w:rFonts w:ascii="Times New Roman" w:hAnsi="Times New Roman"/>
                <w:iCs/>
                <w:sz w:val="24"/>
                <w:szCs w:val="24"/>
              </w:rPr>
              <w:t xml:space="preserve">Eiropas Savienības Oficiālais Vēstnesis, </w:t>
            </w:r>
            <w:r>
              <w:rPr>
                <w:rFonts w:ascii="Times New Roman" w:hAnsi="Times New Roman"/>
                <w:iCs/>
                <w:sz w:val="24"/>
                <w:szCs w:val="24"/>
              </w:rPr>
              <w:t>1999</w:t>
            </w:r>
            <w:r w:rsidRPr="007A137C">
              <w:rPr>
                <w:rFonts w:ascii="Times New Roman" w:hAnsi="Times New Roman"/>
                <w:iCs/>
                <w:sz w:val="24"/>
                <w:szCs w:val="24"/>
              </w:rPr>
              <w:t xml:space="preserve">. gada </w:t>
            </w:r>
            <w:r>
              <w:rPr>
                <w:rFonts w:ascii="Times New Roman" w:hAnsi="Times New Roman"/>
                <w:iCs/>
                <w:sz w:val="24"/>
                <w:szCs w:val="24"/>
              </w:rPr>
              <w:t>27</w:t>
            </w:r>
            <w:r w:rsidRPr="007A137C">
              <w:rPr>
                <w:rFonts w:ascii="Times New Roman" w:hAnsi="Times New Roman"/>
                <w:iCs/>
                <w:sz w:val="24"/>
                <w:szCs w:val="24"/>
              </w:rPr>
              <w:t xml:space="preserve">. </w:t>
            </w:r>
            <w:r>
              <w:rPr>
                <w:rFonts w:ascii="Times New Roman" w:hAnsi="Times New Roman"/>
                <w:iCs/>
                <w:sz w:val="24"/>
                <w:szCs w:val="24"/>
              </w:rPr>
              <w:t>marta</w:t>
            </w:r>
            <w:r w:rsidRPr="007A137C">
              <w:rPr>
                <w:rFonts w:ascii="Times New Roman" w:hAnsi="Times New Roman"/>
                <w:iCs/>
                <w:sz w:val="24"/>
                <w:szCs w:val="24"/>
              </w:rPr>
              <w:t>, Nr. L</w:t>
            </w:r>
            <w:r>
              <w:rPr>
                <w:rFonts w:ascii="Times New Roman" w:hAnsi="Times New Roman"/>
                <w:iCs/>
                <w:sz w:val="24"/>
                <w:szCs w:val="24"/>
              </w:rPr>
              <w:t>83</w:t>
            </w:r>
            <w:r w:rsidRPr="007A137C">
              <w:rPr>
                <w:rFonts w:ascii="Times New Roman" w:hAnsi="Times New Roman"/>
                <w:iCs/>
                <w:sz w:val="24"/>
                <w:szCs w:val="24"/>
              </w:rPr>
              <w:t>)</w:t>
            </w:r>
            <w:r w:rsidR="002F30BD" w:rsidRPr="007A137C">
              <w:rPr>
                <w:rFonts w:ascii="Times New Roman" w:hAnsi="Times New Roman"/>
                <w:sz w:val="24"/>
                <w:szCs w:val="24"/>
              </w:rPr>
              <w:t>.</w:t>
            </w:r>
          </w:p>
        </w:tc>
      </w:tr>
      <w:tr w:rsidR="00676910" w:rsidRPr="007A137C" w14:paraId="78ECC296" w14:textId="77777777" w:rsidTr="00676910">
        <w:trPr>
          <w:gridBefore w:val="1"/>
          <w:wBefore w:w="179" w:type="dxa"/>
          <w:jc w:val="center"/>
        </w:trPr>
        <w:tc>
          <w:tcPr>
            <w:tcW w:w="715" w:type="dxa"/>
            <w:tcBorders>
              <w:top w:val="outset" w:sz="6" w:space="0" w:color="auto"/>
              <w:bottom w:val="outset" w:sz="6" w:space="0" w:color="auto"/>
              <w:right w:val="outset" w:sz="6" w:space="0" w:color="auto"/>
            </w:tcBorders>
          </w:tcPr>
          <w:p w14:paraId="78107C4B" w14:textId="018637A2" w:rsidR="002F30BD" w:rsidRPr="007A137C" w:rsidRDefault="002F30BD" w:rsidP="000B64EA">
            <w:pPr>
              <w:spacing w:after="0" w:line="240" w:lineRule="auto"/>
              <w:rPr>
                <w:rFonts w:ascii="Times New Roman" w:hAnsi="Times New Roman"/>
                <w:sz w:val="24"/>
                <w:szCs w:val="24"/>
              </w:rPr>
            </w:pPr>
            <w:r w:rsidRPr="007A137C">
              <w:rPr>
                <w:rFonts w:ascii="Times New Roman" w:hAnsi="Times New Roman"/>
                <w:sz w:val="24"/>
                <w:szCs w:val="24"/>
              </w:rPr>
              <w:t>2.</w:t>
            </w:r>
          </w:p>
        </w:tc>
        <w:tc>
          <w:tcPr>
            <w:tcW w:w="2639" w:type="dxa"/>
            <w:gridSpan w:val="4"/>
            <w:tcBorders>
              <w:top w:val="outset" w:sz="6" w:space="0" w:color="auto"/>
              <w:left w:val="outset" w:sz="6" w:space="0" w:color="auto"/>
              <w:bottom w:val="outset" w:sz="6" w:space="0" w:color="auto"/>
              <w:right w:val="outset" w:sz="6" w:space="0" w:color="auto"/>
            </w:tcBorders>
          </w:tcPr>
          <w:p w14:paraId="2B7D3691" w14:textId="77777777" w:rsidR="002F30BD" w:rsidRPr="007A137C" w:rsidRDefault="002F30BD" w:rsidP="000B64EA">
            <w:pPr>
              <w:spacing w:after="0" w:line="240" w:lineRule="auto"/>
              <w:rPr>
                <w:rFonts w:ascii="Times New Roman" w:hAnsi="Times New Roman"/>
                <w:sz w:val="24"/>
                <w:szCs w:val="24"/>
              </w:rPr>
            </w:pPr>
            <w:r w:rsidRPr="007A137C">
              <w:rPr>
                <w:rFonts w:ascii="Times New Roman" w:hAnsi="Times New Roman"/>
                <w:sz w:val="24"/>
                <w:szCs w:val="24"/>
              </w:rPr>
              <w:t>Citas starptautiskās saistības</w:t>
            </w:r>
          </w:p>
        </w:tc>
        <w:tc>
          <w:tcPr>
            <w:tcW w:w="6147" w:type="dxa"/>
            <w:gridSpan w:val="7"/>
            <w:tcBorders>
              <w:top w:val="outset" w:sz="6" w:space="0" w:color="auto"/>
              <w:left w:val="outset" w:sz="6" w:space="0" w:color="auto"/>
              <w:bottom w:val="outset" w:sz="6" w:space="0" w:color="auto"/>
            </w:tcBorders>
          </w:tcPr>
          <w:p w14:paraId="7DA3331C" w14:textId="77777777" w:rsidR="002F30BD" w:rsidRPr="007A137C" w:rsidRDefault="002F30BD" w:rsidP="000B64EA">
            <w:pPr>
              <w:spacing w:after="0" w:line="240" w:lineRule="auto"/>
              <w:rPr>
                <w:rFonts w:ascii="Times New Roman" w:hAnsi="Times New Roman"/>
                <w:sz w:val="24"/>
                <w:szCs w:val="24"/>
              </w:rPr>
            </w:pPr>
            <w:r w:rsidRPr="007A137C">
              <w:rPr>
                <w:rFonts w:ascii="Times New Roman" w:hAnsi="Times New Roman"/>
                <w:color w:val="000000"/>
                <w:sz w:val="24"/>
                <w:szCs w:val="24"/>
              </w:rPr>
              <w:t>Projekts šo jomu neskar.</w:t>
            </w:r>
          </w:p>
        </w:tc>
      </w:tr>
      <w:tr w:rsidR="00676910" w:rsidRPr="007A137C" w14:paraId="1853CAC2" w14:textId="77777777" w:rsidTr="00676910">
        <w:trPr>
          <w:gridBefore w:val="1"/>
          <w:wBefore w:w="179" w:type="dxa"/>
          <w:jc w:val="center"/>
        </w:trPr>
        <w:tc>
          <w:tcPr>
            <w:tcW w:w="715" w:type="dxa"/>
            <w:tcBorders>
              <w:top w:val="outset" w:sz="6" w:space="0" w:color="auto"/>
              <w:bottom w:val="outset" w:sz="6" w:space="0" w:color="auto"/>
              <w:right w:val="outset" w:sz="6" w:space="0" w:color="auto"/>
            </w:tcBorders>
          </w:tcPr>
          <w:p w14:paraId="2DF1F9CB" w14:textId="77777777" w:rsidR="002F30BD" w:rsidRPr="007A137C" w:rsidRDefault="002F30BD" w:rsidP="000B64EA">
            <w:pPr>
              <w:spacing w:after="0" w:line="240" w:lineRule="auto"/>
              <w:rPr>
                <w:rFonts w:ascii="Times New Roman" w:hAnsi="Times New Roman"/>
                <w:sz w:val="24"/>
                <w:szCs w:val="24"/>
              </w:rPr>
            </w:pPr>
            <w:r w:rsidRPr="007A137C">
              <w:rPr>
                <w:rFonts w:ascii="Times New Roman" w:hAnsi="Times New Roman"/>
                <w:sz w:val="24"/>
                <w:szCs w:val="24"/>
              </w:rPr>
              <w:t>3.</w:t>
            </w:r>
          </w:p>
        </w:tc>
        <w:tc>
          <w:tcPr>
            <w:tcW w:w="2639" w:type="dxa"/>
            <w:gridSpan w:val="4"/>
            <w:tcBorders>
              <w:top w:val="outset" w:sz="6" w:space="0" w:color="auto"/>
              <w:left w:val="outset" w:sz="6" w:space="0" w:color="auto"/>
              <w:bottom w:val="outset" w:sz="6" w:space="0" w:color="auto"/>
              <w:right w:val="outset" w:sz="6" w:space="0" w:color="auto"/>
            </w:tcBorders>
          </w:tcPr>
          <w:p w14:paraId="3708999E" w14:textId="77777777" w:rsidR="002F30BD" w:rsidRPr="007A137C" w:rsidRDefault="002F30BD" w:rsidP="000B64EA">
            <w:pPr>
              <w:spacing w:after="0" w:line="240" w:lineRule="auto"/>
              <w:rPr>
                <w:rFonts w:ascii="Times New Roman" w:hAnsi="Times New Roman"/>
                <w:sz w:val="24"/>
                <w:szCs w:val="24"/>
              </w:rPr>
            </w:pPr>
            <w:r w:rsidRPr="007A137C">
              <w:rPr>
                <w:rFonts w:ascii="Times New Roman" w:hAnsi="Times New Roman"/>
                <w:sz w:val="24"/>
                <w:szCs w:val="24"/>
              </w:rPr>
              <w:t>Cita informācija</w:t>
            </w:r>
          </w:p>
        </w:tc>
        <w:tc>
          <w:tcPr>
            <w:tcW w:w="6147" w:type="dxa"/>
            <w:gridSpan w:val="7"/>
            <w:tcBorders>
              <w:top w:val="outset" w:sz="6" w:space="0" w:color="auto"/>
              <w:left w:val="outset" w:sz="6" w:space="0" w:color="auto"/>
              <w:bottom w:val="outset" w:sz="6" w:space="0" w:color="auto"/>
            </w:tcBorders>
          </w:tcPr>
          <w:p w14:paraId="5FFA1711" w14:textId="77777777" w:rsidR="002F30BD" w:rsidRPr="007A137C" w:rsidRDefault="002F30BD" w:rsidP="000B64EA">
            <w:pPr>
              <w:pStyle w:val="Default"/>
              <w:jc w:val="both"/>
              <w:rPr>
                <w:rFonts w:ascii="Times New Roman" w:hAnsi="Times New Roman"/>
                <w:color w:val="auto"/>
              </w:rPr>
            </w:pPr>
            <w:r w:rsidRPr="007A137C">
              <w:rPr>
                <w:rFonts w:ascii="Times New Roman" w:hAnsi="Times New Roman"/>
                <w:color w:val="auto"/>
              </w:rPr>
              <w:t>Nav.</w:t>
            </w:r>
          </w:p>
        </w:tc>
      </w:tr>
      <w:tr w:rsidR="00676910" w:rsidRPr="007A137C" w14:paraId="31A7DB0A" w14:textId="77777777" w:rsidTr="00676910">
        <w:trPr>
          <w:gridBefore w:val="1"/>
          <w:wBefore w:w="179" w:type="dxa"/>
          <w:jc w:val="center"/>
        </w:trPr>
        <w:tc>
          <w:tcPr>
            <w:tcW w:w="9501" w:type="dxa"/>
            <w:gridSpan w:val="12"/>
            <w:tcBorders>
              <w:top w:val="outset" w:sz="6" w:space="0" w:color="auto"/>
              <w:bottom w:val="outset" w:sz="6" w:space="0" w:color="auto"/>
            </w:tcBorders>
            <w:vAlign w:val="center"/>
          </w:tcPr>
          <w:p w14:paraId="61963750" w14:textId="77777777" w:rsidR="002F30BD" w:rsidRPr="007A137C" w:rsidRDefault="002F30BD" w:rsidP="000B64EA">
            <w:pPr>
              <w:spacing w:after="0" w:line="240" w:lineRule="auto"/>
              <w:rPr>
                <w:rFonts w:ascii="Times New Roman" w:hAnsi="Times New Roman"/>
                <w:b/>
                <w:sz w:val="24"/>
                <w:szCs w:val="24"/>
              </w:rPr>
            </w:pPr>
            <w:r w:rsidRPr="007A137C">
              <w:rPr>
                <w:rFonts w:ascii="Times New Roman" w:hAnsi="Times New Roman"/>
                <w:b/>
                <w:sz w:val="24"/>
                <w:szCs w:val="24"/>
              </w:rPr>
              <w:t>1.tabula</w:t>
            </w:r>
          </w:p>
          <w:p w14:paraId="5AD4D2CD" w14:textId="77777777" w:rsidR="002F30BD" w:rsidRPr="007A137C" w:rsidRDefault="002F30BD" w:rsidP="000B64EA">
            <w:pPr>
              <w:spacing w:after="0" w:line="240" w:lineRule="auto"/>
              <w:rPr>
                <w:rFonts w:ascii="Times New Roman" w:hAnsi="Times New Roman"/>
                <w:sz w:val="24"/>
                <w:szCs w:val="24"/>
              </w:rPr>
            </w:pPr>
            <w:r w:rsidRPr="007A137C">
              <w:rPr>
                <w:rFonts w:ascii="Times New Roman" w:hAnsi="Times New Roman"/>
                <w:b/>
                <w:sz w:val="24"/>
                <w:szCs w:val="24"/>
              </w:rPr>
              <w:t>Tiesību akta projekta atbilstība ES tiesību aktiem</w:t>
            </w:r>
          </w:p>
        </w:tc>
      </w:tr>
      <w:tr w:rsidR="00676910" w:rsidRPr="007A137C" w14:paraId="35AA5426" w14:textId="77777777" w:rsidTr="00676910">
        <w:trPr>
          <w:gridBefore w:val="1"/>
          <w:wBefore w:w="179" w:type="dxa"/>
          <w:jc w:val="center"/>
        </w:trPr>
        <w:tc>
          <w:tcPr>
            <w:tcW w:w="2207" w:type="dxa"/>
            <w:gridSpan w:val="3"/>
            <w:tcBorders>
              <w:top w:val="outset" w:sz="6" w:space="0" w:color="auto"/>
              <w:bottom w:val="outset" w:sz="6" w:space="0" w:color="auto"/>
              <w:right w:val="outset" w:sz="6" w:space="0" w:color="auto"/>
            </w:tcBorders>
          </w:tcPr>
          <w:p w14:paraId="0F8ADCF0" w14:textId="77777777" w:rsidR="002F30BD" w:rsidRPr="007A137C" w:rsidRDefault="002F30BD" w:rsidP="000B64EA">
            <w:pPr>
              <w:spacing w:after="0" w:line="240" w:lineRule="auto"/>
              <w:rPr>
                <w:rFonts w:ascii="Times New Roman" w:hAnsi="Times New Roman"/>
                <w:sz w:val="24"/>
                <w:szCs w:val="24"/>
              </w:rPr>
            </w:pPr>
            <w:r w:rsidRPr="007A137C">
              <w:rPr>
                <w:rFonts w:ascii="Times New Roman" w:hAnsi="Times New Roman"/>
                <w:sz w:val="24"/>
                <w:szCs w:val="24"/>
              </w:rPr>
              <w:t>Attiecīgā ES tiesību akta datums, numurs un nosaukums</w:t>
            </w:r>
          </w:p>
        </w:tc>
        <w:tc>
          <w:tcPr>
            <w:tcW w:w="7294" w:type="dxa"/>
            <w:gridSpan w:val="9"/>
            <w:tcBorders>
              <w:top w:val="outset" w:sz="6" w:space="0" w:color="auto"/>
              <w:left w:val="outset" w:sz="6" w:space="0" w:color="auto"/>
              <w:bottom w:val="outset" w:sz="6" w:space="0" w:color="auto"/>
            </w:tcBorders>
          </w:tcPr>
          <w:p w14:paraId="5D4A8F8B" w14:textId="77777777" w:rsidR="002F30BD" w:rsidRPr="007A137C" w:rsidRDefault="002F30BD" w:rsidP="000B64EA">
            <w:pPr>
              <w:spacing w:after="0" w:line="240" w:lineRule="auto"/>
              <w:jc w:val="both"/>
              <w:rPr>
                <w:rFonts w:ascii="Times New Roman" w:hAnsi="Times New Roman"/>
                <w:sz w:val="24"/>
                <w:szCs w:val="24"/>
              </w:rPr>
            </w:pPr>
            <w:r w:rsidRPr="007A137C">
              <w:rPr>
                <w:rFonts w:ascii="Times New Roman" w:hAnsi="Times New Roman"/>
                <w:sz w:val="24"/>
                <w:szCs w:val="24"/>
              </w:rPr>
              <w:t>Komisijas 2013.gada 18.decembra Regula (EK) Nr.</w:t>
            </w:r>
            <w:hyperlink r:id="rId13" w:tgtFrame="_blank" w:history="1">
              <w:r w:rsidRPr="007A137C">
                <w:rPr>
                  <w:rFonts w:ascii="Times New Roman" w:hAnsi="Times New Roman"/>
                  <w:sz w:val="24"/>
                  <w:szCs w:val="24"/>
                </w:rPr>
                <w:t>1407/2013</w:t>
              </w:r>
            </w:hyperlink>
            <w:r w:rsidRPr="007A137C">
              <w:rPr>
                <w:rFonts w:ascii="Times New Roman" w:hAnsi="Times New Roman"/>
                <w:sz w:val="24"/>
                <w:szCs w:val="24"/>
              </w:rPr>
              <w:t xml:space="preserve"> par Līguma par Eiropas Savienības darbību 107. un 108.panta piemērošanu </w:t>
            </w:r>
            <w:proofErr w:type="spellStart"/>
            <w:r w:rsidRPr="007A137C">
              <w:rPr>
                <w:rFonts w:ascii="Times New Roman" w:hAnsi="Times New Roman"/>
                <w:i/>
                <w:sz w:val="24"/>
                <w:szCs w:val="24"/>
              </w:rPr>
              <w:t>de</w:t>
            </w:r>
            <w:proofErr w:type="spellEnd"/>
            <w:r w:rsidRPr="007A137C">
              <w:rPr>
                <w:rFonts w:ascii="Times New Roman" w:hAnsi="Times New Roman"/>
                <w:i/>
                <w:sz w:val="24"/>
                <w:szCs w:val="24"/>
              </w:rPr>
              <w:t xml:space="preserve"> </w:t>
            </w:r>
            <w:proofErr w:type="spellStart"/>
            <w:r w:rsidRPr="007A137C">
              <w:rPr>
                <w:rFonts w:ascii="Times New Roman" w:hAnsi="Times New Roman"/>
                <w:i/>
                <w:sz w:val="24"/>
                <w:szCs w:val="24"/>
              </w:rPr>
              <w:t>minimis</w:t>
            </w:r>
            <w:proofErr w:type="spellEnd"/>
            <w:r w:rsidRPr="007A137C">
              <w:rPr>
                <w:rFonts w:ascii="Times New Roman" w:hAnsi="Times New Roman"/>
                <w:sz w:val="24"/>
                <w:szCs w:val="24"/>
              </w:rPr>
              <w:t xml:space="preserve"> atbalstam (Eiropas Savienības Oficiālais Vēstnesis, 2013.gada 24.decembris, Nr. L 352) (turpmāk – Komisijas regula Nr.</w:t>
            </w:r>
            <w:hyperlink r:id="rId14" w:tgtFrame="_blank" w:history="1">
              <w:r w:rsidRPr="007A137C">
                <w:rPr>
                  <w:rFonts w:ascii="Times New Roman" w:hAnsi="Times New Roman"/>
                  <w:sz w:val="24"/>
                  <w:szCs w:val="24"/>
                </w:rPr>
                <w:t>1407/2013</w:t>
              </w:r>
            </w:hyperlink>
            <w:r w:rsidRPr="007A137C">
              <w:rPr>
                <w:rFonts w:ascii="Times New Roman" w:hAnsi="Times New Roman"/>
                <w:sz w:val="24"/>
                <w:szCs w:val="24"/>
              </w:rPr>
              <w:t>);</w:t>
            </w:r>
          </w:p>
          <w:p w14:paraId="1071B5B8" w14:textId="77777777" w:rsidR="002F30BD" w:rsidRPr="007A137C" w:rsidRDefault="002F30BD" w:rsidP="000B64EA">
            <w:pPr>
              <w:spacing w:after="0" w:line="240" w:lineRule="auto"/>
              <w:jc w:val="both"/>
              <w:rPr>
                <w:rFonts w:ascii="Times New Roman" w:hAnsi="Times New Roman"/>
                <w:sz w:val="24"/>
                <w:szCs w:val="24"/>
              </w:rPr>
            </w:pPr>
            <w:r w:rsidRPr="007A137C">
              <w:rPr>
                <w:rFonts w:ascii="Times New Roman" w:hAnsi="Times New Roman"/>
                <w:sz w:val="24"/>
                <w:szCs w:val="24"/>
              </w:rPr>
              <w:t>Komisijas 2013.gada 18.decembra Regula (EK) Nr.</w:t>
            </w:r>
            <w:hyperlink r:id="rId15" w:tgtFrame="_blank" w:history="1">
              <w:r w:rsidRPr="007A137C">
                <w:rPr>
                  <w:rFonts w:ascii="Times New Roman" w:hAnsi="Times New Roman"/>
                  <w:sz w:val="24"/>
                  <w:szCs w:val="24"/>
                </w:rPr>
                <w:t>1408/2013</w:t>
              </w:r>
            </w:hyperlink>
            <w:r w:rsidRPr="007A137C">
              <w:rPr>
                <w:rFonts w:ascii="Times New Roman" w:hAnsi="Times New Roman"/>
                <w:sz w:val="24"/>
                <w:szCs w:val="24"/>
              </w:rPr>
              <w:t xml:space="preserve"> par Līguma par Eiropas Savienības darbību 107. un 108.panta piemērošanu </w:t>
            </w:r>
            <w:proofErr w:type="spellStart"/>
            <w:r w:rsidRPr="007A137C">
              <w:rPr>
                <w:rFonts w:ascii="Times New Roman" w:hAnsi="Times New Roman"/>
                <w:i/>
                <w:sz w:val="24"/>
                <w:szCs w:val="24"/>
              </w:rPr>
              <w:t>de</w:t>
            </w:r>
            <w:proofErr w:type="spellEnd"/>
            <w:r w:rsidRPr="007A137C">
              <w:rPr>
                <w:rFonts w:ascii="Times New Roman" w:hAnsi="Times New Roman"/>
                <w:i/>
                <w:sz w:val="24"/>
                <w:szCs w:val="24"/>
              </w:rPr>
              <w:t xml:space="preserve"> </w:t>
            </w:r>
            <w:proofErr w:type="spellStart"/>
            <w:r w:rsidRPr="007A137C">
              <w:rPr>
                <w:rFonts w:ascii="Times New Roman" w:hAnsi="Times New Roman"/>
                <w:i/>
                <w:sz w:val="24"/>
                <w:szCs w:val="24"/>
              </w:rPr>
              <w:t>minimis</w:t>
            </w:r>
            <w:proofErr w:type="spellEnd"/>
            <w:r w:rsidRPr="007A137C">
              <w:rPr>
                <w:rFonts w:ascii="Times New Roman" w:hAnsi="Times New Roman"/>
                <w:sz w:val="24"/>
                <w:szCs w:val="24"/>
              </w:rPr>
              <w:t xml:space="preserve"> atbalstam lauksaimniecības nozarē (Eiropas Savienības Oficiālais Vēstnesis, 2013.gada 24.decembris, Nr. L 352) (turpmāk – Komisijas regula Nr.</w:t>
            </w:r>
            <w:hyperlink r:id="rId16" w:tgtFrame="_blank" w:history="1">
              <w:r w:rsidRPr="007A137C">
                <w:rPr>
                  <w:rFonts w:ascii="Times New Roman" w:hAnsi="Times New Roman"/>
                  <w:sz w:val="24"/>
                  <w:szCs w:val="24"/>
                </w:rPr>
                <w:t>1408/2013</w:t>
              </w:r>
            </w:hyperlink>
            <w:r w:rsidRPr="007A137C">
              <w:rPr>
                <w:rFonts w:ascii="Times New Roman" w:hAnsi="Times New Roman"/>
                <w:sz w:val="24"/>
                <w:szCs w:val="24"/>
              </w:rPr>
              <w:t>);</w:t>
            </w:r>
          </w:p>
          <w:p w14:paraId="75550EBC" w14:textId="321CE6D1" w:rsidR="002F30BD" w:rsidRPr="007A137C" w:rsidRDefault="002F30BD" w:rsidP="000B64EA">
            <w:pPr>
              <w:spacing w:after="0" w:line="240" w:lineRule="auto"/>
              <w:jc w:val="both"/>
              <w:rPr>
                <w:rFonts w:ascii="Times New Roman" w:hAnsi="Times New Roman"/>
                <w:iCs/>
                <w:sz w:val="24"/>
                <w:szCs w:val="24"/>
              </w:rPr>
            </w:pPr>
            <w:r w:rsidRPr="007A137C">
              <w:rPr>
                <w:rFonts w:ascii="Times New Roman" w:hAnsi="Times New Roman"/>
                <w:iCs/>
                <w:sz w:val="24"/>
                <w:szCs w:val="24"/>
              </w:rPr>
              <w:t>Komisijas 2014. gada 27. jūnija Regul</w:t>
            </w:r>
            <w:r w:rsidR="000E7E1F">
              <w:rPr>
                <w:rFonts w:ascii="Times New Roman" w:hAnsi="Times New Roman"/>
                <w:iCs/>
                <w:sz w:val="24"/>
                <w:szCs w:val="24"/>
              </w:rPr>
              <w:t>a</w:t>
            </w:r>
            <w:r w:rsidRPr="007A137C">
              <w:rPr>
                <w:rFonts w:ascii="Times New Roman" w:hAnsi="Times New Roman"/>
                <w:iCs/>
                <w:sz w:val="24"/>
                <w:szCs w:val="24"/>
              </w:rPr>
              <w:t xml:space="preserve"> (EK) Nr. </w:t>
            </w:r>
            <w:hyperlink r:id="rId17" w:tgtFrame="_blank" w:history="1">
              <w:r w:rsidRPr="007A137C">
                <w:rPr>
                  <w:rFonts w:ascii="Times New Roman" w:hAnsi="Times New Roman"/>
                  <w:iCs/>
                  <w:sz w:val="24"/>
                  <w:szCs w:val="24"/>
                </w:rPr>
                <w:t>717/2014</w:t>
              </w:r>
            </w:hyperlink>
            <w:r w:rsidRPr="007A137C">
              <w:rPr>
                <w:rFonts w:ascii="Times New Roman" w:hAnsi="Times New Roman"/>
                <w:iCs/>
                <w:sz w:val="24"/>
                <w:szCs w:val="24"/>
              </w:rPr>
              <w:t xml:space="preserve"> par Līguma par </w:t>
            </w:r>
            <w:r w:rsidRPr="007A137C">
              <w:rPr>
                <w:rFonts w:ascii="Times New Roman" w:hAnsi="Times New Roman"/>
                <w:iCs/>
                <w:sz w:val="24"/>
                <w:szCs w:val="24"/>
              </w:rPr>
              <w:lastRenderedPageBreak/>
              <w:t xml:space="preserve">Eiropas Savienības darbību 107. un 108. panta piemērošanu </w:t>
            </w:r>
            <w:proofErr w:type="spellStart"/>
            <w:r w:rsidRPr="007A137C">
              <w:rPr>
                <w:rFonts w:ascii="Times New Roman" w:hAnsi="Times New Roman"/>
                <w:i/>
                <w:iCs/>
                <w:sz w:val="24"/>
                <w:szCs w:val="24"/>
              </w:rPr>
              <w:t>de</w:t>
            </w:r>
            <w:proofErr w:type="spellEnd"/>
            <w:r w:rsidRPr="007A137C">
              <w:rPr>
                <w:rFonts w:ascii="Times New Roman" w:hAnsi="Times New Roman"/>
                <w:i/>
                <w:iCs/>
                <w:sz w:val="24"/>
                <w:szCs w:val="24"/>
              </w:rPr>
              <w:t xml:space="preserve"> </w:t>
            </w:r>
            <w:proofErr w:type="spellStart"/>
            <w:r w:rsidRPr="007A137C">
              <w:rPr>
                <w:rFonts w:ascii="Times New Roman" w:hAnsi="Times New Roman"/>
                <w:i/>
                <w:iCs/>
                <w:sz w:val="24"/>
                <w:szCs w:val="24"/>
              </w:rPr>
              <w:t>minimis</w:t>
            </w:r>
            <w:proofErr w:type="spellEnd"/>
            <w:r w:rsidRPr="007A137C">
              <w:rPr>
                <w:rFonts w:ascii="Times New Roman" w:hAnsi="Times New Roman"/>
                <w:iCs/>
                <w:sz w:val="24"/>
                <w:szCs w:val="24"/>
              </w:rPr>
              <w:t xml:space="preserve"> atbalstam zvejniecības un akvakultūras nozarē (Eiropas Savienības Oficiālais Vēstnesis, 2014. gada 28. jūnijs, Nr. L190) (turpmāk – Komisijas regula Nr. </w:t>
            </w:r>
            <w:hyperlink r:id="rId18" w:tgtFrame="_blank" w:history="1">
              <w:r w:rsidRPr="007A137C">
                <w:rPr>
                  <w:rFonts w:ascii="Times New Roman" w:hAnsi="Times New Roman"/>
                  <w:iCs/>
                  <w:sz w:val="24"/>
                  <w:szCs w:val="24"/>
                </w:rPr>
                <w:t>717/2014</w:t>
              </w:r>
            </w:hyperlink>
            <w:r w:rsidRPr="007A137C">
              <w:rPr>
                <w:rFonts w:ascii="Times New Roman" w:hAnsi="Times New Roman"/>
                <w:iCs/>
                <w:sz w:val="24"/>
                <w:szCs w:val="24"/>
              </w:rPr>
              <w:t>);</w:t>
            </w:r>
          </w:p>
          <w:p w14:paraId="5B2339A8" w14:textId="4E9E0253" w:rsidR="002F30BD" w:rsidRPr="007A137C" w:rsidRDefault="002F30BD" w:rsidP="000B64EA">
            <w:pPr>
              <w:spacing w:after="0" w:line="240" w:lineRule="auto"/>
              <w:jc w:val="both"/>
              <w:rPr>
                <w:rFonts w:ascii="Times New Roman" w:hAnsi="Times New Roman"/>
                <w:sz w:val="24"/>
                <w:szCs w:val="24"/>
              </w:rPr>
            </w:pPr>
            <w:r w:rsidRPr="007A137C">
              <w:rPr>
                <w:rFonts w:ascii="Times New Roman" w:hAnsi="Times New Roman"/>
                <w:sz w:val="24"/>
                <w:szCs w:val="24"/>
              </w:rPr>
              <w:t xml:space="preserve">Eiropas Parlamenta un Padomes 2013.gada 26.jūnija </w:t>
            </w:r>
            <w:r w:rsidR="000E7E1F">
              <w:rPr>
                <w:rFonts w:ascii="Times New Roman" w:hAnsi="Times New Roman"/>
                <w:sz w:val="24"/>
                <w:szCs w:val="24"/>
              </w:rPr>
              <w:t>R</w:t>
            </w:r>
            <w:r w:rsidRPr="007A137C">
              <w:rPr>
                <w:rFonts w:ascii="Times New Roman" w:hAnsi="Times New Roman"/>
                <w:sz w:val="24"/>
                <w:szCs w:val="24"/>
              </w:rPr>
              <w:t xml:space="preserve">egula (ES) Nr. </w:t>
            </w:r>
            <w:hyperlink r:id="rId19" w:tgtFrame="_blank" w:history="1">
              <w:r w:rsidRPr="007A137C">
                <w:rPr>
                  <w:rFonts w:ascii="Times New Roman" w:hAnsi="Times New Roman"/>
                  <w:sz w:val="24"/>
                  <w:szCs w:val="24"/>
                </w:rPr>
                <w:t>575/2013</w:t>
              </w:r>
            </w:hyperlink>
            <w:r w:rsidRPr="007A137C">
              <w:rPr>
                <w:rFonts w:ascii="Times New Roman" w:hAnsi="Times New Roman"/>
                <w:sz w:val="24"/>
                <w:szCs w:val="24"/>
              </w:rPr>
              <w:t xml:space="preserve"> par </w:t>
            </w:r>
            <w:proofErr w:type="spellStart"/>
            <w:r w:rsidRPr="007A137C">
              <w:rPr>
                <w:rFonts w:ascii="Times New Roman" w:hAnsi="Times New Roman"/>
                <w:sz w:val="24"/>
                <w:szCs w:val="24"/>
              </w:rPr>
              <w:t>prudenciālajām</w:t>
            </w:r>
            <w:proofErr w:type="spellEnd"/>
            <w:r w:rsidRPr="007A137C">
              <w:rPr>
                <w:rFonts w:ascii="Times New Roman" w:hAnsi="Times New Roman"/>
                <w:sz w:val="24"/>
                <w:szCs w:val="24"/>
              </w:rPr>
              <w:t xml:space="preserve"> prasībām attiecībā uz kredītiestādēm un ieguldījumu brokeru sabiedrībām, un ar ko groza regulu (ES) Nr. </w:t>
            </w:r>
            <w:hyperlink r:id="rId20" w:tgtFrame="_blank" w:history="1">
              <w:r w:rsidRPr="007A137C">
                <w:rPr>
                  <w:rFonts w:ascii="Times New Roman" w:hAnsi="Times New Roman"/>
                  <w:sz w:val="24"/>
                  <w:szCs w:val="24"/>
                </w:rPr>
                <w:t>648/2012</w:t>
              </w:r>
            </w:hyperlink>
            <w:r w:rsidRPr="007A137C">
              <w:rPr>
                <w:rFonts w:ascii="Times New Roman" w:hAnsi="Times New Roman"/>
                <w:sz w:val="24"/>
                <w:szCs w:val="24"/>
              </w:rPr>
              <w:t xml:space="preserve"> (Eiropas Savienības Oficiālais Vēstnesis, 2013.gada 27.jūnijs, Nr.L176) (turpmāk — Regula Nr. </w:t>
            </w:r>
            <w:hyperlink r:id="rId21" w:tgtFrame="_blank" w:history="1">
              <w:r w:rsidRPr="007A137C">
                <w:rPr>
                  <w:rFonts w:ascii="Times New Roman" w:hAnsi="Times New Roman"/>
                  <w:sz w:val="24"/>
                  <w:szCs w:val="24"/>
                </w:rPr>
                <w:t>575/2013</w:t>
              </w:r>
            </w:hyperlink>
            <w:r w:rsidRPr="007A137C">
              <w:rPr>
                <w:rFonts w:ascii="Times New Roman" w:hAnsi="Times New Roman"/>
                <w:sz w:val="24"/>
                <w:szCs w:val="24"/>
              </w:rPr>
              <w:t>);</w:t>
            </w:r>
          </w:p>
          <w:p w14:paraId="0E4E8738" w14:textId="77777777" w:rsidR="009070ED" w:rsidRDefault="002F30BD" w:rsidP="00771A52">
            <w:pPr>
              <w:autoSpaceDE w:val="0"/>
              <w:autoSpaceDN w:val="0"/>
              <w:adjustRightInd w:val="0"/>
              <w:spacing w:after="0" w:line="240" w:lineRule="auto"/>
              <w:jc w:val="both"/>
              <w:rPr>
                <w:rFonts w:ascii="Times New Roman" w:hAnsi="Times New Roman"/>
                <w:sz w:val="24"/>
                <w:szCs w:val="24"/>
              </w:rPr>
            </w:pPr>
            <w:r w:rsidRPr="007A137C">
              <w:rPr>
                <w:rFonts w:ascii="Times New Roman" w:hAnsi="Times New Roman"/>
                <w:sz w:val="24"/>
                <w:szCs w:val="24"/>
              </w:rPr>
              <w:t>Komisijas 2014.gada 25.jūnija Regula (ES) Nr.702/2014, ar kuru konkrētas atbalsta kategorijas lauksaimniecības un mežsaimniecības nozarē un lauku apvidos atzīst par saderīgām ar iekšējo tirgu, piemērojot Līguma par Eiropas Savienības darbību 107. un 108.pantu (Eiropas Savienības Oficiālais Vēstnesis, 2014.gada 1.jūlijs, Nr.L193) (turpmāk – Komisijas regula Nr.702/2014)</w:t>
            </w:r>
            <w:r w:rsidR="009070ED">
              <w:rPr>
                <w:rFonts w:ascii="Times New Roman" w:hAnsi="Times New Roman"/>
                <w:sz w:val="24"/>
                <w:szCs w:val="24"/>
              </w:rPr>
              <w:t>;</w:t>
            </w:r>
          </w:p>
          <w:p w14:paraId="7167C981" w14:textId="31003727" w:rsidR="002F30BD" w:rsidRPr="007A137C" w:rsidRDefault="009070ED" w:rsidP="003F2028">
            <w:pPr>
              <w:autoSpaceDE w:val="0"/>
              <w:autoSpaceDN w:val="0"/>
              <w:adjustRightInd w:val="0"/>
              <w:spacing w:after="0" w:line="240" w:lineRule="auto"/>
              <w:jc w:val="both"/>
              <w:rPr>
                <w:rFonts w:ascii="Times New Roman" w:hAnsi="Times New Roman"/>
                <w:sz w:val="24"/>
                <w:szCs w:val="24"/>
              </w:rPr>
            </w:pPr>
            <w:r w:rsidRPr="009070ED">
              <w:rPr>
                <w:rFonts w:ascii="Times New Roman" w:hAnsi="Times New Roman"/>
                <w:sz w:val="24"/>
                <w:szCs w:val="24"/>
              </w:rPr>
              <w:t>Padomes 1999. gada 22. marta Regul</w:t>
            </w:r>
            <w:r w:rsidR="003F2028">
              <w:rPr>
                <w:rFonts w:ascii="Times New Roman" w:hAnsi="Times New Roman"/>
                <w:sz w:val="24"/>
                <w:szCs w:val="24"/>
              </w:rPr>
              <w:t>a</w:t>
            </w:r>
            <w:r w:rsidRPr="009070ED">
              <w:rPr>
                <w:rFonts w:ascii="Times New Roman" w:hAnsi="Times New Roman"/>
                <w:sz w:val="24"/>
                <w:szCs w:val="24"/>
              </w:rPr>
              <w:t xml:space="preserve"> (EK) Nr. </w:t>
            </w:r>
            <w:hyperlink r:id="rId22" w:tgtFrame="_blank" w:history="1">
              <w:r w:rsidRPr="009070ED">
                <w:rPr>
                  <w:rFonts w:ascii="Times New Roman" w:hAnsi="Times New Roman"/>
                  <w:sz w:val="24"/>
                  <w:szCs w:val="24"/>
                </w:rPr>
                <w:t>659/1999</w:t>
              </w:r>
            </w:hyperlink>
            <w:r w:rsidRPr="009070ED">
              <w:rPr>
                <w:rFonts w:ascii="Times New Roman" w:hAnsi="Times New Roman"/>
                <w:sz w:val="24"/>
                <w:szCs w:val="24"/>
              </w:rPr>
              <w:t>, ar ko nosaka sīki izstrādātus noteikumus EK līguma 93. panta piemērošanai</w:t>
            </w:r>
            <w:r>
              <w:rPr>
                <w:rFonts w:ascii="Times New Roman" w:hAnsi="Times New Roman"/>
                <w:sz w:val="24"/>
                <w:szCs w:val="24"/>
              </w:rPr>
              <w:t xml:space="preserve"> (</w:t>
            </w:r>
            <w:r w:rsidRPr="007A137C">
              <w:rPr>
                <w:rFonts w:ascii="Times New Roman" w:hAnsi="Times New Roman"/>
                <w:iCs/>
                <w:sz w:val="24"/>
                <w:szCs w:val="24"/>
              </w:rPr>
              <w:t xml:space="preserve">Eiropas Savienības Oficiālais Vēstnesis, </w:t>
            </w:r>
            <w:r>
              <w:rPr>
                <w:rFonts w:ascii="Times New Roman" w:hAnsi="Times New Roman"/>
                <w:iCs/>
                <w:sz w:val="24"/>
                <w:szCs w:val="24"/>
              </w:rPr>
              <w:t>1999</w:t>
            </w:r>
            <w:r w:rsidRPr="007A137C">
              <w:rPr>
                <w:rFonts w:ascii="Times New Roman" w:hAnsi="Times New Roman"/>
                <w:iCs/>
                <w:sz w:val="24"/>
                <w:szCs w:val="24"/>
              </w:rPr>
              <w:t xml:space="preserve">. gada </w:t>
            </w:r>
            <w:r>
              <w:rPr>
                <w:rFonts w:ascii="Times New Roman" w:hAnsi="Times New Roman"/>
                <w:iCs/>
                <w:sz w:val="24"/>
                <w:szCs w:val="24"/>
              </w:rPr>
              <w:t>27</w:t>
            </w:r>
            <w:r w:rsidRPr="007A137C">
              <w:rPr>
                <w:rFonts w:ascii="Times New Roman" w:hAnsi="Times New Roman"/>
                <w:iCs/>
                <w:sz w:val="24"/>
                <w:szCs w:val="24"/>
              </w:rPr>
              <w:t xml:space="preserve">. </w:t>
            </w:r>
            <w:r>
              <w:rPr>
                <w:rFonts w:ascii="Times New Roman" w:hAnsi="Times New Roman"/>
                <w:iCs/>
                <w:sz w:val="24"/>
                <w:szCs w:val="24"/>
              </w:rPr>
              <w:t>marta</w:t>
            </w:r>
            <w:r w:rsidRPr="007A137C">
              <w:rPr>
                <w:rFonts w:ascii="Times New Roman" w:hAnsi="Times New Roman"/>
                <w:iCs/>
                <w:sz w:val="24"/>
                <w:szCs w:val="24"/>
              </w:rPr>
              <w:t>, Nr. L</w:t>
            </w:r>
            <w:r>
              <w:rPr>
                <w:rFonts w:ascii="Times New Roman" w:hAnsi="Times New Roman"/>
                <w:iCs/>
                <w:sz w:val="24"/>
                <w:szCs w:val="24"/>
              </w:rPr>
              <w:t>83</w:t>
            </w:r>
            <w:r w:rsidRPr="007A137C">
              <w:rPr>
                <w:rFonts w:ascii="Times New Roman" w:hAnsi="Times New Roman"/>
                <w:iCs/>
                <w:sz w:val="24"/>
                <w:szCs w:val="24"/>
              </w:rPr>
              <w:t xml:space="preserve">) (turpmāk – </w:t>
            </w:r>
            <w:r>
              <w:rPr>
                <w:rFonts w:ascii="Times New Roman" w:hAnsi="Times New Roman"/>
                <w:iCs/>
                <w:sz w:val="24"/>
                <w:szCs w:val="24"/>
              </w:rPr>
              <w:t>Padomes</w:t>
            </w:r>
            <w:r w:rsidRPr="007A137C">
              <w:rPr>
                <w:rFonts w:ascii="Times New Roman" w:hAnsi="Times New Roman"/>
                <w:iCs/>
                <w:sz w:val="24"/>
                <w:szCs w:val="24"/>
              </w:rPr>
              <w:t xml:space="preserve"> regula Nr. </w:t>
            </w:r>
            <w:hyperlink r:id="rId23" w:tgtFrame="_blank" w:history="1">
              <w:r>
                <w:rPr>
                  <w:rFonts w:ascii="Times New Roman" w:hAnsi="Times New Roman"/>
                  <w:iCs/>
                  <w:sz w:val="24"/>
                  <w:szCs w:val="24"/>
                </w:rPr>
                <w:t>659</w:t>
              </w:r>
              <w:r w:rsidRPr="007A137C">
                <w:rPr>
                  <w:rFonts w:ascii="Times New Roman" w:hAnsi="Times New Roman"/>
                  <w:iCs/>
                  <w:sz w:val="24"/>
                  <w:szCs w:val="24"/>
                </w:rPr>
                <w:t>/</w:t>
              </w:r>
              <w:r>
                <w:rPr>
                  <w:rFonts w:ascii="Times New Roman" w:hAnsi="Times New Roman"/>
                  <w:iCs/>
                  <w:sz w:val="24"/>
                  <w:szCs w:val="24"/>
                </w:rPr>
                <w:t>1999</w:t>
              </w:r>
            </w:hyperlink>
            <w:r w:rsidRPr="007A137C">
              <w:rPr>
                <w:rFonts w:ascii="Times New Roman" w:hAnsi="Times New Roman"/>
                <w:iCs/>
                <w:sz w:val="24"/>
                <w:szCs w:val="24"/>
              </w:rPr>
              <w:t>)</w:t>
            </w:r>
            <w:r w:rsidR="002F30BD" w:rsidRPr="007A137C">
              <w:rPr>
                <w:rFonts w:ascii="Times New Roman" w:hAnsi="Times New Roman"/>
                <w:sz w:val="24"/>
                <w:szCs w:val="24"/>
              </w:rPr>
              <w:t>.</w:t>
            </w:r>
          </w:p>
        </w:tc>
      </w:tr>
      <w:tr w:rsidR="00676910" w:rsidRPr="007A137C" w14:paraId="57352D22" w14:textId="77777777" w:rsidTr="00676910">
        <w:trPr>
          <w:gridBefore w:val="1"/>
          <w:wBefore w:w="179" w:type="dxa"/>
          <w:jc w:val="center"/>
        </w:trPr>
        <w:tc>
          <w:tcPr>
            <w:tcW w:w="2207" w:type="dxa"/>
            <w:gridSpan w:val="3"/>
            <w:tcBorders>
              <w:top w:val="outset" w:sz="6" w:space="0" w:color="auto"/>
              <w:bottom w:val="outset" w:sz="6" w:space="0" w:color="auto"/>
              <w:right w:val="outset" w:sz="6" w:space="0" w:color="auto"/>
            </w:tcBorders>
            <w:vAlign w:val="center"/>
          </w:tcPr>
          <w:p w14:paraId="626AFA10" w14:textId="77777777" w:rsidR="002F30BD" w:rsidRPr="007A137C" w:rsidRDefault="002F30BD" w:rsidP="000B64EA">
            <w:pPr>
              <w:spacing w:after="0" w:line="240" w:lineRule="auto"/>
              <w:rPr>
                <w:rFonts w:ascii="Times New Roman" w:hAnsi="Times New Roman"/>
                <w:sz w:val="24"/>
                <w:szCs w:val="24"/>
              </w:rPr>
            </w:pPr>
            <w:r w:rsidRPr="007A137C">
              <w:rPr>
                <w:rFonts w:ascii="Times New Roman" w:hAnsi="Times New Roman"/>
                <w:sz w:val="24"/>
                <w:szCs w:val="24"/>
              </w:rPr>
              <w:lastRenderedPageBreak/>
              <w:t>A</w:t>
            </w:r>
          </w:p>
        </w:tc>
        <w:tc>
          <w:tcPr>
            <w:tcW w:w="2090" w:type="dxa"/>
            <w:gridSpan w:val="4"/>
            <w:tcBorders>
              <w:top w:val="outset" w:sz="6" w:space="0" w:color="auto"/>
              <w:left w:val="outset" w:sz="6" w:space="0" w:color="auto"/>
              <w:bottom w:val="outset" w:sz="6" w:space="0" w:color="auto"/>
              <w:right w:val="outset" w:sz="6" w:space="0" w:color="auto"/>
            </w:tcBorders>
            <w:vAlign w:val="center"/>
          </w:tcPr>
          <w:p w14:paraId="3D0823DC" w14:textId="77777777" w:rsidR="002F30BD" w:rsidRPr="007A137C" w:rsidRDefault="002F30BD" w:rsidP="000B64EA">
            <w:pPr>
              <w:spacing w:after="0" w:line="240" w:lineRule="auto"/>
              <w:rPr>
                <w:rFonts w:ascii="Times New Roman" w:hAnsi="Times New Roman"/>
                <w:sz w:val="24"/>
                <w:szCs w:val="24"/>
              </w:rPr>
            </w:pPr>
            <w:r w:rsidRPr="007A137C">
              <w:rPr>
                <w:rFonts w:ascii="Times New Roman" w:hAnsi="Times New Roman"/>
                <w:sz w:val="24"/>
                <w:szCs w:val="24"/>
              </w:rPr>
              <w:t>B</w:t>
            </w:r>
          </w:p>
        </w:tc>
        <w:tc>
          <w:tcPr>
            <w:tcW w:w="2594" w:type="dxa"/>
            <w:gridSpan w:val="3"/>
            <w:tcBorders>
              <w:top w:val="outset" w:sz="6" w:space="0" w:color="auto"/>
              <w:left w:val="outset" w:sz="6" w:space="0" w:color="auto"/>
              <w:bottom w:val="outset" w:sz="6" w:space="0" w:color="auto"/>
              <w:right w:val="outset" w:sz="6" w:space="0" w:color="auto"/>
            </w:tcBorders>
            <w:vAlign w:val="center"/>
          </w:tcPr>
          <w:p w14:paraId="7C5485E9" w14:textId="77777777" w:rsidR="002F30BD" w:rsidRPr="007A137C" w:rsidRDefault="002F30BD" w:rsidP="000B64EA">
            <w:pPr>
              <w:spacing w:after="0" w:line="240" w:lineRule="auto"/>
              <w:rPr>
                <w:rFonts w:ascii="Times New Roman" w:hAnsi="Times New Roman"/>
                <w:sz w:val="24"/>
                <w:szCs w:val="24"/>
              </w:rPr>
            </w:pPr>
            <w:r w:rsidRPr="007A137C">
              <w:rPr>
                <w:rFonts w:ascii="Times New Roman" w:hAnsi="Times New Roman"/>
                <w:sz w:val="24"/>
                <w:szCs w:val="24"/>
              </w:rPr>
              <w:t>C</w:t>
            </w:r>
          </w:p>
        </w:tc>
        <w:tc>
          <w:tcPr>
            <w:tcW w:w="2610" w:type="dxa"/>
            <w:gridSpan w:val="2"/>
            <w:tcBorders>
              <w:top w:val="outset" w:sz="6" w:space="0" w:color="auto"/>
              <w:left w:val="outset" w:sz="6" w:space="0" w:color="auto"/>
              <w:bottom w:val="outset" w:sz="6" w:space="0" w:color="auto"/>
            </w:tcBorders>
            <w:vAlign w:val="center"/>
          </w:tcPr>
          <w:p w14:paraId="51A2376D" w14:textId="77777777" w:rsidR="002F30BD" w:rsidRPr="007A137C" w:rsidRDefault="002F30BD" w:rsidP="000B64EA">
            <w:pPr>
              <w:spacing w:after="0" w:line="240" w:lineRule="auto"/>
              <w:rPr>
                <w:rFonts w:ascii="Times New Roman" w:hAnsi="Times New Roman"/>
                <w:sz w:val="24"/>
                <w:szCs w:val="24"/>
              </w:rPr>
            </w:pPr>
            <w:r w:rsidRPr="007A137C">
              <w:rPr>
                <w:rFonts w:ascii="Times New Roman" w:hAnsi="Times New Roman"/>
                <w:sz w:val="24"/>
                <w:szCs w:val="24"/>
              </w:rPr>
              <w:t>D</w:t>
            </w:r>
          </w:p>
        </w:tc>
      </w:tr>
      <w:tr w:rsidR="00676910" w:rsidRPr="007A137C" w14:paraId="75FF4E7A" w14:textId="77777777" w:rsidTr="00676910">
        <w:trPr>
          <w:gridBefore w:val="1"/>
          <w:wBefore w:w="179" w:type="dxa"/>
          <w:jc w:val="center"/>
        </w:trPr>
        <w:tc>
          <w:tcPr>
            <w:tcW w:w="2207" w:type="dxa"/>
            <w:gridSpan w:val="3"/>
            <w:tcBorders>
              <w:top w:val="outset" w:sz="6" w:space="0" w:color="auto"/>
              <w:bottom w:val="outset" w:sz="6" w:space="0" w:color="auto"/>
              <w:right w:val="outset" w:sz="6" w:space="0" w:color="auto"/>
            </w:tcBorders>
          </w:tcPr>
          <w:p w14:paraId="2E1157B4" w14:textId="77777777" w:rsidR="002F30BD" w:rsidRPr="007A137C" w:rsidRDefault="002F30BD" w:rsidP="000B64EA">
            <w:pPr>
              <w:spacing w:after="0" w:line="240" w:lineRule="auto"/>
              <w:rPr>
                <w:rFonts w:ascii="Times New Roman" w:hAnsi="Times New Roman"/>
                <w:sz w:val="24"/>
                <w:szCs w:val="24"/>
              </w:rPr>
            </w:pPr>
            <w:r w:rsidRPr="007A137C">
              <w:rPr>
                <w:rFonts w:ascii="Times New Roman" w:hAnsi="Times New Roman"/>
                <w:sz w:val="24"/>
                <w:szCs w:val="24"/>
              </w:rPr>
              <w:t>Attiecīgā ES tiesību akta panta numurs (uzskaitot katru tiesību akta vienību – pantu, daļu, punktu, apakšpunktu)</w:t>
            </w:r>
          </w:p>
        </w:tc>
        <w:tc>
          <w:tcPr>
            <w:tcW w:w="2090" w:type="dxa"/>
            <w:gridSpan w:val="4"/>
            <w:tcBorders>
              <w:top w:val="outset" w:sz="6" w:space="0" w:color="auto"/>
              <w:left w:val="outset" w:sz="6" w:space="0" w:color="auto"/>
              <w:bottom w:val="outset" w:sz="6" w:space="0" w:color="auto"/>
              <w:right w:val="outset" w:sz="6" w:space="0" w:color="auto"/>
            </w:tcBorders>
          </w:tcPr>
          <w:p w14:paraId="6A5E72DF" w14:textId="77777777" w:rsidR="002F30BD" w:rsidRPr="007A137C" w:rsidRDefault="002F30BD" w:rsidP="000B64EA">
            <w:pPr>
              <w:spacing w:after="0" w:line="240" w:lineRule="auto"/>
              <w:rPr>
                <w:rFonts w:ascii="Times New Roman" w:hAnsi="Times New Roman"/>
                <w:sz w:val="24"/>
                <w:szCs w:val="24"/>
              </w:rPr>
            </w:pPr>
            <w:r w:rsidRPr="007A137C">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2594" w:type="dxa"/>
            <w:gridSpan w:val="3"/>
            <w:tcBorders>
              <w:top w:val="outset" w:sz="6" w:space="0" w:color="auto"/>
              <w:left w:val="outset" w:sz="6" w:space="0" w:color="auto"/>
              <w:bottom w:val="outset" w:sz="6" w:space="0" w:color="auto"/>
              <w:right w:val="outset" w:sz="6" w:space="0" w:color="auto"/>
            </w:tcBorders>
          </w:tcPr>
          <w:p w14:paraId="4469D716" w14:textId="77777777" w:rsidR="002F30BD" w:rsidRPr="007A137C" w:rsidRDefault="002F30BD" w:rsidP="000B64EA">
            <w:pPr>
              <w:spacing w:after="0" w:line="240" w:lineRule="auto"/>
              <w:rPr>
                <w:rFonts w:ascii="Times New Roman" w:hAnsi="Times New Roman"/>
                <w:sz w:val="24"/>
                <w:szCs w:val="24"/>
              </w:rPr>
            </w:pPr>
            <w:r w:rsidRPr="007A137C">
              <w:rPr>
                <w:rFonts w:ascii="Times New Roman" w:hAnsi="Times New Roman"/>
                <w:sz w:val="24"/>
                <w:szCs w:val="24"/>
              </w:rPr>
              <w:t>Informācija par to, vai šīs tabulas A ailē minētās ES tiesību akta vienības tiek pārņemtas vai ieviestas pilnībā vai daļēji.</w:t>
            </w:r>
          </w:p>
          <w:p w14:paraId="2B6D4D6C" w14:textId="77777777" w:rsidR="002F30BD" w:rsidRPr="007A137C" w:rsidRDefault="002F30BD" w:rsidP="000B64EA">
            <w:pPr>
              <w:spacing w:after="0" w:line="240" w:lineRule="auto"/>
              <w:rPr>
                <w:rFonts w:ascii="Times New Roman" w:hAnsi="Times New Roman"/>
                <w:sz w:val="24"/>
                <w:szCs w:val="24"/>
              </w:rPr>
            </w:pPr>
            <w:r w:rsidRPr="007A137C">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1B3FE754" w14:textId="77777777" w:rsidR="002F30BD" w:rsidRPr="007A137C" w:rsidRDefault="002F30BD" w:rsidP="000B64EA">
            <w:pPr>
              <w:spacing w:after="0" w:line="240" w:lineRule="auto"/>
              <w:rPr>
                <w:rFonts w:ascii="Times New Roman" w:hAnsi="Times New Roman"/>
                <w:sz w:val="24"/>
                <w:szCs w:val="24"/>
              </w:rPr>
            </w:pPr>
            <w:r w:rsidRPr="007A137C">
              <w:rPr>
                <w:rFonts w:ascii="Times New Roman" w:hAnsi="Times New Roman"/>
                <w:sz w:val="24"/>
                <w:szCs w:val="24"/>
              </w:rPr>
              <w:t>Norāda institūciju, kas ir atbildīga par šo saistību izpildi pilnībā</w:t>
            </w:r>
          </w:p>
        </w:tc>
        <w:tc>
          <w:tcPr>
            <w:tcW w:w="2610" w:type="dxa"/>
            <w:gridSpan w:val="2"/>
            <w:tcBorders>
              <w:top w:val="outset" w:sz="6" w:space="0" w:color="auto"/>
              <w:left w:val="outset" w:sz="6" w:space="0" w:color="auto"/>
              <w:bottom w:val="outset" w:sz="6" w:space="0" w:color="auto"/>
            </w:tcBorders>
          </w:tcPr>
          <w:p w14:paraId="7D9A32BD" w14:textId="77777777" w:rsidR="002F30BD" w:rsidRPr="007A137C" w:rsidRDefault="002F30BD" w:rsidP="000B64EA">
            <w:pPr>
              <w:spacing w:after="0" w:line="240" w:lineRule="auto"/>
              <w:rPr>
                <w:rFonts w:ascii="Times New Roman" w:hAnsi="Times New Roman"/>
                <w:sz w:val="24"/>
                <w:szCs w:val="24"/>
              </w:rPr>
            </w:pPr>
            <w:r w:rsidRPr="007A137C">
              <w:rPr>
                <w:rFonts w:ascii="Times New Roman" w:hAnsi="Times New Roman"/>
                <w:sz w:val="24"/>
                <w:szCs w:val="24"/>
              </w:rPr>
              <w:t>Informācija par to, vai šīs tabulas B ailē minētās projekta vienības paredz stingrākas prasības nekā šīs tabulas A ailē minētās ES tiesību akta vienības.</w:t>
            </w:r>
          </w:p>
          <w:p w14:paraId="1F9989D4" w14:textId="77777777" w:rsidR="002F30BD" w:rsidRPr="007A137C" w:rsidRDefault="002F30BD" w:rsidP="000B64EA">
            <w:pPr>
              <w:spacing w:after="0" w:line="240" w:lineRule="auto"/>
              <w:rPr>
                <w:rFonts w:ascii="Times New Roman" w:hAnsi="Times New Roman"/>
                <w:sz w:val="24"/>
                <w:szCs w:val="24"/>
              </w:rPr>
            </w:pPr>
            <w:r w:rsidRPr="007A137C">
              <w:rPr>
                <w:rFonts w:ascii="Times New Roman" w:hAnsi="Times New Roman"/>
                <w:sz w:val="24"/>
                <w:szCs w:val="24"/>
              </w:rPr>
              <w:t>Ja projekts satur stingrā</w:t>
            </w:r>
            <w:r w:rsidRPr="007A137C">
              <w:rPr>
                <w:rFonts w:ascii="Times New Roman" w:hAnsi="Times New Roman"/>
                <w:sz w:val="24"/>
                <w:szCs w:val="24"/>
              </w:rPr>
              <w:softHyphen/>
              <w:t>kas prasības nekā attie</w:t>
            </w:r>
            <w:r w:rsidRPr="007A137C">
              <w:rPr>
                <w:rFonts w:ascii="Times New Roman" w:hAnsi="Times New Roman"/>
                <w:sz w:val="24"/>
                <w:szCs w:val="24"/>
              </w:rPr>
              <w:softHyphen/>
              <w:t>cīgais ES tiesību akts, norāda pamatojumu un samērīgumu.</w:t>
            </w:r>
          </w:p>
          <w:p w14:paraId="60494595" w14:textId="77777777" w:rsidR="002F30BD" w:rsidRPr="007A137C" w:rsidRDefault="002F30BD" w:rsidP="000B64EA">
            <w:pPr>
              <w:spacing w:after="0" w:line="240" w:lineRule="auto"/>
              <w:rPr>
                <w:rFonts w:ascii="Times New Roman" w:hAnsi="Times New Roman"/>
                <w:sz w:val="24"/>
                <w:szCs w:val="24"/>
              </w:rPr>
            </w:pPr>
            <w:r w:rsidRPr="007A137C">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676910" w:rsidRPr="007A137C" w14:paraId="5F73CA6F"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5E7286FE" w14:textId="56D54B66" w:rsidR="002F30BD" w:rsidRPr="007A137C" w:rsidRDefault="002F30BD" w:rsidP="00235597">
            <w:pPr>
              <w:rPr>
                <w:rFonts w:ascii="Times New Roman" w:hAnsi="Times New Roman"/>
              </w:rPr>
            </w:pPr>
            <w:r w:rsidRPr="007A137C">
              <w:rPr>
                <w:rFonts w:ascii="Times New Roman" w:hAnsi="Times New Roman"/>
              </w:rPr>
              <w:t xml:space="preserve">Komisijas regulas Nr.702/2014 14.panta 6.punkta </w:t>
            </w:r>
            <w:r w:rsidR="000E7E1F">
              <w:rPr>
                <w:rFonts w:ascii="Times New Roman" w:hAnsi="Times New Roman"/>
              </w:rPr>
              <w:t>„</w:t>
            </w:r>
            <w:r w:rsidRPr="007A137C">
              <w:rPr>
                <w:rFonts w:ascii="Times New Roman" w:hAnsi="Times New Roman"/>
              </w:rPr>
              <w:t>a</w:t>
            </w:r>
            <w:r w:rsidR="000E7E1F">
              <w:rPr>
                <w:rFonts w:ascii="Times New Roman" w:hAnsi="Times New Roman"/>
              </w:rPr>
              <w:t>”,</w:t>
            </w:r>
            <w:r w:rsidRPr="007A137C">
              <w:rPr>
                <w:rFonts w:ascii="Times New Roman" w:hAnsi="Times New Roman"/>
              </w:rPr>
              <w:t xml:space="preserve"> </w:t>
            </w:r>
            <w:r w:rsidR="000E7E1F">
              <w:rPr>
                <w:rFonts w:ascii="Times New Roman" w:hAnsi="Times New Roman"/>
              </w:rPr>
              <w:t>„</w:t>
            </w:r>
            <w:r w:rsidRPr="007A137C">
              <w:rPr>
                <w:rFonts w:ascii="Times New Roman" w:hAnsi="Times New Roman"/>
              </w:rPr>
              <w:t>b</w:t>
            </w:r>
            <w:r w:rsidR="000E7E1F">
              <w:rPr>
                <w:rFonts w:ascii="Times New Roman" w:hAnsi="Times New Roman"/>
              </w:rPr>
              <w:t xml:space="preserve"> ”</w:t>
            </w:r>
            <w:r w:rsidRPr="007A137C">
              <w:rPr>
                <w:rFonts w:ascii="Times New Roman" w:hAnsi="Times New Roman"/>
              </w:rPr>
              <w:t xml:space="preserve"> un </w:t>
            </w:r>
            <w:r w:rsidR="000E7E1F">
              <w:rPr>
                <w:rFonts w:ascii="Times New Roman" w:hAnsi="Times New Roman"/>
              </w:rPr>
              <w:t>„</w:t>
            </w:r>
            <w:r w:rsidRPr="007A137C">
              <w:rPr>
                <w:rFonts w:ascii="Times New Roman" w:hAnsi="Times New Roman"/>
              </w:rPr>
              <w:t>d</w:t>
            </w:r>
            <w:r w:rsidR="000E7E1F">
              <w:rPr>
                <w:rFonts w:ascii="Times New Roman" w:hAnsi="Times New Roman"/>
              </w:rPr>
              <w:t>”</w:t>
            </w:r>
            <w:r w:rsidRPr="007A137C">
              <w:rPr>
                <w:rFonts w:ascii="Times New Roman" w:hAnsi="Times New Roman"/>
              </w:rPr>
              <w:t xml:space="preserve"> apakšpunkts, 12.punkta </w:t>
            </w:r>
            <w:r w:rsidR="000E7E1F">
              <w:rPr>
                <w:rFonts w:ascii="Times New Roman" w:hAnsi="Times New Roman"/>
              </w:rPr>
              <w:t>„</w:t>
            </w:r>
            <w:r w:rsidRPr="007A137C">
              <w:rPr>
                <w:rFonts w:ascii="Times New Roman" w:hAnsi="Times New Roman"/>
              </w:rPr>
              <w:t>c</w:t>
            </w:r>
            <w:r w:rsidR="000E7E1F">
              <w:rPr>
                <w:rFonts w:ascii="Times New Roman" w:hAnsi="Times New Roman"/>
              </w:rPr>
              <w:t>”</w:t>
            </w:r>
            <w:r w:rsidRPr="007A137C">
              <w:rPr>
                <w:rFonts w:ascii="Times New Roman" w:hAnsi="Times New Roman"/>
              </w:rPr>
              <w:t xml:space="preserve"> apakšpunkts un 13.punkts </w:t>
            </w:r>
          </w:p>
        </w:tc>
        <w:tc>
          <w:tcPr>
            <w:tcW w:w="2084" w:type="dxa"/>
            <w:gridSpan w:val="4"/>
            <w:tcBorders>
              <w:top w:val="outset" w:sz="6" w:space="0" w:color="auto"/>
              <w:left w:val="outset" w:sz="6" w:space="0" w:color="auto"/>
              <w:bottom w:val="outset" w:sz="6" w:space="0" w:color="auto"/>
              <w:right w:val="outset" w:sz="6" w:space="0" w:color="auto"/>
            </w:tcBorders>
          </w:tcPr>
          <w:p w14:paraId="6AB1B508" w14:textId="4FBA7D2B" w:rsidR="002F30BD" w:rsidRPr="007A137C" w:rsidRDefault="002F30BD" w:rsidP="00235597">
            <w:pPr>
              <w:rPr>
                <w:rFonts w:ascii="Times New Roman" w:hAnsi="Times New Roman"/>
              </w:rPr>
            </w:pPr>
            <w:r w:rsidRPr="007A137C">
              <w:rPr>
                <w:rFonts w:ascii="Times New Roman" w:hAnsi="Times New Roman"/>
              </w:rPr>
              <w:t>Noteikumu projekta 1.pielikuma 1.punkts un 5.1., 5.2., 5.3., 8.1.</w:t>
            </w:r>
            <w:r w:rsidR="000E7E1F">
              <w:rPr>
                <w:rFonts w:ascii="Times New Roman" w:hAnsi="Times New Roman"/>
              </w:rPr>
              <w:t xml:space="preserve"> un</w:t>
            </w:r>
            <w:r w:rsidRPr="007A137C">
              <w:rPr>
                <w:rFonts w:ascii="Times New Roman" w:hAnsi="Times New Roman"/>
              </w:rPr>
              <w:t xml:space="preserve"> 8.4.apakšpunkts un 1.piezīme</w:t>
            </w:r>
          </w:p>
        </w:tc>
        <w:tc>
          <w:tcPr>
            <w:tcW w:w="2594" w:type="dxa"/>
            <w:gridSpan w:val="3"/>
            <w:tcBorders>
              <w:top w:val="outset" w:sz="6" w:space="0" w:color="auto"/>
              <w:left w:val="outset" w:sz="6" w:space="0" w:color="auto"/>
              <w:bottom w:val="outset" w:sz="6" w:space="0" w:color="auto"/>
              <w:right w:val="outset" w:sz="6" w:space="0" w:color="auto"/>
            </w:tcBorders>
          </w:tcPr>
          <w:p w14:paraId="3E7AF04A" w14:textId="77777777" w:rsidR="002F30BD" w:rsidRPr="007A137C" w:rsidRDefault="002F30BD" w:rsidP="000B64EA">
            <w:pPr>
              <w:rPr>
                <w:rFonts w:ascii="Times New Roman" w:hAnsi="Times New Roman"/>
              </w:rPr>
            </w:pPr>
            <w:r w:rsidRPr="007A137C">
              <w:rPr>
                <w:rFonts w:ascii="Times New Roman" w:hAnsi="Times New Roman"/>
              </w:rPr>
              <w:t>Komisijas R</w:t>
            </w:r>
            <w:r w:rsidRPr="007A137C">
              <w:rPr>
                <w:rFonts w:ascii="Times New Roman" w:hAnsi="Times New Roman"/>
                <w:spacing w:val="-2"/>
              </w:rPr>
              <w:t>egulas Nr.702/2014 prasības tiek ieviestas pilnībā.</w:t>
            </w:r>
          </w:p>
        </w:tc>
        <w:tc>
          <w:tcPr>
            <w:tcW w:w="2610" w:type="dxa"/>
            <w:gridSpan w:val="2"/>
            <w:tcBorders>
              <w:top w:val="outset" w:sz="6" w:space="0" w:color="auto"/>
              <w:left w:val="outset" w:sz="6" w:space="0" w:color="auto"/>
              <w:bottom w:val="outset" w:sz="6" w:space="0" w:color="auto"/>
            </w:tcBorders>
          </w:tcPr>
          <w:p w14:paraId="0D610E71" w14:textId="77777777" w:rsidR="002F30BD" w:rsidRPr="007A137C" w:rsidRDefault="002F30BD" w:rsidP="000B64EA">
            <w:pPr>
              <w:rPr>
                <w:rFonts w:ascii="Times New Roman" w:hAnsi="Times New Roman"/>
              </w:rPr>
            </w:pPr>
            <w:r w:rsidRPr="007A137C">
              <w:rPr>
                <w:rFonts w:ascii="Times New Roman" w:hAnsi="Times New Roman"/>
                <w:spacing w:val="-2"/>
              </w:rPr>
              <w:t>Noteikumu projekta vienības neparedz stingrākas prasības kā šīs tabulas A ailē minētās ES tiesību akta vienības.</w:t>
            </w:r>
          </w:p>
        </w:tc>
      </w:tr>
      <w:tr w:rsidR="00676910" w:rsidRPr="007A137C" w14:paraId="013E4480"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7829E5CE" w14:textId="48B397F8" w:rsidR="002F30BD" w:rsidRPr="007A137C" w:rsidRDefault="002F30BD" w:rsidP="00235597">
            <w:pPr>
              <w:rPr>
                <w:rFonts w:ascii="Times New Roman" w:hAnsi="Times New Roman"/>
              </w:rPr>
            </w:pPr>
            <w:r w:rsidRPr="007A137C">
              <w:rPr>
                <w:rFonts w:ascii="Times New Roman" w:hAnsi="Times New Roman"/>
              </w:rPr>
              <w:lastRenderedPageBreak/>
              <w:t xml:space="preserve">Komisijas regulas Nr.702/2014 17.panta 5.punkta </w:t>
            </w:r>
            <w:r w:rsidR="000E7E1F">
              <w:rPr>
                <w:rFonts w:ascii="Times New Roman" w:hAnsi="Times New Roman"/>
              </w:rPr>
              <w:t>„</w:t>
            </w:r>
            <w:r w:rsidRPr="007A137C">
              <w:rPr>
                <w:rFonts w:ascii="Times New Roman" w:hAnsi="Times New Roman"/>
              </w:rPr>
              <w:t>a</w:t>
            </w:r>
            <w:r w:rsidR="000E7E1F">
              <w:rPr>
                <w:rFonts w:ascii="Times New Roman" w:hAnsi="Times New Roman"/>
              </w:rPr>
              <w:t>”</w:t>
            </w:r>
            <w:r w:rsidRPr="007A137C">
              <w:rPr>
                <w:rFonts w:ascii="Times New Roman" w:hAnsi="Times New Roman"/>
              </w:rPr>
              <w:t xml:space="preserve">, </w:t>
            </w:r>
            <w:r w:rsidR="000E7E1F">
              <w:rPr>
                <w:rFonts w:ascii="Times New Roman" w:hAnsi="Times New Roman"/>
              </w:rPr>
              <w:t>„</w:t>
            </w:r>
            <w:r w:rsidRPr="007A137C">
              <w:rPr>
                <w:rFonts w:ascii="Times New Roman" w:hAnsi="Times New Roman"/>
              </w:rPr>
              <w:t>b</w:t>
            </w:r>
            <w:r w:rsidR="000E7E1F">
              <w:rPr>
                <w:rFonts w:ascii="Times New Roman" w:hAnsi="Times New Roman"/>
              </w:rPr>
              <w:t>”</w:t>
            </w:r>
            <w:r w:rsidRPr="007A137C">
              <w:rPr>
                <w:rFonts w:ascii="Times New Roman" w:hAnsi="Times New Roman"/>
              </w:rPr>
              <w:t xml:space="preserve"> un </w:t>
            </w:r>
            <w:r w:rsidR="000E7E1F">
              <w:rPr>
                <w:rFonts w:ascii="Times New Roman" w:hAnsi="Times New Roman"/>
              </w:rPr>
              <w:t>„</w:t>
            </w:r>
            <w:r w:rsidRPr="007A137C">
              <w:rPr>
                <w:rFonts w:ascii="Times New Roman" w:hAnsi="Times New Roman"/>
              </w:rPr>
              <w:t>d</w:t>
            </w:r>
            <w:r w:rsidR="000E7E1F">
              <w:rPr>
                <w:rFonts w:ascii="Times New Roman" w:hAnsi="Times New Roman"/>
              </w:rPr>
              <w:t xml:space="preserve">” </w:t>
            </w:r>
            <w:r w:rsidRPr="007A137C">
              <w:rPr>
                <w:rFonts w:ascii="Times New Roman" w:hAnsi="Times New Roman"/>
              </w:rPr>
              <w:t xml:space="preserve">apakšpunkts, 9.punkta </w:t>
            </w:r>
            <w:r w:rsidR="000E7E1F">
              <w:rPr>
                <w:rFonts w:ascii="Times New Roman" w:hAnsi="Times New Roman"/>
              </w:rPr>
              <w:t>„</w:t>
            </w:r>
            <w:r w:rsidRPr="007A137C">
              <w:rPr>
                <w:rFonts w:ascii="Times New Roman" w:hAnsi="Times New Roman"/>
              </w:rPr>
              <w:t>c</w:t>
            </w:r>
            <w:r w:rsidR="000E7E1F">
              <w:rPr>
                <w:rFonts w:ascii="Times New Roman" w:hAnsi="Times New Roman"/>
              </w:rPr>
              <w:t xml:space="preserve">” </w:t>
            </w:r>
            <w:r w:rsidRPr="007A137C">
              <w:rPr>
                <w:rFonts w:ascii="Times New Roman" w:hAnsi="Times New Roman"/>
              </w:rPr>
              <w:t xml:space="preserve">apakšpunkts un 10.punkts </w:t>
            </w:r>
          </w:p>
        </w:tc>
        <w:tc>
          <w:tcPr>
            <w:tcW w:w="2084" w:type="dxa"/>
            <w:gridSpan w:val="4"/>
            <w:tcBorders>
              <w:top w:val="outset" w:sz="6" w:space="0" w:color="auto"/>
              <w:left w:val="outset" w:sz="6" w:space="0" w:color="auto"/>
              <w:bottom w:val="outset" w:sz="6" w:space="0" w:color="auto"/>
              <w:right w:val="outset" w:sz="6" w:space="0" w:color="auto"/>
            </w:tcBorders>
          </w:tcPr>
          <w:p w14:paraId="7A61F5BC" w14:textId="77777777" w:rsidR="002F30BD" w:rsidRPr="007A137C" w:rsidRDefault="002F30BD" w:rsidP="00235597">
            <w:pPr>
              <w:rPr>
                <w:rFonts w:ascii="Times New Roman" w:hAnsi="Times New Roman"/>
              </w:rPr>
            </w:pPr>
            <w:r w:rsidRPr="007A137C">
              <w:rPr>
                <w:rFonts w:ascii="Times New Roman" w:hAnsi="Times New Roman"/>
              </w:rPr>
              <w:t>Noteikumu projekta 1.pielikuma 2.punkts un 2.piezīme</w:t>
            </w:r>
          </w:p>
        </w:tc>
        <w:tc>
          <w:tcPr>
            <w:tcW w:w="2594" w:type="dxa"/>
            <w:gridSpan w:val="3"/>
            <w:tcBorders>
              <w:top w:val="outset" w:sz="6" w:space="0" w:color="auto"/>
              <w:left w:val="outset" w:sz="6" w:space="0" w:color="auto"/>
              <w:bottom w:val="outset" w:sz="6" w:space="0" w:color="auto"/>
              <w:right w:val="outset" w:sz="6" w:space="0" w:color="auto"/>
            </w:tcBorders>
          </w:tcPr>
          <w:p w14:paraId="1B1D2EB3" w14:textId="77777777" w:rsidR="002F30BD" w:rsidRPr="007A137C" w:rsidRDefault="002F30BD" w:rsidP="000B64EA">
            <w:pPr>
              <w:rPr>
                <w:rFonts w:ascii="Times New Roman" w:hAnsi="Times New Roman"/>
              </w:rPr>
            </w:pPr>
            <w:r w:rsidRPr="007A137C">
              <w:rPr>
                <w:rFonts w:ascii="Times New Roman" w:hAnsi="Times New Roman"/>
              </w:rPr>
              <w:t>Komisijas R</w:t>
            </w:r>
            <w:r w:rsidRPr="007A137C">
              <w:rPr>
                <w:rFonts w:ascii="Times New Roman" w:hAnsi="Times New Roman"/>
                <w:spacing w:val="-2"/>
              </w:rPr>
              <w:t>egulas Nr.702/2014 prasības tiek ieviestas pilnībā.</w:t>
            </w:r>
          </w:p>
        </w:tc>
        <w:tc>
          <w:tcPr>
            <w:tcW w:w="2610" w:type="dxa"/>
            <w:gridSpan w:val="2"/>
            <w:tcBorders>
              <w:top w:val="outset" w:sz="6" w:space="0" w:color="auto"/>
              <w:left w:val="outset" w:sz="6" w:space="0" w:color="auto"/>
              <w:bottom w:val="outset" w:sz="6" w:space="0" w:color="auto"/>
            </w:tcBorders>
          </w:tcPr>
          <w:p w14:paraId="4995572D" w14:textId="77777777" w:rsidR="002F30BD" w:rsidRPr="007A137C" w:rsidRDefault="002F30BD" w:rsidP="000B64EA">
            <w:pPr>
              <w:rPr>
                <w:rFonts w:ascii="Times New Roman" w:hAnsi="Times New Roman"/>
              </w:rPr>
            </w:pPr>
            <w:r w:rsidRPr="007A137C">
              <w:rPr>
                <w:rFonts w:ascii="Times New Roman" w:hAnsi="Times New Roman"/>
                <w:spacing w:val="-2"/>
              </w:rPr>
              <w:t>Noteikumu projekta vienības neparedz stingrākas prasības kā šīs tabulas A ailē minētās ES tiesību akta vienības.</w:t>
            </w:r>
          </w:p>
        </w:tc>
      </w:tr>
      <w:tr w:rsidR="00676910" w:rsidRPr="007A137C" w14:paraId="68844119"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4CD68C3C" w14:textId="77777777" w:rsidR="002F30BD" w:rsidRPr="007A137C" w:rsidRDefault="002F30BD" w:rsidP="000B64EA">
            <w:pPr>
              <w:rPr>
                <w:rFonts w:ascii="Times New Roman" w:hAnsi="Times New Roman"/>
              </w:rPr>
            </w:pPr>
            <w:r w:rsidRPr="007A137C">
              <w:rPr>
                <w:rFonts w:ascii="Times New Roman" w:hAnsi="Times New Roman"/>
              </w:rPr>
              <w:t>Komisijas Regulas Nr.702/2014 18.panta 7.punkts</w:t>
            </w:r>
          </w:p>
        </w:tc>
        <w:tc>
          <w:tcPr>
            <w:tcW w:w="2084" w:type="dxa"/>
            <w:gridSpan w:val="4"/>
            <w:tcBorders>
              <w:top w:val="outset" w:sz="6" w:space="0" w:color="auto"/>
              <w:left w:val="outset" w:sz="6" w:space="0" w:color="auto"/>
              <w:bottom w:val="outset" w:sz="6" w:space="0" w:color="auto"/>
              <w:right w:val="outset" w:sz="6" w:space="0" w:color="auto"/>
            </w:tcBorders>
          </w:tcPr>
          <w:p w14:paraId="5DCEBA4E" w14:textId="77777777" w:rsidR="002F30BD" w:rsidRPr="007A137C" w:rsidRDefault="002F30BD" w:rsidP="00235597">
            <w:pPr>
              <w:rPr>
                <w:rFonts w:ascii="Times New Roman" w:hAnsi="Times New Roman"/>
              </w:rPr>
            </w:pPr>
            <w:r w:rsidRPr="007A137C">
              <w:rPr>
                <w:rFonts w:ascii="Times New Roman" w:hAnsi="Times New Roman"/>
              </w:rPr>
              <w:t>Noteikumu projekta 1.pielikuma 3.punkts</w:t>
            </w:r>
          </w:p>
        </w:tc>
        <w:tc>
          <w:tcPr>
            <w:tcW w:w="2594" w:type="dxa"/>
            <w:gridSpan w:val="3"/>
            <w:tcBorders>
              <w:top w:val="outset" w:sz="6" w:space="0" w:color="auto"/>
              <w:left w:val="outset" w:sz="6" w:space="0" w:color="auto"/>
              <w:bottom w:val="outset" w:sz="6" w:space="0" w:color="auto"/>
              <w:right w:val="outset" w:sz="6" w:space="0" w:color="auto"/>
            </w:tcBorders>
          </w:tcPr>
          <w:p w14:paraId="5ECE25D7" w14:textId="77777777" w:rsidR="002F30BD" w:rsidRPr="007A137C" w:rsidRDefault="002F30BD" w:rsidP="000B64EA">
            <w:r w:rsidRPr="007A137C">
              <w:rPr>
                <w:rFonts w:ascii="Times New Roman" w:hAnsi="Times New Roman"/>
              </w:rPr>
              <w:t>Komisijas R</w:t>
            </w:r>
            <w:r w:rsidRPr="007A137C">
              <w:rPr>
                <w:rFonts w:ascii="Times New Roman" w:hAnsi="Times New Roman"/>
                <w:spacing w:val="-2"/>
              </w:rPr>
              <w:t>egulas Nr.702/2014 prasības tiek ieviestas pilnībā.</w:t>
            </w:r>
          </w:p>
        </w:tc>
        <w:tc>
          <w:tcPr>
            <w:tcW w:w="2610" w:type="dxa"/>
            <w:gridSpan w:val="2"/>
            <w:tcBorders>
              <w:top w:val="outset" w:sz="6" w:space="0" w:color="auto"/>
              <w:left w:val="outset" w:sz="6" w:space="0" w:color="auto"/>
              <w:bottom w:val="outset" w:sz="6" w:space="0" w:color="auto"/>
            </w:tcBorders>
          </w:tcPr>
          <w:p w14:paraId="258E8B57" w14:textId="77777777" w:rsidR="002F30BD" w:rsidRPr="007A137C" w:rsidRDefault="002F30BD" w:rsidP="000B64EA">
            <w:pPr>
              <w:rPr>
                <w:rFonts w:ascii="Times New Roman" w:hAnsi="Times New Roman"/>
              </w:rPr>
            </w:pPr>
            <w:r w:rsidRPr="007A137C">
              <w:rPr>
                <w:rFonts w:ascii="Times New Roman" w:hAnsi="Times New Roman"/>
                <w:spacing w:val="-2"/>
              </w:rPr>
              <w:t>Noteikumu projekta vienības neparedz stingrākas prasības kā šīs tabulas A ailē minētās ES tiesību akta vienības.</w:t>
            </w:r>
          </w:p>
        </w:tc>
      </w:tr>
      <w:tr w:rsidR="00676910" w:rsidRPr="007A137C" w14:paraId="59F0832D"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34C25AA3" w14:textId="77777777" w:rsidR="002F30BD" w:rsidRPr="007A137C" w:rsidRDefault="002F30BD" w:rsidP="000B64EA">
            <w:pPr>
              <w:rPr>
                <w:rFonts w:ascii="Times New Roman" w:hAnsi="Times New Roman"/>
              </w:rPr>
            </w:pPr>
            <w:r w:rsidRPr="007A137C">
              <w:rPr>
                <w:rFonts w:ascii="Times New Roman" w:hAnsi="Times New Roman"/>
              </w:rPr>
              <w:t xml:space="preserve">Komisijas Regulas Nr.702/2014 21.panta 3. un 8.punkts </w:t>
            </w:r>
          </w:p>
        </w:tc>
        <w:tc>
          <w:tcPr>
            <w:tcW w:w="2084" w:type="dxa"/>
            <w:gridSpan w:val="4"/>
            <w:tcBorders>
              <w:top w:val="outset" w:sz="6" w:space="0" w:color="auto"/>
              <w:left w:val="outset" w:sz="6" w:space="0" w:color="auto"/>
              <w:bottom w:val="outset" w:sz="6" w:space="0" w:color="auto"/>
              <w:right w:val="outset" w:sz="6" w:space="0" w:color="auto"/>
            </w:tcBorders>
          </w:tcPr>
          <w:p w14:paraId="1F1BF10A" w14:textId="77777777" w:rsidR="002F30BD" w:rsidRPr="007A137C" w:rsidRDefault="002F30BD" w:rsidP="00235597">
            <w:pPr>
              <w:rPr>
                <w:rFonts w:ascii="Times New Roman" w:hAnsi="Times New Roman"/>
              </w:rPr>
            </w:pPr>
            <w:r w:rsidRPr="007A137C">
              <w:rPr>
                <w:rFonts w:ascii="Times New Roman" w:hAnsi="Times New Roman"/>
              </w:rPr>
              <w:t>Noteikumu projekta 1.pielikuma 4.punkts</w:t>
            </w:r>
          </w:p>
        </w:tc>
        <w:tc>
          <w:tcPr>
            <w:tcW w:w="2594" w:type="dxa"/>
            <w:gridSpan w:val="3"/>
            <w:tcBorders>
              <w:top w:val="outset" w:sz="6" w:space="0" w:color="auto"/>
              <w:left w:val="outset" w:sz="6" w:space="0" w:color="auto"/>
              <w:bottom w:val="outset" w:sz="6" w:space="0" w:color="auto"/>
              <w:right w:val="outset" w:sz="6" w:space="0" w:color="auto"/>
            </w:tcBorders>
          </w:tcPr>
          <w:p w14:paraId="0DFACD99" w14:textId="77777777" w:rsidR="002F30BD" w:rsidRPr="007A137C" w:rsidRDefault="002F30BD" w:rsidP="000B64EA">
            <w:r w:rsidRPr="007A137C">
              <w:rPr>
                <w:rFonts w:ascii="Times New Roman" w:hAnsi="Times New Roman"/>
              </w:rPr>
              <w:t>Komisijas R</w:t>
            </w:r>
            <w:r w:rsidRPr="007A137C">
              <w:rPr>
                <w:rFonts w:ascii="Times New Roman" w:hAnsi="Times New Roman"/>
                <w:spacing w:val="-2"/>
              </w:rPr>
              <w:t>egulas Nr.702/2014 prasības tiek ieviestas pilnībā.</w:t>
            </w:r>
          </w:p>
        </w:tc>
        <w:tc>
          <w:tcPr>
            <w:tcW w:w="2610" w:type="dxa"/>
            <w:gridSpan w:val="2"/>
            <w:tcBorders>
              <w:top w:val="outset" w:sz="6" w:space="0" w:color="auto"/>
              <w:left w:val="outset" w:sz="6" w:space="0" w:color="auto"/>
              <w:bottom w:val="outset" w:sz="6" w:space="0" w:color="auto"/>
            </w:tcBorders>
          </w:tcPr>
          <w:p w14:paraId="69AE2C90" w14:textId="77777777" w:rsidR="002F30BD" w:rsidRPr="007A137C" w:rsidRDefault="002F30BD" w:rsidP="000B64EA">
            <w:pPr>
              <w:rPr>
                <w:rFonts w:ascii="Times New Roman" w:hAnsi="Times New Roman"/>
              </w:rPr>
            </w:pPr>
            <w:r w:rsidRPr="007A137C">
              <w:rPr>
                <w:rFonts w:ascii="Times New Roman" w:hAnsi="Times New Roman"/>
                <w:spacing w:val="-2"/>
              </w:rPr>
              <w:t>Noteikumu projekta vienības neparedz stingrākas prasības kā šīs tabulas A ailē minētās ES tiesību akta vienības.</w:t>
            </w:r>
          </w:p>
        </w:tc>
      </w:tr>
      <w:tr w:rsidR="00676910" w:rsidRPr="007A137C" w14:paraId="1D2F19EC"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7AE540A4" w14:textId="4239C033" w:rsidR="002F30BD" w:rsidRPr="007A137C" w:rsidRDefault="002F30BD" w:rsidP="00235597">
            <w:pPr>
              <w:rPr>
                <w:rFonts w:ascii="Times New Roman" w:hAnsi="Times New Roman"/>
              </w:rPr>
            </w:pPr>
            <w:r w:rsidRPr="007A137C">
              <w:rPr>
                <w:rFonts w:ascii="Times New Roman" w:hAnsi="Times New Roman"/>
              </w:rPr>
              <w:t xml:space="preserve">Komisijas Regulas Nr.702/2014 40.panta 6.punkta </w:t>
            </w:r>
            <w:r w:rsidR="000E7E1F">
              <w:rPr>
                <w:rFonts w:ascii="Times New Roman" w:hAnsi="Times New Roman"/>
              </w:rPr>
              <w:t>„</w:t>
            </w:r>
            <w:r w:rsidRPr="007A137C">
              <w:rPr>
                <w:rFonts w:ascii="Times New Roman" w:hAnsi="Times New Roman"/>
              </w:rPr>
              <w:t>a</w:t>
            </w:r>
            <w:r w:rsidR="000E7E1F">
              <w:rPr>
                <w:rFonts w:ascii="Times New Roman" w:hAnsi="Times New Roman"/>
              </w:rPr>
              <w:t xml:space="preserve">” </w:t>
            </w:r>
            <w:r w:rsidRPr="007A137C">
              <w:rPr>
                <w:rFonts w:ascii="Times New Roman" w:hAnsi="Times New Roman"/>
              </w:rPr>
              <w:t xml:space="preserve">apakšpunkts, 8.punkts un 9.punkta </w:t>
            </w:r>
            <w:r w:rsidR="000E7E1F">
              <w:rPr>
                <w:rFonts w:ascii="Times New Roman" w:hAnsi="Times New Roman"/>
              </w:rPr>
              <w:t>„</w:t>
            </w:r>
            <w:r w:rsidRPr="007A137C">
              <w:rPr>
                <w:rFonts w:ascii="Times New Roman" w:hAnsi="Times New Roman"/>
              </w:rPr>
              <w:t>c</w:t>
            </w:r>
            <w:r w:rsidR="000E7E1F">
              <w:rPr>
                <w:rFonts w:ascii="Times New Roman" w:hAnsi="Times New Roman"/>
              </w:rPr>
              <w:t xml:space="preserve">” </w:t>
            </w:r>
            <w:r w:rsidRPr="007A137C">
              <w:rPr>
                <w:rFonts w:ascii="Times New Roman" w:hAnsi="Times New Roman"/>
              </w:rPr>
              <w:t xml:space="preserve">apakšpunkts. </w:t>
            </w:r>
          </w:p>
        </w:tc>
        <w:tc>
          <w:tcPr>
            <w:tcW w:w="2084" w:type="dxa"/>
            <w:gridSpan w:val="4"/>
            <w:tcBorders>
              <w:top w:val="outset" w:sz="6" w:space="0" w:color="auto"/>
              <w:left w:val="outset" w:sz="6" w:space="0" w:color="auto"/>
              <w:bottom w:val="outset" w:sz="6" w:space="0" w:color="auto"/>
              <w:right w:val="outset" w:sz="6" w:space="0" w:color="auto"/>
            </w:tcBorders>
          </w:tcPr>
          <w:p w14:paraId="47EDD7FA" w14:textId="77777777" w:rsidR="002F30BD" w:rsidRPr="007A137C" w:rsidRDefault="002F30BD" w:rsidP="00235597">
            <w:pPr>
              <w:rPr>
                <w:rFonts w:ascii="Times New Roman" w:hAnsi="Times New Roman"/>
              </w:rPr>
            </w:pPr>
            <w:r w:rsidRPr="007A137C">
              <w:rPr>
                <w:rFonts w:ascii="Times New Roman" w:hAnsi="Times New Roman"/>
              </w:rPr>
              <w:t>Noteikumu projekta 1.pielikuma 5.4.apakšpunkts</w:t>
            </w:r>
          </w:p>
          <w:p w14:paraId="0A836A2A" w14:textId="77777777" w:rsidR="002F30BD" w:rsidRPr="007A137C" w:rsidRDefault="002F30BD" w:rsidP="00235597">
            <w:pPr>
              <w:rPr>
                <w:rFonts w:ascii="Times New Roman" w:hAnsi="Times New Roman"/>
              </w:rPr>
            </w:pPr>
          </w:p>
        </w:tc>
        <w:tc>
          <w:tcPr>
            <w:tcW w:w="2594" w:type="dxa"/>
            <w:gridSpan w:val="3"/>
            <w:tcBorders>
              <w:top w:val="outset" w:sz="6" w:space="0" w:color="auto"/>
              <w:left w:val="outset" w:sz="6" w:space="0" w:color="auto"/>
              <w:bottom w:val="outset" w:sz="6" w:space="0" w:color="auto"/>
              <w:right w:val="outset" w:sz="6" w:space="0" w:color="auto"/>
            </w:tcBorders>
          </w:tcPr>
          <w:p w14:paraId="6E8C86A6" w14:textId="77777777" w:rsidR="002F30BD" w:rsidRPr="007A137C" w:rsidRDefault="002F30BD" w:rsidP="000B64EA">
            <w:pPr>
              <w:rPr>
                <w:rFonts w:ascii="Times New Roman" w:hAnsi="Times New Roman"/>
              </w:rPr>
            </w:pPr>
            <w:r w:rsidRPr="007A137C">
              <w:rPr>
                <w:rFonts w:ascii="Times New Roman" w:hAnsi="Times New Roman"/>
              </w:rPr>
              <w:t>Komisijas Regulas Nr.702/2014 prasības tiek ieviestas pilnībā.</w:t>
            </w:r>
          </w:p>
        </w:tc>
        <w:tc>
          <w:tcPr>
            <w:tcW w:w="2610" w:type="dxa"/>
            <w:gridSpan w:val="2"/>
            <w:tcBorders>
              <w:top w:val="outset" w:sz="6" w:space="0" w:color="auto"/>
              <w:left w:val="outset" w:sz="6" w:space="0" w:color="auto"/>
              <w:bottom w:val="outset" w:sz="6" w:space="0" w:color="auto"/>
            </w:tcBorders>
          </w:tcPr>
          <w:p w14:paraId="201693C1" w14:textId="77777777" w:rsidR="002F30BD" w:rsidRPr="007A137C" w:rsidRDefault="002F30BD" w:rsidP="000B64EA">
            <w:pPr>
              <w:rPr>
                <w:rFonts w:ascii="Times New Roman" w:hAnsi="Times New Roman"/>
              </w:rPr>
            </w:pPr>
            <w:r w:rsidRPr="007A137C">
              <w:rPr>
                <w:rFonts w:ascii="Times New Roman" w:hAnsi="Times New Roman"/>
              </w:rPr>
              <w:t>Noteikumu projekta vienības neparedz stingrākas prasības kā šīs tabulas A ailē minētās ES tiesību akta vienības.</w:t>
            </w:r>
          </w:p>
        </w:tc>
      </w:tr>
      <w:tr w:rsidR="00676910" w:rsidRPr="007A137C" w14:paraId="3373207A"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33023F2A" w14:textId="77777777" w:rsidR="002F30BD" w:rsidRPr="007A137C" w:rsidRDefault="002F30BD" w:rsidP="000B64EA">
            <w:pPr>
              <w:rPr>
                <w:rFonts w:ascii="Times New Roman" w:hAnsi="Times New Roman"/>
              </w:rPr>
            </w:pPr>
            <w:r w:rsidRPr="007A137C">
              <w:rPr>
                <w:rFonts w:ascii="Times New Roman" w:hAnsi="Times New Roman"/>
              </w:rPr>
              <w:t>Komisijas Regulas Nr.702/2014 I pielikums</w:t>
            </w:r>
          </w:p>
        </w:tc>
        <w:tc>
          <w:tcPr>
            <w:tcW w:w="2084" w:type="dxa"/>
            <w:gridSpan w:val="4"/>
            <w:tcBorders>
              <w:top w:val="outset" w:sz="6" w:space="0" w:color="auto"/>
              <w:left w:val="outset" w:sz="6" w:space="0" w:color="auto"/>
              <w:bottom w:val="outset" w:sz="6" w:space="0" w:color="auto"/>
              <w:right w:val="outset" w:sz="6" w:space="0" w:color="auto"/>
            </w:tcBorders>
          </w:tcPr>
          <w:p w14:paraId="783DEC38" w14:textId="77777777" w:rsidR="002F30BD" w:rsidRPr="007A137C" w:rsidRDefault="002F30BD" w:rsidP="00235597">
            <w:pPr>
              <w:rPr>
                <w:rFonts w:ascii="Times New Roman" w:hAnsi="Times New Roman"/>
              </w:rPr>
            </w:pPr>
            <w:r w:rsidRPr="007A137C">
              <w:rPr>
                <w:rFonts w:ascii="Times New Roman" w:hAnsi="Times New Roman"/>
              </w:rPr>
              <w:t xml:space="preserve">Noteikumu projekta 5.5.apakšpunkts un 1.pielikuma 6. piezīme </w:t>
            </w:r>
          </w:p>
        </w:tc>
        <w:tc>
          <w:tcPr>
            <w:tcW w:w="2594" w:type="dxa"/>
            <w:gridSpan w:val="3"/>
            <w:tcBorders>
              <w:top w:val="outset" w:sz="6" w:space="0" w:color="auto"/>
              <w:left w:val="outset" w:sz="6" w:space="0" w:color="auto"/>
              <w:bottom w:val="outset" w:sz="6" w:space="0" w:color="auto"/>
              <w:right w:val="outset" w:sz="6" w:space="0" w:color="auto"/>
            </w:tcBorders>
          </w:tcPr>
          <w:p w14:paraId="7A9C28DC" w14:textId="77777777" w:rsidR="002F30BD" w:rsidRPr="007A137C" w:rsidRDefault="002F30BD" w:rsidP="000B64EA">
            <w:pPr>
              <w:rPr>
                <w:rFonts w:ascii="Times New Roman" w:hAnsi="Times New Roman"/>
              </w:rPr>
            </w:pPr>
            <w:r w:rsidRPr="007A137C">
              <w:rPr>
                <w:rFonts w:ascii="Times New Roman" w:hAnsi="Times New Roman"/>
              </w:rPr>
              <w:t>Komisijas Regulas Nr.702/2014 prasības tiek ieviestas pilnībā.</w:t>
            </w:r>
          </w:p>
        </w:tc>
        <w:tc>
          <w:tcPr>
            <w:tcW w:w="2610" w:type="dxa"/>
            <w:gridSpan w:val="2"/>
            <w:tcBorders>
              <w:top w:val="outset" w:sz="6" w:space="0" w:color="auto"/>
              <w:left w:val="outset" w:sz="6" w:space="0" w:color="auto"/>
              <w:bottom w:val="outset" w:sz="6" w:space="0" w:color="auto"/>
            </w:tcBorders>
          </w:tcPr>
          <w:p w14:paraId="53D87E53" w14:textId="77777777" w:rsidR="002F30BD" w:rsidRPr="007A137C" w:rsidRDefault="002F30BD" w:rsidP="000B64EA">
            <w:pPr>
              <w:rPr>
                <w:rFonts w:ascii="Times New Roman" w:hAnsi="Times New Roman"/>
              </w:rPr>
            </w:pPr>
            <w:r w:rsidRPr="007A137C">
              <w:rPr>
                <w:rFonts w:ascii="Times New Roman" w:hAnsi="Times New Roman"/>
              </w:rPr>
              <w:t>Noteikumu projekta vienības neparedz stingrākas prasības kā šīs tabulas A ailē minētās ES tiesību akta vienības.</w:t>
            </w:r>
          </w:p>
        </w:tc>
      </w:tr>
      <w:tr w:rsidR="00676910" w:rsidRPr="007A137C" w14:paraId="1325CA93"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62B1B87E" w14:textId="77777777" w:rsidR="002F30BD" w:rsidRPr="007A137C" w:rsidRDefault="002F30BD" w:rsidP="00235597">
            <w:pPr>
              <w:rPr>
                <w:rFonts w:ascii="Times New Roman" w:hAnsi="Times New Roman"/>
              </w:rPr>
            </w:pPr>
            <w:r w:rsidRPr="007A137C">
              <w:rPr>
                <w:rFonts w:ascii="Times New Roman" w:hAnsi="Times New Roman"/>
              </w:rPr>
              <w:t xml:space="preserve">Komisijas Regulas Nr.702/2014 6.panta 2. un 3.punkts </w:t>
            </w:r>
          </w:p>
        </w:tc>
        <w:tc>
          <w:tcPr>
            <w:tcW w:w="2084" w:type="dxa"/>
            <w:gridSpan w:val="4"/>
            <w:tcBorders>
              <w:top w:val="outset" w:sz="6" w:space="0" w:color="auto"/>
              <w:left w:val="outset" w:sz="6" w:space="0" w:color="auto"/>
              <w:bottom w:val="outset" w:sz="6" w:space="0" w:color="auto"/>
              <w:right w:val="outset" w:sz="6" w:space="0" w:color="auto"/>
            </w:tcBorders>
          </w:tcPr>
          <w:p w14:paraId="56FFA140" w14:textId="77777777" w:rsidR="002F30BD" w:rsidRPr="007A137C" w:rsidRDefault="002F30BD" w:rsidP="000B64EA">
            <w:pPr>
              <w:rPr>
                <w:rFonts w:ascii="Times New Roman" w:hAnsi="Times New Roman"/>
              </w:rPr>
            </w:pPr>
            <w:r w:rsidRPr="007A137C">
              <w:rPr>
                <w:rFonts w:ascii="Times New Roman" w:hAnsi="Times New Roman"/>
              </w:rPr>
              <w:t>Noteikumu projekta 5.4.apakšpunkts</w:t>
            </w:r>
          </w:p>
        </w:tc>
        <w:tc>
          <w:tcPr>
            <w:tcW w:w="2594" w:type="dxa"/>
            <w:gridSpan w:val="3"/>
            <w:tcBorders>
              <w:top w:val="outset" w:sz="6" w:space="0" w:color="auto"/>
              <w:left w:val="outset" w:sz="6" w:space="0" w:color="auto"/>
              <w:bottom w:val="outset" w:sz="6" w:space="0" w:color="auto"/>
              <w:right w:val="outset" w:sz="6" w:space="0" w:color="auto"/>
            </w:tcBorders>
          </w:tcPr>
          <w:p w14:paraId="27D9E82C" w14:textId="77777777" w:rsidR="002F30BD" w:rsidRPr="007A137C" w:rsidRDefault="002F30BD" w:rsidP="00203935">
            <w:pPr>
              <w:rPr>
                <w:rFonts w:ascii="Times New Roman" w:hAnsi="Times New Roman"/>
              </w:rPr>
            </w:pPr>
            <w:r w:rsidRPr="007A137C">
              <w:rPr>
                <w:rFonts w:ascii="Times New Roman" w:hAnsi="Times New Roman"/>
              </w:rPr>
              <w:t>Komisijas Regulas Nr.702/2014 prasības tiek ieviestas pilnībā.</w:t>
            </w:r>
          </w:p>
        </w:tc>
        <w:tc>
          <w:tcPr>
            <w:tcW w:w="2610" w:type="dxa"/>
            <w:gridSpan w:val="2"/>
            <w:tcBorders>
              <w:top w:val="outset" w:sz="6" w:space="0" w:color="auto"/>
              <w:left w:val="outset" w:sz="6" w:space="0" w:color="auto"/>
              <w:bottom w:val="outset" w:sz="6" w:space="0" w:color="auto"/>
            </w:tcBorders>
          </w:tcPr>
          <w:p w14:paraId="6DACA43E" w14:textId="77777777" w:rsidR="002F30BD" w:rsidRPr="007A137C" w:rsidRDefault="002F30BD" w:rsidP="00203935">
            <w:pPr>
              <w:rPr>
                <w:rFonts w:ascii="Times New Roman" w:hAnsi="Times New Roman"/>
              </w:rPr>
            </w:pPr>
            <w:r w:rsidRPr="007A137C">
              <w:rPr>
                <w:rFonts w:ascii="Times New Roman" w:hAnsi="Times New Roman"/>
              </w:rPr>
              <w:t>Noteikumu projekta vienības neparedz stingrākas prasības kā šīs tabulas A ailē minētās ES tiesību akta vienības.</w:t>
            </w:r>
          </w:p>
        </w:tc>
      </w:tr>
      <w:tr w:rsidR="00676910" w:rsidRPr="007A137C" w14:paraId="7D35201A"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2BD91A2F" w14:textId="77777777" w:rsidR="002F30BD" w:rsidRPr="007A137C" w:rsidRDefault="002F30BD" w:rsidP="00235597">
            <w:pPr>
              <w:rPr>
                <w:rFonts w:ascii="Times New Roman" w:hAnsi="Times New Roman"/>
              </w:rPr>
            </w:pPr>
            <w:r w:rsidRPr="007A137C">
              <w:rPr>
                <w:rFonts w:ascii="Times New Roman" w:hAnsi="Times New Roman"/>
              </w:rPr>
              <w:t>Komisijas Regulas Nr.702/2014 9.panta 1.punkts</w:t>
            </w:r>
          </w:p>
        </w:tc>
        <w:tc>
          <w:tcPr>
            <w:tcW w:w="2084" w:type="dxa"/>
            <w:gridSpan w:val="4"/>
            <w:tcBorders>
              <w:top w:val="outset" w:sz="6" w:space="0" w:color="auto"/>
              <w:left w:val="outset" w:sz="6" w:space="0" w:color="auto"/>
              <w:bottom w:val="outset" w:sz="6" w:space="0" w:color="auto"/>
              <w:right w:val="outset" w:sz="6" w:space="0" w:color="auto"/>
            </w:tcBorders>
          </w:tcPr>
          <w:p w14:paraId="42CE3A11" w14:textId="77777777" w:rsidR="002F30BD" w:rsidRPr="007A137C" w:rsidRDefault="002F30BD" w:rsidP="00235597">
            <w:pPr>
              <w:rPr>
                <w:rFonts w:ascii="Times New Roman" w:hAnsi="Times New Roman"/>
              </w:rPr>
            </w:pPr>
            <w:r w:rsidRPr="007A137C">
              <w:rPr>
                <w:rFonts w:ascii="Times New Roman" w:hAnsi="Times New Roman"/>
              </w:rPr>
              <w:t xml:space="preserve">Noteikumu projekta 2.1.1., 2.1.2., 2.1.3., 2.1.4.,2.1.5. un 2.1.8.apakšpunkts </w:t>
            </w:r>
          </w:p>
        </w:tc>
        <w:tc>
          <w:tcPr>
            <w:tcW w:w="2594" w:type="dxa"/>
            <w:gridSpan w:val="3"/>
            <w:tcBorders>
              <w:top w:val="outset" w:sz="6" w:space="0" w:color="auto"/>
              <w:left w:val="outset" w:sz="6" w:space="0" w:color="auto"/>
              <w:bottom w:val="outset" w:sz="6" w:space="0" w:color="auto"/>
              <w:right w:val="outset" w:sz="6" w:space="0" w:color="auto"/>
            </w:tcBorders>
          </w:tcPr>
          <w:p w14:paraId="7C967277" w14:textId="77777777" w:rsidR="002F30BD" w:rsidRPr="007A137C" w:rsidRDefault="002F30BD" w:rsidP="00E439E1">
            <w:pPr>
              <w:rPr>
                <w:rFonts w:ascii="Times New Roman" w:hAnsi="Times New Roman"/>
              </w:rPr>
            </w:pPr>
            <w:r w:rsidRPr="007A137C">
              <w:rPr>
                <w:rFonts w:ascii="Times New Roman" w:hAnsi="Times New Roman"/>
              </w:rPr>
              <w:t>Komisijas Regulas Nr.702/2014 prasības tiek ieviestas pilnībā.</w:t>
            </w:r>
          </w:p>
        </w:tc>
        <w:tc>
          <w:tcPr>
            <w:tcW w:w="2610" w:type="dxa"/>
            <w:gridSpan w:val="2"/>
            <w:tcBorders>
              <w:top w:val="outset" w:sz="6" w:space="0" w:color="auto"/>
              <w:left w:val="outset" w:sz="6" w:space="0" w:color="auto"/>
              <w:bottom w:val="outset" w:sz="6" w:space="0" w:color="auto"/>
            </w:tcBorders>
          </w:tcPr>
          <w:p w14:paraId="32B24CB2" w14:textId="77777777" w:rsidR="002F30BD" w:rsidRPr="007A137C" w:rsidRDefault="002F30BD" w:rsidP="00E439E1">
            <w:pPr>
              <w:rPr>
                <w:rFonts w:ascii="Times New Roman" w:hAnsi="Times New Roman"/>
              </w:rPr>
            </w:pPr>
            <w:r w:rsidRPr="007A137C">
              <w:rPr>
                <w:rFonts w:ascii="Times New Roman" w:hAnsi="Times New Roman"/>
              </w:rPr>
              <w:t>Noteikumu projekta vienības neparedz stingrākas prasības kā šīs tabulas A ailē minētās ES tiesību akta vienības.</w:t>
            </w:r>
          </w:p>
        </w:tc>
      </w:tr>
      <w:tr w:rsidR="00676910" w:rsidRPr="007A137C" w14:paraId="69A84FB8"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7A1D84AC" w14:textId="77777777" w:rsidR="002F30BD" w:rsidRPr="007A137C" w:rsidRDefault="002F30BD" w:rsidP="001E06E2">
            <w:pPr>
              <w:rPr>
                <w:rFonts w:ascii="Times New Roman" w:hAnsi="Times New Roman"/>
              </w:rPr>
            </w:pPr>
            <w:r w:rsidRPr="007A137C">
              <w:rPr>
                <w:rFonts w:ascii="Times New Roman" w:hAnsi="Times New Roman"/>
              </w:rPr>
              <w:t>Komisijas Regulas Nr.702/2014 2.panta 14.punkts</w:t>
            </w:r>
          </w:p>
        </w:tc>
        <w:tc>
          <w:tcPr>
            <w:tcW w:w="2084" w:type="dxa"/>
            <w:gridSpan w:val="4"/>
            <w:tcBorders>
              <w:top w:val="outset" w:sz="6" w:space="0" w:color="auto"/>
              <w:left w:val="outset" w:sz="6" w:space="0" w:color="auto"/>
              <w:bottom w:val="outset" w:sz="6" w:space="0" w:color="auto"/>
              <w:right w:val="outset" w:sz="6" w:space="0" w:color="auto"/>
            </w:tcBorders>
          </w:tcPr>
          <w:p w14:paraId="5977A4CE" w14:textId="77777777" w:rsidR="002F30BD" w:rsidRPr="007A137C" w:rsidRDefault="002F30BD" w:rsidP="001E06E2">
            <w:pPr>
              <w:rPr>
                <w:rFonts w:ascii="Times New Roman" w:hAnsi="Times New Roman"/>
              </w:rPr>
            </w:pPr>
            <w:r w:rsidRPr="007A137C">
              <w:rPr>
                <w:rFonts w:ascii="Times New Roman" w:hAnsi="Times New Roman"/>
              </w:rPr>
              <w:t>Noteikumu projekta 6.1., 6.2., 6.3., 6.4. un 6.5.apakšpunkts</w:t>
            </w:r>
          </w:p>
        </w:tc>
        <w:tc>
          <w:tcPr>
            <w:tcW w:w="2594" w:type="dxa"/>
            <w:gridSpan w:val="3"/>
            <w:tcBorders>
              <w:top w:val="outset" w:sz="6" w:space="0" w:color="auto"/>
              <w:left w:val="outset" w:sz="6" w:space="0" w:color="auto"/>
              <w:bottom w:val="outset" w:sz="6" w:space="0" w:color="auto"/>
              <w:right w:val="outset" w:sz="6" w:space="0" w:color="auto"/>
            </w:tcBorders>
          </w:tcPr>
          <w:p w14:paraId="5DFA6972" w14:textId="77777777" w:rsidR="002F30BD" w:rsidRPr="007A137C" w:rsidRDefault="002F30BD" w:rsidP="001E06E2">
            <w:pPr>
              <w:rPr>
                <w:rFonts w:ascii="Times New Roman" w:hAnsi="Times New Roman"/>
              </w:rPr>
            </w:pPr>
            <w:r w:rsidRPr="007A137C">
              <w:rPr>
                <w:rFonts w:ascii="Times New Roman" w:hAnsi="Times New Roman"/>
              </w:rPr>
              <w:t>Komisijas Regulas Nr.702/2014 prasības tiek ieviestas pilnībā.</w:t>
            </w:r>
          </w:p>
        </w:tc>
        <w:tc>
          <w:tcPr>
            <w:tcW w:w="2610" w:type="dxa"/>
            <w:gridSpan w:val="2"/>
            <w:tcBorders>
              <w:top w:val="outset" w:sz="6" w:space="0" w:color="auto"/>
              <w:left w:val="outset" w:sz="6" w:space="0" w:color="auto"/>
              <w:bottom w:val="outset" w:sz="6" w:space="0" w:color="auto"/>
            </w:tcBorders>
          </w:tcPr>
          <w:p w14:paraId="6AAC28DB" w14:textId="77777777" w:rsidR="002F30BD" w:rsidRPr="007A137C" w:rsidRDefault="002F30BD" w:rsidP="001E06E2">
            <w:pPr>
              <w:rPr>
                <w:rFonts w:ascii="Times New Roman" w:hAnsi="Times New Roman"/>
              </w:rPr>
            </w:pPr>
            <w:r w:rsidRPr="007A137C">
              <w:rPr>
                <w:rFonts w:ascii="Times New Roman" w:hAnsi="Times New Roman"/>
              </w:rPr>
              <w:t xml:space="preserve">Noteikumu projekta vienības neparedz stingrākas prasības kā šīs tabulas A ailē minētās ES tiesību akta </w:t>
            </w:r>
            <w:r w:rsidRPr="007A137C">
              <w:rPr>
                <w:rFonts w:ascii="Times New Roman" w:hAnsi="Times New Roman"/>
              </w:rPr>
              <w:lastRenderedPageBreak/>
              <w:t>vienības.</w:t>
            </w:r>
          </w:p>
        </w:tc>
      </w:tr>
      <w:tr w:rsidR="00676910" w:rsidRPr="00B84678" w14:paraId="5E6BA6F5"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790730D7" w14:textId="77777777" w:rsidR="002F30BD" w:rsidRPr="007A137C" w:rsidRDefault="002F30BD" w:rsidP="001E06E2">
            <w:pPr>
              <w:rPr>
                <w:rFonts w:ascii="Times New Roman" w:hAnsi="Times New Roman"/>
              </w:rPr>
            </w:pPr>
            <w:r w:rsidRPr="007A137C">
              <w:rPr>
                <w:rFonts w:ascii="Times New Roman" w:hAnsi="Times New Roman"/>
              </w:rPr>
              <w:lastRenderedPageBreak/>
              <w:t xml:space="preserve">Komisijas Regulas Nr.702/2014 13.pants </w:t>
            </w:r>
          </w:p>
        </w:tc>
        <w:tc>
          <w:tcPr>
            <w:tcW w:w="2084" w:type="dxa"/>
            <w:gridSpan w:val="4"/>
            <w:tcBorders>
              <w:top w:val="outset" w:sz="6" w:space="0" w:color="auto"/>
              <w:left w:val="outset" w:sz="6" w:space="0" w:color="auto"/>
              <w:bottom w:val="outset" w:sz="6" w:space="0" w:color="auto"/>
              <w:right w:val="outset" w:sz="6" w:space="0" w:color="auto"/>
            </w:tcBorders>
          </w:tcPr>
          <w:p w14:paraId="23E990A2" w14:textId="77777777" w:rsidR="002F30BD" w:rsidRPr="007A137C" w:rsidRDefault="002F30BD" w:rsidP="001E06E2">
            <w:pPr>
              <w:rPr>
                <w:rFonts w:ascii="Times New Roman" w:hAnsi="Times New Roman"/>
              </w:rPr>
            </w:pPr>
            <w:r w:rsidRPr="007A137C">
              <w:rPr>
                <w:rFonts w:ascii="Times New Roman" w:hAnsi="Times New Roman"/>
              </w:rPr>
              <w:t>Noteikumu projekta 20.punkts</w:t>
            </w:r>
          </w:p>
        </w:tc>
        <w:tc>
          <w:tcPr>
            <w:tcW w:w="2594" w:type="dxa"/>
            <w:gridSpan w:val="3"/>
            <w:tcBorders>
              <w:top w:val="outset" w:sz="6" w:space="0" w:color="auto"/>
              <w:left w:val="outset" w:sz="6" w:space="0" w:color="auto"/>
              <w:bottom w:val="outset" w:sz="6" w:space="0" w:color="auto"/>
              <w:right w:val="outset" w:sz="6" w:space="0" w:color="auto"/>
            </w:tcBorders>
          </w:tcPr>
          <w:p w14:paraId="525E5950" w14:textId="77777777" w:rsidR="002F30BD" w:rsidRPr="007A137C" w:rsidRDefault="002F30BD" w:rsidP="001E06E2">
            <w:pPr>
              <w:rPr>
                <w:rFonts w:ascii="Times New Roman" w:hAnsi="Times New Roman"/>
              </w:rPr>
            </w:pPr>
            <w:r w:rsidRPr="007A137C">
              <w:rPr>
                <w:rFonts w:ascii="Times New Roman" w:hAnsi="Times New Roman"/>
              </w:rPr>
              <w:t>Komisijas Regulas Nr.702/2014 prasības tiek ieviestas pilnībā.</w:t>
            </w:r>
          </w:p>
        </w:tc>
        <w:tc>
          <w:tcPr>
            <w:tcW w:w="2610" w:type="dxa"/>
            <w:gridSpan w:val="2"/>
            <w:tcBorders>
              <w:top w:val="outset" w:sz="6" w:space="0" w:color="auto"/>
              <w:left w:val="outset" w:sz="6" w:space="0" w:color="auto"/>
              <w:bottom w:val="outset" w:sz="6" w:space="0" w:color="auto"/>
            </w:tcBorders>
          </w:tcPr>
          <w:p w14:paraId="08953053" w14:textId="77777777" w:rsidR="002F30BD" w:rsidRPr="007A137C" w:rsidRDefault="002F30BD" w:rsidP="001E06E2">
            <w:pPr>
              <w:rPr>
                <w:rFonts w:ascii="Times New Roman" w:hAnsi="Times New Roman"/>
              </w:rPr>
            </w:pPr>
            <w:r w:rsidRPr="007A137C">
              <w:rPr>
                <w:rFonts w:ascii="Times New Roman" w:hAnsi="Times New Roman"/>
              </w:rPr>
              <w:t>Noteikumu projekta vienības neparedz stingrākas prasības kā šīs tabulas A ailē minētās ES tiesību akta vienības.</w:t>
            </w:r>
          </w:p>
        </w:tc>
      </w:tr>
      <w:tr w:rsidR="00676910" w:rsidRPr="00B84678" w14:paraId="76DB4AEA"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62F0F7CB" w14:textId="77777777" w:rsidR="002F30BD" w:rsidRPr="007945D4" w:rsidRDefault="002F30BD" w:rsidP="001E06E2">
            <w:pPr>
              <w:rPr>
                <w:rFonts w:ascii="Times New Roman" w:hAnsi="Times New Roman"/>
              </w:rPr>
            </w:pPr>
            <w:r w:rsidRPr="007945D4">
              <w:rPr>
                <w:rFonts w:ascii="Times New Roman" w:hAnsi="Times New Roman"/>
              </w:rPr>
              <w:t>Komisijas Regulas Nr.717/2014 6.panta 1.punkts</w:t>
            </w:r>
          </w:p>
        </w:tc>
        <w:tc>
          <w:tcPr>
            <w:tcW w:w="2084" w:type="dxa"/>
            <w:gridSpan w:val="4"/>
            <w:tcBorders>
              <w:top w:val="outset" w:sz="6" w:space="0" w:color="auto"/>
              <w:left w:val="outset" w:sz="6" w:space="0" w:color="auto"/>
              <w:bottom w:val="outset" w:sz="6" w:space="0" w:color="auto"/>
              <w:right w:val="outset" w:sz="6" w:space="0" w:color="auto"/>
            </w:tcBorders>
          </w:tcPr>
          <w:p w14:paraId="515F0B13" w14:textId="77777777" w:rsidR="002F30BD" w:rsidRPr="007945D4" w:rsidRDefault="002F30BD" w:rsidP="001E06E2">
            <w:pPr>
              <w:rPr>
                <w:rFonts w:ascii="Times New Roman" w:hAnsi="Times New Roman"/>
              </w:rPr>
            </w:pPr>
            <w:r w:rsidRPr="007945D4">
              <w:rPr>
                <w:rFonts w:ascii="Times New Roman" w:hAnsi="Times New Roman"/>
              </w:rPr>
              <w:t>Noteikumu projekta 2.1.6. un 13.6.apakšpunkts</w:t>
            </w:r>
          </w:p>
        </w:tc>
        <w:tc>
          <w:tcPr>
            <w:tcW w:w="2594" w:type="dxa"/>
            <w:gridSpan w:val="3"/>
            <w:tcBorders>
              <w:top w:val="outset" w:sz="6" w:space="0" w:color="auto"/>
              <w:left w:val="outset" w:sz="6" w:space="0" w:color="auto"/>
              <w:bottom w:val="outset" w:sz="6" w:space="0" w:color="auto"/>
              <w:right w:val="outset" w:sz="6" w:space="0" w:color="auto"/>
            </w:tcBorders>
          </w:tcPr>
          <w:p w14:paraId="4638BA0F" w14:textId="77777777" w:rsidR="002F30BD" w:rsidRPr="007945D4" w:rsidRDefault="002F30BD" w:rsidP="001E06E2">
            <w:pPr>
              <w:rPr>
                <w:rFonts w:ascii="Times New Roman" w:hAnsi="Times New Roman"/>
              </w:rPr>
            </w:pPr>
            <w:r w:rsidRPr="007945D4">
              <w:rPr>
                <w:rFonts w:ascii="Times New Roman" w:hAnsi="Times New Roman"/>
              </w:rPr>
              <w:t>Komisijas Regulas Nr.717/2014 prasības tiek ieviestas pilnībā.</w:t>
            </w:r>
          </w:p>
        </w:tc>
        <w:tc>
          <w:tcPr>
            <w:tcW w:w="2610" w:type="dxa"/>
            <w:gridSpan w:val="2"/>
            <w:tcBorders>
              <w:top w:val="outset" w:sz="6" w:space="0" w:color="auto"/>
              <w:left w:val="outset" w:sz="6" w:space="0" w:color="auto"/>
              <w:bottom w:val="outset" w:sz="6" w:space="0" w:color="auto"/>
            </w:tcBorders>
          </w:tcPr>
          <w:p w14:paraId="0946A958" w14:textId="77777777" w:rsidR="002F30BD" w:rsidRPr="007945D4" w:rsidRDefault="002F30BD" w:rsidP="001E06E2">
            <w:pPr>
              <w:rPr>
                <w:rFonts w:ascii="Times New Roman" w:hAnsi="Times New Roman"/>
              </w:rPr>
            </w:pPr>
            <w:r w:rsidRPr="007945D4">
              <w:rPr>
                <w:rFonts w:ascii="Times New Roman" w:hAnsi="Times New Roman"/>
              </w:rPr>
              <w:t>Noteikumu projekta vienības neparedz stingrākas prasības kā šīs tabulas A ailē minētās ES tiesību akta vienības.</w:t>
            </w:r>
          </w:p>
        </w:tc>
      </w:tr>
      <w:tr w:rsidR="00676910" w:rsidRPr="007945D4" w14:paraId="7788AEBB"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55D5EAD1" w14:textId="6C01D28A" w:rsidR="002F30BD" w:rsidRPr="007945D4" w:rsidRDefault="002F30BD" w:rsidP="0077120D">
            <w:pPr>
              <w:rPr>
                <w:rFonts w:ascii="Times New Roman" w:hAnsi="Times New Roman"/>
              </w:rPr>
            </w:pPr>
            <w:r w:rsidRPr="007945D4">
              <w:rPr>
                <w:rFonts w:ascii="Times New Roman" w:hAnsi="Times New Roman"/>
              </w:rPr>
              <w:t>Komisijas Regulas Nr.1407/201</w:t>
            </w:r>
            <w:r w:rsidR="0077120D">
              <w:rPr>
                <w:rFonts w:ascii="Times New Roman" w:hAnsi="Times New Roman"/>
              </w:rPr>
              <w:t>3</w:t>
            </w:r>
            <w:r w:rsidRPr="007945D4">
              <w:rPr>
                <w:rFonts w:ascii="Times New Roman" w:hAnsi="Times New Roman"/>
              </w:rPr>
              <w:t xml:space="preserve"> 6.panta 1.punkts</w:t>
            </w:r>
          </w:p>
        </w:tc>
        <w:tc>
          <w:tcPr>
            <w:tcW w:w="2084" w:type="dxa"/>
            <w:gridSpan w:val="4"/>
            <w:tcBorders>
              <w:top w:val="outset" w:sz="6" w:space="0" w:color="auto"/>
              <w:left w:val="outset" w:sz="6" w:space="0" w:color="auto"/>
              <w:bottom w:val="outset" w:sz="6" w:space="0" w:color="auto"/>
              <w:right w:val="outset" w:sz="6" w:space="0" w:color="auto"/>
            </w:tcBorders>
          </w:tcPr>
          <w:p w14:paraId="0A9E3EDA" w14:textId="77777777" w:rsidR="002F30BD" w:rsidRPr="007945D4" w:rsidRDefault="002F30BD" w:rsidP="001E06E2">
            <w:pPr>
              <w:rPr>
                <w:rFonts w:ascii="Times New Roman" w:hAnsi="Times New Roman"/>
              </w:rPr>
            </w:pPr>
            <w:r w:rsidRPr="007945D4">
              <w:rPr>
                <w:rFonts w:ascii="Times New Roman" w:hAnsi="Times New Roman"/>
              </w:rPr>
              <w:t>Noteikumu projekta 2.1.7., 2.1.8. un 13.6.apakšpunkts</w:t>
            </w:r>
          </w:p>
        </w:tc>
        <w:tc>
          <w:tcPr>
            <w:tcW w:w="2594" w:type="dxa"/>
            <w:gridSpan w:val="3"/>
            <w:tcBorders>
              <w:top w:val="outset" w:sz="6" w:space="0" w:color="auto"/>
              <w:left w:val="outset" w:sz="6" w:space="0" w:color="auto"/>
              <w:bottom w:val="outset" w:sz="6" w:space="0" w:color="auto"/>
              <w:right w:val="outset" w:sz="6" w:space="0" w:color="auto"/>
            </w:tcBorders>
          </w:tcPr>
          <w:p w14:paraId="73DDEC63" w14:textId="77777777" w:rsidR="002F30BD" w:rsidRPr="007945D4" w:rsidRDefault="002F30BD" w:rsidP="001E06E2">
            <w:pPr>
              <w:rPr>
                <w:rFonts w:ascii="Times New Roman" w:hAnsi="Times New Roman"/>
              </w:rPr>
            </w:pPr>
            <w:r w:rsidRPr="007945D4">
              <w:rPr>
                <w:rFonts w:ascii="Times New Roman" w:hAnsi="Times New Roman"/>
                <w:spacing w:val="-2"/>
              </w:rPr>
              <w:t>Komisijas Regulas Nr. 1407/2013 prasības tiek ieviestas pilnībā.</w:t>
            </w:r>
          </w:p>
        </w:tc>
        <w:tc>
          <w:tcPr>
            <w:tcW w:w="2610" w:type="dxa"/>
            <w:gridSpan w:val="2"/>
            <w:tcBorders>
              <w:top w:val="outset" w:sz="6" w:space="0" w:color="auto"/>
              <w:left w:val="outset" w:sz="6" w:space="0" w:color="auto"/>
              <w:bottom w:val="outset" w:sz="6" w:space="0" w:color="auto"/>
            </w:tcBorders>
          </w:tcPr>
          <w:p w14:paraId="23C27ED6" w14:textId="77777777" w:rsidR="002F30BD" w:rsidRPr="007945D4" w:rsidRDefault="002F30BD" w:rsidP="001E06E2">
            <w:pPr>
              <w:rPr>
                <w:rFonts w:ascii="Times New Roman" w:hAnsi="Times New Roman"/>
              </w:rPr>
            </w:pPr>
            <w:r w:rsidRPr="007945D4">
              <w:rPr>
                <w:rFonts w:ascii="Times New Roman" w:hAnsi="Times New Roman"/>
              </w:rPr>
              <w:t>Noteikumu projekta vienības neparedz stingrākas prasības kā šīs tabulas A ailē minētās ES tiesību akta vienības.</w:t>
            </w:r>
          </w:p>
        </w:tc>
      </w:tr>
      <w:tr w:rsidR="00676910" w:rsidRPr="00B84678" w14:paraId="3269D981"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51A437B7" w14:textId="452400B8" w:rsidR="002F30BD" w:rsidRPr="007945D4" w:rsidRDefault="002F30BD" w:rsidP="0077120D">
            <w:pPr>
              <w:rPr>
                <w:rFonts w:ascii="Times New Roman" w:hAnsi="Times New Roman"/>
              </w:rPr>
            </w:pPr>
            <w:r w:rsidRPr="007945D4">
              <w:rPr>
                <w:rFonts w:ascii="Times New Roman" w:hAnsi="Times New Roman"/>
              </w:rPr>
              <w:t>Komisijas Regulas Nr.1408/201</w:t>
            </w:r>
            <w:r w:rsidR="0077120D">
              <w:rPr>
                <w:rFonts w:ascii="Times New Roman" w:hAnsi="Times New Roman"/>
              </w:rPr>
              <w:t>3</w:t>
            </w:r>
            <w:r w:rsidRPr="007945D4">
              <w:rPr>
                <w:rFonts w:ascii="Times New Roman" w:hAnsi="Times New Roman"/>
              </w:rPr>
              <w:t xml:space="preserve"> 6.panta 1.punkts</w:t>
            </w:r>
          </w:p>
        </w:tc>
        <w:tc>
          <w:tcPr>
            <w:tcW w:w="2084" w:type="dxa"/>
            <w:gridSpan w:val="4"/>
            <w:tcBorders>
              <w:top w:val="outset" w:sz="6" w:space="0" w:color="auto"/>
              <w:left w:val="outset" w:sz="6" w:space="0" w:color="auto"/>
              <w:bottom w:val="outset" w:sz="6" w:space="0" w:color="auto"/>
              <w:right w:val="outset" w:sz="6" w:space="0" w:color="auto"/>
            </w:tcBorders>
          </w:tcPr>
          <w:p w14:paraId="23FA4405" w14:textId="77777777" w:rsidR="002F30BD" w:rsidRPr="007945D4" w:rsidRDefault="002F30BD" w:rsidP="001E06E2">
            <w:pPr>
              <w:rPr>
                <w:rFonts w:ascii="Times New Roman" w:hAnsi="Times New Roman"/>
              </w:rPr>
            </w:pPr>
            <w:r w:rsidRPr="007945D4">
              <w:rPr>
                <w:rFonts w:ascii="Times New Roman" w:hAnsi="Times New Roman"/>
              </w:rPr>
              <w:t>Noteikumu projekta 2.1.8.apakšpunkts un 13.6.apakšpunkts</w:t>
            </w:r>
          </w:p>
        </w:tc>
        <w:tc>
          <w:tcPr>
            <w:tcW w:w="2594" w:type="dxa"/>
            <w:gridSpan w:val="3"/>
            <w:tcBorders>
              <w:top w:val="outset" w:sz="6" w:space="0" w:color="auto"/>
              <w:left w:val="outset" w:sz="6" w:space="0" w:color="auto"/>
              <w:bottom w:val="outset" w:sz="6" w:space="0" w:color="auto"/>
              <w:right w:val="outset" w:sz="6" w:space="0" w:color="auto"/>
            </w:tcBorders>
          </w:tcPr>
          <w:p w14:paraId="531033CE" w14:textId="77777777" w:rsidR="002F30BD" w:rsidRPr="007945D4" w:rsidRDefault="002F30BD" w:rsidP="001E06E2">
            <w:pPr>
              <w:rPr>
                <w:rFonts w:ascii="Times New Roman" w:hAnsi="Times New Roman"/>
              </w:rPr>
            </w:pPr>
            <w:r w:rsidRPr="007945D4">
              <w:rPr>
                <w:rFonts w:ascii="Times New Roman" w:hAnsi="Times New Roman"/>
                <w:spacing w:val="-2"/>
              </w:rPr>
              <w:t>Komisijas Regulas Nr. 1408/2013 prasības tiek ieviestas pilnībā.</w:t>
            </w:r>
          </w:p>
        </w:tc>
        <w:tc>
          <w:tcPr>
            <w:tcW w:w="2610" w:type="dxa"/>
            <w:gridSpan w:val="2"/>
            <w:tcBorders>
              <w:top w:val="outset" w:sz="6" w:space="0" w:color="auto"/>
              <w:left w:val="outset" w:sz="6" w:space="0" w:color="auto"/>
              <w:bottom w:val="outset" w:sz="6" w:space="0" w:color="auto"/>
            </w:tcBorders>
          </w:tcPr>
          <w:p w14:paraId="2FA04452" w14:textId="77777777" w:rsidR="002F30BD" w:rsidRPr="007945D4" w:rsidRDefault="002F30BD" w:rsidP="001E06E2">
            <w:pPr>
              <w:rPr>
                <w:rFonts w:ascii="Times New Roman" w:hAnsi="Times New Roman"/>
              </w:rPr>
            </w:pPr>
            <w:r w:rsidRPr="007945D4">
              <w:rPr>
                <w:rFonts w:ascii="Times New Roman" w:hAnsi="Times New Roman"/>
              </w:rPr>
              <w:t>Noteikumu projekta vienības neparedz stingrākas prasības kā šīs tabulas A ailē minētās ES tiesību akta vienības.</w:t>
            </w:r>
          </w:p>
        </w:tc>
      </w:tr>
      <w:tr w:rsidR="00676910" w:rsidRPr="00B84678" w14:paraId="461D59B7"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21C9E9EE" w14:textId="16686C31" w:rsidR="002F30BD" w:rsidRPr="0071702D" w:rsidRDefault="002F30BD" w:rsidP="0077120D">
            <w:pPr>
              <w:rPr>
                <w:rFonts w:ascii="Times New Roman" w:hAnsi="Times New Roman"/>
              </w:rPr>
            </w:pPr>
            <w:r w:rsidRPr="0071702D">
              <w:rPr>
                <w:rFonts w:ascii="Times New Roman" w:hAnsi="Times New Roman"/>
              </w:rPr>
              <w:t>Komisijas Regulas Nr.717/201</w:t>
            </w:r>
            <w:r w:rsidR="0077120D">
              <w:rPr>
                <w:rFonts w:ascii="Times New Roman" w:hAnsi="Times New Roman"/>
              </w:rPr>
              <w:t>4</w:t>
            </w:r>
            <w:r w:rsidRPr="0071702D">
              <w:rPr>
                <w:rFonts w:ascii="Times New Roman" w:hAnsi="Times New Roman"/>
              </w:rPr>
              <w:t xml:space="preserve"> 4.panta 6.punkta </w:t>
            </w:r>
            <w:r w:rsidR="000E7E1F">
              <w:rPr>
                <w:rFonts w:ascii="Times New Roman" w:hAnsi="Times New Roman"/>
              </w:rPr>
              <w:t>„</w:t>
            </w:r>
            <w:r w:rsidRPr="0071702D">
              <w:rPr>
                <w:rFonts w:ascii="Times New Roman" w:hAnsi="Times New Roman"/>
              </w:rPr>
              <w:t>a</w:t>
            </w:r>
            <w:r w:rsidR="000E7E1F">
              <w:rPr>
                <w:rFonts w:ascii="Times New Roman" w:hAnsi="Times New Roman"/>
              </w:rPr>
              <w:t xml:space="preserve">” </w:t>
            </w:r>
            <w:r w:rsidRPr="0071702D">
              <w:rPr>
                <w:rFonts w:ascii="Times New Roman" w:hAnsi="Times New Roman"/>
              </w:rPr>
              <w:t>apakšpunkts</w:t>
            </w:r>
          </w:p>
        </w:tc>
        <w:tc>
          <w:tcPr>
            <w:tcW w:w="2084" w:type="dxa"/>
            <w:gridSpan w:val="4"/>
            <w:tcBorders>
              <w:top w:val="outset" w:sz="6" w:space="0" w:color="auto"/>
              <w:left w:val="outset" w:sz="6" w:space="0" w:color="auto"/>
              <w:bottom w:val="outset" w:sz="6" w:space="0" w:color="auto"/>
              <w:right w:val="outset" w:sz="6" w:space="0" w:color="auto"/>
            </w:tcBorders>
          </w:tcPr>
          <w:p w14:paraId="5A200E8D" w14:textId="77777777" w:rsidR="002F30BD" w:rsidRPr="0071702D" w:rsidRDefault="002F30BD" w:rsidP="001E06E2">
            <w:pPr>
              <w:rPr>
                <w:rFonts w:ascii="Times New Roman" w:hAnsi="Times New Roman"/>
              </w:rPr>
            </w:pPr>
            <w:r w:rsidRPr="0071702D">
              <w:rPr>
                <w:rFonts w:ascii="Times New Roman" w:hAnsi="Times New Roman"/>
              </w:rPr>
              <w:t>Noteikumu projekta 5.5.apakšpunkts un 6.punkts</w:t>
            </w:r>
          </w:p>
        </w:tc>
        <w:tc>
          <w:tcPr>
            <w:tcW w:w="2594" w:type="dxa"/>
            <w:gridSpan w:val="3"/>
            <w:tcBorders>
              <w:top w:val="outset" w:sz="6" w:space="0" w:color="auto"/>
              <w:left w:val="outset" w:sz="6" w:space="0" w:color="auto"/>
              <w:bottom w:val="outset" w:sz="6" w:space="0" w:color="auto"/>
              <w:right w:val="outset" w:sz="6" w:space="0" w:color="auto"/>
            </w:tcBorders>
          </w:tcPr>
          <w:p w14:paraId="1ADB0ED1" w14:textId="77777777" w:rsidR="002F30BD" w:rsidRPr="0071702D" w:rsidRDefault="002F30BD" w:rsidP="001E06E2">
            <w:pPr>
              <w:rPr>
                <w:rFonts w:ascii="Times New Roman" w:hAnsi="Times New Roman"/>
              </w:rPr>
            </w:pPr>
            <w:r w:rsidRPr="0071702D">
              <w:rPr>
                <w:rFonts w:ascii="Times New Roman" w:hAnsi="Times New Roman"/>
              </w:rPr>
              <w:t>Komisijas Regulas Nr.717/2014 prasības tiek ieviestas pilnībā.</w:t>
            </w:r>
          </w:p>
        </w:tc>
        <w:tc>
          <w:tcPr>
            <w:tcW w:w="2610" w:type="dxa"/>
            <w:gridSpan w:val="2"/>
            <w:tcBorders>
              <w:top w:val="outset" w:sz="6" w:space="0" w:color="auto"/>
              <w:left w:val="outset" w:sz="6" w:space="0" w:color="auto"/>
              <w:bottom w:val="outset" w:sz="6" w:space="0" w:color="auto"/>
            </w:tcBorders>
          </w:tcPr>
          <w:p w14:paraId="60D4285D" w14:textId="77777777" w:rsidR="002F30BD" w:rsidRPr="006A5B70" w:rsidRDefault="002F30BD" w:rsidP="001E06E2">
            <w:pPr>
              <w:rPr>
                <w:rFonts w:ascii="Times New Roman" w:hAnsi="Times New Roman"/>
              </w:rPr>
            </w:pPr>
            <w:r w:rsidRPr="0071702D">
              <w:rPr>
                <w:rFonts w:ascii="Times New Roman" w:hAnsi="Times New Roman"/>
              </w:rPr>
              <w:t>Noteikumu projekta vienības neparedz stingrākas prasības kā šīs tabulas A ailē minētās ES tiesību akta vienības.</w:t>
            </w:r>
          </w:p>
        </w:tc>
      </w:tr>
      <w:tr w:rsidR="00676910" w:rsidRPr="0071702D" w14:paraId="629CA9EA"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6F07AAD4" w14:textId="69287838" w:rsidR="002F30BD" w:rsidRPr="0071702D" w:rsidRDefault="002F30BD" w:rsidP="0077120D">
            <w:pPr>
              <w:rPr>
                <w:rFonts w:ascii="Times New Roman" w:hAnsi="Times New Roman"/>
              </w:rPr>
            </w:pPr>
            <w:r w:rsidRPr="0071702D">
              <w:rPr>
                <w:rFonts w:ascii="Times New Roman" w:hAnsi="Times New Roman"/>
              </w:rPr>
              <w:t>Komisijas Regulas Nr.1407/201</w:t>
            </w:r>
            <w:r w:rsidR="0077120D">
              <w:rPr>
                <w:rFonts w:ascii="Times New Roman" w:hAnsi="Times New Roman"/>
              </w:rPr>
              <w:t>3</w:t>
            </w:r>
            <w:r w:rsidRPr="0071702D">
              <w:rPr>
                <w:rFonts w:ascii="Times New Roman" w:hAnsi="Times New Roman"/>
              </w:rPr>
              <w:t xml:space="preserve"> 4.panta 6.punkta </w:t>
            </w:r>
            <w:r w:rsidR="000E7E1F">
              <w:rPr>
                <w:rFonts w:ascii="Times New Roman" w:hAnsi="Times New Roman"/>
              </w:rPr>
              <w:t>„</w:t>
            </w:r>
            <w:r w:rsidRPr="0071702D">
              <w:rPr>
                <w:rFonts w:ascii="Times New Roman" w:hAnsi="Times New Roman"/>
              </w:rPr>
              <w:t>a</w:t>
            </w:r>
            <w:r w:rsidR="000E7E1F">
              <w:rPr>
                <w:rFonts w:ascii="Times New Roman" w:hAnsi="Times New Roman"/>
              </w:rPr>
              <w:t xml:space="preserve">” </w:t>
            </w:r>
            <w:r w:rsidRPr="0071702D">
              <w:rPr>
                <w:rFonts w:ascii="Times New Roman" w:hAnsi="Times New Roman"/>
              </w:rPr>
              <w:t>apakšpunkts</w:t>
            </w:r>
          </w:p>
        </w:tc>
        <w:tc>
          <w:tcPr>
            <w:tcW w:w="2084" w:type="dxa"/>
            <w:gridSpan w:val="4"/>
            <w:tcBorders>
              <w:top w:val="outset" w:sz="6" w:space="0" w:color="auto"/>
              <w:left w:val="outset" w:sz="6" w:space="0" w:color="auto"/>
              <w:bottom w:val="outset" w:sz="6" w:space="0" w:color="auto"/>
              <w:right w:val="outset" w:sz="6" w:space="0" w:color="auto"/>
            </w:tcBorders>
          </w:tcPr>
          <w:p w14:paraId="14316FB2" w14:textId="77777777" w:rsidR="002F30BD" w:rsidRPr="0071702D" w:rsidRDefault="002F30BD" w:rsidP="001E06E2">
            <w:pPr>
              <w:rPr>
                <w:rFonts w:ascii="Times New Roman" w:hAnsi="Times New Roman"/>
              </w:rPr>
            </w:pPr>
            <w:r w:rsidRPr="0071702D">
              <w:rPr>
                <w:rFonts w:ascii="Times New Roman" w:hAnsi="Times New Roman"/>
              </w:rPr>
              <w:t>Noteikumu projekta 5.5.apakšpunkts un 6.punkts</w:t>
            </w:r>
          </w:p>
        </w:tc>
        <w:tc>
          <w:tcPr>
            <w:tcW w:w="2594" w:type="dxa"/>
            <w:gridSpan w:val="3"/>
            <w:tcBorders>
              <w:top w:val="outset" w:sz="6" w:space="0" w:color="auto"/>
              <w:left w:val="outset" w:sz="6" w:space="0" w:color="auto"/>
              <w:bottom w:val="outset" w:sz="6" w:space="0" w:color="auto"/>
              <w:right w:val="outset" w:sz="6" w:space="0" w:color="auto"/>
            </w:tcBorders>
          </w:tcPr>
          <w:p w14:paraId="4796A9B3" w14:textId="77777777" w:rsidR="002F30BD" w:rsidRPr="0071702D" w:rsidRDefault="002F30BD" w:rsidP="001E06E2">
            <w:pPr>
              <w:rPr>
                <w:rFonts w:ascii="Times New Roman" w:hAnsi="Times New Roman"/>
              </w:rPr>
            </w:pPr>
            <w:r w:rsidRPr="0071702D">
              <w:rPr>
                <w:rFonts w:ascii="Times New Roman" w:hAnsi="Times New Roman"/>
                <w:spacing w:val="-2"/>
              </w:rPr>
              <w:t>Komisijas Regulas Nr. 1407/2013 prasības tiek ieviestas pilnībā.</w:t>
            </w:r>
          </w:p>
        </w:tc>
        <w:tc>
          <w:tcPr>
            <w:tcW w:w="2610" w:type="dxa"/>
            <w:gridSpan w:val="2"/>
            <w:tcBorders>
              <w:top w:val="outset" w:sz="6" w:space="0" w:color="auto"/>
              <w:left w:val="outset" w:sz="6" w:space="0" w:color="auto"/>
              <w:bottom w:val="outset" w:sz="6" w:space="0" w:color="auto"/>
            </w:tcBorders>
          </w:tcPr>
          <w:p w14:paraId="79F90E0B" w14:textId="77777777" w:rsidR="002F30BD" w:rsidRPr="0071702D" w:rsidRDefault="002F30BD" w:rsidP="001E06E2">
            <w:pPr>
              <w:rPr>
                <w:rFonts w:ascii="Times New Roman" w:hAnsi="Times New Roman"/>
              </w:rPr>
            </w:pPr>
            <w:r w:rsidRPr="0071702D">
              <w:rPr>
                <w:rFonts w:ascii="Times New Roman" w:hAnsi="Times New Roman"/>
              </w:rPr>
              <w:t>Noteikumu projekta vienības neparedz stingrākas prasības kā šīs tabulas A ailē minētās ES tiesību akta vienības.</w:t>
            </w:r>
          </w:p>
        </w:tc>
      </w:tr>
      <w:tr w:rsidR="00676910" w:rsidRPr="00B84678" w14:paraId="257EB66C"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2F2F61D5" w14:textId="13AB516B" w:rsidR="002F30BD" w:rsidRPr="0071702D" w:rsidRDefault="002F30BD" w:rsidP="0077120D">
            <w:pPr>
              <w:rPr>
                <w:rFonts w:ascii="Times New Roman" w:hAnsi="Times New Roman"/>
              </w:rPr>
            </w:pPr>
            <w:r w:rsidRPr="0071702D">
              <w:rPr>
                <w:rFonts w:ascii="Times New Roman" w:hAnsi="Times New Roman"/>
              </w:rPr>
              <w:t>Komisijas Regulas Nr.1408/201</w:t>
            </w:r>
            <w:r w:rsidR="0077120D">
              <w:rPr>
                <w:rFonts w:ascii="Times New Roman" w:hAnsi="Times New Roman"/>
              </w:rPr>
              <w:t>3</w:t>
            </w:r>
            <w:r w:rsidRPr="0071702D">
              <w:rPr>
                <w:rFonts w:ascii="Times New Roman" w:hAnsi="Times New Roman"/>
              </w:rPr>
              <w:t xml:space="preserve"> 4.panta 6.punkta </w:t>
            </w:r>
            <w:r w:rsidR="000E7E1F">
              <w:rPr>
                <w:rFonts w:ascii="Times New Roman" w:hAnsi="Times New Roman"/>
              </w:rPr>
              <w:t>„</w:t>
            </w:r>
            <w:r w:rsidRPr="0071702D">
              <w:rPr>
                <w:rFonts w:ascii="Times New Roman" w:hAnsi="Times New Roman"/>
              </w:rPr>
              <w:t>a</w:t>
            </w:r>
            <w:r w:rsidR="000E7E1F">
              <w:rPr>
                <w:rFonts w:ascii="Times New Roman" w:hAnsi="Times New Roman"/>
              </w:rPr>
              <w:t xml:space="preserve">” </w:t>
            </w:r>
            <w:r w:rsidRPr="0071702D">
              <w:rPr>
                <w:rFonts w:ascii="Times New Roman" w:hAnsi="Times New Roman"/>
              </w:rPr>
              <w:t>apakšpunkts</w:t>
            </w:r>
          </w:p>
        </w:tc>
        <w:tc>
          <w:tcPr>
            <w:tcW w:w="2084" w:type="dxa"/>
            <w:gridSpan w:val="4"/>
            <w:tcBorders>
              <w:top w:val="outset" w:sz="6" w:space="0" w:color="auto"/>
              <w:left w:val="outset" w:sz="6" w:space="0" w:color="auto"/>
              <w:bottom w:val="outset" w:sz="6" w:space="0" w:color="auto"/>
              <w:right w:val="outset" w:sz="6" w:space="0" w:color="auto"/>
            </w:tcBorders>
          </w:tcPr>
          <w:p w14:paraId="47C8EA77" w14:textId="77777777" w:rsidR="002F30BD" w:rsidRPr="0071702D" w:rsidRDefault="002F30BD" w:rsidP="000B64EA">
            <w:pPr>
              <w:rPr>
                <w:rFonts w:ascii="Times New Roman" w:hAnsi="Times New Roman"/>
              </w:rPr>
            </w:pPr>
            <w:r w:rsidRPr="0071702D">
              <w:rPr>
                <w:rFonts w:ascii="Times New Roman" w:hAnsi="Times New Roman"/>
              </w:rPr>
              <w:t>Noteikumu projekta 5.5.apakšpunkts un 6.punkts</w:t>
            </w:r>
          </w:p>
        </w:tc>
        <w:tc>
          <w:tcPr>
            <w:tcW w:w="2594" w:type="dxa"/>
            <w:gridSpan w:val="3"/>
            <w:tcBorders>
              <w:top w:val="outset" w:sz="6" w:space="0" w:color="auto"/>
              <w:left w:val="outset" w:sz="6" w:space="0" w:color="auto"/>
              <w:bottom w:val="outset" w:sz="6" w:space="0" w:color="auto"/>
              <w:right w:val="outset" w:sz="6" w:space="0" w:color="auto"/>
            </w:tcBorders>
          </w:tcPr>
          <w:p w14:paraId="01D7B904" w14:textId="77777777" w:rsidR="002F30BD" w:rsidRPr="0071702D" w:rsidRDefault="002F30BD" w:rsidP="001E06E2">
            <w:pPr>
              <w:rPr>
                <w:rFonts w:ascii="Times New Roman" w:hAnsi="Times New Roman"/>
              </w:rPr>
            </w:pPr>
            <w:r w:rsidRPr="0071702D">
              <w:rPr>
                <w:rFonts w:ascii="Times New Roman" w:hAnsi="Times New Roman"/>
                <w:spacing w:val="-2"/>
              </w:rPr>
              <w:t>Komisijas Regulas Nr. 1408/2013 prasības tiek ieviestas pilnībā.</w:t>
            </w:r>
          </w:p>
        </w:tc>
        <w:tc>
          <w:tcPr>
            <w:tcW w:w="2610" w:type="dxa"/>
            <w:gridSpan w:val="2"/>
            <w:tcBorders>
              <w:top w:val="outset" w:sz="6" w:space="0" w:color="auto"/>
              <w:left w:val="outset" w:sz="6" w:space="0" w:color="auto"/>
              <w:bottom w:val="outset" w:sz="6" w:space="0" w:color="auto"/>
            </w:tcBorders>
          </w:tcPr>
          <w:p w14:paraId="4BE18381" w14:textId="77777777" w:rsidR="002F30BD" w:rsidRPr="006A5B70" w:rsidRDefault="002F30BD" w:rsidP="000B64EA">
            <w:pPr>
              <w:rPr>
                <w:rFonts w:ascii="Times New Roman" w:hAnsi="Times New Roman"/>
              </w:rPr>
            </w:pPr>
            <w:r w:rsidRPr="0071702D">
              <w:rPr>
                <w:rFonts w:ascii="Times New Roman" w:hAnsi="Times New Roman"/>
              </w:rPr>
              <w:t>Noteikumu projekta vienības neparedz stingrākas prasības kā šīs tabulas A ailē minētās ES tiesību akta vienības.</w:t>
            </w:r>
          </w:p>
        </w:tc>
      </w:tr>
      <w:tr w:rsidR="00676910" w:rsidRPr="00B84678" w14:paraId="02A62204"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09290D74" w14:textId="77777777" w:rsidR="002F30BD" w:rsidRPr="0071702D" w:rsidRDefault="002F30BD" w:rsidP="001E06E2">
            <w:pPr>
              <w:rPr>
                <w:rFonts w:ascii="Times New Roman" w:hAnsi="Times New Roman"/>
              </w:rPr>
            </w:pPr>
            <w:r w:rsidRPr="0071702D">
              <w:rPr>
                <w:rFonts w:ascii="Times New Roman" w:hAnsi="Times New Roman"/>
              </w:rPr>
              <w:t>Komisijas Regulas Nr.717/2014 1.panta 1.punkts</w:t>
            </w:r>
          </w:p>
        </w:tc>
        <w:tc>
          <w:tcPr>
            <w:tcW w:w="2084" w:type="dxa"/>
            <w:gridSpan w:val="4"/>
            <w:tcBorders>
              <w:top w:val="outset" w:sz="6" w:space="0" w:color="auto"/>
              <w:left w:val="outset" w:sz="6" w:space="0" w:color="auto"/>
              <w:bottom w:val="outset" w:sz="6" w:space="0" w:color="auto"/>
              <w:right w:val="outset" w:sz="6" w:space="0" w:color="auto"/>
            </w:tcBorders>
          </w:tcPr>
          <w:p w14:paraId="06F5C1CF" w14:textId="77777777" w:rsidR="002F30BD" w:rsidRPr="0071702D" w:rsidRDefault="002F30BD" w:rsidP="001E06E2">
            <w:pPr>
              <w:rPr>
                <w:rFonts w:ascii="Times New Roman" w:hAnsi="Times New Roman"/>
              </w:rPr>
            </w:pPr>
            <w:r w:rsidRPr="0071702D">
              <w:rPr>
                <w:rFonts w:ascii="Times New Roman" w:hAnsi="Times New Roman"/>
              </w:rPr>
              <w:t xml:space="preserve">Noteikumu projekta 6.8.apakšpunkts </w:t>
            </w:r>
          </w:p>
        </w:tc>
        <w:tc>
          <w:tcPr>
            <w:tcW w:w="2594" w:type="dxa"/>
            <w:gridSpan w:val="3"/>
            <w:tcBorders>
              <w:top w:val="outset" w:sz="6" w:space="0" w:color="auto"/>
              <w:left w:val="outset" w:sz="6" w:space="0" w:color="auto"/>
              <w:bottom w:val="outset" w:sz="6" w:space="0" w:color="auto"/>
              <w:right w:val="outset" w:sz="6" w:space="0" w:color="auto"/>
            </w:tcBorders>
          </w:tcPr>
          <w:p w14:paraId="1D18CB30" w14:textId="77777777" w:rsidR="002F30BD" w:rsidRPr="0071702D" w:rsidRDefault="002F30BD" w:rsidP="001E06E2">
            <w:pPr>
              <w:rPr>
                <w:rFonts w:ascii="Times New Roman" w:hAnsi="Times New Roman"/>
                <w:spacing w:val="-2"/>
              </w:rPr>
            </w:pPr>
            <w:r w:rsidRPr="0071702D">
              <w:rPr>
                <w:rFonts w:ascii="Times New Roman" w:hAnsi="Times New Roman"/>
                <w:spacing w:val="-2"/>
              </w:rPr>
              <w:t>Komisijas Regulas Nr.717/2014 prasības tiek ieviestas pilnībā.</w:t>
            </w:r>
          </w:p>
        </w:tc>
        <w:tc>
          <w:tcPr>
            <w:tcW w:w="2610" w:type="dxa"/>
            <w:gridSpan w:val="2"/>
            <w:tcBorders>
              <w:top w:val="outset" w:sz="6" w:space="0" w:color="auto"/>
              <w:left w:val="outset" w:sz="6" w:space="0" w:color="auto"/>
              <w:bottom w:val="outset" w:sz="6" w:space="0" w:color="auto"/>
            </w:tcBorders>
          </w:tcPr>
          <w:p w14:paraId="5B37B1A0" w14:textId="77777777" w:rsidR="002F30BD" w:rsidRPr="0071702D" w:rsidRDefault="002F30BD" w:rsidP="001E06E2">
            <w:pPr>
              <w:rPr>
                <w:rFonts w:ascii="Times New Roman" w:hAnsi="Times New Roman"/>
                <w:spacing w:val="-2"/>
              </w:rPr>
            </w:pPr>
            <w:r w:rsidRPr="0071702D">
              <w:rPr>
                <w:rFonts w:ascii="Times New Roman" w:hAnsi="Times New Roman"/>
                <w:spacing w:val="-2"/>
              </w:rPr>
              <w:t xml:space="preserve">Noteikumu projekta vienības neparedz stingrākas prasības kā šīs tabulas A ailē minētās </w:t>
            </w:r>
            <w:r w:rsidRPr="0071702D">
              <w:rPr>
                <w:rFonts w:ascii="Times New Roman" w:hAnsi="Times New Roman"/>
                <w:spacing w:val="-2"/>
              </w:rPr>
              <w:lastRenderedPageBreak/>
              <w:t>ES tiesību akta vienības.</w:t>
            </w:r>
          </w:p>
        </w:tc>
      </w:tr>
      <w:tr w:rsidR="00676910" w:rsidRPr="00B84678" w14:paraId="244882CC"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3A73B398" w14:textId="77777777" w:rsidR="002F30BD" w:rsidRPr="0071702D" w:rsidRDefault="002F30BD" w:rsidP="001E06E2">
            <w:pPr>
              <w:rPr>
                <w:rFonts w:ascii="Times New Roman" w:hAnsi="Times New Roman"/>
              </w:rPr>
            </w:pPr>
            <w:r w:rsidRPr="0071702D">
              <w:rPr>
                <w:rFonts w:ascii="Times New Roman" w:hAnsi="Times New Roman"/>
              </w:rPr>
              <w:lastRenderedPageBreak/>
              <w:t>Komisijas Regulas Nr.717/2014 3.panta 2.punkts</w:t>
            </w:r>
          </w:p>
        </w:tc>
        <w:tc>
          <w:tcPr>
            <w:tcW w:w="2084" w:type="dxa"/>
            <w:gridSpan w:val="4"/>
            <w:tcBorders>
              <w:top w:val="outset" w:sz="6" w:space="0" w:color="auto"/>
              <w:left w:val="outset" w:sz="6" w:space="0" w:color="auto"/>
              <w:bottom w:val="outset" w:sz="6" w:space="0" w:color="auto"/>
              <w:right w:val="outset" w:sz="6" w:space="0" w:color="auto"/>
            </w:tcBorders>
          </w:tcPr>
          <w:p w14:paraId="03BD9448" w14:textId="77777777" w:rsidR="002F30BD" w:rsidRPr="0071702D" w:rsidRDefault="002F30BD" w:rsidP="001E06E2">
            <w:pPr>
              <w:rPr>
                <w:rFonts w:ascii="Times New Roman" w:hAnsi="Times New Roman"/>
              </w:rPr>
            </w:pPr>
            <w:r w:rsidRPr="0071702D">
              <w:rPr>
                <w:rFonts w:ascii="Times New Roman" w:hAnsi="Times New Roman"/>
              </w:rPr>
              <w:t xml:space="preserve">Noteikumu projekta 15.8.apakšpunkts </w:t>
            </w:r>
          </w:p>
        </w:tc>
        <w:tc>
          <w:tcPr>
            <w:tcW w:w="2594" w:type="dxa"/>
            <w:gridSpan w:val="3"/>
            <w:tcBorders>
              <w:top w:val="outset" w:sz="6" w:space="0" w:color="auto"/>
              <w:left w:val="outset" w:sz="6" w:space="0" w:color="auto"/>
              <w:bottom w:val="outset" w:sz="6" w:space="0" w:color="auto"/>
              <w:right w:val="outset" w:sz="6" w:space="0" w:color="auto"/>
            </w:tcBorders>
          </w:tcPr>
          <w:p w14:paraId="1AEE5245" w14:textId="77777777" w:rsidR="002F30BD" w:rsidRPr="0071702D" w:rsidRDefault="002F30BD" w:rsidP="001E06E2">
            <w:pPr>
              <w:rPr>
                <w:rFonts w:ascii="Times New Roman" w:hAnsi="Times New Roman"/>
                <w:spacing w:val="-2"/>
              </w:rPr>
            </w:pPr>
            <w:r w:rsidRPr="0071702D">
              <w:rPr>
                <w:rFonts w:ascii="Times New Roman" w:hAnsi="Times New Roman"/>
                <w:spacing w:val="-2"/>
              </w:rPr>
              <w:t>Komisijas Regulas Nr.717/2014 prasības tiek ieviestas pilnībā.</w:t>
            </w:r>
          </w:p>
        </w:tc>
        <w:tc>
          <w:tcPr>
            <w:tcW w:w="2610" w:type="dxa"/>
            <w:gridSpan w:val="2"/>
            <w:tcBorders>
              <w:top w:val="outset" w:sz="6" w:space="0" w:color="auto"/>
              <w:left w:val="outset" w:sz="6" w:space="0" w:color="auto"/>
              <w:bottom w:val="outset" w:sz="6" w:space="0" w:color="auto"/>
            </w:tcBorders>
          </w:tcPr>
          <w:p w14:paraId="43D6D8D0" w14:textId="77777777" w:rsidR="002F30BD" w:rsidRPr="0071702D" w:rsidRDefault="002F30BD" w:rsidP="001E06E2">
            <w:pPr>
              <w:rPr>
                <w:rFonts w:ascii="Times New Roman" w:hAnsi="Times New Roman"/>
                <w:spacing w:val="-2"/>
              </w:rPr>
            </w:pPr>
            <w:r w:rsidRPr="0071702D">
              <w:rPr>
                <w:rFonts w:ascii="Times New Roman" w:hAnsi="Times New Roman"/>
                <w:spacing w:val="-2"/>
              </w:rPr>
              <w:t>Noteikumu projekta vienības neparedz stingrākas prasības kā šīs tabulas A ailē minētās ES tiesību akta vienības.</w:t>
            </w:r>
          </w:p>
        </w:tc>
      </w:tr>
      <w:tr w:rsidR="00676910" w:rsidRPr="0071702D" w14:paraId="7054829F"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0CCEA0C8" w14:textId="19480E4E" w:rsidR="002F30BD" w:rsidRPr="0071702D" w:rsidRDefault="002F30BD" w:rsidP="0077120D">
            <w:pPr>
              <w:rPr>
                <w:rFonts w:ascii="Times New Roman" w:hAnsi="Times New Roman"/>
              </w:rPr>
            </w:pPr>
            <w:r w:rsidRPr="0071702D">
              <w:rPr>
                <w:rFonts w:ascii="Times New Roman" w:hAnsi="Times New Roman"/>
              </w:rPr>
              <w:t>Komisijas Regulas Nr.1407/201</w:t>
            </w:r>
            <w:r w:rsidR="0077120D">
              <w:rPr>
                <w:rFonts w:ascii="Times New Roman" w:hAnsi="Times New Roman"/>
              </w:rPr>
              <w:t>3</w:t>
            </w:r>
            <w:r w:rsidRPr="0071702D">
              <w:rPr>
                <w:rFonts w:ascii="Times New Roman" w:hAnsi="Times New Roman"/>
              </w:rPr>
              <w:t xml:space="preserve"> 3.panta 2.punkts</w:t>
            </w:r>
          </w:p>
        </w:tc>
        <w:tc>
          <w:tcPr>
            <w:tcW w:w="2084" w:type="dxa"/>
            <w:gridSpan w:val="4"/>
            <w:tcBorders>
              <w:top w:val="outset" w:sz="6" w:space="0" w:color="auto"/>
              <w:left w:val="outset" w:sz="6" w:space="0" w:color="auto"/>
              <w:bottom w:val="outset" w:sz="6" w:space="0" w:color="auto"/>
              <w:right w:val="outset" w:sz="6" w:space="0" w:color="auto"/>
            </w:tcBorders>
          </w:tcPr>
          <w:p w14:paraId="6DFAD5DF" w14:textId="77777777" w:rsidR="002F30BD" w:rsidRPr="0071702D" w:rsidRDefault="002F30BD" w:rsidP="001E06E2">
            <w:pPr>
              <w:rPr>
                <w:rFonts w:ascii="Times New Roman" w:hAnsi="Times New Roman"/>
              </w:rPr>
            </w:pPr>
            <w:r w:rsidRPr="0071702D">
              <w:rPr>
                <w:rFonts w:ascii="Times New Roman" w:hAnsi="Times New Roman"/>
              </w:rPr>
              <w:t xml:space="preserve">Noteikumu projekta 15.6.apakšpunkts </w:t>
            </w:r>
          </w:p>
        </w:tc>
        <w:tc>
          <w:tcPr>
            <w:tcW w:w="2594" w:type="dxa"/>
            <w:gridSpan w:val="3"/>
            <w:tcBorders>
              <w:top w:val="outset" w:sz="6" w:space="0" w:color="auto"/>
              <w:left w:val="outset" w:sz="6" w:space="0" w:color="auto"/>
              <w:bottom w:val="outset" w:sz="6" w:space="0" w:color="auto"/>
              <w:right w:val="outset" w:sz="6" w:space="0" w:color="auto"/>
            </w:tcBorders>
          </w:tcPr>
          <w:p w14:paraId="4AEBB536" w14:textId="77777777" w:rsidR="002F30BD" w:rsidRPr="0071702D" w:rsidRDefault="002F30BD" w:rsidP="001E06E2">
            <w:pPr>
              <w:rPr>
                <w:rFonts w:ascii="Times New Roman" w:hAnsi="Times New Roman"/>
              </w:rPr>
            </w:pPr>
            <w:r w:rsidRPr="0071702D">
              <w:rPr>
                <w:rFonts w:ascii="Times New Roman" w:hAnsi="Times New Roman"/>
                <w:spacing w:val="-2"/>
              </w:rPr>
              <w:t>Komisijas Regulas Nr. 1407/2013 prasības tiek ieviestas pilnībā.</w:t>
            </w:r>
          </w:p>
        </w:tc>
        <w:tc>
          <w:tcPr>
            <w:tcW w:w="2610" w:type="dxa"/>
            <w:gridSpan w:val="2"/>
            <w:tcBorders>
              <w:top w:val="outset" w:sz="6" w:space="0" w:color="auto"/>
              <w:left w:val="outset" w:sz="6" w:space="0" w:color="auto"/>
              <w:bottom w:val="outset" w:sz="6" w:space="0" w:color="auto"/>
            </w:tcBorders>
          </w:tcPr>
          <w:p w14:paraId="4F93B35B" w14:textId="77777777" w:rsidR="002F30BD" w:rsidRPr="0071702D" w:rsidRDefault="002F30BD" w:rsidP="001E06E2">
            <w:pPr>
              <w:rPr>
                <w:rFonts w:ascii="Times New Roman" w:hAnsi="Times New Roman"/>
                <w:spacing w:val="-2"/>
              </w:rPr>
            </w:pPr>
            <w:r w:rsidRPr="0071702D">
              <w:rPr>
                <w:rFonts w:ascii="Times New Roman" w:hAnsi="Times New Roman"/>
                <w:spacing w:val="-2"/>
              </w:rPr>
              <w:t>Noteikumu projekta vienības neparedz stingrākas prasības kā šīs tabulas A ailē minētās ES tiesību akta vienības.</w:t>
            </w:r>
          </w:p>
        </w:tc>
      </w:tr>
      <w:tr w:rsidR="00676910" w:rsidRPr="0071702D" w14:paraId="1B934D16"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7524026C" w14:textId="146BA560" w:rsidR="002F30BD" w:rsidRPr="0071702D" w:rsidRDefault="002F30BD" w:rsidP="0077120D">
            <w:pPr>
              <w:rPr>
                <w:rFonts w:ascii="Times New Roman" w:hAnsi="Times New Roman"/>
              </w:rPr>
            </w:pPr>
            <w:r w:rsidRPr="0071702D">
              <w:rPr>
                <w:rFonts w:ascii="Times New Roman" w:hAnsi="Times New Roman"/>
              </w:rPr>
              <w:t>Komisijas Regulas Nr.1407/201</w:t>
            </w:r>
            <w:r w:rsidR="0077120D">
              <w:rPr>
                <w:rFonts w:ascii="Times New Roman" w:hAnsi="Times New Roman"/>
              </w:rPr>
              <w:t>3</w:t>
            </w:r>
            <w:r w:rsidRPr="0071702D">
              <w:rPr>
                <w:rFonts w:ascii="Times New Roman" w:hAnsi="Times New Roman"/>
              </w:rPr>
              <w:t xml:space="preserve"> </w:t>
            </w:r>
            <w:r>
              <w:rPr>
                <w:rFonts w:ascii="Times New Roman" w:hAnsi="Times New Roman"/>
              </w:rPr>
              <w:t>2</w:t>
            </w:r>
            <w:r w:rsidRPr="0071702D">
              <w:rPr>
                <w:rFonts w:ascii="Times New Roman" w:hAnsi="Times New Roman"/>
              </w:rPr>
              <w:t>.panta 2.punkts</w:t>
            </w:r>
          </w:p>
        </w:tc>
        <w:tc>
          <w:tcPr>
            <w:tcW w:w="2084" w:type="dxa"/>
            <w:gridSpan w:val="4"/>
            <w:tcBorders>
              <w:top w:val="outset" w:sz="6" w:space="0" w:color="auto"/>
              <w:left w:val="outset" w:sz="6" w:space="0" w:color="auto"/>
              <w:bottom w:val="outset" w:sz="6" w:space="0" w:color="auto"/>
              <w:right w:val="outset" w:sz="6" w:space="0" w:color="auto"/>
            </w:tcBorders>
          </w:tcPr>
          <w:p w14:paraId="017DE266" w14:textId="77777777" w:rsidR="002F30BD" w:rsidRPr="0071702D" w:rsidRDefault="002F30BD" w:rsidP="001E06E2">
            <w:pPr>
              <w:rPr>
                <w:rFonts w:ascii="Times New Roman" w:hAnsi="Times New Roman"/>
              </w:rPr>
            </w:pPr>
            <w:r w:rsidRPr="0071702D">
              <w:rPr>
                <w:rFonts w:ascii="Times New Roman" w:hAnsi="Times New Roman"/>
              </w:rPr>
              <w:t xml:space="preserve">Noteikumu projekta 15.6.apakšpunkts </w:t>
            </w:r>
          </w:p>
        </w:tc>
        <w:tc>
          <w:tcPr>
            <w:tcW w:w="2594" w:type="dxa"/>
            <w:gridSpan w:val="3"/>
            <w:tcBorders>
              <w:top w:val="outset" w:sz="6" w:space="0" w:color="auto"/>
              <w:left w:val="outset" w:sz="6" w:space="0" w:color="auto"/>
              <w:bottom w:val="outset" w:sz="6" w:space="0" w:color="auto"/>
              <w:right w:val="outset" w:sz="6" w:space="0" w:color="auto"/>
            </w:tcBorders>
          </w:tcPr>
          <w:p w14:paraId="55630B97" w14:textId="77777777" w:rsidR="002F30BD" w:rsidRPr="0071702D" w:rsidRDefault="002F30BD" w:rsidP="001E06E2">
            <w:pPr>
              <w:rPr>
                <w:rFonts w:ascii="Times New Roman" w:hAnsi="Times New Roman"/>
              </w:rPr>
            </w:pPr>
            <w:r w:rsidRPr="0071702D">
              <w:rPr>
                <w:rFonts w:ascii="Times New Roman" w:hAnsi="Times New Roman"/>
                <w:spacing w:val="-2"/>
              </w:rPr>
              <w:t>Komisijas Regulas Nr. 1407/2013 prasības tiek ieviestas pilnībā.</w:t>
            </w:r>
          </w:p>
        </w:tc>
        <w:tc>
          <w:tcPr>
            <w:tcW w:w="2610" w:type="dxa"/>
            <w:gridSpan w:val="2"/>
            <w:tcBorders>
              <w:top w:val="outset" w:sz="6" w:space="0" w:color="auto"/>
              <w:left w:val="outset" w:sz="6" w:space="0" w:color="auto"/>
              <w:bottom w:val="outset" w:sz="6" w:space="0" w:color="auto"/>
            </w:tcBorders>
          </w:tcPr>
          <w:p w14:paraId="53C083F6" w14:textId="77777777" w:rsidR="002F30BD" w:rsidRPr="0071702D" w:rsidRDefault="002F30BD" w:rsidP="001E06E2">
            <w:pPr>
              <w:rPr>
                <w:rFonts w:ascii="Times New Roman" w:hAnsi="Times New Roman"/>
                <w:spacing w:val="-2"/>
              </w:rPr>
            </w:pPr>
            <w:r w:rsidRPr="0071702D">
              <w:rPr>
                <w:rFonts w:ascii="Times New Roman" w:hAnsi="Times New Roman"/>
                <w:spacing w:val="-2"/>
              </w:rPr>
              <w:t>Noteikumu projekta vienības neparedz stingrākas prasības kā šīs tabulas A ailē minētās ES tiesību akta vienības.</w:t>
            </w:r>
          </w:p>
        </w:tc>
      </w:tr>
      <w:tr w:rsidR="00676910" w:rsidRPr="00B84678" w14:paraId="4DBF3041"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7D00FADD" w14:textId="10E20F62" w:rsidR="002F30BD" w:rsidRPr="0071702D" w:rsidRDefault="002F30BD" w:rsidP="0077120D">
            <w:pPr>
              <w:rPr>
                <w:rFonts w:ascii="Times New Roman" w:hAnsi="Times New Roman"/>
              </w:rPr>
            </w:pPr>
            <w:r w:rsidRPr="0071702D">
              <w:rPr>
                <w:rFonts w:ascii="Times New Roman" w:hAnsi="Times New Roman"/>
              </w:rPr>
              <w:t>Komisijas Regulas Nr.1408/201</w:t>
            </w:r>
            <w:r w:rsidR="0077120D">
              <w:rPr>
                <w:rFonts w:ascii="Times New Roman" w:hAnsi="Times New Roman"/>
              </w:rPr>
              <w:t>3</w:t>
            </w:r>
            <w:r w:rsidRPr="0071702D">
              <w:rPr>
                <w:rFonts w:ascii="Times New Roman" w:hAnsi="Times New Roman"/>
              </w:rPr>
              <w:t xml:space="preserve"> 3.panta 2.punkts</w:t>
            </w:r>
          </w:p>
        </w:tc>
        <w:tc>
          <w:tcPr>
            <w:tcW w:w="2084" w:type="dxa"/>
            <w:gridSpan w:val="4"/>
            <w:tcBorders>
              <w:top w:val="outset" w:sz="6" w:space="0" w:color="auto"/>
              <w:left w:val="outset" w:sz="6" w:space="0" w:color="auto"/>
              <w:bottom w:val="outset" w:sz="6" w:space="0" w:color="auto"/>
              <w:right w:val="outset" w:sz="6" w:space="0" w:color="auto"/>
            </w:tcBorders>
          </w:tcPr>
          <w:p w14:paraId="29A4E121" w14:textId="77777777" w:rsidR="002F30BD" w:rsidRPr="0071702D" w:rsidRDefault="002F30BD" w:rsidP="001E06E2">
            <w:pPr>
              <w:rPr>
                <w:rFonts w:ascii="Times New Roman" w:hAnsi="Times New Roman"/>
              </w:rPr>
            </w:pPr>
            <w:r w:rsidRPr="0071702D">
              <w:rPr>
                <w:rFonts w:ascii="Times New Roman" w:hAnsi="Times New Roman"/>
              </w:rPr>
              <w:t xml:space="preserve">Noteikumu projekta 15.7.apakšpunkts </w:t>
            </w:r>
          </w:p>
        </w:tc>
        <w:tc>
          <w:tcPr>
            <w:tcW w:w="2594" w:type="dxa"/>
            <w:gridSpan w:val="3"/>
            <w:tcBorders>
              <w:top w:val="outset" w:sz="6" w:space="0" w:color="auto"/>
              <w:left w:val="outset" w:sz="6" w:space="0" w:color="auto"/>
              <w:bottom w:val="outset" w:sz="6" w:space="0" w:color="auto"/>
              <w:right w:val="outset" w:sz="6" w:space="0" w:color="auto"/>
            </w:tcBorders>
          </w:tcPr>
          <w:p w14:paraId="355D77BF" w14:textId="77777777" w:rsidR="002F30BD" w:rsidRPr="0071702D" w:rsidRDefault="002F30BD" w:rsidP="001E06E2">
            <w:pPr>
              <w:rPr>
                <w:rFonts w:ascii="Times New Roman" w:hAnsi="Times New Roman"/>
              </w:rPr>
            </w:pPr>
            <w:r w:rsidRPr="0071702D">
              <w:rPr>
                <w:rFonts w:ascii="Times New Roman" w:hAnsi="Times New Roman"/>
                <w:spacing w:val="-2"/>
              </w:rPr>
              <w:t>Komisijas Regulas Nr. 1408/2013 prasības tiek ieviestas pilnībā.</w:t>
            </w:r>
          </w:p>
        </w:tc>
        <w:tc>
          <w:tcPr>
            <w:tcW w:w="2610" w:type="dxa"/>
            <w:gridSpan w:val="2"/>
            <w:tcBorders>
              <w:top w:val="outset" w:sz="6" w:space="0" w:color="auto"/>
              <w:left w:val="outset" w:sz="6" w:space="0" w:color="auto"/>
              <w:bottom w:val="outset" w:sz="6" w:space="0" w:color="auto"/>
            </w:tcBorders>
          </w:tcPr>
          <w:p w14:paraId="5DC79C2C" w14:textId="77777777" w:rsidR="002F30BD" w:rsidRPr="0071702D" w:rsidRDefault="002F30BD" w:rsidP="001E06E2">
            <w:pPr>
              <w:rPr>
                <w:rFonts w:ascii="Times New Roman" w:hAnsi="Times New Roman"/>
                <w:spacing w:val="-2"/>
              </w:rPr>
            </w:pPr>
            <w:r w:rsidRPr="0071702D">
              <w:rPr>
                <w:rFonts w:ascii="Times New Roman" w:hAnsi="Times New Roman"/>
                <w:spacing w:val="-2"/>
              </w:rPr>
              <w:t>Noteikumu projekta vienības neparedz stingrākas prasības kā šīs tabulas A ailē minētās ES tiesību akta vienības.</w:t>
            </w:r>
          </w:p>
        </w:tc>
      </w:tr>
      <w:tr w:rsidR="00676910" w:rsidRPr="00B84678" w14:paraId="1BDFD055"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3AAB1983" w14:textId="5ED4F173" w:rsidR="002F30BD" w:rsidRPr="0071702D" w:rsidRDefault="002F30BD" w:rsidP="0077120D">
            <w:pPr>
              <w:rPr>
                <w:rFonts w:ascii="Times New Roman" w:hAnsi="Times New Roman"/>
              </w:rPr>
            </w:pPr>
            <w:r w:rsidRPr="0071702D">
              <w:rPr>
                <w:rFonts w:ascii="Times New Roman" w:hAnsi="Times New Roman"/>
              </w:rPr>
              <w:t>Komisijas Regulas Nr.1408/201</w:t>
            </w:r>
            <w:r w:rsidR="0077120D">
              <w:rPr>
                <w:rFonts w:ascii="Times New Roman" w:hAnsi="Times New Roman"/>
              </w:rPr>
              <w:t>3</w:t>
            </w:r>
            <w:r w:rsidRPr="0071702D">
              <w:rPr>
                <w:rFonts w:ascii="Times New Roman" w:hAnsi="Times New Roman"/>
              </w:rPr>
              <w:t xml:space="preserve"> </w:t>
            </w:r>
            <w:r>
              <w:rPr>
                <w:rFonts w:ascii="Times New Roman" w:hAnsi="Times New Roman"/>
              </w:rPr>
              <w:t>2</w:t>
            </w:r>
            <w:r w:rsidRPr="0071702D">
              <w:rPr>
                <w:rFonts w:ascii="Times New Roman" w:hAnsi="Times New Roman"/>
              </w:rPr>
              <w:t>.panta 2.punkts</w:t>
            </w:r>
          </w:p>
        </w:tc>
        <w:tc>
          <w:tcPr>
            <w:tcW w:w="2084" w:type="dxa"/>
            <w:gridSpan w:val="4"/>
            <w:tcBorders>
              <w:top w:val="outset" w:sz="6" w:space="0" w:color="auto"/>
              <w:left w:val="outset" w:sz="6" w:space="0" w:color="auto"/>
              <w:bottom w:val="outset" w:sz="6" w:space="0" w:color="auto"/>
              <w:right w:val="outset" w:sz="6" w:space="0" w:color="auto"/>
            </w:tcBorders>
          </w:tcPr>
          <w:p w14:paraId="50FE7FA5" w14:textId="77777777" w:rsidR="002F30BD" w:rsidRPr="0071702D" w:rsidRDefault="002F30BD" w:rsidP="001E06E2">
            <w:pPr>
              <w:rPr>
                <w:rFonts w:ascii="Times New Roman" w:hAnsi="Times New Roman"/>
              </w:rPr>
            </w:pPr>
            <w:r w:rsidRPr="0071702D">
              <w:rPr>
                <w:rFonts w:ascii="Times New Roman" w:hAnsi="Times New Roman"/>
              </w:rPr>
              <w:t xml:space="preserve">Noteikumu projekta 15.7.apakšpunkts </w:t>
            </w:r>
          </w:p>
        </w:tc>
        <w:tc>
          <w:tcPr>
            <w:tcW w:w="2594" w:type="dxa"/>
            <w:gridSpan w:val="3"/>
            <w:tcBorders>
              <w:top w:val="outset" w:sz="6" w:space="0" w:color="auto"/>
              <w:left w:val="outset" w:sz="6" w:space="0" w:color="auto"/>
              <w:bottom w:val="outset" w:sz="6" w:space="0" w:color="auto"/>
              <w:right w:val="outset" w:sz="6" w:space="0" w:color="auto"/>
            </w:tcBorders>
          </w:tcPr>
          <w:p w14:paraId="4E73BA9A" w14:textId="77777777" w:rsidR="002F30BD" w:rsidRPr="0071702D" w:rsidRDefault="002F30BD" w:rsidP="001E06E2">
            <w:pPr>
              <w:rPr>
                <w:rFonts w:ascii="Times New Roman" w:hAnsi="Times New Roman"/>
              </w:rPr>
            </w:pPr>
            <w:r w:rsidRPr="0071702D">
              <w:rPr>
                <w:rFonts w:ascii="Times New Roman" w:hAnsi="Times New Roman"/>
                <w:spacing w:val="-2"/>
              </w:rPr>
              <w:t>Komisijas Regulas Nr. 1408/2013 prasības tiek ieviestas pilnībā.</w:t>
            </w:r>
          </w:p>
        </w:tc>
        <w:tc>
          <w:tcPr>
            <w:tcW w:w="2610" w:type="dxa"/>
            <w:gridSpan w:val="2"/>
            <w:tcBorders>
              <w:top w:val="outset" w:sz="6" w:space="0" w:color="auto"/>
              <w:left w:val="outset" w:sz="6" w:space="0" w:color="auto"/>
              <w:bottom w:val="outset" w:sz="6" w:space="0" w:color="auto"/>
            </w:tcBorders>
          </w:tcPr>
          <w:p w14:paraId="48CA81BB" w14:textId="77777777" w:rsidR="002F30BD" w:rsidRPr="0071702D" w:rsidRDefault="002F30BD" w:rsidP="001E06E2">
            <w:pPr>
              <w:rPr>
                <w:rFonts w:ascii="Times New Roman" w:hAnsi="Times New Roman"/>
                <w:spacing w:val="-2"/>
              </w:rPr>
            </w:pPr>
            <w:r w:rsidRPr="0071702D">
              <w:rPr>
                <w:rFonts w:ascii="Times New Roman" w:hAnsi="Times New Roman"/>
                <w:spacing w:val="-2"/>
              </w:rPr>
              <w:t>Noteikumu projekta vienības neparedz stingrākas prasības kā šīs tabulas A ailē minētās ES tiesību akta vienības.</w:t>
            </w:r>
          </w:p>
        </w:tc>
      </w:tr>
      <w:tr w:rsidR="00676910" w:rsidRPr="00B84678" w14:paraId="3B822AAC"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744807D8" w14:textId="77777777" w:rsidR="002F30BD" w:rsidRPr="0071702D" w:rsidRDefault="002F30BD" w:rsidP="001E06E2">
            <w:pPr>
              <w:rPr>
                <w:rFonts w:ascii="Times New Roman" w:hAnsi="Times New Roman"/>
              </w:rPr>
            </w:pPr>
            <w:r w:rsidRPr="0071702D">
              <w:rPr>
                <w:rFonts w:ascii="Times New Roman" w:hAnsi="Times New Roman"/>
              </w:rPr>
              <w:t>Komisijas Regulas Nr.717/2014 2.panta 2.punkts</w:t>
            </w:r>
          </w:p>
        </w:tc>
        <w:tc>
          <w:tcPr>
            <w:tcW w:w="2084" w:type="dxa"/>
            <w:gridSpan w:val="4"/>
            <w:tcBorders>
              <w:top w:val="outset" w:sz="6" w:space="0" w:color="auto"/>
              <w:left w:val="outset" w:sz="6" w:space="0" w:color="auto"/>
              <w:bottom w:val="outset" w:sz="6" w:space="0" w:color="auto"/>
              <w:right w:val="outset" w:sz="6" w:space="0" w:color="auto"/>
            </w:tcBorders>
          </w:tcPr>
          <w:p w14:paraId="0A61E7CD" w14:textId="77777777" w:rsidR="002F30BD" w:rsidRPr="0071702D" w:rsidRDefault="002F30BD" w:rsidP="001E06E2">
            <w:pPr>
              <w:rPr>
                <w:rFonts w:ascii="Times New Roman" w:hAnsi="Times New Roman"/>
              </w:rPr>
            </w:pPr>
            <w:r w:rsidRPr="0071702D">
              <w:rPr>
                <w:rFonts w:ascii="Times New Roman" w:hAnsi="Times New Roman"/>
              </w:rPr>
              <w:t xml:space="preserve">Noteikumu projekta 15.8.apakšpunkts </w:t>
            </w:r>
          </w:p>
        </w:tc>
        <w:tc>
          <w:tcPr>
            <w:tcW w:w="2594" w:type="dxa"/>
            <w:gridSpan w:val="3"/>
            <w:tcBorders>
              <w:top w:val="outset" w:sz="6" w:space="0" w:color="auto"/>
              <w:left w:val="outset" w:sz="6" w:space="0" w:color="auto"/>
              <w:bottom w:val="outset" w:sz="6" w:space="0" w:color="auto"/>
              <w:right w:val="outset" w:sz="6" w:space="0" w:color="auto"/>
            </w:tcBorders>
          </w:tcPr>
          <w:p w14:paraId="69066089" w14:textId="77777777" w:rsidR="002F30BD" w:rsidRPr="0071702D" w:rsidRDefault="002F30BD" w:rsidP="001E06E2">
            <w:pPr>
              <w:rPr>
                <w:rFonts w:ascii="Times New Roman" w:hAnsi="Times New Roman"/>
                <w:spacing w:val="-2"/>
              </w:rPr>
            </w:pPr>
            <w:r w:rsidRPr="0071702D">
              <w:rPr>
                <w:rFonts w:ascii="Times New Roman" w:hAnsi="Times New Roman"/>
                <w:spacing w:val="-2"/>
              </w:rPr>
              <w:t>Komisijas Regulas Nr.717/2014 prasības tiek ieviestas pilnībā.</w:t>
            </w:r>
          </w:p>
        </w:tc>
        <w:tc>
          <w:tcPr>
            <w:tcW w:w="2610" w:type="dxa"/>
            <w:gridSpan w:val="2"/>
            <w:tcBorders>
              <w:top w:val="outset" w:sz="6" w:space="0" w:color="auto"/>
              <w:left w:val="outset" w:sz="6" w:space="0" w:color="auto"/>
              <w:bottom w:val="outset" w:sz="6" w:space="0" w:color="auto"/>
            </w:tcBorders>
          </w:tcPr>
          <w:p w14:paraId="34B26966" w14:textId="77777777" w:rsidR="002F30BD" w:rsidRPr="0071702D" w:rsidRDefault="002F30BD" w:rsidP="001E06E2">
            <w:pPr>
              <w:rPr>
                <w:rFonts w:ascii="Times New Roman" w:hAnsi="Times New Roman"/>
                <w:spacing w:val="-2"/>
              </w:rPr>
            </w:pPr>
            <w:r w:rsidRPr="0071702D">
              <w:rPr>
                <w:rFonts w:ascii="Times New Roman" w:hAnsi="Times New Roman"/>
                <w:spacing w:val="-2"/>
              </w:rPr>
              <w:t>Noteikumu projekta vienības neparedz stingrākas prasības kā šīs tabulas A ailē minētās ES tiesību akta vienības.</w:t>
            </w:r>
          </w:p>
        </w:tc>
      </w:tr>
      <w:tr w:rsidR="00676910" w:rsidRPr="00B84678" w14:paraId="58A0C27F"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0BABE04E" w14:textId="77777777" w:rsidR="002F30BD" w:rsidRPr="0071702D" w:rsidRDefault="002F30BD" w:rsidP="001E06E2">
            <w:pPr>
              <w:rPr>
                <w:rFonts w:ascii="Times New Roman" w:hAnsi="Times New Roman"/>
              </w:rPr>
            </w:pPr>
            <w:r w:rsidRPr="0071702D">
              <w:rPr>
                <w:rFonts w:ascii="Times New Roman" w:hAnsi="Times New Roman"/>
              </w:rPr>
              <w:t>Komisijas Regulas Nr.717/2014 5.pants</w:t>
            </w:r>
          </w:p>
        </w:tc>
        <w:tc>
          <w:tcPr>
            <w:tcW w:w="2084" w:type="dxa"/>
            <w:gridSpan w:val="4"/>
            <w:tcBorders>
              <w:top w:val="outset" w:sz="6" w:space="0" w:color="auto"/>
              <w:left w:val="outset" w:sz="6" w:space="0" w:color="auto"/>
              <w:bottom w:val="outset" w:sz="6" w:space="0" w:color="auto"/>
              <w:right w:val="outset" w:sz="6" w:space="0" w:color="auto"/>
            </w:tcBorders>
          </w:tcPr>
          <w:p w14:paraId="5BC8BF51" w14:textId="77777777" w:rsidR="002F30BD" w:rsidRPr="0071702D" w:rsidRDefault="002F30BD" w:rsidP="001E06E2">
            <w:pPr>
              <w:rPr>
                <w:rFonts w:ascii="Times New Roman" w:hAnsi="Times New Roman"/>
              </w:rPr>
            </w:pPr>
            <w:r w:rsidRPr="0071702D">
              <w:rPr>
                <w:rFonts w:ascii="Times New Roman" w:hAnsi="Times New Roman"/>
              </w:rPr>
              <w:t xml:space="preserve">Noteikumu projekta 8.2.apakšpunkts </w:t>
            </w:r>
          </w:p>
        </w:tc>
        <w:tc>
          <w:tcPr>
            <w:tcW w:w="2594" w:type="dxa"/>
            <w:gridSpan w:val="3"/>
            <w:tcBorders>
              <w:top w:val="outset" w:sz="6" w:space="0" w:color="auto"/>
              <w:left w:val="outset" w:sz="6" w:space="0" w:color="auto"/>
              <w:bottom w:val="outset" w:sz="6" w:space="0" w:color="auto"/>
              <w:right w:val="outset" w:sz="6" w:space="0" w:color="auto"/>
            </w:tcBorders>
          </w:tcPr>
          <w:p w14:paraId="3F605BFF" w14:textId="77777777" w:rsidR="002F30BD" w:rsidRPr="0071702D" w:rsidRDefault="002F30BD" w:rsidP="001E06E2">
            <w:pPr>
              <w:rPr>
                <w:rFonts w:ascii="Times New Roman" w:hAnsi="Times New Roman"/>
                <w:spacing w:val="-2"/>
              </w:rPr>
            </w:pPr>
            <w:r w:rsidRPr="0071702D">
              <w:rPr>
                <w:rFonts w:ascii="Times New Roman" w:hAnsi="Times New Roman"/>
                <w:spacing w:val="-2"/>
              </w:rPr>
              <w:t>Komisijas Regulas Nr.717/2014 prasības tiek ieviestas pilnībā.</w:t>
            </w:r>
          </w:p>
        </w:tc>
        <w:tc>
          <w:tcPr>
            <w:tcW w:w="2610" w:type="dxa"/>
            <w:gridSpan w:val="2"/>
            <w:tcBorders>
              <w:top w:val="outset" w:sz="6" w:space="0" w:color="auto"/>
              <w:left w:val="outset" w:sz="6" w:space="0" w:color="auto"/>
              <w:bottom w:val="outset" w:sz="6" w:space="0" w:color="auto"/>
            </w:tcBorders>
          </w:tcPr>
          <w:p w14:paraId="6EB609BE" w14:textId="77777777" w:rsidR="002F30BD" w:rsidRPr="006A5B70" w:rsidRDefault="002F30BD" w:rsidP="001E06E2">
            <w:pPr>
              <w:rPr>
                <w:rFonts w:ascii="Times New Roman" w:hAnsi="Times New Roman"/>
                <w:spacing w:val="-2"/>
              </w:rPr>
            </w:pPr>
            <w:r w:rsidRPr="0071702D">
              <w:rPr>
                <w:rFonts w:ascii="Times New Roman" w:hAnsi="Times New Roman"/>
                <w:spacing w:val="-2"/>
              </w:rPr>
              <w:t>Noteikumu projekta vienības neparedz stingrākas prasības kā šīs tabulas A ailē minētās ES tiesību akta vienības.</w:t>
            </w:r>
          </w:p>
        </w:tc>
      </w:tr>
      <w:tr w:rsidR="00676910" w:rsidRPr="00B84678" w14:paraId="1A0F8E5F"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2A52615F" w14:textId="77777777" w:rsidR="002F30BD" w:rsidRPr="0071702D" w:rsidRDefault="002F30BD" w:rsidP="000B64EA">
            <w:pPr>
              <w:rPr>
                <w:rFonts w:ascii="Times New Roman" w:hAnsi="Times New Roman"/>
              </w:rPr>
            </w:pPr>
            <w:r w:rsidRPr="0071702D">
              <w:rPr>
                <w:rFonts w:ascii="Times New Roman" w:hAnsi="Times New Roman"/>
              </w:rPr>
              <w:t xml:space="preserve">Komisijas Regula Nr. </w:t>
            </w:r>
            <w:hyperlink r:id="rId24" w:tgtFrame="_blank" w:history="1">
              <w:r w:rsidRPr="0071702D">
                <w:rPr>
                  <w:rFonts w:ascii="Times New Roman" w:hAnsi="Times New Roman"/>
                </w:rPr>
                <w:t>1407/2013</w:t>
              </w:r>
            </w:hyperlink>
            <w:r w:rsidRPr="0071702D">
              <w:rPr>
                <w:rFonts w:ascii="Times New Roman" w:hAnsi="Times New Roman"/>
              </w:rPr>
              <w:t xml:space="preserve"> 1.panta 1.punkts</w:t>
            </w:r>
          </w:p>
        </w:tc>
        <w:tc>
          <w:tcPr>
            <w:tcW w:w="2084" w:type="dxa"/>
            <w:gridSpan w:val="4"/>
            <w:tcBorders>
              <w:top w:val="outset" w:sz="6" w:space="0" w:color="auto"/>
              <w:left w:val="outset" w:sz="6" w:space="0" w:color="auto"/>
              <w:bottom w:val="outset" w:sz="6" w:space="0" w:color="auto"/>
              <w:right w:val="outset" w:sz="6" w:space="0" w:color="auto"/>
            </w:tcBorders>
          </w:tcPr>
          <w:p w14:paraId="356E4E2F" w14:textId="77777777" w:rsidR="002F30BD" w:rsidRPr="0071702D" w:rsidRDefault="002F30BD" w:rsidP="000B64EA">
            <w:r w:rsidRPr="0071702D">
              <w:rPr>
                <w:rFonts w:ascii="Times New Roman" w:hAnsi="Times New Roman"/>
              </w:rPr>
              <w:t>Noteikumu projekta 6.6.apakšpunkts</w:t>
            </w:r>
          </w:p>
        </w:tc>
        <w:tc>
          <w:tcPr>
            <w:tcW w:w="2594" w:type="dxa"/>
            <w:gridSpan w:val="3"/>
            <w:tcBorders>
              <w:top w:val="outset" w:sz="6" w:space="0" w:color="auto"/>
              <w:left w:val="outset" w:sz="6" w:space="0" w:color="auto"/>
              <w:bottom w:val="outset" w:sz="6" w:space="0" w:color="auto"/>
              <w:right w:val="outset" w:sz="6" w:space="0" w:color="auto"/>
            </w:tcBorders>
          </w:tcPr>
          <w:p w14:paraId="63BA1E4A" w14:textId="77777777" w:rsidR="002F30BD" w:rsidRPr="0071702D" w:rsidRDefault="002F30BD" w:rsidP="000B64EA">
            <w:r w:rsidRPr="0071702D">
              <w:rPr>
                <w:rFonts w:ascii="Times New Roman" w:hAnsi="Times New Roman"/>
                <w:spacing w:val="-2"/>
              </w:rPr>
              <w:t>Komisijas Regulas Nr. 1407/2013 prasības tiek ieviestas pilnībā.</w:t>
            </w:r>
          </w:p>
        </w:tc>
        <w:tc>
          <w:tcPr>
            <w:tcW w:w="2610" w:type="dxa"/>
            <w:gridSpan w:val="2"/>
            <w:tcBorders>
              <w:top w:val="outset" w:sz="6" w:space="0" w:color="auto"/>
              <w:left w:val="outset" w:sz="6" w:space="0" w:color="auto"/>
              <w:bottom w:val="outset" w:sz="6" w:space="0" w:color="auto"/>
            </w:tcBorders>
          </w:tcPr>
          <w:p w14:paraId="7628E614" w14:textId="77777777" w:rsidR="002F30BD" w:rsidRPr="00E254A3" w:rsidRDefault="002F30BD" w:rsidP="000B64EA">
            <w:pPr>
              <w:rPr>
                <w:rFonts w:ascii="Times New Roman" w:hAnsi="Times New Roman"/>
                <w:spacing w:val="-2"/>
              </w:rPr>
            </w:pPr>
            <w:r w:rsidRPr="0071702D">
              <w:rPr>
                <w:rFonts w:ascii="Times New Roman" w:hAnsi="Times New Roman"/>
                <w:spacing w:val="-2"/>
              </w:rPr>
              <w:t>projekta vienības neparedz stingrākas prasības kā šīs tabulas A ailē minētās ES tiesību akta vienības.</w:t>
            </w:r>
            <w:r>
              <w:rPr>
                <w:rFonts w:ascii="Times New Roman" w:hAnsi="Times New Roman"/>
                <w:spacing w:val="-2"/>
              </w:rPr>
              <w:t xml:space="preserve"> </w:t>
            </w:r>
          </w:p>
        </w:tc>
      </w:tr>
      <w:tr w:rsidR="00676910" w:rsidRPr="00B84678" w14:paraId="74A20757"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61D584C9" w14:textId="77777777" w:rsidR="002F30BD" w:rsidRPr="0071702D" w:rsidRDefault="002F30BD" w:rsidP="000B64EA">
            <w:pPr>
              <w:rPr>
                <w:rFonts w:ascii="Times New Roman" w:hAnsi="Times New Roman"/>
              </w:rPr>
            </w:pPr>
            <w:r w:rsidRPr="0071702D">
              <w:rPr>
                <w:rFonts w:ascii="Times New Roman" w:hAnsi="Times New Roman"/>
              </w:rPr>
              <w:t xml:space="preserve">Komisijas Regula Nr. </w:t>
            </w:r>
            <w:hyperlink r:id="rId25" w:tgtFrame="_blank" w:history="1">
              <w:r w:rsidRPr="0071702D">
                <w:rPr>
                  <w:rFonts w:ascii="Times New Roman" w:hAnsi="Times New Roman"/>
                </w:rPr>
                <w:t>1408/2013</w:t>
              </w:r>
            </w:hyperlink>
            <w:r w:rsidRPr="0071702D">
              <w:rPr>
                <w:rFonts w:ascii="Times New Roman" w:hAnsi="Times New Roman"/>
              </w:rPr>
              <w:t xml:space="preserve"> 1.panta 1.punkts</w:t>
            </w:r>
          </w:p>
        </w:tc>
        <w:tc>
          <w:tcPr>
            <w:tcW w:w="2084" w:type="dxa"/>
            <w:gridSpan w:val="4"/>
            <w:tcBorders>
              <w:top w:val="outset" w:sz="6" w:space="0" w:color="auto"/>
              <w:left w:val="outset" w:sz="6" w:space="0" w:color="auto"/>
              <w:bottom w:val="outset" w:sz="6" w:space="0" w:color="auto"/>
              <w:right w:val="outset" w:sz="6" w:space="0" w:color="auto"/>
            </w:tcBorders>
          </w:tcPr>
          <w:p w14:paraId="57540EA6" w14:textId="77777777" w:rsidR="002F30BD" w:rsidRPr="0071702D" w:rsidRDefault="002F30BD" w:rsidP="000B64EA">
            <w:r w:rsidRPr="0071702D">
              <w:rPr>
                <w:rFonts w:ascii="Times New Roman" w:hAnsi="Times New Roman"/>
              </w:rPr>
              <w:t>Noteikumu projekta 6.7.apakšpunkts</w:t>
            </w:r>
          </w:p>
        </w:tc>
        <w:tc>
          <w:tcPr>
            <w:tcW w:w="2594" w:type="dxa"/>
            <w:gridSpan w:val="3"/>
            <w:tcBorders>
              <w:top w:val="outset" w:sz="6" w:space="0" w:color="auto"/>
              <w:left w:val="outset" w:sz="6" w:space="0" w:color="auto"/>
              <w:bottom w:val="outset" w:sz="6" w:space="0" w:color="auto"/>
              <w:right w:val="outset" w:sz="6" w:space="0" w:color="auto"/>
            </w:tcBorders>
          </w:tcPr>
          <w:p w14:paraId="4EC2EB44" w14:textId="77777777" w:rsidR="002F30BD" w:rsidRPr="0071702D" w:rsidRDefault="002F30BD" w:rsidP="000B64EA">
            <w:r w:rsidRPr="0071702D">
              <w:rPr>
                <w:rFonts w:ascii="Times New Roman" w:hAnsi="Times New Roman"/>
                <w:spacing w:val="-2"/>
              </w:rPr>
              <w:t>Komisijas Regulas Nr. 1408/2013 prasības tiek ieviestas pilnībā.</w:t>
            </w:r>
          </w:p>
        </w:tc>
        <w:tc>
          <w:tcPr>
            <w:tcW w:w="2610" w:type="dxa"/>
            <w:gridSpan w:val="2"/>
            <w:tcBorders>
              <w:top w:val="outset" w:sz="6" w:space="0" w:color="auto"/>
              <w:left w:val="outset" w:sz="6" w:space="0" w:color="auto"/>
              <w:bottom w:val="outset" w:sz="6" w:space="0" w:color="auto"/>
            </w:tcBorders>
          </w:tcPr>
          <w:p w14:paraId="26C87E4D" w14:textId="77777777" w:rsidR="002F30BD" w:rsidRPr="006A5B70" w:rsidRDefault="002F30BD" w:rsidP="000B64EA">
            <w:pPr>
              <w:rPr>
                <w:rFonts w:ascii="Times New Roman" w:hAnsi="Times New Roman"/>
                <w:spacing w:val="-2"/>
              </w:rPr>
            </w:pPr>
            <w:r w:rsidRPr="0071702D">
              <w:rPr>
                <w:rFonts w:ascii="Times New Roman" w:hAnsi="Times New Roman"/>
                <w:spacing w:val="-2"/>
              </w:rPr>
              <w:t>projekta vienības neparedz stingrākas prasības kā šīs tabulas A ailē minētās ES tiesību akta vienības.</w:t>
            </w:r>
          </w:p>
        </w:tc>
      </w:tr>
      <w:tr w:rsidR="00676910" w:rsidRPr="00B84678" w14:paraId="1869D203"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07009DBA" w14:textId="77777777" w:rsidR="002F30BD" w:rsidRPr="0071702D" w:rsidRDefault="002F30BD" w:rsidP="000B64EA">
            <w:pPr>
              <w:rPr>
                <w:rFonts w:ascii="Times New Roman" w:hAnsi="Times New Roman"/>
              </w:rPr>
            </w:pPr>
            <w:r w:rsidRPr="0071702D">
              <w:rPr>
                <w:rFonts w:ascii="Times New Roman" w:hAnsi="Times New Roman"/>
              </w:rPr>
              <w:t xml:space="preserve">Komisijas Regula Nr. </w:t>
            </w:r>
            <w:hyperlink r:id="rId26" w:tgtFrame="_blank" w:history="1">
              <w:r w:rsidRPr="0071702D">
                <w:rPr>
                  <w:rFonts w:ascii="Times New Roman" w:hAnsi="Times New Roman"/>
                </w:rPr>
                <w:t>1407/2013</w:t>
              </w:r>
            </w:hyperlink>
            <w:r w:rsidRPr="0071702D">
              <w:rPr>
                <w:rFonts w:ascii="Times New Roman" w:hAnsi="Times New Roman"/>
              </w:rPr>
              <w:t xml:space="preserve"> 5.pants </w:t>
            </w:r>
          </w:p>
        </w:tc>
        <w:tc>
          <w:tcPr>
            <w:tcW w:w="2084" w:type="dxa"/>
            <w:gridSpan w:val="4"/>
            <w:tcBorders>
              <w:top w:val="outset" w:sz="6" w:space="0" w:color="auto"/>
              <w:left w:val="outset" w:sz="6" w:space="0" w:color="auto"/>
              <w:bottom w:val="outset" w:sz="6" w:space="0" w:color="auto"/>
              <w:right w:val="outset" w:sz="6" w:space="0" w:color="auto"/>
            </w:tcBorders>
          </w:tcPr>
          <w:p w14:paraId="3DAFABA2" w14:textId="77777777" w:rsidR="002F30BD" w:rsidRPr="0071702D" w:rsidRDefault="002F30BD" w:rsidP="000B64EA">
            <w:r w:rsidRPr="0071702D">
              <w:rPr>
                <w:rFonts w:ascii="Times New Roman" w:hAnsi="Times New Roman"/>
              </w:rPr>
              <w:lastRenderedPageBreak/>
              <w:t xml:space="preserve">Noteikumu projekta </w:t>
            </w:r>
            <w:r w:rsidRPr="0071702D">
              <w:rPr>
                <w:rFonts w:ascii="Times New Roman" w:hAnsi="Times New Roman"/>
              </w:rPr>
              <w:lastRenderedPageBreak/>
              <w:t>8.2.apakšpunkts</w:t>
            </w:r>
          </w:p>
        </w:tc>
        <w:tc>
          <w:tcPr>
            <w:tcW w:w="2594" w:type="dxa"/>
            <w:gridSpan w:val="3"/>
            <w:tcBorders>
              <w:top w:val="outset" w:sz="6" w:space="0" w:color="auto"/>
              <w:left w:val="outset" w:sz="6" w:space="0" w:color="auto"/>
              <w:bottom w:val="outset" w:sz="6" w:space="0" w:color="auto"/>
              <w:right w:val="outset" w:sz="6" w:space="0" w:color="auto"/>
            </w:tcBorders>
          </w:tcPr>
          <w:p w14:paraId="17582F22" w14:textId="77777777" w:rsidR="002F30BD" w:rsidRPr="0071702D" w:rsidRDefault="002F30BD" w:rsidP="000B64EA">
            <w:r w:rsidRPr="0071702D">
              <w:rPr>
                <w:rFonts w:ascii="Times New Roman" w:hAnsi="Times New Roman"/>
                <w:spacing w:val="-2"/>
              </w:rPr>
              <w:lastRenderedPageBreak/>
              <w:t xml:space="preserve">Komisijas Regulas Nr. </w:t>
            </w:r>
            <w:r w:rsidRPr="0071702D">
              <w:rPr>
                <w:rFonts w:ascii="Times New Roman" w:hAnsi="Times New Roman"/>
                <w:spacing w:val="-2"/>
              </w:rPr>
              <w:lastRenderedPageBreak/>
              <w:t>1407/2013 prasības tiek ieviestas pilnībā.</w:t>
            </w:r>
          </w:p>
        </w:tc>
        <w:tc>
          <w:tcPr>
            <w:tcW w:w="2610" w:type="dxa"/>
            <w:gridSpan w:val="2"/>
            <w:tcBorders>
              <w:top w:val="outset" w:sz="6" w:space="0" w:color="auto"/>
              <w:left w:val="outset" w:sz="6" w:space="0" w:color="auto"/>
              <w:bottom w:val="outset" w:sz="6" w:space="0" w:color="auto"/>
            </w:tcBorders>
          </w:tcPr>
          <w:p w14:paraId="2D14F78E" w14:textId="77777777" w:rsidR="002F30BD" w:rsidRPr="0071702D" w:rsidRDefault="002F30BD" w:rsidP="000B64EA">
            <w:r w:rsidRPr="0071702D">
              <w:rPr>
                <w:rFonts w:ascii="Times New Roman" w:hAnsi="Times New Roman"/>
                <w:spacing w:val="-2"/>
              </w:rPr>
              <w:lastRenderedPageBreak/>
              <w:t xml:space="preserve">Noteikumu projekta vienības </w:t>
            </w:r>
            <w:r w:rsidRPr="0071702D">
              <w:rPr>
                <w:rFonts w:ascii="Times New Roman" w:hAnsi="Times New Roman"/>
                <w:spacing w:val="-2"/>
              </w:rPr>
              <w:lastRenderedPageBreak/>
              <w:t>neparedz stingrākas prasības kā šīs tabulas A ailē minētās ES tiesību akta vienības.</w:t>
            </w:r>
          </w:p>
        </w:tc>
      </w:tr>
      <w:tr w:rsidR="00676910" w:rsidRPr="00B84678" w14:paraId="64CCBDEB"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2EAA853F" w14:textId="77777777" w:rsidR="002F30BD" w:rsidRPr="0071702D" w:rsidRDefault="002F30BD" w:rsidP="000B64EA">
            <w:pPr>
              <w:rPr>
                <w:rFonts w:ascii="Times New Roman" w:hAnsi="Times New Roman"/>
              </w:rPr>
            </w:pPr>
            <w:r w:rsidRPr="0071702D">
              <w:rPr>
                <w:rFonts w:ascii="Times New Roman" w:hAnsi="Times New Roman"/>
              </w:rPr>
              <w:lastRenderedPageBreak/>
              <w:t xml:space="preserve">Komisijas Regula Nr. </w:t>
            </w:r>
            <w:hyperlink r:id="rId27" w:tgtFrame="_blank" w:history="1">
              <w:r w:rsidRPr="0071702D">
                <w:rPr>
                  <w:rFonts w:ascii="Times New Roman" w:hAnsi="Times New Roman"/>
                </w:rPr>
                <w:t>1408/2013</w:t>
              </w:r>
            </w:hyperlink>
            <w:r w:rsidRPr="0071702D">
              <w:rPr>
                <w:rFonts w:ascii="Times New Roman" w:hAnsi="Times New Roman"/>
              </w:rPr>
              <w:t xml:space="preserve"> 5.pants </w:t>
            </w:r>
          </w:p>
        </w:tc>
        <w:tc>
          <w:tcPr>
            <w:tcW w:w="2084" w:type="dxa"/>
            <w:gridSpan w:val="4"/>
            <w:tcBorders>
              <w:top w:val="outset" w:sz="6" w:space="0" w:color="auto"/>
              <w:left w:val="outset" w:sz="6" w:space="0" w:color="auto"/>
              <w:bottom w:val="outset" w:sz="6" w:space="0" w:color="auto"/>
              <w:right w:val="outset" w:sz="6" w:space="0" w:color="auto"/>
            </w:tcBorders>
          </w:tcPr>
          <w:p w14:paraId="5EC698A7" w14:textId="77777777" w:rsidR="002F30BD" w:rsidRPr="0071702D" w:rsidRDefault="002F30BD" w:rsidP="000B64EA">
            <w:r w:rsidRPr="0071702D">
              <w:rPr>
                <w:rFonts w:ascii="Times New Roman" w:hAnsi="Times New Roman"/>
              </w:rPr>
              <w:t>Noteikumu projekta 8.2.apakšpunkts</w:t>
            </w:r>
          </w:p>
        </w:tc>
        <w:tc>
          <w:tcPr>
            <w:tcW w:w="2594" w:type="dxa"/>
            <w:gridSpan w:val="3"/>
            <w:tcBorders>
              <w:top w:val="outset" w:sz="6" w:space="0" w:color="auto"/>
              <w:left w:val="outset" w:sz="6" w:space="0" w:color="auto"/>
              <w:bottom w:val="outset" w:sz="6" w:space="0" w:color="auto"/>
              <w:right w:val="outset" w:sz="6" w:space="0" w:color="auto"/>
            </w:tcBorders>
          </w:tcPr>
          <w:p w14:paraId="03DB258C" w14:textId="77777777" w:rsidR="002F30BD" w:rsidRPr="0071702D" w:rsidRDefault="002F30BD" w:rsidP="000B64EA">
            <w:r w:rsidRPr="0071702D">
              <w:rPr>
                <w:rFonts w:ascii="Times New Roman" w:hAnsi="Times New Roman"/>
                <w:spacing w:val="-2"/>
              </w:rPr>
              <w:t>Komisijas Regulas Nr. 1408/2013 prasības tiek ieviestas pilnībā.</w:t>
            </w:r>
          </w:p>
        </w:tc>
        <w:tc>
          <w:tcPr>
            <w:tcW w:w="2610" w:type="dxa"/>
            <w:gridSpan w:val="2"/>
            <w:tcBorders>
              <w:top w:val="outset" w:sz="6" w:space="0" w:color="auto"/>
              <w:left w:val="outset" w:sz="6" w:space="0" w:color="auto"/>
              <w:bottom w:val="outset" w:sz="6" w:space="0" w:color="auto"/>
            </w:tcBorders>
          </w:tcPr>
          <w:p w14:paraId="093C2E66" w14:textId="77777777" w:rsidR="002F30BD" w:rsidRPr="0071702D" w:rsidRDefault="002F30BD" w:rsidP="000B64EA">
            <w:r w:rsidRPr="0071702D">
              <w:rPr>
                <w:rFonts w:ascii="Times New Roman" w:hAnsi="Times New Roman"/>
                <w:spacing w:val="-2"/>
              </w:rPr>
              <w:t>Noteikumu projekta vienības neparedz stingrākas prasības kā šīs tabulas A ailē minētās ES tiesību akta vienības.</w:t>
            </w:r>
          </w:p>
        </w:tc>
      </w:tr>
      <w:tr w:rsidR="00676910" w:rsidRPr="00B84678" w14:paraId="5F20D6B0"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1D9EC96C" w14:textId="77777777" w:rsidR="002F30BD" w:rsidRPr="0071702D" w:rsidRDefault="002F30BD" w:rsidP="000B64EA">
            <w:pPr>
              <w:rPr>
                <w:rFonts w:ascii="Times New Roman" w:hAnsi="Times New Roman"/>
              </w:rPr>
            </w:pPr>
            <w:r w:rsidRPr="0071702D">
              <w:rPr>
                <w:rFonts w:ascii="Times New Roman" w:hAnsi="Times New Roman"/>
              </w:rPr>
              <w:t xml:space="preserve">Regula Nr. </w:t>
            </w:r>
            <w:hyperlink r:id="rId28" w:tgtFrame="_blank" w:history="1">
              <w:r w:rsidRPr="0071702D">
                <w:rPr>
                  <w:rFonts w:ascii="Times New Roman" w:hAnsi="Times New Roman"/>
                </w:rPr>
                <w:t>575/2013</w:t>
              </w:r>
            </w:hyperlink>
            <w:r w:rsidRPr="0071702D">
              <w:rPr>
                <w:rFonts w:ascii="Times New Roman" w:hAnsi="Times New Roman"/>
              </w:rPr>
              <w:t xml:space="preserve"> 4.panta 1.punkta 39.apakšpunkts</w:t>
            </w:r>
          </w:p>
        </w:tc>
        <w:tc>
          <w:tcPr>
            <w:tcW w:w="2084" w:type="dxa"/>
            <w:gridSpan w:val="4"/>
            <w:tcBorders>
              <w:top w:val="outset" w:sz="6" w:space="0" w:color="auto"/>
              <w:left w:val="outset" w:sz="6" w:space="0" w:color="auto"/>
              <w:bottom w:val="outset" w:sz="6" w:space="0" w:color="auto"/>
              <w:right w:val="outset" w:sz="6" w:space="0" w:color="auto"/>
            </w:tcBorders>
          </w:tcPr>
          <w:p w14:paraId="6FA20109" w14:textId="77777777" w:rsidR="002F30BD" w:rsidRPr="0071702D" w:rsidRDefault="002F30BD" w:rsidP="000B64EA">
            <w:pPr>
              <w:rPr>
                <w:rFonts w:ascii="Times New Roman" w:hAnsi="Times New Roman"/>
              </w:rPr>
            </w:pPr>
            <w:r w:rsidRPr="0071702D">
              <w:rPr>
                <w:rFonts w:ascii="Times New Roman" w:hAnsi="Times New Roman"/>
              </w:rPr>
              <w:t>Noteikumu projekta 10.1. apakšpunkts</w:t>
            </w:r>
          </w:p>
        </w:tc>
        <w:tc>
          <w:tcPr>
            <w:tcW w:w="2594" w:type="dxa"/>
            <w:gridSpan w:val="3"/>
            <w:tcBorders>
              <w:top w:val="outset" w:sz="6" w:space="0" w:color="auto"/>
              <w:left w:val="outset" w:sz="6" w:space="0" w:color="auto"/>
              <w:bottom w:val="outset" w:sz="6" w:space="0" w:color="auto"/>
              <w:right w:val="outset" w:sz="6" w:space="0" w:color="auto"/>
            </w:tcBorders>
          </w:tcPr>
          <w:p w14:paraId="350E9714" w14:textId="77777777" w:rsidR="002F30BD" w:rsidRPr="0071702D" w:rsidRDefault="002F30BD" w:rsidP="000B64EA">
            <w:pPr>
              <w:rPr>
                <w:rFonts w:ascii="Times New Roman" w:hAnsi="Times New Roman"/>
                <w:spacing w:val="-2"/>
              </w:rPr>
            </w:pPr>
            <w:r w:rsidRPr="0071702D">
              <w:rPr>
                <w:rFonts w:ascii="Times New Roman" w:hAnsi="Times New Roman"/>
                <w:spacing w:val="-2"/>
              </w:rPr>
              <w:t>Regulas Nr. 575/2013 prasības tiek ieviestas pilnībā.</w:t>
            </w:r>
          </w:p>
        </w:tc>
        <w:tc>
          <w:tcPr>
            <w:tcW w:w="2610" w:type="dxa"/>
            <w:gridSpan w:val="2"/>
            <w:tcBorders>
              <w:top w:val="outset" w:sz="6" w:space="0" w:color="auto"/>
              <w:left w:val="outset" w:sz="6" w:space="0" w:color="auto"/>
              <w:bottom w:val="outset" w:sz="6" w:space="0" w:color="auto"/>
            </w:tcBorders>
          </w:tcPr>
          <w:p w14:paraId="0BC6A7D2" w14:textId="77777777" w:rsidR="002F30BD" w:rsidRDefault="002F30BD" w:rsidP="000B64EA">
            <w:r w:rsidRPr="0071702D">
              <w:rPr>
                <w:rFonts w:ascii="Times New Roman" w:hAnsi="Times New Roman"/>
                <w:spacing w:val="-2"/>
              </w:rPr>
              <w:t>Noteikumu projekta vienības neparedz stingrākas prasības kā šīs tabulas A ailē minētās ES tiesību akta vienības.</w:t>
            </w:r>
          </w:p>
        </w:tc>
      </w:tr>
      <w:tr w:rsidR="009070ED" w:rsidRPr="00B84678" w14:paraId="5015DBA4"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37E6A804" w14:textId="09F395B1" w:rsidR="009070ED" w:rsidRPr="0071702D" w:rsidRDefault="009070ED" w:rsidP="009070ED">
            <w:pPr>
              <w:rPr>
                <w:rFonts w:ascii="Times New Roman" w:hAnsi="Times New Roman"/>
              </w:rPr>
            </w:pPr>
            <w:r>
              <w:rPr>
                <w:rFonts w:ascii="Times New Roman" w:hAnsi="Times New Roman"/>
                <w:iCs/>
                <w:sz w:val="24"/>
                <w:szCs w:val="24"/>
              </w:rPr>
              <w:t>Padomes</w:t>
            </w:r>
            <w:r w:rsidRPr="007A137C">
              <w:rPr>
                <w:rFonts w:ascii="Times New Roman" w:hAnsi="Times New Roman"/>
                <w:iCs/>
                <w:sz w:val="24"/>
                <w:szCs w:val="24"/>
              </w:rPr>
              <w:t xml:space="preserve"> regula</w:t>
            </w:r>
            <w:r w:rsidR="003E432E">
              <w:rPr>
                <w:rFonts w:ascii="Times New Roman" w:hAnsi="Times New Roman"/>
                <w:iCs/>
                <w:sz w:val="24"/>
                <w:szCs w:val="24"/>
              </w:rPr>
              <w:t>s</w:t>
            </w:r>
            <w:r w:rsidRPr="007A137C">
              <w:rPr>
                <w:rFonts w:ascii="Times New Roman" w:hAnsi="Times New Roman"/>
                <w:iCs/>
                <w:sz w:val="24"/>
                <w:szCs w:val="24"/>
              </w:rPr>
              <w:t xml:space="preserve"> Nr. </w:t>
            </w:r>
            <w:hyperlink r:id="rId29" w:tgtFrame="_blank" w:history="1">
              <w:r>
                <w:rPr>
                  <w:rFonts w:ascii="Times New Roman" w:hAnsi="Times New Roman"/>
                  <w:iCs/>
                  <w:sz w:val="24"/>
                  <w:szCs w:val="24"/>
                </w:rPr>
                <w:t>659</w:t>
              </w:r>
              <w:r w:rsidRPr="007A137C">
                <w:rPr>
                  <w:rFonts w:ascii="Times New Roman" w:hAnsi="Times New Roman"/>
                  <w:iCs/>
                  <w:sz w:val="24"/>
                  <w:szCs w:val="24"/>
                </w:rPr>
                <w:t>/</w:t>
              </w:r>
              <w:r>
                <w:rPr>
                  <w:rFonts w:ascii="Times New Roman" w:hAnsi="Times New Roman"/>
                  <w:iCs/>
                  <w:sz w:val="24"/>
                  <w:szCs w:val="24"/>
                </w:rPr>
                <w:t>1999</w:t>
              </w:r>
            </w:hyperlink>
            <w:r>
              <w:rPr>
                <w:rFonts w:ascii="Times New Roman" w:hAnsi="Times New Roman"/>
                <w:iCs/>
                <w:sz w:val="24"/>
                <w:szCs w:val="24"/>
              </w:rPr>
              <w:t xml:space="preserve"> 14.panta 1.punkts</w:t>
            </w:r>
          </w:p>
        </w:tc>
        <w:tc>
          <w:tcPr>
            <w:tcW w:w="2084" w:type="dxa"/>
            <w:gridSpan w:val="4"/>
            <w:tcBorders>
              <w:top w:val="outset" w:sz="6" w:space="0" w:color="auto"/>
              <w:left w:val="outset" w:sz="6" w:space="0" w:color="auto"/>
              <w:bottom w:val="outset" w:sz="6" w:space="0" w:color="auto"/>
              <w:right w:val="outset" w:sz="6" w:space="0" w:color="auto"/>
            </w:tcBorders>
          </w:tcPr>
          <w:p w14:paraId="26C8753A" w14:textId="349FB4BF" w:rsidR="009070ED" w:rsidRPr="0071702D" w:rsidRDefault="009070ED" w:rsidP="000B64EA">
            <w:pPr>
              <w:rPr>
                <w:rFonts w:ascii="Times New Roman" w:hAnsi="Times New Roman"/>
              </w:rPr>
            </w:pPr>
            <w:r>
              <w:rPr>
                <w:rFonts w:ascii="Times New Roman" w:hAnsi="Times New Roman"/>
              </w:rPr>
              <w:t>Noteikumu projekta 32.punkts</w:t>
            </w:r>
          </w:p>
        </w:tc>
        <w:tc>
          <w:tcPr>
            <w:tcW w:w="2594" w:type="dxa"/>
            <w:gridSpan w:val="3"/>
            <w:tcBorders>
              <w:top w:val="outset" w:sz="6" w:space="0" w:color="auto"/>
              <w:left w:val="outset" w:sz="6" w:space="0" w:color="auto"/>
              <w:bottom w:val="outset" w:sz="6" w:space="0" w:color="auto"/>
              <w:right w:val="outset" w:sz="6" w:space="0" w:color="auto"/>
            </w:tcBorders>
          </w:tcPr>
          <w:p w14:paraId="7345E864" w14:textId="0C3E7EA4" w:rsidR="009070ED" w:rsidRPr="0071702D" w:rsidRDefault="009070ED" w:rsidP="000B64EA">
            <w:pPr>
              <w:rPr>
                <w:rFonts w:ascii="Times New Roman" w:hAnsi="Times New Roman"/>
                <w:spacing w:val="-2"/>
              </w:rPr>
            </w:pPr>
            <w:r>
              <w:rPr>
                <w:rFonts w:ascii="Times New Roman" w:hAnsi="Times New Roman"/>
                <w:iCs/>
                <w:sz w:val="24"/>
                <w:szCs w:val="24"/>
              </w:rPr>
              <w:t>Padomes</w:t>
            </w:r>
            <w:r w:rsidRPr="007A137C">
              <w:rPr>
                <w:rFonts w:ascii="Times New Roman" w:hAnsi="Times New Roman"/>
                <w:iCs/>
                <w:sz w:val="24"/>
                <w:szCs w:val="24"/>
              </w:rPr>
              <w:t xml:space="preserve"> regula</w:t>
            </w:r>
            <w:r>
              <w:rPr>
                <w:rFonts w:ascii="Times New Roman" w:hAnsi="Times New Roman"/>
                <w:iCs/>
                <w:sz w:val="24"/>
                <w:szCs w:val="24"/>
              </w:rPr>
              <w:t>s</w:t>
            </w:r>
            <w:r w:rsidRPr="007A137C">
              <w:rPr>
                <w:rFonts w:ascii="Times New Roman" w:hAnsi="Times New Roman"/>
                <w:iCs/>
                <w:sz w:val="24"/>
                <w:szCs w:val="24"/>
              </w:rPr>
              <w:t xml:space="preserve"> Nr. </w:t>
            </w:r>
            <w:hyperlink r:id="rId30" w:tgtFrame="_blank" w:history="1">
              <w:r>
                <w:rPr>
                  <w:rFonts w:ascii="Times New Roman" w:hAnsi="Times New Roman"/>
                  <w:iCs/>
                  <w:sz w:val="24"/>
                  <w:szCs w:val="24"/>
                </w:rPr>
                <w:t>659</w:t>
              </w:r>
              <w:r w:rsidRPr="007A137C">
                <w:rPr>
                  <w:rFonts w:ascii="Times New Roman" w:hAnsi="Times New Roman"/>
                  <w:iCs/>
                  <w:sz w:val="24"/>
                  <w:szCs w:val="24"/>
                </w:rPr>
                <w:t>/</w:t>
              </w:r>
              <w:r>
                <w:rPr>
                  <w:rFonts w:ascii="Times New Roman" w:hAnsi="Times New Roman"/>
                  <w:iCs/>
                  <w:sz w:val="24"/>
                  <w:szCs w:val="24"/>
                </w:rPr>
                <w:t>1999</w:t>
              </w:r>
            </w:hyperlink>
            <w:r w:rsidRPr="0071702D">
              <w:rPr>
                <w:rFonts w:ascii="Times New Roman" w:hAnsi="Times New Roman"/>
                <w:spacing w:val="-2"/>
              </w:rPr>
              <w:t xml:space="preserve"> prasības tiek ieviestas pilnībā.</w:t>
            </w:r>
          </w:p>
        </w:tc>
        <w:tc>
          <w:tcPr>
            <w:tcW w:w="2610" w:type="dxa"/>
            <w:gridSpan w:val="2"/>
            <w:tcBorders>
              <w:top w:val="outset" w:sz="6" w:space="0" w:color="auto"/>
              <w:left w:val="outset" w:sz="6" w:space="0" w:color="auto"/>
              <w:bottom w:val="outset" w:sz="6" w:space="0" w:color="auto"/>
            </w:tcBorders>
          </w:tcPr>
          <w:p w14:paraId="5BF1389E" w14:textId="5333FE76" w:rsidR="009070ED" w:rsidRPr="0071702D" w:rsidRDefault="009070ED" w:rsidP="000B64EA">
            <w:pPr>
              <w:rPr>
                <w:rFonts w:ascii="Times New Roman" w:hAnsi="Times New Roman"/>
                <w:spacing w:val="-2"/>
              </w:rPr>
            </w:pPr>
            <w:r w:rsidRPr="0071702D">
              <w:rPr>
                <w:rFonts w:ascii="Times New Roman" w:hAnsi="Times New Roman"/>
                <w:spacing w:val="-2"/>
              </w:rPr>
              <w:t>Noteikumu projekta vienības neparedz stingrākas prasības kā šīs tabulas A ailē minētās ES tiesību akta vienības.</w:t>
            </w:r>
          </w:p>
        </w:tc>
      </w:tr>
      <w:tr w:rsidR="009070ED" w:rsidRPr="00B84678" w14:paraId="5F0CA45F" w14:textId="77777777" w:rsidTr="00676910">
        <w:tblPrEx>
          <w:jc w:val="left"/>
          <w:tblCellMar>
            <w:top w:w="30" w:type="dxa"/>
            <w:left w:w="30" w:type="dxa"/>
            <w:bottom w:w="30" w:type="dxa"/>
            <w:right w:w="30" w:type="dxa"/>
          </w:tblCellMar>
        </w:tblPrEx>
        <w:trPr>
          <w:gridAfter w:val="1"/>
          <w:wAfter w:w="179" w:type="dxa"/>
        </w:trPr>
        <w:tc>
          <w:tcPr>
            <w:tcW w:w="2213" w:type="dxa"/>
            <w:gridSpan w:val="3"/>
            <w:tcBorders>
              <w:top w:val="outset" w:sz="6" w:space="0" w:color="auto"/>
              <w:bottom w:val="outset" w:sz="6" w:space="0" w:color="auto"/>
              <w:right w:val="outset" w:sz="6" w:space="0" w:color="auto"/>
            </w:tcBorders>
          </w:tcPr>
          <w:p w14:paraId="2F5FFEA0" w14:textId="60C2693C" w:rsidR="009070ED" w:rsidRPr="0071702D" w:rsidRDefault="009070ED" w:rsidP="009070ED">
            <w:pPr>
              <w:rPr>
                <w:rFonts w:ascii="Times New Roman" w:hAnsi="Times New Roman"/>
              </w:rPr>
            </w:pPr>
            <w:r>
              <w:rPr>
                <w:rFonts w:ascii="Times New Roman" w:hAnsi="Times New Roman"/>
                <w:iCs/>
                <w:sz w:val="24"/>
                <w:szCs w:val="24"/>
              </w:rPr>
              <w:t>Padomes</w:t>
            </w:r>
            <w:r w:rsidRPr="007A137C">
              <w:rPr>
                <w:rFonts w:ascii="Times New Roman" w:hAnsi="Times New Roman"/>
                <w:iCs/>
                <w:sz w:val="24"/>
                <w:szCs w:val="24"/>
              </w:rPr>
              <w:t xml:space="preserve"> regula</w:t>
            </w:r>
            <w:r w:rsidR="003E432E">
              <w:rPr>
                <w:rFonts w:ascii="Times New Roman" w:hAnsi="Times New Roman"/>
                <w:iCs/>
                <w:sz w:val="24"/>
                <w:szCs w:val="24"/>
              </w:rPr>
              <w:t>s</w:t>
            </w:r>
            <w:r w:rsidRPr="007A137C">
              <w:rPr>
                <w:rFonts w:ascii="Times New Roman" w:hAnsi="Times New Roman"/>
                <w:iCs/>
                <w:sz w:val="24"/>
                <w:szCs w:val="24"/>
              </w:rPr>
              <w:t xml:space="preserve"> Nr. </w:t>
            </w:r>
            <w:hyperlink r:id="rId31" w:tgtFrame="_blank" w:history="1">
              <w:r>
                <w:rPr>
                  <w:rFonts w:ascii="Times New Roman" w:hAnsi="Times New Roman"/>
                  <w:iCs/>
                  <w:sz w:val="24"/>
                  <w:szCs w:val="24"/>
                </w:rPr>
                <w:t>659</w:t>
              </w:r>
              <w:r w:rsidRPr="007A137C">
                <w:rPr>
                  <w:rFonts w:ascii="Times New Roman" w:hAnsi="Times New Roman"/>
                  <w:iCs/>
                  <w:sz w:val="24"/>
                  <w:szCs w:val="24"/>
                </w:rPr>
                <w:t>/</w:t>
              </w:r>
              <w:r>
                <w:rPr>
                  <w:rFonts w:ascii="Times New Roman" w:hAnsi="Times New Roman"/>
                  <w:iCs/>
                  <w:sz w:val="24"/>
                  <w:szCs w:val="24"/>
                </w:rPr>
                <w:t>1999</w:t>
              </w:r>
            </w:hyperlink>
            <w:r>
              <w:rPr>
                <w:rFonts w:ascii="Times New Roman" w:hAnsi="Times New Roman"/>
                <w:iCs/>
                <w:sz w:val="24"/>
                <w:szCs w:val="24"/>
              </w:rPr>
              <w:t xml:space="preserve"> 14.panta 2.punkts</w:t>
            </w:r>
          </w:p>
        </w:tc>
        <w:tc>
          <w:tcPr>
            <w:tcW w:w="2084" w:type="dxa"/>
            <w:gridSpan w:val="4"/>
            <w:tcBorders>
              <w:top w:val="outset" w:sz="6" w:space="0" w:color="auto"/>
              <w:left w:val="outset" w:sz="6" w:space="0" w:color="auto"/>
              <w:bottom w:val="outset" w:sz="6" w:space="0" w:color="auto"/>
              <w:right w:val="outset" w:sz="6" w:space="0" w:color="auto"/>
            </w:tcBorders>
          </w:tcPr>
          <w:p w14:paraId="10B80DC1" w14:textId="6DE5DF3F" w:rsidR="009070ED" w:rsidRPr="0071702D" w:rsidRDefault="009070ED" w:rsidP="000B64EA">
            <w:pPr>
              <w:rPr>
                <w:rFonts w:ascii="Times New Roman" w:hAnsi="Times New Roman"/>
              </w:rPr>
            </w:pPr>
            <w:r>
              <w:rPr>
                <w:rFonts w:ascii="Times New Roman" w:hAnsi="Times New Roman"/>
              </w:rPr>
              <w:t>Noteikumu projekta 33.punkts</w:t>
            </w:r>
          </w:p>
        </w:tc>
        <w:tc>
          <w:tcPr>
            <w:tcW w:w="2594" w:type="dxa"/>
            <w:gridSpan w:val="3"/>
            <w:tcBorders>
              <w:top w:val="outset" w:sz="6" w:space="0" w:color="auto"/>
              <w:left w:val="outset" w:sz="6" w:space="0" w:color="auto"/>
              <w:bottom w:val="outset" w:sz="6" w:space="0" w:color="auto"/>
              <w:right w:val="outset" w:sz="6" w:space="0" w:color="auto"/>
            </w:tcBorders>
          </w:tcPr>
          <w:p w14:paraId="7FF45F7B" w14:textId="25876558" w:rsidR="009070ED" w:rsidRPr="0071702D" w:rsidRDefault="009070ED" w:rsidP="000B64EA">
            <w:pPr>
              <w:rPr>
                <w:rFonts w:ascii="Times New Roman" w:hAnsi="Times New Roman"/>
                <w:spacing w:val="-2"/>
              </w:rPr>
            </w:pPr>
            <w:r w:rsidRPr="009070ED">
              <w:rPr>
                <w:rFonts w:ascii="Times New Roman" w:hAnsi="Times New Roman"/>
                <w:spacing w:val="-2"/>
              </w:rPr>
              <w:t>Padomes regulas Nr. 659/1999 prasības tiek ieviestas pilnībā.</w:t>
            </w:r>
          </w:p>
        </w:tc>
        <w:tc>
          <w:tcPr>
            <w:tcW w:w="2610" w:type="dxa"/>
            <w:gridSpan w:val="2"/>
            <w:tcBorders>
              <w:top w:val="outset" w:sz="6" w:space="0" w:color="auto"/>
              <w:left w:val="outset" w:sz="6" w:space="0" w:color="auto"/>
              <w:bottom w:val="outset" w:sz="6" w:space="0" w:color="auto"/>
            </w:tcBorders>
          </w:tcPr>
          <w:p w14:paraId="5CFFDEA1" w14:textId="0CB5C6FE" w:rsidR="009070ED" w:rsidRPr="0071702D" w:rsidRDefault="009070ED" w:rsidP="000B64EA">
            <w:pPr>
              <w:rPr>
                <w:rFonts w:ascii="Times New Roman" w:hAnsi="Times New Roman"/>
                <w:spacing w:val="-2"/>
              </w:rPr>
            </w:pPr>
            <w:r w:rsidRPr="0071702D">
              <w:rPr>
                <w:rFonts w:ascii="Times New Roman" w:hAnsi="Times New Roman"/>
                <w:spacing w:val="-2"/>
              </w:rPr>
              <w:t>Noteikumu projekta vienības neparedz stingrākas prasības kā šīs tabulas A ailē minētās ES tiesību akta vienības.</w:t>
            </w:r>
          </w:p>
        </w:tc>
      </w:tr>
      <w:tr w:rsidR="00676910" w:rsidRPr="007A7182" w14:paraId="146BA959" w14:textId="77777777" w:rsidTr="00676910">
        <w:trPr>
          <w:gridBefore w:val="1"/>
          <w:wBefore w:w="179" w:type="dxa"/>
          <w:jc w:val="center"/>
        </w:trPr>
        <w:tc>
          <w:tcPr>
            <w:tcW w:w="2207" w:type="dxa"/>
            <w:gridSpan w:val="3"/>
            <w:tcBorders>
              <w:top w:val="outset" w:sz="6" w:space="0" w:color="auto"/>
              <w:bottom w:val="outset" w:sz="6" w:space="0" w:color="auto"/>
              <w:right w:val="outset" w:sz="6" w:space="0" w:color="auto"/>
            </w:tcBorders>
          </w:tcPr>
          <w:p w14:paraId="09D90F02" w14:textId="77777777" w:rsidR="002F30BD" w:rsidRPr="007A7182" w:rsidRDefault="002F30BD" w:rsidP="000B64EA">
            <w:pPr>
              <w:spacing w:after="0" w:line="240" w:lineRule="auto"/>
              <w:rPr>
                <w:rFonts w:ascii="Times New Roman" w:hAnsi="Times New Roman"/>
                <w:sz w:val="24"/>
                <w:szCs w:val="24"/>
              </w:rPr>
            </w:pPr>
            <w:r w:rsidRPr="007A7182">
              <w:rPr>
                <w:rFonts w:ascii="Times New Roman" w:hAnsi="Times New Roman"/>
                <w:sz w:val="24"/>
                <w:szCs w:val="24"/>
              </w:rPr>
              <w:t>Kā ir izmantota ES tiesību aktā paredzētā rīcības brīvība dalībvalstij pārņemt vai ieviest noteiktas ES tiesību akta normas?</w:t>
            </w:r>
          </w:p>
          <w:p w14:paraId="672176DF" w14:textId="77777777" w:rsidR="002F30BD" w:rsidRPr="007A7182" w:rsidRDefault="002F30BD" w:rsidP="000B64EA">
            <w:pPr>
              <w:spacing w:after="0" w:line="240" w:lineRule="auto"/>
              <w:rPr>
                <w:rFonts w:ascii="Times New Roman" w:hAnsi="Times New Roman"/>
                <w:sz w:val="24"/>
                <w:szCs w:val="24"/>
              </w:rPr>
            </w:pPr>
            <w:r w:rsidRPr="007A7182">
              <w:rPr>
                <w:rFonts w:ascii="Times New Roman" w:hAnsi="Times New Roman"/>
                <w:sz w:val="24"/>
                <w:szCs w:val="24"/>
              </w:rPr>
              <w:t>Kādēļ?</w:t>
            </w:r>
          </w:p>
        </w:tc>
        <w:tc>
          <w:tcPr>
            <w:tcW w:w="7294" w:type="dxa"/>
            <w:gridSpan w:val="9"/>
            <w:tcBorders>
              <w:top w:val="outset" w:sz="6" w:space="0" w:color="auto"/>
              <w:left w:val="outset" w:sz="6" w:space="0" w:color="auto"/>
              <w:bottom w:val="outset" w:sz="6" w:space="0" w:color="auto"/>
            </w:tcBorders>
          </w:tcPr>
          <w:p w14:paraId="09DA3D3B" w14:textId="77777777" w:rsidR="002F30BD" w:rsidRPr="007A7182" w:rsidRDefault="002F30BD" w:rsidP="000B64EA">
            <w:pPr>
              <w:spacing w:after="0" w:line="240" w:lineRule="auto"/>
              <w:rPr>
                <w:rFonts w:ascii="Times New Roman" w:hAnsi="Times New Roman"/>
                <w:sz w:val="24"/>
                <w:szCs w:val="24"/>
              </w:rPr>
            </w:pPr>
            <w:r w:rsidRPr="007A7182">
              <w:rPr>
                <w:rFonts w:ascii="Times New Roman" w:hAnsi="Times New Roman"/>
                <w:sz w:val="24"/>
                <w:szCs w:val="24"/>
              </w:rPr>
              <w:t>Projekts šo jomu neskar.</w:t>
            </w:r>
          </w:p>
        </w:tc>
      </w:tr>
      <w:tr w:rsidR="00676910" w:rsidRPr="003175A7" w14:paraId="4AC63146" w14:textId="77777777" w:rsidTr="00676910">
        <w:trPr>
          <w:gridBefore w:val="1"/>
          <w:wBefore w:w="179" w:type="dxa"/>
          <w:jc w:val="center"/>
        </w:trPr>
        <w:tc>
          <w:tcPr>
            <w:tcW w:w="2207" w:type="dxa"/>
            <w:gridSpan w:val="3"/>
            <w:tcBorders>
              <w:top w:val="outset" w:sz="6" w:space="0" w:color="auto"/>
              <w:bottom w:val="outset" w:sz="6" w:space="0" w:color="auto"/>
              <w:right w:val="outset" w:sz="6" w:space="0" w:color="auto"/>
            </w:tcBorders>
          </w:tcPr>
          <w:p w14:paraId="014C758E" w14:textId="77777777" w:rsidR="002F30BD" w:rsidRPr="007A7182" w:rsidRDefault="002F30BD" w:rsidP="000B64EA">
            <w:pPr>
              <w:spacing w:after="0" w:line="240" w:lineRule="auto"/>
              <w:rPr>
                <w:rFonts w:ascii="Times New Roman" w:hAnsi="Times New Roman"/>
                <w:sz w:val="24"/>
                <w:szCs w:val="24"/>
              </w:rPr>
            </w:pPr>
            <w:r w:rsidRPr="007A7182">
              <w:rPr>
                <w:rFonts w:ascii="Times New Roman" w:hAnsi="Times New Roman"/>
                <w:sz w:val="24"/>
                <w:szCs w:val="24"/>
              </w:rPr>
              <w:t>Saistības sniegt paziņojumu ES institūcijām un ES dalībvalstīm atbilstoši normatīvajiem aktiem, kas regulē informācijas sniegšanu par tehnisko noteikumu, valsts atbalsta piešķir</w:t>
            </w:r>
            <w:r w:rsidRPr="007A7182">
              <w:rPr>
                <w:rFonts w:ascii="Times New Roman" w:hAnsi="Times New Roman"/>
                <w:sz w:val="24"/>
                <w:szCs w:val="24"/>
              </w:rPr>
              <w:softHyphen/>
              <w:t>šanas un finanšu noteikumu (attiecībā uz monetāro politiku) projektiem</w:t>
            </w:r>
          </w:p>
        </w:tc>
        <w:tc>
          <w:tcPr>
            <w:tcW w:w="7294" w:type="dxa"/>
            <w:gridSpan w:val="9"/>
            <w:tcBorders>
              <w:top w:val="outset" w:sz="6" w:space="0" w:color="auto"/>
              <w:left w:val="outset" w:sz="6" w:space="0" w:color="auto"/>
              <w:bottom w:val="outset" w:sz="6" w:space="0" w:color="auto"/>
            </w:tcBorders>
          </w:tcPr>
          <w:p w14:paraId="6D46813B" w14:textId="77777777" w:rsidR="002F30BD" w:rsidRPr="003175A7" w:rsidRDefault="002F30BD" w:rsidP="000B64EA">
            <w:pPr>
              <w:spacing w:after="0" w:line="240" w:lineRule="auto"/>
              <w:jc w:val="both"/>
              <w:rPr>
                <w:rFonts w:ascii="Times New Roman" w:hAnsi="Times New Roman"/>
                <w:sz w:val="24"/>
                <w:szCs w:val="24"/>
              </w:rPr>
            </w:pPr>
            <w:r w:rsidRPr="003175A7">
              <w:rPr>
                <w:rFonts w:ascii="Times New Roman" w:hAnsi="Times New Roman"/>
                <w:sz w:val="24"/>
                <w:szCs w:val="24"/>
              </w:rPr>
              <w:t>Ministru kabineta noteikumu projekts sagatavots, ievērojot Eiropas Savienības normatīvajos aktos un Līgumā par Eiropas Savienības darbību noteiktās prasības.</w:t>
            </w:r>
          </w:p>
          <w:p w14:paraId="44D89A90" w14:textId="387EC164" w:rsidR="002F30BD" w:rsidRPr="003175A7" w:rsidRDefault="002F30BD" w:rsidP="00D42C2D">
            <w:pPr>
              <w:spacing w:after="0" w:line="240" w:lineRule="auto"/>
              <w:jc w:val="both"/>
              <w:rPr>
                <w:rFonts w:ascii="Times New Roman" w:hAnsi="Times New Roman"/>
                <w:sz w:val="24"/>
                <w:szCs w:val="24"/>
              </w:rPr>
            </w:pPr>
            <w:r w:rsidRPr="003175A7">
              <w:rPr>
                <w:rFonts w:ascii="Times New Roman" w:hAnsi="Times New Roman"/>
                <w:sz w:val="24"/>
                <w:szCs w:val="24"/>
              </w:rPr>
              <w:t>Nav nepieciešams Eiropas Komisijai sniegt paziņojumu par atbalsta pasākumiem, k</w:t>
            </w:r>
            <w:r w:rsidR="000E7E1F">
              <w:rPr>
                <w:rFonts w:ascii="Times New Roman" w:hAnsi="Times New Roman"/>
                <w:sz w:val="24"/>
                <w:szCs w:val="24"/>
              </w:rPr>
              <w:t>as</w:t>
            </w:r>
            <w:r>
              <w:rPr>
                <w:rFonts w:ascii="Times New Roman" w:hAnsi="Times New Roman"/>
                <w:sz w:val="24"/>
                <w:szCs w:val="24"/>
              </w:rPr>
              <w:t xml:space="preserve"> </w:t>
            </w:r>
            <w:r w:rsidRPr="003175A7">
              <w:rPr>
                <w:rFonts w:ascii="Times New Roman" w:hAnsi="Times New Roman"/>
                <w:sz w:val="24"/>
                <w:szCs w:val="24"/>
              </w:rPr>
              <w:t xml:space="preserve">minēti noteikumu projekta </w:t>
            </w:r>
            <w:r w:rsidR="00D42C2D">
              <w:rPr>
                <w:rFonts w:ascii="Times New Roman" w:hAnsi="Times New Roman"/>
                <w:sz w:val="24"/>
                <w:szCs w:val="24"/>
              </w:rPr>
              <w:t xml:space="preserve">1.pielikuma 8.2.,8.3., </w:t>
            </w:r>
            <w:r w:rsidR="00D42C2D" w:rsidRPr="00D42C2D">
              <w:rPr>
                <w:rFonts w:ascii="Times New Roman" w:hAnsi="Times New Roman"/>
                <w:sz w:val="24"/>
                <w:szCs w:val="24"/>
              </w:rPr>
              <w:t>8.5.2.</w:t>
            </w:r>
            <w:r w:rsidR="00D42C2D">
              <w:rPr>
                <w:sz w:val="24"/>
                <w:szCs w:val="24"/>
              </w:rPr>
              <w:t xml:space="preserve"> </w:t>
            </w:r>
            <w:r w:rsidR="00D42C2D" w:rsidRPr="009741FB">
              <w:rPr>
                <w:rFonts w:ascii="Times New Roman" w:hAnsi="Times New Roman"/>
                <w:sz w:val="24"/>
                <w:szCs w:val="24"/>
              </w:rPr>
              <w:t>un 8.9.</w:t>
            </w:r>
            <w:r w:rsidR="000E7E1F" w:rsidRPr="009741FB">
              <w:rPr>
                <w:rFonts w:ascii="Times New Roman" w:hAnsi="Times New Roman"/>
                <w:sz w:val="24"/>
                <w:szCs w:val="24"/>
              </w:rPr>
              <w:t>apakšpunktā</w:t>
            </w:r>
            <w:r w:rsidRPr="003175A7">
              <w:rPr>
                <w:rFonts w:ascii="Times New Roman" w:hAnsi="Times New Roman"/>
                <w:sz w:val="24"/>
                <w:szCs w:val="24"/>
              </w:rPr>
              <w:t xml:space="preserve">, jo atbalsts tiek sniegts saskaņā ar Komisijas </w:t>
            </w:r>
            <w:r w:rsidR="003E432E">
              <w:rPr>
                <w:rFonts w:ascii="Times New Roman" w:hAnsi="Times New Roman"/>
                <w:sz w:val="24"/>
                <w:szCs w:val="24"/>
              </w:rPr>
              <w:t>r</w:t>
            </w:r>
            <w:r w:rsidRPr="003175A7">
              <w:rPr>
                <w:rFonts w:ascii="Times New Roman" w:hAnsi="Times New Roman"/>
                <w:sz w:val="24"/>
                <w:szCs w:val="24"/>
              </w:rPr>
              <w:t xml:space="preserve">egulas Nr. </w:t>
            </w:r>
            <w:hyperlink r:id="rId32" w:tgtFrame="_blank" w:history="1">
              <w:r w:rsidRPr="003175A7">
                <w:rPr>
                  <w:rFonts w:ascii="Times New Roman" w:hAnsi="Times New Roman"/>
                  <w:sz w:val="24"/>
                  <w:szCs w:val="24"/>
                </w:rPr>
                <w:t>1408/2013</w:t>
              </w:r>
            </w:hyperlink>
            <w:r w:rsidRPr="003175A7">
              <w:rPr>
                <w:rFonts w:ascii="Times New Roman" w:hAnsi="Times New Roman"/>
                <w:sz w:val="24"/>
                <w:szCs w:val="24"/>
              </w:rPr>
              <w:t xml:space="preserve"> nosacījumiem, noteikumu projekta </w:t>
            </w:r>
            <w:r w:rsidR="00D42C2D">
              <w:rPr>
                <w:rFonts w:ascii="Times New Roman" w:hAnsi="Times New Roman"/>
                <w:sz w:val="24"/>
                <w:szCs w:val="24"/>
              </w:rPr>
              <w:t>1.pielikuma 7.punktā, 8.5.1., 8.6.,8.7.,8.8. un 8.9.apakšpunktā</w:t>
            </w:r>
            <w:r w:rsidRPr="003175A7">
              <w:rPr>
                <w:rFonts w:ascii="Times New Roman" w:hAnsi="Times New Roman"/>
                <w:sz w:val="24"/>
                <w:szCs w:val="24"/>
              </w:rPr>
              <w:t xml:space="preserve">, jo atbalsts tiek sniegts saskaņā ar Komisijas </w:t>
            </w:r>
            <w:r w:rsidR="003E432E">
              <w:rPr>
                <w:rFonts w:ascii="Times New Roman" w:hAnsi="Times New Roman"/>
                <w:sz w:val="24"/>
                <w:szCs w:val="24"/>
              </w:rPr>
              <w:t>r</w:t>
            </w:r>
            <w:r w:rsidRPr="003175A7">
              <w:rPr>
                <w:rFonts w:ascii="Times New Roman" w:hAnsi="Times New Roman"/>
                <w:sz w:val="24"/>
                <w:szCs w:val="24"/>
              </w:rPr>
              <w:t xml:space="preserve">egulas Nr. </w:t>
            </w:r>
            <w:hyperlink r:id="rId33" w:tgtFrame="_blank" w:history="1">
              <w:r w:rsidRPr="003175A7">
                <w:rPr>
                  <w:rFonts w:ascii="Times New Roman" w:hAnsi="Times New Roman"/>
                  <w:sz w:val="24"/>
                  <w:szCs w:val="24"/>
                </w:rPr>
                <w:t>1407/2013</w:t>
              </w:r>
            </w:hyperlink>
            <w:r w:rsidRPr="003175A7">
              <w:rPr>
                <w:rFonts w:ascii="Times New Roman" w:hAnsi="Times New Roman"/>
                <w:sz w:val="24"/>
                <w:szCs w:val="24"/>
              </w:rPr>
              <w:t xml:space="preserve"> nosacījumiem</w:t>
            </w:r>
            <w:r w:rsidR="00D42C2D">
              <w:rPr>
                <w:rFonts w:ascii="Times New Roman" w:hAnsi="Times New Roman"/>
                <w:sz w:val="24"/>
                <w:szCs w:val="24"/>
              </w:rPr>
              <w:t xml:space="preserve">, </w:t>
            </w:r>
            <w:r w:rsidR="00D42C2D" w:rsidRPr="003175A7">
              <w:rPr>
                <w:rFonts w:ascii="Times New Roman" w:hAnsi="Times New Roman"/>
                <w:sz w:val="24"/>
                <w:szCs w:val="24"/>
              </w:rPr>
              <w:t xml:space="preserve">un </w:t>
            </w:r>
            <w:r w:rsidR="00D42C2D">
              <w:rPr>
                <w:rFonts w:ascii="Times New Roman" w:hAnsi="Times New Roman"/>
                <w:sz w:val="24"/>
                <w:szCs w:val="24"/>
              </w:rPr>
              <w:t xml:space="preserve">noteikumu projekta 1.pielikuma 6.punktā, </w:t>
            </w:r>
            <w:r w:rsidR="00D42C2D" w:rsidRPr="003175A7">
              <w:rPr>
                <w:rFonts w:ascii="Times New Roman" w:hAnsi="Times New Roman"/>
                <w:sz w:val="24"/>
                <w:szCs w:val="24"/>
              </w:rPr>
              <w:t xml:space="preserve">jo atbalsts tiek sniegts saskaņā ar Komisijas </w:t>
            </w:r>
            <w:r w:rsidR="003E432E">
              <w:rPr>
                <w:rFonts w:ascii="Times New Roman" w:hAnsi="Times New Roman"/>
                <w:sz w:val="24"/>
                <w:szCs w:val="24"/>
              </w:rPr>
              <w:t>r</w:t>
            </w:r>
            <w:r w:rsidR="00D42C2D" w:rsidRPr="003175A7">
              <w:rPr>
                <w:rFonts w:ascii="Times New Roman" w:hAnsi="Times New Roman"/>
                <w:sz w:val="24"/>
                <w:szCs w:val="24"/>
              </w:rPr>
              <w:t xml:space="preserve">egulas Nr. </w:t>
            </w:r>
            <w:hyperlink r:id="rId34" w:tgtFrame="_blank" w:history="1">
              <w:r w:rsidR="00D42C2D">
                <w:rPr>
                  <w:rFonts w:ascii="Times New Roman" w:hAnsi="Times New Roman"/>
                  <w:sz w:val="24"/>
                  <w:szCs w:val="24"/>
                </w:rPr>
                <w:t>717</w:t>
              </w:r>
              <w:r w:rsidR="00D42C2D" w:rsidRPr="003175A7">
                <w:rPr>
                  <w:rFonts w:ascii="Times New Roman" w:hAnsi="Times New Roman"/>
                  <w:sz w:val="24"/>
                  <w:szCs w:val="24"/>
                </w:rPr>
                <w:t>/201</w:t>
              </w:r>
              <w:r w:rsidR="00D42C2D">
                <w:rPr>
                  <w:rFonts w:ascii="Times New Roman" w:hAnsi="Times New Roman"/>
                  <w:sz w:val="24"/>
                  <w:szCs w:val="24"/>
                </w:rPr>
                <w:t>4</w:t>
              </w:r>
            </w:hyperlink>
            <w:r w:rsidR="00D42C2D" w:rsidRPr="003175A7">
              <w:rPr>
                <w:rFonts w:ascii="Times New Roman" w:hAnsi="Times New Roman"/>
                <w:sz w:val="24"/>
                <w:szCs w:val="24"/>
              </w:rPr>
              <w:t xml:space="preserve"> nosacījumiem</w:t>
            </w:r>
            <w:r w:rsidRPr="003175A7">
              <w:rPr>
                <w:rFonts w:ascii="Times New Roman" w:hAnsi="Times New Roman"/>
                <w:sz w:val="24"/>
                <w:szCs w:val="24"/>
              </w:rPr>
              <w:t xml:space="preserve">. </w:t>
            </w:r>
          </w:p>
          <w:p w14:paraId="44AE5B82" w14:textId="0B101E0C" w:rsidR="002F30BD" w:rsidRDefault="00D42C2D" w:rsidP="00D42C2D">
            <w:pPr>
              <w:spacing w:after="0" w:line="240" w:lineRule="auto"/>
              <w:jc w:val="both"/>
              <w:rPr>
                <w:rFonts w:ascii="Times New Roman" w:hAnsi="Times New Roman"/>
                <w:sz w:val="24"/>
                <w:szCs w:val="24"/>
              </w:rPr>
            </w:pPr>
            <w:r>
              <w:rPr>
                <w:rFonts w:ascii="Times New Roman" w:hAnsi="Times New Roman"/>
                <w:sz w:val="24"/>
                <w:szCs w:val="24"/>
              </w:rPr>
              <w:t>Atbalsta pasākumiem, k</w:t>
            </w:r>
            <w:r w:rsidR="000E7E1F">
              <w:rPr>
                <w:rFonts w:ascii="Times New Roman" w:hAnsi="Times New Roman"/>
                <w:sz w:val="24"/>
                <w:szCs w:val="24"/>
              </w:rPr>
              <w:t>as</w:t>
            </w:r>
            <w:r>
              <w:rPr>
                <w:rFonts w:ascii="Times New Roman" w:hAnsi="Times New Roman"/>
                <w:sz w:val="24"/>
                <w:szCs w:val="24"/>
              </w:rPr>
              <w:t xml:space="preserve"> minēti noteikumu projekta 1.pielikuma 1.,</w:t>
            </w:r>
            <w:r w:rsidR="000E7E1F">
              <w:rPr>
                <w:rFonts w:ascii="Times New Roman" w:hAnsi="Times New Roman"/>
                <w:sz w:val="24"/>
                <w:szCs w:val="24"/>
              </w:rPr>
              <w:t xml:space="preserve"> </w:t>
            </w:r>
            <w:r>
              <w:rPr>
                <w:rFonts w:ascii="Times New Roman" w:hAnsi="Times New Roman"/>
                <w:sz w:val="24"/>
                <w:szCs w:val="24"/>
              </w:rPr>
              <w:t>2.,</w:t>
            </w:r>
            <w:r w:rsidR="000E7E1F">
              <w:rPr>
                <w:rFonts w:ascii="Times New Roman" w:hAnsi="Times New Roman"/>
                <w:sz w:val="24"/>
                <w:szCs w:val="24"/>
              </w:rPr>
              <w:t xml:space="preserve"> </w:t>
            </w:r>
            <w:r>
              <w:rPr>
                <w:rFonts w:ascii="Times New Roman" w:hAnsi="Times New Roman"/>
                <w:sz w:val="24"/>
                <w:szCs w:val="24"/>
              </w:rPr>
              <w:t>3.,</w:t>
            </w:r>
            <w:r w:rsidR="000E7E1F">
              <w:rPr>
                <w:rFonts w:ascii="Times New Roman" w:hAnsi="Times New Roman"/>
                <w:sz w:val="24"/>
                <w:szCs w:val="24"/>
              </w:rPr>
              <w:t xml:space="preserve"> </w:t>
            </w:r>
            <w:r>
              <w:rPr>
                <w:rFonts w:ascii="Times New Roman" w:hAnsi="Times New Roman"/>
                <w:sz w:val="24"/>
                <w:szCs w:val="24"/>
              </w:rPr>
              <w:t>4.</w:t>
            </w:r>
            <w:r w:rsidR="000E7E1F">
              <w:rPr>
                <w:rFonts w:ascii="Times New Roman" w:hAnsi="Times New Roman"/>
                <w:sz w:val="24"/>
                <w:szCs w:val="24"/>
              </w:rPr>
              <w:t xml:space="preserve"> un</w:t>
            </w:r>
            <w:r>
              <w:rPr>
                <w:rFonts w:ascii="Times New Roman" w:hAnsi="Times New Roman"/>
                <w:sz w:val="24"/>
                <w:szCs w:val="24"/>
              </w:rPr>
              <w:t xml:space="preserve"> 5.punktā un 8.1.un 8.4.apakšpunktā k</w:t>
            </w:r>
            <w:r w:rsidR="000E7E1F">
              <w:rPr>
                <w:rFonts w:ascii="Times New Roman" w:hAnsi="Times New Roman"/>
                <w:sz w:val="24"/>
                <w:szCs w:val="24"/>
              </w:rPr>
              <w:t>r</w:t>
            </w:r>
            <w:r>
              <w:rPr>
                <w:rFonts w:ascii="Times New Roman" w:hAnsi="Times New Roman"/>
                <w:sz w:val="24"/>
                <w:szCs w:val="24"/>
              </w:rPr>
              <w:t xml:space="preserve">edītgarantijas piešķirs saskaņā ar </w:t>
            </w:r>
            <w:r w:rsidRPr="00D42C2D">
              <w:rPr>
                <w:rFonts w:ascii="Times New Roman" w:hAnsi="Times New Roman"/>
                <w:sz w:val="24"/>
                <w:szCs w:val="24"/>
              </w:rPr>
              <w:t>Komisijas regul</w:t>
            </w:r>
            <w:r w:rsidR="000E7E1F">
              <w:rPr>
                <w:rFonts w:ascii="Times New Roman" w:hAnsi="Times New Roman"/>
                <w:sz w:val="24"/>
                <w:szCs w:val="24"/>
              </w:rPr>
              <w:t>u</w:t>
            </w:r>
            <w:r w:rsidRPr="00D42C2D">
              <w:rPr>
                <w:rFonts w:ascii="Times New Roman" w:hAnsi="Times New Roman"/>
                <w:sz w:val="24"/>
                <w:szCs w:val="24"/>
              </w:rPr>
              <w:t xml:space="preserve"> Nr. </w:t>
            </w:r>
            <w:hyperlink r:id="rId35" w:tgtFrame="_blank" w:history="1">
              <w:r w:rsidRPr="00D42C2D">
                <w:rPr>
                  <w:rFonts w:ascii="Times New Roman" w:hAnsi="Times New Roman"/>
                  <w:sz w:val="24"/>
                  <w:szCs w:val="24"/>
                </w:rPr>
                <w:t>702/2014</w:t>
              </w:r>
            </w:hyperlink>
            <w:r>
              <w:rPr>
                <w:rFonts w:ascii="Times New Roman" w:hAnsi="Times New Roman"/>
                <w:sz w:val="24"/>
                <w:szCs w:val="24"/>
              </w:rPr>
              <w:t>.</w:t>
            </w:r>
          </w:p>
          <w:p w14:paraId="6FF951DB" w14:textId="27419CB1" w:rsidR="00D42C2D" w:rsidRPr="003175A7" w:rsidRDefault="00D42C2D" w:rsidP="00D42C2D">
            <w:pPr>
              <w:spacing w:after="0" w:line="240" w:lineRule="auto"/>
              <w:jc w:val="both"/>
              <w:rPr>
                <w:rFonts w:ascii="Times New Roman" w:hAnsi="Times New Roman"/>
                <w:sz w:val="24"/>
                <w:szCs w:val="24"/>
              </w:rPr>
            </w:pPr>
            <w:r>
              <w:rPr>
                <w:rFonts w:ascii="Times New Roman" w:hAnsi="Times New Roman"/>
                <w:sz w:val="24"/>
                <w:szCs w:val="24"/>
              </w:rPr>
              <w:t xml:space="preserve">Atbalsta shēma kredītgarantiju piešķiršanai ir spēkā līdz 2019.gada 31.decembrim </w:t>
            </w:r>
            <w:r w:rsidR="000E7E1F">
              <w:rPr>
                <w:rFonts w:ascii="Times New Roman" w:hAnsi="Times New Roman"/>
                <w:sz w:val="24"/>
                <w:szCs w:val="24"/>
              </w:rPr>
              <w:t>atbilstoši</w:t>
            </w:r>
            <w:r>
              <w:rPr>
                <w:rFonts w:ascii="Times New Roman" w:hAnsi="Times New Roman"/>
                <w:sz w:val="24"/>
                <w:szCs w:val="24"/>
              </w:rPr>
              <w:t xml:space="preserve"> Eiropas Komisijas lēmum</w:t>
            </w:r>
            <w:r w:rsidR="000E7E1F">
              <w:rPr>
                <w:rFonts w:ascii="Times New Roman" w:hAnsi="Times New Roman"/>
                <w:sz w:val="24"/>
                <w:szCs w:val="24"/>
              </w:rPr>
              <w:t>am</w:t>
            </w:r>
            <w:r>
              <w:rPr>
                <w:rFonts w:ascii="Times New Roman" w:hAnsi="Times New Roman"/>
                <w:sz w:val="24"/>
                <w:szCs w:val="24"/>
              </w:rPr>
              <w:t xml:space="preserve"> </w:t>
            </w:r>
            <w:proofErr w:type="spellStart"/>
            <w:r>
              <w:rPr>
                <w:rFonts w:ascii="Times New Roman" w:hAnsi="Times New Roman"/>
                <w:sz w:val="24"/>
                <w:szCs w:val="24"/>
              </w:rPr>
              <w:t>Nr.SA</w:t>
            </w:r>
            <w:proofErr w:type="spellEnd"/>
            <w:r w:rsidR="000E7E1F">
              <w:rPr>
                <w:rFonts w:ascii="Times New Roman" w:hAnsi="Times New Roman"/>
                <w:sz w:val="24"/>
                <w:szCs w:val="24"/>
              </w:rPr>
              <w:t> </w:t>
            </w:r>
            <w:r>
              <w:rPr>
                <w:rFonts w:ascii="Times New Roman" w:hAnsi="Times New Roman"/>
                <w:sz w:val="24"/>
                <w:szCs w:val="24"/>
              </w:rPr>
              <w:t xml:space="preserve">37390 </w:t>
            </w:r>
            <w:r>
              <w:rPr>
                <w:rFonts w:ascii="Times New Roman" w:hAnsi="Times New Roman"/>
                <w:sz w:val="24"/>
                <w:szCs w:val="24"/>
              </w:rPr>
              <w:lastRenderedPageBreak/>
              <w:t>„Atbalsts kredītgar</w:t>
            </w:r>
            <w:r w:rsidR="000E7E1F">
              <w:rPr>
                <w:rFonts w:ascii="Times New Roman" w:hAnsi="Times New Roman"/>
                <w:sz w:val="24"/>
                <w:szCs w:val="24"/>
              </w:rPr>
              <w:t>a</w:t>
            </w:r>
            <w:r>
              <w:rPr>
                <w:rFonts w:ascii="Times New Roman" w:hAnsi="Times New Roman"/>
                <w:sz w:val="24"/>
                <w:szCs w:val="24"/>
              </w:rPr>
              <w:t>nt</w:t>
            </w:r>
            <w:r w:rsidR="000E7E1F">
              <w:rPr>
                <w:rFonts w:ascii="Times New Roman" w:hAnsi="Times New Roman"/>
                <w:sz w:val="24"/>
                <w:szCs w:val="24"/>
              </w:rPr>
              <w:t>i</w:t>
            </w:r>
            <w:r>
              <w:rPr>
                <w:rFonts w:ascii="Times New Roman" w:hAnsi="Times New Roman"/>
                <w:sz w:val="24"/>
                <w:szCs w:val="24"/>
              </w:rPr>
              <w:t>ju veidā”.</w:t>
            </w:r>
          </w:p>
        </w:tc>
      </w:tr>
      <w:tr w:rsidR="00676910" w:rsidRPr="003175A7" w14:paraId="286BD2CE" w14:textId="77777777" w:rsidTr="00676910">
        <w:trPr>
          <w:gridBefore w:val="1"/>
          <w:wBefore w:w="179" w:type="dxa"/>
          <w:jc w:val="center"/>
        </w:trPr>
        <w:tc>
          <w:tcPr>
            <w:tcW w:w="2207" w:type="dxa"/>
            <w:gridSpan w:val="3"/>
            <w:tcBorders>
              <w:top w:val="outset" w:sz="6" w:space="0" w:color="auto"/>
              <w:bottom w:val="outset" w:sz="6" w:space="0" w:color="auto"/>
              <w:right w:val="outset" w:sz="6" w:space="0" w:color="auto"/>
            </w:tcBorders>
          </w:tcPr>
          <w:p w14:paraId="305D27DE" w14:textId="77777777" w:rsidR="002F30BD" w:rsidRPr="007A7182" w:rsidRDefault="002F30BD" w:rsidP="000B64EA">
            <w:pPr>
              <w:spacing w:after="0" w:line="240" w:lineRule="auto"/>
              <w:rPr>
                <w:rFonts w:ascii="Times New Roman" w:hAnsi="Times New Roman"/>
                <w:sz w:val="24"/>
                <w:szCs w:val="24"/>
              </w:rPr>
            </w:pPr>
            <w:r w:rsidRPr="007A7182">
              <w:rPr>
                <w:rFonts w:ascii="Times New Roman" w:hAnsi="Times New Roman"/>
                <w:sz w:val="24"/>
                <w:szCs w:val="24"/>
              </w:rPr>
              <w:lastRenderedPageBreak/>
              <w:t>Cita informācija</w:t>
            </w:r>
          </w:p>
        </w:tc>
        <w:tc>
          <w:tcPr>
            <w:tcW w:w="7294" w:type="dxa"/>
            <w:gridSpan w:val="9"/>
            <w:tcBorders>
              <w:top w:val="outset" w:sz="6" w:space="0" w:color="auto"/>
              <w:left w:val="outset" w:sz="6" w:space="0" w:color="auto"/>
              <w:bottom w:val="outset" w:sz="6" w:space="0" w:color="auto"/>
            </w:tcBorders>
          </w:tcPr>
          <w:p w14:paraId="00CF3689" w14:textId="77777777" w:rsidR="002F30BD" w:rsidRPr="003175A7" w:rsidRDefault="002F30BD" w:rsidP="000B64EA">
            <w:pPr>
              <w:spacing w:after="0" w:line="240" w:lineRule="auto"/>
              <w:rPr>
                <w:rFonts w:ascii="Times New Roman" w:hAnsi="Times New Roman"/>
                <w:sz w:val="24"/>
                <w:szCs w:val="24"/>
              </w:rPr>
            </w:pPr>
            <w:r w:rsidRPr="003175A7">
              <w:rPr>
                <w:rFonts w:ascii="Times New Roman" w:hAnsi="Times New Roman"/>
                <w:sz w:val="24"/>
                <w:szCs w:val="24"/>
              </w:rPr>
              <w:t>Nav.</w:t>
            </w:r>
          </w:p>
        </w:tc>
      </w:tr>
      <w:tr w:rsidR="00676910" w:rsidRPr="007A7182" w14:paraId="195A98B4" w14:textId="77777777" w:rsidTr="00676910">
        <w:trPr>
          <w:gridBefore w:val="1"/>
          <w:wBefore w:w="179" w:type="dxa"/>
          <w:jc w:val="center"/>
        </w:trPr>
        <w:tc>
          <w:tcPr>
            <w:tcW w:w="9501" w:type="dxa"/>
            <w:gridSpan w:val="12"/>
            <w:tcBorders>
              <w:top w:val="outset" w:sz="6" w:space="0" w:color="auto"/>
              <w:bottom w:val="outset" w:sz="6" w:space="0" w:color="auto"/>
            </w:tcBorders>
            <w:vAlign w:val="center"/>
          </w:tcPr>
          <w:p w14:paraId="4B82E2AE" w14:textId="77777777" w:rsidR="002F30BD" w:rsidRPr="007A7182" w:rsidRDefault="002F30BD" w:rsidP="000B64EA">
            <w:pPr>
              <w:spacing w:after="0" w:line="240" w:lineRule="auto"/>
              <w:rPr>
                <w:rFonts w:ascii="Times New Roman" w:hAnsi="Times New Roman"/>
                <w:b/>
                <w:sz w:val="24"/>
                <w:szCs w:val="24"/>
              </w:rPr>
            </w:pPr>
            <w:r w:rsidRPr="007A7182">
              <w:rPr>
                <w:rFonts w:ascii="Times New Roman" w:hAnsi="Times New Roman"/>
                <w:b/>
                <w:sz w:val="24"/>
                <w:szCs w:val="24"/>
              </w:rPr>
              <w:t>2.tabula</w:t>
            </w:r>
          </w:p>
          <w:p w14:paraId="773F1B3D" w14:textId="77777777" w:rsidR="002F30BD" w:rsidRPr="007A7182" w:rsidRDefault="002F30BD" w:rsidP="000B64EA">
            <w:pPr>
              <w:spacing w:after="0" w:line="240" w:lineRule="auto"/>
              <w:rPr>
                <w:rFonts w:ascii="Times New Roman" w:hAnsi="Times New Roman"/>
                <w:b/>
                <w:sz w:val="24"/>
                <w:szCs w:val="24"/>
              </w:rPr>
            </w:pPr>
            <w:r w:rsidRPr="007A7182">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14:paraId="4B04FC94" w14:textId="77777777" w:rsidR="002F30BD" w:rsidRPr="007A7182" w:rsidRDefault="002F30BD" w:rsidP="000B64EA">
            <w:pPr>
              <w:spacing w:after="0" w:line="240" w:lineRule="auto"/>
              <w:rPr>
                <w:rFonts w:ascii="Times New Roman" w:hAnsi="Times New Roman"/>
                <w:b/>
                <w:sz w:val="24"/>
                <w:szCs w:val="24"/>
              </w:rPr>
            </w:pPr>
            <w:r w:rsidRPr="007A7182">
              <w:rPr>
                <w:rFonts w:ascii="Times New Roman" w:hAnsi="Times New Roman"/>
                <w:b/>
                <w:sz w:val="24"/>
                <w:szCs w:val="24"/>
              </w:rPr>
              <w:t>Pasākumi šo saistību izpildei</w:t>
            </w:r>
          </w:p>
        </w:tc>
      </w:tr>
      <w:tr w:rsidR="00676910" w:rsidRPr="007A7182" w14:paraId="6549836A" w14:textId="77777777" w:rsidTr="00676910">
        <w:trPr>
          <w:gridBefore w:val="1"/>
          <w:wBefore w:w="179" w:type="dxa"/>
          <w:jc w:val="center"/>
        </w:trPr>
        <w:tc>
          <w:tcPr>
            <w:tcW w:w="2619" w:type="dxa"/>
            <w:gridSpan w:val="4"/>
            <w:tcBorders>
              <w:top w:val="outset" w:sz="6" w:space="0" w:color="auto"/>
              <w:bottom w:val="outset" w:sz="6" w:space="0" w:color="auto"/>
              <w:right w:val="outset" w:sz="6" w:space="0" w:color="auto"/>
            </w:tcBorders>
            <w:vAlign w:val="center"/>
          </w:tcPr>
          <w:p w14:paraId="43A0EA30" w14:textId="77777777" w:rsidR="002F30BD" w:rsidRPr="007A7182" w:rsidRDefault="002F30BD" w:rsidP="000B64EA">
            <w:pPr>
              <w:spacing w:after="0" w:line="240" w:lineRule="auto"/>
              <w:rPr>
                <w:rFonts w:ascii="Times New Roman" w:hAnsi="Times New Roman"/>
                <w:sz w:val="24"/>
                <w:szCs w:val="24"/>
              </w:rPr>
            </w:pPr>
            <w:r w:rsidRPr="007A7182">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6882" w:type="dxa"/>
            <w:gridSpan w:val="8"/>
            <w:tcBorders>
              <w:top w:val="outset" w:sz="6" w:space="0" w:color="auto"/>
              <w:left w:val="outset" w:sz="6" w:space="0" w:color="auto"/>
              <w:bottom w:val="outset" w:sz="6" w:space="0" w:color="auto"/>
            </w:tcBorders>
          </w:tcPr>
          <w:p w14:paraId="0F450124" w14:textId="77777777" w:rsidR="002F30BD" w:rsidRPr="007A7182" w:rsidRDefault="002F30BD" w:rsidP="000B64EA">
            <w:pPr>
              <w:spacing w:after="0" w:line="240" w:lineRule="auto"/>
              <w:rPr>
                <w:rFonts w:ascii="Times New Roman" w:hAnsi="Times New Roman"/>
                <w:sz w:val="24"/>
                <w:szCs w:val="24"/>
              </w:rPr>
            </w:pPr>
            <w:r w:rsidRPr="007A7182">
              <w:rPr>
                <w:rFonts w:ascii="Times New Roman" w:hAnsi="Times New Roman"/>
                <w:sz w:val="24"/>
                <w:szCs w:val="24"/>
              </w:rPr>
              <w:t>Projekts šo jomu neskar.</w:t>
            </w:r>
          </w:p>
        </w:tc>
      </w:tr>
      <w:tr w:rsidR="00676910" w:rsidRPr="00016696" w14:paraId="72950CE4" w14:textId="77777777" w:rsidTr="00676910">
        <w:trPr>
          <w:gridBefore w:val="1"/>
          <w:wBefore w:w="179" w:type="dxa"/>
          <w:jc w:val="center"/>
        </w:trPr>
        <w:tc>
          <w:tcPr>
            <w:tcW w:w="2619" w:type="dxa"/>
            <w:gridSpan w:val="4"/>
            <w:tcBorders>
              <w:top w:val="outset" w:sz="6" w:space="0" w:color="auto"/>
              <w:bottom w:val="outset" w:sz="6" w:space="0" w:color="auto"/>
              <w:right w:val="outset" w:sz="6" w:space="0" w:color="auto"/>
            </w:tcBorders>
            <w:vAlign w:val="center"/>
          </w:tcPr>
          <w:p w14:paraId="50436255" w14:textId="77777777" w:rsidR="002F30BD" w:rsidRPr="00610E3E" w:rsidRDefault="002F30BD" w:rsidP="000B64EA">
            <w:pPr>
              <w:spacing w:after="0" w:line="240" w:lineRule="auto"/>
              <w:rPr>
                <w:rFonts w:ascii="Times New Roman" w:hAnsi="Times New Roman"/>
                <w:sz w:val="24"/>
                <w:szCs w:val="24"/>
              </w:rPr>
            </w:pPr>
            <w:r w:rsidRPr="00610E3E">
              <w:rPr>
                <w:rFonts w:ascii="Times New Roman" w:hAnsi="Times New Roman"/>
                <w:sz w:val="24"/>
                <w:szCs w:val="24"/>
              </w:rPr>
              <w:t>A</w:t>
            </w:r>
          </w:p>
        </w:tc>
        <w:tc>
          <w:tcPr>
            <w:tcW w:w="2968" w:type="dxa"/>
            <w:gridSpan w:val="4"/>
            <w:tcBorders>
              <w:top w:val="outset" w:sz="6" w:space="0" w:color="auto"/>
              <w:left w:val="outset" w:sz="6" w:space="0" w:color="auto"/>
              <w:bottom w:val="outset" w:sz="6" w:space="0" w:color="auto"/>
              <w:right w:val="outset" w:sz="6" w:space="0" w:color="auto"/>
            </w:tcBorders>
            <w:vAlign w:val="center"/>
          </w:tcPr>
          <w:p w14:paraId="44203524" w14:textId="77777777" w:rsidR="002F30BD" w:rsidRPr="00610E3E" w:rsidRDefault="002F30BD" w:rsidP="000B64EA">
            <w:pPr>
              <w:spacing w:after="0" w:line="240" w:lineRule="auto"/>
              <w:rPr>
                <w:rFonts w:ascii="Times New Roman" w:hAnsi="Times New Roman"/>
                <w:sz w:val="24"/>
                <w:szCs w:val="24"/>
              </w:rPr>
            </w:pPr>
            <w:r w:rsidRPr="00610E3E">
              <w:rPr>
                <w:rFonts w:ascii="Times New Roman" w:hAnsi="Times New Roman"/>
                <w:sz w:val="24"/>
                <w:szCs w:val="24"/>
              </w:rPr>
              <w:t>B</w:t>
            </w:r>
          </w:p>
        </w:tc>
        <w:tc>
          <w:tcPr>
            <w:tcW w:w="3914" w:type="dxa"/>
            <w:gridSpan w:val="4"/>
            <w:tcBorders>
              <w:top w:val="outset" w:sz="6" w:space="0" w:color="auto"/>
              <w:left w:val="outset" w:sz="6" w:space="0" w:color="auto"/>
              <w:bottom w:val="outset" w:sz="6" w:space="0" w:color="auto"/>
            </w:tcBorders>
            <w:vAlign w:val="center"/>
          </w:tcPr>
          <w:p w14:paraId="22A36CE3" w14:textId="77777777" w:rsidR="002F30BD" w:rsidRPr="00016696" w:rsidRDefault="002F30BD" w:rsidP="000B64EA">
            <w:pPr>
              <w:spacing w:after="0" w:line="240" w:lineRule="auto"/>
              <w:rPr>
                <w:rFonts w:ascii="Times New Roman" w:hAnsi="Times New Roman"/>
                <w:sz w:val="24"/>
                <w:szCs w:val="24"/>
              </w:rPr>
            </w:pPr>
            <w:r w:rsidRPr="00016696">
              <w:rPr>
                <w:rFonts w:ascii="Times New Roman" w:hAnsi="Times New Roman"/>
                <w:sz w:val="24"/>
                <w:szCs w:val="24"/>
              </w:rPr>
              <w:t>C</w:t>
            </w:r>
          </w:p>
        </w:tc>
      </w:tr>
      <w:tr w:rsidR="00676910" w:rsidRPr="00016696" w14:paraId="3B5261E2" w14:textId="77777777" w:rsidTr="00676910">
        <w:trPr>
          <w:gridBefore w:val="1"/>
          <w:wBefore w:w="179" w:type="dxa"/>
          <w:jc w:val="center"/>
        </w:trPr>
        <w:tc>
          <w:tcPr>
            <w:tcW w:w="2619" w:type="dxa"/>
            <w:gridSpan w:val="4"/>
            <w:tcBorders>
              <w:top w:val="outset" w:sz="6" w:space="0" w:color="auto"/>
              <w:bottom w:val="outset" w:sz="6" w:space="0" w:color="auto"/>
              <w:right w:val="outset" w:sz="6" w:space="0" w:color="auto"/>
            </w:tcBorders>
          </w:tcPr>
          <w:p w14:paraId="5B1C6B28" w14:textId="77777777" w:rsidR="002F30BD" w:rsidRPr="00610E3E" w:rsidRDefault="002F30BD" w:rsidP="000B64EA">
            <w:pPr>
              <w:spacing w:after="0" w:line="240" w:lineRule="auto"/>
              <w:rPr>
                <w:rFonts w:ascii="Times New Roman" w:hAnsi="Times New Roman"/>
                <w:sz w:val="24"/>
                <w:szCs w:val="24"/>
              </w:rPr>
            </w:pPr>
            <w:r w:rsidRPr="00610E3E">
              <w:rPr>
                <w:rFonts w:ascii="Times New Roman" w:hAnsi="Times New Roman"/>
                <w:sz w:val="24"/>
                <w:szCs w:val="24"/>
              </w:rPr>
              <w:t>Starptautiskās saistības (pēc būtības), kas izriet no norādītā starptautis</w:t>
            </w:r>
            <w:r w:rsidRPr="00610E3E">
              <w:rPr>
                <w:rFonts w:ascii="Times New Roman" w:hAnsi="Times New Roman"/>
                <w:sz w:val="24"/>
                <w:szCs w:val="24"/>
              </w:rPr>
              <w:softHyphen/>
              <w:t>kā dokumenta.</w:t>
            </w:r>
          </w:p>
          <w:p w14:paraId="6C47BFC3" w14:textId="77777777" w:rsidR="002F30BD" w:rsidRPr="00610E3E" w:rsidRDefault="002F30BD" w:rsidP="000B64EA">
            <w:pPr>
              <w:spacing w:after="0" w:line="240" w:lineRule="auto"/>
              <w:rPr>
                <w:rFonts w:ascii="Times New Roman" w:hAnsi="Times New Roman"/>
                <w:sz w:val="24"/>
                <w:szCs w:val="24"/>
              </w:rPr>
            </w:pPr>
            <w:r w:rsidRPr="00610E3E">
              <w:rPr>
                <w:rFonts w:ascii="Times New Roman" w:hAnsi="Times New Roman"/>
                <w:sz w:val="24"/>
                <w:szCs w:val="24"/>
              </w:rPr>
              <w:t>Konkrēti veicamie pasākumi vai uzdevumi, kas nepieciešami šo starptautisko saistību izpildei</w:t>
            </w:r>
          </w:p>
        </w:tc>
        <w:tc>
          <w:tcPr>
            <w:tcW w:w="2968" w:type="dxa"/>
            <w:gridSpan w:val="4"/>
            <w:tcBorders>
              <w:top w:val="outset" w:sz="6" w:space="0" w:color="auto"/>
              <w:left w:val="outset" w:sz="6" w:space="0" w:color="auto"/>
              <w:bottom w:val="outset" w:sz="6" w:space="0" w:color="auto"/>
              <w:right w:val="outset" w:sz="6" w:space="0" w:color="auto"/>
            </w:tcBorders>
          </w:tcPr>
          <w:p w14:paraId="17947AB4" w14:textId="77777777" w:rsidR="002F30BD" w:rsidRPr="00610E3E" w:rsidRDefault="002F30BD" w:rsidP="000B64EA">
            <w:pPr>
              <w:spacing w:after="0" w:line="240" w:lineRule="auto"/>
              <w:rPr>
                <w:rFonts w:ascii="Times New Roman" w:hAnsi="Times New Roman"/>
                <w:sz w:val="24"/>
                <w:szCs w:val="24"/>
              </w:rPr>
            </w:pPr>
            <w:r w:rsidRPr="00610E3E">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914" w:type="dxa"/>
            <w:gridSpan w:val="4"/>
            <w:tcBorders>
              <w:top w:val="outset" w:sz="6" w:space="0" w:color="auto"/>
              <w:left w:val="outset" w:sz="6" w:space="0" w:color="auto"/>
              <w:bottom w:val="outset" w:sz="6" w:space="0" w:color="auto"/>
            </w:tcBorders>
          </w:tcPr>
          <w:p w14:paraId="3633FD5E" w14:textId="77777777" w:rsidR="002F30BD" w:rsidRPr="00016696" w:rsidRDefault="002F30BD" w:rsidP="000B64EA">
            <w:pPr>
              <w:spacing w:after="0" w:line="240" w:lineRule="auto"/>
              <w:rPr>
                <w:rFonts w:ascii="Times New Roman" w:hAnsi="Times New Roman"/>
                <w:sz w:val="24"/>
                <w:szCs w:val="24"/>
              </w:rPr>
            </w:pPr>
            <w:r w:rsidRPr="00016696">
              <w:rPr>
                <w:rFonts w:ascii="Times New Roman" w:hAnsi="Times New Roman"/>
                <w:sz w:val="24"/>
                <w:szCs w:val="24"/>
              </w:rPr>
              <w:t>Informācija par to, vai starptautiskās saistības, kas minētas šīs tabulas A ailē, tiek izpildītas pilnībā vai daļēji.</w:t>
            </w:r>
          </w:p>
          <w:p w14:paraId="038BDEE9" w14:textId="77777777" w:rsidR="002F30BD" w:rsidRPr="00016696" w:rsidRDefault="002F30BD" w:rsidP="000B64EA">
            <w:pPr>
              <w:spacing w:after="0" w:line="240" w:lineRule="auto"/>
              <w:rPr>
                <w:rFonts w:ascii="Times New Roman" w:hAnsi="Times New Roman"/>
                <w:sz w:val="24"/>
                <w:szCs w:val="24"/>
              </w:rPr>
            </w:pPr>
            <w:r w:rsidRPr="00016696">
              <w:rPr>
                <w:rFonts w:ascii="Times New Roman" w:hAnsi="Times New Roman"/>
                <w:sz w:val="24"/>
                <w:szCs w:val="24"/>
              </w:rPr>
              <w:t>Ja attiecīgās starptautiskās saistības tiek izpildītas daļēji, sniedz skaidrojumu, kā arī precīzi norāda, kad un kādā veidā starptautiskās saistības tiks izpildītas pilnībā.</w:t>
            </w:r>
          </w:p>
          <w:p w14:paraId="27F3495E" w14:textId="77777777" w:rsidR="002F30BD" w:rsidRPr="00016696" w:rsidRDefault="002F30BD" w:rsidP="000B64EA">
            <w:pPr>
              <w:spacing w:after="0" w:line="240" w:lineRule="auto"/>
              <w:rPr>
                <w:rFonts w:ascii="Times New Roman" w:hAnsi="Times New Roman"/>
                <w:sz w:val="24"/>
                <w:szCs w:val="24"/>
              </w:rPr>
            </w:pPr>
            <w:r w:rsidRPr="00016696">
              <w:rPr>
                <w:rFonts w:ascii="Times New Roman" w:hAnsi="Times New Roman"/>
                <w:sz w:val="24"/>
                <w:szCs w:val="24"/>
              </w:rPr>
              <w:t>Norāda institūciju, kas ir atbildīga par šo saistību izpildi pilnībā</w:t>
            </w:r>
          </w:p>
        </w:tc>
      </w:tr>
      <w:tr w:rsidR="00676910" w:rsidRPr="00B84678" w14:paraId="77A11527" w14:textId="77777777" w:rsidTr="00676910">
        <w:trPr>
          <w:gridBefore w:val="1"/>
          <w:wBefore w:w="179" w:type="dxa"/>
          <w:jc w:val="center"/>
        </w:trPr>
        <w:tc>
          <w:tcPr>
            <w:tcW w:w="2619" w:type="dxa"/>
            <w:gridSpan w:val="4"/>
            <w:tcBorders>
              <w:top w:val="outset" w:sz="6" w:space="0" w:color="auto"/>
              <w:bottom w:val="outset" w:sz="6" w:space="0" w:color="auto"/>
              <w:right w:val="outset" w:sz="6" w:space="0" w:color="auto"/>
            </w:tcBorders>
          </w:tcPr>
          <w:p w14:paraId="6281E08F" w14:textId="77777777" w:rsidR="002F30BD" w:rsidRPr="00B84678" w:rsidRDefault="002F30BD" w:rsidP="000B64EA">
            <w:pPr>
              <w:spacing w:after="0" w:line="240" w:lineRule="auto"/>
              <w:rPr>
                <w:rFonts w:ascii="Times New Roman" w:hAnsi="Times New Roman"/>
                <w:sz w:val="24"/>
                <w:szCs w:val="24"/>
              </w:rPr>
            </w:pPr>
            <w:r w:rsidRPr="00B84678">
              <w:rPr>
                <w:rFonts w:ascii="Times New Roman" w:hAnsi="Times New Roman"/>
                <w:sz w:val="24"/>
                <w:szCs w:val="24"/>
              </w:rPr>
              <w:t> Projekts šo jomu neskar.</w:t>
            </w:r>
          </w:p>
        </w:tc>
        <w:tc>
          <w:tcPr>
            <w:tcW w:w="2968" w:type="dxa"/>
            <w:gridSpan w:val="4"/>
            <w:tcBorders>
              <w:top w:val="outset" w:sz="6" w:space="0" w:color="auto"/>
              <w:left w:val="outset" w:sz="6" w:space="0" w:color="auto"/>
              <w:bottom w:val="outset" w:sz="6" w:space="0" w:color="auto"/>
              <w:right w:val="outset" w:sz="6" w:space="0" w:color="auto"/>
            </w:tcBorders>
          </w:tcPr>
          <w:p w14:paraId="2B90B667" w14:textId="77777777" w:rsidR="002F30BD" w:rsidRPr="00B84678" w:rsidRDefault="002F30BD" w:rsidP="000B64EA">
            <w:pPr>
              <w:spacing w:after="0" w:line="240" w:lineRule="auto"/>
              <w:rPr>
                <w:rFonts w:ascii="Times New Roman" w:hAnsi="Times New Roman"/>
                <w:sz w:val="24"/>
                <w:szCs w:val="24"/>
              </w:rPr>
            </w:pPr>
            <w:r w:rsidRPr="00B84678">
              <w:rPr>
                <w:rFonts w:ascii="Times New Roman" w:hAnsi="Times New Roman"/>
                <w:sz w:val="24"/>
                <w:szCs w:val="24"/>
              </w:rPr>
              <w:t> Projekts šo jomu neskar.</w:t>
            </w:r>
          </w:p>
        </w:tc>
        <w:tc>
          <w:tcPr>
            <w:tcW w:w="3914" w:type="dxa"/>
            <w:gridSpan w:val="4"/>
            <w:tcBorders>
              <w:top w:val="outset" w:sz="6" w:space="0" w:color="auto"/>
              <w:left w:val="outset" w:sz="6" w:space="0" w:color="auto"/>
              <w:bottom w:val="outset" w:sz="6" w:space="0" w:color="auto"/>
            </w:tcBorders>
          </w:tcPr>
          <w:p w14:paraId="69B248D5" w14:textId="77777777" w:rsidR="002F30BD" w:rsidRPr="00B84678" w:rsidRDefault="002F30BD" w:rsidP="000B64EA">
            <w:pPr>
              <w:spacing w:after="0" w:line="240" w:lineRule="auto"/>
              <w:rPr>
                <w:rFonts w:ascii="Times New Roman" w:hAnsi="Times New Roman"/>
                <w:sz w:val="24"/>
                <w:szCs w:val="24"/>
              </w:rPr>
            </w:pPr>
            <w:r w:rsidRPr="00B84678">
              <w:rPr>
                <w:rFonts w:ascii="Times New Roman" w:hAnsi="Times New Roman"/>
                <w:sz w:val="24"/>
                <w:szCs w:val="24"/>
              </w:rPr>
              <w:t> Projekts šo jomu neskar.</w:t>
            </w:r>
          </w:p>
        </w:tc>
      </w:tr>
      <w:tr w:rsidR="00676910" w:rsidRPr="00B84678" w14:paraId="68B379B6" w14:textId="77777777" w:rsidTr="00676910">
        <w:trPr>
          <w:gridBefore w:val="1"/>
          <w:wBefore w:w="179" w:type="dxa"/>
          <w:jc w:val="center"/>
        </w:trPr>
        <w:tc>
          <w:tcPr>
            <w:tcW w:w="2619" w:type="dxa"/>
            <w:gridSpan w:val="4"/>
            <w:tcBorders>
              <w:top w:val="outset" w:sz="6" w:space="0" w:color="auto"/>
              <w:bottom w:val="outset" w:sz="6" w:space="0" w:color="auto"/>
              <w:right w:val="outset" w:sz="6" w:space="0" w:color="auto"/>
            </w:tcBorders>
          </w:tcPr>
          <w:p w14:paraId="79B56A15" w14:textId="77777777" w:rsidR="002F30BD" w:rsidRPr="00B84678" w:rsidRDefault="002F30BD" w:rsidP="000B64EA">
            <w:pPr>
              <w:spacing w:after="0" w:line="240" w:lineRule="auto"/>
              <w:rPr>
                <w:rFonts w:ascii="Times New Roman" w:hAnsi="Times New Roman"/>
                <w:sz w:val="24"/>
                <w:szCs w:val="24"/>
              </w:rPr>
            </w:pPr>
            <w:r w:rsidRPr="00B84678">
              <w:rPr>
                <w:rFonts w:ascii="Times New Roman" w:hAnsi="Times New Roman"/>
                <w:sz w:val="24"/>
                <w:szCs w:val="24"/>
              </w:rPr>
              <w:t>Vai starptautiskajā dokumentā paredzētās saistības nav pretrunā ar jau esošajām Latvijas Republikas starptautis</w:t>
            </w:r>
            <w:r w:rsidRPr="00B84678">
              <w:rPr>
                <w:rFonts w:ascii="Times New Roman" w:hAnsi="Times New Roman"/>
                <w:sz w:val="24"/>
                <w:szCs w:val="24"/>
              </w:rPr>
              <w:softHyphen/>
              <w:t>kajām saistībām</w:t>
            </w:r>
          </w:p>
        </w:tc>
        <w:tc>
          <w:tcPr>
            <w:tcW w:w="6882" w:type="dxa"/>
            <w:gridSpan w:val="8"/>
            <w:tcBorders>
              <w:top w:val="outset" w:sz="6" w:space="0" w:color="auto"/>
              <w:left w:val="outset" w:sz="6" w:space="0" w:color="auto"/>
              <w:bottom w:val="outset" w:sz="6" w:space="0" w:color="auto"/>
            </w:tcBorders>
          </w:tcPr>
          <w:p w14:paraId="3FB39DA4" w14:textId="77777777" w:rsidR="002F30BD" w:rsidRPr="00B84678" w:rsidRDefault="002F30BD" w:rsidP="000B64EA">
            <w:pPr>
              <w:spacing w:after="0" w:line="240" w:lineRule="auto"/>
              <w:rPr>
                <w:rFonts w:ascii="Times New Roman" w:hAnsi="Times New Roman"/>
                <w:sz w:val="24"/>
                <w:szCs w:val="24"/>
              </w:rPr>
            </w:pPr>
            <w:r w:rsidRPr="00B84678">
              <w:rPr>
                <w:rFonts w:ascii="Times New Roman" w:hAnsi="Times New Roman"/>
                <w:sz w:val="24"/>
                <w:szCs w:val="24"/>
              </w:rPr>
              <w:t> Projekts šo jomu neskar.</w:t>
            </w:r>
          </w:p>
        </w:tc>
      </w:tr>
      <w:tr w:rsidR="00676910" w:rsidRPr="00B84678" w14:paraId="4580EC9D" w14:textId="77777777" w:rsidTr="00676910">
        <w:trPr>
          <w:gridBefore w:val="1"/>
          <w:wBefore w:w="179" w:type="dxa"/>
          <w:jc w:val="center"/>
        </w:trPr>
        <w:tc>
          <w:tcPr>
            <w:tcW w:w="2619" w:type="dxa"/>
            <w:gridSpan w:val="4"/>
            <w:tcBorders>
              <w:top w:val="outset" w:sz="6" w:space="0" w:color="auto"/>
              <w:bottom w:val="outset" w:sz="6" w:space="0" w:color="auto"/>
              <w:right w:val="outset" w:sz="6" w:space="0" w:color="auto"/>
            </w:tcBorders>
          </w:tcPr>
          <w:p w14:paraId="485132DA" w14:textId="77777777" w:rsidR="002F30BD" w:rsidRPr="00B84678" w:rsidRDefault="002F30BD" w:rsidP="000B64EA">
            <w:pPr>
              <w:spacing w:after="0" w:line="240" w:lineRule="auto"/>
              <w:rPr>
                <w:rFonts w:ascii="Times New Roman" w:hAnsi="Times New Roman"/>
                <w:sz w:val="24"/>
                <w:szCs w:val="24"/>
              </w:rPr>
            </w:pPr>
            <w:r w:rsidRPr="00B84678">
              <w:rPr>
                <w:rFonts w:ascii="Times New Roman" w:hAnsi="Times New Roman"/>
                <w:sz w:val="24"/>
                <w:szCs w:val="24"/>
              </w:rPr>
              <w:t>Cita informācija</w:t>
            </w:r>
          </w:p>
        </w:tc>
        <w:tc>
          <w:tcPr>
            <w:tcW w:w="6882" w:type="dxa"/>
            <w:gridSpan w:val="8"/>
            <w:tcBorders>
              <w:top w:val="outset" w:sz="6" w:space="0" w:color="auto"/>
              <w:left w:val="outset" w:sz="6" w:space="0" w:color="auto"/>
              <w:bottom w:val="outset" w:sz="6" w:space="0" w:color="auto"/>
            </w:tcBorders>
          </w:tcPr>
          <w:p w14:paraId="6E18B912" w14:textId="77777777" w:rsidR="002F30BD" w:rsidRPr="00B84678" w:rsidRDefault="002F30BD" w:rsidP="000B64EA">
            <w:pPr>
              <w:spacing w:after="0" w:line="240" w:lineRule="auto"/>
              <w:rPr>
                <w:rFonts w:ascii="Times New Roman" w:hAnsi="Times New Roman"/>
                <w:sz w:val="24"/>
                <w:szCs w:val="24"/>
              </w:rPr>
            </w:pPr>
            <w:r w:rsidRPr="00B84678">
              <w:rPr>
                <w:rFonts w:ascii="Times New Roman" w:hAnsi="Times New Roman"/>
                <w:sz w:val="24"/>
                <w:szCs w:val="24"/>
              </w:rPr>
              <w:t>Nav.</w:t>
            </w:r>
          </w:p>
        </w:tc>
      </w:tr>
    </w:tbl>
    <w:p w14:paraId="7E020D49" w14:textId="77777777" w:rsidR="002F30BD" w:rsidRDefault="002F30BD" w:rsidP="000330A2">
      <w:pPr>
        <w:spacing w:after="0" w:line="240" w:lineRule="auto"/>
        <w:rPr>
          <w:rFonts w:ascii="Times New Roman" w:hAnsi="Times New Roman"/>
          <w:sz w:val="24"/>
          <w:szCs w:val="24"/>
        </w:rPr>
      </w:pPr>
    </w:p>
    <w:p w14:paraId="2FC4A9F3" w14:textId="77777777" w:rsidR="002F30BD" w:rsidRDefault="002F30BD" w:rsidP="000330A2">
      <w:pPr>
        <w:spacing w:after="0" w:line="240" w:lineRule="auto"/>
        <w:rPr>
          <w:rFonts w:ascii="Times New Roman" w:hAnsi="Times New Roman"/>
          <w:sz w:val="24"/>
          <w:szCs w:val="24"/>
        </w:rPr>
      </w:pPr>
    </w:p>
    <w:p w14:paraId="26B88FA5" w14:textId="77777777" w:rsidR="002F30BD" w:rsidRPr="00DD49B6" w:rsidDel="009D1634" w:rsidRDefault="002F30BD" w:rsidP="000330A2">
      <w:pPr>
        <w:spacing w:after="0" w:line="240" w:lineRule="auto"/>
        <w:rPr>
          <w:rFonts w:ascii="Times New Roman" w:hAnsi="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2F30BD" w:rsidRPr="00ED22C8" w14:paraId="5F89D89A" w14:textId="77777777" w:rsidTr="00C72A47">
        <w:trPr>
          <w:trHeight w:val="421"/>
          <w:jc w:val="center"/>
        </w:trPr>
        <w:tc>
          <w:tcPr>
            <w:tcW w:w="9524" w:type="dxa"/>
            <w:gridSpan w:val="3"/>
            <w:vAlign w:val="center"/>
          </w:tcPr>
          <w:p w14:paraId="116B618B" w14:textId="77777777" w:rsidR="002F30BD" w:rsidRPr="00DD49B6" w:rsidRDefault="002F30BD" w:rsidP="00C72A47">
            <w:pPr>
              <w:pStyle w:val="naisnod"/>
              <w:spacing w:before="0" w:beforeAutospacing="0" w:after="0" w:afterAutospacing="0"/>
              <w:ind w:left="57" w:right="57"/>
              <w:jc w:val="center"/>
            </w:pPr>
            <w:r w:rsidRPr="00DD49B6">
              <w:rPr>
                <w:b/>
              </w:rPr>
              <w:t>VI. Sabiedrības līdzdalība un komunikācijas aktivitātes</w:t>
            </w:r>
          </w:p>
        </w:tc>
      </w:tr>
      <w:tr w:rsidR="002F30BD" w:rsidRPr="00ED22C8" w14:paraId="4A4AB7A9" w14:textId="77777777" w:rsidTr="00C72A47">
        <w:trPr>
          <w:trHeight w:val="553"/>
          <w:jc w:val="center"/>
        </w:trPr>
        <w:tc>
          <w:tcPr>
            <w:tcW w:w="476" w:type="dxa"/>
          </w:tcPr>
          <w:p w14:paraId="4647743F" w14:textId="77777777" w:rsidR="002F30BD" w:rsidRPr="00ED22C8" w:rsidRDefault="002F30BD" w:rsidP="00C72A47">
            <w:pPr>
              <w:spacing w:after="0" w:line="240" w:lineRule="auto"/>
              <w:ind w:left="57" w:right="57"/>
              <w:jc w:val="both"/>
              <w:rPr>
                <w:rFonts w:ascii="Times New Roman" w:hAnsi="Times New Roman"/>
                <w:bCs/>
                <w:sz w:val="24"/>
                <w:szCs w:val="24"/>
              </w:rPr>
            </w:pPr>
            <w:r w:rsidRPr="00ED22C8">
              <w:rPr>
                <w:rFonts w:ascii="Times New Roman" w:hAnsi="Times New Roman"/>
                <w:bCs/>
                <w:sz w:val="24"/>
                <w:szCs w:val="24"/>
              </w:rPr>
              <w:t>1.</w:t>
            </w:r>
          </w:p>
        </w:tc>
        <w:tc>
          <w:tcPr>
            <w:tcW w:w="2842" w:type="dxa"/>
          </w:tcPr>
          <w:p w14:paraId="3E4368BB" w14:textId="77777777" w:rsidR="002F30BD" w:rsidRPr="00ED22C8" w:rsidRDefault="002F30BD" w:rsidP="00C72A47">
            <w:pPr>
              <w:tabs>
                <w:tab w:val="left" w:pos="170"/>
              </w:tabs>
              <w:spacing w:after="0" w:line="240" w:lineRule="auto"/>
              <w:ind w:left="57" w:right="57"/>
              <w:rPr>
                <w:rFonts w:ascii="Times New Roman" w:hAnsi="Times New Roman"/>
                <w:sz w:val="24"/>
                <w:szCs w:val="24"/>
              </w:rPr>
            </w:pPr>
            <w:r w:rsidRPr="00ED22C8">
              <w:rPr>
                <w:rFonts w:ascii="Times New Roman" w:hAnsi="Times New Roman"/>
                <w:sz w:val="24"/>
                <w:szCs w:val="24"/>
              </w:rPr>
              <w:t>Plānotās sabiedrības līdzdalības un komunikācijas aktivitātes saistībā ar projektu</w:t>
            </w:r>
          </w:p>
        </w:tc>
        <w:tc>
          <w:tcPr>
            <w:tcW w:w="6206" w:type="dxa"/>
          </w:tcPr>
          <w:p w14:paraId="3B15B197" w14:textId="555924AA" w:rsidR="002F30BD" w:rsidRPr="00ED22C8" w:rsidRDefault="00AC4CF6" w:rsidP="003F2028">
            <w:pPr>
              <w:jc w:val="both"/>
              <w:rPr>
                <w:rFonts w:ascii="Times New Roman" w:hAnsi="Times New Roman"/>
                <w:sz w:val="24"/>
                <w:szCs w:val="24"/>
              </w:rPr>
            </w:pPr>
            <w:bookmarkStart w:id="2" w:name="p61"/>
            <w:bookmarkEnd w:id="2"/>
            <w:r>
              <w:rPr>
                <w:rFonts w:ascii="Times New Roman" w:hAnsi="Times New Roman"/>
                <w:sz w:val="24"/>
                <w:szCs w:val="24"/>
              </w:rPr>
              <w:t>Saskaņā ar Ministru kabineta 2009.gada 25.augusta noteikumiem Nr.970 “Sabiedrības līdzdalības kārtība attīstības plānošanas procesā”</w:t>
            </w:r>
            <w:r w:rsidR="000874B2">
              <w:rPr>
                <w:rFonts w:ascii="Times New Roman" w:hAnsi="Times New Roman"/>
                <w:sz w:val="24"/>
                <w:szCs w:val="24"/>
              </w:rPr>
              <w:t xml:space="preserve"> projekts </w:t>
            </w:r>
            <w:r w:rsidR="003F2028">
              <w:rPr>
                <w:rFonts w:ascii="Times New Roman" w:hAnsi="Times New Roman"/>
                <w:sz w:val="24"/>
                <w:szCs w:val="24"/>
              </w:rPr>
              <w:t xml:space="preserve">2015.gada 6.martā </w:t>
            </w:r>
            <w:r w:rsidR="000874B2">
              <w:rPr>
                <w:rFonts w:ascii="Times New Roman" w:hAnsi="Times New Roman"/>
                <w:sz w:val="24"/>
                <w:szCs w:val="24"/>
              </w:rPr>
              <w:t>nosūtīts</w:t>
            </w:r>
            <w:r w:rsidR="003F2028">
              <w:rPr>
                <w:rFonts w:ascii="Times New Roman" w:hAnsi="Times New Roman"/>
                <w:sz w:val="24"/>
                <w:szCs w:val="24"/>
              </w:rPr>
              <w:t xml:space="preserve"> </w:t>
            </w:r>
            <w:r w:rsidR="000874B2">
              <w:rPr>
                <w:rFonts w:ascii="Times New Roman" w:hAnsi="Times New Roman"/>
                <w:sz w:val="24"/>
                <w:szCs w:val="24"/>
              </w:rPr>
              <w:t xml:space="preserve"> </w:t>
            </w:r>
            <w:r w:rsidR="000874B2" w:rsidRPr="00771A52">
              <w:rPr>
                <w:rFonts w:ascii="Times New Roman" w:hAnsi="Times New Roman"/>
                <w:sz w:val="24"/>
                <w:szCs w:val="24"/>
              </w:rPr>
              <w:t>Lauksaimniecības organizāciju sadarbības padom</w:t>
            </w:r>
            <w:r w:rsidR="000874B2">
              <w:rPr>
                <w:rFonts w:ascii="Times New Roman" w:hAnsi="Times New Roman"/>
                <w:sz w:val="24"/>
                <w:szCs w:val="24"/>
              </w:rPr>
              <w:t>ei</w:t>
            </w:r>
            <w:r w:rsidR="000874B2" w:rsidRPr="00771A52">
              <w:rPr>
                <w:rFonts w:ascii="Times New Roman" w:hAnsi="Times New Roman"/>
                <w:sz w:val="24"/>
                <w:szCs w:val="24"/>
              </w:rPr>
              <w:t>, biedrīb</w:t>
            </w:r>
            <w:r w:rsidR="000874B2">
              <w:rPr>
                <w:rFonts w:ascii="Times New Roman" w:hAnsi="Times New Roman"/>
                <w:sz w:val="24"/>
                <w:szCs w:val="24"/>
              </w:rPr>
              <w:t>ai</w:t>
            </w:r>
            <w:r w:rsidR="000874B2" w:rsidRPr="00771A52">
              <w:rPr>
                <w:rFonts w:ascii="Times New Roman" w:hAnsi="Times New Roman"/>
                <w:sz w:val="24"/>
                <w:szCs w:val="24"/>
              </w:rPr>
              <w:t xml:space="preserve"> „Zemnieku saeima”, Latvijas Lauksaimniecības kooperatīvu asociācij</w:t>
            </w:r>
            <w:r w:rsidR="000874B2">
              <w:rPr>
                <w:rFonts w:ascii="Times New Roman" w:hAnsi="Times New Roman"/>
                <w:sz w:val="24"/>
                <w:szCs w:val="24"/>
              </w:rPr>
              <w:t>ai</w:t>
            </w:r>
            <w:r w:rsidR="000874B2" w:rsidRPr="00771A52">
              <w:rPr>
                <w:rFonts w:ascii="Times New Roman" w:hAnsi="Times New Roman"/>
                <w:sz w:val="24"/>
                <w:szCs w:val="24"/>
              </w:rPr>
              <w:t xml:space="preserve"> un Latvijas pārtikas uzņēmumu federāci</w:t>
            </w:r>
            <w:r w:rsidR="000874B2">
              <w:rPr>
                <w:rFonts w:ascii="Times New Roman" w:hAnsi="Times New Roman"/>
                <w:sz w:val="24"/>
                <w:szCs w:val="24"/>
              </w:rPr>
              <w:t>jai,</w:t>
            </w:r>
            <w:r w:rsidR="000E7E1F">
              <w:rPr>
                <w:rFonts w:ascii="Times New Roman" w:hAnsi="Times New Roman"/>
                <w:sz w:val="24"/>
                <w:szCs w:val="24"/>
              </w:rPr>
              <w:t xml:space="preserve"> lai noskaidrotu to </w:t>
            </w:r>
            <w:r w:rsidR="000874B2">
              <w:rPr>
                <w:rFonts w:ascii="Times New Roman" w:hAnsi="Times New Roman"/>
                <w:sz w:val="24"/>
                <w:szCs w:val="24"/>
              </w:rPr>
              <w:t>viedok</w:t>
            </w:r>
            <w:r w:rsidR="000E7E1F">
              <w:rPr>
                <w:rFonts w:ascii="Times New Roman" w:hAnsi="Times New Roman"/>
                <w:sz w:val="24"/>
                <w:szCs w:val="24"/>
              </w:rPr>
              <w:t>li.</w:t>
            </w:r>
            <w:r w:rsidR="000874B2">
              <w:rPr>
                <w:rFonts w:ascii="Times New Roman" w:hAnsi="Times New Roman"/>
                <w:sz w:val="24"/>
                <w:szCs w:val="24"/>
              </w:rPr>
              <w:t xml:space="preserve"> </w:t>
            </w:r>
          </w:p>
        </w:tc>
      </w:tr>
      <w:tr w:rsidR="002F30BD" w:rsidRPr="00ED22C8" w14:paraId="5285EC0D" w14:textId="77777777" w:rsidTr="00C72A47">
        <w:trPr>
          <w:trHeight w:val="339"/>
          <w:jc w:val="center"/>
        </w:trPr>
        <w:tc>
          <w:tcPr>
            <w:tcW w:w="476" w:type="dxa"/>
          </w:tcPr>
          <w:p w14:paraId="2F74A503" w14:textId="77777777" w:rsidR="002F30BD" w:rsidRPr="00ED22C8" w:rsidRDefault="002F30BD" w:rsidP="00C72A47">
            <w:pPr>
              <w:spacing w:after="0" w:line="240" w:lineRule="auto"/>
              <w:ind w:left="57" w:right="57"/>
              <w:jc w:val="both"/>
              <w:rPr>
                <w:rFonts w:ascii="Times New Roman" w:hAnsi="Times New Roman"/>
                <w:bCs/>
                <w:sz w:val="24"/>
                <w:szCs w:val="24"/>
              </w:rPr>
            </w:pPr>
            <w:r w:rsidRPr="00ED22C8">
              <w:rPr>
                <w:rFonts w:ascii="Times New Roman" w:hAnsi="Times New Roman"/>
                <w:bCs/>
                <w:sz w:val="24"/>
                <w:szCs w:val="24"/>
              </w:rPr>
              <w:lastRenderedPageBreak/>
              <w:t>2.</w:t>
            </w:r>
          </w:p>
        </w:tc>
        <w:tc>
          <w:tcPr>
            <w:tcW w:w="2842" w:type="dxa"/>
          </w:tcPr>
          <w:p w14:paraId="28EB3D08" w14:textId="77777777" w:rsidR="002F30BD" w:rsidRPr="00ED22C8" w:rsidRDefault="002F30BD" w:rsidP="00C72A47">
            <w:pPr>
              <w:spacing w:after="0" w:line="240" w:lineRule="auto"/>
              <w:ind w:left="57" w:right="57"/>
              <w:rPr>
                <w:rFonts w:ascii="Times New Roman" w:hAnsi="Times New Roman"/>
                <w:sz w:val="24"/>
                <w:szCs w:val="24"/>
              </w:rPr>
            </w:pPr>
            <w:r w:rsidRPr="00ED22C8">
              <w:rPr>
                <w:rFonts w:ascii="Times New Roman" w:hAnsi="Times New Roman"/>
                <w:sz w:val="24"/>
                <w:szCs w:val="24"/>
              </w:rPr>
              <w:t>Sabiedrības līdzdalība projekta izstrādē</w:t>
            </w:r>
          </w:p>
        </w:tc>
        <w:tc>
          <w:tcPr>
            <w:tcW w:w="6206" w:type="dxa"/>
          </w:tcPr>
          <w:p w14:paraId="639126AF" w14:textId="783BC5F1" w:rsidR="002F30BD" w:rsidRPr="00ED22C8" w:rsidRDefault="000874B2" w:rsidP="000874B2">
            <w:pPr>
              <w:jc w:val="both"/>
              <w:rPr>
                <w:rFonts w:ascii="Times New Roman" w:hAnsi="Times New Roman"/>
                <w:sz w:val="24"/>
                <w:szCs w:val="24"/>
              </w:rPr>
            </w:pPr>
            <w:bookmarkStart w:id="3" w:name="p62"/>
            <w:bookmarkEnd w:id="3"/>
            <w:r>
              <w:rPr>
                <w:rFonts w:ascii="Times New Roman" w:hAnsi="Times New Roman"/>
                <w:sz w:val="24"/>
                <w:szCs w:val="24"/>
              </w:rPr>
              <w:t xml:space="preserve"> Konceptuāli atbalsta</w:t>
            </w:r>
            <w:r w:rsidR="00C52A48">
              <w:rPr>
                <w:rFonts w:ascii="Times New Roman" w:hAnsi="Times New Roman"/>
                <w:sz w:val="24"/>
                <w:szCs w:val="24"/>
              </w:rPr>
              <w:t>.</w:t>
            </w:r>
          </w:p>
        </w:tc>
      </w:tr>
      <w:tr w:rsidR="002F30BD" w:rsidRPr="00ED22C8" w14:paraId="5CCD5281" w14:textId="77777777" w:rsidTr="00C72A47">
        <w:trPr>
          <w:trHeight w:val="476"/>
          <w:jc w:val="center"/>
        </w:trPr>
        <w:tc>
          <w:tcPr>
            <w:tcW w:w="476" w:type="dxa"/>
          </w:tcPr>
          <w:p w14:paraId="76BD9ED0" w14:textId="77777777" w:rsidR="002F30BD" w:rsidRPr="00ED22C8" w:rsidRDefault="002F30BD" w:rsidP="00C72A47">
            <w:pPr>
              <w:spacing w:after="0" w:line="240" w:lineRule="auto"/>
              <w:ind w:left="57" w:right="57"/>
              <w:jc w:val="both"/>
              <w:rPr>
                <w:rFonts w:ascii="Times New Roman" w:hAnsi="Times New Roman"/>
                <w:bCs/>
                <w:sz w:val="24"/>
                <w:szCs w:val="24"/>
              </w:rPr>
            </w:pPr>
            <w:r w:rsidRPr="00ED22C8">
              <w:rPr>
                <w:rFonts w:ascii="Times New Roman" w:hAnsi="Times New Roman"/>
                <w:bCs/>
                <w:sz w:val="24"/>
                <w:szCs w:val="24"/>
              </w:rPr>
              <w:t>3.</w:t>
            </w:r>
          </w:p>
        </w:tc>
        <w:tc>
          <w:tcPr>
            <w:tcW w:w="2842" w:type="dxa"/>
          </w:tcPr>
          <w:p w14:paraId="63828793" w14:textId="77777777" w:rsidR="002F30BD" w:rsidRPr="00ED22C8" w:rsidRDefault="002F30BD" w:rsidP="00C72A47">
            <w:pPr>
              <w:spacing w:after="0" w:line="240" w:lineRule="auto"/>
              <w:ind w:left="57" w:right="57"/>
              <w:rPr>
                <w:rFonts w:ascii="Times New Roman" w:hAnsi="Times New Roman"/>
                <w:sz w:val="24"/>
                <w:szCs w:val="24"/>
              </w:rPr>
            </w:pPr>
            <w:r w:rsidRPr="00ED22C8">
              <w:rPr>
                <w:rFonts w:ascii="Times New Roman" w:hAnsi="Times New Roman"/>
                <w:sz w:val="24"/>
                <w:szCs w:val="24"/>
              </w:rPr>
              <w:t>Sabiedrības līdzdalības rezultāti</w:t>
            </w:r>
          </w:p>
        </w:tc>
        <w:tc>
          <w:tcPr>
            <w:tcW w:w="6206" w:type="dxa"/>
          </w:tcPr>
          <w:p w14:paraId="2197EF8A" w14:textId="77777777" w:rsidR="002F30BD" w:rsidRPr="00290226" w:rsidRDefault="002F30BD" w:rsidP="00DF175E">
            <w:pPr>
              <w:pStyle w:val="naiskr"/>
              <w:spacing w:before="0" w:after="0"/>
              <w:jc w:val="both"/>
            </w:pPr>
            <w:r w:rsidRPr="00290226">
              <w:t xml:space="preserve">Saskaņots ar </w:t>
            </w:r>
            <w:r w:rsidRPr="00B232A4">
              <w:t xml:space="preserve">Lauksaimniecības </w:t>
            </w:r>
            <w:r>
              <w:t>o</w:t>
            </w:r>
            <w:r w:rsidRPr="00B232A4">
              <w:t>rganizāciju sadarbības pad</w:t>
            </w:r>
            <w:r>
              <w:t xml:space="preserve">omi, biedrību „Zemnieku saeima”, </w:t>
            </w:r>
            <w:r w:rsidRPr="00DF175E">
              <w:t>Latvijas Lauksaimniecības kooperatīvu asociācij</w:t>
            </w:r>
            <w:r>
              <w:t>u un Latvijas pārtikas uzņēmumu federāciju</w:t>
            </w:r>
            <w:r w:rsidRPr="00DF175E">
              <w:t>.</w:t>
            </w:r>
          </w:p>
        </w:tc>
      </w:tr>
      <w:tr w:rsidR="002F30BD" w:rsidRPr="00ED22C8" w14:paraId="4A36B249" w14:textId="77777777" w:rsidTr="00C72A47">
        <w:trPr>
          <w:trHeight w:val="476"/>
          <w:jc w:val="center"/>
        </w:trPr>
        <w:tc>
          <w:tcPr>
            <w:tcW w:w="476" w:type="dxa"/>
          </w:tcPr>
          <w:p w14:paraId="4BE302BE" w14:textId="77777777" w:rsidR="002F30BD" w:rsidRPr="00ED22C8" w:rsidRDefault="002F30BD" w:rsidP="00C72A47">
            <w:pPr>
              <w:spacing w:after="0" w:line="240" w:lineRule="auto"/>
              <w:ind w:left="57" w:right="57"/>
              <w:jc w:val="both"/>
              <w:rPr>
                <w:rFonts w:ascii="Times New Roman" w:hAnsi="Times New Roman"/>
                <w:bCs/>
                <w:sz w:val="24"/>
                <w:szCs w:val="24"/>
              </w:rPr>
            </w:pPr>
            <w:r w:rsidRPr="00ED22C8">
              <w:rPr>
                <w:rFonts w:ascii="Times New Roman" w:hAnsi="Times New Roman"/>
                <w:bCs/>
                <w:sz w:val="24"/>
                <w:szCs w:val="24"/>
              </w:rPr>
              <w:t>4.</w:t>
            </w:r>
          </w:p>
        </w:tc>
        <w:tc>
          <w:tcPr>
            <w:tcW w:w="2842" w:type="dxa"/>
          </w:tcPr>
          <w:p w14:paraId="5EED11BB" w14:textId="77777777" w:rsidR="002F30BD" w:rsidRPr="00ED22C8" w:rsidRDefault="002F30BD" w:rsidP="00C72A47">
            <w:pPr>
              <w:spacing w:after="0" w:line="240" w:lineRule="auto"/>
              <w:ind w:left="57" w:right="57"/>
              <w:rPr>
                <w:rFonts w:ascii="Times New Roman" w:hAnsi="Times New Roman"/>
                <w:sz w:val="24"/>
                <w:szCs w:val="24"/>
              </w:rPr>
            </w:pPr>
            <w:r w:rsidRPr="00ED22C8">
              <w:rPr>
                <w:rFonts w:ascii="Times New Roman" w:hAnsi="Times New Roman"/>
                <w:sz w:val="24"/>
                <w:szCs w:val="24"/>
              </w:rPr>
              <w:t>Cita informācija</w:t>
            </w:r>
          </w:p>
        </w:tc>
        <w:tc>
          <w:tcPr>
            <w:tcW w:w="6206" w:type="dxa"/>
          </w:tcPr>
          <w:p w14:paraId="47CE238D" w14:textId="77777777" w:rsidR="002F30BD" w:rsidRPr="00290226" w:rsidRDefault="002F30BD" w:rsidP="001E0C14">
            <w:pPr>
              <w:pStyle w:val="naiskr"/>
              <w:spacing w:before="0" w:after="0"/>
              <w:jc w:val="both"/>
            </w:pPr>
            <w:r>
              <w:t>Nav</w:t>
            </w:r>
            <w:r w:rsidRPr="00290226">
              <w:t>.</w:t>
            </w:r>
          </w:p>
        </w:tc>
      </w:tr>
    </w:tbl>
    <w:p w14:paraId="2F628119" w14:textId="77777777" w:rsidR="002F30BD" w:rsidRDefault="002F30BD" w:rsidP="000330A2">
      <w:pPr>
        <w:spacing w:after="0" w:line="240" w:lineRule="auto"/>
        <w:rPr>
          <w:rFonts w:ascii="Times New Roman" w:hAnsi="Times New Roman"/>
          <w:sz w:val="24"/>
          <w:szCs w:val="24"/>
        </w:rPr>
      </w:pPr>
    </w:p>
    <w:tbl>
      <w:tblPr>
        <w:tblW w:w="9498" w:type="dxa"/>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26"/>
        <w:gridCol w:w="3832"/>
        <w:gridCol w:w="5240"/>
      </w:tblGrid>
      <w:tr w:rsidR="00676910" w:rsidRPr="00B232A4" w14:paraId="1101441C" w14:textId="77777777" w:rsidTr="00676910">
        <w:trPr>
          <w:tblCellSpacing w:w="0" w:type="dxa"/>
        </w:trPr>
        <w:tc>
          <w:tcPr>
            <w:tcW w:w="9498" w:type="dxa"/>
            <w:gridSpan w:val="3"/>
            <w:tcBorders>
              <w:top w:val="single" w:sz="4" w:space="0" w:color="auto"/>
              <w:left w:val="nil"/>
              <w:bottom w:val="single" w:sz="4" w:space="0" w:color="auto"/>
              <w:right w:val="nil"/>
            </w:tcBorders>
          </w:tcPr>
          <w:p w14:paraId="7FCDB0B6" w14:textId="77777777" w:rsidR="00676910" w:rsidRPr="00D25E38" w:rsidRDefault="00676910" w:rsidP="00997B58">
            <w:pPr>
              <w:spacing w:before="100" w:beforeAutospacing="1" w:after="100" w:afterAutospacing="1" w:line="240" w:lineRule="auto"/>
              <w:rPr>
                <w:rFonts w:ascii="Times New Roman" w:hAnsi="Times New Roman"/>
                <w:sz w:val="24"/>
                <w:szCs w:val="24"/>
              </w:rPr>
            </w:pPr>
            <w:r w:rsidRPr="00D25E38">
              <w:rPr>
                <w:rFonts w:ascii="Times New Roman" w:hAnsi="Times New Roman"/>
                <w:b/>
                <w:bCs/>
                <w:sz w:val="24"/>
                <w:szCs w:val="24"/>
              </w:rPr>
              <w:t> VII. Tiesību akta projekta izpildes nodrošināšana un tās ietekme uz institūcijām</w:t>
            </w:r>
          </w:p>
        </w:tc>
      </w:tr>
      <w:tr w:rsidR="00676910" w:rsidRPr="00B232A4" w14:paraId="6953C1D0" w14:textId="77777777" w:rsidTr="00676910">
        <w:trPr>
          <w:trHeight w:val="427"/>
          <w:tblCellSpacing w:w="0" w:type="dxa"/>
        </w:trPr>
        <w:tc>
          <w:tcPr>
            <w:tcW w:w="426" w:type="dxa"/>
            <w:tcBorders>
              <w:top w:val="single" w:sz="4" w:space="0" w:color="auto"/>
              <w:left w:val="nil"/>
              <w:bottom w:val="single" w:sz="4" w:space="0" w:color="auto"/>
              <w:right w:val="single" w:sz="4" w:space="0" w:color="auto"/>
            </w:tcBorders>
          </w:tcPr>
          <w:p w14:paraId="789EA1BD" w14:textId="77777777" w:rsidR="00676910" w:rsidRPr="00D25E38" w:rsidRDefault="00676910" w:rsidP="00997B58">
            <w:pPr>
              <w:spacing w:before="100" w:beforeAutospacing="1" w:after="100" w:afterAutospacing="1" w:line="240" w:lineRule="auto"/>
              <w:rPr>
                <w:rFonts w:ascii="Times New Roman" w:hAnsi="Times New Roman"/>
                <w:sz w:val="24"/>
                <w:szCs w:val="24"/>
              </w:rPr>
            </w:pPr>
            <w:r w:rsidRPr="00D25E38">
              <w:rPr>
                <w:rFonts w:ascii="Times New Roman" w:hAnsi="Times New Roman"/>
                <w:sz w:val="24"/>
                <w:szCs w:val="24"/>
              </w:rPr>
              <w:t> 1.</w:t>
            </w:r>
          </w:p>
        </w:tc>
        <w:tc>
          <w:tcPr>
            <w:tcW w:w="3832" w:type="dxa"/>
            <w:tcBorders>
              <w:top w:val="single" w:sz="4" w:space="0" w:color="auto"/>
              <w:left w:val="single" w:sz="4" w:space="0" w:color="auto"/>
              <w:bottom w:val="single" w:sz="4" w:space="0" w:color="auto"/>
              <w:right w:val="single" w:sz="4" w:space="0" w:color="auto"/>
            </w:tcBorders>
          </w:tcPr>
          <w:p w14:paraId="78AFB902" w14:textId="77777777" w:rsidR="00676910" w:rsidRPr="00D25E38" w:rsidRDefault="00676910" w:rsidP="00997B58">
            <w:pPr>
              <w:spacing w:before="100" w:beforeAutospacing="1" w:after="100" w:afterAutospacing="1" w:line="240" w:lineRule="auto"/>
              <w:rPr>
                <w:rFonts w:ascii="Times New Roman" w:hAnsi="Times New Roman"/>
                <w:sz w:val="24"/>
                <w:szCs w:val="24"/>
              </w:rPr>
            </w:pPr>
            <w:r w:rsidRPr="00D25E38">
              <w:rPr>
                <w:rFonts w:ascii="Times New Roman" w:hAnsi="Times New Roman"/>
                <w:sz w:val="24"/>
                <w:szCs w:val="24"/>
              </w:rPr>
              <w:t> Projekta izpildē iesaistītās institūcijas</w:t>
            </w:r>
          </w:p>
        </w:tc>
        <w:tc>
          <w:tcPr>
            <w:tcW w:w="5240" w:type="dxa"/>
            <w:tcBorders>
              <w:top w:val="single" w:sz="4" w:space="0" w:color="auto"/>
              <w:left w:val="single" w:sz="4" w:space="0" w:color="auto"/>
              <w:bottom w:val="single" w:sz="4" w:space="0" w:color="auto"/>
              <w:right w:val="nil"/>
            </w:tcBorders>
          </w:tcPr>
          <w:p w14:paraId="08596A68" w14:textId="11E5EC8B" w:rsidR="00676910" w:rsidRPr="00E24A36" w:rsidRDefault="00676910" w:rsidP="00676910">
            <w:pPr>
              <w:pStyle w:val="naisnod"/>
              <w:spacing w:before="0" w:after="0"/>
              <w:ind w:left="57" w:right="57"/>
              <w:jc w:val="both"/>
            </w:pPr>
            <w:r w:rsidRPr="00E24A36">
              <w:rPr>
                <w:iCs/>
              </w:rPr>
              <w:t>Noteikumu projekta izpildi nodrošinās</w:t>
            </w:r>
            <w:r>
              <w:rPr>
                <w:iCs/>
              </w:rPr>
              <w:t xml:space="preserve"> a</w:t>
            </w:r>
            <w:r w:rsidRPr="00676910">
              <w:rPr>
                <w:iCs/>
              </w:rPr>
              <w:t>kciju sabiedrība "Attīstības finanšu institūcija"</w:t>
            </w:r>
            <w:r w:rsidRPr="00E24A36">
              <w:rPr>
                <w:iCs/>
              </w:rPr>
              <w:t>.</w:t>
            </w:r>
          </w:p>
        </w:tc>
      </w:tr>
      <w:tr w:rsidR="00676910" w:rsidRPr="00B232A4" w14:paraId="4A9ACD16" w14:textId="77777777" w:rsidTr="00676910">
        <w:trPr>
          <w:trHeight w:val="463"/>
          <w:tblCellSpacing w:w="0" w:type="dxa"/>
        </w:trPr>
        <w:tc>
          <w:tcPr>
            <w:tcW w:w="426" w:type="dxa"/>
            <w:tcBorders>
              <w:top w:val="single" w:sz="4" w:space="0" w:color="auto"/>
              <w:left w:val="nil"/>
              <w:bottom w:val="single" w:sz="4" w:space="0" w:color="auto"/>
              <w:right w:val="single" w:sz="4" w:space="0" w:color="auto"/>
            </w:tcBorders>
          </w:tcPr>
          <w:p w14:paraId="4D3F44F1" w14:textId="77777777" w:rsidR="00676910" w:rsidRPr="00D25E38" w:rsidRDefault="00676910" w:rsidP="00997B58">
            <w:pPr>
              <w:spacing w:before="100" w:beforeAutospacing="1" w:after="100" w:afterAutospacing="1" w:line="240" w:lineRule="auto"/>
              <w:rPr>
                <w:rFonts w:ascii="Times New Roman" w:hAnsi="Times New Roman"/>
                <w:sz w:val="24"/>
                <w:szCs w:val="24"/>
              </w:rPr>
            </w:pPr>
            <w:r w:rsidRPr="00D25E38">
              <w:rPr>
                <w:rFonts w:ascii="Times New Roman" w:hAnsi="Times New Roman"/>
                <w:sz w:val="24"/>
                <w:szCs w:val="24"/>
              </w:rPr>
              <w:t> 2.</w:t>
            </w:r>
          </w:p>
        </w:tc>
        <w:tc>
          <w:tcPr>
            <w:tcW w:w="3832" w:type="dxa"/>
            <w:tcBorders>
              <w:top w:val="single" w:sz="4" w:space="0" w:color="auto"/>
              <w:left w:val="single" w:sz="4" w:space="0" w:color="auto"/>
              <w:bottom w:val="single" w:sz="4" w:space="0" w:color="auto"/>
              <w:right w:val="single" w:sz="4" w:space="0" w:color="auto"/>
            </w:tcBorders>
          </w:tcPr>
          <w:p w14:paraId="0F44BF79" w14:textId="77777777" w:rsidR="00676910" w:rsidRPr="00D25E38" w:rsidRDefault="00676910" w:rsidP="00997B58">
            <w:pPr>
              <w:spacing w:before="100" w:beforeAutospacing="1" w:after="100" w:afterAutospacing="1" w:line="240" w:lineRule="auto"/>
              <w:rPr>
                <w:rFonts w:ascii="Times New Roman" w:hAnsi="Times New Roman"/>
                <w:sz w:val="24"/>
                <w:szCs w:val="24"/>
              </w:rPr>
            </w:pPr>
            <w:r w:rsidRPr="00D25E38">
              <w:rPr>
                <w:rFonts w:ascii="Times New Roman" w:hAnsi="Times New Roman"/>
                <w:sz w:val="24"/>
                <w:szCs w:val="24"/>
              </w:rPr>
              <w:t> Projekta izpildes ietekme uz pārvaldes funkcijām</w:t>
            </w:r>
          </w:p>
        </w:tc>
        <w:tc>
          <w:tcPr>
            <w:tcW w:w="5240" w:type="dxa"/>
            <w:tcBorders>
              <w:top w:val="single" w:sz="4" w:space="0" w:color="auto"/>
              <w:left w:val="single" w:sz="4" w:space="0" w:color="auto"/>
              <w:bottom w:val="single" w:sz="4" w:space="0" w:color="auto"/>
              <w:right w:val="nil"/>
            </w:tcBorders>
          </w:tcPr>
          <w:p w14:paraId="5B724A57" w14:textId="77777777" w:rsidR="00676910" w:rsidRPr="00E24A36" w:rsidRDefault="00676910" w:rsidP="00676910">
            <w:pPr>
              <w:pStyle w:val="naisnod"/>
              <w:spacing w:before="0" w:after="0"/>
              <w:ind w:right="57"/>
              <w:jc w:val="both"/>
            </w:pPr>
            <w:r w:rsidRPr="00E24A36">
              <w:t>Projekts šo jomu neskar.</w:t>
            </w:r>
          </w:p>
        </w:tc>
      </w:tr>
      <w:tr w:rsidR="00676910" w:rsidRPr="00B232A4" w14:paraId="15DF2001" w14:textId="77777777" w:rsidTr="00676910">
        <w:trPr>
          <w:trHeight w:val="725"/>
          <w:tblCellSpacing w:w="0" w:type="dxa"/>
        </w:trPr>
        <w:tc>
          <w:tcPr>
            <w:tcW w:w="426" w:type="dxa"/>
            <w:tcBorders>
              <w:top w:val="single" w:sz="4" w:space="0" w:color="auto"/>
              <w:left w:val="nil"/>
              <w:bottom w:val="single" w:sz="4" w:space="0" w:color="auto"/>
              <w:right w:val="single" w:sz="4" w:space="0" w:color="auto"/>
            </w:tcBorders>
          </w:tcPr>
          <w:p w14:paraId="2FBAAAE5" w14:textId="77777777" w:rsidR="00676910" w:rsidRPr="00D25E38" w:rsidRDefault="00676910" w:rsidP="00997B58">
            <w:pPr>
              <w:spacing w:before="100" w:beforeAutospacing="1" w:after="100" w:afterAutospacing="1" w:line="240" w:lineRule="auto"/>
              <w:rPr>
                <w:rFonts w:ascii="Times New Roman" w:hAnsi="Times New Roman"/>
                <w:sz w:val="24"/>
                <w:szCs w:val="24"/>
              </w:rPr>
            </w:pPr>
            <w:r w:rsidRPr="00D25E38">
              <w:rPr>
                <w:rFonts w:ascii="Times New Roman" w:hAnsi="Times New Roman"/>
                <w:sz w:val="24"/>
                <w:szCs w:val="24"/>
              </w:rPr>
              <w:t> 3.</w:t>
            </w:r>
          </w:p>
        </w:tc>
        <w:tc>
          <w:tcPr>
            <w:tcW w:w="3832" w:type="dxa"/>
            <w:tcBorders>
              <w:top w:val="single" w:sz="4" w:space="0" w:color="auto"/>
              <w:left w:val="single" w:sz="4" w:space="0" w:color="auto"/>
              <w:bottom w:val="single" w:sz="4" w:space="0" w:color="auto"/>
              <w:right w:val="single" w:sz="4" w:space="0" w:color="auto"/>
            </w:tcBorders>
          </w:tcPr>
          <w:p w14:paraId="273AEE3B" w14:textId="77777777" w:rsidR="00676910" w:rsidRPr="00D25E38" w:rsidRDefault="00676910" w:rsidP="00997B58">
            <w:pPr>
              <w:spacing w:after="0" w:line="240" w:lineRule="auto"/>
              <w:rPr>
                <w:rFonts w:ascii="Times New Roman" w:hAnsi="Times New Roman"/>
                <w:sz w:val="24"/>
                <w:szCs w:val="24"/>
              </w:rPr>
            </w:pPr>
            <w:r w:rsidRPr="00D25E38">
              <w:rPr>
                <w:rFonts w:ascii="Times New Roman" w:hAnsi="Times New Roman"/>
                <w:sz w:val="24"/>
                <w:szCs w:val="24"/>
              </w:rPr>
              <w:t> Projekta izpildes ietekme uz pārvaldes institucionālo struktūru.</w:t>
            </w:r>
          </w:p>
          <w:p w14:paraId="1AD21B83" w14:textId="77777777" w:rsidR="00676910" w:rsidRPr="00D25E38" w:rsidRDefault="00676910" w:rsidP="00997B58">
            <w:pPr>
              <w:spacing w:after="0" w:line="240" w:lineRule="auto"/>
              <w:rPr>
                <w:rFonts w:ascii="Times New Roman" w:hAnsi="Times New Roman"/>
                <w:sz w:val="24"/>
                <w:szCs w:val="24"/>
              </w:rPr>
            </w:pPr>
            <w:r w:rsidRPr="00D25E38">
              <w:rPr>
                <w:rFonts w:ascii="Times New Roman" w:hAnsi="Times New Roman"/>
                <w:sz w:val="24"/>
                <w:szCs w:val="24"/>
              </w:rPr>
              <w:t>Jaunu institūciju izveide</w:t>
            </w:r>
          </w:p>
        </w:tc>
        <w:tc>
          <w:tcPr>
            <w:tcW w:w="5240" w:type="dxa"/>
            <w:tcBorders>
              <w:top w:val="single" w:sz="4" w:space="0" w:color="auto"/>
              <w:left w:val="single" w:sz="4" w:space="0" w:color="auto"/>
              <w:bottom w:val="single" w:sz="4" w:space="0" w:color="auto"/>
              <w:right w:val="nil"/>
            </w:tcBorders>
          </w:tcPr>
          <w:p w14:paraId="09762E69" w14:textId="528C4AA9" w:rsidR="00676910" w:rsidRPr="00E24A36" w:rsidRDefault="00676910" w:rsidP="00676910">
            <w:pPr>
              <w:pStyle w:val="naisnod"/>
              <w:spacing w:before="0" w:after="0"/>
              <w:ind w:left="57" w:right="57"/>
              <w:jc w:val="both"/>
            </w:pPr>
            <w:r w:rsidRPr="00E24A36">
              <w:t>Projekts šo jomu neskar.</w:t>
            </w:r>
          </w:p>
        </w:tc>
      </w:tr>
      <w:tr w:rsidR="00676910" w:rsidRPr="00B232A4" w14:paraId="37AEF339" w14:textId="77777777" w:rsidTr="00676910">
        <w:trPr>
          <w:trHeight w:val="780"/>
          <w:tblCellSpacing w:w="0" w:type="dxa"/>
        </w:trPr>
        <w:tc>
          <w:tcPr>
            <w:tcW w:w="426" w:type="dxa"/>
            <w:tcBorders>
              <w:top w:val="single" w:sz="4" w:space="0" w:color="auto"/>
              <w:left w:val="nil"/>
              <w:bottom w:val="single" w:sz="4" w:space="0" w:color="auto"/>
              <w:right w:val="single" w:sz="4" w:space="0" w:color="auto"/>
            </w:tcBorders>
          </w:tcPr>
          <w:p w14:paraId="2BDB8022" w14:textId="77777777" w:rsidR="00676910" w:rsidRPr="00D25E38" w:rsidRDefault="00676910" w:rsidP="00997B58">
            <w:pPr>
              <w:spacing w:before="100" w:beforeAutospacing="1" w:after="100" w:afterAutospacing="1" w:line="240" w:lineRule="auto"/>
              <w:rPr>
                <w:rFonts w:ascii="Times New Roman" w:hAnsi="Times New Roman"/>
                <w:sz w:val="24"/>
                <w:szCs w:val="24"/>
              </w:rPr>
            </w:pPr>
            <w:r w:rsidRPr="00D25E38">
              <w:rPr>
                <w:rFonts w:ascii="Times New Roman" w:hAnsi="Times New Roman"/>
                <w:sz w:val="24"/>
                <w:szCs w:val="24"/>
              </w:rPr>
              <w:t> 4.</w:t>
            </w:r>
          </w:p>
        </w:tc>
        <w:tc>
          <w:tcPr>
            <w:tcW w:w="3832" w:type="dxa"/>
            <w:tcBorders>
              <w:top w:val="single" w:sz="4" w:space="0" w:color="auto"/>
              <w:left w:val="single" w:sz="4" w:space="0" w:color="auto"/>
              <w:bottom w:val="single" w:sz="4" w:space="0" w:color="auto"/>
              <w:right w:val="single" w:sz="4" w:space="0" w:color="auto"/>
            </w:tcBorders>
          </w:tcPr>
          <w:p w14:paraId="1ECF73EB" w14:textId="77777777" w:rsidR="00676910" w:rsidRPr="00D25E38" w:rsidRDefault="00676910" w:rsidP="00997B58">
            <w:pPr>
              <w:spacing w:after="0" w:line="240" w:lineRule="auto"/>
              <w:rPr>
                <w:rFonts w:ascii="Times New Roman" w:hAnsi="Times New Roman"/>
                <w:sz w:val="24"/>
                <w:szCs w:val="24"/>
              </w:rPr>
            </w:pPr>
            <w:r w:rsidRPr="00D25E38">
              <w:rPr>
                <w:rFonts w:ascii="Times New Roman" w:hAnsi="Times New Roman"/>
                <w:sz w:val="24"/>
                <w:szCs w:val="24"/>
              </w:rPr>
              <w:t> Projekta izpildes ietekme uz pārvaldes institucionālo struktūru.</w:t>
            </w:r>
          </w:p>
          <w:p w14:paraId="179EB080" w14:textId="77777777" w:rsidR="00676910" w:rsidRPr="00D25E38" w:rsidRDefault="00676910" w:rsidP="00997B58">
            <w:pPr>
              <w:spacing w:after="0" w:line="240" w:lineRule="auto"/>
              <w:rPr>
                <w:rFonts w:ascii="Times New Roman" w:hAnsi="Times New Roman"/>
                <w:sz w:val="24"/>
                <w:szCs w:val="24"/>
              </w:rPr>
            </w:pPr>
            <w:r w:rsidRPr="00D25E38">
              <w:rPr>
                <w:rFonts w:ascii="Times New Roman" w:hAnsi="Times New Roman"/>
                <w:sz w:val="24"/>
                <w:szCs w:val="24"/>
              </w:rPr>
              <w:t>Esošu institūciju likvidācija</w:t>
            </w:r>
          </w:p>
        </w:tc>
        <w:tc>
          <w:tcPr>
            <w:tcW w:w="5240" w:type="dxa"/>
            <w:tcBorders>
              <w:top w:val="single" w:sz="4" w:space="0" w:color="auto"/>
              <w:left w:val="single" w:sz="4" w:space="0" w:color="auto"/>
              <w:bottom w:val="single" w:sz="4" w:space="0" w:color="auto"/>
              <w:right w:val="nil"/>
            </w:tcBorders>
          </w:tcPr>
          <w:p w14:paraId="3DE5E5D5" w14:textId="05186B14" w:rsidR="00676910" w:rsidRPr="00E24A36" w:rsidRDefault="00676910" w:rsidP="00676910">
            <w:pPr>
              <w:pStyle w:val="naisnod"/>
              <w:spacing w:before="0" w:beforeAutospacing="0" w:after="0" w:afterAutospacing="0"/>
              <w:jc w:val="both"/>
            </w:pPr>
            <w:r w:rsidRPr="00E24A36">
              <w:t>Projekts šo jomu neskar.</w:t>
            </w:r>
          </w:p>
        </w:tc>
      </w:tr>
      <w:tr w:rsidR="00676910" w:rsidRPr="00B232A4" w14:paraId="293C9298" w14:textId="77777777" w:rsidTr="00676910">
        <w:trPr>
          <w:trHeight w:val="703"/>
          <w:tblCellSpacing w:w="0" w:type="dxa"/>
        </w:trPr>
        <w:tc>
          <w:tcPr>
            <w:tcW w:w="426" w:type="dxa"/>
            <w:tcBorders>
              <w:top w:val="single" w:sz="4" w:space="0" w:color="auto"/>
              <w:left w:val="nil"/>
              <w:bottom w:val="single" w:sz="4" w:space="0" w:color="auto"/>
              <w:right w:val="single" w:sz="4" w:space="0" w:color="auto"/>
            </w:tcBorders>
          </w:tcPr>
          <w:p w14:paraId="4DB59930" w14:textId="77777777" w:rsidR="00676910" w:rsidRPr="00D25E38" w:rsidRDefault="00676910" w:rsidP="00997B58">
            <w:pPr>
              <w:spacing w:before="100" w:beforeAutospacing="1" w:after="100" w:afterAutospacing="1" w:line="240" w:lineRule="auto"/>
              <w:rPr>
                <w:rFonts w:ascii="Times New Roman" w:hAnsi="Times New Roman"/>
                <w:sz w:val="24"/>
                <w:szCs w:val="24"/>
              </w:rPr>
            </w:pPr>
            <w:r w:rsidRPr="00D25E38">
              <w:rPr>
                <w:rFonts w:ascii="Times New Roman" w:hAnsi="Times New Roman"/>
                <w:sz w:val="24"/>
                <w:szCs w:val="24"/>
              </w:rPr>
              <w:t> 5.</w:t>
            </w:r>
          </w:p>
        </w:tc>
        <w:tc>
          <w:tcPr>
            <w:tcW w:w="3832" w:type="dxa"/>
            <w:tcBorders>
              <w:top w:val="single" w:sz="4" w:space="0" w:color="auto"/>
              <w:left w:val="single" w:sz="4" w:space="0" w:color="auto"/>
              <w:bottom w:val="single" w:sz="4" w:space="0" w:color="auto"/>
              <w:right w:val="single" w:sz="4" w:space="0" w:color="auto"/>
            </w:tcBorders>
          </w:tcPr>
          <w:p w14:paraId="4AC2AB37" w14:textId="77777777" w:rsidR="00676910" w:rsidRPr="00D25E38" w:rsidRDefault="00676910" w:rsidP="00997B58">
            <w:pPr>
              <w:spacing w:after="0" w:line="240" w:lineRule="auto"/>
              <w:rPr>
                <w:rFonts w:ascii="Times New Roman" w:hAnsi="Times New Roman"/>
                <w:sz w:val="24"/>
                <w:szCs w:val="24"/>
              </w:rPr>
            </w:pPr>
            <w:r w:rsidRPr="00D25E38">
              <w:rPr>
                <w:rFonts w:ascii="Times New Roman" w:hAnsi="Times New Roman"/>
                <w:sz w:val="24"/>
                <w:szCs w:val="24"/>
              </w:rPr>
              <w:t> Projekta izpildes ietekme uz pārvaldes institucionālo struktūru.</w:t>
            </w:r>
          </w:p>
          <w:p w14:paraId="292F4296" w14:textId="77777777" w:rsidR="00676910" w:rsidRPr="00D25E38" w:rsidRDefault="00676910" w:rsidP="00997B58">
            <w:pPr>
              <w:spacing w:after="0" w:line="240" w:lineRule="auto"/>
              <w:rPr>
                <w:rFonts w:ascii="Times New Roman" w:hAnsi="Times New Roman"/>
                <w:sz w:val="24"/>
                <w:szCs w:val="24"/>
              </w:rPr>
            </w:pPr>
            <w:r w:rsidRPr="00D25E38">
              <w:rPr>
                <w:rFonts w:ascii="Times New Roman" w:hAnsi="Times New Roman"/>
                <w:sz w:val="24"/>
                <w:szCs w:val="24"/>
              </w:rPr>
              <w:t>Esošu institūciju reorganizācija</w:t>
            </w:r>
          </w:p>
        </w:tc>
        <w:tc>
          <w:tcPr>
            <w:tcW w:w="5240" w:type="dxa"/>
            <w:tcBorders>
              <w:top w:val="single" w:sz="4" w:space="0" w:color="auto"/>
              <w:left w:val="single" w:sz="4" w:space="0" w:color="auto"/>
              <w:bottom w:val="single" w:sz="4" w:space="0" w:color="auto"/>
              <w:right w:val="nil"/>
            </w:tcBorders>
          </w:tcPr>
          <w:p w14:paraId="151A33A9" w14:textId="3EDBF336" w:rsidR="00676910" w:rsidRPr="00E24A36" w:rsidRDefault="00676910" w:rsidP="00676910">
            <w:pPr>
              <w:pStyle w:val="naisnod"/>
              <w:spacing w:before="0" w:beforeAutospacing="0" w:after="0" w:afterAutospacing="0"/>
              <w:jc w:val="both"/>
            </w:pPr>
            <w:r w:rsidRPr="00E24A36">
              <w:t>Projekts šo jomu neskar.</w:t>
            </w:r>
          </w:p>
        </w:tc>
      </w:tr>
      <w:tr w:rsidR="00676910" w:rsidRPr="00B232A4" w14:paraId="5CCDDB00" w14:textId="77777777" w:rsidTr="00676910">
        <w:trPr>
          <w:trHeight w:val="476"/>
          <w:tblCellSpacing w:w="0" w:type="dxa"/>
        </w:trPr>
        <w:tc>
          <w:tcPr>
            <w:tcW w:w="426" w:type="dxa"/>
            <w:tcBorders>
              <w:top w:val="single" w:sz="4" w:space="0" w:color="auto"/>
              <w:left w:val="nil"/>
              <w:bottom w:val="single" w:sz="4" w:space="0" w:color="auto"/>
              <w:right w:val="single" w:sz="4" w:space="0" w:color="auto"/>
            </w:tcBorders>
          </w:tcPr>
          <w:p w14:paraId="13D08D8A" w14:textId="77777777" w:rsidR="00676910" w:rsidRPr="00D25E38" w:rsidRDefault="00676910" w:rsidP="00997B58">
            <w:pPr>
              <w:spacing w:after="0" w:line="240" w:lineRule="auto"/>
              <w:rPr>
                <w:rFonts w:ascii="Times New Roman" w:hAnsi="Times New Roman"/>
                <w:sz w:val="24"/>
                <w:szCs w:val="24"/>
              </w:rPr>
            </w:pPr>
            <w:r w:rsidRPr="00D25E38">
              <w:rPr>
                <w:rFonts w:ascii="Times New Roman" w:hAnsi="Times New Roman"/>
                <w:sz w:val="24"/>
                <w:szCs w:val="24"/>
              </w:rPr>
              <w:t> 6.</w:t>
            </w:r>
          </w:p>
        </w:tc>
        <w:tc>
          <w:tcPr>
            <w:tcW w:w="3832" w:type="dxa"/>
            <w:tcBorders>
              <w:top w:val="single" w:sz="4" w:space="0" w:color="auto"/>
              <w:left w:val="single" w:sz="4" w:space="0" w:color="auto"/>
              <w:bottom w:val="single" w:sz="4" w:space="0" w:color="auto"/>
              <w:right w:val="single" w:sz="4" w:space="0" w:color="auto"/>
            </w:tcBorders>
          </w:tcPr>
          <w:p w14:paraId="42D2A313" w14:textId="77777777" w:rsidR="00676910" w:rsidRPr="00D25E38" w:rsidRDefault="00676910" w:rsidP="00997B58">
            <w:pPr>
              <w:spacing w:after="0" w:line="240" w:lineRule="auto"/>
              <w:rPr>
                <w:rFonts w:ascii="Times New Roman" w:hAnsi="Times New Roman"/>
                <w:sz w:val="24"/>
                <w:szCs w:val="24"/>
              </w:rPr>
            </w:pPr>
            <w:r w:rsidRPr="00D25E38">
              <w:rPr>
                <w:rFonts w:ascii="Times New Roman" w:hAnsi="Times New Roman"/>
                <w:sz w:val="24"/>
                <w:szCs w:val="24"/>
              </w:rPr>
              <w:t> Cita informācija</w:t>
            </w:r>
          </w:p>
        </w:tc>
        <w:tc>
          <w:tcPr>
            <w:tcW w:w="5240" w:type="dxa"/>
            <w:tcBorders>
              <w:top w:val="single" w:sz="4" w:space="0" w:color="auto"/>
              <w:left w:val="single" w:sz="4" w:space="0" w:color="auto"/>
              <w:bottom w:val="single" w:sz="4" w:space="0" w:color="auto"/>
              <w:right w:val="nil"/>
            </w:tcBorders>
          </w:tcPr>
          <w:p w14:paraId="25C6F5BB" w14:textId="77777777" w:rsidR="00676910" w:rsidRPr="00D67627" w:rsidRDefault="00676910" w:rsidP="00997B58">
            <w:pPr>
              <w:pStyle w:val="naiskr"/>
              <w:spacing w:before="0" w:beforeAutospacing="0" w:after="0" w:afterAutospacing="0"/>
            </w:pPr>
            <w:r w:rsidRPr="00D67627">
              <w:t>Nav.</w:t>
            </w:r>
          </w:p>
        </w:tc>
      </w:tr>
    </w:tbl>
    <w:p w14:paraId="1FEDC5E5" w14:textId="77777777" w:rsidR="00676910" w:rsidRDefault="00676910" w:rsidP="00290226">
      <w:pPr>
        <w:rPr>
          <w:rFonts w:ascii="Times New Roman" w:hAnsi="Times New Roman"/>
          <w:i/>
          <w:sz w:val="24"/>
          <w:szCs w:val="24"/>
        </w:rPr>
      </w:pPr>
    </w:p>
    <w:p w14:paraId="11702686" w14:textId="64AA6A68" w:rsidR="002F30BD" w:rsidRDefault="002F30BD" w:rsidP="00290226">
      <w:pPr>
        <w:spacing w:after="0" w:line="240" w:lineRule="auto"/>
        <w:ind w:firstLine="720"/>
        <w:rPr>
          <w:rFonts w:ascii="Times New Roman" w:hAnsi="Times New Roman"/>
          <w:sz w:val="24"/>
          <w:szCs w:val="24"/>
        </w:rPr>
      </w:pPr>
      <w:r w:rsidRPr="00BF02BD">
        <w:rPr>
          <w:rFonts w:ascii="Times New Roman" w:hAnsi="Times New Roman"/>
          <w:sz w:val="24"/>
          <w:szCs w:val="24"/>
        </w:rPr>
        <w:t>Zemkopības ministrs</w:t>
      </w:r>
      <w:r w:rsidRPr="00BF02BD">
        <w:rPr>
          <w:rFonts w:ascii="Times New Roman" w:hAnsi="Times New Roman"/>
          <w:sz w:val="24"/>
          <w:szCs w:val="24"/>
        </w:rPr>
        <w:tab/>
      </w:r>
      <w:r w:rsidRPr="00BF02BD">
        <w:rPr>
          <w:rFonts w:ascii="Times New Roman" w:hAnsi="Times New Roman"/>
          <w:sz w:val="24"/>
          <w:szCs w:val="24"/>
        </w:rPr>
        <w:tab/>
      </w:r>
      <w:r w:rsidRPr="00BF02BD">
        <w:rPr>
          <w:rFonts w:ascii="Times New Roman" w:hAnsi="Times New Roman"/>
          <w:sz w:val="24"/>
          <w:szCs w:val="24"/>
        </w:rPr>
        <w:tab/>
      </w:r>
      <w:r w:rsidRPr="00BF02BD">
        <w:rPr>
          <w:rFonts w:ascii="Times New Roman" w:hAnsi="Times New Roman"/>
          <w:sz w:val="24"/>
          <w:szCs w:val="24"/>
        </w:rPr>
        <w:tab/>
      </w:r>
      <w:r w:rsidRPr="00BF02BD">
        <w:rPr>
          <w:rFonts w:ascii="Times New Roman" w:hAnsi="Times New Roman"/>
          <w:sz w:val="24"/>
          <w:szCs w:val="24"/>
        </w:rPr>
        <w:tab/>
      </w:r>
      <w:r w:rsidR="00BF02BD">
        <w:rPr>
          <w:rFonts w:ascii="Times New Roman" w:hAnsi="Times New Roman"/>
          <w:sz w:val="24"/>
          <w:szCs w:val="24"/>
        </w:rPr>
        <w:tab/>
      </w:r>
      <w:r w:rsidR="00BF02BD">
        <w:rPr>
          <w:rFonts w:ascii="Times New Roman" w:hAnsi="Times New Roman"/>
          <w:sz w:val="24"/>
          <w:szCs w:val="24"/>
        </w:rPr>
        <w:tab/>
      </w:r>
      <w:r w:rsidR="00BF02BD">
        <w:rPr>
          <w:rFonts w:ascii="Times New Roman" w:hAnsi="Times New Roman"/>
          <w:sz w:val="24"/>
          <w:szCs w:val="24"/>
        </w:rPr>
        <w:tab/>
      </w:r>
      <w:r w:rsidRPr="00BF02BD">
        <w:rPr>
          <w:rFonts w:ascii="Times New Roman" w:hAnsi="Times New Roman"/>
          <w:sz w:val="24"/>
          <w:szCs w:val="24"/>
        </w:rPr>
        <w:t xml:space="preserve"> </w:t>
      </w:r>
      <w:proofErr w:type="spellStart"/>
      <w:r w:rsidRPr="00BF02BD">
        <w:rPr>
          <w:rFonts w:ascii="Times New Roman" w:hAnsi="Times New Roman"/>
          <w:sz w:val="24"/>
          <w:szCs w:val="24"/>
        </w:rPr>
        <w:t>J.Dūklavs</w:t>
      </w:r>
      <w:proofErr w:type="spellEnd"/>
    </w:p>
    <w:p w14:paraId="78C0F25E" w14:textId="77777777" w:rsidR="00BF02BD" w:rsidRDefault="00BF02BD" w:rsidP="00290226">
      <w:pPr>
        <w:spacing w:after="0" w:line="240" w:lineRule="auto"/>
        <w:ind w:firstLine="720"/>
        <w:rPr>
          <w:rFonts w:ascii="Times New Roman" w:hAnsi="Times New Roman"/>
          <w:sz w:val="24"/>
          <w:szCs w:val="24"/>
        </w:rPr>
      </w:pPr>
    </w:p>
    <w:p w14:paraId="1D1EF125" w14:textId="77777777" w:rsidR="00BF02BD" w:rsidRDefault="00BF02BD" w:rsidP="00290226">
      <w:pPr>
        <w:spacing w:after="0" w:line="240" w:lineRule="auto"/>
        <w:ind w:firstLine="720"/>
        <w:rPr>
          <w:rFonts w:ascii="Times New Roman" w:hAnsi="Times New Roman"/>
          <w:sz w:val="24"/>
          <w:szCs w:val="24"/>
        </w:rPr>
      </w:pPr>
    </w:p>
    <w:p w14:paraId="4715C89F" w14:textId="77777777" w:rsidR="00BF02BD" w:rsidRDefault="00BF02BD" w:rsidP="00290226">
      <w:pPr>
        <w:spacing w:after="0" w:line="240" w:lineRule="auto"/>
        <w:ind w:firstLine="720"/>
        <w:rPr>
          <w:rFonts w:ascii="Times New Roman" w:hAnsi="Times New Roman"/>
          <w:sz w:val="24"/>
          <w:szCs w:val="24"/>
        </w:rPr>
      </w:pPr>
    </w:p>
    <w:p w14:paraId="29BE4DBC" w14:textId="77777777" w:rsidR="00BF02BD" w:rsidRDefault="00BF02BD" w:rsidP="00290226">
      <w:pPr>
        <w:spacing w:after="0" w:line="240" w:lineRule="auto"/>
        <w:ind w:firstLine="720"/>
        <w:rPr>
          <w:rFonts w:ascii="Times New Roman" w:hAnsi="Times New Roman"/>
          <w:sz w:val="24"/>
          <w:szCs w:val="24"/>
        </w:rPr>
      </w:pPr>
    </w:p>
    <w:p w14:paraId="04B8F433" w14:textId="77777777" w:rsidR="00BF02BD" w:rsidRDefault="00BF02BD" w:rsidP="00290226">
      <w:pPr>
        <w:spacing w:after="0" w:line="240" w:lineRule="auto"/>
        <w:ind w:firstLine="720"/>
        <w:rPr>
          <w:rFonts w:ascii="Times New Roman" w:hAnsi="Times New Roman"/>
          <w:sz w:val="24"/>
          <w:szCs w:val="24"/>
        </w:rPr>
      </w:pPr>
    </w:p>
    <w:p w14:paraId="467D0645" w14:textId="77777777" w:rsidR="00BF02BD" w:rsidRDefault="00BF02BD" w:rsidP="00290226">
      <w:pPr>
        <w:spacing w:after="0" w:line="240" w:lineRule="auto"/>
        <w:ind w:firstLine="720"/>
        <w:rPr>
          <w:rFonts w:ascii="Times New Roman" w:hAnsi="Times New Roman"/>
          <w:sz w:val="24"/>
          <w:szCs w:val="24"/>
        </w:rPr>
      </w:pPr>
    </w:p>
    <w:p w14:paraId="45665251" w14:textId="77777777" w:rsidR="00BF02BD" w:rsidRDefault="00BF02BD" w:rsidP="00290226">
      <w:pPr>
        <w:spacing w:after="0" w:line="240" w:lineRule="auto"/>
        <w:ind w:firstLine="720"/>
        <w:rPr>
          <w:rFonts w:ascii="Times New Roman" w:hAnsi="Times New Roman"/>
          <w:sz w:val="24"/>
          <w:szCs w:val="24"/>
        </w:rPr>
      </w:pPr>
    </w:p>
    <w:p w14:paraId="0170D1AF" w14:textId="77777777" w:rsidR="00BF02BD" w:rsidRDefault="00BF02BD" w:rsidP="00290226">
      <w:pPr>
        <w:spacing w:after="0" w:line="240" w:lineRule="auto"/>
        <w:ind w:firstLine="720"/>
        <w:rPr>
          <w:rFonts w:ascii="Times New Roman" w:hAnsi="Times New Roman"/>
          <w:sz w:val="24"/>
          <w:szCs w:val="24"/>
        </w:rPr>
      </w:pPr>
    </w:p>
    <w:p w14:paraId="6028DB66" w14:textId="77777777" w:rsidR="00BF02BD" w:rsidRDefault="00BF02BD" w:rsidP="00290226">
      <w:pPr>
        <w:spacing w:after="0" w:line="240" w:lineRule="auto"/>
        <w:ind w:firstLine="720"/>
        <w:rPr>
          <w:rFonts w:ascii="Times New Roman" w:hAnsi="Times New Roman"/>
          <w:sz w:val="24"/>
          <w:szCs w:val="24"/>
        </w:rPr>
      </w:pPr>
    </w:p>
    <w:p w14:paraId="1A75B412" w14:textId="77777777" w:rsidR="00BF02BD" w:rsidRDefault="00BF02BD" w:rsidP="00290226">
      <w:pPr>
        <w:spacing w:after="0" w:line="240" w:lineRule="auto"/>
        <w:ind w:firstLine="720"/>
        <w:rPr>
          <w:rFonts w:ascii="Times New Roman" w:hAnsi="Times New Roman"/>
          <w:sz w:val="24"/>
          <w:szCs w:val="24"/>
        </w:rPr>
      </w:pPr>
    </w:p>
    <w:p w14:paraId="3089D794" w14:textId="77777777" w:rsidR="00BF02BD" w:rsidRDefault="00BF02BD" w:rsidP="00290226">
      <w:pPr>
        <w:spacing w:after="0" w:line="240" w:lineRule="auto"/>
        <w:ind w:firstLine="720"/>
        <w:rPr>
          <w:rFonts w:ascii="Times New Roman" w:hAnsi="Times New Roman"/>
          <w:sz w:val="24"/>
          <w:szCs w:val="24"/>
        </w:rPr>
      </w:pPr>
    </w:p>
    <w:p w14:paraId="332015B8" w14:textId="77777777" w:rsidR="00BF02BD" w:rsidRDefault="00BF02BD" w:rsidP="00290226">
      <w:pPr>
        <w:spacing w:after="0" w:line="240" w:lineRule="auto"/>
        <w:ind w:firstLine="720"/>
        <w:rPr>
          <w:rFonts w:ascii="Times New Roman" w:hAnsi="Times New Roman"/>
          <w:sz w:val="24"/>
          <w:szCs w:val="24"/>
        </w:rPr>
      </w:pPr>
    </w:p>
    <w:p w14:paraId="70EDFC39" w14:textId="77777777" w:rsidR="00BF02BD" w:rsidRDefault="00BF02BD" w:rsidP="00290226">
      <w:pPr>
        <w:spacing w:after="0" w:line="240" w:lineRule="auto"/>
        <w:ind w:firstLine="720"/>
        <w:rPr>
          <w:rFonts w:ascii="Times New Roman" w:hAnsi="Times New Roman"/>
          <w:sz w:val="24"/>
          <w:szCs w:val="24"/>
        </w:rPr>
      </w:pPr>
    </w:p>
    <w:p w14:paraId="74F20260" w14:textId="77777777" w:rsidR="00BF02BD" w:rsidRDefault="00BF02BD" w:rsidP="00290226">
      <w:pPr>
        <w:spacing w:after="0" w:line="240" w:lineRule="auto"/>
        <w:ind w:firstLine="720"/>
        <w:rPr>
          <w:rFonts w:ascii="Times New Roman" w:hAnsi="Times New Roman"/>
          <w:sz w:val="24"/>
          <w:szCs w:val="24"/>
        </w:rPr>
      </w:pPr>
    </w:p>
    <w:p w14:paraId="03521DD5" w14:textId="77777777" w:rsidR="00BF02BD" w:rsidRDefault="00BF02BD" w:rsidP="00290226">
      <w:pPr>
        <w:spacing w:after="0" w:line="240" w:lineRule="auto"/>
        <w:ind w:firstLine="720"/>
        <w:rPr>
          <w:rFonts w:ascii="Times New Roman" w:hAnsi="Times New Roman"/>
          <w:sz w:val="24"/>
          <w:szCs w:val="24"/>
        </w:rPr>
      </w:pPr>
    </w:p>
    <w:p w14:paraId="004F18B9" w14:textId="77777777" w:rsidR="00BF02BD" w:rsidRPr="00BF02BD" w:rsidRDefault="00BF02BD" w:rsidP="00290226">
      <w:pPr>
        <w:spacing w:after="0" w:line="240" w:lineRule="auto"/>
        <w:ind w:firstLine="720"/>
        <w:rPr>
          <w:rFonts w:ascii="Times New Roman" w:hAnsi="Times New Roman"/>
          <w:sz w:val="24"/>
          <w:szCs w:val="24"/>
        </w:rPr>
      </w:pPr>
    </w:p>
    <w:p w14:paraId="043D0FE9" w14:textId="77777777" w:rsidR="00BF02BD" w:rsidRPr="00BF02BD" w:rsidRDefault="00BF02BD" w:rsidP="00290226">
      <w:pPr>
        <w:spacing w:after="0" w:line="240" w:lineRule="auto"/>
        <w:rPr>
          <w:rFonts w:ascii="Times New Roman" w:hAnsi="Times New Roman"/>
          <w:sz w:val="20"/>
          <w:szCs w:val="20"/>
        </w:rPr>
      </w:pPr>
      <w:r w:rsidRPr="00BF02BD">
        <w:rPr>
          <w:rFonts w:ascii="Times New Roman" w:hAnsi="Times New Roman"/>
          <w:sz w:val="20"/>
          <w:szCs w:val="20"/>
        </w:rPr>
        <w:t>09.04.2015. 12:31</w:t>
      </w:r>
    </w:p>
    <w:p w14:paraId="5783A541" w14:textId="77777777" w:rsidR="00265267" w:rsidRDefault="00265267" w:rsidP="00290226">
      <w:pPr>
        <w:spacing w:after="0" w:line="240" w:lineRule="auto"/>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3693</w:t>
      </w:r>
      <w:r>
        <w:rPr>
          <w:rFonts w:ascii="Times New Roman" w:hAnsi="Times New Roman"/>
          <w:sz w:val="20"/>
          <w:szCs w:val="20"/>
        </w:rPr>
        <w:fldChar w:fldCharType="end"/>
      </w:r>
    </w:p>
    <w:p w14:paraId="4DDB0FB1" w14:textId="7067A05A" w:rsidR="002F30BD" w:rsidRPr="00BF02BD" w:rsidRDefault="002F30BD" w:rsidP="00290226">
      <w:pPr>
        <w:spacing w:after="0" w:line="240" w:lineRule="auto"/>
        <w:rPr>
          <w:rFonts w:ascii="Times New Roman" w:hAnsi="Times New Roman"/>
          <w:sz w:val="20"/>
          <w:szCs w:val="20"/>
        </w:rPr>
      </w:pPr>
      <w:bookmarkStart w:id="4" w:name="_GoBack"/>
      <w:bookmarkEnd w:id="4"/>
      <w:r w:rsidRPr="00BF02BD">
        <w:rPr>
          <w:rFonts w:ascii="Times New Roman" w:hAnsi="Times New Roman"/>
          <w:sz w:val="20"/>
          <w:szCs w:val="20"/>
        </w:rPr>
        <w:t>L.Voiče</w:t>
      </w:r>
    </w:p>
    <w:p w14:paraId="67F5C93F" w14:textId="77777777" w:rsidR="002F30BD" w:rsidRPr="00BF02BD" w:rsidRDefault="002F30BD" w:rsidP="00290226">
      <w:pPr>
        <w:spacing w:after="0" w:line="240" w:lineRule="auto"/>
        <w:rPr>
          <w:rFonts w:ascii="Times New Roman" w:hAnsi="Times New Roman"/>
          <w:sz w:val="20"/>
          <w:szCs w:val="20"/>
        </w:rPr>
      </w:pPr>
      <w:r w:rsidRPr="00BF02BD">
        <w:rPr>
          <w:rFonts w:ascii="Times New Roman" w:hAnsi="Times New Roman"/>
          <w:sz w:val="20"/>
          <w:szCs w:val="20"/>
        </w:rPr>
        <w:t>67027121, Linda.Voice@zm.gov.lv</w:t>
      </w:r>
    </w:p>
    <w:sectPr w:rsidR="002F30BD" w:rsidRPr="00BF02BD" w:rsidSect="004834D7">
      <w:headerReference w:type="default" r:id="rId36"/>
      <w:footerReference w:type="default" r:id="rId37"/>
      <w:footerReference w:type="first" r:id="rId3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C2C15" w14:textId="77777777" w:rsidR="00CF4438" w:rsidRDefault="00CF4438" w:rsidP="00215205">
      <w:pPr>
        <w:spacing w:after="0" w:line="240" w:lineRule="auto"/>
      </w:pPr>
      <w:r>
        <w:separator/>
      </w:r>
    </w:p>
  </w:endnote>
  <w:endnote w:type="continuationSeparator" w:id="0">
    <w:p w14:paraId="02CA505B" w14:textId="77777777" w:rsidR="00CF4438" w:rsidRDefault="00CF4438" w:rsidP="0021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7896C" w14:textId="77777777" w:rsidR="00BF02BD" w:rsidRDefault="00BF02BD" w:rsidP="00BF02BD">
    <w:pPr>
      <w:pStyle w:val="Parasts1"/>
      <w:jc w:val="both"/>
      <w:rPr>
        <w:sz w:val="20"/>
        <w:szCs w:val="20"/>
      </w:rPr>
    </w:pPr>
    <w:r w:rsidRPr="00C06281">
      <w:rPr>
        <w:sz w:val="20"/>
        <w:szCs w:val="20"/>
      </w:rPr>
      <w:t>ZMAnot_</w:t>
    </w:r>
    <w:r>
      <w:rPr>
        <w:sz w:val="20"/>
        <w:szCs w:val="20"/>
      </w:rPr>
      <w:t>090415</w:t>
    </w:r>
    <w:r w:rsidRPr="00C06281">
      <w:rPr>
        <w:sz w:val="20"/>
        <w:szCs w:val="20"/>
      </w:rPr>
      <w:t xml:space="preserve">; </w:t>
    </w:r>
    <w:r w:rsidRPr="00D8473A">
      <w:rPr>
        <w:sz w:val="20"/>
        <w:szCs w:val="20"/>
      </w:rPr>
      <w:t>Lauksaimniecības un lauku attīstības kredītu garantēšanas programmas noteikumi</w:t>
    </w:r>
    <w:r w:rsidRPr="00260AEE">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3B683" w14:textId="77777777" w:rsidR="00A86B79" w:rsidRDefault="00A86B79" w:rsidP="00A86B79">
    <w:pPr>
      <w:pStyle w:val="Parasts1"/>
      <w:jc w:val="both"/>
      <w:rPr>
        <w:sz w:val="20"/>
        <w:szCs w:val="20"/>
      </w:rPr>
    </w:pPr>
    <w:r w:rsidRPr="00C06281">
      <w:rPr>
        <w:sz w:val="20"/>
        <w:szCs w:val="20"/>
      </w:rPr>
      <w:t>ZMAnot_</w:t>
    </w:r>
    <w:r>
      <w:rPr>
        <w:sz w:val="20"/>
        <w:szCs w:val="20"/>
      </w:rPr>
      <w:t>090415</w:t>
    </w:r>
    <w:r w:rsidRPr="00C06281">
      <w:rPr>
        <w:sz w:val="20"/>
        <w:szCs w:val="20"/>
      </w:rPr>
      <w:t xml:space="preserve">; </w:t>
    </w:r>
    <w:r w:rsidRPr="00D8473A">
      <w:rPr>
        <w:sz w:val="20"/>
        <w:szCs w:val="20"/>
      </w:rPr>
      <w:t>Lauksaimniecības un lauku attīstības kredītu garantēšanas programmas noteikumi</w:t>
    </w:r>
    <w:r w:rsidRPr="00260AEE">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A622D" w14:textId="77777777" w:rsidR="00CF4438" w:rsidRDefault="00CF4438" w:rsidP="00215205">
      <w:pPr>
        <w:spacing w:after="0" w:line="240" w:lineRule="auto"/>
      </w:pPr>
      <w:r>
        <w:separator/>
      </w:r>
    </w:p>
  </w:footnote>
  <w:footnote w:type="continuationSeparator" w:id="0">
    <w:p w14:paraId="6E5D20C0" w14:textId="77777777" w:rsidR="00CF4438" w:rsidRDefault="00CF4438" w:rsidP="00215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834425"/>
      <w:docPartObj>
        <w:docPartGallery w:val="Page Numbers (Top of Page)"/>
        <w:docPartUnique/>
      </w:docPartObj>
    </w:sdtPr>
    <w:sdtEndPr/>
    <w:sdtContent>
      <w:p w14:paraId="537B980F" w14:textId="6477886B" w:rsidR="004834D7" w:rsidRDefault="004834D7">
        <w:pPr>
          <w:pStyle w:val="Galvene"/>
          <w:jc w:val="center"/>
        </w:pPr>
        <w:r>
          <w:fldChar w:fldCharType="begin"/>
        </w:r>
        <w:r>
          <w:instrText>PAGE   \* MERGEFORMAT</w:instrText>
        </w:r>
        <w:r>
          <w:fldChar w:fldCharType="separate"/>
        </w:r>
        <w:r w:rsidR="00265267">
          <w:rPr>
            <w:noProof/>
          </w:rPr>
          <w:t>13</w:t>
        </w:r>
        <w:r>
          <w:fldChar w:fldCharType="end"/>
        </w:r>
      </w:p>
    </w:sdtContent>
  </w:sdt>
  <w:p w14:paraId="66AB428F" w14:textId="77777777" w:rsidR="004834D7" w:rsidRDefault="004834D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264C"/>
    <w:multiLevelType w:val="hybridMultilevel"/>
    <w:tmpl w:val="A2AABD60"/>
    <w:lvl w:ilvl="0" w:tplc="B360EF2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BC205D"/>
    <w:multiLevelType w:val="hybridMultilevel"/>
    <w:tmpl w:val="6C52EA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90D7409"/>
    <w:multiLevelType w:val="hybridMultilevel"/>
    <w:tmpl w:val="B53A21CA"/>
    <w:lvl w:ilvl="0" w:tplc="41BAD3B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nsid w:val="15521F5F"/>
    <w:multiLevelType w:val="hybridMultilevel"/>
    <w:tmpl w:val="8800F5CA"/>
    <w:lvl w:ilvl="0" w:tplc="04260001">
      <w:start w:val="1"/>
      <w:numFmt w:val="bullet"/>
      <w:lvlText w:val=""/>
      <w:lvlJc w:val="left"/>
      <w:pPr>
        <w:ind w:left="420" w:hanging="360"/>
      </w:pPr>
      <w:rPr>
        <w:rFonts w:ascii="Symbol" w:hAnsi="Symbo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454535FA"/>
    <w:multiLevelType w:val="hybridMultilevel"/>
    <w:tmpl w:val="03D688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A3741B2"/>
    <w:multiLevelType w:val="hybridMultilevel"/>
    <w:tmpl w:val="08609E8C"/>
    <w:lvl w:ilvl="0" w:tplc="C37033E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17"/>
    <w:rsid w:val="00006654"/>
    <w:rsid w:val="00016696"/>
    <w:rsid w:val="00022FDB"/>
    <w:rsid w:val="000330A2"/>
    <w:rsid w:val="00043575"/>
    <w:rsid w:val="0004377A"/>
    <w:rsid w:val="000874B2"/>
    <w:rsid w:val="00091D8A"/>
    <w:rsid w:val="000B64EA"/>
    <w:rsid w:val="000D0E55"/>
    <w:rsid w:val="000E7E1F"/>
    <w:rsid w:val="001128DC"/>
    <w:rsid w:val="00144730"/>
    <w:rsid w:val="0015266C"/>
    <w:rsid w:val="001578EA"/>
    <w:rsid w:val="001721C8"/>
    <w:rsid w:val="001C661E"/>
    <w:rsid w:val="001E06E2"/>
    <w:rsid w:val="001E0C14"/>
    <w:rsid w:val="001F0C4B"/>
    <w:rsid w:val="001F3DA3"/>
    <w:rsid w:val="001F5F42"/>
    <w:rsid w:val="00200B15"/>
    <w:rsid w:val="00203935"/>
    <w:rsid w:val="00210205"/>
    <w:rsid w:val="00215205"/>
    <w:rsid w:val="00235597"/>
    <w:rsid w:val="00236404"/>
    <w:rsid w:val="00265267"/>
    <w:rsid w:val="00280A6F"/>
    <w:rsid w:val="00290226"/>
    <w:rsid w:val="002A7990"/>
    <w:rsid w:val="002F2128"/>
    <w:rsid w:val="002F2993"/>
    <w:rsid w:val="002F30BD"/>
    <w:rsid w:val="00315554"/>
    <w:rsid w:val="003175A7"/>
    <w:rsid w:val="00332B34"/>
    <w:rsid w:val="00337773"/>
    <w:rsid w:val="00340B5A"/>
    <w:rsid w:val="00342A11"/>
    <w:rsid w:val="0035345D"/>
    <w:rsid w:val="003665A2"/>
    <w:rsid w:val="00370D5B"/>
    <w:rsid w:val="00374119"/>
    <w:rsid w:val="003E432E"/>
    <w:rsid w:val="003F2028"/>
    <w:rsid w:val="0040194B"/>
    <w:rsid w:val="00404F85"/>
    <w:rsid w:val="00415977"/>
    <w:rsid w:val="00422589"/>
    <w:rsid w:val="00431697"/>
    <w:rsid w:val="00444241"/>
    <w:rsid w:val="00477230"/>
    <w:rsid w:val="004834D7"/>
    <w:rsid w:val="00487504"/>
    <w:rsid w:val="00487C57"/>
    <w:rsid w:val="00491E71"/>
    <w:rsid w:val="004A0587"/>
    <w:rsid w:val="004A07AB"/>
    <w:rsid w:val="004E69AE"/>
    <w:rsid w:val="004E7726"/>
    <w:rsid w:val="00506F54"/>
    <w:rsid w:val="0051013E"/>
    <w:rsid w:val="005108E2"/>
    <w:rsid w:val="0052773C"/>
    <w:rsid w:val="00534C4F"/>
    <w:rsid w:val="00542110"/>
    <w:rsid w:val="00554BDF"/>
    <w:rsid w:val="005944C6"/>
    <w:rsid w:val="005B4AB1"/>
    <w:rsid w:val="005C46DC"/>
    <w:rsid w:val="005D1054"/>
    <w:rsid w:val="0060417C"/>
    <w:rsid w:val="00605699"/>
    <w:rsid w:val="00610E3E"/>
    <w:rsid w:val="00632852"/>
    <w:rsid w:val="0063432D"/>
    <w:rsid w:val="0064077A"/>
    <w:rsid w:val="00676910"/>
    <w:rsid w:val="006A5B70"/>
    <w:rsid w:val="006D63BD"/>
    <w:rsid w:val="006D7990"/>
    <w:rsid w:val="0071277B"/>
    <w:rsid w:val="0071702D"/>
    <w:rsid w:val="00753F17"/>
    <w:rsid w:val="0077120D"/>
    <w:rsid w:val="00771A52"/>
    <w:rsid w:val="00775F7D"/>
    <w:rsid w:val="0077727B"/>
    <w:rsid w:val="00780AFB"/>
    <w:rsid w:val="00790D2C"/>
    <w:rsid w:val="007945D4"/>
    <w:rsid w:val="007A059D"/>
    <w:rsid w:val="007A137C"/>
    <w:rsid w:val="007A7182"/>
    <w:rsid w:val="007B5EF3"/>
    <w:rsid w:val="007C0A53"/>
    <w:rsid w:val="007D7632"/>
    <w:rsid w:val="007E11D3"/>
    <w:rsid w:val="00801C0A"/>
    <w:rsid w:val="00824A88"/>
    <w:rsid w:val="00826336"/>
    <w:rsid w:val="008A4412"/>
    <w:rsid w:val="008A79D5"/>
    <w:rsid w:val="008A7F6E"/>
    <w:rsid w:val="008B0AA4"/>
    <w:rsid w:val="008F4667"/>
    <w:rsid w:val="009070ED"/>
    <w:rsid w:val="00924961"/>
    <w:rsid w:val="00930360"/>
    <w:rsid w:val="009704F7"/>
    <w:rsid w:val="009741FB"/>
    <w:rsid w:val="00976B83"/>
    <w:rsid w:val="00980B36"/>
    <w:rsid w:val="00985741"/>
    <w:rsid w:val="00986E38"/>
    <w:rsid w:val="009876A6"/>
    <w:rsid w:val="00996105"/>
    <w:rsid w:val="00997B58"/>
    <w:rsid w:val="009D1634"/>
    <w:rsid w:val="009D2BEA"/>
    <w:rsid w:val="00A24EE1"/>
    <w:rsid w:val="00A374CE"/>
    <w:rsid w:val="00A375C5"/>
    <w:rsid w:val="00A40C33"/>
    <w:rsid w:val="00A44D47"/>
    <w:rsid w:val="00A63CC5"/>
    <w:rsid w:val="00A7542C"/>
    <w:rsid w:val="00A86B79"/>
    <w:rsid w:val="00A9038F"/>
    <w:rsid w:val="00AC4A9C"/>
    <w:rsid w:val="00AC4CF6"/>
    <w:rsid w:val="00B02D3B"/>
    <w:rsid w:val="00B109EA"/>
    <w:rsid w:val="00B232A4"/>
    <w:rsid w:val="00B5430B"/>
    <w:rsid w:val="00B57DF9"/>
    <w:rsid w:val="00B66647"/>
    <w:rsid w:val="00B72060"/>
    <w:rsid w:val="00B84678"/>
    <w:rsid w:val="00B900BD"/>
    <w:rsid w:val="00BB7213"/>
    <w:rsid w:val="00BD3C7E"/>
    <w:rsid w:val="00BD75A0"/>
    <w:rsid w:val="00BF02BD"/>
    <w:rsid w:val="00C06281"/>
    <w:rsid w:val="00C301E7"/>
    <w:rsid w:val="00C409B8"/>
    <w:rsid w:val="00C42B7D"/>
    <w:rsid w:val="00C524DF"/>
    <w:rsid w:val="00C52A48"/>
    <w:rsid w:val="00C65490"/>
    <w:rsid w:val="00C72A47"/>
    <w:rsid w:val="00C902D6"/>
    <w:rsid w:val="00CC6FC7"/>
    <w:rsid w:val="00CE48FF"/>
    <w:rsid w:val="00CF1981"/>
    <w:rsid w:val="00CF4438"/>
    <w:rsid w:val="00CF6DC5"/>
    <w:rsid w:val="00D0504C"/>
    <w:rsid w:val="00D11110"/>
    <w:rsid w:val="00D25E38"/>
    <w:rsid w:val="00D2657C"/>
    <w:rsid w:val="00D37516"/>
    <w:rsid w:val="00D41368"/>
    <w:rsid w:val="00D42C2D"/>
    <w:rsid w:val="00D8473A"/>
    <w:rsid w:val="00D96898"/>
    <w:rsid w:val="00DD1883"/>
    <w:rsid w:val="00DD4631"/>
    <w:rsid w:val="00DD4976"/>
    <w:rsid w:val="00DD49B6"/>
    <w:rsid w:val="00DE6F77"/>
    <w:rsid w:val="00DF175E"/>
    <w:rsid w:val="00E20F7A"/>
    <w:rsid w:val="00E2230B"/>
    <w:rsid w:val="00E254A3"/>
    <w:rsid w:val="00E323E5"/>
    <w:rsid w:val="00E35E0F"/>
    <w:rsid w:val="00E439E1"/>
    <w:rsid w:val="00E532CF"/>
    <w:rsid w:val="00E8323F"/>
    <w:rsid w:val="00E92FDD"/>
    <w:rsid w:val="00EA155D"/>
    <w:rsid w:val="00EA6191"/>
    <w:rsid w:val="00ED22C8"/>
    <w:rsid w:val="00EE67A6"/>
    <w:rsid w:val="00EF74AD"/>
    <w:rsid w:val="00F0084D"/>
    <w:rsid w:val="00F036F6"/>
    <w:rsid w:val="00F068A4"/>
    <w:rsid w:val="00F21ACC"/>
    <w:rsid w:val="00F40876"/>
    <w:rsid w:val="00F47808"/>
    <w:rsid w:val="00F822CF"/>
    <w:rsid w:val="00FA3D91"/>
    <w:rsid w:val="00FD0F0B"/>
    <w:rsid w:val="00FE39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30565537"/>
  <w15:docId w15:val="{D3D24F33-A6FE-4681-B109-61B04ECF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30A2"/>
    <w:pPr>
      <w:spacing w:after="200" w:line="276" w:lineRule="auto"/>
    </w:pPr>
    <w:rPr>
      <w:rFonts w:eastAsia="Times New Roman"/>
      <w:sz w:val="22"/>
      <w:szCs w:val="22"/>
    </w:rPr>
  </w:style>
  <w:style w:type="paragraph" w:styleId="Virsraksts3">
    <w:name w:val="heading 3"/>
    <w:basedOn w:val="Parasts"/>
    <w:link w:val="Virsraksts3Rakstz"/>
    <w:uiPriority w:val="99"/>
    <w:qFormat/>
    <w:rsid w:val="000330A2"/>
    <w:pPr>
      <w:spacing w:before="100" w:beforeAutospacing="1" w:after="100" w:afterAutospacing="1" w:line="240" w:lineRule="auto"/>
      <w:outlineLvl w:val="2"/>
    </w:pPr>
    <w:rPr>
      <w:rFonts w:ascii="Times New Roman" w:eastAsia="Calibri" w:hAnsi="Times New Roman"/>
      <w:b/>
      <w:sz w:val="27"/>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uiPriority w:val="99"/>
    <w:locked/>
    <w:rsid w:val="000330A2"/>
    <w:rPr>
      <w:rFonts w:ascii="Times New Roman" w:hAnsi="Times New Roman"/>
      <w:b/>
      <w:sz w:val="27"/>
      <w:lang w:eastAsia="lv-LV"/>
    </w:rPr>
  </w:style>
  <w:style w:type="paragraph" w:customStyle="1" w:styleId="naisf">
    <w:name w:val="naisf"/>
    <w:basedOn w:val="Parasts"/>
    <w:uiPriority w:val="99"/>
    <w:rsid w:val="000330A2"/>
    <w:pPr>
      <w:spacing w:before="100" w:beforeAutospacing="1" w:after="100" w:afterAutospacing="1" w:line="240" w:lineRule="auto"/>
    </w:pPr>
    <w:rPr>
      <w:rFonts w:ascii="Times New Roman" w:hAnsi="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hAnsi="Times New Roman"/>
      <w:sz w:val="24"/>
      <w:szCs w:val="24"/>
    </w:rPr>
  </w:style>
  <w:style w:type="paragraph" w:customStyle="1" w:styleId="naiskr">
    <w:name w:val="naiskr"/>
    <w:basedOn w:val="Parasts"/>
    <w:uiPriority w:val="99"/>
    <w:rsid w:val="000330A2"/>
    <w:pPr>
      <w:spacing w:before="100" w:beforeAutospacing="1" w:after="100" w:afterAutospacing="1" w:line="240" w:lineRule="auto"/>
    </w:pPr>
    <w:rPr>
      <w:rFonts w:ascii="Times New Roman" w:hAnsi="Times New Roman"/>
      <w:sz w:val="24"/>
      <w:szCs w:val="24"/>
    </w:rPr>
  </w:style>
  <w:style w:type="character" w:styleId="Izteiksmgs">
    <w:name w:val="Strong"/>
    <w:uiPriority w:val="99"/>
    <w:qFormat/>
    <w:rsid w:val="00290226"/>
    <w:rPr>
      <w:rFonts w:cs="Times New Roman"/>
      <w:b/>
    </w:rPr>
  </w:style>
  <w:style w:type="paragraph" w:customStyle="1" w:styleId="naisc">
    <w:name w:val="naisc"/>
    <w:basedOn w:val="Parasts"/>
    <w:uiPriority w:val="99"/>
    <w:rsid w:val="00290226"/>
    <w:pPr>
      <w:spacing w:before="450" w:after="300" w:line="240" w:lineRule="auto"/>
      <w:jc w:val="center"/>
    </w:pPr>
    <w:rPr>
      <w:rFonts w:ascii="Times New Roman" w:hAnsi="Times New Roman"/>
      <w:sz w:val="26"/>
      <w:szCs w:val="26"/>
    </w:rPr>
  </w:style>
  <w:style w:type="paragraph" w:styleId="Galvene">
    <w:name w:val="header"/>
    <w:basedOn w:val="Parasts"/>
    <w:link w:val="GalveneRakstz"/>
    <w:uiPriority w:val="99"/>
    <w:rsid w:val="00215205"/>
    <w:pPr>
      <w:tabs>
        <w:tab w:val="center" w:pos="4153"/>
        <w:tab w:val="right" w:pos="8306"/>
      </w:tabs>
      <w:spacing w:after="0" w:line="240" w:lineRule="auto"/>
    </w:pPr>
    <w:rPr>
      <w:sz w:val="20"/>
      <w:szCs w:val="20"/>
    </w:rPr>
  </w:style>
  <w:style w:type="character" w:customStyle="1" w:styleId="GalveneRakstz">
    <w:name w:val="Galvene Rakstz."/>
    <w:link w:val="Galvene"/>
    <w:uiPriority w:val="99"/>
    <w:locked/>
    <w:rsid w:val="00215205"/>
    <w:rPr>
      <w:rFonts w:eastAsia="Times New Roman"/>
      <w:lang w:eastAsia="lv-LV"/>
    </w:rPr>
  </w:style>
  <w:style w:type="paragraph" w:styleId="Kjene">
    <w:name w:val="footer"/>
    <w:basedOn w:val="Parasts"/>
    <w:link w:val="KjeneRakstz"/>
    <w:uiPriority w:val="99"/>
    <w:rsid w:val="00215205"/>
    <w:pPr>
      <w:tabs>
        <w:tab w:val="center" w:pos="4153"/>
        <w:tab w:val="right" w:pos="8306"/>
      </w:tabs>
      <w:spacing w:after="0" w:line="240" w:lineRule="auto"/>
    </w:pPr>
    <w:rPr>
      <w:sz w:val="20"/>
      <w:szCs w:val="20"/>
    </w:rPr>
  </w:style>
  <w:style w:type="character" w:customStyle="1" w:styleId="KjeneRakstz">
    <w:name w:val="Kājene Rakstz."/>
    <w:link w:val="Kjene"/>
    <w:uiPriority w:val="99"/>
    <w:locked/>
    <w:rsid w:val="00215205"/>
    <w:rPr>
      <w:rFonts w:eastAsia="Times New Roman"/>
      <w:lang w:eastAsia="lv-LV"/>
    </w:rPr>
  </w:style>
  <w:style w:type="paragraph" w:styleId="Balonteksts">
    <w:name w:val="Balloon Text"/>
    <w:basedOn w:val="Parasts"/>
    <w:link w:val="BalontekstsRakstz"/>
    <w:uiPriority w:val="99"/>
    <w:semiHidden/>
    <w:rsid w:val="00215205"/>
    <w:pPr>
      <w:spacing w:after="0" w:line="240" w:lineRule="auto"/>
    </w:pPr>
    <w:rPr>
      <w:rFonts w:ascii="Tahoma" w:eastAsia="Calibri" w:hAnsi="Tahoma"/>
      <w:sz w:val="16"/>
      <w:szCs w:val="20"/>
    </w:rPr>
  </w:style>
  <w:style w:type="character" w:customStyle="1" w:styleId="BalontekstsRakstz">
    <w:name w:val="Balonteksts Rakstz."/>
    <w:link w:val="Balonteksts"/>
    <w:uiPriority w:val="99"/>
    <w:semiHidden/>
    <w:locked/>
    <w:rsid w:val="00215205"/>
    <w:rPr>
      <w:rFonts w:ascii="Tahoma" w:hAnsi="Tahoma"/>
      <w:sz w:val="16"/>
      <w:lang w:eastAsia="lv-LV"/>
    </w:rPr>
  </w:style>
  <w:style w:type="paragraph" w:customStyle="1" w:styleId="Default">
    <w:name w:val="Default"/>
    <w:uiPriority w:val="99"/>
    <w:rsid w:val="00A63CC5"/>
    <w:pPr>
      <w:autoSpaceDE w:val="0"/>
      <w:autoSpaceDN w:val="0"/>
      <w:adjustRightInd w:val="0"/>
    </w:pPr>
    <w:rPr>
      <w:rFonts w:ascii="eualbertina" w:hAnsi="eualbertina" w:cs="eualbertina"/>
      <w:color w:val="000000"/>
      <w:sz w:val="24"/>
      <w:szCs w:val="24"/>
    </w:rPr>
  </w:style>
  <w:style w:type="character" w:styleId="Komentraatsauce">
    <w:name w:val="annotation reference"/>
    <w:basedOn w:val="Noklusjumarindkopasfonts"/>
    <w:uiPriority w:val="99"/>
    <w:semiHidden/>
    <w:unhideWhenUsed/>
    <w:rsid w:val="00B109EA"/>
    <w:rPr>
      <w:sz w:val="16"/>
      <w:szCs w:val="16"/>
    </w:rPr>
  </w:style>
  <w:style w:type="paragraph" w:styleId="Komentrateksts">
    <w:name w:val="annotation text"/>
    <w:basedOn w:val="Parasts"/>
    <w:link w:val="KomentratekstsRakstz"/>
    <w:uiPriority w:val="99"/>
    <w:unhideWhenUsed/>
    <w:rsid w:val="00B109EA"/>
    <w:pPr>
      <w:spacing w:line="240" w:lineRule="auto"/>
    </w:pPr>
    <w:rPr>
      <w:sz w:val="20"/>
      <w:szCs w:val="20"/>
    </w:rPr>
  </w:style>
  <w:style w:type="character" w:customStyle="1" w:styleId="KomentratekstsRakstz">
    <w:name w:val="Komentāra teksts Rakstz."/>
    <w:basedOn w:val="Noklusjumarindkopasfonts"/>
    <w:link w:val="Komentrateksts"/>
    <w:uiPriority w:val="99"/>
    <w:rsid w:val="00B109EA"/>
    <w:rPr>
      <w:rFonts w:eastAsia="Times New Roman"/>
    </w:rPr>
  </w:style>
  <w:style w:type="paragraph" w:styleId="Komentratma">
    <w:name w:val="annotation subject"/>
    <w:basedOn w:val="Komentrateksts"/>
    <w:next w:val="Komentrateksts"/>
    <w:link w:val="KomentratmaRakstz"/>
    <w:uiPriority w:val="99"/>
    <w:semiHidden/>
    <w:unhideWhenUsed/>
    <w:rsid w:val="00B109EA"/>
    <w:rPr>
      <w:b/>
      <w:bCs/>
    </w:rPr>
  </w:style>
  <w:style w:type="character" w:customStyle="1" w:styleId="KomentratmaRakstz">
    <w:name w:val="Komentāra tēma Rakstz."/>
    <w:basedOn w:val="KomentratekstsRakstz"/>
    <w:link w:val="Komentratma"/>
    <w:uiPriority w:val="99"/>
    <w:semiHidden/>
    <w:rsid w:val="00B109EA"/>
    <w:rPr>
      <w:rFonts w:eastAsia="Times New Roman"/>
      <w:b/>
      <w:bCs/>
    </w:rPr>
  </w:style>
  <w:style w:type="paragraph" w:styleId="Pamattekstaatkpe2">
    <w:name w:val="Body Text Indent 2"/>
    <w:basedOn w:val="Parasts"/>
    <w:link w:val="Pamattekstaatkpe2Rakstz"/>
    <w:rsid w:val="00676910"/>
    <w:pPr>
      <w:spacing w:after="0" w:line="240" w:lineRule="auto"/>
      <w:ind w:firstLine="435"/>
      <w:jc w:val="both"/>
    </w:pPr>
    <w:rPr>
      <w:rFonts w:ascii="Times New Roman" w:hAnsi="Times New Roman"/>
      <w:sz w:val="24"/>
      <w:szCs w:val="20"/>
      <w:lang w:eastAsia="en-US"/>
    </w:rPr>
  </w:style>
  <w:style w:type="character" w:customStyle="1" w:styleId="Pamattekstaatkpe2Rakstz">
    <w:name w:val="Pamatteksta atkāpe 2 Rakstz."/>
    <w:basedOn w:val="Noklusjumarindkopasfonts"/>
    <w:link w:val="Pamattekstaatkpe2"/>
    <w:rsid w:val="00676910"/>
    <w:rPr>
      <w:rFonts w:ascii="Times New Roman" w:eastAsia="Times New Roman" w:hAnsi="Times New Roman"/>
      <w:sz w:val="24"/>
      <w:lang w:eastAsia="en-US"/>
    </w:rPr>
  </w:style>
  <w:style w:type="paragraph" w:customStyle="1" w:styleId="Parasts1">
    <w:name w:val="Parasts1"/>
    <w:uiPriority w:val="99"/>
    <w:rsid w:val="00C06281"/>
    <w:rPr>
      <w:rFonts w:ascii="Times New Roman" w:eastAsia="Times New Roman" w:hAnsi="Times New Roman"/>
      <w:sz w:val="24"/>
      <w:szCs w:val="24"/>
    </w:rPr>
  </w:style>
  <w:style w:type="paragraph" w:styleId="Sarakstarindkopa">
    <w:name w:val="List Paragraph"/>
    <w:basedOn w:val="Parasts"/>
    <w:uiPriority w:val="34"/>
    <w:qFormat/>
    <w:rsid w:val="00A44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084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6:379:0005:01:LV:HTML" TargetMode="External"/><Relationship Id="rId13" Type="http://schemas.openxmlformats.org/officeDocument/2006/relationships/hyperlink" Target="http://eur-lex.europa.eu/LexUriServ/LexUriServ.do?uri=OJ:L:2006:379:0005:01:LV:HTML" TargetMode="External"/><Relationship Id="rId18" Type="http://schemas.openxmlformats.org/officeDocument/2006/relationships/hyperlink" Target="http://eur-lex.europa.eu/eli/reg/2014/717?locale=LV" TargetMode="External"/><Relationship Id="rId26" Type="http://schemas.openxmlformats.org/officeDocument/2006/relationships/hyperlink" Target="http://eur-lex.europa.eu/LexUriServ/LexUriServ.do?uri=OJ:L:2006:379:0005:01:LV: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ur-lex.europa.eu/LexUriServ/LexUriServ.do?uri=OJ:L:2013:176:0001:01:LV:HTML" TargetMode="External"/><Relationship Id="rId34" Type="http://schemas.openxmlformats.org/officeDocument/2006/relationships/hyperlink" Target="http://eur-lex.europa.eu/LexUriServ/LexUriServ.do?uri=OJ:L:2006:379:0005:01:LV:HTML" TargetMode="External"/><Relationship Id="rId7" Type="http://schemas.openxmlformats.org/officeDocument/2006/relationships/hyperlink" Target="http://eur-lex.europa.eu/LexUriServ/LexUriServ.do?uri=OJ:L:2006:379:0005:01:LV:HTML" TargetMode="External"/><Relationship Id="rId12" Type="http://schemas.openxmlformats.org/officeDocument/2006/relationships/hyperlink" Target="http://eur-lex.europa.eu/eli/reg/1999/659?locale=LV" TargetMode="External"/><Relationship Id="rId17" Type="http://schemas.openxmlformats.org/officeDocument/2006/relationships/hyperlink" Target="http://eur-lex.europa.eu/eli/reg/2014/717?locale=LV" TargetMode="External"/><Relationship Id="rId25" Type="http://schemas.openxmlformats.org/officeDocument/2006/relationships/hyperlink" Target="http://eur-lex.europa.eu/LexUriServ/LexUriServ.do?uri=OJ:L:2006:379:0005:01:LV:HTML" TargetMode="External"/><Relationship Id="rId33" Type="http://schemas.openxmlformats.org/officeDocument/2006/relationships/hyperlink" Target="http://eur-lex.europa.eu/LexUriServ/LexUriServ.do?uri=OJ:L:2006:379:0005:01:LV:HTML"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eur-lex.europa.eu/LexUriServ/LexUriServ.do?uri=OJ:L:2006:379:0005:01:LV:HTML" TargetMode="External"/><Relationship Id="rId20" Type="http://schemas.openxmlformats.org/officeDocument/2006/relationships/hyperlink" Target="http://eur-lex.europa.eu/LexUriServ/LexUriServ.do?uri=OJ:L:2012:201:0001:01:LV:HTML" TargetMode="External"/><Relationship Id="rId29" Type="http://schemas.openxmlformats.org/officeDocument/2006/relationships/hyperlink" Target="http://eur-lex.europa.eu/eli/reg/2014/717?locale=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xUriServ/LexUriServ.do?uri=OJ:L:2012:201:0001:01:LV:HTML" TargetMode="External"/><Relationship Id="rId24" Type="http://schemas.openxmlformats.org/officeDocument/2006/relationships/hyperlink" Target="http://eur-lex.europa.eu/LexUriServ/LexUriServ.do?uri=OJ:L:2006:379:0005:01:LV:HTML" TargetMode="External"/><Relationship Id="rId32" Type="http://schemas.openxmlformats.org/officeDocument/2006/relationships/hyperlink" Target="http://eur-lex.europa.eu/LexUriServ/LexUriServ.do?uri=OJ:L:2006:379:0005:01:LV: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ur-lex.europa.eu/LexUriServ/LexUriServ.do?uri=OJ:L:2006:379:0005:01:LV:HTML" TargetMode="External"/><Relationship Id="rId23" Type="http://schemas.openxmlformats.org/officeDocument/2006/relationships/hyperlink" Target="http://eur-lex.europa.eu/eli/reg/2014/717?locale=LV" TargetMode="External"/><Relationship Id="rId28" Type="http://schemas.openxmlformats.org/officeDocument/2006/relationships/hyperlink" Target="http://eur-lex.europa.eu/LexUriServ/LexUriServ.do?uri=OJ:L:2013:176:0001:01:LV:HTML" TargetMode="External"/><Relationship Id="rId36" Type="http://schemas.openxmlformats.org/officeDocument/2006/relationships/header" Target="header1.xml"/><Relationship Id="rId10" Type="http://schemas.openxmlformats.org/officeDocument/2006/relationships/hyperlink" Target="http://eur-lex.europa.eu/LexUriServ/LexUriServ.do?uri=OJ:L:2013:176:0001:01:LV:HTML" TargetMode="External"/><Relationship Id="rId19" Type="http://schemas.openxmlformats.org/officeDocument/2006/relationships/hyperlink" Target="http://eur-lex.europa.eu/LexUriServ/LexUriServ.do?uri=OJ:L:2013:176:0001:01:LV:HTML" TargetMode="External"/><Relationship Id="rId31" Type="http://schemas.openxmlformats.org/officeDocument/2006/relationships/hyperlink" Target="http://eur-lex.europa.eu/eli/reg/2014/717?locale=LV" TargetMode="External"/><Relationship Id="rId4" Type="http://schemas.openxmlformats.org/officeDocument/2006/relationships/webSettings" Target="webSettings.xml"/><Relationship Id="rId9" Type="http://schemas.openxmlformats.org/officeDocument/2006/relationships/hyperlink" Target="http://eur-lex.europa.eu/eli/reg/2014/717?locale=LV" TargetMode="External"/><Relationship Id="rId14" Type="http://schemas.openxmlformats.org/officeDocument/2006/relationships/hyperlink" Target="http://eur-lex.europa.eu/LexUriServ/LexUriServ.do?uri=OJ:L:2006:379:0005:01:LV:HTML" TargetMode="External"/><Relationship Id="rId22" Type="http://schemas.openxmlformats.org/officeDocument/2006/relationships/hyperlink" Target="http://eur-lex.europa.eu/eli/reg/1999/659?locale=LV" TargetMode="External"/><Relationship Id="rId27" Type="http://schemas.openxmlformats.org/officeDocument/2006/relationships/hyperlink" Target="http://eur-lex.europa.eu/LexUriServ/LexUriServ.do?uri=OJ:L:2006:379:0005:01:LV:HTML" TargetMode="External"/><Relationship Id="rId30" Type="http://schemas.openxmlformats.org/officeDocument/2006/relationships/hyperlink" Target="http://eur-lex.europa.eu/eli/reg/2014/717?locale=LV" TargetMode="External"/><Relationship Id="rId35" Type="http://schemas.openxmlformats.org/officeDocument/2006/relationships/hyperlink" Target="http://eur-lex.europa.eu/eli/reg/2014/702?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4126</Words>
  <Characters>28226</Characters>
  <Application>Microsoft Office Word</Application>
  <DocSecurity>0</DocSecurity>
  <Lines>1283</Lines>
  <Paragraphs>539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„Lauksaimniecības un lauku attīstības kredītu garantēšanas programma” sākotnējās ietekmes novērtējuma ziņojums (anotācija)</vt:lpstr>
      <vt:lpstr>Ministru kabineta noteikumu projekta „Lauksaimniecības un lauku attīstības kredītu garantēšanas programma” sākotnējās ietekmes novērtējuma ziņojums (anotācija)</vt:lpstr>
    </vt:vector>
  </TitlesOfParts>
  <Company>Zemkopības Ministrija</Company>
  <LinksUpToDate>false</LinksUpToDate>
  <CharactersWithSpaces>31813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„Lauksaimniecības un lauku attīstības kredītu garantēšanas programma” sākotnējās ietekmes novērtējuma ziņojums (anotācija)</dc:title>
  <dc:creator>Linda Voiče</dc:creator>
  <cp:lastModifiedBy>Renārs Žagars</cp:lastModifiedBy>
  <cp:revision>11</cp:revision>
  <dcterms:created xsi:type="dcterms:W3CDTF">2015-04-09T08:51:00Z</dcterms:created>
  <dcterms:modified xsi:type="dcterms:W3CDTF">2015-04-10T06:24:00Z</dcterms:modified>
</cp:coreProperties>
</file>